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bottom w:val="none" w:sz="0" w:space="0" w:color="auto"/>
        </w:tblBorders>
        <w:tblLayout w:type="fixed"/>
        <w:tblCellMar>
          <w:left w:w="0" w:type="dxa"/>
          <w:right w:w="0" w:type="dxa"/>
        </w:tblCellMar>
        <w:tblLook w:val="01E0"/>
      </w:tblPr>
      <w:tblGrid>
        <w:gridCol w:w="1280"/>
        <w:gridCol w:w="3420"/>
        <w:gridCol w:w="2120"/>
        <w:gridCol w:w="2819"/>
      </w:tblGrid>
      <w:tr w:rsidR="007511D7" w:rsidRPr="00D65A62" w:rsidTr="002B43B0">
        <w:trPr>
          <w:cnfStyle w:val="100000000000"/>
          <w:trHeight w:hRule="exact" w:val="851"/>
        </w:trPr>
        <w:tc>
          <w:tcPr>
            <w:tcW w:w="4700" w:type="dxa"/>
            <w:gridSpan w:val="2"/>
            <w:tcBorders>
              <w:bottom w:val="single" w:sz="4" w:space="0" w:color="auto"/>
            </w:tcBorders>
            <w:vAlign w:val="bottom"/>
          </w:tcPr>
          <w:p w:rsidR="007511D7" w:rsidRPr="00635870" w:rsidRDefault="007511D7" w:rsidP="002B43B0">
            <w:pPr>
              <w:spacing w:after="80" w:line="300" w:lineRule="exact"/>
              <w:rPr>
                <w:sz w:val="28"/>
              </w:rPr>
            </w:pPr>
            <w:r>
              <w:rPr>
                <w:sz w:val="28"/>
              </w:rPr>
              <w:t>Организация Объединенных Наций</w:t>
            </w:r>
          </w:p>
        </w:tc>
        <w:tc>
          <w:tcPr>
            <w:tcW w:w="4939" w:type="dxa"/>
            <w:gridSpan w:val="2"/>
            <w:tcBorders>
              <w:bottom w:val="single" w:sz="4" w:space="0" w:color="auto"/>
            </w:tcBorders>
            <w:vAlign w:val="bottom"/>
          </w:tcPr>
          <w:p w:rsidR="007511D7" w:rsidRPr="00D65A62" w:rsidRDefault="007511D7" w:rsidP="002B43B0">
            <w:pPr>
              <w:jc w:val="right"/>
              <w:rPr>
                <w:sz w:val="20"/>
                <w:lang w:val="en-US"/>
              </w:rPr>
            </w:pPr>
            <w:r w:rsidRPr="002F7307">
              <w:rPr>
                <w:sz w:val="40"/>
                <w:szCs w:val="40"/>
                <w:lang w:val="en-US"/>
              </w:rPr>
              <w:t>C</w:t>
            </w:r>
            <w:r w:rsidR="002E45D8">
              <w:rPr>
                <w:sz w:val="40"/>
                <w:szCs w:val="40"/>
                <w:lang w:val="en-US"/>
              </w:rPr>
              <w:t>RPD</w:t>
            </w:r>
            <w:r w:rsidRPr="00C74313">
              <w:rPr>
                <w:sz w:val="20"/>
                <w:lang w:val="en-US"/>
              </w:rPr>
              <w:t>/</w:t>
            </w:r>
            <w:fldSimple w:instr=" FILLIN  &quot;Введите часть символа после CERD/&quot;  \* MERGEFORMAT ">
              <w:r w:rsidR="00E25995" w:rsidRPr="00C74313">
                <w:rPr>
                  <w:sz w:val="20"/>
                </w:rPr>
                <w:t>C/12/D/10/2013</w:t>
              </w:r>
            </w:fldSimple>
          </w:p>
        </w:tc>
      </w:tr>
      <w:tr w:rsidR="007511D7" w:rsidRPr="00635870" w:rsidTr="002B43B0">
        <w:trPr>
          <w:trHeight w:hRule="exact" w:val="2835"/>
        </w:trPr>
        <w:tc>
          <w:tcPr>
            <w:tcW w:w="1280" w:type="dxa"/>
            <w:tcBorders>
              <w:top w:val="single" w:sz="4" w:space="0" w:color="auto"/>
              <w:bottom w:val="single" w:sz="12" w:space="0" w:color="auto"/>
            </w:tcBorders>
          </w:tcPr>
          <w:p w:rsidR="007511D7" w:rsidRPr="00635870" w:rsidRDefault="007511D7" w:rsidP="002B43B0">
            <w:pPr>
              <w:spacing w:before="120"/>
              <w:jc w:val="center"/>
            </w:pPr>
            <w:r w:rsidRPr="006358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7511D7" w:rsidRPr="007511D7" w:rsidRDefault="002E45D8" w:rsidP="007511D7">
            <w:pPr>
              <w:suppressAutoHyphens/>
              <w:spacing w:before="120" w:line="380" w:lineRule="exact"/>
              <w:rPr>
                <w:b/>
                <w:spacing w:val="-4"/>
                <w:w w:val="100"/>
                <w:sz w:val="34"/>
                <w:szCs w:val="40"/>
              </w:rPr>
            </w:pPr>
            <w:r>
              <w:rPr>
                <w:b/>
                <w:spacing w:val="-4"/>
                <w:w w:val="100"/>
                <w:sz w:val="34"/>
                <w:szCs w:val="40"/>
              </w:rPr>
              <w:t>К</w:t>
            </w:r>
            <w:r w:rsidR="007511D7" w:rsidRPr="007511D7">
              <w:rPr>
                <w:b/>
                <w:spacing w:val="-4"/>
                <w:w w:val="100"/>
                <w:sz w:val="34"/>
                <w:szCs w:val="40"/>
              </w:rPr>
              <w:t>онвенция</w:t>
            </w:r>
            <w:r w:rsidR="002C42D2">
              <w:rPr>
                <w:b/>
                <w:spacing w:val="-4"/>
                <w:w w:val="100"/>
                <w:sz w:val="34"/>
                <w:szCs w:val="40"/>
              </w:rPr>
              <w:t xml:space="preserve"> о правах</w:t>
            </w:r>
            <w:r w:rsidR="007511D7" w:rsidRPr="007511D7">
              <w:rPr>
                <w:b/>
                <w:spacing w:val="-4"/>
                <w:w w:val="100"/>
                <w:sz w:val="34"/>
                <w:szCs w:val="40"/>
              </w:rPr>
              <w:br/>
            </w:r>
            <w:r w:rsidR="002C42D2">
              <w:rPr>
                <w:b/>
                <w:spacing w:val="-4"/>
                <w:w w:val="100"/>
                <w:sz w:val="34"/>
                <w:szCs w:val="40"/>
              </w:rPr>
              <w:t>инвалидов</w:t>
            </w:r>
          </w:p>
        </w:tc>
        <w:tc>
          <w:tcPr>
            <w:tcW w:w="2819" w:type="dxa"/>
            <w:tcBorders>
              <w:top w:val="single" w:sz="4" w:space="0" w:color="auto"/>
              <w:bottom w:val="single" w:sz="12" w:space="0" w:color="auto"/>
            </w:tcBorders>
          </w:tcPr>
          <w:p w:rsidR="007511D7" w:rsidRPr="00D65A62" w:rsidRDefault="007511D7" w:rsidP="002B43B0">
            <w:pPr>
              <w:spacing w:before="240" w:after="0"/>
              <w:rPr>
                <w:sz w:val="20"/>
                <w:lang w:val="en-US"/>
              </w:rPr>
            </w:pPr>
            <w:r w:rsidRPr="00D65A62">
              <w:rPr>
                <w:sz w:val="20"/>
                <w:lang w:val="en-US"/>
              </w:rPr>
              <w:t>Distr</w:t>
            </w:r>
            <w:r w:rsidRPr="00D65A62">
              <w:rPr>
                <w:sz w:val="20"/>
              </w:rPr>
              <w:t>.:</w:t>
            </w:r>
            <w:r w:rsidRPr="00D65A62">
              <w:rPr>
                <w:sz w:val="20"/>
                <w:lang w:val="en-US"/>
              </w:rPr>
              <w:t xml:space="preserve"> </w:t>
            </w:r>
            <w:bookmarkStart w:id="0" w:name="ПолеСоСписком1"/>
            <w:r w:rsidRPr="00D65A62">
              <w:rPr>
                <w:sz w:val="20"/>
              </w:rPr>
              <w:fldChar w:fldCharType="begin">
                <w:ffData>
                  <w:name w:val="ПолеСоСписком1"/>
                  <w:enabled/>
                  <w:calcOnExit w:val="0"/>
                  <w:ddList>
                    <w:listEntry w:val="General"/>
                    <w:listEntry w:val="Limited"/>
                    <w:listEntry w:val="Restricted"/>
                  </w:ddList>
                </w:ffData>
              </w:fldChar>
            </w:r>
            <w:r w:rsidRPr="00D65A62">
              <w:rPr>
                <w:sz w:val="20"/>
                <w:lang w:val="en-US"/>
              </w:rPr>
              <w:instrText xml:space="preserve"> FORMDROPDOWN </w:instrText>
            </w:r>
            <w:r w:rsidRPr="00D65A62">
              <w:rPr>
                <w:sz w:val="20"/>
              </w:rPr>
            </w:r>
            <w:r w:rsidRPr="00D65A62">
              <w:rPr>
                <w:sz w:val="20"/>
              </w:rPr>
              <w:fldChar w:fldCharType="end"/>
            </w:r>
            <w:bookmarkEnd w:id="0"/>
          </w:p>
          <w:p w:rsidR="007511D7" w:rsidRPr="00D65A62" w:rsidRDefault="007511D7" w:rsidP="002B43B0">
            <w:pPr>
              <w:spacing w:before="0" w:after="0"/>
              <w:rPr>
                <w:sz w:val="20"/>
                <w:lang w:val="en-US"/>
              </w:rPr>
            </w:pPr>
            <w:fldSimple w:instr=" FILLIN  &quot;Введите дату документа&quot; \* MERGEFORMAT ">
              <w:r w:rsidR="00E25995">
                <w:rPr>
                  <w:sz w:val="20"/>
                  <w:lang w:val="en-US"/>
                </w:rPr>
                <w:t>28 October 2014</w:t>
              </w:r>
            </w:fldSimple>
          </w:p>
          <w:p w:rsidR="007511D7" w:rsidRPr="00D65A62" w:rsidRDefault="007511D7" w:rsidP="002B43B0">
            <w:pPr>
              <w:spacing w:before="0" w:after="0"/>
              <w:rPr>
                <w:sz w:val="20"/>
              </w:rPr>
            </w:pPr>
            <w:r w:rsidRPr="00D65A62">
              <w:rPr>
                <w:sz w:val="20"/>
                <w:lang w:val="en-US"/>
              </w:rPr>
              <w:t>Russian</w:t>
            </w:r>
          </w:p>
          <w:p w:rsidR="007511D7" w:rsidRPr="00D65A62" w:rsidRDefault="007511D7" w:rsidP="002B43B0">
            <w:pPr>
              <w:spacing w:before="0" w:after="0"/>
              <w:rPr>
                <w:sz w:val="20"/>
              </w:rPr>
            </w:pPr>
            <w:r w:rsidRPr="00D65A62">
              <w:rPr>
                <w:sz w:val="20"/>
                <w:lang w:val="en-US"/>
              </w:rPr>
              <w:t>Original</w:t>
            </w:r>
            <w:r w:rsidRPr="00D65A62">
              <w:rPr>
                <w:sz w:val="20"/>
              </w:rPr>
              <w:t xml:space="preserve">: </w:t>
            </w:r>
            <w:bookmarkStart w:id="1" w:name="ПолеСоСписком2"/>
            <w:r w:rsidRPr="00D65A62">
              <w:rPr>
                <w:sz w:val="20"/>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D65A62">
              <w:rPr>
                <w:sz w:val="20"/>
                <w:lang w:val="en-US"/>
              </w:rPr>
              <w:instrText xml:space="preserve"> FORMDROPDOWN </w:instrText>
            </w:r>
            <w:r w:rsidRPr="00D65A62">
              <w:rPr>
                <w:sz w:val="20"/>
              </w:rPr>
            </w:r>
            <w:r w:rsidRPr="00D65A62">
              <w:rPr>
                <w:sz w:val="20"/>
              </w:rPr>
              <w:fldChar w:fldCharType="end"/>
            </w:r>
            <w:bookmarkEnd w:id="1"/>
          </w:p>
          <w:p w:rsidR="007511D7" w:rsidRPr="00635870" w:rsidRDefault="007511D7" w:rsidP="002B43B0"/>
        </w:tc>
      </w:tr>
    </w:tbl>
    <w:p w:rsidR="000B352D" w:rsidRPr="00F70901" w:rsidRDefault="000B352D" w:rsidP="000B352D">
      <w:pPr>
        <w:spacing w:before="120"/>
        <w:rPr>
          <w:b/>
          <w:sz w:val="24"/>
          <w:szCs w:val="24"/>
        </w:rPr>
      </w:pPr>
      <w:r w:rsidRPr="00F70901">
        <w:rPr>
          <w:b/>
          <w:sz w:val="24"/>
          <w:szCs w:val="24"/>
        </w:rPr>
        <w:t>Комитет по правам инвалидов</w:t>
      </w:r>
    </w:p>
    <w:p w:rsidR="000B352D" w:rsidRPr="00F70901" w:rsidRDefault="000B352D" w:rsidP="000B352D">
      <w:pPr>
        <w:pStyle w:val="HChGR"/>
      </w:pPr>
      <w:r>
        <w:rPr>
          <w:lang w:val="en-US"/>
        </w:rPr>
        <w:tab/>
      </w:r>
      <w:r w:rsidRPr="00F70901">
        <w:tab/>
      </w:r>
      <w:r>
        <w:t>Сообщение</w:t>
      </w:r>
      <w:r w:rsidRPr="00F70901">
        <w:t xml:space="preserve"> № </w:t>
      </w:r>
      <w:r w:rsidRPr="00177281">
        <w:t>10/2013</w:t>
      </w:r>
    </w:p>
    <w:p w:rsidR="000B352D" w:rsidRPr="006114D7" w:rsidRDefault="000B352D" w:rsidP="000B352D">
      <w:pPr>
        <w:pStyle w:val="H1GR"/>
      </w:pPr>
      <w:r>
        <w:tab/>
      </w:r>
      <w:r>
        <w:tab/>
        <w:t xml:space="preserve">Решение, принятое Комитетом на его двенадцатой сессии </w:t>
      </w:r>
      <w:r>
        <w:br/>
        <w:t>(15 сентября</w:t>
      </w:r>
      <w:r w:rsidRPr="000B352D">
        <w:t xml:space="preserve"> − </w:t>
      </w:r>
      <w:r>
        <w:t>3 октября 2014 года)</w:t>
      </w:r>
    </w:p>
    <w:tbl>
      <w:tblPr>
        <w:tblW w:w="6804" w:type="dxa"/>
        <w:tblInd w:w="1701" w:type="dxa"/>
        <w:tblLayout w:type="fixed"/>
        <w:tblCellMar>
          <w:left w:w="0" w:type="dxa"/>
          <w:right w:w="0" w:type="dxa"/>
        </w:tblCellMar>
        <w:tblLook w:val="01E0"/>
      </w:tblPr>
      <w:tblGrid>
        <w:gridCol w:w="2933"/>
        <w:gridCol w:w="3871"/>
      </w:tblGrid>
      <w:tr w:rsidR="000B352D" w:rsidRPr="00B8676E" w:rsidTr="000B352D">
        <w:tc>
          <w:tcPr>
            <w:tcW w:w="2933" w:type="dxa"/>
            <w:shd w:val="clear" w:color="auto" w:fill="auto"/>
          </w:tcPr>
          <w:p w:rsidR="000B352D" w:rsidRPr="005A4D3B" w:rsidRDefault="000B352D" w:rsidP="000B352D">
            <w:pPr>
              <w:spacing w:after="120"/>
              <w:rPr>
                <w:i/>
              </w:rPr>
            </w:pPr>
            <w:r w:rsidRPr="005A4D3B">
              <w:rPr>
                <w:i/>
              </w:rPr>
              <w:t>Представлено:</w:t>
            </w:r>
          </w:p>
        </w:tc>
        <w:tc>
          <w:tcPr>
            <w:tcW w:w="3871" w:type="dxa"/>
            <w:shd w:val="clear" w:color="auto" w:fill="auto"/>
          </w:tcPr>
          <w:p w:rsidR="000B352D" w:rsidRPr="00781D11" w:rsidRDefault="000B352D" w:rsidP="000B352D">
            <w:pPr>
              <w:tabs>
                <w:tab w:val="left" w:pos="838"/>
              </w:tabs>
              <w:spacing w:after="120"/>
            </w:pPr>
            <w:r w:rsidRPr="00781D11">
              <w:t>С.К. (не представлена адвокатом)</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Предполагаемая жертва:</w:t>
            </w:r>
          </w:p>
        </w:tc>
        <w:tc>
          <w:tcPr>
            <w:tcW w:w="3871" w:type="dxa"/>
            <w:shd w:val="clear" w:color="auto" w:fill="auto"/>
          </w:tcPr>
          <w:p w:rsidR="000B352D" w:rsidRPr="00781D11" w:rsidRDefault="000B352D" w:rsidP="000B352D">
            <w:pPr>
              <w:tabs>
                <w:tab w:val="left" w:pos="838"/>
              </w:tabs>
              <w:spacing w:after="120"/>
            </w:pPr>
            <w:r>
              <w:t>а</w:t>
            </w:r>
            <w:r w:rsidRPr="00781D11">
              <w:t>втор</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Государство-участник:</w:t>
            </w:r>
          </w:p>
        </w:tc>
        <w:tc>
          <w:tcPr>
            <w:tcW w:w="3871" w:type="dxa"/>
            <w:shd w:val="clear" w:color="auto" w:fill="auto"/>
          </w:tcPr>
          <w:p w:rsidR="000B352D" w:rsidRPr="00781D11" w:rsidRDefault="000B352D" w:rsidP="000B352D">
            <w:pPr>
              <w:tabs>
                <w:tab w:val="left" w:pos="838"/>
              </w:tabs>
              <w:spacing w:after="120"/>
            </w:pPr>
            <w:r w:rsidRPr="00781D11">
              <w:t>Бразилия</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 xml:space="preserve">Дата представления </w:t>
            </w:r>
            <w:r w:rsidR="00FC3622">
              <w:rPr>
                <w:i/>
              </w:rPr>
              <w:br/>
            </w:r>
            <w:r w:rsidRPr="005A4D3B">
              <w:rPr>
                <w:i/>
              </w:rPr>
              <w:t>сообщ</w:t>
            </w:r>
            <w:r w:rsidRPr="005A4D3B">
              <w:rPr>
                <w:i/>
              </w:rPr>
              <w:t>е</w:t>
            </w:r>
            <w:r w:rsidRPr="005A4D3B">
              <w:rPr>
                <w:i/>
              </w:rPr>
              <w:t>ния:</w:t>
            </w:r>
          </w:p>
        </w:tc>
        <w:tc>
          <w:tcPr>
            <w:tcW w:w="3871" w:type="dxa"/>
            <w:shd w:val="clear" w:color="auto" w:fill="auto"/>
          </w:tcPr>
          <w:p w:rsidR="000B352D" w:rsidRPr="00781D11" w:rsidRDefault="000B352D" w:rsidP="000B352D">
            <w:pPr>
              <w:tabs>
                <w:tab w:val="left" w:pos="838"/>
              </w:tabs>
              <w:spacing w:after="120"/>
            </w:pPr>
            <w:r w:rsidRPr="00781D11">
              <w:t>2 ноября 2012 года (первоначальное представление)</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Ссылки на документы:</w:t>
            </w:r>
          </w:p>
        </w:tc>
        <w:tc>
          <w:tcPr>
            <w:tcW w:w="3871" w:type="dxa"/>
            <w:shd w:val="clear" w:color="auto" w:fill="auto"/>
          </w:tcPr>
          <w:p w:rsidR="000B352D" w:rsidRPr="00781D11" w:rsidRDefault="000B352D" w:rsidP="000B352D">
            <w:pPr>
              <w:tabs>
                <w:tab w:val="left" w:pos="838"/>
              </w:tabs>
              <w:spacing w:after="120"/>
            </w:pPr>
            <w:r w:rsidRPr="00781D11">
              <w:t>решение Специального докладчика с</w:t>
            </w:r>
            <w:r w:rsidRPr="00781D11">
              <w:t>о</w:t>
            </w:r>
            <w:r w:rsidRPr="00781D11">
              <w:t>гласно правилу 70, препровожденное г</w:t>
            </w:r>
            <w:r w:rsidRPr="00781D11">
              <w:t>о</w:t>
            </w:r>
            <w:r w:rsidRPr="00781D11">
              <w:t>сударству-участнику 5 сентября 2013 года (не выпускалось в форме документа)</w:t>
            </w:r>
          </w:p>
        </w:tc>
      </w:tr>
      <w:tr w:rsidR="000B352D" w:rsidRPr="00B8676E" w:rsidTr="000B352D">
        <w:tc>
          <w:tcPr>
            <w:tcW w:w="2933" w:type="dxa"/>
            <w:shd w:val="clear" w:color="auto" w:fill="auto"/>
          </w:tcPr>
          <w:p w:rsidR="000B352D" w:rsidRPr="005A4D3B" w:rsidRDefault="000B352D" w:rsidP="000B352D">
            <w:pPr>
              <w:spacing w:after="120"/>
              <w:rPr>
                <w:i/>
              </w:rPr>
            </w:pPr>
            <w:r>
              <w:rPr>
                <w:i/>
              </w:rPr>
              <w:t>Дата принятия решения</w:t>
            </w:r>
            <w:r w:rsidRPr="005A4D3B">
              <w:rPr>
                <w:i/>
              </w:rPr>
              <w:t>:</w:t>
            </w:r>
          </w:p>
        </w:tc>
        <w:tc>
          <w:tcPr>
            <w:tcW w:w="3871" w:type="dxa"/>
            <w:shd w:val="clear" w:color="auto" w:fill="auto"/>
          </w:tcPr>
          <w:p w:rsidR="000B352D" w:rsidRPr="00781D11" w:rsidRDefault="000B352D" w:rsidP="000B352D">
            <w:pPr>
              <w:tabs>
                <w:tab w:val="left" w:pos="838"/>
              </w:tabs>
              <w:spacing w:after="120"/>
            </w:pPr>
            <w:r w:rsidRPr="00781D11">
              <w:t>2 октября 2014 года</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Тема сообщения:</w:t>
            </w:r>
          </w:p>
        </w:tc>
        <w:tc>
          <w:tcPr>
            <w:tcW w:w="3871" w:type="dxa"/>
            <w:shd w:val="clear" w:color="auto" w:fill="auto"/>
          </w:tcPr>
          <w:p w:rsidR="000B352D" w:rsidRPr="00781D11" w:rsidRDefault="000B352D" w:rsidP="000B352D">
            <w:pPr>
              <w:tabs>
                <w:tab w:val="left" w:pos="838"/>
              </w:tabs>
              <w:spacing w:after="120"/>
            </w:pPr>
            <w:r w:rsidRPr="00781D11">
              <w:t>политика работодателя, допускающая п</w:t>
            </w:r>
            <w:r w:rsidRPr="00781D11">
              <w:t>о</w:t>
            </w:r>
            <w:r w:rsidRPr="00781D11">
              <w:t>нижение в должности после длительного отпуска по медицинским показаниям</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 xml:space="preserve">Вопросы существа: </w:t>
            </w:r>
          </w:p>
        </w:tc>
        <w:tc>
          <w:tcPr>
            <w:tcW w:w="3871" w:type="dxa"/>
            <w:shd w:val="clear" w:color="auto" w:fill="auto"/>
          </w:tcPr>
          <w:p w:rsidR="000B352D" w:rsidRPr="00781D11" w:rsidRDefault="000B352D" w:rsidP="000B352D">
            <w:pPr>
              <w:tabs>
                <w:tab w:val="left" w:pos="838"/>
              </w:tabs>
              <w:spacing w:after="120"/>
            </w:pPr>
            <w:r w:rsidRPr="00781D11">
              <w:t>определение инвалидности</w:t>
            </w:r>
          </w:p>
        </w:tc>
      </w:tr>
      <w:tr w:rsidR="000B352D" w:rsidRPr="00B8676E" w:rsidTr="000B352D">
        <w:tc>
          <w:tcPr>
            <w:tcW w:w="2933" w:type="dxa"/>
            <w:shd w:val="clear" w:color="auto" w:fill="auto"/>
          </w:tcPr>
          <w:p w:rsidR="000B352D" w:rsidRPr="005A4D3B" w:rsidRDefault="000B352D" w:rsidP="000B352D">
            <w:pPr>
              <w:spacing w:after="120"/>
              <w:rPr>
                <w:i/>
              </w:rPr>
            </w:pPr>
            <w:r w:rsidRPr="005A4D3B">
              <w:rPr>
                <w:i/>
              </w:rPr>
              <w:t>Процедурные вопросы:</w:t>
            </w:r>
          </w:p>
        </w:tc>
        <w:tc>
          <w:tcPr>
            <w:tcW w:w="3871" w:type="dxa"/>
            <w:shd w:val="clear" w:color="auto" w:fill="auto"/>
          </w:tcPr>
          <w:p w:rsidR="000B352D" w:rsidRPr="00781D11" w:rsidRDefault="000B352D" w:rsidP="000B352D">
            <w:pPr>
              <w:tabs>
                <w:tab w:val="left" w:pos="838"/>
              </w:tabs>
              <w:spacing w:after="120"/>
            </w:pPr>
            <w:r w:rsidRPr="00781D11">
              <w:t>обоснование жалоб; исчерпание внутре</w:t>
            </w:r>
            <w:r w:rsidRPr="00781D11">
              <w:t>н</w:t>
            </w:r>
            <w:r w:rsidRPr="00781D11">
              <w:t>них средств правовой защиты</w:t>
            </w:r>
          </w:p>
        </w:tc>
      </w:tr>
      <w:tr w:rsidR="000B352D" w:rsidRPr="00781D11" w:rsidTr="000B352D">
        <w:tc>
          <w:tcPr>
            <w:tcW w:w="2933" w:type="dxa"/>
            <w:shd w:val="clear" w:color="auto" w:fill="auto"/>
          </w:tcPr>
          <w:p w:rsidR="000B352D" w:rsidRPr="005A4D3B" w:rsidRDefault="000B352D" w:rsidP="000B352D">
            <w:pPr>
              <w:spacing w:after="120"/>
              <w:rPr>
                <w:i/>
              </w:rPr>
            </w:pPr>
            <w:r>
              <w:rPr>
                <w:i/>
              </w:rPr>
              <w:t>Стать</w:t>
            </w:r>
            <w:r w:rsidR="00C74313">
              <w:rPr>
                <w:i/>
              </w:rPr>
              <w:t>и</w:t>
            </w:r>
            <w:r>
              <w:rPr>
                <w:i/>
              </w:rPr>
              <w:t xml:space="preserve"> Конвенции</w:t>
            </w:r>
            <w:r w:rsidRPr="005A4D3B">
              <w:rPr>
                <w:i/>
              </w:rPr>
              <w:t>:</w:t>
            </w:r>
          </w:p>
        </w:tc>
        <w:tc>
          <w:tcPr>
            <w:tcW w:w="3871" w:type="dxa"/>
            <w:shd w:val="clear" w:color="auto" w:fill="auto"/>
          </w:tcPr>
          <w:p w:rsidR="000B352D" w:rsidRPr="00781D11" w:rsidRDefault="000B352D" w:rsidP="000B352D">
            <w:pPr>
              <w:tabs>
                <w:tab w:val="left" w:pos="838"/>
              </w:tabs>
              <w:spacing w:after="120"/>
            </w:pPr>
            <w:r w:rsidRPr="00781D11">
              <w:t xml:space="preserve">3 (пункты b) и e)); 4 (пункт </w:t>
            </w:r>
            <w:r w:rsidRPr="00781D11">
              <w:rPr>
                <w:lang w:val="es-ES"/>
              </w:rPr>
              <w:t xml:space="preserve">1 a), b), d) </w:t>
            </w:r>
            <w:r w:rsidRPr="00781D11">
              <w:t>и</w:t>
            </w:r>
            <w:r w:rsidRPr="00781D11">
              <w:rPr>
                <w:lang w:val="es-ES"/>
              </w:rPr>
              <w:t xml:space="preserve"> e)); 5 (</w:t>
            </w:r>
            <w:r w:rsidRPr="00781D11">
              <w:t>пункты</w:t>
            </w:r>
            <w:r w:rsidRPr="00781D11">
              <w:rPr>
                <w:lang w:val="es-ES"/>
              </w:rPr>
              <w:t xml:space="preserve"> </w:t>
            </w:r>
            <w:r w:rsidRPr="00781D11">
              <w:t>1 и</w:t>
            </w:r>
            <w:r>
              <w:t xml:space="preserve"> </w:t>
            </w:r>
            <w:r w:rsidRPr="00781D11">
              <w:t>2); и 27 (пункт 1 a) и b))</w:t>
            </w:r>
          </w:p>
        </w:tc>
      </w:tr>
      <w:tr w:rsidR="000B352D" w:rsidRPr="006114D7" w:rsidTr="000B352D">
        <w:tc>
          <w:tcPr>
            <w:tcW w:w="2933" w:type="dxa"/>
            <w:shd w:val="clear" w:color="auto" w:fill="auto"/>
          </w:tcPr>
          <w:p w:rsidR="000B352D" w:rsidRDefault="000B352D" w:rsidP="000B352D">
            <w:pPr>
              <w:spacing w:after="120"/>
              <w:rPr>
                <w:i/>
              </w:rPr>
            </w:pPr>
            <w:r>
              <w:rPr>
                <w:i/>
              </w:rPr>
              <w:t>Статьи Факультативного протокола:</w:t>
            </w:r>
          </w:p>
        </w:tc>
        <w:tc>
          <w:tcPr>
            <w:tcW w:w="3871" w:type="dxa"/>
            <w:shd w:val="clear" w:color="auto" w:fill="auto"/>
          </w:tcPr>
          <w:p w:rsidR="000B352D" w:rsidRPr="00781D11" w:rsidRDefault="000B352D" w:rsidP="000B352D">
            <w:pPr>
              <w:tabs>
                <w:tab w:val="left" w:pos="838"/>
              </w:tabs>
              <w:spacing w:after="120"/>
            </w:pPr>
            <w:r w:rsidRPr="00781D11">
              <w:t>1; 2 (пункты d) и e))</w:t>
            </w:r>
          </w:p>
        </w:tc>
      </w:tr>
    </w:tbl>
    <w:p w:rsidR="000B352D" w:rsidRPr="00B320F9" w:rsidRDefault="000B352D" w:rsidP="000B352D">
      <w:pPr>
        <w:pStyle w:val="HChGR"/>
      </w:pPr>
      <w:r w:rsidRPr="006114D7">
        <w:rPr>
          <w:lang w:val="en-US"/>
        </w:rPr>
        <w:br w:type="page"/>
      </w:r>
      <w:r>
        <w:t>Приложение</w:t>
      </w:r>
    </w:p>
    <w:p w:rsidR="000B352D" w:rsidRPr="00F70901" w:rsidRDefault="000B352D" w:rsidP="000B352D">
      <w:pPr>
        <w:pStyle w:val="HChGR"/>
      </w:pPr>
      <w:r>
        <w:tab/>
      </w:r>
      <w:r>
        <w:tab/>
        <w:t>Решение Комитета по правам инвалидов</w:t>
      </w:r>
      <w:r w:rsidRPr="00F70901">
        <w:br/>
      </w:r>
      <w:r>
        <w:t xml:space="preserve">в соответствии со статьей 5 Факультативного протокола к Конвенции о правах инвалидов </w:t>
      </w:r>
      <w:r w:rsidRPr="00F70901">
        <w:br/>
      </w:r>
      <w:r>
        <w:t>(двенадцатая сессия)</w:t>
      </w:r>
    </w:p>
    <w:p w:rsidR="000B352D" w:rsidRPr="00F70901" w:rsidRDefault="000B352D" w:rsidP="000B352D">
      <w:pPr>
        <w:pStyle w:val="SingleTxtGR"/>
        <w:rPr>
          <w:spacing w:val="0"/>
        </w:rPr>
      </w:pPr>
      <w:r w:rsidRPr="00F70901">
        <w:rPr>
          <w:spacing w:val="0"/>
        </w:rPr>
        <w:t>относительно</w:t>
      </w:r>
    </w:p>
    <w:p w:rsidR="000B352D" w:rsidRPr="00F70901" w:rsidRDefault="000B352D" w:rsidP="000B352D">
      <w:pPr>
        <w:pStyle w:val="H1GR"/>
      </w:pPr>
      <w:r w:rsidRPr="00177281">
        <w:rPr>
          <w:rFonts w:eastAsia="Calibri"/>
        </w:rPr>
        <w:tab/>
      </w:r>
      <w:r w:rsidRPr="00177281">
        <w:rPr>
          <w:rFonts w:eastAsia="Calibri"/>
        </w:rPr>
        <w:tab/>
      </w:r>
      <w:r w:rsidRPr="00F70901">
        <w:t>Сообщения № 10/2013</w:t>
      </w:r>
      <w:r w:rsidRPr="00AA26C6">
        <w:rPr>
          <w:rStyle w:val="FootnoteReference"/>
          <w:b w:val="0"/>
          <w:spacing w:val="5"/>
          <w:w w:val="104"/>
          <w:sz w:val="20"/>
          <w:vertAlign w:val="baseline"/>
        </w:rPr>
        <w:footnoteReference w:customMarkFollows="1" w:id="1"/>
        <w:t>*</w:t>
      </w:r>
    </w:p>
    <w:tbl>
      <w:tblPr>
        <w:tblW w:w="6804" w:type="dxa"/>
        <w:tblInd w:w="1701" w:type="dxa"/>
        <w:tblLayout w:type="fixed"/>
        <w:tblCellMar>
          <w:left w:w="0" w:type="dxa"/>
          <w:right w:w="0" w:type="dxa"/>
        </w:tblCellMar>
        <w:tblLook w:val="01E0"/>
      </w:tblPr>
      <w:tblGrid>
        <w:gridCol w:w="3255"/>
        <w:gridCol w:w="3549"/>
      </w:tblGrid>
      <w:tr w:rsidR="000B352D" w:rsidRPr="00FB04F3" w:rsidTr="00FC3622">
        <w:tc>
          <w:tcPr>
            <w:tcW w:w="3255" w:type="dxa"/>
            <w:shd w:val="clear" w:color="auto" w:fill="auto"/>
          </w:tcPr>
          <w:p w:rsidR="000B352D" w:rsidRPr="0095531B" w:rsidRDefault="000B352D" w:rsidP="000B352D">
            <w:pPr>
              <w:spacing w:after="120"/>
              <w:rPr>
                <w:i/>
              </w:rPr>
            </w:pPr>
            <w:r w:rsidRPr="0095531B">
              <w:rPr>
                <w:i/>
              </w:rPr>
              <w:t>Представлено:</w:t>
            </w:r>
          </w:p>
        </w:tc>
        <w:tc>
          <w:tcPr>
            <w:tcW w:w="3549" w:type="dxa"/>
            <w:shd w:val="clear" w:color="auto" w:fill="auto"/>
          </w:tcPr>
          <w:p w:rsidR="000B352D" w:rsidRPr="0095531B" w:rsidRDefault="000B352D" w:rsidP="000B352D">
            <w:pPr>
              <w:spacing w:after="120"/>
            </w:pPr>
            <w:r>
              <w:t>С.К. (не представлена адвокатом)</w:t>
            </w:r>
          </w:p>
        </w:tc>
      </w:tr>
      <w:tr w:rsidR="000B352D" w:rsidRPr="00FB04F3" w:rsidTr="00FC3622">
        <w:tc>
          <w:tcPr>
            <w:tcW w:w="3255" w:type="dxa"/>
            <w:shd w:val="clear" w:color="auto" w:fill="auto"/>
          </w:tcPr>
          <w:p w:rsidR="000B352D" w:rsidRPr="0095531B" w:rsidRDefault="000B352D" w:rsidP="000B352D">
            <w:pPr>
              <w:spacing w:after="120"/>
              <w:rPr>
                <w:i/>
              </w:rPr>
            </w:pPr>
            <w:r w:rsidRPr="0095531B">
              <w:rPr>
                <w:i/>
              </w:rPr>
              <w:t>Предполагаем</w:t>
            </w:r>
            <w:r>
              <w:rPr>
                <w:i/>
              </w:rPr>
              <w:t>ая</w:t>
            </w:r>
            <w:r w:rsidRPr="0095531B">
              <w:rPr>
                <w:i/>
              </w:rPr>
              <w:t xml:space="preserve"> жертв</w:t>
            </w:r>
            <w:r>
              <w:rPr>
                <w:i/>
              </w:rPr>
              <w:t>а</w:t>
            </w:r>
            <w:r w:rsidRPr="0095531B">
              <w:rPr>
                <w:i/>
              </w:rPr>
              <w:t>:</w:t>
            </w:r>
          </w:p>
        </w:tc>
        <w:tc>
          <w:tcPr>
            <w:tcW w:w="3549" w:type="dxa"/>
            <w:shd w:val="clear" w:color="auto" w:fill="auto"/>
          </w:tcPr>
          <w:p w:rsidR="000B352D" w:rsidRPr="0095531B" w:rsidRDefault="000B352D" w:rsidP="000B352D">
            <w:pPr>
              <w:spacing w:after="120"/>
            </w:pPr>
            <w:r>
              <w:t>а</w:t>
            </w:r>
            <w:r w:rsidRPr="0095531B">
              <w:t>втор</w:t>
            </w:r>
          </w:p>
        </w:tc>
      </w:tr>
      <w:tr w:rsidR="000B352D" w:rsidRPr="00FB04F3" w:rsidTr="00FC3622">
        <w:tc>
          <w:tcPr>
            <w:tcW w:w="3255" w:type="dxa"/>
            <w:shd w:val="clear" w:color="auto" w:fill="auto"/>
          </w:tcPr>
          <w:p w:rsidR="000B352D" w:rsidRPr="0095531B" w:rsidRDefault="000B352D" w:rsidP="000B352D">
            <w:pPr>
              <w:spacing w:after="120"/>
              <w:rPr>
                <w:i/>
              </w:rPr>
            </w:pPr>
            <w:r w:rsidRPr="0095531B">
              <w:rPr>
                <w:i/>
              </w:rPr>
              <w:t>Государство-участник:</w:t>
            </w:r>
          </w:p>
        </w:tc>
        <w:tc>
          <w:tcPr>
            <w:tcW w:w="3549" w:type="dxa"/>
            <w:shd w:val="clear" w:color="auto" w:fill="auto"/>
          </w:tcPr>
          <w:p w:rsidR="000B352D" w:rsidRPr="0095531B" w:rsidRDefault="000B352D" w:rsidP="000B352D">
            <w:pPr>
              <w:spacing w:after="120"/>
            </w:pPr>
            <w:r>
              <w:t>Бразилия</w:t>
            </w:r>
          </w:p>
        </w:tc>
      </w:tr>
      <w:tr w:rsidR="000B352D" w:rsidRPr="00FB04F3" w:rsidTr="00FC3622">
        <w:tc>
          <w:tcPr>
            <w:tcW w:w="3255" w:type="dxa"/>
            <w:shd w:val="clear" w:color="auto" w:fill="auto"/>
          </w:tcPr>
          <w:p w:rsidR="000B352D" w:rsidRPr="0095531B" w:rsidRDefault="000B352D" w:rsidP="000B352D">
            <w:pPr>
              <w:spacing w:after="120"/>
              <w:rPr>
                <w:i/>
              </w:rPr>
            </w:pPr>
            <w:r w:rsidRPr="0095531B">
              <w:rPr>
                <w:i/>
              </w:rPr>
              <w:t>Дата представления сообщения:</w:t>
            </w:r>
          </w:p>
        </w:tc>
        <w:tc>
          <w:tcPr>
            <w:tcW w:w="3549" w:type="dxa"/>
            <w:shd w:val="clear" w:color="auto" w:fill="auto"/>
          </w:tcPr>
          <w:p w:rsidR="000B352D" w:rsidRPr="0095531B" w:rsidRDefault="000B352D" w:rsidP="000B352D">
            <w:pPr>
              <w:spacing w:after="120"/>
            </w:pPr>
            <w:r>
              <w:t xml:space="preserve">2 ноября 2012 </w:t>
            </w:r>
            <w:r w:rsidRPr="0095531B">
              <w:t>года (первоначальное представление)</w:t>
            </w:r>
          </w:p>
        </w:tc>
      </w:tr>
    </w:tbl>
    <w:p w:rsidR="000B352D" w:rsidRPr="00A75A18" w:rsidRDefault="000B352D" w:rsidP="000B352D">
      <w:pPr>
        <w:pStyle w:val="SingleTxtGR"/>
        <w:spacing w:before="120"/>
      </w:pPr>
      <w:r>
        <w:rPr>
          <w:rFonts w:eastAsia="Calibri"/>
        </w:rPr>
        <w:tab/>
      </w:r>
      <w:r w:rsidRPr="00F70901">
        <w:rPr>
          <w:i/>
        </w:rPr>
        <w:t>Комитет по правам инвалидов</w:t>
      </w:r>
      <w:r w:rsidRPr="00F70901">
        <w:t>, учрежденный в с</w:t>
      </w:r>
      <w:r>
        <w:t>оответствии со стат</w:t>
      </w:r>
      <w:r>
        <w:t>ь</w:t>
      </w:r>
      <w:r>
        <w:t>ей </w:t>
      </w:r>
      <w:r w:rsidRPr="00F70901">
        <w:t>3</w:t>
      </w:r>
      <w:r>
        <w:t>4 Конвенции о правах инвалидов,</w:t>
      </w:r>
    </w:p>
    <w:p w:rsidR="000B352D" w:rsidRPr="00F70901" w:rsidRDefault="000B352D" w:rsidP="000B352D">
      <w:pPr>
        <w:pStyle w:val="SingleTxtGR"/>
      </w:pPr>
      <w:r w:rsidRPr="00F70901">
        <w:tab/>
      </w:r>
      <w:r w:rsidRPr="00F70901">
        <w:rPr>
          <w:i/>
        </w:rPr>
        <w:t>на своем совещании</w:t>
      </w:r>
      <w:r w:rsidRPr="00F70901">
        <w:t xml:space="preserve"> 2 октября 2014 года,</w:t>
      </w:r>
    </w:p>
    <w:p w:rsidR="000B352D" w:rsidRPr="00F70901" w:rsidRDefault="000B352D" w:rsidP="000B352D">
      <w:pPr>
        <w:pStyle w:val="SingleTxtGR"/>
      </w:pPr>
      <w:r w:rsidRPr="00F70901">
        <w:tab/>
      </w:r>
      <w:r w:rsidRPr="00F70901">
        <w:rPr>
          <w:i/>
        </w:rPr>
        <w:t xml:space="preserve">завершив рассмотрение </w:t>
      </w:r>
      <w:r w:rsidRPr="00F70901">
        <w:t>сообщения № 10/2013, представленного Комит</w:t>
      </w:r>
      <w:r w:rsidRPr="00F70901">
        <w:t>е</w:t>
      </w:r>
      <w:r w:rsidRPr="00F70901">
        <w:t xml:space="preserve">ту по правам инвалидов С.К. в соответствии с Факультативным протоколом к Конвенции о правах инвалидов, </w:t>
      </w:r>
    </w:p>
    <w:p w:rsidR="000B352D" w:rsidRPr="00F70901" w:rsidRDefault="000B352D" w:rsidP="000B352D">
      <w:pPr>
        <w:pStyle w:val="SingleTxtGR"/>
      </w:pPr>
      <w:r w:rsidRPr="00F70901">
        <w:tab/>
      </w:r>
      <w:r w:rsidRPr="00F70901">
        <w:rPr>
          <w:i/>
        </w:rPr>
        <w:t xml:space="preserve">приняв к сведению </w:t>
      </w:r>
      <w:r w:rsidRPr="00F70901">
        <w:t xml:space="preserve">всю письменную информацию, представленную ему автором сообщения и государством-участником, </w:t>
      </w:r>
    </w:p>
    <w:p w:rsidR="000B352D" w:rsidRPr="00F70901" w:rsidRDefault="000B352D" w:rsidP="000B352D">
      <w:pPr>
        <w:pStyle w:val="SingleTxtGR"/>
      </w:pPr>
      <w:r>
        <w:tab/>
      </w:r>
      <w:r w:rsidRPr="00F70901">
        <w:rPr>
          <w:i/>
        </w:rPr>
        <w:t>принимает</w:t>
      </w:r>
      <w:r w:rsidRPr="00F70901">
        <w:t xml:space="preserve"> </w:t>
      </w:r>
      <w:r w:rsidRPr="00492F88">
        <w:rPr>
          <w:i/>
        </w:rPr>
        <w:t>следующее</w:t>
      </w:r>
      <w:r w:rsidRPr="00F70901">
        <w:t>:</w:t>
      </w:r>
    </w:p>
    <w:p w:rsidR="000B352D" w:rsidRPr="00B320F9" w:rsidRDefault="000B352D" w:rsidP="000B352D">
      <w:pPr>
        <w:pStyle w:val="H1GR"/>
        <w:rPr>
          <w:rFonts w:eastAsia="Calibri"/>
        </w:rPr>
      </w:pPr>
      <w:r>
        <w:rPr>
          <w:rFonts w:eastAsia="Calibri"/>
        </w:rPr>
        <w:tab/>
      </w:r>
      <w:r>
        <w:rPr>
          <w:rFonts w:eastAsia="Calibri"/>
        </w:rPr>
        <w:tab/>
      </w:r>
      <w:r w:rsidRPr="00F70901">
        <w:t>Решение по статье 2 Факультативного протокола</w:t>
      </w:r>
    </w:p>
    <w:p w:rsidR="000B352D" w:rsidRPr="00AD12C7" w:rsidRDefault="000B352D" w:rsidP="000B352D">
      <w:pPr>
        <w:pStyle w:val="SingleTxtGR"/>
      </w:pPr>
      <w:r>
        <w:t>1.1</w:t>
      </w:r>
      <w:r>
        <w:tab/>
        <w:t xml:space="preserve">Сообщение представлено С.К., гражданкой Бразилии. Она утверждает, что стала жертвой нарушения Бразилией пунктов </w:t>
      </w:r>
      <w:r w:rsidRPr="00F70901">
        <w:t>b</w:t>
      </w:r>
      <w:r w:rsidRPr="00B320F9">
        <w:t>)</w:t>
      </w:r>
      <w:r>
        <w:t xml:space="preserve"> и е) статьи 3; подпун</w:t>
      </w:r>
      <w:r>
        <w:t>к</w:t>
      </w:r>
      <w:r>
        <w:t xml:space="preserve">тов а), </w:t>
      </w:r>
      <w:r w:rsidRPr="00F70901">
        <w:t>b</w:t>
      </w:r>
      <w:r w:rsidRPr="00B320F9">
        <w:t xml:space="preserve">), </w:t>
      </w:r>
      <w:r w:rsidRPr="00F70901">
        <w:t>d</w:t>
      </w:r>
      <w:r w:rsidRPr="00B320F9">
        <w:t xml:space="preserve">) </w:t>
      </w:r>
      <w:r>
        <w:t>и е) пункта 1 статьи 4; пунктов 1 и 2 статьи 5; и подпунктов 1 а) и 1 </w:t>
      </w:r>
      <w:r w:rsidRPr="00F70901">
        <w:t>b</w:t>
      </w:r>
      <w:r>
        <w:t>) статьи 27 Конвенции о правах инвалидов (Конвенция). Автор не предста</w:t>
      </w:r>
      <w:r>
        <w:t>в</w:t>
      </w:r>
      <w:r>
        <w:t>лена адвокатом. Конвенция и Факультативный протокол к ней вступили в силу для государства-участника 1 сентября 2008 года.</w:t>
      </w:r>
    </w:p>
    <w:p w:rsidR="000B352D" w:rsidRPr="00AD12C7" w:rsidRDefault="000B352D" w:rsidP="000B352D">
      <w:pPr>
        <w:pStyle w:val="SingleTxtGR"/>
      </w:pPr>
      <w:r>
        <w:t>1.2</w:t>
      </w:r>
      <w:r>
        <w:tab/>
        <w:t>21 августа 2013 года Специальный докладчик по сообщениям в соотве</w:t>
      </w:r>
      <w:r>
        <w:t>т</w:t>
      </w:r>
      <w:r>
        <w:t>ствии с Факультативным протоколом, действуя от имени Комитета, принял р</w:t>
      </w:r>
      <w:r>
        <w:t>е</w:t>
      </w:r>
      <w:r>
        <w:t>шение согласно пункту 8 правила 70 правил процедуры Комитета рассмотреть вопрос о приемлемости сообщения отдельно от его существа.</w:t>
      </w:r>
    </w:p>
    <w:p w:rsidR="000B352D" w:rsidRPr="007928B2" w:rsidRDefault="000B352D" w:rsidP="000B352D">
      <w:pPr>
        <w:pStyle w:val="H23GR"/>
      </w:pPr>
      <w:r w:rsidRPr="00AD12C7">
        <w:tab/>
      </w:r>
      <w:r w:rsidRPr="00AD12C7">
        <w:tab/>
      </w:r>
      <w:r>
        <w:t>Факты в изложении автора</w:t>
      </w:r>
    </w:p>
    <w:p w:rsidR="000B352D" w:rsidRPr="00A75A18" w:rsidRDefault="000B352D" w:rsidP="000B352D">
      <w:pPr>
        <w:pStyle w:val="SingleTxtGR"/>
      </w:pPr>
      <w:r>
        <w:t>2.1</w:t>
      </w:r>
      <w:r>
        <w:tab/>
        <w:t>Автор начала работать в "Банку ду Естаду де Санта-</w:t>
      </w:r>
      <w:r w:rsidRPr="007928B2">
        <w:t>Катарина" (БЕСК)</w:t>
      </w:r>
      <w:r>
        <w:t xml:space="preserve"> в июле 2004 года. Она была переведена из отделения в Кампинасе в отделение во Флорианополисе для работы в качестве банковского кассира. Автор утверждает, что ее работодатель назначил ее на должность кассира в качестве своего рода компенсации за перевод на другое место работы.</w:t>
      </w:r>
    </w:p>
    <w:p w:rsidR="000B352D" w:rsidRPr="00B14326" w:rsidRDefault="000B352D" w:rsidP="000B352D">
      <w:pPr>
        <w:pStyle w:val="SingleTxtGR"/>
      </w:pPr>
      <w:r>
        <w:t>2.2</w:t>
      </w:r>
      <w:r>
        <w:tab/>
        <w:t>В июне 2006 года автор попала в аварию при езде на мотоцикле. Как</w:t>
      </w:r>
      <w:r w:rsidRPr="006D3870">
        <w:t xml:space="preserve"> </w:t>
      </w:r>
      <w:r>
        <w:t>св</w:t>
      </w:r>
      <w:r>
        <w:t>и</w:t>
      </w:r>
      <w:r>
        <w:t>детельствует</w:t>
      </w:r>
      <w:r w:rsidRPr="006D3870">
        <w:t xml:space="preserve"> </w:t>
      </w:r>
      <w:r>
        <w:t>медицинская</w:t>
      </w:r>
      <w:r w:rsidRPr="006D3870">
        <w:t xml:space="preserve"> </w:t>
      </w:r>
      <w:r>
        <w:t>справка</w:t>
      </w:r>
      <w:r w:rsidRPr="006D3870">
        <w:t xml:space="preserve"> </w:t>
      </w:r>
      <w:r>
        <w:t>от</w:t>
      </w:r>
      <w:r w:rsidRPr="006D3870">
        <w:t xml:space="preserve"> 14 </w:t>
      </w:r>
      <w:r>
        <w:t>декабря</w:t>
      </w:r>
      <w:r w:rsidRPr="006D3870">
        <w:t xml:space="preserve"> 2006 </w:t>
      </w:r>
      <w:r>
        <w:t>года</w:t>
      </w:r>
      <w:r w:rsidRPr="006D3870">
        <w:t>,</w:t>
      </w:r>
      <w:r>
        <w:t xml:space="preserve"> результатом</w:t>
      </w:r>
      <w:r w:rsidRPr="006D3870">
        <w:t xml:space="preserve"> </w:t>
      </w:r>
      <w:r>
        <w:t>аварии</w:t>
      </w:r>
      <w:r w:rsidRPr="006D3870">
        <w:t xml:space="preserve"> </w:t>
      </w:r>
      <w:r>
        <w:t>стала</w:t>
      </w:r>
      <w:r w:rsidRPr="006D3870">
        <w:t xml:space="preserve"> </w:t>
      </w:r>
      <w:r>
        <w:t>травма</w:t>
      </w:r>
      <w:r w:rsidRPr="006D3870">
        <w:t xml:space="preserve"> </w:t>
      </w:r>
      <w:r>
        <w:t>левого</w:t>
      </w:r>
      <w:r w:rsidRPr="006D3870">
        <w:t xml:space="preserve"> </w:t>
      </w:r>
      <w:r>
        <w:t>колена</w:t>
      </w:r>
      <w:r w:rsidRPr="006D3870">
        <w:t xml:space="preserve"> </w:t>
      </w:r>
      <w:r>
        <w:t>автора</w:t>
      </w:r>
      <w:r w:rsidRPr="000B352D">
        <w:rPr>
          <w:rStyle w:val="FootnoteReference"/>
        </w:rPr>
        <w:footnoteReference w:id="2"/>
      </w:r>
      <w:r>
        <w:t>. Она смогла возобновить работу только ч</w:t>
      </w:r>
      <w:r>
        <w:t>е</w:t>
      </w:r>
      <w:r>
        <w:t>рез два месяца после окончания ее отпуска по медицинским показаниям. В се</w:t>
      </w:r>
      <w:r>
        <w:t>н</w:t>
      </w:r>
      <w:r>
        <w:t>тябре 2007 года автор вновь попала в аварию во время езды на мотоцикле, и в июне 2008 года ей была сделана операция. Ее врач выдал медицинский серт</w:t>
      </w:r>
      <w:r>
        <w:t>и</w:t>
      </w:r>
      <w:r>
        <w:t>фикат, согласно которому ей назначался отдых в течение 60 дней в связи с ее травмой. В январе 2009 года она в третий раз попала в аварию при езде на м</w:t>
      </w:r>
      <w:r>
        <w:t>о</w:t>
      </w:r>
      <w:r>
        <w:t xml:space="preserve">тоцикле. В апреле 2009 года, прежде чем автор взяла медицинский отпуск, БЕСК был выкуплен </w:t>
      </w:r>
      <w:r w:rsidRPr="00B14326">
        <w:t>"Банку ду Бразил" (БДБ)</w:t>
      </w:r>
      <w:r>
        <w:t>, который впоследствии сообщил автору, что в рамках внутренней политики Банка, она должна возобновить р</w:t>
      </w:r>
      <w:r>
        <w:t>а</w:t>
      </w:r>
      <w:r>
        <w:t>боту в течение трех месяцев для сохранения своей должности кассира. Согла</w:t>
      </w:r>
      <w:r>
        <w:t>с</w:t>
      </w:r>
      <w:r>
        <w:t>но этой политике после нахождения сотрудника в отпуске по медицинским п</w:t>
      </w:r>
      <w:r>
        <w:t>о</w:t>
      </w:r>
      <w:r>
        <w:t>казаниям свыше трех месяцев Банк вправе требовать возвращения на работу сотрудника через три или шесть месяцев. Хотя автор намеривалась возобновить работу в течение трех месяцев, она не смогла этого сделать по медицинским причинам, засвидетельствованным врачом "Банку ду Бразил" и личным вр</w:t>
      </w:r>
      <w:r>
        <w:t>а</w:t>
      </w:r>
      <w:r>
        <w:t>чом</w:t>
      </w:r>
      <w:r w:rsidRPr="000B352D">
        <w:rPr>
          <w:rStyle w:val="FootnoteReference"/>
        </w:rPr>
        <w:footnoteReference w:id="3"/>
      </w:r>
      <w:r>
        <w:t>. Она попыталась выйти на работу до истечения шестимесячного периода; однако ее сняли с должности кассира. Она продолжала работать в "Банку ду</w:t>
      </w:r>
      <w:r w:rsidR="00E02AD5">
        <w:t> </w:t>
      </w:r>
      <w:r>
        <w:t>Бразил", но без каких-либо четко определенных функциональных обязанн</w:t>
      </w:r>
      <w:r>
        <w:t>о</w:t>
      </w:r>
      <w:r>
        <w:t>стей.</w:t>
      </w:r>
    </w:p>
    <w:p w:rsidR="000B352D" w:rsidRPr="004B1997" w:rsidRDefault="000B352D" w:rsidP="000B352D">
      <w:pPr>
        <w:pStyle w:val="SingleTxtGR"/>
      </w:pPr>
      <w:r>
        <w:t>2.3</w:t>
      </w:r>
      <w:r>
        <w:tab/>
        <w:t>В письме от 23 ноября 2009 года автор просила перевести ее в отделение Банка в Кампинасе, которое находилось ближе к ее дому. Она обратилась с этой просьбой, поскольку ее перевод в 2004 году был обусловлен тем, что она займет должность кассира, а после снятия ее с должности она предпочла вернуться домой</w:t>
      </w:r>
      <w:r w:rsidR="00AA26C6">
        <w:t>,</w:t>
      </w:r>
      <w:r>
        <w:t xml:space="preserve"> с тем чтобы ей было легче ездить на работу. Отказавшись ездить на р</w:t>
      </w:r>
      <w:r>
        <w:t>а</w:t>
      </w:r>
      <w:r>
        <w:t>боту на мотоцикле, она вынуждена была совершать поездки на работу на авт</w:t>
      </w:r>
      <w:r>
        <w:t>о</w:t>
      </w:r>
      <w:r>
        <w:t>бусе, что отнимало у нее много времени. В своем письме она пояснила, что просила ее перевести на другое место работы из-за проблем со здоровьем, н</w:t>
      </w:r>
      <w:r>
        <w:t>е</w:t>
      </w:r>
      <w:r>
        <w:t>обходимостью прохождения текущего лечения и в связи с трудностями поездок на работу. "Банку ду Бразил" отклонил ее просьбу о переводе, сославшись на избыток персонала в отделении в Кампинасе. В ответном письме Банка указ</w:t>
      </w:r>
      <w:r>
        <w:t>ы</w:t>
      </w:r>
      <w:r>
        <w:t>валось, что в соответствии с рекомендациями главного врача Флорианополиса автор могла возобновить работу, не требующую от нее поднятия тяжестей св</w:t>
      </w:r>
      <w:r>
        <w:t>ы</w:t>
      </w:r>
      <w:r>
        <w:t>ше пяти килограмм, подъема и спуска по лестницам или длительного нахожд</w:t>
      </w:r>
      <w:r>
        <w:t>е</w:t>
      </w:r>
      <w:r>
        <w:t>ния в положении стоя или сидя. В 2010 году у автора случилось несколько пр</w:t>
      </w:r>
      <w:r>
        <w:t>и</w:t>
      </w:r>
      <w:r>
        <w:t>ступов мышечных спазм, и она вынуждена была принимать мышечный рела</w:t>
      </w:r>
      <w:r>
        <w:t>к</w:t>
      </w:r>
      <w:r>
        <w:t>сант</w:t>
      </w:r>
      <w:r w:rsidRPr="000B352D">
        <w:rPr>
          <w:rStyle w:val="FootnoteReference"/>
        </w:rPr>
        <w:footnoteReference w:id="4"/>
      </w:r>
      <w:r>
        <w:t>.</w:t>
      </w:r>
      <w:r w:rsidRPr="004B1997">
        <w:t xml:space="preserve"> </w:t>
      </w:r>
      <w:r>
        <w:t>8 декабря 2010 года ее врач выдал медицинское заключение, в котором указывалось, что она страдала от хронической болезни и поэтому было бы ж</w:t>
      </w:r>
      <w:r>
        <w:t>е</w:t>
      </w:r>
      <w:r>
        <w:t>лательно, чтобы она работала ближе к дому. В 2010 году автор была вынуждена взять д</w:t>
      </w:r>
      <w:r>
        <w:t>о</w:t>
      </w:r>
      <w:r>
        <w:t>полнительный отпуск, поскольку она продолжала испытывать боли.</w:t>
      </w:r>
      <w:r w:rsidRPr="00A75A18">
        <w:br/>
      </w:r>
      <w:r>
        <w:t>В феврале 2011 года в здании Банка сломался лифт, и, поскольку автор работала на втором этаже и должна была избегать лестниц, ей было предложено работать на первом этаже, выполняя административную работу на компьютере.</w:t>
      </w:r>
      <w:r w:rsidR="00AA26C6">
        <w:t xml:space="preserve"> Однако в этом кабинете была не</w:t>
      </w:r>
      <w:r>
        <w:t>подходящая мебель, т</w:t>
      </w:r>
      <w:r w:rsidR="00E02AD5">
        <w:t>ак как</w:t>
      </w:r>
      <w:r>
        <w:t xml:space="preserve"> стол был высоким, а клави</w:t>
      </w:r>
      <w:r>
        <w:t>а</w:t>
      </w:r>
      <w:r>
        <w:t>тура была расположена на том же уровне, что и компьютер</w:t>
      </w:r>
      <w:r w:rsidRPr="000B352D">
        <w:rPr>
          <w:rStyle w:val="FootnoteReference"/>
        </w:rPr>
        <w:footnoteReference w:id="5"/>
      </w:r>
      <w:r>
        <w:t>. Автор также дол</w:t>
      </w:r>
      <w:r>
        <w:t>ж</w:t>
      </w:r>
      <w:r>
        <w:t>на была работать с 10</w:t>
      </w:r>
      <w:r w:rsidR="00E02AD5">
        <w:t xml:space="preserve"> ч.</w:t>
      </w:r>
      <w:r w:rsidR="000A12D9">
        <w:t xml:space="preserve"> </w:t>
      </w:r>
      <w:r>
        <w:t xml:space="preserve">00 </w:t>
      </w:r>
      <w:r w:rsidR="00E02AD5">
        <w:t xml:space="preserve">м. </w:t>
      </w:r>
      <w:r>
        <w:t>до 16</w:t>
      </w:r>
      <w:r w:rsidR="00E02AD5">
        <w:t xml:space="preserve"> ч. </w:t>
      </w:r>
      <w:r>
        <w:t>00</w:t>
      </w:r>
      <w:r w:rsidR="00E02AD5">
        <w:t xml:space="preserve"> м.</w:t>
      </w:r>
      <w:r>
        <w:t>, в связи с чем ей приходилось в</w:t>
      </w:r>
      <w:r>
        <w:t>ы</w:t>
      </w:r>
      <w:r>
        <w:t>езжать из дома в 6</w:t>
      </w:r>
      <w:r w:rsidR="00E02AD5">
        <w:t xml:space="preserve"> ч. </w:t>
      </w:r>
      <w:r>
        <w:t xml:space="preserve">30 </w:t>
      </w:r>
      <w:r w:rsidR="00E02AD5">
        <w:t xml:space="preserve">м. </w:t>
      </w:r>
      <w:r>
        <w:t>утра.</w:t>
      </w:r>
    </w:p>
    <w:p w:rsidR="000B352D" w:rsidRPr="00091A62" w:rsidRDefault="000B352D" w:rsidP="000B352D">
      <w:pPr>
        <w:pStyle w:val="SingleTxtGR"/>
      </w:pPr>
      <w:r>
        <w:t>2.4</w:t>
      </w:r>
      <w:r>
        <w:tab/>
        <w:t>По вышеупомянутым причинам 21 февраля 2011 года автор подала жал</w:t>
      </w:r>
      <w:r>
        <w:t>о</w:t>
      </w:r>
      <w:r>
        <w:t>бу на "Банку ду Бразил" в Региональный суд по трудовым спорам (</w:t>
      </w:r>
      <w:r w:rsidRPr="005F0F00">
        <w:t>Tribunal Regional do Trabalho) во Флорианополисе. В ее жалобе указывалось на неко</w:t>
      </w:r>
      <w:r w:rsidRPr="005F0F00">
        <w:t>н</w:t>
      </w:r>
      <w:r w:rsidRPr="005F0F00">
        <w:t>ституциональность внутренней политики "Банку ду Бразил", предусматрива</w:t>
      </w:r>
      <w:r w:rsidRPr="005F0F00">
        <w:t>ю</w:t>
      </w:r>
      <w:r w:rsidRPr="005F0F00">
        <w:t>щей освобождение от должности сотрудников, находящихся в отпуске более трех месяцев, а также на дискриминационный характер этой политики, пред</w:t>
      </w:r>
      <w:r w:rsidRPr="005F0F00">
        <w:t>у</w:t>
      </w:r>
      <w:r w:rsidRPr="005F0F00">
        <w:t>сматривающей освобождение от должности сотрудников, находящихся в отпу</w:t>
      </w:r>
      <w:r w:rsidRPr="005F0F00">
        <w:t>с</w:t>
      </w:r>
      <w:r w:rsidRPr="005F0F00">
        <w:t>ке по медицинским причинам более трех месяцев, а также на дискриминацио</w:t>
      </w:r>
      <w:r w:rsidRPr="005F0F00">
        <w:t>н</w:t>
      </w:r>
      <w:r w:rsidRPr="005F0F00">
        <w:t>ный характер этой политики, которая ущемляет права исключительно сотру</w:t>
      </w:r>
      <w:r w:rsidRPr="005F0F00">
        <w:t>д</w:t>
      </w:r>
      <w:r w:rsidRPr="005F0F00">
        <w:t xml:space="preserve">ников, находящихся в отпуске по медицинским показаниям более трех месяцев. </w:t>
      </w:r>
      <w:r>
        <w:t>Во время судебных слушаний сторона "Банку ду Бразил" утверждала, что автор добровольно приняла на себя обязательства следовать политике Банка; что сн</w:t>
      </w:r>
      <w:r>
        <w:t>я</w:t>
      </w:r>
      <w:r>
        <w:t>тие с должности по истечению трех месяцев нахождения в отпуске по медици</w:t>
      </w:r>
      <w:r>
        <w:t>н</w:t>
      </w:r>
      <w:r>
        <w:t>ским показаниям применяется ко всем сотрудникам без каких-либо различий; что Банк вправе по своему усмотрению повышать и понижать в должности с</w:t>
      </w:r>
      <w:r>
        <w:t>о</w:t>
      </w:r>
      <w:r>
        <w:t>трудников (и что в данном случае в Банке работало слишком много кассиров); а также, что сотрудники не имеют право оспаривать сокращение их зарплаты. Автор утверждала, что 18 мая 2011 года Региональный суд по трудовым спорам Флорианополиса отклонил ее жалобу на том основании, что она не доказала, что ее перевод во Флорианополис был произведен против ее воли; что такой п</w:t>
      </w:r>
      <w:r>
        <w:t>е</w:t>
      </w:r>
      <w:r>
        <w:t>ревод был совершен без какого-либо предубеждения по отношению к ней; что она согласилась выполнять внутреннюю политику Банка; что тот факт, что она не смогла вернуться на бывшую должность после нахождения в отпуске свыше трех месяцев, не являлся наказанием, поскольку Банк имеет право изменять функциональные обязанности служащих в соответствии со своими потребн</w:t>
      </w:r>
      <w:r>
        <w:t>о</w:t>
      </w:r>
      <w:r>
        <w:t xml:space="preserve">стями; что политика Банка не носила </w:t>
      </w:r>
      <w:r w:rsidR="00AA26C6">
        <w:t xml:space="preserve">дискриминационного характера, так </w:t>
      </w:r>
      <w:r>
        <w:t>к</w:t>
      </w:r>
      <w:r w:rsidR="00AA26C6">
        <w:t>ак</w:t>
      </w:r>
      <w:r>
        <w:t xml:space="preserve"> она в равной мере применялась ко всем сотрудникам; и что автор не может пр</w:t>
      </w:r>
      <w:r>
        <w:t>е</w:t>
      </w:r>
      <w:r>
        <w:t>тендовать на льготы в связи со стажем работы, поскольку они предоставляются тол</w:t>
      </w:r>
      <w:r>
        <w:t>ь</w:t>
      </w:r>
      <w:r>
        <w:t>ко тем служащим, которые проработали кассиром в течение 10 лет, а автор не проработала этот срок</w:t>
      </w:r>
      <w:r w:rsidRPr="000B352D">
        <w:rPr>
          <w:rStyle w:val="FootnoteReference"/>
        </w:rPr>
        <w:footnoteReference w:id="6"/>
      </w:r>
      <w:r>
        <w:t>.</w:t>
      </w:r>
    </w:p>
    <w:p w:rsidR="000B352D" w:rsidRPr="0021449A" w:rsidRDefault="000B352D" w:rsidP="000B352D">
      <w:pPr>
        <w:pStyle w:val="SingleTxtGR"/>
      </w:pPr>
      <w:r w:rsidRPr="00091A62">
        <w:t>2.5</w:t>
      </w:r>
      <w:r w:rsidRPr="00091A62">
        <w:tab/>
      </w:r>
      <w:r>
        <w:t>6 июля 2011 года автор опротестовала это решение. Ее протест был о</w:t>
      </w:r>
      <w:r>
        <w:t>т</w:t>
      </w:r>
      <w:r>
        <w:t>клонен 31 августа 2011 года</w:t>
      </w:r>
      <w:r w:rsidRPr="000B352D">
        <w:rPr>
          <w:rStyle w:val="FootnoteReference"/>
        </w:rPr>
        <w:footnoteReference w:id="7"/>
      </w:r>
      <w:r>
        <w:t>. Поскольку лица, желающие подать обжалов</w:t>
      </w:r>
      <w:r>
        <w:t>а</w:t>
      </w:r>
      <w:r>
        <w:t>ние в Верховный суд по трудовым спорам, должны быть представлены адвокатом, а</w:t>
      </w:r>
      <w:r>
        <w:t>в</w:t>
      </w:r>
      <w:r>
        <w:t>тор подала просьбу об оказании ей юридической помощи. Бюро государстве</w:t>
      </w:r>
      <w:r>
        <w:t>н</w:t>
      </w:r>
      <w:r>
        <w:t>ного защитника (</w:t>
      </w:r>
      <w:r w:rsidRPr="005F0F00">
        <w:t xml:space="preserve">Defensoria Pública </w:t>
      </w:r>
      <w:r>
        <w:t>) отказало ей в этой просьбе 14 октя</w:t>
      </w:r>
      <w:r>
        <w:t>б</w:t>
      </w:r>
      <w:r>
        <w:t>ря 2011</w:t>
      </w:r>
      <w:r w:rsidR="00E02AD5">
        <w:t> </w:t>
      </w:r>
      <w:r>
        <w:t>года</w:t>
      </w:r>
      <w:r w:rsidRPr="000B352D">
        <w:rPr>
          <w:rStyle w:val="FootnoteReference"/>
        </w:rPr>
        <w:footnoteReference w:id="8"/>
      </w:r>
      <w:r>
        <w:t>.</w:t>
      </w:r>
      <w:r w:rsidRPr="00091A62">
        <w:t xml:space="preserve"> </w:t>
      </w:r>
      <w:r>
        <w:t>Автор затем обратилась за помощью к частному адвокату, который отказался ее представлять. Поэтому автор решила подать обжалование, не буд</w:t>
      </w:r>
      <w:r>
        <w:t>у</w:t>
      </w:r>
      <w:r>
        <w:t>чи представленной адвокатом; 7 декабря 2011 года эта апелляция была откл</w:t>
      </w:r>
      <w:r>
        <w:t>о</w:t>
      </w:r>
      <w:r>
        <w:t>нена без рассмотрения ее по существу. Автор вновь подала обжалование, вкл</w:t>
      </w:r>
      <w:r>
        <w:t>ю</w:t>
      </w:r>
      <w:r>
        <w:t xml:space="preserve">чив в него копию ее жалобы, поданной в Бразильскую ассоциацию адвокатов. </w:t>
      </w:r>
      <w:r w:rsidRPr="005F0F00">
        <w:t xml:space="preserve">17 </w:t>
      </w:r>
      <w:r>
        <w:t>января</w:t>
      </w:r>
      <w:r w:rsidRPr="005F0F00">
        <w:t xml:space="preserve"> 2012 </w:t>
      </w:r>
      <w:r>
        <w:t>года</w:t>
      </w:r>
      <w:r w:rsidRPr="005F0F00">
        <w:t xml:space="preserve"> </w:t>
      </w:r>
      <w:r>
        <w:t>в</w:t>
      </w:r>
      <w:r w:rsidRPr="005F0F00">
        <w:t xml:space="preserve"> </w:t>
      </w:r>
      <w:r>
        <w:t>этой</w:t>
      </w:r>
      <w:r w:rsidRPr="005F0F00">
        <w:t xml:space="preserve"> </w:t>
      </w:r>
      <w:r>
        <w:t>апелляции</w:t>
      </w:r>
      <w:r w:rsidRPr="005F0F00">
        <w:t xml:space="preserve"> </w:t>
      </w:r>
      <w:r>
        <w:t>ей</w:t>
      </w:r>
      <w:r w:rsidRPr="005F0F00">
        <w:t xml:space="preserve"> </w:t>
      </w:r>
      <w:r>
        <w:t>было</w:t>
      </w:r>
      <w:r w:rsidRPr="005F0F00">
        <w:t xml:space="preserve"> </w:t>
      </w:r>
      <w:r>
        <w:t>отказано</w:t>
      </w:r>
      <w:r w:rsidRPr="000B352D">
        <w:rPr>
          <w:rStyle w:val="FootnoteReference"/>
        </w:rPr>
        <w:footnoteReference w:id="9"/>
      </w:r>
      <w:r w:rsidRPr="005F0F00">
        <w:t>.</w:t>
      </w:r>
      <w:r w:rsidRPr="007C2212">
        <w:rPr>
          <w:rStyle w:val="FootnoteReference"/>
        </w:rPr>
        <w:t xml:space="preserve"> </w:t>
      </w:r>
    </w:p>
    <w:p w:rsidR="000B352D" w:rsidRPr="00F6422C" w:rsidRDefault="000B352D" w:rsidP="000B352D">
      <w:pPr>
        <w:pStyle w:val="SingleTxtGR"/>
      </w:pPr>
      <w:r>
        <w:t>2.6</w:t>
      </w:r>
      <w:r>
        <w:tab/>
      </w:r>
      <w:r w:rsidRPr="00BF7090">
        <w:rPr>
          <w:spacing w:val="0"/>
        </w:rPr>
        <w:t>Автор представила перевод текста "Доклада экспертов" от 5 августа 2011 г</w:t>
      </w:r>
      <w:r w:rsidRPr="00BF7090">
        <w:rPr>
          <w:spacing w:val="0"/>
        </w:rPr>
        <w:t>о</w:t>
      </w:r>
      <w:r w:rsidRPr="00BF7090">
        <w:rPr>
          <w:spacing w:val="0"/>
        </w:rPr>
        <w:t>да,</w:t>
      </w:r>
      <w:r>
        <w:t xml:space="preserve"> который был выпущен Институтом судебной медицины в Санта-Катарине. В</w:t>
      </w:r>
      <w:r w:rsidR="00E02AD5">
        <w:t> </w:t>
      </w:r>
      <w:r>
        <w:t>нем указывается, что судебный врач осмотрел автора по просьбе представ</w:t>
      </w:r>
      <w:r>
        <w:t>и</w:t>
      </w:r>
      <w:r>
        <w:t>теля отделения полиции с целью определения того, страдает ли автор постоя</w:t>
      </w:r>
      <w:r>
        <w:t>н</w:t>
      </w:r>
      <w:r>
        <w:t>ной потерей трудоспособности. В докладе делается вывод, что у автора набл</w:t>
      </w:r>
      <w:r>
        <w:t>ю</w:t>
      </w:r>
      <w:r>
        <w:t>дается постоянная потеря трудоспособности в силу умеренн</w:t>
      </w:r>
      <w:r w:rsidR="00AA26C6">
        <w:t>ой утраты функции левого колена</w:t>
      </w:r>
      <w:r>
        <w:t xml:space="preserve"> и что она на постоянной основе не может выполнять данную конкретную работу, но для целей трудовой деятельности она не является нетр</w:t>
      </w:r>
      <w:r>
        <w:t>у</w:t>
      </w:r>
      <w:r>
        <w:t>доспособной.</w:t>
      </w:r>
    </w:p>
    <w:p w:rsidR="000B352D" w:rsidRPr="008C0FFB" w:rsidRDefault="000B352D" w:rsidP="000B352D">
      <w:pPr>
        <w:pStyle w:val="SingleTxtGR"/>
      </w:pPr>
      <w:r>
        <w:t>2.7</w:t>
      </w:r>
      <w:r>
        <w:tab/>
        <w:t>Автор добавляет, что, поскольку она исчерпала внутренние средства пр</w:t>
      </w:r>
      <w:r>
        <w:t>а</w:t>
      </w:r>
      <w:r>
        <w:t>вовой защиты, ее положение в "Банку ду Бразил", в котором она продолжала работать, не улучшилось</w:t>
      </w:r>
      <w:r w:rsidRPr="000B352D">
        <w:rPr>
          <w:rStyle w:val="FootnoteReference"/>
        </w:rPr>
        <w:footnoteReference w:id="10"/>
      </w:r>
      <w:r>
        <w:t>. Автор страдает от серьезного повреждения плеча и должна была уйти в отпуск по медицинским показаниям в период с июля 2011</w:t>
      </w:r>
      <w:r w:rsidR="007E0AAD">
        <w:t> </w:t>
      </w:r>
      <w:r w:rsidR="005927AC">
        <w:t xml:space="preserve">года </w:t>
      </w:r>
      <w:r>
        <w:t xml:space="preserve">по апрель 2012 года. Только после этого в </w:t>
      </w:r>
      <w:r w:rsidR="005927AC">
        <w:t xml:space="preserve">банке </w:t>
      </w:r>
      <w:r>
        <w:t>починили лифты и установили новую мебель. В медицинском заключении от 29 марта 2012 года было указано, что автору был поставлен диагноз частичного разрыва связок плеча в связи с фибромиалгией, т.е. заболеванием, которое вызывает спазмы и воспал</w:t>
      </w:r>
      <w:r>
        <w:t>е</w:t>
      </w:r>
      <w:r>
        <w:t>ния мышц при их напряжении. Врач указал, что ей разрешено работать с учетом определенных ограничений: после каждого часа ритмичной работы (например, работы на компьютере) она должна делать 10-минутный перерыв и не находиться вблизи кондиционеров, а ее график работы должен предусматр</w:t>
      </w:r>
      <w:r>
        <w:t>и</w:t>
      </w:r>
      <w:r>
        <w:t>вать ежедневную физическую активность</w:t>
      </w:r>
      <w:r w:rsidRPr="000B352D">
        <w:rPr>
          <w:rStyle w:val="FootnoteReference"/>
        </w:rPr>
        <w:footnoteReference w:id="11"/>
      </w:r>
      <w:r>
        <w:t>.</w:t>
      </w:r>
      <w:r w:rsidRPr="00E17560">
        <w:t xml:space="preserve"> </w:t>
      </w:r>
      <w:r>
        <w:t>Автор считает, что отстранение ее от должности создало угрозу ее здоровью, поскольку причиной фибромиалгии является эмоциональное расстройство. Когда в апреле 2012 года автор возобн</w:t>
      </w:r>
      <w:r>
        <w:t>о</w:t>
      </w:r>
      <w:r>
        <w:t>вила трудовую деятельность, она представила медицинское заключение, но б</w:t>
      </w:r>
      <w:r>
        <w:t>ы</w:t>
      </w:r>
      <w:r>
        <w:t>ла направлена на работу в архивы на должность, требующую значительных ф</w:t>
      </w:r>
      <w:r>
        <w:t>и</w:t>
      </w:r>
      <w:r>
        <w:t>зических усилий и связанную с открыванием и закрыванием ящиков и постоя</w:t>
      </w:r>
      <w:r>
        <w:t>н</w:t>
      </w:r>
      <w:r>
        <w:t xml:space="preserve">ными приседаниями, которые были вредны для ее колена; через две недели </w:t>
      </w:r>
      <w:r w:rsidR="005927AC">
        <w:t xml:space="preserve">банк </w:t>
      </w:r>
      <w:r>
        <w:t>предложил ей должность, предполагающую ведение административной документации в "Банк Посталь" в другом здании. Ей было поручено разрешать различные проблемы и координировать работу группы сотрудников. При в</w:t>
      </w:r>
      <w:r>
        <w:t>ы</w:t>
      </w:r>
      <w:r>
        <w:t>полнении этих функций она несправедливо подвергалась упрекам со стороны двух помощников и вышестоящих сотрудников. Через</w:t>
      </w:r>
      <w:r w:rsidRPr="008C0FFB">
        <w:t xml:space="preserve"> 45 </w:t>
      </w:r>
      <w:r>
        <w:t>дней</w:t>
      </w:r>
      <w:r w:rsidRPr="008C0FFB">
        <w:t xml:space="preserve"> </w:t>
      </w:r>
      <w:r>
        <w:t>работы</w:t>
      </w:r>
      <w:r w:rsidRPr="008C0FFB">
        <w:t xml:space="preserve"> </w:t>
      </w:r>
      <w:r>
        <w:t>в</w:t>
      </w:r>
      <w:r w:rsidRPr="008C0FFB">
        <w:t xml:space="preserve"> </w:t>
      </w:r>
      <w:r>
        <w:t xml:space="preserve">"Банк Посталь" </w:t>
      </w:r>
      <w:r w:rsidR="005927AC">
        <w:t xml:space="preserve">банк </w:t>
      </w:r>
      <w:r>
        <w:t>просил вернуть ее на предыдущее место работы и возложил на нее обязанности по решению "различных проблем". Однако она столкнулась с трудностями выполнения своих обязанностей, поскольку рядом с ее рабочим местом работали несколько агентов по обзвону клиентов. Она подвергалась н</w:t>
      </w:r>
      <w:r>
        <w:t>а</w:t>
      </w:r>
      <w:r>
        <w:t xml:space="preserve">падкам со стороны одного из служащих, который выгнал ее с рабочего места, а </w:t>
      </w:r>
      <w:r w:rsidR="005927AC">
        <w:t xml:space="preserve">банк </w:t>
      </w:r>
      <w:r>
        <w:t>не вынес ему порицания</w:t>
      </w:r>
      <w:r w:rsidRPr="000B352D">
        <w:rPr>
          <w:rStyle w:val="FootnoteReference"/>
        </w:rPr>
        <w:footnoteReference w:id="12"/>
      </w:r>
      <w:r>
        <w:t>.</w:t>
      </w:r>
      <w:r w:rsidRPr="008C0FFB">
        <w:t xml:space="preserve"> </w:t>
      </w:r>
      <w:r>
        <w:t>В этот период ей было приказано начать ко</w:t>
      </w:r>
      <w:r>
        <w:t>н</w:t>
      </w:r>
      <w:r>
        <w:t>тролировать операции, выполнять аналитическую работу с целью определения того, выполняются ли транзакции в соответствии с законодательством.</w:t>
      </w:r>
    </w:p>
    <w:p w:rsidR="000B352D" w:rsidRPr="008763A1" w:rsidRDefault="000B352D" w:rsidP="000B352D">
      <w:pPr>
        <w:pStyle w:val="H23GR"/>
      </w:pPr>
      <w:r w:rsidRPr="008763A1">
        <w:tab/>
      </w:r>
      <w:r w:rsidRPr="008763A1">
        <w:tab/>
      </w:r>
      <w:r>
        <w:t>Жалоба</w:t>
      </w:r>
    </w:p>
    <w:p w:rsidR="000B352D" w:rsidRPr="008763A1" w:rsidRDefault="000B352D" w:rsidP="000B352D">
      <w:pPr>
        <w:pStyle w:val="SingleTxtGR"/>
      </w:pPr>
      <w:r>
        <w:t>3.1</w:t>
      </w:r>
      <w:r>
        <w:tab/>
        <w:t>Автор утверждает, что государство-участник нарушило ее права по пун</w:t>
      </w:r>
      <w:r>
        <w:t>к</w:t>
      </w:r>
      <w:r>
        <w:t xml:space="preserve">там </w:t>
      </w:r>
      <w:r w:rsidRPr="005F0F00">
        <w:t>b</w:t>
      </w:r>
      <w:r w:rsidRPr="008763A1">
        <w:t>)</w:t>
      </w:r>
      <w:r>
        <w:t xml:space="preserve"> и е) статьи 3; и пунктам 1 и 2 статьи 5 Конвенции, поскольку принятые ее работодателем (государственным "Банку ду Бразил") и одобренные внутре</w:t>
      </w:r>
      <w:r>
        <w:t>н</w:t>
      </w:r>
      <w:r>
        <w:t>ними судами меры направлены на ограничение возможности инвалидов и как таковые являются дискриминационными.</w:t>
      </w:r>
    </w:p>
    <w:p w:rsidR="000B352D" w:rsidRPr="00E10FF1" w:rsidRDefault="000B352D" w:rsidP="000B352D">
      <w:pPr>
        <w:pStyle w:val="SingleTxtGR"/>
      </w:pPr>
      <w:r>
        <w:t>3.2</w:t>
      </w:r>
      <w:r>
        <w:tab/>
        <w:t xml:space="preserve">Автор далее утверждает, что государство-участник нарушило ее права по пунктам а), </w:t>
      </w:r>
      <w:r w:rsidRPr="005F0F00">
        <w:t>b</w:t>
      </w:r>
      <w:r w:rsidRPr="00E10FF1">
        <w:t>)</w:t>
      </w:r>
      <w:r>
        <w:t xml:space="preserve"> и </w:t>
      </w:r>
      <w:r w:rsidRPr="005F0F00">
        <w:t>d</w:t>
      </w:r>
      <w:r w:rsidRPr="00E10FF1">
        <w:t>)</w:t>
      </w:r>
      <w:r>
        <w:t xml:space="preserve"> статьи 4, т</w:t>
      </w:r>
      <w:r w:rsidR="007E0AAD">
        <w:t>ак как</w:t>
      </w:r>
      <w:r>
        <w:t xml:space="preserve"> поведение "Банку ду Бразил" поощряет дискриминацию по признаку инвалидности в силу того, что предусматривает понижение в должности любого сотрудника, остающегося в отпуске по мед</w:t>
      </w:r>
      <w:r>
        <w:t>и</w:t>
      </w:r>
      <w:r>
        <w:t>цинским показаниям в течение более трех месяцев или более шести месяцев</w:t>
      </w:r>
      <w:r w:rsidRPr="000B352D">
        <w:rPr>
          <w:rStyle w:val="FootnoteReference"/>
        </w:rPr>
        <w:footnoteReference w:id="13"/>
      </w:r>
      <w:r>
        <w:t>. Автор утверждает, что государство таким образом требует от сотрудника по</w:t>
      </w:r>
      <w:r>
        <w:t>д</w:t>
      </w:r>
      <w:r>
        <w:t>держивать хорошее здоровье для сохранения его должности.</w:t>
      </w:r>
    </w:p>
    <w:p w:rsidR="000B352D" w:rsidRPr="00AD0F2C" w:rsidRDefault="000B352D" w:rsidP="000B352D">
      <w:pPr>
        <w:pStyle w:val="SingleTxtGR"/>
      </w:pPr>
      <w:r>
        <w:t>3.3</w:t>
      </w:r>
      <w:r>
        <w:tab/>
        <w:t>Автор также утверждает, что государство-участник нарушило ее права по пункту 1 а) статьи 27 Конвенции, т</w:t>
      </w:r>
      <w:r w:rsidR="007E0AAD">
        <w:t>ак как</w:t>
      </w:r>
      <w:r>
        <w:t xml:space="preserve"> дискриминация, которой она подве</w:t>
      </w:r>
      <w:r>
        <w:t>р</w:t>
      </w:r>
      <w:r>
        <w:t xml:space="preserve">галась, была связана с ее наймом на работу и условиями труда. Автор также ссылается на пункт 1 </w:t>
      </w:r>
      <w:r w:rsidRPr="005F0F00">
        <w:t>b</w:t>
      </w:r>
      <w:r w:rsidRPr="00AD0F2C">
        <w:t>)</w:t>
      </w:r>
      <w:r>
        <w:t xml:space="preserve"> статьи 27 Конвенции, утверждая, что она не пользов</w:t>
      </w:r>
      <w:r>
        <w:t>а</w:t>
      </w:r>
      <w:r>
        <w:t>лась равными условиями и возможностями для работы со своими коллегами из-за своей инвалидности, несмотря даже на то, что ее профессиональные навыки были равнозначны навыкам ее коллег. В частности</w:t>
      </w:r>
      <w:r w:rsidR="005927AC">
        <w:t>,</w:t>
      </w:r>
      <w:r>
        <w:t xml:space="preserve"> она с</w:t>
      </w:r>
      <w:r w:rsidR="005927AC">
        <w:t xml:space="preserve">читает, что, </w:t>
      </w:r>
      <w:r>
        <w:t xml:space="preserve">когда в </w:t>
      </w:r>
      <w:r w:rsidR="005927AC">
        <w:t xml:space="preserve">банке </w:t>
      </w:r>
      <w:r>
        <w:t>наблюдался избыток кассиров, ей не разрешали работать кассиром, пр</w:t>
      </w:r>
      <w:r>
        <w:t>и</w:t>
      </w:r>
      <w:r>
        <w:t xml:space="preserve">том, что двум другим сотрудникам, одна из которых взяла декретный отпуск, было разрешено работать кассирами. </w:t>
      </w:r>
    </w:p>
    <w:p w:rsidR="000B352D" w:rsidRPr="00382835" w:rsidRDefault="000B352D" w:rsidP="000B352D">
      <w:pPr>
        <w:pStyle w:val="SingleTxtGR"/>
      </w:pPr>
      <w:r>
        <w:t>3.4</w:t>
      </w:r>
      <w:r>
        <w:tab/>
        <w:t>Автор указывает далее, что государство-участник нарушило пункт е) ст</w:t>
      </w:r>
      <w:r>
        <w:t>а</w:t>
      </w:r>
      <w:r>
        <w:t>тьи 4 Конвенции, т</w:t>
      </w:r>
      <w:r w:rsidR="007E0AAD">
        <w:t>ак как</w:t>
      </w:r>
      <w:r>
        <w:t xml:space="preserve"> "Банку ду Бразил" является одновременно государс</w:t>
      </w:r>
      <w:r>
        <w:t>т</w:t>
      </w:r>
      <w:r>
        <w:t>венным и частным банком.</w:t>
      </w:r>
    </w:p>
    <w:p w:rsidR="000B352D" w:rsidRPr="00382835" w:rsidRDefault="000B352D" w:rsidP="000B352D">
      <w:pPr>
        <w:pStyle w:val="SingleTxtGR"/>
      </w:pPr>
      <w:r>
        <w:t>3.5</w:t>
      </w:r>
      <w:r>
        <w:tab/>
        <w:t>В качестве средства правовой защиты автор просит отменить политику "Банку ду Бразил", предусматривающую понижение в должности после нахо</w:t>
      </w:r>
      <w:r>
        <w:t>ж</w:t>
      </w:r>
      <w:r>
        <w:t xml:space="preserve">дения в отпуске по медицинским показаниям в течение более трех месяцев, </w:t>
      </w:r>
      <w:r w:rsidR="009A67E8">
        <w:br/>
      </w:r>
      <w:r>
        <w:t>и признания со стороны государства-участника такой политики как противор</w:t>
      </w:r>
      <w:r>
        <w:t>е</w:t>
      </w:r>
      <w:r>
        <w:t>чащей Конвенции. Автор также просит восстановить ее на должности банко</w:t>
      </w:r>
      <w:r>
        <w:t>в</w:t>
      </w:r>
      <w:r>
        <w:t>ского кассира и выплатить ей заработную плату с ноября 2009 года. Она указ</w:t>
      </w:r>
      <w:r>
        <w:t>ы</w:t>
      </w:r>
      <w:r>
        <w:t>вает, что такая политика не позволяет сотрудникам брать необходимый отпуск по медицинским показаниям.</w:t>
      </w:r>
    </w:p>
    <w:p w:rsidR="000B352D" w:rsidRPr="00C12FC5" w:rsidRDefault="000B352D" w:rsidP="000B352D">
      <w:pPr>
        <w:pStyle w:val="H23GR"/>
      </w:pPr>
      <w:r>
        <w:tab/>
      </w:r>
      <w:r>
        <w:tab/>
        <w:t>Замечания государства-участника по вопросу о приемлемости</w:t>
      </w:r>
    </w:p>
    <w:p w:rsidR="000B352D" w:rsidRPr="000D337F" w:rsidRDefault="000B352D" w:rsidP="000B352D">
      <w:pPr>
        <w:pStyle w:val="SingleTxtGR"/>
      </w:pPr>
      <w:r>
        <w:t>4.1</w:t>
      </w:r>
      <w:r>
        <w:tab/>
        <w:t xml:space="preserve">В своих замечаниях от 9 июля 2013 года государство-участник выражает мнение, что данное сообщение является неприемлемым </w:t>
      </w:r>
      <w:r w:rsidRPr="005F0F00">
        <w:t>ratione materiae,</w:t>
      </w:r>
      <w:r w:rsidRPr="00617B8B">
        <w:t xml:space="preserve"> т</w:t>
      </w:r>
      <w:r w:rsidR="005927AC">
        <w:t xml:space="preserve">ак </w:t>
      </w:r>
      <w:r w:rsidRPr="00617B8B">
        <w:t>к</w:t>
      </w:r>
      <w:r w:rsidR="005927AC">
        <w:t>ак</w:t>
      </w:r>
      <w:r w:rsidRPr="00617B8B">
        <w:t xml:space="preserve"> автор</w:t>
      </w:r>
      <w:r>
        <w:t xml:space="preserve"> не является инвалидом по смыслу Конвенции. С учетом того, что статья 1 Конвенции определяет инвалидность как устойчивое нарушение, сп</w:t>
      </w:r>
      <w:r>
        <w:t>е</w:t>
      </w:r>
      <w:r>
        <w:t>циалисты Национального института социального обеспечения (НИСО) диагн</w:t>
      </w:r>
      <w:r>
        <w:t>о</w:t>
      </w:r>
      <w:r>
        <w:t>стировали у автора временную потерю трудоспособности. НИСО является федеральным у</w:t>
      </w:r>
      <w:r>
        <w:t>ч</w:t>
      </w:r>
      <w:r>
        <w:t>реждением, отвечающим за удостоверение наличия инвалидности для целей выплаты денежных пособий инвалидам, не способным вести сам</w:t>
      </w:r>
      <w:r>
        <w:t>о</w:t>
      </w:r>
      <w:r>
        <w:t>стоятельный образ жизни или работать. Диагноз автора давал ей право на пол</w:t>
      </w:r>
      <w:r>
        <w:t>у</w:t>
      </w:r>
      <w:r>
        <w:t>чение пособия по болезни в течение коротких непрерывных периодов времени продолжител</w:t>
      </w:r>
      <w:r>
        <w:t>ь</w:t>
      </w:r>
      <w:r>
        <w:t>ностью не более четырех месяцев в 2007</w:t>
      </w:r>
      <w:r w:rsidRPr="00617B8B">
        <w:t>−</w:t>
      </w:r>
      <w:r>
        <w:t>2012 годах, т.е. когда, по утвержд</w:t>
      </w:r>
      <w:r>
        <w:t>е</w:t>
      </w:r>
      <w:r>
        <w:t>нию автора, она попала в три отдельных ДТП. Экспертный диагноз временной нетрудоспособности подразумевает, что пациент может восстановиться, чем объясняется выплата пособий в течение краткого периода времени. Предста</w:t>
      </w:r>
      <w:r>
        <w:t>в</w:t>
      </w:r>
      <w:r>
        <w:t>ленные автором медицинские заключения вместе с ее жалобой подтверждают установленный НИСО диагноз о временной потере трудоспособности, поскол</w:t>
      </w:r>
      <w:r>
        <w:t>ь</w:t>
      </w:r>
      <w:r>
        <w:t>ку Институт рекомендовал автору периодически брать отпуск для отдыха в форме "60-дневного отпуска по болезни", "отсутствия на рабочем ме</w:t>
      </w:r>
      <w:r>
        <w:t>с</w:t>
      </w:r>
      <w:r>
        <w:t>те с 28</w:t>
      </w:r>
      <w:r w:rsidR="007E0AAD">
        <w:t> </w:t>
      </w:r>
      <w:r>
        <w:t>апреля 2009 года по 12 мая 2009 года", "отсутствие на рабочем месте с 13</w:t>
      </w:r>
      <w:r w:rsidR="007E0AAD">
        <w:t> </w:t>
      </w:r>
      <w:r>
        <w:t>мая 2009 года по 30 июня 2009", "</w:t>
      </w:r>
      <w:r w:rsidR="007E0AAD">
        <w:t>30-дневного отпуска по болезни"</w:t>
      </w:r>
      <w:r w:rsidR="009B7250">
        <w:t xml:space="preserve"> и т.д. Ни </w:t>
      </w:r>
      <w:r>
        <w:t>одно из медицинских заключений не свидетельствует о наличии инвалидн</w:t>
      </w:r>
      <w:r>
        <w:t>о</w:t>
      </w:r>
      <w:r>
        <w:t>сти, как она определяется внутренним законодательством</w:t>
      </w:r>
      <w:r w:rsidR="009B7250" w:rsidRPr="000B352D">
        <w:rPr>
          <w:rStyle w:val="FootnoteReference"/>
        </w:rPr>
        <w:footnoteReference w:id="14"/>
      </w:r>
      <w:r>
        <w:t xml:space="preserve"> или Конвенцией. Кроме того</w:t>
      </w:r>
      <w:r w:rsidR="004B386F">
        <w:t>,</w:t>
      </w:r>
      <w:r>
        <w:t xml:space="preserve"> в соответствии с внутренним законодательством лицо, утвержда</w:t>
      </w:r>
      <w:r>
        <w:t>ю</w:t>
      </w:r>
      <w:r>
        <w:t>щее, что оно является инвалидом, должно представить подтверждение своей инвалидности в виде медицинского заключения, выданного врачом с целью п</w:t>
      </w:r>
      <w:r>
        <w:t>о</w:t>
      </w:r>
      <w:r>
        <w:t>лучения пособий, однако автор не представляла такого заключения внутригос</w:t>
      </w:r>
      <w:r>
        <w:t>у</w:t>
      </w:r>
      <w:r>
        <w:t>дарственным орг</w:t>
      </w:r>
      <w:r>
        <w:t>а</w:t>
      </w:r>
      <w:r>
        <w:t>нам или Комитету</w:t>
      </w:r>
      <w:r w:rsidR="009B7250">
        <w:rPr>
          <w:rStyle w:val="FootnoteReference"/>
        </w:rPr>
        <w:footnoteReference w:id="15"/>
      </w:r>
      <w:r>
        <w:t>.</w:t>
      </w:r>
      <w:r w:rsidRPr="007C2212">
        <w:rPr>
          <w:rStyle w:val="FootnoteReference"/>
        </w:rPr>
        <w:t xml:space="preserve"> </w:t>
      </w:r>
    </w:p>
    <w:p w:rsidR="000B352D" w:rsidRPr="000D337F" w:rsidRDefault="000B352D" w:rsidP="000B352D">
      <w:pPr>
        <w:pStyle w:val="SingleTxtGR"/>
      </w:pPr>
      <w:r>
        <w:t>4.2</w:t>
      </w:r>
      <w:r>
        <w:tab/>
        <w:t>Государство-участник также считает сообщение неприемлемым в рамках "формулы четвертого окружного суда", поскольку внутренние суды уже изучали жалобы автора в отношении ее перевода на другую должность в "Банку ду Бр</w:t>
      </w:r>
      <w:r>
        <w:t>а</w:t>
      </w:r>
      <w:r>
        <w:t>зил". Согласно "формуле четвертого окружного суда" международные орган</w:t>
      </w:r>
      <w:r>
        <w:t>и</w:t>
      </w:r>
      <w:r>
        <w:t>зации не компетентны изучать предполагаемые фактические и законодательные ошибки, которые могли быть допущены внутренними судами, если только не имеет место грубое нарушение норм прав человека, защищаемых междунаро</w:t>
      </w:r>
      <w:r>
        <w:t>д</w:t>
      </w:r>
      <w:r>
        <w:t>ными договорами</w:t>
      </w:r>
      <w:r w:rsidRPr="000B352D">
        <w:rPr>
          <w:rStyle w:val="FootnoteReference"/>
        </w:rPr>
        <w:footnoteReference w:id="16"/>
      </w:r>
      <w:r>
        <w:t>.</w:t>
      </w:r>
    </w:p>
    <w:p w:rsidR="000B352D" w:rsidRPr="000D337F" w:rsidRDefault="000B352D" w:rsidP="000B352D">
      <w:pPr>
        <w:pStyle w:val="SingleTxtGR"/>
      </w:pPr>
      <w:r>
        <w:t>4.3</w:t>
      </w:r>
      <w:r>
        <w:tab/>
        <w:t>Государство-участник также считает сообщение неприемлемым из-за н</w:t>
      </w:r>
      <w:r>
        <w:t>е</w:t>
      </w:r>
      <w:r>
        <w:t>исчерпания автором внутренних средств правовой защиты</w:t>
      </w:r>
      <w:r w:rsidRPr="000B352D">
        <w:rPr>
          <w:rStyle w:val="FootnoteReference"/>
        </w:rPr>
        <w:footnoteReference w:id="17"/>
      </w:r>
      <w:r>
        <w:t>. Хотя она подала жалобу в связи с сокращением ее заработной платы в результате ее перевода на другую должность в "Банку ду Бразил", она не подала жалобу по поводу о</w:t>
      </w:r>
      <w:r>
        <w:t>т</w:t>
      </w:r>
      <w:r>
        <w:t>странения ее от должности в связи с инвалидностью. Автор таким образом не оспаривала свои права по Конвенции во внутренних судах.</w:t>
      </w:r>
    </w:p>
    <w:p w:rsidR="000B352D" w:rsidRPr="00346929" w:rsidRDefault="000B352D" w:rsidP="000B352D">
      <w:pPr>
        <w:pStyle w:val="H23GR"/>
      </w:pPr>
      <w:r>
        <w:tab/>
      </w:r>
      <w:r>
        <w:tab/>
        <w:t>Комментарии автора к замечаниям государства-участника</w:t>
      </w:r>
    </w:p>
    <w:p w:rsidR="000B352D" w:rsidRDefault="000B352D" w:rsidP="000B352D">
      <w:pPr>
        <w:pStyle w:val="SingleTxtGR"/>
      </w:pPr>
      <w:r>
        <w:t>5.1</w:t>
      </w:r>
      <w:r>
        <w:tab/>
        <w:t xml:space="preserve">В последующем представлении от 15 августа 2013 года автор утверждает, что это сообщение является приемлемым </w:t>
      </w:r>
      <w:r w:rsidRPr="005F0F00">
        <w:t>ratione materiae</w:t>
      </w:r>
      <w:r>
        <w:t>, поскольку она стр</w:t>
      </w:r>
      <w:r>
        <w:t>а</w:t>
      </w:r>
      <w:r>
        <w:t>дает потерей трудоспособности по смыслу статьи 1 Конвенции. Она также о</w:t>
      </w:r>
      <w:r>
        <w:t>т</w:t>
      </w:r>
      <w:r>
        <w:t>мечает, что в медицинском заключении, выданном Институтом судебной мед</w:t>
      </w:r>
      <w:r>
        <w:t>и</w:t>
      </w:r>
      <w:r>
        <w:t>цины в Санта-Катарине, указывается на наличие у нее постоянной травмы л</w:t>
      </w:r>
      <w:r>
        <w:t>е</w:t>
      </w:r>
      <w:r>
        <w:t>вого колена и постоянной неспособности выполнения определенных фун</w:t>
      </w:r>
      <w:r>
        <w:t>к</w:t>
      </w:r>
      <w:r>
        <w:t>ций.</w:t>
      </w:r>
    </w:p>
    <w:p w:rsidR="000B352D" w:rsidRPr="00346929" w:rsidRDefault="000B352D" w:rsidP="000B352D">
      <w:pPr>
        <w:pStyle w:val="SingleTxtGR"/>
      </w:pPr>
      <w:r>
        <w:t>5.2</w:t>
      </w:r>
      <w:r>
        <w:tab/>
        <w:t>Автор также считает, что ее жалоба была рассмотрена внутренними с</w:t>
      </w:r>
      <w:r>
        <w:t>у</w:t>
      </w:r>
      <w:r>
        <w:t>дами, которые грубо нарушали ее права по Конвенции.</w:t>
      </w:r>
    </w:p>
    <w:p w:rsidR="000B352D" w:rsidRPr="00346929" w:rsidRDefault="000B352D" w:rsidP="000B352D">
      <w:pPr>
        <w:pStyle w:val="SingleTxtGR"/>
      </w:pPr>
      <w:r w:rsidRPr="00346929">
        <w:t>5.3</w:t>
      </w:r>
      <w:r w:rsidRPr="00346929">
        <w:tab/>
      </w:r>
      <w:r>
        <w:t>Автор также утверждает, что ее жалоба в Комитет стала следствием ди</w:t>
      </w:r>
      <w:r>
        <w:t>с</w:t>
      </w:r>
      <w:r>
        <w:t>криминации по отношению к сотрудникам, которые, оставаясь в отпуске по м</w:t>
      </w:r>
      <w:r>
        <w:t>е</w:t>
      </w:r>
      <w:r>
        <w:t>дицинским показаниям более трех месяцев или больше шести месяцев, утрач</w:t>
      </w:r>
      <w:r>
        <w:t>и</w:t>
      </w:r>
      <w:r>
        <w:t>вают право на сохранение конкретной должности</w:t>
      </w:r>
      <w:r w:rsidRPr="000B352D">
        <w:rPr>
          <w:rStyle w:val="FootnoteReference"/>
        </w:rPr>
        <w:footnoteReference w:id="18"/>
      </w:r>
      <w:r>
        <w:t>.</w:t>
      </w:r>
      <w:r w:rsidRPr="00346929">
        <w:t xml:space="preserve"> </w:t>
      </w:r>
    </w:p>
    <w:p w:rsidR="000B352D" w:rsidRPr="00CF5EEF" w:rsidRDefault="000B352D" w:rsidP="000B352D">
      <w:pPr>
        <w:pStyle w:val="H23GR"/>
      </w:pPr>
      <w:r w:rsidRPr="000B352D">
        <w:tab/>
      </w:r>
      <w:r w:rsidRPr="000B352D">
        <w:tab/>
      </w:r>
      <w:r>
        <w:t>Вопросы и процедуры их рассмотрение в Комитете</w:t>
      </w:r>
    </w:p>
    <w:p w:rsidR="000B352D" w:rsidRPr="00CF5EEF" w:rsidRDefault="000B352D" w:rsidP="000B352D">
      <w:pPr>
        <w:pStyle w:val="H4GR"/>
      </w:pPr>
      <w:r>
        <w:tab/>
      </w:r>
      <w:r>
        <w:tab/>
        <w:t>Вопрос о приемлемости</w:t>
      </w:r>
    </w:p>
    <w:p w:rsidR="000B352D" w:rsidRPr="00CF5EEF" w:rsidRDefault="000B352D" w:rsidP="000B352D">
      <w:pPr>
        <w:pStyle w:val="SingleTxtGR"/>
      </w:pPr>
      <w:r>
        <w:t>6.1</w:t>
      </w:r>
      <w:r>
        <w:tab/>
        <w:t>Прежде чем приступить к рассмотрению любой жалобы, содержащейся в сообщении, Комитет по правам инвалидов должен в соответствии со статьей 2 Факультативного протокола и правилом 65 своих правил процедуры принять решение о том, является ли оно приемлемым в соответствии с Факультативным протоколом к Конвенции.</w:t>
      </w:r>
    </w:p>
    <w:p w:rsidR="000B352D" w:rsidRPr="005F0F00" w:rsidRDefault="000B352D" w:rsidP="000B352D">
      <w:pPr>
        <w:pStyle w:val="SingleTxtGR"/>
      </w:pPr>
      <w:r w:rsidRPr="00084652">
        <w:t>6.2</w:t>
      </w:r>
      <w:r w:rsidRPr="00084652">
        <w:tab/>
        <w:t>Комитет в соответствии с пунктом с) статьи 2 Факультативного протокола удостоверился, что этот же вопрос не был еще изучен Комитетом и что он не рассматривался или не рассматривается в соответствии с другой процедурой международного разбирательства или урегулирования.</w:t>
      </w:r>
      <w:r>
        <w:t xml:space="preserve"> </w:t>
      </w:r>
    </w:p>
    <w:p w:rsidR="000B352D" w:rsidRPr="003553C5" w:rsidRDefault="000B352D" w:rsidP="000B352D">
      <w:pPr>
        <w:pStyle w:val="SingleTxtGR"/>
      </w:pPr>
      <w:r>
        <w:t>6.3</w:t>
      </w:r>
      <w:r>
        <w:tab/>
        <w:t>Комитет принимает к сведению, что автор жалуется на нарушение пун</w:t>
      </w:r>
      <w:r>
        <w:t>к</w:t>
      </w:r>
      <w:r>
        <w:t xml:space="preserve">тов </w:t>
      </w:r>
      <w:r w:rsidRPr="005F0F00">
        <w:t>b</w:t>
      </w:r>
      <w:r w:rsidRPr="00200E42">
        <w:t>)</w:t>
      </w:r>
      <w:r>
        <w:t xml:space="preserve"> и е) статьи 3; пунктов </w:t>
      </w:r>
      <w:r w:rsidRPr="005F0F00">
        <w:t>a</w:t>
      </w:r>
      <w:r w:rsidRPr="00200E42">
        <w:t xml:space="preserve">), </w:t>
      </w:r>
      <w:r w:rsidRPr="005F0F00">
        <w:t>b</w:t>
      </w:r>
      <w:r w:rsidRPr="00200E42">
        <w:t xml:space="preserve">), </w:t>
      </w:r>
      <w:r w:rsidRPr="005F0F00">
        <w:t>d</w:t>
      </w:r>
      <w:r w:rsidRPr="00200E42">
        <w:t xml:space="preserve">) </w:t>
      </w:r>
      <w:r>
        <w:t>и е) статьи 4; пунктов 1 и 2 статьи 5; и</w:t>
      </w:r>
      <w:r w:rsidR="007E0AAD">
        <w:t> </w:t>
      </w:r>
      <w:r>
        <w:t xml:space="preserve">пунктов а) и </w:t>
      </w:r>
      <w:r w:rsidRPr="005F0F00">
        <w:t>b</w:t>
      </w:r>
      <w:r w:rsidRPr="00200E42">
        <w:t xml:space="preserve">) </w:t>
      </w:r>
      <w:r>
        <w:t>статьи 27 Конвенции, утверждая, что политика "Банку ду Бр</w:t>
      </w:r>
      <w:r>
        <w:t>а</w:t>
      </w:r>
      <w:r>
        <w:t>зил" предусматривающая отстранение от должности сотрудника по прошествии трех месяцев нахождения в отпуске по медицинским показаниям, является ди</w:t>
      </w:r>
      <w:r>
        <w:t>с</w:t>
      </w:r>
      <w:r>
        <w:t>криминационной по признаку инвалидности и стала причиной отстранения ее от должности в 2009 году, когда она оставалась в отпуске по медицинским п</w:t>
      </w:r>
      <w:r>
        <w:t>о</w:t>
      </w:r>
      <w:r>
        <w:t>казаниям более трех месяцев из-за травмы, в результате которой ее колену был нанесен устойчивый вред. Комитет также принимает к сведению утверждение автора о том, что нарушения происходили и в 2010 году, когда "Банку ду Бр</w:t>
      </w:r>
      <w:r>
        <w:t>а</w:t>
      </w:r>
      <w:r>
        <w:t>зил" отказал ей в ее просьбе о переводе в другое отделение ближе к дому всле</w:t>
      </w:r>
      <w:r>
        <w:t>д</w:t>
      </w:r>
      <w:r>
        <w:t>ствие ее инвалидности. К</w:t>
      </w:r>
      <w:r>
        <w:t>о</w:t>
      </w:r>
      <w:r>
        <w:t>митет отмечает утверждение государства-участника о том, что травма колена автора не является причиной инвалидности по смыслу статьи 1 Конвенции, поскольку при наличии рассматриваемых фактов у нее б</w:t>
      </w:r>
      <w:r>
        <w:t>ы</w:t>
      </w:r>
      <w:r>
        <w:t>ла диагностирована временная потеря трудоспособности и она не представила надлежащих доказательств о долговременной потери трудоспособности, и что поэтому ее сообщ</w:t>
      </w:r>
      <w:r>
        <w:t>е</w:t>
      </w:r>
      <w:r>
        <w:t xml:space="preserve">ние не подпадает в сферу компетенции Комитета </w:t>
      </w:r>
      <w:r w:rsidRPr="005F0F00">
        <w:t>ratione materiae</w:t>
      </w:r>
      <w:r>
        <w:t>. Комитет сч</w:t>
      </w:r>
      <w:r>
        <w:t>и</w:t>
      </w:r>
      <w:r>
        <w:t>тает, что согласно статье 1 Конвенции к числу инвалидов относятся лица с устойчивыми физическими, психическими, интеллектуальн</w:t>
      </w:r>
      <w:r>
        <w:t>ы</w:t>
      </w:r>
      <w:r>
        <w:t>ми или сенсорными нарушениями, но не ограничиваются ими, которые, при взаимодействии с различными барьерами могут мешать их полному и эффе</w:t>
      </w:r>
      <w:r>
        <w:t>к</w:t>
      </w:r>
      <w:r>
        <w:t>тивному участию в жизни общества наравне с другими. В данном случае пре</w:t>
      </w:r>
      <w:r>
        <w:t>д</w:t>
      </w:r>
      <w:r>
        <w:t>ставленная сторонами информация не препятствует Комитету считать, что ф</w:t>
      </w:r>
      <w:r>
        <w:t>и</w:t>
      </w:r>
      <w:r>
        <w:t>зические нарушения автора при взаимодействии с различными барьерами на самом деле мешали ее полному и эффективному участию в жизни общества н</w:t>
      </w:r>
      <w:r>
        <w:t>а</w:t>
      </w:r>
      <w:r>
        <w:t>равне с другими. Комитет полагает, что различие между болезнью и инвали</w:t>
      </w:r>
      <w:r>
        <w:t>д</w:t>
      </w:r>
      <w:r>
        <w:t>ностью заключается в степени, а не в существе физического расстройства. Н</w:t>
      </w:r>
      <w:r>
        <w:t>а</w:t>
      </w:r>
      <w:r>
        <w:t>рушение здоровья, кот</w:t>
      </w:r>
      <w:r>
        <w:t>о</w:t>
      </w:r>
      <w:r>
        <w:t>рое изначально рассматривается как болезнь, может привести к потере трудоспособности и инвалидности вследствие его продолж</w:t>
      </w:r>
      <w:r>
        <w:t>и</w:t>
      </w:r>
      <w:r>
        <w:t xml:space="preserve">тельности или хронического характера. Правозащитная модель инвалидности требует учета разнообразия инвалидов (преамбула, пункт </w:t>
      </w:r>
      <w:r w:rsidRPr="005F0F00">
        <w:t>i</w:t>
      </w:r>
      <w:r w:rsidRPr="002B226E">
        <w:t>)</w:t>
      </w:r>
      <w:r>
        <w:t>) наряду со взаим</w:t>
      </w:r>
      <w:r>
        <w:t>о</w:t>
      </w:r>
      <w:r>
        <w:t>действием между инвалидами, а также поведенческими и экологическими бар</w:t>
      </w:r>
      <w:r>
        <w:t>ь</w:t>
      </w:r>
      <w:r>
        <w:t>ерами (преамбула, пункт</w:t>
      </w:r>
      <w:r w:rsidRPr="002B226E">
        <w:t xml:space="preserve"> </w:t>
      </w:r>
      <w:r w:rsidRPr="005F0F00">
        <w:t>e</w:t>
      </w:r>
      <w:r w:rsidRPr="002B226E">
        <w:t>)</w:t>
      </w:r>
      <w:r>
        <w:t>). Комитет также отмечает, что пункт 4 статьи 4 Ко</w:t>
      </w:r>
      <w:r>
        <w:t>н</w:t>
      </w:r>
      <w:r>
        <w:t>венции не ущемляет обязательства государства-участника, закрепленные в др</w:t>
      </w:r>
      <w:r>
        <w:t>у</w:t>
      </w:r>
      <w:r>
        <w:t>гих правозащитных документах, стороной в которых оно является, в частности в Межамериканской конвенции о ликвидации всех форм дискриминации в о</w:t>
      </w:r>
      <w:r>
        <w:t>т</w:t>
      </w:r>
      <w:r>
        <w:t>ношении инвалидов. Комитет отмечает, что в последней Конвенция "инвали</w:t>
      </w:r>
      <w:r>
        <w:t>д</w:t>
      </w:r>
      <w:r>
        <w:t>ность" определяется как физическое, психическое или сенсорное нарушение, будь то постоянное или временное, которое ограничивает способность выпо</w:t>
      </w:r>
      <w:r>
        <w:t>л</w:t>
      </w:r>
      <w:r>
        <w:t>нять один или более основных видов деятельности в повседневной жизни и к</w:t>
      </w:r>
      <w:r>
        <w:t>о</w:t>
      </w:r>
      <w:r>
        <w:t>торое может быть вызвано или обострено экономической или социальной ср</w:t>
      </w:r>
      <w:r>
        <w:t>е</w:t>
      </w:r>
      <w:r>
        <w:t>дой. Комитет также считает, что статья</w:t>
      </w:r>
      <w:r w:rsidR="00DA5ED3">
        <w:t xml:space="preserve"> </w:t>
      </w:r>
      <w:r>
        <w:t>2 Факультативного протокола не пр</w:t>
      </w:r>
      <w:r>
        <w:t>е</w:t>
      </w:r>
      <w:r>
        <w:t>пятствует изучению им сообщения.</w:t>
      </w:r>
    </w:p>
    <w:p w:rsidR="000B352D" w:rsidRPr="005F0F00" w:rsidRDefault="000B352D" w:rsidP="000B352D">
      <w:pPr>
        <w:pStyle w:val="SingleTxtGR"/>
      </w:pPr>
      <w:r w:rsidRPr="005F0F00">
        <w:t>6.4</w:t>
      </w:r>
      <w:r w:rsidRPr="005F0F00">
        <w:tab/>
        <w:t>Комитет принимает к сведению утверждение государства-участника о том, что в просьбе автора о переводе было отказано из-за излишка сотрудников в соответствующем отделении, а не по причине ее инвалидности, и что поэтому ее жалоба не является обоснованной. Комитет отмечает, что проводимая Банком политика отстранения от должности сотрудников применяется ко всем сотру</w:t>
      </w:r>
      <w:r w:rsidRPr="005F0F00">
        <w:t>д</w:t>
      </w:r>
      <w:r w:rsidRPr="005F0F00">
        <w:t>никам, которые находились в отпуске по медицинским показаниям более трех месяцев, независимо от конкретной причины. Он также принимает во внимание утверждение государства-участника о том, что отказ в переводе в другое отд</w:t>
      </w:r>
      <w:r w:rsidRPr="005F0F00">
        <w:t>е</w:t>
      </w:r>
      <w:r w:rsidRPr="005F0F00">
        <w:t>ление, а также проводимая Банком политика отстранения от должности прим</w:t>
      </w:r>
      <w:r w:rsidRPr="005F0F00">
        <w:t>е</w:t>
      </w:r>
      <w:r w:rsidRPr="005F0F00">
        <w:t>няется в целях поддержания баланса между числом сотрудников в разных отд</w:t>
      </w:r>
      <w:r w:rsidRPr="005F0F00">
        <w:t>е</w:t>
      </w:r>
      <w:r w:rsidRPr="005F0F00">
        <w:t xml:space="preserve">лениях. </w:t>
      </w:r>
      <w:r>
        <w:t>Комитет считает, что дискриминация может являться следствием ди</w:t>
      </w:r>
      <w:r>
        <w:t>с</w:t>
      </w:r>
      <w:r>
        <w:t>криминационных последствий какого-либо правила или меры, которые на пе</w:t>
      </w:r>
      <w:r>
        <w:t>р</w:t>
      </w:r>
      <w:r>
        <w:t>вой взгляд являются нейтральными и не имеют своей целью дискриминацию, однако несоразмерно затрагивают инвалидов. Комитет поэтому считает, что рассматриваемый им вопрос состоит в том, оказала ли политика Банка, пред</w:t>
      </w:r>
      <w:r>
        <w:t>у</w:t>
      </w:r>
      <w:r>
        <w:t>сматривающая отстранение от должности лиц, находившихся в отпуске по м</w:t>
      </w:r>
      <w:r>
        <w:t>е</w:t>
      </w:r>
      <w:r>
        <w:t>дицинским показаниям более 90 дней, несоразмерное негативное влияние на автора, и считает, что пункт е) статьи 2 Факультативного протокола не препя</w:t>
      </w:r>
      <w:r>
        <w:t>т</w:t>
      </w:r>
      <w:r>
        <w:t>ствует изучению им настоящего сообщения.</w:t>
      </w:r>
    </w:p>
    <w:p w:rsidR="000B352D" w:rsidRPr="00DF2532" w:rsidRDefault="000B352D" w:rsidP="000B352D">
      <w:pPr>
        <w:pStyle w:val="SingleTxtGR"/>
      </w:pPr>
      <w:r>
        <w:t>6.5</w:t>
      </w:r>
      <w:r>
        <w:tab/>
        <w:t xml:space="preserve">Комитет принимает во внимание довод государства-участника о том, что автор не исчерпала внутренние средства правовой защиты, поскольку она не обратилась с жалобой во внутренние суды по поводу того, что ее отстранение от должности было связано с ее инвалидностью. </w:t>
      </w:r>
      <w:r w:rsidRPr="005F0F00">
        <w:t>Комитет принимает к свед</w:t>
      </w:r>
      <w:r w:rsidRPr="005F0F00">
        <w:t>е</w:t>
      </w:r>
      <w:r w:rsidRPr="005F0F00">
        <w:t>нию тот факт, что автор подала в Верховный суд по трудовым спорам апелл</w:t>
      </w:r>
      <w:r w:rsidRPr="005F0F00">
        <w:t>я</w:t>
      </w:r>
      <w:r w:rsidRPr="005F0F00">
        <w:t>цию в связи с жалобами по Конвенции и что эта апелляция была без рассмотр</w:t>
      </w:r>
      <w:r w:rsidRPr="005F0F00">
        <w:t>е</w:t>
      </w:r>
      <w:r w:rsidRPr="005F0F00">
        <w:t>ния ее по существу отклонена, поскольку автор не была представлена адвок</w:t>
      </w:r>
      <w:r w:rsidRPr="005F0F00">
        <w:t>а</w:t>
      </w:r>
      <w:r w:rsidRPr="005F0F00">
        <w:t xml:space="preserve">том, как это предусмотрено законом. </w:t>
      </w:r>
      <w:r>
        <w:t>Комитет также отмечает, что Бюро гос</w:t>
      </w:r>
      <w:r>
        <w:t>у</w:t>
      </w:r>
      <w:r>
        <w:t>дарственного защитника отказало автору в просьбе о бесплатной юридической помощи за отсутствием существа в этой просьбе, автор связалась с адвокатом, который отказался ее представлять. Однако автор не обосновала отсутствие у нее каких-либо других вариантов обеспечения ее юридического представител</w:t>
      </w:r>
      <w:r>
        <w:t>ь</w:t>
      </w:r>
      <w:r>
        <w:t xml:space="preserve">ства. В данных обстоятельствах Комитет считает, что пункт </w:t>
      </w:r>
      <w:r w:rsidRPr="005F0F00">
        <w:t>d</w:t>
      </w:r>
      <w:r>
        <w:t>) статьи 2 Факул</w:t>
      </w:r>
      <w:r>
        <w:t>ь</w:t>
      </w:r>
      <w:r>
        <w:t>тативного протокола не позволяет ему рассматривать данное сообщение.</w:t>
      </w:r>
    </w:p>
    <w:p w:rsidR="000B352D" w:rsidRPr="00DF2532" w:rsidRDefault="000B352D" w:rsidP="000B352D">
      <w:pPr>
        <w:pStyle w:val="SingleTxtGR"/>
      </w:pPr>
      <w:r w:rsidRPr="00360E97">
        <w:t>7.</w:t>
      </w:r>
      <w:r w:rsidRPr="00360E97">
        <w:tab/>
      </w:r>
      <w:r>
        <w:t>Соответственно Комитет по правам инвалидов постановляет, что:</w:t>
      </w:r>
    </w:p>
    <w:p w:rsidR="000B352D" w:rsidRPr="00DF2532" w:rsidRDefault="000B352D" w:rsidP="000B352D">
      <w:pPr>
        <w:pStyle w:val="SingleTxtGR"/>
      </w:pPr>
      <w:r w:rsidRPr="000B352D">
        <w:tab/>
      </w:r>
      <w:r w:rsidRPr="005F0F00">
        <w:t>а)</w:t>
      </w:r>
      <w:r w:rsidRPr="005F0F00">
        <w:tab/>
        <w:t xml:space="preserve">сообщение является неприемлемым по пункту </w:t>
      </w:r>
      <w:proofErr w:type="spellStart"/>
      <w:r w:rsidRPr="005F0F00">
        <w:t>d</w:t>
      </w:r>
      <w:proofErr w:type="spellEnd"/>
      <w:r w:rsidRPr="005F0F00">
        <w:t>) статьи 2 Факул</w:t>
      </w:r>
      <w:r w:rsidRPr="005F0F00">
        <w:t>ь</w:t>
      </w:r>
      <w:r w:rsidRPr="005F0F00">
        <w:t>тативного протокола;</w:t>
      </w:r>
    </w:p>
    <w:p w:rsidR="000B352D" w:rsidRDefault="000B352D" w:rsidP="000B352D">
      <w:pPr>
        <w:pStyle w:val="SingleTxtGR"/>
        <w:rPr>
          <w:lang w:val="en-US"/>
        </w:rPr>
      </w:pPr>
      <w:r w:rsidRPr="005F0F00">
        <w:tab/>
      </w:r>
      <w:proofErr w:type="spellStart"/>
      <w:r w:rsidRPr="005F0F00">
        <w:t>b</w:t>
      </w:r>
      <w:proofErr w:type="spellEnd"/>
      <w:r w:rsidRPr="00DF2532">
        <w:t>)</w:t>
      </w:r>
      <w:r w:rsidRPr="00DF2532">
        <w:tab/>
      </w:r>
      <w:r>
        <w:t>настоящее решение подлежит препровождению государству-участнику и автору.</w:t>
      </w:r>
    </w:p>
    <w:p w:rsidR="000B352D" w:rsidRPr="000B352D" w:rsidRDefault="000B352D" w:rsidP="000B352D">
      <w:pPr>
        <w:spacing w:before="240"/>
        <w:jc w:val="center"/>
        <w:rPr>
          <w:u w:val="single"/>
          <w:lang w:val="en-US"/>
        </w:rPr>
      </w:pPr>
      <w:r>
        <w:rPr>
          <w:u w:val="single"/>
          <w:lang w:val="en-US"/>
        </w:rPr>
        <w:tab/>
      </w:r>
      <w:r>
        <w:rPr>
          <w:u w:val="single"/>
          <w:lang w:val="en-US"/>
        </w:rPr>
        <w:tab/>
      </w:r>
      <w:r>
        <w:rPr>
          <w:u w:val="single"/>
          <w:lang w:val="en-US"/>
        </w:rPr>
        <w:tab/>
      </w:r>
    </w:p>
    <w:sectPr w:rsidR="000B352D" w:rsidRPr="000B352D" w:rsidSect="007511D7">
      <w:headerReference w:type="even" r:id="rId8"/>
      <w:headerReference w:type="default" r:id="rId9"/>
      <w:footerReference w:type="even" r:id="rId10"/>
      <w:footerReference w:type="default" r:id="rId11"/>
      <w:footerReference w:type="first" r:id="rId12"/>
      <w:pgSz w:w="11907" w:h="16840" w:code="9"/>
      <w:pgMar w:top="1701" w:right="1134" w:bottom="2268" w:left="1134" w:header="1134"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2C" w:rsidRDefault="00AD372C">
      <w:r>
        <w:rPr>
          <w:lang w:val="en-US"/>
        </w:rPr>
        <w:tab/>
      </w:r>
      <w:r>
        <w:separator/>
      </w:r>
    </w:p>
  </w:endnote>
  <w:endnote w:type="continuationSeparator" w:id="0">
    <w:p w:rsidR="00AD372C" w:rsidRDefault="00AD3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2C" w:rsidRPr="009A6F4A" w:rsidRDefault="00AD372C">
    <w:pPr>
      <w:pStyle w:val="Footer"/>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lang w:val="en-US"/>
      </w:rPr>
      <w:tab/>
      <w:t>GE.14-19274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2C" w:rsidRPr="009A6F4A" w:rsidRDefault="00AD372C">
    <w:pPr>
      <w:pStyle w:val="Footer"/>
      <w:rPr>
        <w:lang w:val="en-US"/>
      </w:rPr>
    </w:pPr>
    <w:r>
      <w:rPr>
        <w:lang w:val="en-US"/>
      </w:rPr>
      <w:t>GE.14-19274</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bottom w:val="none" w:sz="0" w:space="0" w:color="auto"/>
      </w:tblBorders>
      <w:tblLook w:val="01E0"/>
    </w:tblPr>
    <w:tblGrid>
      <w:gridCol w:w="3979"/>
      <w:gridCol w:w="4655"/>
      <w:gridCol w:w="1221"/>
    </w:tblGrid>
    <w:tr w:rsidR="00AD372C" w:rsidTr="00441562">
      <w:trPr>
        <w:cnfStyle w:val="100000000000"/>
        <w:trHeight w:val="438"/>
      </w:trPr>
      <w:tc>
        <w:tcPr>
          <w:tcW w:w="4068" w:type="dxa"/>
          <w:vAlign w:val="bottom"/>
        </w:tcPr>
        <w:p w:rsidR="00AD372C" w:rsidRPr="00EB705C" w:rsidRDefault="00AD372C" w:rsidP="00441562">
          <w:pPr>
            <w:rPr>
              <w:sz w:val="20"/>
            </w:rPr>
          </w:pPr>
          <w:r>
            <w:rPr>
              <w:sz w:val="20"/>
              <w:lang w:val="en-US"/>
            </w:rPr>
            <w:t>GE.</w:t>
          </w:r>
          <w:r w:rsidRPr="00C84171">
            <w:rPr>
              <w:sz w:val="20"/>
              <w:lang w:val="en-US"/>
            </w:rPr>
            <w:t>1</w:t>
          </w:r>
          <w:r>
            <w:rPr>
              <w:sz w:val="20"/>
              <w:lang w:val="en-US"/>
            </w:rPr>
            <w:t>4</w:t>
          </w:r>
          <w:r w:rsidRPr="00C84171">
            <w:rPr>
              <w:sz w:val="20"/>
              <w:lang w:val="en-US"/>
            </w:rPr>
            <w:t>-</w:t>
          </w:r>
          <w:r>
            <w:rPr>
              <w:sz w:val="20"/>
              <w:lang w:val="en-US"/>
            </w:rPr>
            <w:t>19274</w:t>
          </w:r>
          <w:r w:rsidRPr="00C84171">
            <w:rPr>
              <w:sz w:val="20"/>
              <w:lang w:val="en-US"/>
            </w:rPr>
            <w:t xml:space="preserve">  (R)</w:t>
          </w:r>
          <w:r>
            <w:rPr>
              <w:sz w:val="20"/>
            </w:rPr>
            <w:t xml:space="preserve">  151214  161214</w:t>
          </w:r>
        </w:p>
      </w:tc>
      <w:tc>
        <w:tcPr>
          <w:tcW w:w="4663" w:type="dxa"/>
          <w:vMerge w:val="restart"/>
          <w:vAlign w:val="bottom"/>
        </w:tcPr>
        <w:p w:rsidR="00AD372C" w:rsidRDefault="00AD372C" w:rsidP="00441562">
          <w:pPr>
            <w:spacing w:after="120"/>
            <w:jc w:val="right"/>
          </w:pPr>
          <w:r w:rsidRPr="00206282">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3pt;height:18pt">
                <v:imagedata r:id="rId1" o:title="recycle_Russian"/>
              </v:shape>
            </w:pict>
          </w:r>
        </w:p>
      </w:tc>
      <w:tc>
        <w:tcPr>
          <w:tcW w:w="1124" w:type="dxa"/>
          <w:vMerge w:val="restart"/>
          <w:vAlign w:val="bottom"/>
        </w:tcPr>
        <w:p w:rsidR="00AD372C" w:rsidRDefault="00AD372C" w:rsidP="00441562">
          <w:pPr>
            <w:jc w:val="right"/>
          </w:pPr>
          <w:r>
            <w:pict>
              <v:shape id="_x0000_i1027" type="#_x0000_t75" style="width:50.25pt;height:50.25pt">
                <v:imagedata r:id="rId2" o:title="2013&amp;Size=2&amp;Lang=R"/>
              </v:shape>
            </w:pict>
          </w:r>
        </w:p>
      </w:tc>
    </w:tr>
    <w:tr w:rsidR="00AD372C" w:rsidRPr="00797A78" w:rsidTr="00441562">
      <w:tc>
        <w:tcPr>
          <w:tcW w:w="4068" w:type="dxa"/>
          <w:vAlign w:val="bottom"/>
        </w:tcPr>
        <w:p w:rsidR="00AD372C" w:rsidRPr="00E25995" w:rsidRDefault="00AD372C" w:rsidP="00441562">
          <w:pPr>
            <w:rPr>
              <w:rFonts w:ascii="C39T30Lfz" w:hAnsi="C39T30Lfz"/>
              <w:spacing w:val="0"/>
              <w:w w:val="100"/>
              <w:kern w:val="0"/>
              <w:sz w:val="56"/>
              <w:szCs w:val="56"/>
              <w:lang w:val="en-US" w:eastAsia="ru-RU"/>
            </w:rPr>
          </w:pP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r w:rsidRPr="00E25995">
            <w:rPr>
              <w:rFonts w:ascii="C39T30Lfz" w:hAnsi="C39T30Lfz"/>
              <w:spacing w:val="0"/>
              <w:w w:val="100"/>
              <w:kern w:val="0"/>
              <w:sz w:val="56"/>
              <w:szCs w:val="56"/>
              <w:lang w:val="en-US" w:eastAsia="ru-RU"/>
            </w:rPr>
            <w:t></w:t>
          </w:r>
        </w:p>
      </w:tc>
      <w:tc>
        <w:tcPr>
          <w:tcW w:w="4663" w:type="dxa"/>
          <w:vMerge/>
        </w:tcPr>
        <w:p w:rsidR="00AD372C" w:rsidRDefault="00AD372C" w:rsidP="00441562"/>
      </w:tc>
      <w:tc>
        <w:tcPr>
          <w:tcW w:w="1124" w:type="dxa"/>
          <w:vMerge/>
        </w:tcPr>
        <w:p w:rsidR="00AD372C" w:rsidRDefault="00AD372C" w:rsidP="00441562"/>
      </w:tc>
    </w:tr>
  </w:tbl>
  <w:p w:rsidR="00AD372C" w:rsidRDefault="00AD372C" w:rsidP="00C84171">
    <w:pPr>
      <w:spacing w:line="240" w:lineRule="auto"/>
      <w:rPr>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2C" w:rsidRPr="00F71F63" w:rsidRDefault="00AD372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AD372C" w:rsidRPr="00F71F63" w:rsidRDefault="00AD372C" w:rsidP="00635E86">
      <w:pPr>
        <w:tabs>
          <w:tab w:val="right" w:pos="2155"/>
        </w:tabs>
        <w:spacing w:after="80" w:line="240" w:lineRule="auto"/>
        <w:rPr>
          <w:u w:val="single"/>
          <w:lang w:val="en-US"/>
        </w:rPr>
      </w:pPr>
      <w:r w:rsidRPr="00F71F63">
        <w:rPr>
          <w:u w:val="single"/>
          <w:lang w:val="en-US"/>
        </w:rPr>
        <w:tab/>
      </w:r>
    </w:p>
    <w:p w:rsidR="00AD372C" w:rsidRPr="00635E86" w:rsidRDefault="00AD372C" w:rsidP="00635E86">
      <w:pPr>
        <w:pStyle w:val="Footer"/>
      </w:pPr>
    </w:p>
  </w:footnote>
  <w:footnote w:id="1">
    <w:p w:rsidR="00AD372C" w:rsidRPr="000A5C8E" w:rsidRDefault="00AD372C" w:rsidP="000B352D">
      <w:pPr>
        <w:pStyle w:val="FootnoteText"/>
        <w:rPr>
          <w:szCs w:val="18"/>
          <w:lang w:val="ru-RU"/>
        </w:rPr>
      </w:pPr>
      <w:r w:rsidRPr="000A5C8E">
        <w:rPr>
          <w:lang w:val="ru-RU"/>
        </w:rPr>
        <w:tab/>
      </w:r>
      <w:r w:rsidRPr="00C74313">
        <w:rPr>
          <w:rStyle w:val="FootnoteReference"/>
          <w:sz w:val="20"/>
          <w:vertAlign w:val="baseline"/>
          <w:lang w:val="ru-RU"/>
        </w:rPr>
        <w:t>*</w:t>
      </w:r>
      <w:r w:rsidRPr="000A5C8E">
        <w:rPr>
          <w:lang w:val="ru-RU"/>
        </w:rPr>
        <w:tab/>
      </w:r>
      <w:r w:rsidRPr="000A5C8E">
        <w:rPr>
          <w:szCs w:val="18"/>
          <w:lang w:val="ru-RU"/>
        </w:rPr>
        <w:t xml:space="preserve">В рассмотрении настоящего сообщения принимали участие следующие члены Комитета: Мухаммед Аль-Таравнех, Мартин Бабу Мвесигма, Мунтиан Бунтан, Мария Соледад Систернас Рейес, Терезия Дегенер, Хюн Сик Ким, Лотфи Бен Лаллахом, Стиг Лангвад, Эдда Вангечи Майна, Рональд МакКаллум, Ана Пелаэс Нарваес, Сильвия Джудит Кван-Чанг, Карлос Риос Эспиноса, Дамьян Татич и Герман Хавьер Торрес Корреа. </w:t>
      </w:r>
    </w:p>
  </w:footnote>
  <w:footnote w:id="2">
    <w:p w:rsidR="00AD372C" w:rsidRPr="000A5C8E" w:rsidRDefault="00AD372C" w:rsidP="000B352D">
      <w:pPr>
        <w:pStyle w:val="FootnoteText"/>
        <w:widowControl w:val="0"/>
        <w:tabs>
          <w:tab w:val="clear" w:pos="1021"/>
          <w:tab w:val="right" w:pos="1020"/>
        </w:tabs>
        <w:rPr>
          <w:lang w:val="ru-RU"/>
        </w:rPr>
      </w:pPr>
      <w:r w:rsidRPr="000A5C8E">
        <w:rPr>
          <w:lang w:val="ru-RU"/>
        </w:rPr>
        <w:tab/>
      </w:r>
      <w:r w:rsidRPr="000A5C8E">
        <w:rPr>
          <w:rStyle w:val="FootnoteReference"/>
          <w:lang w:val="ru-RU"/>
        </w:rPr>
        <w:footnoteRef/>
      </w:r>
      <w:r w:rsidRPr="000A5C8E">
        <w:rPr>
          <w:lang w:val="ru-RU"/>
        </w:rPr>
        <w:tab/>
        <w:t xml:space="preserve">Автор представила перевод медицинской справки от 14 декабря 2006 года, заявив, что из-за ДТП при езде на мотоцикле 9 июня 2006 года было травмировано ее левое колено в форме разрыва мениска, повреждения хрящевой ткани и трещины мощелока бедренной кости, а также левой суставной поверхности большеберцевой кости. </w:t>
      </w:r>
      <w:r w:rsidRPr="000A5C8E">
        <w:rPr>
          <w:lang w:val="ru-RU"/>
        </w:rPr>
        <w:br/>
        <w:t>На трещине была проведена консервативная терапия, а повреждения связок были устранены в результате хирургического вмешательства. Прогнозировался посттравматический остеоартрит колена.</w:t>
      </w:r>
    </w:p>
  </w:footnote>
  <w:footnote w:id="3">
    <w:p w:rsidR="00AD372C" w:rsidRPr="000A5C8E" w:rsidRDefault="00AD372C" w:rsidP="000B352D">
      <w:pPr>
        <w:pStyle w:val="FootnoteText"/>
        <w:widowControl w:val="0"/>
        <w:tabs>
          <w:tab w:val="clear" w:pos="1021"/>
          <w:tab w:val="right" w:pos="1020"/>
        </w:tabs>
        <w:rPr>
          <w:lang w:val="ru-RU"/>
        </w:rPr>
      </w:pPr>
      <w:r w:rsidRPr="000A5C8E">
        <w:rPr>
          <w:lang w:val="ru-RU"/>
        </w:rPr>
        <w:tab/>
      </w:r>
      <w:r w:rsidRPr="000A5C8E">
        <w:rPr>
          <w:rStyle w:val="FootnoteReference"/>
          <w:lang w:val="ru-RU"/>
        </w:rPr>
        <w:footnoteRef/>
      </w:r>
      <w:r w:rsidRPr="000A5C8E">
        <w:rPr>
          <w:lang w:val="ru-RU"/>
        </w:rPr>
        <w:tab/>
        <w:t>По утверждению автора, врач "Банку ду Бразил" требовал, чтобы она прошла медицинское освидетельствование. В поддержку этого утверждения автор прилагает копию медицинского заключения, выданн</w:t>
      </w:r>
      <w:r>
        <w:rPr>
          <w:lang w:val="ru-RU"/>
        </w:rPr>
        <w:t>ого 21 июля 2009 года врачом по </w:t>
      </w:r>
      <w:r w:rsidRPr="000A5C8E">
        <w:rPr>
          <w:lang w:val="ru-RU"/>
        </w:rPr>
        <w:t xml:space="preserve">профессиональной охране здоровья, который указал, что автор нуждается </w:t>
      </w:r>
      <w:r>
        <w:rPr>
          <w:lang w:val="ru-RU"/>
        </w:rPr>
        <w:br/>
      </w:r>
      <w:r w:rsidRPr="000A5C8E">
        <w:rPr>
          <w:lang w:val="ru-RU"/>
        </w:rPr>
        <w:t xml:space="preserve">в </w:t>
      </w:r>
      <w:r>
        <w:rPr>
          <w:lang w:val="ru-RU"/>
        </w:rPr>
        <w:t>30-дневном</w:t>
      </w:r>
      <w:r w:rsidRPr="000A5C8E">
        <w:rPr>
          <w:lang w:val="ru-RU"/>
        </w:rPr>
        <w:t xml:space="preserve"> отдыхе от ее деятельности из-за проблем со здоровьем. </w:t>
      </w:r>
      <w:r w:rsidRPr="000A5C8E">
        <w:rPr>
          <w:lang w:val="ru-RU"/>
        </w:rPr>
        <w:br/>
        <w:t>В этом заключении не приводятся никакие другие подробные данные. Автор представила отдельное, не датированное медицинское заключ</w:t>
      </w:r>
      <w:r>
        <w:rPr>
          <w:lang w:val="ru-RU"/>
        </w:rPr>
        <w:t>ение от своего врача, в </w:t>
      </w:r>
      <w:r w:rsidRPr="000A5C8E">
        <w:rPr>
          <w:lang w:val="ru-RU"/>
        </w:rPr>
        <w:t>котором ей предписывалось воздержаться от работы в период с 10 августа 2009 года до 10 октября 2009 года (т.е. в течение 60 дней).</w:t>
      </w:r>
    </w:p>
  </w:footnote>
  <w:footnote w:id="4">
    <w:p w:rsidR="00AD372C" w:rsidRPr="000A5C8E" w:rsidRDefault="00AD372C" w:rsidP="000B352D">
      <w:pPr>
        <w:pStyle w:val="FootnoteText"/>
        <w:widowControl w:val="0"/>
        <w:tabs>
          <w:tab w:val="clear" w:pos="1021"/>
          <w:tab w:val="right" w:pos="1020"/>
        </w:tabs>
        <w:rPr>
          <w:lang w:val="ru-RU"/>
        </w:rPr>
      </w:pPr>
      <w:r w:rsidRPr="000A5C8E">
        <w:rPr>
          <w:lang w:val="ru-RU"/>
        </w:rPr>
        <w:tab/>
      </w:r>
      <w:r w:rsidRPr="000A5C8E">
        <w:rPr>
          <w:rStyle w:val="FootnoteReference"/>
          <w:lang w:val="ru-RU"/>
        </w:rPr>
        <w:footnoteRef/>
      </w:r>
      <w:r w:rsidRPr="000A5C8E">
        <w:rPr>
          <w:lang w:val="ru-RU"/>
        </w:rPr>
        <w:tab/>
        <w:t>Автор представила копию выданного ее врачом рецепта на "Миосан</w:t>
      </w:r>
      <w:r w:rsidRPr="000A5C8E">
        <w:rPr>
          <w:vertAlign w:val="superscript"/>
          <w:lang w:val="ru-RU"/>
        </w:rPr>
        <w:t>®</w:t>
      </w:r>
      <w:r w:rsidRPr="000A5C8E">
        <w:rPr>
          <w:lang w:val="ru-RU"/>
        </w:rPr>
        <w:t>" от 18 июня 2010 года.</w:t>
      </w:r>
    </w:p>
  </w:footnote>
  <w:footnote w:id="5">
    <w:p w:rsidR="00AD372C" w:rsidRPr="000A5C8E" w:rsidRDefault="00AD372C" w:rsidP="000B352D">
      <w:pPr>
        <w:pStyle w:val="FootnoteText"/>
        <w:widowControl w:val="0"/>
        <w:tabs>
          <w:tab w:val="clear" w:pos="1021"/>
          <w:tab w:val="right" w:pos="1020"/>
        </w:tabs>
        <w:rPr>
          <w:lang w:val="ru-RU"/>
        </w:rPr>
      </w:pPr>
      <w:r w:rsidRPr="000A5C8E">
        <w:rPr>
          <w:lang w:val="ru-RU"/>
        </w:rPr>
        <w:tab/>
      </w:r>
      <w:r w:rsidRPr="000A5C8E">
        <w:rPr>
          <w:rStyle w:val="FootnoteReference"/>
          <w:lang w:val="ru-RU"/>
        </w:rPr>
        <w:footnoteRef/>
      </w:r>
      <w:r w:rsidRPr="000A5C8E">
        <w:rPr>
          <w:lang w:val="ru-RU"/>
        </w:rPr>
        <w:tab/>
        <w:t>Автор представила фотографию своего рабочего места.</w:t>
      </w:r>
    </w:p>
  </w:footnote>
  <w:footnote w:id="6">
    <w:p w:rsidR="00AD372C" w:rsidRPr="000A5C8E" w:rsidRDefault="00AD372C" w:rsidP="000B352D">
      <w:pPr>
        <w:pStyle w:val="FootnoteText"/>
        <w:widowControl w:val="0"/>
        <w:tabs>
          <w:tab w:val="clear" w:pos="1021"/>
          <w:tab w:val="right" w:pos="1020"/>
        </w:tabs>
        <w:rPr>
          <w:lang w:val="ru-RU"/>
        </w:rPr>
      </w:pPr>
      <w:r w:rsidRPr="000A5C8E">
        <w:rPr>
          <w:lang w:val="ru-RU"/>
        </w:rPr>
        <w:tab/>
      </w:r>
      <w:r w:rsidRPr="000A5C8E">
        <w:rPr>
          <w:rStyle w:val="FootnoteReference"/>
          <w:lang w:val="ru-RU"/>
        </w:rPr>
        <w:footnoteRef/>
      </w:r>
      <w:r w:rsidRPr="000A5C8E">
        <w:rPr>
          <w:lang w:val="ru-RU"/>
        </w:rPr>
        <w:tab/>
        <w:t>Такие аргументы были приведены в неофициал</w:t>
      </w:r>
      <w:r>
        <w:rPr>
          <w:lang w:val="ru-RU"/>
        </w:rPr>
        <w:t>ьном переводе текста решения на </w:t>
      </w:r>
      <w:r w:rsidRPr="000A5C8E">
        <w:rPr>
          <w:lang w:val="ru-RU"/>
        </w:rPr>
        <w:t>французский язык, который был представлен автором.</w:t>
      </w:r>
    </w:p>
  </w:footnote>
  <w:footnote w:id="7">
    <w:p w:rsidR="00AD372C" w:rsidRPr="000B352D" w:rsidRDefault="00AD372C" w:rsidP="000B352D">
      <w:pPr>
        <w:pStyle w:val="FootnoteText"/>
        <w:widowControl w:val="0"/>
        <w:tabs>
          <w:tab w:val="clear" w:pos="1021"/>
          <w:tab w:val="right" w:pos="1020"/>
        </w:tabs>
        <w:rPr>
          <w:lang w:val="ru-RU"/>
        </w:rPr>
      </w:pPr>
      <w:r w:rsidRPr="000A5C8E">
        <w:rPr>
          <w:lang w:val="ru-RU"/>
        </w:rPr>
        <w:tab/>
      </w:r>
      <w:r w:rsidRPr="000A5C8E">
        <w:rPr>
          <w:rStyle w:val="FootnoteReference"/>
          <w:lang w:val="ru-RU"/>
        </w:rPr>
        <w:footnoteRef/>
      </w:r>
      <w:r w:rsidRPr="000A5C8E">
        <w:rPr>
          <w:lang w:val="ru-RU"/>
        </w:rPr>
        <w:tab/>
        <w:t xml:space="preserve">Автор представила неофициальный перевод на французский язык текста решения апелляционной инстанции, которая отклонила ее жалобу на том основании, что внутренняя политика банка предусматривает перевод на менее значительную должность на 91-й день нахождения в отпуске по медицинским показаниям, которая не является дискриминационной, поскольку это же правило распространяется на весь </w:t>
      </w:r>
      <w:r w:rsidRPr="000B352D">
        <w:rPr>
          <w:lang w:val="ru-RU"/>
        </w:rPr>
        <w:t>персонал без каких-либо различий; что автор не</w:t>
      </w:r>
      <w:r>
        <w:rPr>
          <w:lang w:val="ru-RU"/>
        </w:rPr>
        <w:t xml:space="preserve"> сослалась на такую политику во </w:t>
      </w:r>
      <w:r w:rsidRPr="000B352D">
        <w:rPr>
          <w:lang w:val="ru-RU"/>
        </w:rPr>
        <w:t>время судебных слушаний, что она должна была сделать; что политика не является неконституционной, т</w:t>
      </w:r>
      <w:r>
        <w:rPr>
          <w:lang w:val="ru-RU"/>
        </w:rPr>
        <w:t>ак как</w:t>
      </w:r>
      <w:r w:rsidRPr="000B352D">
        <w:rPr>
          <w:lang w:val="ru-RU"/>
        </w:rPr>
        <w:t xml:space="preserve"> она обеспечивает равное обращение с лицами, находящимися в сходных юридических ситуациях; что тот факт, что к одной из сотрудниц автора не было применено это же правило после ее нахождения в отпуске по беременности по истечении 90 дней, не может служить подтверждением </w:t>
      </w:r>
      <w:r>
        <w:rPr>
          <w:lang w:val="ru-RU"/>
        </w:rPr>
        <w:t>справедливости жалобы автора, так как</w:t>
      </w:r>
      <w:r w:rsidRPr="000B352D">
        <w:rPr>
          <w:lang w:val="ru-RU"/>
        </w:rPr>
        <w:t xml:space="preserve"> данное правило применяется к отпуску по м</w:t>
      </w:r>
      <w:r>
        <w:rPr>
          <w:lang w:val="ru-RU"/>
        </w:rPr>
        <w:t>едицинским показаниям, а не к </w:t>
      </w:r>
      <w:r w:rsidRPr="000B352D">
        <w:rPr>
          <w:lang w:val="ru-RU"/>
        </w:rPr>
        <w:t>отпуску по беременности и родам; и что решение о переводе автора в новое отделение не гарантирует, что ей будет разрешено постоянно оставаться на своей должности кассира.</w:t>
      </w:r>
    </w:p>
  </w:footnote>
  <w:footnote w:id="8">
    <w:p w:rsidR="00AD372C" w:rsidRPr="000B352D" w:rsidRDefault="00AD372C" w:rsidP="000B352D">
      <w:pPr>
        <w:pStyle w:val="FootnoteText"/>
        <w:widowControl w:val="0"/>
        <w:tabs>
          <w:tab w:val="clear" w:pos="1021"/>
          <w:tab w:val="right" w:pos="1020"/>
        </w:tabs>
        <w:rPr>
          <w:lang w:val="ru-RU"/>
        </w:rPr>
      </w:pPr>
      <w:r w:rsidRPr="00091A62">
        <w:rPr>
          <w:lang w:val="ru-RU"/>
        </w:rPr>
        <w:tab/>
      </w:r>
      <w:r w:rsidRPr="00177281">
        <w:rPr>
          <w:rStyle w:val="FootnoteReference"/>
        </w:rPr>
        <w:footnoteRef/>
      </w:r>
      <w:r w:rsidRPr="0021449A">
        <w:rPr>
          <w:lang w:val="ru-RU"/>
        </w:rPr>
        <w:tab/>
      </w:r>
      <w:r w:rsidRPr="000B352D">
        <w:rPr>
          <w:lang w:val="ru-RU"/>
        </w:rPr>
        <w:t>Автор представил официальный перевод на французский язык текста отрицательного решения Бюро государственного защитника.</w:t>
      </w:r>
    </w:p>
  </w:footnote>
  <w:footnote w:id="9">
    <w:p w:rsidR="00AD372C" w:rsidRPr="000B352D" w:rsidRDefault="00AD372C" w:rsidP="000B352D">
      <w:pPr>
        <w:pStyle w:val="FootnoteText"/>
        <w:widowControl w:val="0"/>
        <w:tabs>
          <w:tab w:val="clear" w:pos="1021"/>
          <w:tab w:val="right" w:pos="1020"/>
        </w:tabs>
        <w:rPr>
          <w:lang w:val="ru-RU"/>
        </w:rPr>
      </w:pPr>
      <w:r w:rsidRPr="004A094E">
        <w:rPr>
          <w:lang w:val="ru-RU"/>
        </w:rPr>
        <w:tab/>
      </w:r>
      <w:r w:rsidRPr="00177281">
        <w:rPr>
          <w:rStyle w:val="FootnoteReference"/>
        </w:rPr>
        <w:footnoteRef/>
      </w:r>
      <w:r w:rsidRPr="0021449A">
        <w:rPr>
          <w:lang w:val="ru-RU"/>
        </w:rPr>
        <w:tab/>
      </w:r>
      <w:r w:rsidRPr="000B352D">
        <w:rPr>
          <w:lang w:val="ru-RU"/>
        </w:rPr>
        <w:t xml:space="preserve">Автор представила неофициальный перевод на французский язык текста отрицательного решения по ее апелляции. Согласно представленному переводу текста прецедентное право не позволяет истцам возбуждать в суде дела </w:t>
      </w:r>
      <w:r w:rsidRPr="00A50783">
        <w:t>jus</w:t>
      </w:r>
      <w:r w:rsidRPr="000B352D">
        <w:rPr>
          <w:lang w:val="ru-RU"/>
        </w:rPr>
        <w:t xml:space="preserve"> </w:t>
      </w:r>
      <w:r w:rsidRPr="00A50783">
        <w:t>postulandi</w:t>
      </w:r>
      <w:r w:rsidRPr="000B352D">
        <w:rPr>
          <w:lang w:val="ru-RU"/>
        </w:rPr>
        <w:t xml:space="preserve"> (т.е. без представительства адвоката)</w:t>
      </w:r>
      <w:r>
        <w:rPr>
          <w:lang w:val="ru-RU"/>
        </w:rPr>
        <w:t>,</w:t>
      </w:r>
      <w:r w:rsidRPr="000B352D">
        <w:rPr>
          <w:lang w:val="ru-RU"/>
        </w:rPr>
        <w:t xml:space="preserve"> кроме как в определенных обстоятельствах, которые не применимы в ее случае.</w:t>
      </w:r>
    </w:p>
  </w:footnote>
  <w:footnote w:id="10">
    <w:p w:rsidR="00AD372C" w:rsidRPr="000B352D" w:rsidRDefault="00AD372C" w:rsidP="000B352D">
      <w:pPr>
        <w:pStyle w:val="FootnoteText"/>
        <w:widowControl w:val="0"/>
        <w:tabs>
          <w:tab w:val="clear" w:pos="1021"/>
          <w:tab w:val="right" w:pos="1020"/>
        </w:tabs>
        <w:rPr>
          <w:lang w:val="ru-RU"/>
        </w:rPr>
      </w:pPr>
      <w:r w:rsidRPr="00EE7FFB">
        <w:rPr>
          <w:lang w:val="ru-RU"/>
        </w:rPr>
        <w:tab/>
      </w:r>
      <w:r w:rsidRPr="00177281">
        <w:rPr>
          <w:rStyle w:val="FootnoteReference"/>
        </w:rPr>
        <w:footnoteRef/>
      </w:r>
      <w:r w:rsidRPr="0021449A">
        <w:rPr>
          <w:lang w:val="ru-RU"/>
        </w:rPr>
        <w:tab/>
      </w:r>
      <w:r w:rsidRPr="00BF7090">
        <w:rPr>
          <w:lang w:val="ru-RU"/>
        </w:rPr>
        <w:t>Автор утверждает, что, вопреки трудностям в банке, она не ушла со своей должности в "Банку ду Бразил", поскольку нуждается в работе для обеспечения своего существования, т</w:t>
      </w:r>
      <w:r>
        <w:rPr>
          <w:lang w:val="ru-RU"/>
        </w:rPr>
        <w:t>ак как</w:t>
      </w:r>
      <w:r w:rsidRPr="00BF7090">
        <w:rPr>
          <w:lang w:val="ru-RU"/>
        </w:rPr>
        <w:t xml:space="preserve"> у нее возникли серьезные проблемы с политиками из-за ее деятельности в качестве журналиста-фрилансера, и по этой причине она считает, что подвергнется преследованиям, даже если она пер</w:t>
      </w:r>
      <w:r>
        <w:rPr>
          <w:lang w:val="ru-RU"/>
        </w:rPr>
        <w:t>ейдет в другое учреждение или в </w:t>
      </w:r>
      <w:r w:rsidRPr="00BF7090">
        <w:rPr>
          <w:lang w:val="ru-RU"/>
        </w:rPr>
        <w:t>частное предприятие.</w:t>
      </w:r>
    </w:p>
  </w:footnote>
  <w:footnote w:id="11">
    <w:p w:rsidR="00AD372C" w:rsidRPr="000B352D" w:rsidRDefault="00AD372C" w:rsidP="000B352D">
      <w:pPr>
        <w:pStyle w:val="FootnoteText"/>
        <w:widowControl w:val="0"/>
        <w:tabs>
          <w:tab w:val="clear" w:pos="1021"/>
          <w:tab w:val="right" w:pos="1020"/>
        </w:tabs>
        <w:rPr>
          <w:lang w:val="ru-RU"/>
        </w:rPr>
      </w:pPr>
      <w:r w:rsidRPr="00E17560">
        <w:rPr>
          <w:lang w:val="ru-RU"/>
        </w:rPr>
        <w:tab/>
      </w:r>
      <w:r w:rsidRPr="00177281">
        <w:rPr>
          <w:rStyle w:val="FootnoteReference"/>
        </w:rPr>
        <w:footnoteRef/>
      </w:r>
      <w:r w:rsidRPr="0021449A">
        <w:rPr>
          <w:lang w:val="ru-RU"/>
        </w:rPr>
        <w:tab/>
      </w:r>
      <w:r w:rsidRPr="000B352D">
        <w:rPr>
          <w:lang w:val="ru-RU"/>
        </w:rPr>
        <w:t>Автор представила медицинское заключение и перевод его текста на французский язык.</w:t>
      </w:r>
    </w:p>
  </w:footnote>
  <w:footnote w:id="12">
    <w:p w:rsidR="00AD372C" w:rsidRPr="000B352D" w:rsidRDefault="00AD372C" w:rsidP="000B352D">
      <w:pPr>
        <w:pStyle w:val="FootnoteText"/>
        <w:widowControl w:val="0"/>
        <w:tabs>
          <w:tab w:val="clear" w:pos="1021"/>
          <w:tab w:val="right" w:pos="1020"/>
        </w:tabs>
        <w:rPr>
          <w:lang w:val="ru-RU"/>
        </w:rPr>
      </w:pPr>
      <w:r w:rsidRPr="00E470A3">
        <w:rPr>
          <w:lang w:val="ru-RU"/>
        </w:rPr>
        <w:tab/>
      </w:r>
      <w:r w:rsidRPr="00177281">
        <w:rPr>
          <w:rStyle w:val="FootnoteReference"/>
        </w:rPr>
        <w:footnoteRef/>
      </w:r>
      <w:r w:rsidRPr="0021449A">
        <w:rPr>
          <w:lang w:val="ru-RU"/>
        </w:rPr>
        <w:tab/>
      </w:r>
      <w:r w:rsidRPr="00706F7B">
        <w:rPr>
          <w:lang w:val="ru-RU"/>
        </w:rPr>
        <w:t>Автор представила неофициальный перевод текста элек</w:t>
      </w:r>
      <w:r>
        <w:rPr>
          <w:lang w:val="ru-RU"/>
        </w:rPr>
        <w:t>тронного сообщения на </w:t>
      </w:r>
      <w:r w:rsidRPr="00706F7B">
        <w:rPr>
          <w:lang w:val="ru-RU"/>
        </w:rPr>
        <w:t xml:space="preserve">французский язык, которое она направила 27 августа 2012 года менеджеру "Банку ду Бразил". В этом электронном сообщении она указывала, что ее неправомерно </w:t>
      </w:r>
      <w:r w:rsidRPr="000B352D">
        <w:rPr>
          <w:lang w:val="ru-RU"/>
        </w:rPr>
        <w:t xml:space="preserve">вынудили покинуть ее рабочую компьютерную станцию и она лишилась своего рабочего места. </w:t>
      </w:r>
      <w:r w:rsidRPr="00CF228D">
        <w:rPr>
          <w:lang w:val="ru-RU"/>
        </w:rPr>
        <w:t xml:space="preserve">В этом письме указывалось, что работающие с ней сотрудники начали пользоваться ее компьютерами и не позволяли ей возобновить на них работу для завершения написания статей, которые она в них хранила. </w:t>
      </w:r>
      <w:r w:rsidRPr="00BF7090">
        <w:rPr>
          <w:lang w:val="ru-RU"/>
        </w:rPr>
        <w:t xml:space="preserve">Автор также представила неофициальный перевод на французский язык текста электронного сообщения </w:t>
      </w:r>
      <w:r>
        <w:rPr>
          <w:lang w:val="ru-RU"/>
        </w:rPr>
        <w:br/>
      </w:r>
      <w:r w:rsidRPr="00BF7090">
        <w:rPr>
          <w:lang w:val="ru-RU"/>
        </w:rPr>
        <w:t>от 29 августа 2012 года, направленного другому</w:t>
      </w:r>
      <w:r>
        <w:rPr>
          <w:lang w:val="ru-RU"/>
        </w:rPr>
        <w:t xml:space="preserve"> менеджеру "Банку ду Бразил", в </w:t>
      </w:r>
      <w:r w:rsidRPr="00BF7090">
        <w:rPr>
          <w:lang w:val="ru-RU"/>
        </w:rPr>
        <w:t xml:space="preserve">котором она указывала, что один из работающих с ней сотрудников накануне выразил возмущение, когда она попросила его уменьшить громкость его мобильного телефона. </w:t>
      </w:r>
      <w:r w:rsidRPr="0063593A">
        <w:rPr>
          <w:lang w:val="ru-RU"/>
        </w:rPr>
        <w:t>Он от</w:t>
      </w:r>
      <w:r w:rsidRPr="000B352D">
        <w:rPr>
          <w:lang w:val="ru-RU"/>
        </w:rPr>
        <w:t>ветил, что она слишком многого хочет, поскольку она уже ранее просила его перестать стучать пальцами по столу. Автор в этом электронном сообщении указала, что такой шум мешал ей работать.</w:t>
      </w:r>
    </w:p>
  </w:footnote>
  <w:footnote w:id="13">
    <w:p w:rsidR="00AD372C" w:rsidRPr="00CF228D" w:rsidRDefault="00AD372C" w:rsidP="000B352D">
      <w:pPr>
        <w:pStyle w:val="FootnoteText"/>
        <w:widowControl w:val="0"/>
        <w:tabs>
          <w:tab w:val="clear" w:pos="1021"/>
          <w:tab w:val="right" w:pos="1020"/>
        </w:tabs>
        <w:rPr>
          <w:lang w:val="ru-RU"/>
        </w:rPr>
      </w:pPr>
      <w:r w:rsidRPr="008C0FFB">
        <w:rPr>
          <w:lang w:val="ru-RU"/>
        </w:rPr>
        <w:tab/>
      </w:r>
      <w:r w:rsidRPr="00177281">
        <w:rPr>
          <w:rStyle w:val="FootnoteReference"/>
        </w:rPr>
        <w:footnoteRef/>
      </w:r>
      <w:r w:rsidRPr="0021449A">
        <w:rPr>
          <w:lang w:val="ru-RU"/>
        </w:rPr>
        <w:tab/>
      </w:r>
      <w:r w:rsidRPr="00CF228D">
        <w:rPr>
          <w:lang w:val="ru-RU"/>
        </w:rPr>
        <w:t>Автор поясняет, что в соответствии с упомянутой политикой после взятия сотрудником отпуска на три месяца по медицинским показаниям банк вправе решить</w:t>
      </w:r>
      <w:r>
        <w:rPr>
          <w:lang w:val="ru-RU"/>
        </w:rPr>
        <w:t>,</w:t>
      </w:r>
      <w:r w:rsidRPr="00CF228D">
        <w:rPr>
          <w:lang w:val="ru-RU"/>
        </w:rPr>
        <w:t xml:space="preserve"> просить ли этого сотрудника возобновить работу по истечении трех или шести месяцев. </w:t>
      </w:r>
    </w:p>
  </w:footnote>
  <w:footnote w:id="14">
    <w:p w:rsidR="00AD372C" w:rsidRPr="000B352D" w:rsidRDefault="00AD372C" w:rsidP="009B7250">
      <w:pPr>
        <w:pStyle w:val="FootnoteText"/>
        <w:widowControl w:val="0"/>
        <w:tabs>
          <w:tab w:val="clear" w:pos="1021"/>
          <w:tab w:val="right" w:pos="1020"/>
        </w:tabs>
        <w:rPr>
          <w:lang w:val="ru-RU"/>
        </w:rPr>
      </w:pPr>
      <w:r w:rsidRPr="000D337F">
        <w:rPr>
          <w:lang w:val="ru-RU"/>
        </w:rPr>
        <w:tab/>
      </w:r>
      <w:r w:rsidRPr="00177281">
        <w:rPr>
          <w:rStyle w:val="FootnoteReference"/>
        </w:rPr>
        <w:footnoteRef/>
      </w:r>
      <w:r w:rsidRPr="0021449A">
        <w:rPr>
          <w:lang w:val="ru-RU"/>
        </w:rPr>
        <w:tab/>
      </w:r>
      <w:r w:rsidRPr="00BF7090">
        <w:rPr>
          <w:lang w:val="ru-RU"/>
        </w:rPr>
        <w:t>Государс</w:t>
      </w:r>
      <w:r>
        <w:rPr>
          <w:lang w:val="ru-RU"/>
        </w:rPr>
        <w:t>тво-участник ссылается на статью</w:t>
      </w:r>
      <w:r w:rsidRPr="00BF7090">
        <w:rPr>
          <w:lang w:val="ru-RU"/>
        </w:rPr>
        <w:t xml:space="preserve"> 3 федерального закона Бразилии №</w:t>
      </w:r>
      <w:r>
        <w:rPr>
          <w:lang w:val="ru-RU"/>
        </w:rPr>
        <w:t> </w:t>
      </w:r>
      <w:r w:rsidRPr="00BF7090">
        <w:rPr>
          <w:lang w:val="ru-RU"/>
        </w:rPr>
        <w:t>3.298/9</w:t>
      </w:r>
      <w:r w:rsidRPr="00924037">
        <w:rPr>
          <w:lang w:val="ru-RU"/>
        </w:rPr>
        <w:t xml:space="preserve">9 </w:t>
      </w:r>
      <w:r>
        <w:rPr>
          <w:lang w:val="ru-RU"/>
        </w:rPr>
        <w:t>от 20 декабря 1999 года (где дается определение инвалидности, постоянной инвалидности и нетрудоспособности).</w:t>
      </w:r>
    </w:p>
  </w:footnote>
  <w:footnote w:id="15">
    <w:p w:rsidR="00AD372C" w:rsidRPr="009B7250" w:rsidRDefault="00AD372C">
      <w:pPr>
        <w:pStyle w:val="FootnoteText"/>
        <w:rPr>
          <w:lang w:val="ru-RU"/>
        </w:rPr>
      </w:pPr>
      <w:r w:rsidRPr="009A67E8">
        <w:rPr>
          <w:lang w:val="ru-RU"/>
        </w:rPr>
        <w:tab/>
      </w:r>
      <w:r>
        <w:rPr>
          <w:rStyle w:val="FootnoteReference"/>
        </w:rPr>
        <w:footnoteRef/>
      </w:r>
      <w:r w:rsidRPr="009A67E8">
        <w:rPr>
          <w:lang w:val="ru-RU"/>
        </w:rPr>
        <w:tab/>
      </w:r>
      <w:r w:rsidRPr="00BF7090">
        <w:rPr>
          <w:lang w:val="ru-RU"/>
        </w:rPr>
        <w:t>Государство-участник ссылается на статьи 3 и 4 федерального закона Бразилии №</w:t>
      </w:r>
      <w:r>
        <w:rPr>
          <w:lang w:val="ru-RU"/>
        </w:rPr>
        <w:t> </w:t>
      </w:r>
      <w:r w:rsidRPr="00BF7090">
        <w:rPr>
          <w:lang w:val="ru-RU"/>
        </w:rPr>
        <w:t>3.298/9</w:t>
      </w:r>
      <w:r w:rsidRPr="00924037">
        <w:rPr>
          <w:lang w:val="ru-RU"/>
        </w:rPr>
        <w:t xml:space="preserve">9 (см. сноску 25) и статью 70 закона № 5.296/04 от 2 декабря 2004 года; </w:t>
      </w:r>
      <w:r w:rsidRPr="000B352D">
        <w:rPr>
          <w:lang w:val="ru-RU"/>
        </w:rPr>
        <w:t xml:space="preserve">Конвенцию Международной Организации Труда № 159 (1983) относительно профессиональной реабилитации и занятости инвалидов (часть </w:t>
      </w:r>
      <w:r w:rsidRPr="00A50783">
        <w:t>I</w:t>
      </w:r>
      <w:r w:rsidRPr="000B352D">
        <w:rPr>
          <w:lang w:val="ru-RU"/>
        </w:rPr>
        <w:t>, статья 1). Соответствующее медицинское заключен</w:t>
      </w:r>
      <w:r>
        <w:rPr>
          <w:lang w:val="ru-RU"/>
        </w:rPr>
        <w:t>ие должно быть выдано врачом по </w:t>
      </w:r>
      <w:r w:rsidRPr="000B352D">
        <w:rPr>
          <w:lang w:val="ru-RU"/>
        </w:rPr>
        <w:t>профессиональным заболеваниям компании, в которой работает истец или другим врачом. В этом заключении должен быть указан тип инвалидности.</w:t>
      </w:r>
    </w:p>
  </w:footnote>
  <w:footnote w:id="16">
    <w:p w:rsidR="00AD372C" w:rsidRPr="000B352D" w:rsidRDefault="00AD372C" w:rsidP="000B352D">
      <w:pPr>
        <w:pStyle w:val="FootnoteText"/>
        <w:widowControl w:val="0"/>
        <w:tabs>
          <w:tab w:val="clear" w:pos="1021"/>
          <w:tab w:val="right" w:pos="1020"/>
        </w:tabs>
        <w:rPr>
          <w:lang w:val="ru-RU"/>
        </w:rPr>
      </w:pPr>
      <w:r w:rsidRPr="000D337F">
        <w:rPr>
          <w:lang w:val="ru-RU"/>
        </w:rPr>
        <w:tab/>
      </w:r>
      <w:r w:rsidRPr="00177281">
        <w:rPr>
          <w:rStyle w:val="FootnoteReference"/>
        </w:rPr>
        <w:footnoteRef/>
      </w:r>
      <w:r w:rsidRPr="0021449A">
        <w:rPr>
          <w:lang w:val="ru-RU"/>
        </w:rPr>
        <w:tab/>
      </w:r>
      <w:r w:rsidRPr="000B352D">
        <w:rPr>
          <w:lang w:val="ru-RU"/>
        </w:rPr>
        <w:t>Государство-участник ссылается на дело Межамериканского суда по правам человека №</w:t>
      </w:r>
      <w:r w:rsidRPr="00A50783">
        <w:t> </w:t>
      </w:r>
      <w:r w:rsidRPr="000B352D">
        <w:rPr>
          <w:lang w:val="ru-RU"/>
        </w:rPr>
        <w:t xml:space="preserve">11.137, </w:t>
      </w:r>
      <w:r w:rsidRPr="000B352D">
        <w:rPr>
          <w:i/>
          <w:lang w:val="ru-RU"/>
        </w:rPr>
        <w:t>Абелла против Аргентины</w:t>
      </w:r>
      <w:r>
        <w:rPr>
          <w:lang w:val="ru-RU"/>
        </w:rPr>
        <w:t>,</w:t>
      </w:r>
      <w:r w:rsidRPr="000B352D">
        <w:rPr>
          <w:lang w:val="ru-RU"/>
        </w:rPr>
        <w:t xml:space="preserve"> от 18 ноября 1997 года; и дело № 11.472, </w:t>
      </w:r>
      <w:r w:rsidRPr="000B352D">
        <w:rPr>
          <w:i/>
          <w:lang w:val="ru-RU"/>
        </w:rPr>
        <w:t>Гилбер Бернар Литтл против Коста-Рики</w:t>
      </w:r>
      <w:r>
        <w:rPr>
          <w:lang w:val="ru-RU"/>
        </w:rPr>
        <w:t xml:space="preserve">, </w:t>
      </w:r>
      <w:r w:rsidRPr="000B352D">
        <w:rPr>
          <w:lang w:val="ru-RU"/>
        </w:rPr>
        <w:t>от 28 сентября 1998 года.</w:t>
      </w:r>
    </w:p>
  </w:footnote>
  <w:footnote w:id="17">
    <w:p w:rsidR="00AD372C" w:rsidRPr="000B352D" w:rsidRDefault="00AD372C" w:rsidP="000B352D">
      <w:pPr>
        <w:pStyle w:val="FootnoteText"/>
        <w:widowControl w:val="0"/>
        <w:tabs>
          <w:tab w:val="clear" w:pos="1021"/>
          <w:tab w:val="right" w:pos="1020"/>
        </w:tabs>
        <w:rPr>
          <w:lang w:val="ru-RU"/>
        </w:rPr>
      </w:pPr>
      <w:r w:rsidRPr="000D337F">
        <w:rPr>
          <w:lang w:val="ru-RU"/>
        </w:rPr>
        <w:tab/>
      </w:r>
      <w:r w:rsidRPr="00177281">
        <w:rPr>
          <w:rStyle w:val="FootnoteReference"/>
        </w:rPr>
        <w:footnoteRef/>
      </w:r>
      <w:r w:rsidRPr="0021449A">
        <w:rPr>
          <w:lang w:val="ru-RU"/>
        </w:rPr>
        <w:tab/>
      </w:r>
      <w:r w:rsidRPr="000B352D">
        <w:rPr>
          <w:lang w:val="ru-RU"/>
        </w:rPr>
        <w:t xml:space="preserve">Государство-участник, в частности, ссылается на пункт 15 решения Международного Суда по делу </w:t>
      </w:r>
      <w:r w:rsidRPr="00940AB5">
        <w:rPr>
          <w:i/>
          <w:lang w:val="ru-RU"/>
        </w:rPr>
        <w:t xml:space="preserve">ООО Элеттроника Сикула </w:t>
      </w:r>
      <w:r w:rsidRPr="000B352D">
        <w:rPr>
          <w:i/>
          <w:lang w:val="ru-RU"/>
        </w:rPr>
        <w:t>(</w:t>
      </w:r>
      <w:r w:rsidRPr="001802D0">
        <w:rPr>
          <w:i/>
        </w:rPr>
        <w:t>ELSI</w:t>
      </w:r>
      <w:r w:rsidRPr="000B352D">
        <w:rPr>
          <w:i/>
          <w:lang w:val="ru-RU"/>
        </w:rPr>
        <w:t>)</w:t>
      </w:r>
      <w:r w:rsidRPr="000B352D">
        <w:rPr>
          <w:lang w:val="ru-RU"/>
        </w:rPr>
        <w:t xml:space="preserve"> от 20 июля 1989 года; и на пункт 41 консультативного заключения ОС-11/90 Межамериканского суда по правам человека от 10 августа 1990 года.</w:t>
      </w:r>
    </w:p>
  </w:footnote>
  <w:footnote w:id="18">
    <w:p w:rsidR="00AD372C" w:rsidRPr="000B352D" w:rsidRDefault="00AD372C" w:rsidP="000B352D">
      <w:pPr>
        <w:pStyle w:val="FootnoteText"/>
        <w:widowControl w:val="0"/>
        <w:tabs>
          <w:tab w:val="clear" w:pos="1021"/>
          <w:tab w:val="right" w:pos="1020"/>
        </w:tabs>
        <w:rPr>
          <w:lang w:val="ru-RU"/>
        </w:rPr>
      </w:pPr>
      <w:r w:rsidRPr="00111D91">
        <w:rPr>
          <w:lang w:val="ru-RU"/>
        </w:rPr>
        <w:tab/>
      </w:r>
      <w:r w:rsidRPr="00177281">
        <w:rPr>
          <w:rStyle w:val="FootnoteReference"/>
        </w:rPr>
        <w:footnoteRef/>
      </w:r>
      <w:r w:rsidRPr="00084652">
        <w:rPr>
          <w:lang w:val="ru-RU"/>
        </w:rPr>
        <w:tab/>
      </w:r>
      <w:r w:rsidRPr="000B352D">
        <w:rPr>
          <w:lang w:val="ru-RU"/>
        </w:rPr>
        <w:t xml:space="preserve">Автор представила неофициальный перевод на французский язык текста части ее жалобы, поданной в Региональный суд по трудовым спорам, в которой она указывает, что просила перевести ее в отделение Банка в Кампинасе в целях упрощения поездок на работу и экономии времени для физических упражнений. </w:t>
      </w:r>
      <w:r w:rsidRPr="00CF228D">
        <w:rPr>
          <w:lang w:val="ru-RU"/>
        </w:rPr>
        <w:t xml:space="preserve">Ее просьба о передаче была отклонена в октябре 2009 года в связи </w:t>
      </w:r>
      <w:r>
        <w:rPr>
          <w:lang w:val="ru-RU"/>
        </w:rPr>
        <w:t xml:space="preserve">с </w:t>
      </w:r>
      <w:r w:rsidRPr="00CF228D">
        <w:rPr>
          <w:lang w:val="ru-RU"/>
        </w:rPr>
        <w:t>избытком персонала в этом отделении, а</w:t>
      </w:r>
      <w:r>
        <w:rPr>
          <w:lang w:val="ru-RU"/>
        </w:rPr>
        <w:t> </w:t>
      </w:r>
      <w:r w:rsidRPr="00CF228D">
        <w:rPr>
          <w:lang w:val="ru-RU"/>
        </w:rPr>
        <w:t xml:space="preserve">также в связи с тем, что у нее оставались нерешенные вопросы с мэрией Сан-Педро де Алькантара. </w:t>
      </w:r>
      <w:r w:rsidRPr="00924037">
        <w:rPr>
          <w:lang w:val="ru-RU"/>
        </w:rPr>
        <w:t>В</w:t>
      </w:r>
      <w:r>
        <w:rPr>
          <w:lang w:val="ru-RU"/>
        </w:rPr>
        <w:t xml:space="preserve"> </w:t>
      </w:r>
      <w:r w:rsidRPr="00924037">
        <w:rPr>
          <w:lang w:val="ru-RU"/>
        </w:rPr>
        <w:t xml:space="preserve">течение 2010 года у автора возникли острые проблемы с ее левым коленом и была диагностирована мышечная атрофия. </w:t>
      </w:r>
      <w:r w:rsidRPr="000B352D">
        <w:rPr>
          <w:lang w:val="ru-RU"/>
        </w:rPr>
        <w:t>В сентябре и октябре она взяла отпуск по медицинским показаниям в целях получения мышечной терапии. Поскольку у нее не было времени для физических упражнений, в 2010 году у нее было несколько острых приступов фибромиалгии. На основе медицинских заключений она вновь просила перевести ее в отделение Банка ближе к ее дому, однако и в этой просьбе ей было отказано, поскольку все отделения утверждали, что у них избыток сотрудников. Вследствие этого автор была освобождена от своей должности кассира в соответствии с политикой Банка, поскольку в 2009 году она проходила лечение более трех месяцев. В силу ее проблем со здоровьем автор долж</w:t>
      </w:r>
      <w:r>
        <w:rPr>
          <w:lang w:val="ru-RU"/>
        </w:rPr>
        <w:t>на была вернуться в отделение в </w:t>
      </w:r>
      <w:r w:rsidRPr="000B352D">
        <w:rPr>
          <w:lang w:val="ru-RU"/>
        </w:rPr>
        <w:t>Кампинасе на должность, на которую она имела право из-за сдачи состязательных экзаменов при наборе на работу.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2C" w:rsidRPr="00E25995" w:rsidRDefault="00AD372C">
    <w:pPr>
      <w:pStyle w:val="Header"/>
      <w:rPr>
        <w:lang w:val="en-US"/>
      </w:rPr>
    </w:pPr>
    <w:r>
      <w:rPr>
        <w:lang w:val="en-US"/>
      </w:rPr>
      <w:t>CRPD/</w:t>
    </w:r>
    <w:r w:rsidRPr="00E25995">
      <w:rPr>
        <w:lang w:val="en-US"/>
      </w:rPr>
      <w:t>C/12/D/10/2013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2C" w:rsidRPr="009A6F4A" w:rsidRDefault="00AD372C">
    <w:pPr>
      <w:pStyle w:val="Header"/>
      <w:rPr>
        <w:lang w:val="en-US"/>
      </w:rPr>
    </w:pPr>
    <w:r>
      <w:rPr>
        <w:lang w:val="en-US"/>
      </w:rPr>
      <w:tab/>
      <w:t>CRPD/</w:t>
    </w:r>
    <w:r w:rsidRPr="00E25995">
      <w:rPr>
        <w:lang w:val="en-US"/>
      </w:rPr>
      <w:t>C/12/D/10/2013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1"/>
  <w:doNotTrackMoves/>
  <w:documentProtection w:edit="forms" w:enforcement="0"/>
  <w:defaultTabStop w:val="567"/>
  <w:autoHyphenation/>
  <w:hyphenationZone w:val="357"/>
  <w:doNotHyphenateCaps/>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995"/>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12D9"/>
    <w:rsid w:val="000A3DDF"/>
    <w:rsid w:val="000A60A0"/>
    <w:rsid w:val="000B352D"/>
    <w:rsid w:val="000C3688"/>
    <w:rsid w:val="000D6863"/>
    <w:rsid w:val="00117AEE"/>
    <w:rsid w:val="001463F7"/>
    <w:rsid w:val="0015769C"/>
    <w:rsid w:val="00180752"/>
    <w:rsid w:val="00185076"/>
    <w:rsid w:val="0018543C"/>
    <w:rsid w:val="00190231"/>
    <w:rsid w:val="00192ABD"/>
    <w:rsid w:val="001A75D5"/>
    <w:rsid w:val="001A7D40"/>
    <w:rsid w:val="001D07F7"/>
    <w:rsid w:val="001D7B8F"/>
    <w:rsid w:val="001E0B0E"/>
    <w:rsid w:val="001E48EE"/>
    <w:rsid w:val="001F2D04"/>
    <w:rsid w:val="0020059C"/>
    <w:rsid w:val="002019BD"/>
    <w:rsid w:val="00213ACC"/>
    <w:rsid w:val="00232D42"/>
    <w:rsid w:val="00237334"/>
    <w:rsid w:val="002444F4"/>
    <w:rsid w:val="002629A0"/>
    <w:rsid w:val="00281D08"/>
    <w:rsid w:val="0028492B"/>
    <w:rsid w:val="00291C8F"/>
    <w:rsid w:val="002B43B0"/>
    <w:rsid w:val="002C42D2"/>
    <w:rsid w:val="002C5036"/>
    <w:rsid w:val="002C6A71"/>
    <w:rsid w:val="002C6D5F"/>
    <w:rsid w:val="002D15EA"/>
    <w:rsid w:val="002D6C07"/>
    <w:rsid w:val="002E0CE6"/>
    <w:rsid w:val="002E1163"/>
    <w:rsid w:val="002E43F3"/>
    <w:rsid w:val="002E45D8"/>
    <w:rsid w:val="003215F5"/>
    <w:rsid w:val="00332891"/>
    <w:rsid w:val="00356BB2"/>
    <w:rsid w:val="00360477"/>
    <w:rsid w:val="00367FC9"/>
    <w:rsid w:val="003711A1"/>
    <w:rsid w:val="00372123"/>
    <w:rsid w:val="00386581"/>
    <w:rsid w:val="00387100"/>
    <w:rsid w:val="003951D3"/>
    <w:rsid w:val="003978C6"/>
    <w:rsid w:val="003B40A9"/>
    <w:rsid w:val="003C016E"/>
    <w:rsid w:val="003D5EBD"/>
    <w:rsid w:val="00401CE0"/>
    <w:rsid w:val="00403234"/>
    <w:rsid w:val="00407AC3"/>
    <w:rsid w:val="00414586"/>
    <w:rsid w:val="00415059"/>
    <w:rsid w:val="00416D16"/>
    <w:rsid w:val="00424FDD"/>
    <w:rsid w:val="0043033D"/>
    <w:rsid w:val="00435FE4"/>
    <w:rsid w:val="00441562"/>
    <w:rsid w:val="00457634"/>
    <w:rsid w:val="00474F42"/>
    <w:rsid w:val="0048244D"/>
    <w:rsid w:val="00492F88"/>
    <w:rsid w:val="0049320D"/>
    <w:rsid w:val="004A0DE8"/>
    <w:rsid w:val="004A4CB7"/>
    <w:rsid w:val="004A57B5"/>
    <w:rsid w:val="004B19DA"/>
    <w:rsid w:val="004B386F"/>
    <w:rsid w:val="004C2A53"/>
    <w:rsid w:val="004C3B35"/>
    <w:rsid w:val="004C43EC"/>
    <w:rsid w:val="004E6729"/>
    <w:rsid w:val="004F0E47"/>
    <w:rsid w:val="00504250"/>
    <w:rsid w:val="0051339C"/>
    <w:rsid w:val="0051412F"/>
    <w:rsid w:val="00522B6F"/>
    <w:rsid w:val="0052430E"/>
    <w:rsid w:val="005276AD"/>
    <w:rsid w:val="00540A9A"/>
    <w:rsid w:val="00543522"/>
    <w:rsid w:val="00545680"/>
    <w:rsid w:val="0056618E"/>
    <w:rsid w:val="00576F59"/>
    <w:rsid w:val="00577A34"/>
    <w:rsid w:val="00580AAD"/>
    <w:rsid w:val="005927AC"/>
    <w:rsid w:val="00593A04"/>
    <w:rsid w:val="00594C59"/>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67F37"/>
    <w:rsid w:val="006756F1"/>
    <w:rsid w:val="00677773"/>
    <w:rsid w:val="006805FC"/>
    <w:rsid w:val="006876A9"/>
    <w:rsid w:val="00687C4F"/>
    <w:rsid w:val="006926C7"/>
    <w:rsid w:val="00694C37"/>
    <w:rsid w:val="006A1BEB"/>
    <w:rsid w:val="006A401C"/>
    <w:rsid w:val="006A7C6E"/>
    <w:rsid w:val="006B23D9"/>
    <w:rsid w:val="006C1814"/>
    <w:rsid w:val="006C2F45"/>
    <w:rsid w:val="006C361A"/>
    <w:rsid w:val="006C5657"/>
    <w:rsid w:val="006D5E4E"/>
    <w:rsid w:val="006E6860"/>
    <w:rsid w:val="006E7183"/>
    <w:rsid w:val="006F5F24"/>
    <w:rsid w:val="006F5FBF"/>
    <w:rsid w:val="0070327E"/>
    <w:rsid w:val="00707B5F"/>
    <w:rsid w:val="00735602"/>
    <w:rsid w:val="007511D7"/>
    <w:rsid w:val="0075279B"/>
    <w:rsid w:val="00753748"/>
    <w:rsid w:val="00762446"/>
    <w:rsid w:val="00781ACB"/>
    <w:rsid w:val="007A79EB"/>
    <w:rsid w:val="007D4CA0"/>
    <w:rsid w:val="007D7A23"/>
    <w:rsid w:val="007E0AAD"/>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727A1"/>
    <w:rsid w:val="00886B0F"/>
    <w:rsid w:val="00891C08"/>
    <w:rsid w:val="008A3879"/>
    <w:rsid w:val="008A5FA8"/>
    <w:rsid w:val="008A7575"/>
    <w:rsid w:val="008B5F47"/>
    <w:rsid w:val="008C7B87"/>
    <w:rsid w:val="008D6A7A"/>
    <w:rsid w:val="008E3E87"/>
    <w:rsid w:val="008E7F13"/>
    <w:rsid w:val="008F3185"/>
    <w:rsid w:val="00914C5B"/>
    <w:rsid w:val="00915B0A"/>
    <w:rsid w:val="00926904"/>
    <w:rsid w:val="009372F0"/>
    <w:rsid w:val="00940AB5"/>
    <w:rsid w:val="00955022"/>
    <w:rsid w:val="00957B4D"/>
    <w:rsid w:val="00964EEA"/>
    <w:rsid w:val="00980C86"/>
    <w:rsid w:val="009A67E8"/>
    <w:rsid w:val="009B1D9B"/>
    <w:rsid w:val="009B4074"/>
    <w:rsid w:val="009B7250"/>
    <w:rsid w:val="009C30BB"/>
    <w:rsid w:val="009C556F"/>
    <w:rsid w:val="009C60BE"/>
    <w:rsid w:val="009E6279"/>
    <w:rsid w:val="009F00A6"/>
    <w:rsid w:val="009F56A7"/>
    <w:rsid w:val="009F5B05"/>
    <w:rsid w:val="009F7F20"/>
    <w:rsid w:val="00A026CA"/>
    <w:rsid w:val="00A07232"/>
    <w:rsid w:val="00A14800"/>
    <w:rsid w:val="00A156DE"/>
    <w:rsid w:val="00A157ED"/>
    <w:rsid w:val="00A2446A"/>
    <w:rsid w:val="00A26D80"/>
    <w:rsid w:val="00A36015"/>
    <w:rsid w:val="00A4025D"/>
    <w:rsid w:val="00A800D1"/>
    <w:rsid w:val="00A92699"/>
    <w:rsid w:val="00A928D4"/>
    <w:rsid w:val="00AA26C6"/>
    <w:rsid w:val="00AB5BF0"/>
    <w:rsid w:val="00AC1C95"/>
    <w:rsid w:val="00AC2CCB"/>
    <w:rsid w:val="00AC443A"/>
    <w:rsid w:val="00AD372C"/>
    <w:rsid w:val="00AE60E2"/>
    <w:rsid w:val="00B0169F"/>
    <w:rsid w:val="00B05F21"/>
    <w:rsid w:val="00B14EA9"/>
    <w:rsid w:val="00B30A3C"/>
    <w:rsid w:val="00B81305"/>
    <w:rsid w:val="00BB17DC"/>
    <w:rsid w:val="00BB1AF9"/>
    <w:rsid w:val="00BB4C4A"/>
    <w:rsid w:val="00BD3CAE"/>
    <w:rsid w:val="00BD5F3C"/>
    <w:rsid w:val="00C00467"/>
    <w:rsid w:val="00C07C0F"/>
    <w:rsid w:val="00C145C4"/>
    <w:rsid w:val="00C20D2F"/>
    <w:rsid w:val="00C2131B"/>
    <w:rsid w:val="00C32BDC"/>
    <w:rsid w:val="00C37AF8"/>
    <w:rsid w:val="00C37C79"/>
    <w:rsid w:val="00C41BBC"/>
    <w:rsid w:val="00C51419"/>
    <w:rsid w:val="00C54056"/>
    <w:rsid w:val="00C6065B"/>
    <w:rsid w:val="00C659D8"/>
    <w:rsid w:val="00C663A3"/>
    <w:rsid w:val="00C74313"/>
    <w:rsid w:val="00C75CB2"/>
    <w:rsid w:val="00C84171"/>
    <w:rsid w:val="00C90723"/>
    <w:rsid w:val="00C90D5C"/>
    <w:rsid w:val="00CA609E"/>
    <w:rsid w:val="00CA7DA4"/>
    <w:rsid w:val="00CA7E43"/>
    <w:rsid w:val="00CB31FB"/>
    <w:rsid w:val="00CB6E23"/>
    <w:rsid w:val="00CC0DCD"/>
    <w:rsid w:val="00CD1F7B"/>
    <w:rsid w:val="00CE3D6F"/>
    <w:rsid w:val="00CE79A5"/>
    <w:rsid w:val="00CF0042"/>
    <w:rsid w:val="00CF262F"/>
    <w:rsid w:val="00D025D5"/>
    <w:rsid w:val="00D15390"/>
    <w:rsid w:val="00D26B13"/>
    <w:rsid w:val="00D26CC1"/>
    <w:rsid w:val="00D30662"/>
    <w:rsid w:val="00D32A0B"/>
    <w:rsid w:val="00D6236B"/>
    <w:rsid w:val="00D809D1"/>
    <w:rsid w:val="00D84ECF"/>
    <w:rsid w:val="00DA2851"/>
    <w:rsid w:val="00DA2B7C"/>
    <w:rsid w:val="00DA5686"/>
    <w:rsid w:val="00DA5ED3"/>
    <w:rsid w:val="00DB2FC0"/>
    <w:rsid w:val="00DF18FA"/>
    <w:rsid w:val="00DF49CA"/>
    <w:rsid w:val="00DF775B"/>
    <w:rsid w:val="00E007F3"/>
    <w:rsid w:val="00E00DEA"/>
    <w:rsid w:val="00E02AD5"/>
    <w:rsid w:val="00E06EF0"/>
    <w:rsid w:val="00E11679"/>
    <w:rsid w:val="00E25995"/>
    <w:rsid w:val="00E307D1"/>
    <w:rsid w:val="00E46A04"/>
    <w:rsid w:val="00E717F3"/>
    <w:rsid w:val="00E72C5E"/>
    <w:rsid w:val="00E73451"/>
    <w:rsid w:val="00E7489F"/>
    <w:rsid w:val="00E75147"/>
    <w:rsid w:val="00E8167D"/>
    <w:rsid w:val="00E907E9"/>
    <w:rsid w:val="00E96BE7"/>
    <w:rsid w:val="00EA2662"/>
    <w:rsid w:val="00EA2CD0"/>
    <w:rsid w:val="00EB705C"/>
    <w:rsid w:val="00EC0044"/>
    <w:rsid w:val="00EC6B9F"/>
    <w:rsid w:val="00EE516D"/>
    <w:rsid w:val="00EF4D1B"/>
    <w:rsid w:val="00EF7295"/>
    <w:rsid w:val="00F069D1"/>
    <w:rsid w:val="00F1503D"/>
    <w:rsid w:val="00F22712"/>
    <w:rsid w:val="00F275F5"/>
    <w:rsid w:val="00F33188"/>
    <w:rsid w:val="00F35BDE"/>
    <w:rsid w:val="00F52A0E"/>
    <w:rsid w:val="00F622A8"/>
    <w:rsid w:val="00F71F63"/>
    <w:rsid w:val="00F87506"/>
    <w:rsid w:val="00F92C41"/>
    <w:rsid w:val="00FA5522"/>
    <w:rsid w:val="00FA6E4A"/>
    <w:rsid w:val="00FB1329"/>
    <w:rsid w:val="00FB2B35"/>
    <w:rsid w:val="00FC3622"/>
    <w:rsid w:val="00FC4AE1"/>
    <w:rsid w:val="00FD78A3"/>
    <w:rsid w:val="00FF2F7C"/>
    <w:rsid w:val="00FF6C8A"/>
    <w:rsid w:val="00FF7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semiHidden/>
    <w:rsid w:val="007E71C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rsid w:val="007E71C9"/>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511D7"/>
    <w:pPr>
      <w:spacing w:before="40" w:after="40" w:line="220" w:lineRule="exact"/>
    </w:pPr>
    <w:rPr>
      <w:sz w:val="18"/>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basedOn w:val="DefaultParagraphFont"/>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semiHidden/>
    <w:rsid w:val="007E71C9"/>
    <w:pPr>
      <w:spacing w:after="120" w:line="2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FORMATNY\CODES\CR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Template>
  <TotalTime>0</TotalTime>
  <Pages>11</Pages>
  <Words>3440</Words>
  <Characters>21290</Characters>
  <Application>Microsoft Office Outlook</Application>
  <DocSecurity>4</DocSecurity>
  <Lines>401</Lines>
  <Paragraphs>84</Paragraphs>
  <ScaleCrop>false</ScaleCrop>
  <HeadingPairs>
    <vt:vector size="2" baseType="variant">
      <vt:variant>
        <vt:lpstr>Название</vt:lpstr>
      </vt:variant>
      <vt:variant>
        <vt:i4>1</vt:i4>
      </vt:variant>
    </vt:vector>
  </HeadingPairs>
  <TitlesOfParts>
    <vt:vector size="1" baseType="lpstr">
      <vt:lpstr>1419274</vt:lpstr>
    </vt:vector>
  </TitlesOfParts>
  <Manager>Kondrachov</Manager>
  <Company>CSD</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1419274</dc:title>
  <dc:subject>CRPD/C/12/D/10/2013</dc:subject>
  <dc:creator>Salynskaya Ekaterina</dc:creator>
  <cp:keywords/>
  <dc:description/>
  <cp:lastModifiedBy>Salynskaya Ekaterina</cp:lastModifiedBy>
  <cp:revision>2</cp:revision>
  <cp:lastPrinted>2014-12-16T07:27:00Z</cp:lastPrinted>
  <dcterms:created xsi:type="dcterms:W3CDTF">2014-12-16T08:41:00Z</dcterms:created>
  <dcterms:modified xsi:type="dcterms:W3CDTF">2014-12-16T08:41:00Z</dcterms:modified>
</cp:coreProperties>
</file>