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BC55C8">
            <w:pPr>
              <w:rPr>
                <w:rFonts w:hint="cs"/>
              </w:rPr>
            </w:pPr>
          </w:p>
        </w:tc>
        <w:tc>
          <w:tcPr>
            <w:tcW w:w="1885" w:type="dxa"/>
            <w:tcBorders>
              <w:bottom w:val="single" w:sz="4" w:space="0" w:color="auto"/>
            </w:tcBorders>
            <w:vAlign w:val="bottom"/>
          </w:tcPr>
          <w:p w:rsidR="00AD0014" w:rsidRPr="00DB7679" w:rsidRDefault="00460CB7" w:rsidP="00BC55C8">
            <w:pPr>
              <w:spacing w:after="80" w:line="480" w:lineRule="exact"/>
              <w:jc w:val="left"/>
              <w:rPr>
                <w:rFonts w:hint="cs"/>
                <w:szCs w:val="40"/>
                <w:rtl/>
              </w:rPr>
            </w:pPr>
            <w:r>
              <w:rPr>
                <w:rFonts w:hint="cs"/>
                <w:szCs w:val="40"/>
                <w:rtl/>
              </w:rPr>
              <w:t xml:space="preserve"> </w:t>
            </w:r>
            <w:r w:rsidR="00AD0014"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4C509B" w:rsidP="00313BEB">
            <w:pPr>
              <w:bidi w:val="0"/>
              <w:spacing w:after="20"/>
              <w:jc w:val="left"/>
              <w:rPr>
                <w:szCs w:val="20"/>
              </w:rPr>
            </w:pPr>
            <w:r w:rsidRPr="004C509B">
              <w:rPr>
                <w:sz w:val="40"/>
                <w:szCs w:val="20"/>
              </w:rPr>
              <w:t>CEDA</w:t>
            </w:r>
            <w:r w:rsidR="00313BEB">
              <w:rPr>
                <w:sz w:val="40"/>
                <w:szCs w:val="20"/>
              </w:rPr>
              <w:t>W</w:t>
            </w:r>
            <w:r w:rsidR="00313BEB">
              <w:rPr>
                <w:szCs w:val="20"/>
              </w:rPr>
              <w:t>/</w:t>
            </w:r>
            <w:r>
              <w:rPr>
                <w:szCs w:val="20"/>
              </w:rPr>
              <w:t>C/BGD/Q/7</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2225D3">
            <w:pPr>
              <w:jc w:val="center"/>
              <w:rPr>
                <w:rFonts w:hint="cs"/>
                <w:szCs w:val="60"/>
                <w:rtl/>
              </w:rPr>
            </w:pPr>
          </w:p>
        </w:tc>
        <w:tc>
          <w:tcPr>
            <w:tcW w:w="3612" w:type="dxa"/>
            <w:tcBorders>
              <w:top w:val="single" w:sz="4" w:space="0" w:color="auto"/>
              <w:bottom w:val="single" w:sz="12" w:space="0" w:color="auto"/>
            </w:tcBorders>
          </w:tcPr>
          <w:p w:rsidR="004C509B" w:rsidRDefault="004C509B" w:rsidP="004C509B">
            <w:pPr>
              <w:bidi w:val="0"/>
              <w:spacing w:before="240"/>
              <w:jc w:val="left"/>
            </w:pPr>
            <w:r>
              <w:t>Distr.: General</w:t>
            </w:r>
          </w:p>
          <w:p w:rsidR="004C509B" w:rsidRDefault="004C509B" w:rsidP="004C509B">
            <w:pPr>
              <w:bidi w:val="0"/>
              <w:jc w:val="left"/>
            </w:pPr>
            <w:r>
              <w:t>6 September 2010</w:t>
            </w:r>
          </w:p>
          <w:p w:rsidR="004C509B" w:rsidRDefault="004C509B" w:rsidP="004C509B">
            <w:pPr>
              <w:bidi w:val="0"/>
              <w:jc w:val="left"/>
            </w:pPr>
            <w:r>
              <w:t>Arabic</w:t>
            </w:r>
          </w:p>
          <w:p w:rsidR="00257225" w:rsidRPr="008B4BC6" w:rsidRDefault="004C509B" w:rsidP="004C509B">
            <w:pPr>
              <w:bidi w:val="0"/>
              <w:jc w:val="left"/>
            </w:pPr>
            <w:r>
              <w:t>Original: English</w:t>
            </w:r>
          </w:p>
        </w:tc>
      </w:tr>
    </w:tbl>
    <w:p w:rsidR="004C509B" w:rsidRPr="009F3E27" w:rsidRDefault="004C509B" w:rsidP="004C509B">
      <w:pPr>
        <w:tabs>
          <w:tab w:val="left" w:pos="662"/>
          <w:tab w:val="left" w:pos="1267"/>
          <w:tab w:val="left" w:pos="1987"/>
          <w:tab w:val="left" w:pos="2650"/>
        </w:tabs>
        <w:spacing w:before="120" w:line="380" w:lineRule="exact"/>
        <w:rPr>
          <w:rFonts w:hint="cs"/>
          <w:b/>
          <w:bCs/>
          <w:sz w:val="26"/>
          <w:szCs w:val="36"/>
          <w:rtl/>
        </w:rPr>
      </w:pPr>
      <w:r w:rsidRPr="009F3E27">
        <w:rPr>
          <w:rFonts w:hint="cs"/>
          <w:b/>
          <w:bCs/>
          <w:sz w:val="26"/>
          <w:szCs w:val="36"/>
          <w:rtl/>
        </w:rPr>
        <w:t>اللجنة المعنية بالقضاء على التمييز ضد المرأة</w:t>
      </w:r>
    </w:p>
    <w:p w:rsidR="004C509B" w:rsidRPr="004A41F2" w:rsidRDefault="004C509B" w:rsidP="004C509B">
      <w:pPr>
        <w:tabs>
          <w:tab w:val="left" w:pos="662"/>
          <w:tab w:val="left" w:pos="1267"/>
          <w:tab w:val="left" w:pos="1987"/>
          <w:tab w:val="left" w:pos="2650"/>
        </w:tabs>
        <w:spacing w:line="380" w:lineRule="exact"/>
        <w:rPr>
          <w:rFonts w:hint="cs"/>
          <w:b/>
          <w:bCs/>
          <w:rtl/>
        </w:rPr>
      </w:pPr>
      <w:r w:rsidRPr="004A41F2">
        <w:rPr>
          <w:rFonts w:hint="cs"/>
          <w:b/>
          <w:bCs/>
          <w:rtl/>
        </w:rPr>
        <w:t>الفريق العامل لما قبل الدورة</w:t>
      </w:r>
    </w:p>
    <w:p w:rsidR="004C509B" w:rsidRPr="004A41F2" w:rsidRDefault="004C509B" w:rsidP="004C509B">
      <w:pPr>
        <w:tabs>
          <w:tab w:val="left" w:pos="662"/>
          <w:tab w:val="left" w:pos="1267"/>
          <w:tab w:val="left" w:pos="1987"/>
          <w:tab w:val="left" w:pos="2650"/>
        </w:tabs>
        <w:spacing w:line="380" w:lineRule="exact"/>
        <w:rPr>
          <w:rFonts w:hint="cs"/>
          <w:b/>
          <w:bCs/>
          <w:rtl/>
        </w:rPr>
      </w:pPr>
      <w:r w:rsidRPr="004A41F2">
        <w:rPr>
          <w:rFonts w:hint="cs"/>
          <w:b/>
          <w:bCs/>
          <w:rtl/>
        </w:rPr>
        <w:t xml:space="preserve">الدورة </w:t>
      </w:r>
      <w:r>
        <w:rPr>
          <w:rFonts w:hint="cs"/>
          <w:b/>
          <w:bCs/>
          <w:rtl/>
        </w:rPr>
        <w:t>الثامنة</w:t>
      </w:r>
      <w:r w:rsidRPr="004A41F2">
        <w:rPr>
          <w:rFonts w:hint="cs"/>
          <w:b/>
          <w:bCs/>
          <w:rtl/>
        </w:rPr>
        <w:t xml:space="preserve"> والأربعون</w:t>
      </w:r>
    </w:p>
    <w:p w:rsidR="004C509B" w:rsidRPr="004A41F2" w:rsidRDefault="004C509B" w:rsidP="00701D1E">
      <w:pPr>
        <w:tabs>
          <w:tab w:val="left" w:pos="662"/>
          <w:tab w:val="left" w:pos="1267"/>
          <w:tab w:val="left" w:pos="1987"/>
          <w:tab w:val="left" w:pos="2650"/>
        </w:tabs>
        <w:spacing w:line="380" w:lineRule="exact"/>
        <w:rPr>
          <w:rFonts w:hint="cs"/>
          <w:rtl/>
        </w:rPr>
      </w:pPr>
      <w:r>
        <w:rPr>
          <w:rFonts w:hint="cs"/>
          <w:rtl/>
        </w:rPr>
        <w:t xml:space="preserve">17 كانون الثاني/يناير </w:t>
      </w:r>
      <w:r w:rsidR="00701D1E">
        <w:rPr>
          <w:rFonts w:hint="cs"/>
          <w:rtl/>
        </w:rPr>
        <w:t>-</w:t>
      </w:r>
      <w:r>
        <w:rPr>
          <w:rFonts w:hint="cs"/>
          <w:rtl/>
        </w:rPr>
        <w:t xml:space="preserve"> 4 شباط/فبراي</w:t>
      </w:r>
      <w:bookmarkStart w:id="0" w:name="TmpSave"/>
      <w:bookmarkEnd w:id="0"/>
      <w:r>
        <w:rPr>
          <w:rFonts w:hint="cs"/>
          <w:rtl/>
        </w:rPr>
        <w:t>ر 2011</w:t>
      </w:r>
    </w:p>
    <w:p w:rsidR="004C509B" w:rsidRPr="004A41F2" w:rsidRDefault="004C509B" w:rsidP="004C509B">
      <w:pPr>
        <w:pStyle w:val="HChGA"/>
        <w:rPr>
          <w:rFonts w:hint="cs"/>
          <w:rtl/>
        </w:rPr>
      </w:pPr>
      <w:r>
        <w:rPr>
          <w:rFonts w:hint="cs"/>
          <w:rtl/>
        </w:rPr>
        <w:tab/>
      </w:r>
      <w:r>
        <w:rPr>
          <w:rFonts w:hint="cs"/>
          <w:rtl/>
        </w:rPr>
        <w:tab/>
      </w:r>
      <w:r w:rsidRPr="004A41F2">
        <w:rPr>
          <w:rFonts w:hint="cs"/>
          <w:rtl/>
        </w:rPr>
        <w:t>قائمة القض</w:t>
      </w:r>
      <w:r>
        <w:rPr>
          <w:rFonts w:hint="cs"/>
          <w:rtl/>
        </w:rPr>
        <w:t>ايا والأسئلة المطروحة المتعلقة</w:t>
      </w:r>
      <w:r w:rsidRPr="004A41F2">
        <w:rPr>
          <w:rFonts w:hint="cs"/>
          <w:rtl/>
        </w:rPr>
        <w:t xml:space="preserve"> بالنظر في التقارير الدورية</w:t>
      </w:r>
    </w:p>
    <w:p w:rsidR="004C509B" w:rsidRPr="004A41F2" w:rsidRDefault="004C509B" w:rsidP="004C509B">
      <w:pPr>
        <w:pStyle w:val="H1GA"/>
        <w:rPr>
          <w:rFonts w:hint="cs"/>
          <w:rtl/>
        </w:rPr>
      </w:pPr>
      <w:r>
        <w:rPr>
          <w:rFonts w:hint="cs"/>
          <w:rtl/>
        </w:rPr>
        <w:tab/>
      </w:r>
      <w:r>
        <w:rPr>
          <w:rFonts w:hint="cs"/>
          <w:rtl/>
        </w:rPr>
        <w:tab/>
        <w:t>بنغلاديش</w:t>
      </w:r>
    </w:p>
    <w:p w:rsidR="004C509B" w:rsidRDefault="004C509B" w:rsidP="004C509B">
      <w:pPr>
        <w:pStyle w:val="SingleTxtGA"/>
        <w:rPr>
          <w:rFonts w:hint="cs"/>
          <w:rtl/>
        </w:rPr>
      </w:pPr>
      <w:r>
        <w:rPr>
          <w:rFonts w:hint="cs"/>
          <w:rtl/>
        </w:rPr>
        <w:tab/>
      </w:r>
      <w:r w:rsidRPr="004A41F2">
        <w:rPr>
          <w:rFonts w:hint="cs"/>
          <w:rtl/>
        </w:rPr>
        <w:t>نظر الفريق العامل لما قبل الدورة في تقرير</w:t>
      </w:r>
      <w:r>
        <w:rPr>
          <w:rFonts w:hint="cs"/>
          <w:rtl/>
        </w:rPr>
        <w:t>ين بنغلاديش الدوريين السادس والسابع المجمعين في وثيقة واحدة</w:t>
      </w:r>
      <w:r w:rsidRPr="004A41F2">
        <w:rPr>
          <w:rFonts w:hint="cs"/>
          <w:rtl/>
        </w:rPr>
        <w:t xml:space="preserve"> (</w:t>
      </w:r>
      <w:r w:rsidRPr="004A41F2">
        <w:t>CEDAW/C/</w:t>
      </w:r>
      <w:r>
        <w:t>BGD</w:t>
      </w:r>
      <w:r w:rsidRPr="004A41F2">
        <w:t>/</w:t>
      </w:r>
      <w:r>
        <w:t>6-7</w:t>
      </w:r>
      <w:r w:rsidRPr="004A41F2">
        <w:rPr>
          <w:rFonts w:hint="cs"/>
          <w:rtl/>
        </w:rPr>
        <w:t>)</w:t>
      </w:r>
      <w:r>
        <w:rPr>
          <w:rFonts w:hint="cs"/>
          <w:rtl/>
        </w:rPr>
        <w:t>.</w:t>
      </w:r>
    </w:p>
    <w:p w:rsidR="004C509B" w:rsidRPr="002D59B3" w:rsidRDefault="00F74F7C" w:rsidP="00F74F7C">
      <w:pPr>
        <w:pStyle w:val="H23GA"/>
        <w:rPr>
          <w:rFonts w:hint="cs"/>
          <w:rtl/>
        </w:rPr>
      </w:pPr>
      <w:r>
        <w:rPr>
          <w:rFonts w:hint="cs"/>
          <w:rtl/>
        </w:rPr>
        <w:tab/>
      </w:r>
      <w:r>
        <w:rPr>
          <w:rFonts w:hint="cs"/>
          <w:rtl/>
        </w:rPr>
        <w:tab/>
      </w:r>
      <w:r w:rsidR="004C509B" w:rsidRPr="002D59B3">
        <w:rPr>
          <w:rFonts w:hint="cs"/>
          <w:rtl/>
        </w:rPr>
        <w:t>الإطار التشريعي وتعريف التمييز والتحفظات</w:t>
      </w:r>
    </w:p>
    <w:p w:rsidR="004C509B" w:rsidRDefault="004C509B" w:rsidP="004C509B">
      <w:pPr>
        <w:pStyle w:val="SingleTxtGA"/>
        <w:rPr>
          <w:rFonts w:hint="cs"/>
          <w:rtl/>
        </w:rPr>
      </w:pPr>
      <w:r>
        <w:rPr>
          <w:rFonts w:hint="cs"/>
          <w:rtl/>
        </w:rPr>
        <w:t>1-</w:t>
      </w:r>
      <w:r>
        <w:rPr>
          <w:rFonts w:hint="cs"/>
          <w:rtl/>
        </w:rPr>
        <w:tab/>
        <w:t xml:space="preserve">لا تزال بنغلاديش تتحفـظ علـى المادة 2 والمـادة 16(أ)(ج) من الاتفاقية رغم ما أوصتها </w:t>
      </w:r>
      <w:proofErr w:type="spellStart"/>
      <w:r>
        <w:rPr>
          <w:rFonts w:hint="cs"/>
          <w:rtl/>
        </w:rPr>
        <w:t>به</w:t>
      </w:r>
      <w:proofErr w:type="spellEnd"/>
      <w:r>
        <w:rPr>
          <w:rFonts w:hint="cs"/>
          <w:rtl/>
        </w:rPr>
        <w:t xml:space="preserve"> اللجنة سابقاً (انظر </w:t>
      </w:r>
      <w:r>
        <w:rPr>
          <w:lang w:val="fr-CH"/>
        </w:rPr>
        <w:t>A/59/38</w:t>
      </w:r>
      <w:r>
        <w:rPr>
          <w:rFonts w:hint="cs"/>
          <w:rtl/>
        </w:rPr>
        <w:t>، الجزء الثاني، الفقرة 236) حاثّةً إياها على أن</w:t>
      </w:r>
      <w:r>
        <w:rPr>
          <w:rFonts w:hint="cs"/>
          <w:b/>
          <w:bCs/>
          <w:rtl/>
        </w:rPr>
        <w:t xml:space="preserve"> </w:t>
      </w:r>
      <w:r w:rsidRPr="009962B3">
        <w:rPr>
          <w:rFonts w:hint="cs"/>
          <w:rtl/>
        </w:rPr>
        <w:t>تسرع في اتخاذ قرار بسحب التحفظات المتبقية على الاتفاقية في إطار زمني محدد</w:t>
      </w:r>
      <w:r>
        <w:rPr>
          <w:rFonts w:hint="cs"/>
          <w:rtl/>
        </w:rPr>
        <w:t>. وجاء في الفقرة 68 من التقرير أن سحب التحفظات قيد النظر. يرجى الإشارة إلى الوقت الذي سيتخذ فيه القرار.</w:t>
      </w:r>
    </w:p>
    <w:p w:rsidR="004C509B" w:rsidRDefault="004C509B" w:rsidP="00F74F7C">
      <w:pPr>
        <w:pStyle w:val="SingleTxtGA"/>
        <w:rPr>
          <w:rFonts w:hint="cs"/>
          <w:rtl/>
        </w:rPr>
      </w:pPr>
      <w:r>
        <w:rPr>
          <w:rFonts w:hint="cs"/>
          <w:rtl/>
        </w:rPr>
        <w:t>2-</w:t>
      </w:r>
      <w:r>
        <w:rPr>
          <w:rFonts w:hint="cs"/>
          <w:rtl/>
        </w:rPr>
        <w:tab/>
        <w:t xml:space="preserve">وطلبت اللجنة في ملاحظاتها الختامية السابقة إلى الدولة الطرف أن </w:t>
      </w:r>
      <w:r w:rsidR="00F74F7C">
        <w:rPr>
          <w:rFonts w:hint="cs"/>
          <w:rtl/>
        </w:rPr>
        <w:t xml:space="preserve">تجعل تعريفها للتمييز متوافقاً مع تعريفه في </w:t>
      </w:r>
      <w:r w:rsidRPr="001C7150">
        <w:rPr>
          <w:rFonts w:hint="cs"/>
          <w:rtl/>
        </w:rPr>
        <w:t xml:space="preserve">المادة 1 من الاتفاقية </w:t>
      </w:r>
      <w:r w:rsidR="00F74F7C">
        <w:rPr>
          <w:rFonts w:hint="cs"/>
          <w:rtl/>
        </w:rPr>
        <w:t>وأن تكفل توسيع نطاق مسؤوليتها</w:t>
      </w:r>
      <w:r>
        <w:rPr>
          <w:rFonts w:hint="cs"/>
          <w:rtl/>
        </w:rPr>
        <w:t xml:space="preserve"> بخصوص</w:t>
      </w:r>
      <w:r w:rsidRPr="001C7150">
        <w:rPr>
          <w:rFonts w:hint="cs"/>
          <w:rtl/>
        </w:rPr>
        <w:t xml:space="preserve"> القضاء على جميع أشكال التمييز بحق المرأة ليشمل التمييز الذي تمارسه جهات في القطاع الخاص</w:t>
      </w:r>
      <w:r>
        <w:rPr>
          <w:rFonts w:hint="cs"/>
          <w:rtl/>
        </w:rPr>
        <w:t xml:space="preserve"> طبقا</w:t>
      </w:r>
      <w:r w:rsidR="00F74F7C">
        <w:rPr>
          <w:rFonts w:hint="cs"/>
          <w:rtl/>
        </w:rPr>
        <w:t>ً</w:t>
      </w:r>
      <w:r>
        <w:rPr>
          <w:rFonts w:hint="cs"/>
          <w:rtl/>
        </w:rPr>
        <w:t xml:space="preserve"> للمادة 2 من الاتفاقية (انظر </w:t>
      </w:r>
      <w:r>
        <w:t>A/59/38</w:t>
      </w:r>
      <w:r>
        <w:rPr>
          <w:rFonts w:hint="cs"/>
          <w:rtl/>
        </w:rPr>
        <w:t>، الجزء الثاني، الفقرة 238). يرجى بيان التدابير التي اتخذت لتنفيذ هذه التوصية.</w:t>
      </w:r>
    </w:p>
    <w:p w:rsidR="004C509B" w:rsidRPr="00640318" w:rsidRDefault="00F74F7C" w:rsidP="00F74F7C">
      <w:pPr>
        <w:pStyle w:val="H23GA"/>
        <w:rPr>
          <w:rFonts w:hint="cs"/>
          <w:rtl/>
        </w:rPr>
      </w:pPr>
      <w:r>
        <w:rPr>
          <w:rtl/>
        </w:rPr>
        <w:br w:type="page"/>
      </w:r>
      <w:r>
        <w:rPr>
          <w:rFonts w:hint="cs"/>
          <w:rtl/>
        </w:rPr>
        <w:tab/>
      </w:r>
      <w:r>
        <w:rPr>
          <w:rFonts w:hint="cs"/>
          <w:rtl/>
        </w:rPr>
        <w:tab/>
      </w:r>
      <w:r w:rsidR="004C509B" w:rsidRPr="00640318">
        <w:rPr>
          <w:rFonts w:hint="cs"/>
          <w:rtl/>
        </w:rPr>
        <w:t xml:space="preserve">الالتجاء إلى </w:t>
      </w:r>
      <w:r w:rsidR="004C509B">
        <w:rPr>
          <w:rFonts w:hint="cs"/>
          <w:rtl/>
        </w:rPr>
        <w:t>القضاء</w:t>
      </w:r>
    </w:p>
    <w:p w:rsidR="004C509B" w:rsidRDefault="004C509B" w:rsidP="00F74F7C">
      <w:pPr>
        <w:pStyle w:val="SingleTxtGA"/>
        <w:rPr>
          <w:rFonts w:hint="cs"/>
          <w:rtl/>
          <w:lang w:val="en-GB"/>
        </w:rPr>
      </w:pPr>
      <w:r>
        <w:rPr>
          <w:rFonts w:hint="cs"/>
          <w:rtl/>
        </w:rPr>
        <w:t>3-</w:t>
      </w:r>
      <w:r>
        <w:rPr>
          <w:rFonts w:hint="cs"/>
          <w:rtl/>
        </w:rPr>
        <w:tab/>
        <w:t>جاء في الفقرة 294 من التقرير أن من الضروري إيجاد نظام أو آلية</w:t>
      </w:r>
      <w:r>
        <w:rPr>
          <w:rFonts w:hint="cs"/>
          <w:rtl/>
          <w:lang w:val="en-GB"/>
        </w:rPr>
        <w:t xml:space="preserve"> </w:t>
      </w:r>
      <w:r w:rsidR="00F74F7C">
        <w:rPr>
          <w:rFonts w:hint="cs"/>
          <w:rtl/>
          <w:lang w:val="en-GB"/>
        </w:rPr>
        <w:t xml:space="preserve">تراعي الاعتبارات الجنسانية </w:t>
      </w:r>
      <w:r>
        <w:rPr>
          <w:rFonts w:hint="cs"/>
          <w:rtl/>
          <w:lang w:val="en-GB"/>
        </w:rPr>
        <w:t xml:space="preserve">لمنع العنف </w:t>
      </w:r>
      <w:r w:rsidR="00F74F7C">
        <w:rPr>
          <w:rFonts w:hint="cs"/>
          <w:rtl/>
          <w:lang w:val="en-GB"/>
        </w:rPr>
        <w:t xml:space="preserve">ضد </w:t>
      </w:r>
      <w:r>
        <w:rPr>
          <w:rFonts w:hint="cs"/>
          <w:rtl/>
          <w:lang w:val="en-GB"/>
        </w:rPr>
        <w:t>المرأة وتوفير سبل فعالة للالتجاء إلى القضاء. فما هي النظم أو الآليات المتاحة التي تسمح للنساء بالالتجاء إلى القضاء ليس في حالات العنف فحسب بل في جميع المجالات التي تتناولها الاتفاقية أيضا</w:t>
      </w:r>
      <w:r w:rsidR="00F74F7C">
        <w:rPr>
          <w:rFonts w:hint="cs"/>
          <w:rtl/>
          <w:lang w:val="en-GB"/>
        </w:rPr>
        <w:t>ً</w:t>
      </w:r>
      <w:r>
        <w:rPr>
          <w:rFonts w:hint="cs"/>
          <w:rtl/>
          <w:lang w:val="en-GB"/>
        </w:rPr>
        <w:t>؟</w:t>
      </w:r>
    </w:p>
    <w:p w:rsidR="004C509B" w:rsidRPr="00DF1B53" w:rsidRDefault="00F74F7C" w:rsidP="00F74F7C">
      <w:pPr>
        <w:pStyle w:val="H23GA"/>
        <w:rPr>
          <w:rFonts w:hint="cs"/>
          <w:rtl/>
        </w:rPr>
      </w:pPr>
      <w:r>
        <w:rPr>
          <w:rFonts w:hint="cs"/>
          <w:rtl/>
        </w:rPr>
        <w:tab/>
      </w:r>
      <w:r>
        <w:rPr>
          <w:rFonts w:hint="cs"/>
          <w:rtl/>
        </w:rPr>
        <w:tab/>
      </w:r>
      <w:r w:rsidR="004C509B" w:rsidRPr="00DF1B53">
        <w:rPr>
          <w:rFonts w:hint="cs"/>
          <w:rtl/>
        </w:rPr>
        <w:t xml:space="preserve">تعميم مراعاة المنظور </w:t>
      </w:r>
      <w:proofErr w:type="spellStart"/>
      <w:r w:rsidR="004C509B" w:rsidRPr="00DF1B53">
        <w:rPr>
          <w:rFonts w:hint="cs"/>
          <w:rtl/>
        </w:rPr>
        <w:t>الجنساني</w:t>
      </w:r>
      <w:proofErr w:type="spellEnd"/>
    </w:p>
    <w:p w:rsidR="004C509B" w:rsidRDefault="004C509B" w:rsidP="004C509B">
      <w:pPr>
        <w:pStyle w:val="SingleTxtGA"/>
        <w:rPr>
          <w:rFonts w:hint="cs"/>
          <w:rtl/>
        </w:rPr>
      </w:pPr>
      <w:r>
        <w:rPr>
          <w:rFonts w:hint="cs"/>
          <w:rtl/>
        </w:rPr>
        <w:t>4-</w:t>
      </w:r>
      <w:r>
        <w:rPr>
          <w:rFonts w:hint="cs"/>
          <w:rtl/>
        </w:rPr>
        <w:tab/>
        <w:t xml:space="preserve">جاء في الفقرة 175 من التقرير أن وزارة المالية </w:t>
      </w:r>
      <w:r w:rsidR="00F74F7C">
        <w:rPr>
          <w:rFonts w:hint="cs"/>
          <w:rtl/>
        </w:rPr>
        <w:t xml:space="preserve">قد </w:t>
      </w:r>
      <w:r>
        <w:rPr>
          <w:rFonts w:hint="cs"/>
          <w:rtl/>
        </w:rPr>
        <w:t xml:space="preserve">أخذت بتعميم </w:t>
      </w:r>
      <w:proofErr w:type="spellStart"/>
      <w:r>
        <w:rPr>
          <w:rFonts w:hint="cs"/>
          <w:rtl/>
        </w:rPr>
        <w:t>الميزنة</w:t>
      </w:r>
      <w:proofErr w:type="spellEnd"/>
      <w:r>
        <w:rPr>
          <w:rFonts w:hint="cs"/>
          <w:rtl/>
        </w:rPr>
        <w:t xml:space="preserve"> الجنسانية في أربع وزارات مهمة وأن هناك خططا</w:t>
      </w:r>
      <w:r w:rsidR="00F74F7C">
        <w:rPr>
          <w:rFonts w:hint="cs"/>
          <w:rtl/>
        </w:rPr>
        <w:t>ً</w:t>
      </w:r>
      <w:r>
        <w:rPr>
          <w:rFonts w:hint="cs"/>
          <w:rtl/>
        </w:rPr>
        <w:t xml:space="preserve"> لإشراك وزارات أخرى مستقبلا</w:t>
      </w:r>
      <w:r w:rsidR="00F74F7C">
        <w:rPr>
          <w:rFonts w:hint="cs"/>
          <w:rtl/>
        </w:rPr>
        <w:t>ً</w:t>
      </w:r>
      <w:r>
        <w:rPr>
          <w:rFonts w:hint="cs"/>
          <w:rtl/>
        </w:rPr>
        <w:t xml:space="preserve">. فماذا كان تأثير </w:t>
      </w:r>
      <w:proofErr w:type="spellStart"/>
      <w:r>
        <w:rPr>
          <w:rFonts w:hint="cs"/>
          <w:rtl/>
        </w:rPr>
        <w:t>الميزنة</w:t>
      </w:r>
      <w:proofErr w:type="spellEnd"/>
      <w:r>
        <w:rPr>
          <w:rFonts w:hint="cs"/>
          <w:rtl/>
        </w:rPr>
        <w:t xml:space="preserve"> الجنسانية في الوزارات الأربع ومتى ستعمَّم على الوزارات الأخرى؟</w:t>
      </w:r>
    </w:p>
    <w:p w:rsidR="004C509B" w:rsidRPr="00C47D0B" w:rsidRDefault="00F74F7C" w:rsidP="00F74F7C">
      <w:pPr>
        <w:pStyle w:val="H23GA"/>
        <w:rPr>
          <w:rFonts w:hint="cs"/>
          <w:rtl/>
        </w:rPr>
      </w:pPr>
      <w:r>
        <w:rPr>
          <w:rFonts w:hint="cs"/>
          <w:rtl/>
        </w:rPr>
        <w:tab/>
      </w:r>
      <w:r>
        <w:rPr>
          <w:rFonts w:hint="cs"/>
          <w:rtl/>
        </w:rPr>
        <w:tab/>
        <w:t xml:space="preserve">العنف </w:t>
      </w:r>
      <w:r w:rsidR="00701D1E">
        <w:rPr>
          <w:rFonts w:hint="cs"/>
          <w:rtl/>
        </w:rPr>
        <w:t xml:space="preserve">الممارس </w:t>
      </w:r>
      <w:r>
        <w:rPr>
          <w:rFonts w:hint="cs"/>
          <w:rtl/>
        </w:rPr>
        <w:t xml:space="preserve">ضد </w:t>
      </w:r>
      <w:r w:rsidR="004C509B" w:rsidRPr="00C47D0B">
        <w:rPr>
          <w:rFonts w:hint="cs"/>
          <w:rtl/>
        </w:rPr>
        <w:t>المرأة</w:t>
      </w:r>
    </w:p>
    <w:p w:rsidR="004C509B" w:rsidRDefault="004C509B" w:rsidP="00F74F7C">
      <w:pPr>
        <w:pStyle w:val="SingleTxtGA"/>
        <w:rPr>
          <w:rFonts w:hint="cs"/>
          <w:rtl/>
        </w:rPr>
      </w:pPr>
      <w:r>
        <w:rPr>
          <w:rFonts w:hint="cs"/>
          <w:rtl/>
        </w:rPr>
        <w:t>5-</w:t>
      </w:r>
      <w:r>
        <w:rPr>
          <w:rFonts w:hint="cs"/>
          <w:rtl/>
        </w:rPr>
        <w:tab/>
        <w:t>تبين الدراسات التي أجريت مؤخرا</w:t>
      </w:r>
      <w:r w:rsidR="00F74F7C">
        <w:rPr>
          <w:rFonts w:hint="cs"/>
          <w:rtl/>
        </w:rPr>
        <w:t>ً</w:t>
      </w:r>
      <w:r>
        <w:rPr>
          <w:rFonts w:hint="cs"/>
          <w:rtl/>
        </w:rPr>
        <w:t xml:space="preserve"> أن 49 في المائة من النساء اللواتي سبق أن تزوجن تعرضن للعنف الجسدي على أيدي أزواجهن وأن النساء اللائي يدفعن مهرا</w:t>
      </w:r>
      <w:r w:rsidR="00F74F7C">
        <w:rPr>
          <w:rFonts w:hint="cs"/>
          <w:rtl/>
        </w:rPr>
        <w:t>ً</w:t>
      </w:r>
      <w:r>
        <w:rPr>
          <w:rFonts w:hint="cs"/>
          <w:rtl/>
        </w:rPr>
        <w:t xml:space="preserve"> عند الزواج أشد عرضة للعنف الجسدي مقارنة بالنساء اللواتي لم يدفعن مهرا</w:t>
      </w:r>
      <w:r w:rsidR="00F74F7C">
        <w:rPr>
          <w:rFonts w:hint="cs"/>
          <w:rtl/>
        </w:rPr>
        <w:t>ً</w:t>
      </w:r>
      <w:r>
        <w:rPr>
          <w:rFonts w:hint="cs"/>
          <w:rtl/>
        </w:rPr>
        <w:t>. ومع أن هناك تشريعات وطنية في هذا الصدد، مثل قانون حظر المهور لعام 1980، وقانون منع القسوة تجاه النساء والأطفال (2000، معدَّلاً في عام 2003)، وقانون مكافحة جريمة الحرق بالحمض (2002، معدَّلاً في عام 2006)، ما هي التدابير المتخذة لضمان تنفيذ</w:t>
      </w:r>
      <w:r w:rsidR="00F74F7C">
        <w:rPr>
          <w:rFonts w:hint="cs"/>
          <w:rtl/>
        </w:rPr>
        <w:t xml:space="preserve"> </w:t>
      </w:r>
      <w:r>
        <w:rPr>
          <w:rFonts w:hint="cs"/>
          <w:rtl/>
        </w:rPr>
        <w:t>ه</w:t>
      </w:r>
      <w:r w:rsidR="00F74F7C">
        <w:rPr>
          <w:rFonts w:hint="cs"/>
          <w:rtl/>
        </w:rPr>
        <w:t>ذه</w:t>
      </w:r>
      <w:r>
        <w:rPr>
          <w:rFonts w:hint="cs"/>
          <w:rtl/>
        </w:rPr>
        <w:t xml:space="preserve"> </w:t>
      </w:r>
      <w:r w:rsidR="00F74F7C">
        <w:rPr>
          <w:rFonts w:hint="cs"/>
          <w:rtl/>
        </w:rPr>
        <w:t xml:space="preserve">التشريعات </w:t>
      </w:r>
      <w:r>
        <w:rPr>
          <w:rFonts w:hint="cs"/>
          <w:rtl/>
        </w:rPr>
        <w:t>بفعالية؟ وهل لدى النساء علم بأحكام تلك القوانين وأين يمكنهن تقديم شكاوى بشأن الانتهاكات؟</w:t>
      </w:r>
    </w:p>
    <w:p w:rsidR="004C509B" w:rsidRDefault="004C509B" w:rsidP="004C509B">
      <w:pPr>
        <w:pStyle w:val="SingleTxtGA"/>
        <w:rPr>
          <w:rFonts w:hint="cs"/>
          <w:rtl/>
        </w:rPr>
      </w:pPr>
      <w:r>
        <w:rPr>
          <w:rFonts w:hint="cs"/>
          <w:rtl/>
        </w:rPr>
        <w:t>6-</w:t>
      </w:r>
      <w:r>
        <w:rPr>
          <w:rFonts w:hint="cs"/>
          <w:rtl/>
        </w:rPr>
        <w:tab/>
        <w:t>وجاء في الفقرة 89 من التقرير أن من المقرر عرض مشروع قانون (منع) العنف العائلي (والحماية منه) (2009) أمام البرلمان في دورة كانون الثاني/يناير 2010. يرجى تقديم معلومات عن الوضع الحالي للمشروع. ويرجى أيضا</w:t>
      </w:r>
      <w:r w:rsidR="00F74F7C">
        <w:rPr>
          <w:rFonts w:hint="cs"/>
          <w:rtl/>
        </w:rPr>
        <w:t>ً</w:t>
      </w:r>
      <w:r>
        <w:rPr>
          <w:rFonts w:hint="cs"/>
          <w:rtl/>
        </w:rPr>
        <w:t xml:space="preserve"> تقديم معلومات عن الأحكام الأساسية للمشروع.</w:t>
      </w:r>
    </w:p>
    <w:p w:rsidR="004C509B" w:rsidRDefault="004C509B" w:rsidP="00F74F7C">
      <w:pPr>
        <w:pStyle w:val="SingleTxtGA"/>
        <w:rPr>
          <w:rFonts w:hint="cs"/>
          <w:rtl/>
        </w:rPr>
      </w:pPr>
      <w:r>
        <w:rPr>
          <w:rFonts w:hint="cs"/>
          <w:rtl/>
        </w:rPr>
        <w:t>7-</w:t>
      </w:r>
      <w:r>
        <w:rPr>
          <w:rFonts w:hint="cs"/>
          <w:rtl/>
        </w:rPr>
        <w:tab/>
        <w:t xml:space="preserve">ويشير التقرير في الفقرة 90 إلى حكم المحكمة العليا البارز بشأن التحرش الجنسي ومبادئ العمل التوجيهية التي وضعتها المحكمة للتعامل مع قضايا التحرش الجنسي. يرجى التفضل بإيراد تفاصيل عن هذه المبادئ التوجيهية. وما هي التدابير التي اتخذتها وزارة شؤون المرأة والطفل لوضع قانون </w:t>
      </w:r>
      <w:r w:rsidR="00F74F7C">
        <w:rPr>
          <w:rFonts w:hint="cs"/>
          <w:rtl/>
        </w:rPr>
        <w:t>بشأ</w:t>
      </w:r>
      <w:r>
        <w:rPr>
          <w:rFonts w:hint="cs"/>
          <w:rtl/>
        </w:rPr>
        <w:t xml:space="preserve">ن التحرش الجنسي بناء على </w:t>
      </w:r>
      <w:r w:rsidR="00F74F7C">
        <w:rPr>
          <w:rFonts w:hint="cs"/>
          <w:rtl/>
        </w:rPr>
        <w:t xml:space="preserve">ما طلبته </w:t>
      </w:r>
      <w:r>
        <w:rPr>
          <w:rFonts w:hint="cs"/>
          <w:rtl/>
        </w:rPr>
        <w:t>المحكمة؟</w:t>
      </w:r>
    </w:p>
    <w:p w:rsidR="004C509B" w:rsidRPr="00C47D0B" w:rsidRDefault="00F74F7C" w:rsidP="00F74F7C">
      <w:pPr>
        <w:pStyle w:val="H23GA"/>
        <w:rPr>
          <w:rFonts w:hint="cs"/>
          <w:rtl/>
        </w:rPr>
      </w:pPr>
      <w:r>
        <w:rPr>
          <w:rFonts w:hint="cs"/>
          <w:rtl/>
        </w:rPr>
        <w:tab/>
      </w:r>
      <w:r>
        <w:rPr>
          <w:rFonts w:hint="cs"/>
          <w:rtl/>
        </w:rPr>
        <w:tab/>
      </w:r>
      <w:r w:rsidR="004C509B" w:rsidRPr="00C47D0B">
        <w:rPr>
          <w:rFonts w:hint="cs"/>
          <w:rtl/>
        </w:rPr>
        <w:t>القوالب النمطية والممارسات التقليدية المضرة</w:t>
      </w:r>
    </w:p>
    <w:p w:rsidR="004C509B" w:rsidRPr="004C55C2" w:rsidRDefault="004C509B" w:rsidP="004C509B">
      <w:pPr>
        <w:pStyle w:val="SingleTxtGA"/>
        <w:rPr>
          <w:rFonts w:hint="cs"/>
          <w:rtl/>
        </w:rPr>
      </w:pPr>
      <w:r>
        <w:rPr>
          <w:rFonts w:hint="cs"/>
          <w:rtl/>
        </w:rPr>
        <w:t>8-</w:t>
      </w:r>
      <w:r>
        <w:rPr>
          <w:rFonts w:hint="cs"/>
          <w:rtl/>
        </w:rPr>
        <w:tab/>
        <w:t>أعربت اللجنة في ملاحظاتها الختامية السابقة عن قلقها إزاء بعض الممارسات التقليدية والثقافية</w:t>
      </w:r>
      <w:r w:rsidR="00F74F7C">
        <w:rPr>
          <w:rFonts w:hint="cs"/>
          <w:rtl/>
        </w:rPr>
        <w:t>،</w:t>
      </w:r>
      <w:r>
        <w:rPr>
          <w:rFonts w:hint="cs"/>
          <w:rtl/>
        </w:rPr>
        <w:t xml:space="preserve"> مثل تعدد الزوجات وزواج الأطفال</w:t>
      </w:r>
      <w:r w:rsidR="00F74F7C">
        <w:rPr>
          <w:rFonts w:hint="cs"/>
          <w:rtl/>
        </w:rPr>
        <w:t>،</w:t>
      </w:r>
      <w:r>
        <w:rPr>
          <w:rFonts w:hint="cs"/>
          <w:rtl/>
        </w:rPr>
        <w:t xml:space="preserve"> التي تضر بتمتع النساء بحقوقهن (انظر </w:t>
      </w:r>
      <w:r>
        <w:t>A/59/38</w:t>
      </w:r>
      <w:r>
        <w:rPr>
          <w:rFonts w:hint="cs"/>
          <w:rtl/>
        </w:rPr>
        <w:t>، الجزء الثاني، الفقرتان 245 و257). وأشارت لجنة حقوق الطفل بدورها، في ملاحظاتها الختامية (</w:t>
      </w:r>
      <w:r>
        <w:t>CRC/C/BGD/CO/4</w:t>
      </w:r>
      <w:r>
        <w:rPr>
          <w:rFonts w:hint="cs"/>
          <w:rtl/>
        </w:rPr>
        <w:t>، الفقرة 67)، إلى الممارسات التقليدية الضارة المرتبطة بإرغام الفتيات على الزواج المبكر، الأمر الذي ينجم عنه عنف جنساني في الغالب. يرجى تقديم معلومات عن التدابير المتخذة لتغيير هذه الممارسات أو القضاء عليها وتبديد شواغل كلتا اللجنتين.</w:t>
      </w:r>
    </w:p>
    <w:p w:rsidR="004C509B" w:rsidRDefault="004C509B" w:rsidP="00F74F7C">
      <w:pPr>
        <w:pStyle w:val="SingleTxtGA"/>
        <w:rPr>
          <w:rFonts w:hint="cs"/>
          <w:rtl/>
        </w:rPr>
      </w:pPr>
      <w:r>
        <w:rPr>
          <w:rFonts w:hint="cs"/>
          <w:rtl/>
        </w:rPr>
        <w:t>9-</w:t>
      </w:r>
      <w:r>
        <w:rPr>
          <w:rFonts w:hint="cs"/>
          <w:rtl/>
        </w:rPr>
        <w:tab/>
        <w:t xml:space="preserve">وما هي السبل التي تلزِم بها أنشطةُ وبرامج التنمية المشار إليها في الفقرة 110 من التقرير الرجالَ </w:t>
      </w:r>
      <w:r w:rsidR="00F74F7C">
        <w:rPr>
          <w:rFonts w:hint="cs"/>
          <w:rtl/>
        </w:rPr>
        <w:t>ب</w:t>
      </w:r>
      <w:r>
        <w:rPr>
          <w:rFonts w:hint="cs"/>
          <w:rtl/>
        </w:rPr>
        <w:t xml:space="preserve">تغيير مواقفهم ومعاييرهم النمطية بشأن أدوار ومسؤوليات الرجال والنساء في الأسرة والمجتمع؟ وهل هناك أي تقييمات </w:t>
      </w:r>
      <w:r w:rsidR="00F74F7C">
        <w:rPr>
          <w:rFonts w:hint="cs"/>
          <w:rtl/>
        </w:rPr>
        <w:t xml:space="preserve">مستقاة </w:t>
      </w:r>
      <w:r>
        <w:rPr>
          <w:rFonts w:hint="cs"/>
          <w:rtl/>
        </w:rPr>
        <w:t>من استعراضات التقدم المحرز شهريا</w:t>
      </w:r>
      <w:r w:rsidR="00F74F7C">
        <w:rPr>
          <w:rFonts w:hint="cs"/>
          <w:rtl/>
        </w:rPr>
        <w:t>ً</w:t>
      </w:r>
      <w:r>
        <w:rPr>
          <w:rFonts w:hint="cs"/>
          <w:rtl/>
        </w:rPr>
        <w:t xml:space="preserve"> و</w:t>
      </w:r>
      <w:r w:rsidR="00F74F7C">
        <w:rPr>
          <w:rFonts w:hint="cs"/>
          <w:rtl/>
        </w:rPr>
        <w:t xml:space="preserve">من </w:t>
      </w:r>
      <w:r>
        <w:rPr>
          <w:rFonts w:hint="cs"/>
          <w:rtl/>
        </w:rPr>
        <w:t xml:space="preserve">نظام الإبلاغ الفصلي لقياس النجاح الأولي لتلك المشاريع </w:t>
      </w:r>
      <w:r w:rsidR="00F74F7C">
        <w:rPr>
          <w:rFonts w:hint="cs"/>
          <w:rtl/>
        </w:rPr>
        <w:t>أو فشلها</w:t>
      </w:r>
      <w:r>
        <w:rPr>
          <w:rFonts w:hint="cs"/>
          <w:rtl/>
        </w:rPr>
        <w:t>؟</w:t>
      </w:r>
    </w:p>
    <w:p w:rsidR="004C509B" w:rsidRPr="00C47D0B" w:rsidRDefault="00935082" w:rsidP="00935082">
      <w:pPr>
        <w:pStyle w:val="H23GA"/>
        <w:rPr>
          <w:rFonts w:hint="cs"/>
          <w:rtl/>
        </w:rPr>
      </w:pPr>
      <w:r>
        <w:rPr>
          <w:rFonts w:hint="cs"/>
          <w:rtl/>
        </w:rPr>
        <w:tab/>
      </w:r>
      <w:r>
        <w:rPr>
          <w:rFonts w:hint="cs"/>
          <w:rtl/>
        </w:rPr>
        <w:tab/>
      </w:r>
      <w:r w:rsidR="004C509B" w:rsidRPr="00C47D0B">
        <w:rPr>
          <w:rFonts w:hint="cs"/>
          <w:rtl/>
        </w:rPr>
        <w:t>الاتجار والاستغلال الجنسي للبغاء</w:t>
      </w:r>
    </w:p>
    <w:p w:rsidR="004C509B" w:rsidRDefault="004C509B" w:rsidP="004C509B">
      <w:pPr>
        <w:pStyle w:val="SingleTxtGA"/>
        <w:rPr>
          <w:rFonts w:hint="cs"/>
          <w:rtl/>
        </w:rPr>
      </w:pPr>
      <w:r>
        <w:rPr>
          <w:rFonts w:hint="cs"/>
          <w:rtl/>
        </w:rPr>
        <w:t>10-</w:t>
      </w:r>
      <w:r>
        <w:rPr>
          <w:rFonts w:hint="cs"/>
          <w:rtl/>
        </w:rPr>
        <w:tab/>
        <w:t>ما هي تأثيرات اللجنة المشتركة بين الوزارات/الوكالات ولجنة التنسيق الوطنية بين المنظمات الحكومية والمنظمات غير الحكومية لمكافحة الاتجار؟</w:t>
      </w:r>
      <w:r>
        <w:rPr>
          <w:rFonts w:hint="cs"/>
          <w:rtl/>
        </w:rPr>
        <w:tab/>
      </w:r>
    </w:p>
    <w:p w:rsidR="004C509B" w:rsidRDefault="004C509B" w:rsidP="00935082">
      <w:pPr>
        <w:pStyle w:val="SingleTxtGA"/>
        <w:rPr>
          <w:rFonts w:hint="cs"/>
          <w:rtl/>
          <w:lang w:bidi="ar-EG"/>
        </w:rPr>
      </w:pPr>
      <w:r>
        <w:rPr>
          <w:rFonts w:hint="cs"/>
          <w:rtl/>
        </w:rPr>
        <w:t>11-</w:t>
      </w:r>
      <w:r>
        <w:rPr>
          <w:rFonts w:hint="cs"/>
          <w:rtl/>
        </w:rPr>
        <w:tab/>
        <w:t>يرجى تقديم تفاصيل عن "</w:t>
      </w:r>
      <w:r w:rsidRPr="00463752">
        <w:rPr>
          <w:rFonts w:hint="cs"/>
          <w:rtl/>
          <w:lang w:val="en-ZW" w:bidi="ar-EG"/>
        </w:rPr>
        <w:t xml:space="preserve">مشروع </w:t>
      </w:r>
      <w:r>
        <w:rPr>
          <w:rFonts w:hint="cs"/>
          <w:rtl/>
          <w:lang w:val="en-ZW" w:bidi="ar-EG"/>
        </w:rPr>
        <w:t>ال</w:t>
      </w:r>
      <w:r w:rsidRPr="00463752">
        <w:rPr>
          <w:rFonts w:hint="cs"/>
          <w:rtl/>
          <w:lang w:val="en-ZW" w:bidi="ar-EG"/>
        </w:rPr>
        <w:t>مب</w:t>
      </w:r>
      <w:r w:rsidR="00935082">
        <w:rPr>
          <w:rFonts w:hint="cs"/>
          <w:rtl/>
          <w:lang w:val="en-ZW" w:bidi="ar-EG"/>
        </w:rPr>
        <w:t>دأ</w:t>
      </w:r>
      <w:r w:rsidRPr="00463752">
        <w:rPr>
          <w:rFonts w:hint="cs"/>
          <w:rtl/>
          <w:lang w:val="en-ZW" w:bidi="ar-EG"/>
        </w:rPr>
        <w:t xml:space="preserve"> </w:t>
      </w:r>
      <w:r>
        <w:rPr>
          <w:rFonts w:hint="cs"/>
          <w:rtl/>
          <w:lang w:val="en-ZW" w:bidi="ar-EG"/>
        </w:rPr>
        <w:t>ال</w:t>
      </w:r>
      <w:r w:rsidRPr="00463752">
        <w:rPr>
          <w:rFonts w:hint="cs"/>
          <w:rtl/>
          <w:lang w:val="en-ZW" w:bidi="ar-EG"/>
        </w:rPr>
        <w:t xml:space="preserve">توجيهي </w:t>
      </w:r>
      <w:r w:rsidR="00935082">
        <w:rPr>
          <w:rFonts w:hint="cs"/>
          <w:rtl/>
          <w:lang w:val="en-ZW" w:bidi="ar-EG"/>
        </w:rPr>
        <w:t xml:space="preserve">لبعثات بنغلاديش في الخارج </w:t>
      </w:r>
      <w:r w:rsidRPr="00463752">
        <w:rPr>
          <w:rFonts w:hint="cs"/>
          <w:rtl/>
          <w:lang w:val="en-ZW" w:bidi="ar-EG"/>
        </w:rPr>
        <w:t>لمكافحة الاتجار بالأشخاص</w:t>
      </w:r>
      <w:r>
        <w:rPr>
          <w:rFonts w:hint="cs"/>
          <w:rtl/>
          <w:lang w:bidi="ar-EG"/>
        </w:rPr>
        <w:t xml:space="preserve">" المشار إليه في الفقرة 99 من التقرير. وعلى غرار ما </w:t>
      </w:r>
      <w:r w:rsidR="00935082">
        <w:rPr>
          <w:rFonts w:hint="cs"/>
          <w:rtl/>
          <w:lang w:bidi="ar-EG"/>
        </w:rPr>
        <w:t>ورد</w:t>
      </w:r>
      <w:r>
        <w:rPr>
          <w:rFonts w:hint="cs"/>
          <w:rtl/>
          <w:lang w:bidi="ar-EG"/>
        </w:rPr>
        <w:t xml:space="preserve"> من نقاش في الفقرة 100، يرجى </w:t>
      </w:r>
      <w:r w:rsidR="00935082">
        <w:rPr>
          <w:rFonts w:hint="cs"/>
          <w:rtl/>
          <w:lang w:bidi="ar-EG"/>
        </w:rPr>
        <w:t xml:space="preserve">تقديم شرح أكثر تفصيلاً بشأن </w:t>
      </w:r>
      <w:r>
        <w:rPr>
          <w:rFonts w:hint="cs"/>
          <w:rtl/>
          <w:lang w:bidi="ar-EG"/>
        </w:rPr>
        <w:t xml:space="preserve">التنسيق مع </w:t>
      </w:r>
      <w:r w:rsidR="00935082">
        <w:rPr>
          <w:rFonts w:hint="cs"/>
          <w:rtl/>
          <w:lang w:bidi="ar-EG"/>
        </w:rPr>
        <w:t>منظمة الأمم المتحدة للطفولة (</w:t>
      </w:r>
      <w:r>
        <w:rPr>
          <w:rFonts w:hint="cs"/>
          <w:rtl/>
          <w:lang w:bidi="ar-EG"/>
        </w:rPr>
        <w:t>اليونيسيف</w:t>
      </w:r>
      <w:r w:rsidR="00935082">
        <w:rPr>
          <w:rFonts w:hint="cs"/>
          <w:rtl/>
          <w:lang w:bidi="ar-EG"/>
        </w:rPr>
        <w:t>)</w:t>
      </w:r>
      <w:r>
        <w:rPr>
          <w:rFonts w:hint="cs"/>
          <w:rtl/>
          <w:lang w:bidi="ar-EG"/>
        </w:rPr>
        <w:t xml:space="preserve"> والمنظمة الدولية للهجرة وسفارة الولايات المتحدة بشأن أفضل نَهج لحل مشكلة الاتجار.</w:t>
      </w:r>
    </w:p>
    <w:p w:rsidR="004C509B" w:rsidRPr="00C47D0B" w:rsidRDefault="00935082" w:rsidP="00935082">
      <w:pPr>
        <w:pStyle w:val="H23GA"/>
        <w:rPr>
          <w:rFonts w:hint="cs"/>
          <w:rtl/>
        </w:rPr>
      </w:pPr>
      <w:r>
        <w:rPr>
          <w:rFonts w:hint="cs"/>
          <w:rtl/>
        </w:rPr>
        <w:tab/>
      </w:r>
      <w:r>
        <w:rPr>
          <w:rFonts w:hint="cs"/>
          <w:rtl/>
        </w:rPr>
        <w:tab/>
      </w:r>
      <w:r w:rsidR="004C509B" w:rsidRPr="00C47D0B">
        <w:rPr>
          <w:rFonts w:hint="cs"/>
          <w:rtl/>
        </w:rPr>
        <w:t>التعليم</w:t>
      </w:r>
    </w:p>
    <w:p w:rsidR="004C509B" w:rsidRDefault="004C509B" w:rsidP="00935082">
      <w:pPr>
        <w:pStyle w:val="SingleTxtGA"/>
        <w:rPr>
          <w:rFonts w:hint="cs"/>
          <w:rtl/>
        </w:rPr>
      </w:pPr>
      <w:r>
        <w:rPr>
          <w:rFonts w:hint="cs"/>
          <w:rtl/>
        </w:rPr>
        <w:t>12-</w:t>
      </w:r>
      <w:r>
        <w:rPr>
          <w:rFonts w:hint="cs"/>
          <w:rtl/>
        </w:rPr>
        <w:tab/>
        <w:t>في البيان المشترك بشأن الماء و</w:t>
      </w:r>
      <w:r w:rsidR="00935082">
        <w:rPr>
          <w:rFonts w:hint="cs"/>
          <w:rtl/>
        </w:rPr>
        <w:t xml:space="preserve">خدمات </w:t>
      </w:r>
      <w:r>
        <w:rPr>
          <w:rFonts w:hint="cs"/>
          <w:rtl/>
        </w:rPr>
        <w:t xml:space="preserve">الصرف الصحي وبشأن مسألة حقوق الإنسان والفقر المدقع (دكا، 10 كانون الأول/ديسمبر 2009) </w:t>
      </w:r>
      <w:r w:rsidR="00935082">
        <w:rPr>
          <w:rFonts w:hint="cs"/>
          <w:rtl/>
        </w:rPr>
        <w:t xml:space="preserve">الصادر عن </w:t>
      </w:r>
      <w:r>
        <w:rPr>
          <w:rFonts w:hint="cs"/>
          <w:rtl/>
        </w:rPr>
        <w:t xml:space="preserve">الخبير المستقل المعني بمسألة التزامات حقوق الإنسان المتعلقة بالحصول على مياه الشرب المأمونة وخدمات الصرف الصحي والخبير المستقل المعني بمسألة حقوق الإنسان والفقر المدقع، أعرب </w:t>
      </w:r>
      <w:r w:rsidR="00935082">
        <w:rPr>
          <w:rFonts w:hint="cs"/>
          <w:rtl/>
        </w:rPr>
        <w:t xml:space="preserve">الخبيران المستقلان </w:t>
      </w:r>
      <w:r>
        <w:rPr>
          <w:rFonts w:hint="cs"/>
          <w:rtl/>
        </w:rPr>
        <w:t xml:space="preserve">عن قلقهما إزاء المعدل المرتفع لتسرب الفتيات من المدرسة، وشجعا على تحسين مستوى تدريب المعلمين ورفع نسبة مشاركة </w:t>
      </w:r>
      <w:r w:rsidR="00935082">
        <w:rPr>
          <w:rFonts w:hint="cs"/>
          <w:rtl/>
        </w:rPr>
        <w:t>الإناث</w:t>
      </w:r>
      <w:r>
        <w:rPr>
          <w:rFonts w:hint="cs"/>
          <w:rtl/>
        </w:rPr>
        <w:t xml:space="preserve"> في التعليم العالي. فكيف عالجت الدولة الطرف هذه القضايا؟</w:t>
      </w:r>
    </w:p>
    <w:p w:rsidR="004C509B" w:rsidRDefault="004C509B" w:rsidP="00701D1E">
      <w:pPr>
        <w:pStyle w:val="SingleTxtGA"/>
        <w:rPr>
          <w:rFonts w:hint="cs"/>
          <w:rtl/>
        </w:rPr>
      </w:pPr>
      <w:r>
        <w:rPr>
          <w:rFonts w:hint="cs"/>
          <w:rtl/>
        </w:rPr>
        <w:t>13-</w:t>
      </w:r>
      <w:r>
        <w:rPr>
          <w:rFonts w:hint="cs"/>
          <w:rtl/>
        </w:rPr>
        <w:tab/>
        <w:t xml:space="preserve">ويرجى بيان </w:t>
      </w:r>
      <w:r w:rsidR="00935082">
        <w:rPr>
          <w:rFonts w:hint="cs"/>
          <w:rtl/>
        </w:rPr>
        <w:t>ما إذا</w:t>
      </w:r>
      <w:r>
        <w:rPr>
          <w:rFonts w:hint="cs"/>
          <w:rtl/>
        </w:rPr>
        <w:t xml:space="preserve"> كانت سياسة التعليم الجديدة (2009) المشار إليها في الفقرة</w:t>
      </w:r>
      <w:r w:rsidR="00701D1E">
        <w:rPr>
          <w:rFonts w:hint="eastAsia"/>
          <w:rtl/>
        </w:rPr>
        <w:t> </w:t>
      </w:r>
      <w:r>
        <w:rPr>
          <w:rFonts w:hint="cs"/>
          <w:rtl/>
        </w:rPr>
        <w:t>111 من التقري</w:t>
      </w:r>
      <w:r w:rsidR="00935082">
        <w:rPr>
          <w:rFonts w:hint="cs"/>
          <w:rtl/>
        </w:rPr>
        <w:t>ـ</w:t>
      </w:r>
      <w:r>
        <w:rPr>
          <w:rFonts w:hint="cs"/>
          <w:rtl/>
        </w:rPr>
        <w:t>ر قد استكملت أم لا. ويرجى أيضا</w:t>
      </w:r>
      <w:r w:rsidR="00935082">
        <w:rPr>
          <w:rFonts w:hint="cs"/>
          <w:rtl/>
        </w:rPr>
        <w:t>ً</w:t>
      </w:r>
      <w:r>
        <w:rPr>
          <w:rFonts w:hint="cs"/>
          <w:rtl/>
        </w:rPr>
        <w:t xml:space="preserve"> توضي</w:t>
      </w:r>
      <w:r w:rsidR="00935082">
        <w:rPr>
          <w:rFonts w:hint="cs"/>
          <w:rtl/>
        </w:rPr>
        <w:t>ـ</w:t>
      </w:r>
      <w:r>
        <w:rPr>
          <w:rFonts w:hint="cs"/>
          <w:rtl/>
        </w:rPr>
        <w:t>ح القوالب النمطية والمواقف تجاه المرأة وإن كان سيُعتمد منهاج دراسي محدد في إطار سياسة التعليم الجديدة لحل هذه المشكلات.</w:t>
      </w:r>
    </w:p>
    <w:p w:rsidR="004C509B" w:rsidRDefault="004C509B" w:rsidP="00935082">
      <w:pPr>
        <w:pStyle w:val="SingleTxtGA"/>
        <w:rPr>
          <w:rFonts w:hint="cs"/>
          <w:rtl/>
        </w:rPr>
      </w:pPr>
      <w:r>
        <w:rPr>
          <w:rFonts w:hint="cs"/>
          <w:rtl/>
        </w:rPr>
        <w:t>14-</w:t>
      </w:r>
      <w:r>
        <w:rPr>
          <w:rFonts w:hint="cs"/>
          <w:rtl/>
        </w:rPr>
        <w:tab/>
        <w:t>وتشير الفقرة 18 من التقرير إلى وجود فوارق في نوعية التعليم بين المناطق الريفية والمناطق الحضرية و</w:t>
      </w:r>
      <w:r w:rsidR="00935082">
        <w:rPr>
          <w:rFonts w:hint="cs"/>
          <w:rtl/>
        </w:rPr>
        <w:t xml:space="preserve">إلى </w:t>
      </w:r>
      <w:r>
        <w:rPr>
          <w:rFonts w:hint="cs"/>
          <w:rtl/>
        </w:rPr>
        <w:t xml:space="preserve">أن هناك فجوة </w:t>
      </w:r>
      <w:r w:rsidR="00935082">
        <w:rPr>
          <w:rFonts w:hint="cs"/>
          <w:rtl/>
        </w:rPr>
        <w:t>بين الجنسين</w:t>
      </w:r>
      <w:r>
        <w:rPr>
          <w:rFonts w:hint="cs"/>
          <w:rtl/>
        </w:rPr>
        <w:t xml:space="preserve"> في مستويات التعليم التقني/المهني</w:t>
      </w:r>
      <w:r w:rsidR="00935082">
        <w:rPr>
          <w:rFonts w:hint="cs"/>
          <w:rtl/>
        </w:rPr>
        <w:t xml:space="preserve"> والتعليم الجامعي</w:t>
      </w:r>
      <w:r>
        <w:rPr>
          <w:rFonts w:hint="cs"/>
          <w:rtl/>
        </w:rPr>
        <w:t xml:space="preserve">. فما هي التدابير التي اتخذتها الدولة الطرف لتحسين نوعية التعليم في المناطق الريفية وسد الفجوة </w:t>
      </w:r>
      <w:r w:rsidR="00935082">
        <w:rPr>
          <w:rFonts w:hint="cs"/>
          <w:rtl/>
        </w:rPr>
        <w:t>بين الجنسين</w:t>
      </w:r>
      <w:r>
        <w:rPr>
          <w:rFonts w:hint="cs"/>
          <w:rtl/>
        </w:rPr>
        <w:t xml:space="preserve"> على مستويات التعليم التقني/المهني</w:t>
      </w:r>
      <w:r w:rsidR="00935082">
        <w:rPr>
          <w:rFonts w:hint="cs"/>
          <w:rtl/>
        </w:rPr>
        <w:t xml:space="preserve"> والتعليم الجامعي</w:t>
      </w:r>
      <w:r>
        <w:rPr>
          <w:rFonts w:hint="cs"/>
          <w:rtl/>
        </w:rPr>
        <w:t>؟</w:t>
      </w:r>
    </w:p>
    <w:p w:rsidR="004C509B" w:rsidRPr="00CB706D" w:rsidRDefault="00935082" w:rsidP="00935082">
      <w:pPr>
        <w:pStyle w:val="H23GA"/>
        <w:rPr>
          <w:rFonts w:hint="cs"/>
          <w:rtl/>
        </w:rPr>
      </w:pPr>
      <w:r>
        <w:rPr>
          <w:rFonts w:hint="cs"/>
          <w:rtl/>
        </w:rPr>
        <w:tab/>
      </w:r>
      <w:r>
        <w:rPr>
          <w:rFonts w:hint="cs"/>
          <w:rtl/>
        </w:rPr>
        <w:tab/>
      </w:r>
      <w:r w:rsidR="004C509B" w:rsidRPr="00CB706D">
        <w:rPr>
          <w:rFonts w:hint="cs"/>
          <w:rtl/>
        </w:rPr>
        <w:t>العمالة</w:t>
      </w:r>
    </w:p>
    <w:p w:rsidR="004C509B" w:rsidRDefault="004C509B" w:rsidP="004C509B">
      <w:pPr>
        <w:pStyle w:val="SingleTxtGA"/>
        <w:rPr>
          <w:rFonts w:hint="cs"/>
          <w:rtl/>
        </w:rPr>
      </w:pPr>
      <w:r>
        <w:rPr>
          <w:rFonts w:hint="cs"/>
          <w:rtl/>
        </w:rPr>
        <w:t>15-</w:t>
      </w:r>
      <w:r>
        <w:rPr>
          <w:rFonts w:hint="cs"/>
          <w:rtl/>
        </w:rPr>
        <w:tab/>
        <w:t xml:space="preserve">بخصوص قانون العمل </w:t>
      </w:r>
      <w:proofErr w:type="spellStart"/>
      <w:r>
        <w:rPr>
          <w:rFonts w:hint="cs"/>
          <w:rtl/>
        </w:rPr>
        <w:t>البنغلاديشي</w:t>
      </w:r>
      <w:proofErr w:type="spellEnd"/>
      <w:r>
        <w:rPr>
          <w:rFonts w:hint="cs"/>
          <w:rtl/>
        </w:rPr>
        <w:t xml:space="preserve"> (2006) المشار إليه في الفقرة 43 من التقرير، يرجى تحديد ما يحمي النساء من التحرش الجنسي.</w:t>
      </w:r>
    </w:p>
    <w:p w:rsidR="004C509B" w:rsidRDefault="004C509B" w:rsidP="00935082">
      <w:pPr>
        <w:pStyle w:val="SingleTxtGA"/>
        <w:rPr>
          <w:rFonts w:hint="cs"/>
          <w:rtl/>
        </w:rPr>
      </w:pPr>
      <w:r>
        <w:rPr>
          <w:rFonts w:hint="cs"/>
          <w:rtl/>
        </w:rPr>
        <w:t>16-</w:t>
      </w:r>
      <w:r>
        <w:rPr>
          <w:rFonts w:hint="cs"/>
          <w:rtl/>
        </w:rPr>
        <w:tab/>
        <w:t xml:space="preserve">وبالإشارة إلى الفقرة 124 من التقرير التي هي رد على الملاحظات الختامية السابقة للجنة، يرجى تقديم معلومات عن الآليات الموجودة المعنية برصد تنفيذ قانون العمل </w:t>
      </w:r>
      <w:proofErr w:type="spellStart"/>
      <w:r>
        <w:rPr>
          <w:rFonts w:hint="cs"/>
          <w:rtl/>
        </w:rPr>
        <w:t>البنغلاديشي</w:t>
      </w:r>
      <w:proofErr w:type="spellEnd"/>
      <w:r>
        <w:rPr>
          <w:rFonts w:hint="cs"/>
          <w:rtl/>
        </w:rPr>
        <w:t xml:space="preserve"> (2006). وهل تستفيد النساء في القطاع الخاص من نفس إجازة الأمومة التي تبلغ مدتها 16 أسبوعا؟</w:t>
      </w:r>
    </w:p>
    <w:p w:rsidR="004C509B" w:rsidRDefault="004C509B" w:rsidP="00935082">
      <w:pPr>
        <w:pStyle w:val="SingleTxtGA"/>
        <w:rPr>
          <w:rFonts w:hint="cs"/>
          <w:rtl/>
        </w:rPr>
      </w:pPr>
      <w:r>
        <w:rPr>
          <w:rFonts w:hint="cs"/>
          <w:rtl/>
        </w:rPr>
        <w:t>17-</w:t>
      </w:r>
      <w:r>
        <w:rPr>
          <w:rFonts w:hint="cs"/>
          <w:rtl/>
        </w:rPr>
        <w:tab/>
        <w:t>وجاء في الصفحة 108 من التقرير أن أجور النساء تبلغ 58.2 في المائة فقط من أجور الرجال وأن هذا التفاوت يعزى أساساً إلى المواقف الاجتماعية والفوارق في التعليم والمهارات. ف</w:t>
      </w:r>
      <w:r w:rsidR="00935082">
        <w:rPr>
          <w:rFonts w:hint="cs"/>
          <w:rtl/>
        </w:rPr>
        <w:t>كيف تُعالج</w:t>
      </w:r>
      <w:r>
        <w:rPr>
          <w:rFonts w:hint="cs"/>
          <w:rtl/>
        </w:rPr>
        <w:t xml:space="preserve"> هذه القضية؟</w:t>
      </w:r>
    </w:p>
    <w:p w:rsidR="004C509B" w:rsidRPr="00CB706D" w:rsidRDefault="00935082" w:rsidP="00935082">
      <w:pPr>
        <w:pStyle w:val="H23GA"/>
        <w:rPr>
          <w:rFonts w:hint="cs"/>
          <w:rtl/>
        </w:rPr>
      </w:pPr>
      <w:r>
        <w:rPr>
          <w:rFonts w:hint="cs"/>
          <w:rtl/>
        </w:rPr>
        <w:tab/>
      </w:r>
      <w:r>
        <w:rPr>
          <w:rFonts w:hint="cs"/>
          <w:rtl/>
        </w:rPr>
        <w:tab/>
      </w:r>
      <w:r w:rsidR="004C509B" w:rsidRPr="00CB706D">
        <w:rPr>
          <w:rFonts w:hint="cs"/>
          <w:rtl/>
        </w:rPr>
        <w:t>الصحة</w:t>
      </w:r>
    </w:p>
    <w:p w:rsidR="004C509B" w:rsidRDefault="004C509B" w:rsidP="00935082">
      <w:pPr>
        <w:pStyle w:val="SingleTxtGA"/>
        <w:rPr>
          <w:rFonts w:hint="cs"/>
          <w:rtl/>
        </w:rPr>
      </w:pPr>
      <w:r>
        <w:rPr>
          <w:rFonts w:hint="cs"/>
          <w:rtl/>
        </w:rPr>
        <w:t>18-</w:t>
      </w:r>
      <w:r>
        <w:rPr>
          <w:rFonts w:hint="cs"/>
          <w:rtl/>
        </w:rPr>
        <w:tab/>
        <w:t xml:space="preserve">جاء في الفقرة 63 من الملاحظات الختامية التي أبدتها لجنة حقوق الطفل أن </w:t>
      </w:r>
      <w:r w:rsidRPr="00DA6099">
        <w:rPr>
          <w:rFonts w:hint="eastAsia"/>
          <w:rtl/>
        </w:rPr>
        <w:t>من</w:t>
      </w:r>
      <w:r w:rsidRPr="00DA6099">
        <w:rPr>
          <w:rtl/>
        </w:rPr>
        <w:t xml:space="preserve"> </w:t>
      </w:r>
      <w:r>
        <w:rPr>
          <w:rFonts w:hint="cs"/>
          <w:rtl/>
        </w:rPr>
        <w:t>الهواجس</w:t>
      </w:r>
      <w:r w:rsidRPr="00DA6099">
        <w:rPr>
          <w:rtl/>
        </w:rPr>
        <w:t xml:space="preserve"> </w:t>
      </w:r>
      <w:r>
        <w:rPr>
          <w:rFonts w:hint="cs"/>
          <w:rtl/>
        </w:rPr>
        <w:t>الملحة</w:t>
      </w:r>
      <w:r w:rsidRPr="00DA6099">
        <w:rPr>
          <w:rtl/>
        </w:rPr>
        <w:t xml:space="preserve"> </w:t>
      </w:r>
      <w:r>
        <w:rPr>
          <w:rFonts w:hint="cs"/>
          <w:rtl/>
        </w:rPr>
        <w:t>المرتبطة بص</w:t>
      </w:r>
      <w:r w:rsidRPr="00DA6099">
        <w:rPr>
          <w:rFonts w:hint="eastAsia"/>
          <w:rtl/>
        </w:rPr>
        <w:t>حة</w:t>
      </w:r>
      <w:r w:rsidRPr="00DA6099">
        <w:rPr>
          <w:rtl/>
        </w:rPr>
        <w:t xml:space="preserve"> </w:t>
      </w:r>
      <w:r w:rsidRPr="00DA6099">
        <w:rPr>
          <w:rFonts w:hint="eastAsia"/>
          <w:rtl/>
        </w:rPr>
        <w:t>المراهقين</w:t>
      </w:r>
      <w:r w:rsidRPr="00DA6099">
        <w:rPr>
          <w:rtl/>
        </w:rPr>
        <w:t xml:space="preserve"> </w:t>
      </w:r>
      <w:r w:rsidR="00935082">
        <w:rPr>
          <w:rFonts w:hint="cs"/>
          <w:rtl/>
        </w:rPr>
        <w:t xml:space="preserve">ما يشمل </w:t>
      </w:r>
      <w:r w:rsidRPr="00DA6099">
        <w:rPr>
          <w:rFonts w:hint="eastAsia"/>
          <w:rtl/>
        </w:rPr>
        <w:t>المسائل</w:t>
      </w:r>
      <w:r w:rsidRPr="00DA6099">
        <w:rPr>
          <w:rtl/>
        </w:rPr>
        <w:t xml:space="preserve"> </w:t>
      </w:r>
      <w:r w:rsidRPr="00DA6099">
        <w:rPr>
          <w:rFonts w:hint="eastAsia"/>
          <w:rtl/>
        </w:rPr>
        <w:t>الناشئة</w:t>
      </w:r>
      <w:r w:rsidRPr="00DA6099">
        <w:rPr>
          <w:rtl/>
        </w:rPr>
        <w:t xml:space="preserve"> </w:t>
      </w:r>
      <w:r w:rsidRPr="00DA6099">
        <w:rPr>
          <w:rFonts w:hint="eastAsia"/>
          <w:rtl/>
        </w:rPr>
        <w:t>عن</w:t>
      </w:r>
      <w:r w:rsidRPr="00DA6099">
        <w:rPr>
          <w:rtl/>
        </w:rPr>
        <w:t xml:space="preserve"> </w:t>
      </w:r>
      <w:r w:rsidRPr="00DA6099">
        <w:rPr>
          <w:rFonts w:hint="eastAsia"/>
          <w:rtl/>
        </w:rPr>
        <w:t>العنف</w:t>
      </w:r>
      <w:r w:rsidRPr="00DA6099">
        <w:rPr>
          <w:rtl/>
        </w:rPr>
        <w:t xml:space="preserve"> </w:t>
      </w:r>
      <w:r>
        <w:rPr>
          <w:rFonts w:hint="cs"/>
          <w:rtl/>
        </w:rPr>
        <w:t xml:space="preserve">الممارس </w:t>
      </w:r>
      <w:r w:rsidR="00935082">
        <w:rPr>
          <w:rFonts w:hint="cs"/>
          <w:rtl/>
        </w:rPr>
        <w:t xml:space="preserve">على </w:t>
      </w:r>
      <w:r w:rsidRPr="00DA6099">
        <w:rPr>
          <w:rFonts w:hint="eastAsia"/>
          <w:rtl/>
        </w:rPr>
        <w:t>الفتيات</w:t>
      </w:r>
      <w:r w:rsidR="00935082">
        <w:rPr>
          <w:rFonts w:hint="cs"/>
          <w:rtl/>
        </w:rPr>
        <w:t>،</w:t>
      </w:r>
      <w:r w:rsidRPr="00DA6099">
        <w:rPr>
          <w:rtl/>
        </w:rPr>
        <w:t xml:space="preserve"> </w:t>
      </w:r>
      <w:r w:rsidRPr="00DA6099">
        <w:rPr>
          <w:rFonts w:hint="eastAsia"/>
          <w:rtl/>
        </w:rPr>
        <w:t>والزيجات</w:t>
      </w:r>
      <w:r w:rsidRPr="00DA6099">
        <w:rPr>
          <w:rtl/>
        </w:rPr>
        <w:t xml:space="preserve"> </w:t>
      </w:r>
      <w:r w:rsidRPr="00DA6099">
        <w:rPr>
          <w:rFonts w:hint="eastAsia"/>
          <w:rtl/>
        </w:rPr>
        <w:t>المبكرة،</w:t>
      </w:r>
      <w:r w:rsidRPr="00DA6099">
        <w:rPr>
          <w:rtl/>
        </w:rPr>
        <w:t xml:space="preserve"> </w:t>
      </w:r>
      <w:r>
        <w:rPr>
          <w:rFonts w:hint="cs"/>
          <w:rtl/>
        </w:rPr>
        <w:t>إضافة إلى</w:t>
      </w:r>
      <w:r w:rsidRPr="00DA6099">
        <w:rPr>
          <w:rtl/>
        </w:rPr>
        <w:t xml:space="preserve"> </w:t>
      </w:r>
      <w:r>
        <w:rPr>
          <w:rFonts w:hint="cs"/>
          <w:rtl/>
        </w:rPr>
        <w:t>نقص</w:t>
      </w:r>
      <w:r w:rsidRPr="00DA6099">
        <w:rPr>
          <w:rtl/>
        </w:rPr>
        <w:t xml:space="preserve"> </w:t>
      </w:r>
      <w:r>
        <w:rPr>
          <w:rFonts w:hint="eastAsia"/>
          <w:rtl/>
        </w:rPr>
        <w:t>التغذية</w:t>
      </w:r>
      <w:r>
        <w:rPr>
          <w:rFonts w:hint="cs"/>
          <w:rtl/>
        </w:rPr>
        <w:t xml:space="preserve"> وسبل </w:t>
      </w:r>
      <w:r w:rsidR="00935082">
        <w:rPr>
          <w:rFonts w:hint="cs"/>
          <w:rtl/>
        </w:rPr>
        <w:t>التوعية الصحية</w:t>
      </w:r>
      <w:r>
        <w:rPr>
          <w:rFonts w:hint="cs"/>
          <w:rtl/>
        </w:rPr>
        <w:t xml:space="preserve"> والاستفادة من </w:t>
      </w:r>
      <w:r w:rsidRPr="00DA6099">
        <w:rPr>
          <w:rFonts w:hint="eastAsia"/>
          <w:rtl/>
        </w:rPr>
        <w:t>المرافق</w:t>
      </w:r>
      <w:r w:rsidRPr="00DA6099">
        <w:rPr>
          <w:rtl/>
        </w:rPr>
        <w:t xml:space="preserve"> </w:t>
      </w:r>
      <w:r w:rsidRPr="00DA6099">
        <w:rPr>
          <w:rFonts w:hint="eastAsia"/>
          <w:rtl/>
        </w:rPr>
        <w:t>الصحية،</w:t>
      </w:r>
      <w:r w:rsidRPr="00DA6099">
        <w:rPr>
          <w:rtl/>
        </w:rPr>
        <w:t xml:space="preserve"> </w:t>
      </w:r>
      <w:r w:rsidRPr="00DA6099">
        <w:rPr>
          <w:rFonts w:hint="eastAsia"/>
          <w:rtl/>
        </w:rPr>
        <w:t>بما</w:t>
      </w:r>
      <w:r w:rsidRPr="00DA6099">
        <w:rPr>
          <w:rtl/>
        </w:rPr>
        <w:t xml:space="preserve"> </w:t>
      </w:r>
      <w:r w:rsidRPr="00DA6099">
        <w:rPr>
          <w:rFonts w:hint="eastAsia"/>
          <w:rtl/>
        </w:rPr>
        <w:t>في</w:t>
      </w:r>
      <w:r w:rsidRPr="00DA6099">
        <w:rPr>
          <w:rtl/>
        </w:rPr>
        <w:t xml:space="preserve"> </w:t>
      </w:r>
      <w:r w:rsidRPr="00DA6099">
        <w:rPr>
          <w:rFonts w:hint="eastAsia"/>
          <w:rtl/>
        </w:rPr>
        <w:t>ذلك</w:t>
      </w:r>
      <w:r w:rsidRPr="00DA6099">
        <w:rPr>
          <w:rtl/>
        </w:rPr>
        <w:t xml:space="preserve"> </w:t>
      </w:r>
      <w:r>
        <w:rPr>
          <w:rFonts w:hint="cs"/>
          <w:rtl/>
        </w:rPr>
        <w:t>ال</w:t>
      </w:r>
      <w:r w:rsidRPr="00DA6099">
        <w:rPr>
          <w:rFonts w:hint="eastAsia"/>
          <w:rtl/>
        </w:rPr>
        <w:t>مرافق</w:t>
      </w:r>
      <w:r w:rsidRPr="00DA6099">
        <w:rPr>
          <w:rtl/>
        </w:rPr>
        <w:t xml:space="preserve"> </w:t>
      </w:r>
      <w:r>
        <w:rPr>
          <w:rFonts w:hint="cs"/>
          <w:rtl/>
        </w:rPr>
        <w:t>ال</w:t>
      </w:r>
      <w:r w:rsidRPr="00DA6099">
        <w:rPr>
          <w:rFonts w:hint="eastAsia"/>
          <w:rtl/>
        </w:rPr>
        <w:t>صحي</w:t>
      </w:r>
      <w:r>
        <w:rPr>
          <w:rFonts w:hint="cs"/>
          <w:rtl/>
        </w:rPr>
        <w:t>ة</w:t>
      </w:r>
      <w:r w:rsidRPr="00DA6099">
        <w:rPr>
          <w:rtl/>
        </w:rPr>
        <w:t xml:space="preserve"> </w:t>
      </w:r>
      <w:r>
        <w:rPr>
          <w:rFonts w:hint="cs"/>
          <w:rtl/>
        </w:rPr>
        <w:t>ال</w:t>
      </w:r>
      <w:r w:rsidRPr="00DA6099">
        <w:rPr>
          <w:rFonts w:hint="eastAsia"/>
          <w:rtl/>
        </w:rPr>
        <w:t>منفصلة</w:t>
      </w:r>
      <w:r w:rsidRPr="00DA6099">
        <w:rPr>
          <w:rtl/>
        </w:rPr>
        <w:t xml:space="preserve"> </w:t>
      </w:r>
      <w:r w:rsidRPr="00DA6099">
        <w:rPr>
          <w:rFonts w:hint="eastAsia"/>
          <w:rtl/>
        </w:rPr>
        <w:t>و</w:t>
      </w:r>
      <w:r>
        <w:rPr>
          <w:rFonts w:hint="cs"/>
          <w:rtl/>
        </w:rPr>
        <w:t>ال</w:t>
      </w:r>
      <w:r w:rsidRPr="00DA6099">
        <w:rPr>
          <w:rFonts w:hint="eastAsia"/>
          <w:rtl/>
        </w:rPr>
        <w:t>ملائمة</w:t>
      </w:r>
      <w:r w:rsidRPr="00DA6099">
        <w:rPr>
          <w:rtl/>
        </w:rPr>
        <w:t xml:space="preserve"> </w:t>
      </w:r>
      <w:r w:rsidRPr="00DA6099">
        <w:rPr>
          <w:rFonts w:hint="eastAsia"/>
          <w:rtl/>
        </w:rPr>
        <w:t>في</w:t>
      </w:r>
      <w:r w:rsidRPr="00DA6099">
        <w:rPr>
          <w:rtl/>
        </w:rPr>
        <w:t xml:space="preserve"> </w:t>
      </w:r>
      <w:r>
        <w:rPr>
          <w:rFonts w:hint="cs"/>
          <w:rtl/>
        </w:rPr>
        <w:t xml:space="preserve">المدارس. ويساور اللجنة قلق </w:t>
      </w:r>
      <w:r w:rsidR="00935082">
        <w:rPr>
          <w:rFonts w:hint="cs"/>
          <w:rtl/>
        </w:rPr>
        <w:t xml:space="preserve">أيضاً </w:t>
      </w:r>
      <w:r w:rsidRPr="00DA6099">
        <w:rPr>
          <w:rFonts w:hint="eastAsia"/>
          <w:rtl/>
        </w:rPr>
        <w:t>إزاء</w:t>
      </w:r>
      <w:r w:rsidRPr="00DA6099">
        <w:rPr>
          <w:rtl/>
        </w:rPr>
        <w:t xml:space="preserve"> </w:t>
      </w:r>
      <w:r>
        <w:rPr>
          <w:rFonts w:hint="cs"/>
          <w:rtl/>
        </w:rPr>
        <w:t xml:space="preserve">رداءة </w:t>
      </w:r>
      <w:r w:rsidRPr="00DA6099">
        <w:rPr>
          <w:rFonts w:hint="eastAsia"/>
          <w:rtl/>
        </w:rPr>
        <w:t>المرافق</w:t>
      </w:r>
      <w:r w:rsidRPr="00DA6099">
        <w:rPr>
          <w:rtl/>
        </w:rPr>
        <w:t xml:space="preserve"> </w:t>
      </w:r>
      <w:r w:rsidRPr="00DA6099">
        <w:rPr>
          <w:rFonts w:hint="eastAsia"/>
          <w:rtl/>
        </w:rPr>
        <w:t>والخدمات</w:t>
      </w:r>
      <w:r w:rsidRPr="00DA6099">
        <w:rPr>
          <w:rtl/>
        </w:rPr>
        <w:t xml:space="preserve"> </w:t>
      </w:r>
      <w:r w:rsidRPr="00DA6099">
        <w:rPr>
          <w:rFonts w:hint="eastAsia"/>
          <w:rtl/>
        </w:rPr>
        <w:t>الاستشارية</w:t>
      </w:r>
      <w:r w:rsidRPr="00DA6099">
        <w:rPr>
          <w:rtl/>
        </w:rPr>
        <w:t xml:space="preserve"> </w:t>
      </w:r>
      <w:r>
        <w:rPr>
          <w:rFonts w:hint="cs"/>
          <w:rtl/>
        </w:rPr>
        <w:t>الخاصة ب</w:t>
      </w:r>
      <w:r w:rsidRPr="00DA6099">
        <w:rPr>
          <w:rFonts w:hint="eastAsia"/>
          <w:rtl/>
        </w:rPr>
        <w:t>صحة</w:t>
      </w:r>
      <w:r>
        <w:rPr>
          <w:rFonts w:hint="cs"/>
          <w:rtl/>
        </w:rPr>
        <w:t xml:space="preserve"> المراهقين</w:t>
      </w:r>
      <w:r w:rsidRPr="00DA6099">
        <w:rPr>
          <w:rtl/>
        </w:rPr>
        <w:t xml:space="preserve"> </w:t>
      </w:r>
      <w:r>
        <w:rPr>
          <w:rFonts w:hint="cs"/>
          <w:rtl/>
        </w:rPr>
        <w:t>النفسية</w:t>
      </w:r>
      <w:r w:rsidRPr="00DA6099">
        <w:rPr>
          <w:rtl/>
        </w:rPr>
        <w:t xml:space="preserve"> </w:t>
      </w:r>
      <w:r>
        <w:rPr>
          <w:rFonts w:hint="cs"/>
          <w:rtl/>
        </w:rPr>
        <w:t>و</w:t>
      </w:r>
      <w:r w:rsidRPr="00DA6099">
        <w:rPr>
          <w:rFonts w:hint="eastAsia"/>
          <w:rtl/>
        </w:rPr>
        <w:t>الإنجابية</w:t>
      </w:r>
      <w:r w:rsidRPr="00DA6099">
        <w:rPr>
          <w:rtl/>
        </w:rPr>
        <w:t>.</w:t>
      </w:r>
      <w:r>
        <w:rPr>
          <w:rFonts w:hint="cs"/>
          <w:rtl/>
        </w:rPr>
        <w:t xml:space="preserve"> يرجى تقديم معلومات مفصلة عن الجهود المبذولة لتبديد هذه الهواجس ورسم سياسات صحية تدريجية تراعي </w:t>
      </w:r>
      <w:r w:rsidR="00935082">
        <w:rPr>
          <w:rFonts w:hint="cs"/>
          <w:rtl/>
        </w:rPr>
        <w:t xml:space="preserve">ظروف </w:t>
      </w:r>
      <w:r>
        <w:rPr>
          <w:rFonts w:hint="cs"/>
          <w:rtl/>
        </w:rPr>
        <w:t>المراهقات مراعاة شديدة. وهل وُفرت الآن مرافق صحية منفصلة للمراهقات؟</w:t>
      </w:r>
    </w:p>
    <w:p w:rsidR="004C509B" w:rsidRPr="00DE71F1" w:rsidRDefault="004C509B" w:rsidP="00935082">
      <w:pPr>
        <w:pStyle w:val="SingleTxtGA"/>
        <w:rPr>
          <w:rFonts w:hint="cs"/>
          <w:rtl/>
        </w:rPr>
      </w:pPr>
      <w:r>
        <w:rPr>
          <w:rFonts w:hint="cs"/>
          <w:rtl/>
        </w:rPr>
        <w:t>19-</w:t>
      </w:r>
      <w:r>
        <w:rPr>
          <w:rFonts w:hint="cs"/>
          <w:rtl/>
        </w:rPr>
        <w:tab/>
        <w:t xml:space="preserve">وبالإشارة إلى الفقرة 20 من التقرير، يرجى بيان </w:t>
      </w:r>
      <w:r w:rsidR="00935082">
        <w:rPr>
          <w:rFonts w:hint="cs"/>
          <w:rtl/>
        </w:rPr>
        <w:t xml:space="preserve">ما إذا </w:t>
      </w:r>
      <w:r>
        <w:rPr>
          <w:rFonts w:hint="cs"/>
          <w:rtl/>
        </w:rPr>
        <w:t>كانت الخدمات الصحية التي تقدمها عيادات المجتمعات المحلية مناسبة وفي المتناول وميسورة التكلفة. وهل توجد هذه العيادات في المناطق الريفية؟ يرجى تقديم معلومات عن أنشطة اللجان الصحية الريفية وتأثيرها في ت</w:t>
      </w:r>
      <w:r w:rsidR="00935082">
        <w:rPr>
          <w:rFonts w:hint="cs"/>
          <w:rtl/>
        </w:rPr>
        <w:t>يسير</w:t>
      </w:r>
      <w:r>
        <w:rPr>
          <w:rFonts w:hint="cs"/>
          <w:rtl/>
        </w:rPr>
        <w:t xml:space="preserve"> سبل حصول النساء على الخدمات الصحية في المناطق الريفية.</w:t>
      </w:r>
    </w:p>
    <w:p w:rsidR="004C509B" w:rsidRPr="00701D1E" w:rsidRDefault="004C509B" w:rsidP="00935082">
      <w:pPr>
        <w:pStyle w:val="SingleTxtGA"/>
        <w:rPr>
          <w:rFonts w:hint="cs"/>
          <w:spacing w:val="-2"/>
          <w:rtl/>
        </w:rPr>
      </w:pPr>
      <w:r w:rsidRPr="00701D1E">
        <w:rPr>
          <w:rFonts w:hint="cs"/>
          <w:spacing w:val="-2"/>
          <w:rtl/>
        </w:rPr>
        <w:t>20-</w:t>
      </w:r>
      <w:r w:rsidRPr="00701D1E">
        <w:rPr>
          <w:rFonts w:hint="cs"/>
          <w:spacing w:val="-2"/>
          <w:rtl/>
        </w:rPr>
        <w:tab/>
        <w:t>ومع أن الفقرة 19 من التقرير ت</w:t>
      </w:r>
      <w:r w:rsidR="00935082" w:rsidRPr="00701D1E">
        <w:rPr>
          <w:rFonts w:hint="cs"/>
          <w:spacing w:val="-2"/>
          <w:rtl/>
        </w:rPr>
        <w:t>شي</w:t>
      </w:r>
      <w:r w:rsidRPr="00701D1E">
        <w:rPr>
          <w:rFonts w:hint="cs"/>
          <w:spacing w:val="-2"/>
          <w:rtl/>
        </w:rPr>
        <w:t xml:space="preserve">ر </w:t>
      </w:r>
      <w:r w:rsidR="00935082" w:rsidRPr="00701D1E">
        <w:rPr>
          <w:rFonts w:hint="cs"/>
          <w:spacing w:val="-2"/>
          <w:rtl/>
        </w:rPr>
        <w:t xml:space="preserve">إلى </w:t>
      </w:r>
      <w:r w:rsidRPr="00701D1E">
        <w:rPr>
          <w:rFonts w:hint="cs"/>
          <w:spacing w:val="-2"/>
          <w:rtl/>
        </w:rPr>
        <w:t xml:space="preserve">أن معدل الوفيات </w:t>
      </w:r>
      <w:proofErr w:type="spellStart"/>
      <w:r w:rsidRPr="00701D1E">
        <w:rPr>
          <w:rFonts w:hint="cs"/>
          <w:spacing w:val="-2"/>
          <w:rtl/>
        </w:rPr>
        <w:t>النفاسية</w:t>
      </w:r>
      <w:proofErr w:type="spellEnd"/>
      <w:r w:rsidRPr="00701D1E">
        <w:rPr>
          <w:rFonts w:hint="cs"/>
          <w:spacing w:val="-2"/>
          <w:rtl/>
        </w:rPr>
        <w:t xml:space="preserve"> انخفض من 3.65 في كل </w:t>
      </w:r>
      <w:r w:rsidR="00935082" w:rsidRPr="00701D1E">
        <w:rPr>
          <w:rFonts w:hint="cs"/>
          <w:spacing w:val="-2"/>
          <w:rtl/>
        </w:rPr>
        <w:t>000 1</w:t>
      </w:r>
      <w:r w:rsidRPr="00701D1E">
        <w:rPr>
          <w:rFonts w:hint="cs"/>
          <w:spacing w:val="-2"/>
          <w:rtl/>
        </w:rPr>
        <w:t xml:space="preserve"> ولادة حية في عام 2004 إلى 3.51 في عام 2007، فإنه لا توجد معلومات إضافية عن الوضع الراهن. يرجى تقديم معلومات عن معدلات الوفيات </w:t>
      </w:r>
      <w:proofErr w:type="spellStart"/>
      <w:r w:rsidRPr="00701D1E">
        <w:rPr>
          <w:rFonts w:hint="cs"/>
          <w:spacing w:val="-2"/>
          <w:rtl/>
        </w:rPr>
        <w:t>النفاسية</w:t>
      </w:r>
      <w:proofErr w:type="spellEnd"/>
      <w:r w:rsidRPr="00701D1E">
        <w:rPr>
          <w:rFonts w:hint="cs"/>
          <w:spacing w:val="-2"/>
          <w:rtl/>
        </w:rPr>
        <w:t xml:space="preserve"> مصنفةً حسب المناطق الريفية والحضرية وحسب </w:t>
      </w:r>
      <w:r w:rsidR="00935082" w:rsidRPr="00701D1E">
        <w:rPr>
          <w:rFonts w:hint="cs"/>
          <w:spacing w:val="-2"/>
          <w:rtl/>
        </w:rPr>
        <w:t>المجموعات من الأقليات</w:t>
      </w:r>
      <w:r w:rsidRPr="00701D1E">
        <w:rPr>
          <w:rFonts w:hint="cs"/>
          <w:spacing w:val="-2"/>
          <w:rtl/>
        </w:rPr>
        <w:t xml:space="preserve"> والشعوب الأصلية.</w:t>
      </w:r>
    </w:p>
    <w:p w:rsidR="004C509B" w:rsidRPr="00CB706D" w:rsidRDefault="00935082" w:rsidP="00935082">
      <w:pPr>
        <w:pStyle w:val="H23GA"/>
        <w:rPr>
          <w:rFonts w:hint="cs"/>
          <w:rtl/>
        </w:rPr>
      </w:pPr>
      <w:r>
        <w:rPr>
          <w:rFonts w:hint="cs"/>
          <w:rtl/>
        </w:rPr>
        <w:tab/>
      </w:r>
      <w:r>
        <w:rPr>
          <w:rFonts w:hint="cs"/>
          <w:rtl/>
        </w:rPr>
        <w:tab/>
      </w:r>
      <w:r w:rsidR="004C509B" w:rsidRPr="00CB706D">
        <w:rPr>
          <w:rFonts w:hint="cs"/>
          <w:rtl/>
        </w:rPr>
        <w:t>الحياة الاقتصادية والاجتماعية</w:t>
      </w:r>
    </w:p>
    <w:p w:rsidR="004C509B" w:rsidRPr="00D43688" w:rsidRDefault="004C509B" w:rsidP="0031685E">
      <w:pPr>
        <w:pStyle w:val="SingleTxtGA"/>
        <w:rPr>
          <w:rFonts w:hint="cs"/>
          <w:rtl/>
        </w:rPr>
      </w:pPr>
      <w:r>
        <w:rPr>
          <w:rFonts w:hint="cs"/>
          <w:rtl/>
        </w:rPr>
        <w:t>21-</w:t>
      </w:r>
      <w:r>
        <w:rPr>
          <w:rFonts w:hint="cs"/>
          <w:rtl/>
        </w:rPr>
        <w:tab/>
      </w:r>
      <w:r w:rsidR="00935082">
        <w:rPr>
          <w:rFonts w:hint="cs"/>
          <w:rtl/>
        </w:rPr>
        <w:t xml:space="preserve">وردت في مقدمة التقرير إشارة إلى </w:t>
      </w:r>
      <w:r>
        <w:rPr>
          <w:rFonts w:hint="cs"/>
          <w:rtl/>
        </w:rPr>
        <w:t xml:space="preserve">خفض مستوى "الفقر المؤنَّث" عبر تقديم الدعم إلى مبادرات المؤسسات الصغيرة والمتوسطة والتسهيلات الائتمانية. فهل هناك أي بيانات تظهر نجاح هذه المبادرات المالية أو </w:t>
      </w:r>
      <w:r w:rsidR="00935082">
        <w:rPr>
          <w:rFonts w:hint="cs"/>
          <w:rtl/>
        </w:rPr>
        <w:t>فشل</w:t>
      </w:r>
      <w:r>
        <w:rPr>
          <w:rFonts w:hint="cs"/>
          <w:rtl/>
        </w:rPr>
        <w:t xml:space="preserve">ها؟ وهل هذه المبادرات متاحة لنساء الأرياف ونساء الأقليات </w:t>
      </w:r>
      <w:proofErr w:type="spellStart"/>
      <w:r>
        <w:rPr>
          <w:rFonts w:hint="cs"/>
          <w:rtl/>
        </w:rPr>
        <w:t>الإثنية</w:t>
      </w:r>
      <w:proofErr w:type="spellEnd"/>
      <w:r>
        <w:rPr>
          <w:rFonts w:hint="cs"/>
          <w:rtl/>
        </w:rPr>
        <w:t xml:space="preserve"> وغيرهن من نساء الأقليات؟ يرجى تقديم معلومات عن عدد النساء اللائي استفدن من هذا البرنامج مصنفةً حسب المناطق الريفية والحضرية وحسب مختلف الأقليات وال</w:t>
      </w:r>
      <w:r w:rsidR="0031685E">
        <w:rPr>
          <w:rFonts w:hint="cs"/>
          <w:rtl/>
        </w:rPr>
        <w:t>جماعات</w:t>
      </w:r>
      <w:r>
        <w:rPr>
          <w:rFonts w:hint="cs"/>
          <w:rtl/>
        </w:rPr>
        <w:t xml:space="preserve"> </w:t>
      </w:r>
      <w:proofErr w:type="spellStart"/>
      <w:r>
        <w:rPr>
          <w:rFonts w:hint="cs"/>
          <w:rtl/>
        </w:rPr>
        <w:t>الإثنية</w:t>
      </w:r>
      <w:proofErr w:type="spellEnd"/>
      <w:r>
        <w:rPr>
          <w:rFonts w:hint="cs"/>
          <w:rtl/>
        </w:rPr>
        <w:t>. يرجى أيضا</w:t>
      </w:r>
      <w:r w:rsidR="0031685E">
        <w:rPr>
          <w:rFonts w:hint="cs"/>
          <w:rtl/>
        </w:rPr>
        <w:t>ً</w:t>
      </w:r>
      <w:r>
        <w:rPr>
          <w:rFonts w:hint="cs"/>
          <w:rtl/>
        </w:rPr>
        <w:t xml:space="preserve"> التعليق على معدلات النجاح في إنشاء التعاونيات والتدريب على تنمية المهارات.</w:t>
      </w:r>
    </w:p>
    <w:p w:rsidR="004C509B" w:rsidRDefault="004C509B" w:rsidP="0031685E">
      <w:pPr>
        <w:pStyle w:val="SingleTxtGA"/>
        <w:rPr>
          <w:rFonts w:hint="cs"/>
          <w:rtl/>
        </w:rPr>
      </w:pPr>
      <w:r>
        <w:rPr>
          <w:rFonts w:hint="cs"/>
          <w:rtl/>
        </w:rPr>
        <w:t>22-</w:t>
      </w:r>
      <w:r>
        <w:rPr>
          <w:rFonts w:hint="cs"/>
          <w:rtl/>
        </w:rPr>
        <w:tab/>
        <w:t>وهل هناك أي بيانات لقياس</w:t>
      </w:r>
      <w:r w:rsidR="0031685E">
        <w:rPr>
          <w:rFonts w:hint="cs"/>
          <w:rtl/>
        </w:rPr>
        <w:t xml:space="preserve"> مدى</w:t>
      </w:r>
      <w:r>
        <w:rPr>
          <w:rFonts w:hint="cs"/>
          <w:rtl/>
        </w:rPr>
        <w:t xml:space="preserve"> نجاح البرامج التالية: بدل الترمّل وبدل </w:t>
      </w:r>
      <w:r w:rsidR="0031685E">
        <w:rPr>
          <w:rFonts w:hint="cs"/>
          <w:rtl/>
        </w:rPr>
        <w:t>الشيخوخة</w:t>
      </w:r>
      <w:r>
        <w:rPr>
          <w:rFonts w:hint="cs"/>
          <w:rtl/>
        </w:rPr>
        <w:t xml:space="preserve"> وبدل الأمومة والرضاعة و</w:t>
      </w:r>
      <w:r w:rsidR="0031685E">
        <w:rPr>
          <w:rFonts w:hint="cs"/>
          <w:rtl/>
        </w:rPr>
        <w:t>إعانات الأشخاص ذوي الإعاقة</w:t>
      </w:r>
      <w:r>
        <w:rPr>
          <w:rFonts w:hint="cs"/>
          <w:rtl/>
        </w:rPr>
        <w:t>؟</w:t>
      </w:r>
    </w:p>
    <w:p w:rsidR="004C509B" w:rsidRDefault="004C509B" w:rsidP="0031685E">
      <w:pPr>
        <w:pStyle w:val="SingleTxtGA"/>
        <w:rPr>
          <w:rFonts w:hint="cs"/>
          <w:rtl/>
        </w:rPr>
      </w:pPr>
      <w:r>
        <w:rPr>
          <w:rFonts w:hint="cs"/>
          <w:rtl/>
        </w:rPr>
        <w:t>23-</w:t>
      </w:r>
      <w:r>
        <w:rPr>
          <w:rFonts w:hint="cs"/>
          <w:rtl/>
        </w:rPr>
        <w:tab/>
        <w:t xml:space="preserve">وبالإشارة إلى الفقرة 22 من التقرير، كيف تراعي المعلومات والتسهيلات السوقية المتاحة للنساء الجانب </w:t>
      </w:r>
      <w:proofErr w:type="spellStart"/>
      <w:r>
        <w:rPr>
          <w:rFonts w:hint="cs"/>
          <w:rtl/>
        </w:rPr>
        <w:t>الجنساني</w:t>
      </w:r>
      <w:proofErr w:type="spellEnd"/>
      <w:r>
        <w:rPr>
          <w:rFonts w:hint="cs"/>
          <w:rtl/>
        </w:rPr>
        <w:t xml:space="preserve"> سواء تعلق الأمر بالأنشطة الزراعية </w:t>
      </w:r>
      <w:r w:rsidR="0031685E">
        <w:rPr>
          <w:rFonts w:hint="cs"/>
          <w:rtl/>
        </w:rPr>
        <w:t xml:space="preserve">أو </w:t>
      </w:r>
      <w:r>
        <w:rPr>
          <w:rFonts w:hint="cs"/>
          <w:rtl/>
        </w:rPr>
        <w:t>غير الزراعية؟</w:t>
      </w:r>
    </w:p>
    <w:p w:rsidR="004C509B" w:rsidRPr="00C069BD" w:rsidRDefault="0031685E" w:rsidP="0031685E">
      <w:pPr>
        <w:pStyle w:val="H23GA"/>
        <w:rPr>
          <w:rFonts w:hint="cs"/>
          <w:rtl/>
        </w:rPr>
      </w:pPr>
      <w:r>
        <w:rPr>
          <w:rFonts w:hint="cs"/>
          <w:rtl/>
        </w:rPr>
        <w:tab/>
      </w:r>
      <w:r>
        <w:rPr>
          <w:rFonts w:hint="cs"/>
          <w:rtl/>
        </w:rPr>
        <w:tab/>
      </w:r>
      <w:r w:rsidR="004C509B" w:rsidRPr="00C069BD">
        <w:rPr>
          <w:rFonts w:hint="cs"/>
          <w:rtl/>
        </w:rPr>
        <w:t>المساواة أمام القانون وفي الشؤون المدنية</w:t>
      </w:r>
    </w:p>
    <w:p w:rsidR="004C509B" w:rsidRDefault="004C509B" w:rsidP="0031685E">
      <w:pPr>
        <w:pStyle w:val="SingleTxtGA"/>
        <w:rPr>
          <w:rFonts w:hint="cs"/>
          <w:rtl/>
        </w:rPr>
      </w:pPr>
      <w:r>
        <w:rPr>
          <w:rFonts w:hint="cs"/>
          <w:rtl/>
        </w:rPr>
        <w:t>24-</w:t>
      </w:r>
      <w:r>
        <w:rPr>
          <w:rFonts w:hint="cs"/>
          <w:rtl/>
        </w:rPr>
        <w:tab/>
        <w:t xml:space="preserve">في إطار قانون الجنسية (المعدل) (2009) المشار إليه في الفقرة 85 من التقرير، يرجى بيان </w:t>
      </w:r>
      <w:r w:rsidR="0031685E">
        <w:rPr>
          <w:rFonts w:hint="cs"/>
          <w:rtl/>
        </w:rPr>
        <w:t xml:space="preserve">ما إذا </w:t>
      </w:r>
      <w:r>
        <w:rPr>
          <w:rFonts w:hint="cs"/>
          <w:rtl/>
        </w:rPr>
        <w:t>كان يحق للمرأة أن تنقل جنسيتها إلى زوجها الأجنبي.</w:t>
      </w:r>
    </w:p>
    <w:p w:rsidR="004C509B" w:rsidRDefault="004C509B" w:rsidP="004C509B">
      <w:pPr>
        <w:pStyle w:val="SingleTxtGA"/>
        <w:rPr>
          <w:rFonts w:hint="cs"/>
          <w:rtl/>
        </w:rPr>
      </w:pPr>
      <w:r>
        <w:rPr>
          <w:rFonts w:hint="cs"/>
          <w:rtl/>
        </w:rPr>
        <w:t>25-</w:t>
      </w:r>
      <w:r>
        <w:rPr>
          <w:rFonts w:hint="cs"/>
          <w:rtl/>
        </w:rPr>
        <w:tab/>
        <w:t xml:space="preserve">وجاء في الفقرة 143 من التقرير أن سَن قانون تقييد زواج الأطفال (2002) </w:t>
      </w:r>
      <w:r w:rsidR="0031685E">
        <w:rPr>
          <w:rFonts w:hint="cs"/>
          <w:rtl/>
        </w:rPr>
        <w:t xml:space="preserve">هو </w:t>
      </w:r>
      <w:r>
        <w:rPr>
          <w:rFonts w:hint="cs"/>
          <w:rtl/>
        </w:rPr>
        <w:t>قيد النظر. يرجى توضيح سبب تأخر الدولة الطرف في اعتماد مشروع القانون</w:t>
      </w:r>
      <w:r w:rsidR="0031685E">
        <w:rPr>
          <w:rFonts w:hint="cs"/>
          <w:rtl/>
        </w:rPr>
        <w:t xml:space="preserve"> هذا</w:t>
      </w:r>
      <w:r>
        <w:rPr>
          <w:rFonts w:hint="cs"/>
          <w:rtl/>
        </w:rPr>
        <w:t>.</w:t>
      </w:r>
    </w:p>
    <w:p w:rsidR="004C509B" w:rsidRDefault="004C509B" w:rsidP="004C509B">
      <w:pPr>
        <w:pStyle w:val="SingleTxtGA"/>
        <w:rPr>
          <w:rFonts w:hint="cs"/>
          <w:rtl/>
        </w:rPr>
      </w:pPr>
      <w:r>
        <w:rPr>
          <w:rFonts w:hint="cs"/>
          <w:rtl/>
        </w:rPr>
        <w:t>26-</w:t>
      </w:r>
      <w:r>
        <w:rPr>
          <w:rFonts w:hint="cs"/>
          <w:rtl/>
        </w:rPr>
        <w:tab/>
        <w:t>وفيما يتعلق بقوانين الملكية، يرجى تقديم معلومات عما إذا كان يحق للمرأة إدارة ممتلكاتها دون تدخل رجل أو موافقته بصرف النظر عما إذا كانا قد حازا هذه الممتلكات أثناء الزواج أو أدرجاها ضمن الممتلكات قبل الزواج أو كانا غير متزوجين. يرجى أيضا</w:t>
      </w:r>
      <w:r w:rsidR="0031685E">
        <w:rPr>
          <w:rFonts w:hint="cs"/>
          <w:rtl/>
        </w:rPr>
        <w:t>ً</w:t>
      </w:r>
      <w:r>
        <w:rPr>
          <w:rFonts w:hint="cs"/>
          <w:rtl/>
        </w:rPr>
        <w:t xml:space="preserve"> تقديم معلومات عن أي قيود مفروضة على حق المرأة في إدارة ممتلكاتها والطريقة التي عالجت بها الدولة الطرف هذه المسائل.</w:t>
      </w:r>
    </w:p>
    <w:p w:rsidR="004C509B" w:rsidRPr="00E1280E" w:rsidRDefault="0031685E" w:rsidP="0031685E">
      <w:pPr>
        <w:pStyle w:val="H23GA"/>
        <w:rPr>
          <w:rFonts w:hint="cs"/>
          <w:rtl/>
        </w:rPr>
      </w:pPr>
      <w:r>
        <w:rPr>
          <w:rFonts w:hint="cs"/>
          <w:rtl/>
        </w:rPr>
        <w:tab/>
      </w:r>
      <w:r>
        <w:rPr>
          <w:rFonts w:hint="cs"/>
          <w:rtl/>
        </w:rPr>
        <w:tab/>
      </w:r>
      <w:r w:rsidR="004C509B" w:rsidRPr="00E1280E">
        <w:rPr>
          <w:rFonts w:hint="cs"/>
          <w:rtl/>
        </w:rPr>
        <w:t>الريفيات والمسنات وغيرهن من المحرومات</w:t>
      </w:r>
    </w:p>
    <w:p w:rsidR="004C509B" w:rsidRDefault="004C509B" w:rsidP="004C509B">
      <w:pPr>
        <w:pStyle w:val="SingleTxtGA"/>
        <w:rPr>
          <w:rFonts w:hint="cs"/>
          <w:rtl/>
        </w:rPr>
      </w:pPr>
      <w:r>
        <w:rPr>
          <w:rFonts w:hint="cs"/>
          <w:rtl/>
        </w:rPr>
        <w:t>27-</w:t>
      </w:r>
      <w:r>
        <w:rPr>
          <w:rFonts w:hint="cs"/>
          <w:rtl/>
        </w:rPr>
        <w:tab/>
        <w:t>تنقص التقريرَ معلومات عن وضع الريفيات وغيرهن من المحرومات، ومنهن المسنّات. يرجى تقديم معلومات عن وضعهن من حيث تلقيهن الخدمات الصحية والتعليم والاستحقاقات الاجتماعية، إضافة إلى جميع المجالات التي تغطيها الاتفاقية.</w:t>
      </w:r>
    </w:p>
    <w:p w:rsidR="004C509B" w:rsidRPr="005015A9" w:rsidRDefault="0031685E" w:rsidP="0031685E">
      <w:pPr>
        <w:pStyle w:val="H23GA"/>
        <w:rPr>
          <w:rFonts w:hint="cs"/>
          <w:rtl/>
        </w:rPr>
      </w:pPr>
      <w:r>
        <w:rPr>
          <w:rtl/>
        </w:rPr>
        <w:br w:type="page"/>
      </w:r>
      <w:r>
        <w:rPr>
          <w:rFonts w:hint="cs"/>
          <w:rtl/>
        </w:rPr>
        <w:tab/>
      </w:r>
      <w:r>
        <w:rPr>
          <w:rFonts w:hint="cs"/>
          <w:rtl/>
        </w:rPr>
        <w:tab/>
      </w:r>
      <w:r w:rsidR="004C509B" w:rsidRPr="005015A9">
        <w:rPr>
          <w:rFonts w:hint="cs"/>
          <w:rtl/>
        </w:rPr>
        <w:t>نساء الأقليات والشعوب الأصلية</w:t>
      </w:r>
    </w:p>
    <w:p w:rsidR="004C509B" w:rsidRPr="002865C0" w:rsidRDefault="004C509B" w:rsidP="004C509B">
      <w:pPr>
        <w:pStyle w:val="SingleTxtGA"/>
        <w:rPr>
          <w:rFonts w:hint="cs"/>
          <w:rtl/>
        </w:rPr>
      </w:pPr>
      <w:r>
        <w:rPr>
          <w:rFonts w:hint="cs"/>
          <w:rtl/>
        </w:rPr>
        <w:t>28-</w:t>
      </w:r>
      <w:r>
        <w:rPr>
          <w:rFonts w:hint="cs"/>
          <w:rtl/>
        </w:rPr>
        <w:tab/>
        <w:t xml:space="preserve">لا يقدم التقرير أي معلومات عن وضع نساء الأقليات والشعوب الأصلية، </w:t>
      </w:r>
      <w:proofErr w:type="spellStart"/>
      <w:r>
        <w:rPr>
          <w:rFonts w:hint="cs"/>
          <w:rtl/>
        </w:rPr>
        <w:t>سيما</w:t>
      </w:r>
      <w:proofErr w:type="spellEnd"/>
      <w:r>
        <w:rPr>
          <w:rFonts w:hint="cs"/>
          <w:rtl/>
        </w:rPr>
        <w:t xml:space="preserve"> من يعشن </w:t>
      </w:r>
      <w:r w:rsidR="0031685E">
        <w:rPr>
          <w:rFonts w:hint="cs"/>
          <w:rtl/>
        </w:rPr>
        <w:t xml:space="preserve">منهن </w:t>
      </w:r>
      <w:r>
        <w:rPr>
          <w:rFonts w:hint="cs"/>
          <w:rtl/>
        </w:rPr>
        <w:t xml:space="preserve">في تلال </w:t>
      </w:r>
      <w:proofErr w:type="spellStart"/>
      <w:r>
        <w:rPr>
          <w:rFonts w:hint="cs"/>
          <w:rtl/>
        </w:rPr>
        <w:t>شيتّاغونغ</w:t>
      </w:r>
      <w:proofErr w:type="spellEnd"/>
      <w:r>
        <w:rPr>
          <w:rFonts w:hint="cs"/>
          <w:rtl/>
        </w:rPr>
        <w:t>. يرجى تقديم معلومات عن حصولهن على الأراضي وتلقيهن الخدمات الاجتماعية.</w:t>
      </w:r>
    </w:p>
    <w:p w:rsidR="004C509B" w:rsidRPr="00383F66" w:rsidRDefault="0031685E" w:rsidP="0031685E">
      <w:pPr>
        <w:pStyle w:val="H23GA"/>
        <w:rPr>
          <w:rFonts w:hint="cs"/>
          <w:rtl/>
        </w:rPr>
      </w:pPr>
      <w:r>
        <w:rPr>
          <w:rFonts w:hint="cs"/>
          <w:rtl/>
        </w:rPr>
        <w:tab/>
      </w:r>
      <w:r>
        <w:rPr>
          <w:rFonts w:hint="cs"/>
          <w:rtl/>
        </w:rPr>
        <w:tab/>
      </w:r>
      <w:r w:rsidR="004C509B" w:rsidRPr="00383F66">
        <w:rPr>
          <w:rFonts w:hint="cs"/>
          <w:rtl/>
        </w:rPr>
        <w:t>الزواج والعلاقات الأسرية</w:t>
      </w:r>
    </w:p>
    <w:p w:rsidR="0031685E" w:rsidRDefault="004C509B" w:rsidP="0031685E">
      <w:pPr>
        <w:pStyle w:val="SingleTxtGA"/>
        <w:rPr>
          <w:rFonts w:hint="cs"/>
          <w:rtl/>
        </w:rPr>
      </w:pPr>
      <w:r>
        <w:rPr>
          <w:rFonts w:hint="cs"/>
          <w:rtl/>
        </w:rPr>
        <w:t>29-</w:t>
      </w:r>
      <w:r>
        <w:rPr>
          <w:rFonts w:hint="cs"/>
          <w:rtl/>
        </w:rPr>
        <w:tab/>
        <w:t xml:space="preserve">ورد في الفقرة 114 من التقرير أن </w:t>
      </w:r>
      <w:r>
        <w:rPr>
          <w:rFonts w:hint="cs"/>
          <w:rtl/>
          <w:lang w:val="en-ZW" w:bidi="ar-EG"/>
        </w:rPr>
        <w:t xml:space="preserve">المرحلة الثانية من </w:t>
      </w:r>
      <w:proofErr w:type="spellStart"/>
      <w:r>
        <w:rPr>
          <w:rFonts w:hint="cs"/>
          <w:rtl/>
          <w:lang w:val="en-ZW" w:bidi="ar-EG"/>
        </w:rPr>
        <w:t>الاستراتيجية</w:t>
      </w:r>
      <w:proofErr w:type="spellEnd"/>
      <w:r>
        <w:rPr>
          <w:rFonts w:hint="cs"/>
          <w:rtl/>
          <w:lang w:val="en-ZW" w:bidi="ar-EG"/>
        </w:rPr>
        <w:t xml:space="preserve"> الوطنية للتعجيل بالحد من الفقر </w:t>
      </w:r>
      <w:r w:rsidR="0031685E">
        <w:rPr>
          <w:rFonts w:hint="cs"/>
          <w:rtl/>
          <w:lang w:val="en-ZW" w:bidi="ar-EG"/>
        </w:rPr>
        <w:t xml:space="preserve">قد </w:t>
      </w:r>
      <w:r>
        <w:rPr>
          <w:rFonts w:hint="cs"/>
          <w:rtl/>
          <w:lang w:val="en-ZW" w:bidi="ar-EG"/>
        </w:rPr>
        <w:t xml:space="preserve">أدرجت اعتماد قانون الأسرة الموحد في جدول أعمالها </w:t>
      </w:r>
      <w:proofErr w:type="spellStart"/>
      <w:r>
        <w:rPr>
          <w:rFonts w:hint="cs"/>
          <w:rtl/>
          <w:lang w:val="en-ZW" w:bidi="ar-EG"/>
        </w:rPr>
        <w:t>السياس</w:t>
      </w:r>
      <w:r w:rsidR="0031685E">
        <w:rPr>
          <w:rFonts w:hint="cs"/>
          <w:rtl/>
          <w:lang w:val="en-ZW" w:bidi="ar-EG"/>
        </w:rPr>
        <w:t>ات</w:t>
      </w:r>
      <w:r>
        <w:rPr>
          <w:rFonts w:hint="cs"/>
          <w:rtl/>
          <w:lang w:val="en-ZW" w:bidi="ar-EG"/>
        </w:rPr>
        <w:t>ي</w:t>
      </w:r>
      <w:proofErr w:type="spellEnd"/>
      <w:r>
        <w:rPr>
          <w:rFonts w:hint="cs"/>
          <w:rtl/>
          <w:lang w:val="en-ZW" w:bidi="ar-EG"/>
        </w:rPr>
        <w:t xml:space="preserve"> الحالي. فما هي التدابير التي اتخذت لوضع مشروع القانون؟ يرجى أيضا</w:t>
      </w:r>
      <w:r w:rsidR="0031685E">
        <w:rPr>
          <w:rFonts w:hint="cs"/>
          <w:rtl/>
          <w:lang w:val="en-ZW" w:bidi="ar-EG"/>
        </w:rPr>
        <w:t>ً</w:t>
      </w:r>
      <w:r>
        <w:rPr>
          <w:rFonts w:hint="cs"/>
          <w:rtl/>
          <w:lang w:val="en-ZW" w:bidi="ar-EG"/>
        </w:rPr>
        <w:t xml:space="preserve"> </w:t>
      </w:r>
      <w:r w:rsidR="0031685E">
        <w:rPr>
          <w:rFonts w:hint="cs"/>
          <w:rtl/>
          <w:lang w:val="en-ZW" w:bidi="ar-EG"/>
        </w:rPr>
        <w:t xml:space="preserve">زيادة توضيح </w:t>
      </w:r>
      <w:r>
        <w:rPr>
          <w:rFonts w:hint="cs"/>
          <w:rtl/>
          <w:lang w:val="en-ZW" w:bidi="ar-EG"/>
        </w:rPr>
        <w:t>قانون محاكم الأسرة (1985) وعناصره ولماذا لا يشمل جميع المواطنين في أنحاء البلاد كافة.</w:t>
      </w:r>
    </w:p>
    <w:p w:rsidR="008B4BC6" w:rsidRPr="0031685E" w:rsidRDefault="0031685E" w:rsidP="0031685E">
      <w:pPr>
        <w:spacing w:before="120"/>
        <w:jc w:val="center"/>
        <w:rPr>
          <w:rFonts w:hint="cs"/>
          <w:u w:val="single"/>
          <w:rtl/>
        </w:rPr>
      </w:pPr>
      <w:r>
        <w:rPr>
          <w:u w:val="single"/>
          <w:rtl/>
        </w:rPr>
        <w:tab/>
      </w:r>
      <w:r>
        <w:rPr>
          <w:u w:val="single"/>
          <w:rtl/>
        </w:rPr>
        <w:tab/>
      </w:r>
      <w:r>
        <w:rPr>
          <w:u w:val="single"/>
          <w:rtl/>
        </w:rPr>
        <w:tab/>
      </w:r>
    </w:p>
    <w:sectPr w:rsidR="008B4BC6" w:rsidRPr="0031685E"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767" w:rsidRPr="00FE6865" w:rsidRDefault="00AE6767" w:rsidP="00FE6865">
      <w:pPr>
        <w:pStyle w:val="Footer"/>
      </w:pPr>
    </w:p>
  </w:endnote>
  <w:endnote w:type="continuationSeparator" w:id="0">
    <w:p w:rsidR="00AE6767" w:rsidRDefault="00AE6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09B" w:rsidRPr="004C509B" w:rsidRDefault="004C509B" w:rsidP="004C509B">
    <w:pPr>
      <w:pStyle w:val="Footer"/>
      <w:tabs>
        <w:tab w:val="right" w:pos="9598"/>
      </w:tabs>
    </w:pPr>
    <w:r>
      <w:t>GE.10-44827</w:t>
    </w:r>
    <w:r>
      <w:tab/>
    </w:r>
    <w:r w:rsidRPr="004C509B">
      <w:rPr>
        <w:b/>
        <w:sz w:val="18"/>
      </w:rPr>
      <w:fldChar w:fldCharType="begin"/>
    </w:r>
    <w:r w:rsidRPr="004C509B">
      <w:rPr>
        <w:b/>
        <w:sz w:val="18"/>
      </w:rPr>
      <w:instrText xml:space="preserve"> PAGE  \* MERGEFORMAT </w:instrText>
    </w:r>
    <w:r w:rsidRPr="004C509B">
      <w:rPr>
        <w:b/>
        <w:sz w:val="18"/>
      </w:rPr>
      <w:fldChar w:fldCharType="separate"/>
    </w:r>
    <w:r w:rsidR="00313BEB">
      <w:rPr>
        <w:b/>
        <w:noProof/>
        <w:sz w:val="18"/>
      </w:rPr>
      <w:t>4</w:t>
    </w:r>
    <w:r w:rsidRPr="004C509B">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09B" w:rsidRPr="004C509B" w:rsidRDefault="004C509B" w:rsidP="004C509B">
    <w:pPr>
      <w:pStyle w:val="Footer"/>
      <w:tabs>
        <w:tab w:val="right" w:pos="9598"/>
      </w:tabs>
      <w:rPr>
        <w:b/>
        <w:sz w:val="18"/>
      </w:rPr>
    </w:pPr>
    <w:r w:rsidRPr="004C509B">
      <w:rPr>
        <w:b/>
        <w:sz w:val="18"/>
      </w:rPr>
      <w:fldChar w:fldCharType="begin"/>
    </w:r>
    <w:r w:rsidRPr="004C509B">
      <w:rPr>
        <w:b/>
        <w:sz w:val="18"/>
      </w:rPr>
      <w:instrText xml:space="preserve"> PAGE  \* MERGEFORMAT </w:instrText>
    </w:r>
    <w:r w:rsidRPr="004C509B">
      <w:rPr>
        <w:b/>
        <w:sz w:val="18"/>
      </w:rPr>
      <w:fldChar w:fldCharType="separate"/>
    </w:r>
    <w:r w:rsidR="00313BEB">
      <w:rPr>
        <w:b/>
        <w:noProof/>
        <w:sz w:val="18"/>
      </w:rPr>
      <w:t>5</w:t>
    </w:r>
    <w:r w:rsidRPr="004C509B">
      <w:rPr>
        <w:b/>
        <w:sz w:val="18"/>
      </w:rPr>
      <w:fldChar w:fldCharType="end"/>
    </w:r>
    <w:r>
      <w:rPr>
        <w:b/>
        <w:sz w:val="18"/>
      </w:rPr>
      <w:tab/>
    </w:r>
    <w:r>
      <w:t>GE.10-44827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8C8" w:rsidRDefault="004C509B" w:rsidP="004C509B">
    <w:pPr>
      <w:pStyle w:val="Footer"/>
      <w:jc w:val="right"/>
    </w:pPr>
    <w:r>
      <w:rPr>
        <w:sz w:val="20"/>
      </w:rPr>
      <w:t>(A)   GE.10-44827</w:t>
    </w:r>
    <w:r w:rsidR="00C358C8">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sidR="00701D1E">
      <w:rPr>
        <w:sz w:val="20"/>
      </w:rPr>
      <w:t xml:space="preserve">    251010    261010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767" w:rsidRDefault="00AE6767" w:rsidP="00834FF4">
      <w:pPr>
        <w:pStyle w:val="Footer"/>
        <w:bidi/>
        <w:spacing w:after="80" w:line="200" w:lineRule="exact"/>
        <w:ind w:left="680"/>
      </w:pPr>
      <w:r>
        <w:rPr>
          <w:rFonts w:hint="cs"/>
          <w:rtl/>
        </w:rPr>
        <w:t>__________</w:t>
      </w:r>
    </w:p>
  </w:footnote>
  <w:footnote w:type="continuationSeparator" w:id="0">
    <w:p w:rsidR="00AE6767" w:rsidRDefault="00AE6767" w:rsidP="00834FF4">
      <w:pPr>
        <w:pStyle w:val="Footer"/>
        <w:bidi/>
        <w:spacing w:after="80" w:line="200" w:lineRule="exact"/>
        <w:ind w:left="680"/>
      </w:pPr>
      <w:r>
        <w:rPr>
          <w:rFonts w:hint="cs"/>
          <w:rtl/>
        </w:rPr>
        <w:t>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09B" w:rsidRPr="004C509B" w:rsidRDefault="004C509B" w:rsidP="004C509B">
    <w:pPr>
      <w:pStyle w:val="Header"/>
      <w:jc w:val="right"/>
    </w:pPr>
    <w:r w:rsidRPr="004C509B">
      <w:t>CEDA</w:t>
    </w:r>
    <w:r w:rsidR="00313BEB">
      <w:t>W</w:t>
    </w:r>
    <w:r w:rsidRPr="004C509B">
      <w:t>/C/BGD/Q/7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8C8" w:rsidRPr="004C509B" w:rsidRDefault="004C509B" w:rsidP="004C509B">
    <w:pPr>
      <w:pStyle w:val="Header"/>
      <w:jc w:val="left"/>
    </w:pPr>
    <w:r w:rsidRPr="004C509B">
      <w:t>CEDA</w:t>
    </w:r>
    <w:r w:rsidR="00313BEB">
      <w:t>W</w:t>
    </w:r>
    <w:r w:rsidRPr="004C509B">
      <w:t>/C/BGD/Q/7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8C8" w:rsidRDefault="00C358C8"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9pt;margin-top:19.35pt;width:234pt;height:97.65pt;z-index:2" o:allowincell="f" filled="f" stroked="f">
          <v:textbox inset="0,0,2mm,0">
            <w:txbxContent>
              <w:p w:rsidR="00C358C8" w:rsidRPr="00460CB7" w:rsidRDefault="00C358C8" w:rsidP="00460CB7">
                <w:pPr>
                  <w:spacing w:line="700" w:lineRule="exact"/>
                  <w:jc w:val="left"/>
                  <w:rPr>
                    <w:rFonts w:hint="cs"/>
                    <w:b/>
                    <w:bCs/>
                    <w:sz w:val="52"/>
                    <w:szCs w:val="52"/>
                  </w:rPr>
                </w:pPr>
                <w:r w:rsidRPr="00460CB7">
                  <w:rPr>
                    <w:rFonts w:hint="cs"/>
                    <w:b/>
                    <w:bCs/>
                    <w:sz w:val="52"/>
                    <w:szCs w:val="52"/>
                    <w:rtl/>
                  </w:rPr>
                  <w:t>اتفاقية القضاء على جميع أشكال التمييز ضد المرأة</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ar-SA" w:vendorID="4" w:dllVersion="512" w:checkStyle="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58C8"/>
    <w:rsid w:val="00040E25"/>
    <w:rsid w:val="00042149"/>
    <w:rsid w:val="000448E5"/>
    <w:rsid w:val="000648EA"/>
    <w:rsid w:val="000957C8"/>
    <w:rsid w:val="00097049"/>
    <w:rsid w:val="000A04D5"/>
    <w:rsid w:val="000B52F2"/>
    <w:rsid w:val="000D0EAE"/>
    <w:rsid w:val="000D5380"/>
    <w:rsid w:val="000D57D9"/>
    <w:rsid w:val="000D6654"/>
    <w:rsid w:val="000E103D"/>
    <w:rsid w:val="000F0264"/>
    <w:rsid w:val="000F2EBF"/>
    <w:rsid w:val="000F3A9F"/>
    <w:rsid w:val="000F5FF6"/>
    <w:rsid w:val="001022B5"/>
    <w:rsid w:val="00113FA5"/>
    <w:rsid w:val="001455A0"/>
    <w:rsid w:val="001602A3"/>
    <w:rsid w:val="001843EF"/>
    <w:rsid w:val="001A5161"/>
    <w:rsid w:val="001A60BD"/>
    <w:rsid w:val="002225D3"/>
    <w:rsid w:val="002244FB"/>
    <w:rsid w:val="00232277"/>
    <w:rsid w:val="0023736D"/>
    <w:rsid w:val="00257225"/>
    <w:rsid w:val="00310160"/>
    <w:rsid w:val="00313BEB"/>
    <w:rsid w:val="0031685E"/>
    <w:rsid w:val="00341A8C"/>
    <w:rsid w:val="003519E6"/>
    <w:rsid w:val="003B4356"/>
    <w:rsid w:val="003F08A8"/>
    <w:rsid w:val="004250E3"/>
    <w:rsid w:val="00460CB7"/>
    <w:rsid w:val="00472A81"/>
    <w:rsid w:val="004A20A6"/>
    <w:rsid w:val="004B2C92"/>
    <w:rsid w:val="004C509B"/>
    <w:rsid w:val="004D6A3A"/>
    <w:rsid w:val="004E40A5"/>
    <w:rsid w:val="004F4AD7"/>
    <w:rsid w:val="00557CD3"/>
    <w:rsid w:val="00571432"/>
    <w:rsid w:val="005732A2"/>
    <w:rsid w:val="005762A5"/>
    <w:rsid w:val="00590BA3"/>
    <w:rsid w:val="005B46D9"/>
    <w:rsid w:val="005B7AE0"/>
    <w:rsid w:val="005F146F"/>
    <w:rsid w:val="005F71B6"/>
    <w:rsid w:val="00654786"/>
    <w:rsid w:val="00660FD4"/>
    <w:rsid w:val="006A4425"/>
    <w:rsid w:val="006B00A4"/>
    <w:rsid w:val="006B4669"/>
    <w:rsid w:val="006F6BF8"/>
    <w:rsid w:val="00701D1E"/>
    <w:rsid w:val="00707BDF"/>
    <w:rsid w:val="00710727"/>
    <w:rsid w:val="00715F45"/>
    <w:rsid w:val="00731815"/>
    <w:rsid w:val="00731B84"/>
    <w:rsid w:val="00734AE7"/>
    <w:rsid w:val="0079344E"/>
    <w:rsid w:val="007E197F"/>
    <w:rsid w:val="007F68C4"/>
    <w:rsid w:val="008153DE"/>
    <w:rsid w:val="00834FF4"/>
    <w:rsid w:val="00852A10"/>
    <w:rsid w:val="00862634"/>
    <w:rsid w:val="00866C59"/>
    <w:rsid w:val="00877306"/>
    <w:rsid w:val="008A6242"/>
    <w:rsid w:val="008B4BC6"/>
    <w:rsid w:val="00901E57"/>
    <w:rsid w:val="009070DF"/>
    <w:rsid w:val="00922026"/>
    <w:rsid w:val="00935082"/>
    <w:rsid w:val="00935F0E"/>
    <w:rsid w:val="0095208F"/>
    <w:rsid w:val="00977B3F"/>
    <w:rsid w:val="009814AE"/>
    <w:rsid w:val="009901D3"/>
    <w:rsid w:val="00996BBE"/>
    <w:rsid w:val="009A4C26"/>
    <w:rsid w:val="009B2C03"/>
    <w:rsid w:val="009D1DD5"/>
    <w:rsid w:val="009F722C"/>
    <w:rsid w:val="00A26157"/>
    <w:rsid w:val="00A265C3"/>
    <w:rsid w:val="00A43F9A"/>
    <w:rsid w:val="00A53F38"/>
    <w:rsid w:val="00A543D4"/>
    <w:rsid w:val="00AD0014"/>
    <w:rsid w:val="00AD4CF2"/>
    <w:rsid w:val="00AE6767"/>
    <w:rsid w:val="00AF0BBA"/>
    <w:rsid w:val="00B25BBD"/>
    <w:rsid w:val="00B30468"/>
    <w:rsid w:val="00B44E31"/>
    <w:rsid w:val="00BA4F7E"/>
    <w:rsid w:val="00BB2C41"/>
    <w:rsid w:val="00BC55C8"/>
    <w:rsid w:val="00BC5C10"/>
    <w:rsid w:val="00BE2964"/>
    <w:rsid w:val="00C21623"/>
    <w:rsid w:val="00C24FBD"/>
    <w:rsid w:val="00C358C8"/>
    <w:rsid w:val="00C473BA"/>
    <w:rsid w:val="00C611ED"/>
    <w:rsid w:val="00C6490A"/>
    <w:rsid w:val="00C64FE1"/>
    <w:rsid w:val="00C74296"/>
    <w:rsid w:val="00C8345E"/>
    <w:rsid w:val="00CA5F7C"/>
    <w:rsid w:val="00D51067"/>
    <w:rsid w:val="00D75657"/>
    <w:rsid w:val="00D960AD"/>
    <w:rsid w:val="00DA0E0E"/>
    <w:rsid w:val="00DB0C39"/>
    <w:rsid w:val="00DB6C86"/>
    <w:rsid w:val="00DB7679"/>
    <w:rsid w:val="00DF1702"/>
    <w:rsid w:val="00DF4DD8"/>
    <w:rsid w:val="00DF668E"/>
    <w:rsid w:val="00E04826"/>
    <w:rsid w:val="00E14D2B"/>
    <w:rsid w:val="00E20DBA"/>
    <w:rsid w:val="00E6524A"/>
    <w:rsid w:val="00E660D6"/>
    <w:rsid w:val="00E771AB"/>
    <w:rsid w:val="00EA796F"/>
    <w:rsid w:val="00EB077B"/>
    <w:rsid w:val="00EC50B9"/>
    <w:rsid w:val="00ED26A0"/>
    <w:rsid w:val="00F1727A"/>
    <w:rsid w:val="00F34764"/>
    <w:rsid w:val="00F54E3C"/>
    <w:rsid w:val="00F7225E"/>
    <w:rsid w:val="00F74F7C"/>
    <w:rsid w:val="00F874BD"/>
    <w:rsid w:val="00FB1D0B"/>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B25BBD"/>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99332">
      <w:bodyDiv w:val="1"/>
      <w:marLeft w:val="0"/>
      <w:marRight w:val="0"/>
      <w:marTop w:val="0"/>
      <w:marBottom w:val="0"/>
      <w:divBdr>
        <w:top w:val="none" w:sz="0" w:space="0" w:color="auto"/>
        <w:left w:val="none" w:sz="0" w:space="0" w:color="auto"/>
        <w:bottom w:val="none" w:sz="0" w:space="0" w:color="auto"/>
        <w:right w:val="none" w:sz="0" w:space="0" w:color="auto"/>
      </w:divBdr>
    </w:div>
    <w:div w:id="153488304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Template>
  <TotalTime>0</TotalTime>
  <Pages>6</Pages>
  <Words>1430</Words>
  <Characters>8155</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CEDA/C/BGD/Q/7</vt:lpstr>
    </vt:vector>
  </TitlesOfParts>
  <Company>CSD</Company>
  <LinksUpToDate>false</LinksUpToDate>
  <CharactersWithSpaces>9566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CEDA/C/BGD/Q/7</dc:title>
  <dc:subject>GHANNAMI/EL HAJ</dc:subject>
  <dc:creator>Ghada</dc:creator>
  <cp:keywords/>
  <dc:description>Mary</dc:description>
  <cp:lastModifiedBy>Gamal</cp:lastModifiedBy>
  <cp:revision>2</cp:revision>
  <cp:lastPrinted>2010-10-26T09:01:00Z</cp:lastPrinted>
  <dcterms:created xsi:type="dcterms:W3CDTF">2010-10-26T10:05:00Z</dcterms:created>
  <dcterms:modified xsi:type="dcterms:W3CDTF">2010-10-26T10:05:00Z</dcterms:modified>
</cp:coreProperties>
</file>