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BC" w:rsidRDefault="009E58BC" w:rsidP="009E58BC">
      <w:pPr>
        <w:spacing w:line="240" w:lineRule="auto"/>
        <w:jc w:val="left"/>
        <w:rPr>
          <w:szCs w:val="6"/>
        </w:rPr>
        <w:sectPr w:rsidR="009E58BC" w:rsidSect="009E58BC">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CD3849" w:rsidRDefault="009F6283" w:rsidP="009F6283">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اللجنة المعنية بالقضاء على التمييز ضد المرأة</w:t>
      </w:r>
    </w:p>
    <w:p w:rsidR="009F6283" w:rsidRDefault="009F6283" w:rsidP="009F628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الفريق العامل لما قبل الدورة</w:t>
      </w:r>
    </w:p>
    <w:p w:rsidR="009F6283" w:rsidRDefault="009F6283" w:rsidP="009F628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الدورة التاسعة والثلاثون</w:t>
      </w:r>
    </w:p>
    <w:p w:rsidR="009F6283" w:rsidRDefault="009F6283" w:rsidP="009F6283">
      <w:pPr>
        <w:rPr>
          <w:rFonts w:hint="cs"/>
          <w:rtl/>
        </w:rPr>
      </w:pPr>
      <w:r>
        <w:rPr>
          <w:rFonts w:hint="cs"/>
          <w:rtl/>
        </w:rPr>
        <w:t>23 تموز/يوليه - 10 آب/أغسطس 2007</w:t>
      </w:r>
    </w:p>
    <w:p w:rsidR="009F6283" w:rsidRPr="009F6283" w:rsidRDefault="009F6283" w:rsidP="009F6283">
      <w:pPr>
        <w:spacing w:line="120" w:lineRule="exact"/>
        <w:rPr>
          <w:rFonts w:hint="cs"/>
          <w:sz w:val="10"/>
          <w:rtl/>
        </w:rPr>
      </w:pPr>
    </w:p>
    <w:p w:rsidR="009F6283" w:rsidRPr="009F6283" w:rsidRDefault="009F6283" w:rsidP="009F6283">
      <w:pPr>
        <w:spacing w:line="120" w:lineRule="exact"/>
        <w:rPr>
          <w:rFonts w:hint="cs"/>
          <w:sz w:val="10"/>
          <w:rtl/>
        </w:rPr>
      </w:pPr>
    </w:p>
    <w:p w:rsidR="009F6283" w:rsidRPr="009F6283" w:rsidRDefault="009F6283" w:rsidP="009F6283">
      <w:pPr>
        <w:spacing w:line="120" w:lineRule="exact"/>
        <w:rPr>
          <w:rFonts w:hint="cs"/>
          <w:sz w:val="10"/>
          <w:rtl/>
        </w:rPr>
      </w:pPr>
    </w:p>
    <w:p w:rsidR="009F6283" w:rsidRDefault="009F6283" w:rsidP="009F628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الإجابة على قائمة بالقضايا والأسئلة المطروحة فيما يتصل بالنظر في التقرير الدوري السادس</w:t>
      </w:r>
    </w:p>
    <w:p w:rsidR="009F6283" w:rsidRPr="009F6283" w:rsidRDefault="009F6283" w:rsidP="009F6283">
      <w:pPr>
        <w:pStyle w:val="SingleTxt"/>
        <w:spacing w:after="0" w:line="120" w:lineRule="exact"/>
        <w:rPr>
          <w:rFonts w:hint="cs"/>
          <w:sz w:val="10"/>
          <w:rtl/>
        </w:rPr>
      </w:pPr>
    </w:p>
    <w:p w:rsidR="009F6283" w:rsidRPr="009F6283" w:rsidRDefault="009F6283" w:rsidP="009F6283">
      <w:pPr>
        <w:pStyle w:val="SingleTxt"/>
        <w:spacing w:after="0" w:line="120" w:lineRule="exact"/>
        <w:rPr>
          <w:rFonts w:hint="cs"/>
          <w:sz w:val="10"/>
          <w:rtl/>
        </w:rPr>
      </w:pPr>
    </w:p>
    <w:p w:rsidR="0099017D" w:rsidRPr="006D2B2E" w:rsidRDefault="0099017D" w:rsidP="0099017D">
      <w:pPr>
        <w:framePr w:w="9792" w:h="432" w:hSpace="187" w:wrap="around" w:hAnchor="page" w:x="1196" w:yAlign="bottom"/>
        <w:spacing w:line="240" w:lineRule="auto"/>
        <w:rPr>
          <w:szCs w:val="10"/>
          <w:rtl/>
        </w:rPr>
      </w:pPr>
    </w:p>
    <w:p w:rsidR="0099017D" w:rsidRPr="006D2B2E" w:rsidRDefault="0099017D" w:rsidP="0099017D">
      <w:pPr>
        <w:framePr w:w="9792" w:h="432" w:hSpace="187" w:wrap="around" w:hAnchor="page" w:x="1196" w:yAlign="bottom"/>
        <w:spacing w:line="240" w:lineRule="auto"/>
        <w:rPr>
          <w:szCs w:val="6"/>
          <w:rtl/>
        </w:rPr>
      </w:pPr>
    </w:p>
    <w:p w:rsidR="0099017D" w:rsidRPr="006D2B2E" w:rsidRDefault="0099017D" w:rsidP="0099017D">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6" style="position:absolute;left:0;text-align:left;z-index:1" from="396pt,-1pt" to="468pt,-1pt">
            <w10:wrap anchorx="page"/>
          </v:line>
        </w:pict>
      </w:r>
      <w:r>
        <w:rPr>
          <w:rFonts w:hint="cs"/>
          <w:sz w:val="17"/>
          <w:szCs w:val="26"/>
          <w:rtl/>
        </w:rPr>
        <w:tab/>
        <w:t>*</w:t>
      </w:r>
      <w:r>
        <w:rPr>
          <w:rFonts w:hint="cs"/>
          <w:sz w:val="17"/>
          <w:szCs w:val="26"/>
          <w:rtl/>
        </w:rPr>
        <w:tab/>
        <w:t>تصدر هذه الوثيقة دون تحرير رسمي.</w:t>
      </w:r>
    </w:p>
    <w:p w:rsidR="009F6283" w:rsidRPr="0099017D" w:rsidRDefault="009F6283" w:rsidP="009F628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b w:val="0"/>
          <w:bCs w:val="0"/>
          <w:sz w:val="20"/>
          <w:szCs w:val="30"/>
          <w:rtl/>
        </w:rPr>
      </w:pPr>
      <w:r>
        <w:rPr>
          <w:rFonts w:hint="cs"/>
          <w:rtl/>
        </w:rPr>
        <w:tab/>
      </w:r>
      <w:r>
        <w:rPr>
          <w:rFonts w:hint="cs"/>
          <w:rtl/>
        </w:rPr>
        <w:tab/>
        <w:t>البرازيل</w:t>
      </w:r>
      <w:r w:rsidR="0099017D">
        <w:rPr>
          <w:rFonts w:hint="cs"/>
          <w:b w:val="0"/>
          <w:bCs w:val="0"/>
          <w:sz w:val="20"/>
          <w:szCs w:val="30"/>
          <w:rtl/>
        </w:rPr>
        <w:t>*</w:t>
      </w:r>
    </w:p>
    <w:p w:rsidR="009F6283" w:rsidRDefault="009F6283" w:rsidP="009F6283">
      <w:pPr>
        <w:pStyle w:val="SingleTxt"/>
        <w:rPr>
          <w:rFonts w:hint="cs"/>
          <w:rtl/>
        </w:rPr>
      </w:pPr>
    </w:p>
    <w:p w:rsidR="00A86AC0" w:rsidRDefault="00A86AC0" w:rsidP="009F6283">
      <w:pPr>
        <w:pStyle w:val="SingleTxt"/>
        <w:rPr>
          <w:rFonts w:hint="cs"/>
          <w:rtl/>
          <w:lang w:bidi="ar-EG"/>
        </w:rPr>
      </w:pPr>
      <w:r>
        <w:rPr>
          <w:rtl/>
          <w:lang w:bidi="ar-EG"/>
        </w:rPr>
        <w:br w:type="page"/>
      </w:r>
      <w:r>
        <w:rPr>
          <w:rFonts w:hint="cs"/>
          <w:rtl/>
          <w:lang w:bidi="ar-EG"/>
        </w:rPr>
        <w:tab/>
        <w:t>كان من دواعي سرور الأمانة الخاصة لسياسات المرأة أن تتسلم وتعالج القضايا والأسئلة التي طلبت لجنة الاتفاقية توضيحا بشأنها من البرازيل. واعتمد إعداد الإجابات على أسئلة اللجنة على المشاركة المباشرة لوزارات التنمية الزراعية، والتعليم، والصحة، والأمانة الخاصة لحقوق الإنسان، ووزارة التنمية الاجتماعية ومكافحة الجوع، ووزارة العلاقات الخارجية.</w:t>
      </w:r>
    </w:p>
    <w:p w:rsidR="00A86AC0" w:rsidRDefault="00A86AC0" w:rsidP="00A86AC0">
      <w:pPr>
        <w:pStyle w:val="SingleTxt"/>
        <w:rPr>
          <w:rFonts w:hint="cs"/>
          <w:rtl/>
          <w:lang w:bidi="ar-EG"/>
        </w:rPr>
      </w:pPr>
      <w:r>
        <w:rPr>
          <w:rFonts w:hint="cs"/>
          <w:rtl/>
          <w:lang w:bidi="ar-EG"/>
        </w:rPr>
        <w:tab/>
        <w:t>أولا، نود أن نشير إلى أنه أعيد انتخاب الرئيس لويس إناسيو لولا دا سيلفا في الانتخابات العامة في تشرين الأول/أكتوبر 2006 لمدة أربع سنوات أخرى. وهذا يعني إمكان مواصلة تعزيز السياسات الاقتصادية والاجتماعية التي كانت ت</w:t>
      </w:r>
      <w:r w:rsidR="0056145F">
        <w:rPr>
          <w:rFonts w:hint="cs"/>
          <w:rtl/>
          <w:lang w:bidi="ar-EG"/>
        </w:rPr>
        <w:t>ُ</w:t>
      </w:r>
      <w:r>
        <w:rPr>
          <w:rFonts w:hint="cs"/>
          <w:rtl/>
          <w:lang w:bidi="ar-EG"/>
        </w:rPr>
        <w:t>طبق</w:t>
      </w:r>
      <w:r w:rsidR="0056145F">
        <w:rPr>
          <w:rFonts w:hint="cs"/>
          <w:rtl/>
          <w:lang w:bidi="ar-EG"/>
        </w:rPr>
        <w:t>،</w:t>
      </w:r>
      <w:r>
        <w:rPr>
          <w:rFonts w:hint="cs"/>
          <w:rtl/>
          <w:lang w:bidi="ar-EG"/>
        </w:rPr>
        <w:t xml:space="preserve"> وتوسيع نطاقها أو إعادة توجيهها حسب الاقتضاء.</w:t>
      </w:r>
    </w:p>
    <w:p w:rsidR="00A86AC0" w:rsidRDefault="00A86AC0" w:rsidP="00A86AC0">
      <w:pPr>
        <w:pStyle w:val="SingleTxt"/>
        <w:rPr>
          <w:rFonts w:hint="cs"/>
          <w:rtl/>
          <w:lang w:bidi="ar-EG"/>
        </w:rPr>
      </w:pPr>
      <w:r>
        <w:rPr>
          <w:rFonts w:hint="cs"/>
          <w:rtl/>
          <w:lang w:bidi="ar-EG"/>
        </w:rPr>
        <w:tab/>
        <w:t xml:space="preserve">وألقى الرئيس </w:t>
      </w:r>
      <w:r w:rsidR="00790A93">
        <w:rPr>
          <w:rFonts w:hint="cs"/>
          <w:rtl/>
          <w:lang w:bidi="ar-EG"/>
        </w:rPr>
        <w:t xml:space="preserve">الضوء في كلمته الافتتاحية أمام الكونغرس الوطني في 1 كانون الثاني/يناير 2007، على إنشاء الأمانة الخاصة لسياسات المرأة والنتائج التي أحرزتها السياسات الجنسانية أثناء ولايته الأولى، فقال </w:t>
      </w:r>
      <w:r w:rsidR="00790A93">
        <w:rPr>
          <w:rFonts w:hint="eastAsia"/>
          <w:rtl/>
          <w:lang w:bidi="ar-EG"/>
        </w:rPr>
        <w:t>”إننا وسعنا نطاق سياساتنا العامة في هذا المجال وأقمنا في الولايات مؤسسات قوية وقادرة على أن تكفل لهذا البلد أن يكافح بعزم وتصميم جميع أشكال التمييز القائم على أساس نوع الجنس أو العنصر أو التوجه الجنسي أو العمر</w:t>
      </w:r>
      <w:r w:rsidR="00790A93">
        <w:rPr>
          <w:rFonts w:hint="cs"/>
          <w:rtl/>
          <w:lang w:bidi="ar-EG"/>
        </w:rPr>
        <w:t>“.</w:t>
      </w:r>
    </w:p>
    <w:p w:rsidR="00790A93" w:rsidRDefault="00790A93" w:rsidP="0056145F">
      <w:pPr>
        <w:pStyle w:val="SingleTxt"/>
        <w:rPr>
          <w:rFonts w:hint="cs"/>
          <w:rtl/>
          <w:lang w:bidi="ar-EG"/>
        </w:rPr>
      </w:pPr>
      <w:r>
        <w:rPr>
          <w:rFonts w:hint="cs"/>
          <w:rtl/>
          <w:lang w:bidi="ar-EG"/>
        </w:rPr>
        <w:tab/>
        <w:t>ولما كان الرئيس قد عهد بوزارة السياحة إلى امرأة، فقد أصبح عدد النساء في الوزارة الجديدة خمس ه</w:t>
      </w:r>
      <w:r w:rsidR="0056145F">
        <w:rPr>
          <w:rFonts w:hint="cs"/>
          <w:rtl/>
          <w:lang w:bidi="ar-EG"/>
        </w:rPr>
        <w:t>ن</w:t>
      </w:r>
      <w:r>
        <w:rPr>
          <w:rFonts w:hint="cs"/>
          <w:rtl/>
          <w:lang w:bidi="ar-EG"/>
        </w:rPr>
        <w:t xml:space="preserve"> ديلما روسف، رئيسة الديوان؛ ومارينا سيلفا، وزيرة البيئة؛ ومارتا سوبليسي، وزيرة السياحة؛ وماتيلدا ريبييرو، الأمينة الخاصة لسياسات تعزيز المساواة العنصرية، ونيلسيا فرييري، الأمينة الخاصة لسياسات المرأة.</w:t>
      </w:r>
    </w:p>
    <w:p w:rsidR="00790A93" w:rsidRDefault="00790A93" w:rsidP="008C7987">
      <w:pPr>
        <w:pStyle w:val="SingleTxt"/>
        <w:rPr>
          <w:rFonts w:hint="cs"/>
          <w:rtl/>
          <w:lang w:bidi="ar-EG"/>
        </w:rPr>
      </w:pPr>
      <w:r>
        <w:rPr>
          <w:rFonts w:hint="cs"/>
          <w:rtl/>
          <w:lang w:bidi="ar-EG"/>
        </w:rPr>
        <w:tab/>
        <w:t>وبالنسبة إلى المزيد من السياسات العامة، تجدر الإشارة إلى برنامج التعجيل بالنحو الذي قدم هذا العام، وهذا البرنامج مجموعة من خمسين مبادرة تتعلق باستثمارات في مجال الهياكل الأساسية يصل مجموعها إلى 503 بلايين ريال</w:t>
      </w:r>
      <w:r w:rsidR="008C7987">
        <w:rPr>
          <w:rFonts w:hint="cs"/>
          <w:rtl/>
          <w:lang w:bidi="ar-EG"/>
        </w:rPr>
        <w:t xml:space="preserve"> برازيلي ب</w:t>
      </w:r>
      <w:r>
        <w:rPr>
          <w:rFonts w:hint="cs"/>
          <w:rtl/>
          <w:lang w:bidi="ar-EG"/>
        </w:rPr>
        <w:t>حلول عام 2010</w:t>
      </w:r>
      <w:r w:rsidR="00410898">
        <w:rPr>
          <w:rFonts w:hint="cs"/>
          <w:rtl/>
          <w:lang w:bidi="ar-EG"/>
        </w:rPr>
        <w:t>. وتستهدف هذه المبادرات الإسراع بالنمو مع تهيئة المزيد من الوظائف والدخل والإقلال من التفاوتات الإقليمية</w:t>
      </w:r>
      <w:r w:rsidR="008C7987">
        <w:rPr>
          <w:rFonts w:hint="cs"/>
          <w:rtl/>
          <w:lang w:bidi="ar-EG"/>
        </w:rPr>
        <w:t>،</w:t>
      </w:r>
      <w:r w:rsidR="00410898">
        <w:rPr>
          <w:rFonts w:hint="cs"/>
          <w:rtl/>
          <w:lang w:bidi="ar-EG"/>
        </w:rPr>
        <w:t xml:space="preserve"> دون النيل من الاستقرار الاقتصادي الذي سبق تحقيقه. ويدعو هذا البرنامج إلى وضع حوافز للائتمان والتمويل، وتخفيف العبء الضريبي، وتحسين التشريعات، وغير ذلك من التدابير المالية.</w:t>
      </w:r>
    </w:p>
    <w:p w:rsidR="00410898" w:rsidRDefault="00410898" w:rsidP="00A86AC0">
      <w:pPr>
        <w:pStyle w:val="SingleTxt"/>
        <w:rPr>
          <w:rFonts w:hint="cs"/>
          <w:rtl/>
          <w:lang w:bidi="ar-EG"/>
        </w:rPr>
      </w:pPr>
      <w:r>
        <w:rPr>
          <w:rFonts w:hint="cs"/>
          <w:rtl/>
          <w:lang w:bidi="ar-EG"/>
        </w:rPr>
        <w:tab/>
        <w:t>وفيما يتعلق بسياسات المرأة، تجدر الإشارة إلى بعض الحقائق ذات الصلة في أوائل عام 2007.</w:t>
      </w:r>
    </w:p>
    <w:p w:rsidR="00410898" w:rsidRDefault="00410898" w:rsidP="008C7987">
      <w:pPr>
        <w:pStyle w:val="SingleTxt"/>
        <w:rPr>
          <w:rFonts w:hint="cs"/>
          <w:rtl/>
          <w:lang w:bidi="ar-EG"/>
        </w:rPr>
      </w:pPr>
      <w:r>
        <w:rPr>
          <w:rFonts w:hint="cs"/>
          <w:rtl/>
          <w:lang w:bidi="ar-EG"/>
        </w:rPr>
        <w:tab/>
        <w:t>احتفلت الحكومة الاتحادية في 2 آذار/مارس 2007 باليوم الدولي للمرأة</w:t>
      </w:r>
      <w:r w:rsidR="008C7987">
        <w:rPr>
          <w:rFonts w:hint="cs"/>
          <w:rtl/>
          <w:lang w:bidi="ar-EG"/>
        </w:rPr>
        <w:t>، وذلك</w:t>
      </w:r>
      <w:r>
        <w:rPr>
          <w:rFonts w:hint="cs"/>
          <w:rtl/>
          <w:lang w:bidi="ar-EG"/>
        </w:rPr>
        <w:t xml:space="preserve"> بإعلان خطة لمكافحة تأنيث الإيدز وغيره من الأمراض التي تنتقل عن طريق الاتصال الجنسي، جنبا إلى جنب مع حملة عن الوقاية من الأمراض التي تنتقل عن طريق الاتصال الجنسي/الإيدز </w:t>
      </w:r>
      <w:r w:rsidR="008C7987">
        <w:rPr>
          <w:rFonts w:hint="cs"/>
          <w:rtl/>
          <w:lang w:bidi="ar-EG"/>
        </w:rPr>
        <w:t xml:space="preserve">جري شنها في دورة </w:t>
      </w:r>
      <w:r>
        <w:rPr>
          <w:rFonts w:hint="cs"/>
          <w:rtl/>
          <w:lang w:bidi="ar-EG"/>
        </w:rPr>
        <w:t>ألعاب البلدان الأمريكية في ريو. وحضر هذه المن</w:t>
      </w:r>
      <w:r w:rsidR="0099017D">
        <w:rPr>
          <w:rFonts w:hint="cs"/>
          <w:rtl/>
          <w:lang w:bidi="ar-EG"/>
        </w:rPr>
        <w:t>اسبة الرئيس لويس إناسيو لولا دا</w:t>
      </w:r>
      <w:r w:rsidR="0099017D">
        <w:rPr>
          <w:rFonts w:hint="eastAsia"/>
          <w:rtl/>
          <w:lang w:bidi="ar-EG"/>
        </w:rPr>
        <w:t> </w:t>
      </w:r>
      <w:r>
        <w:rPr>
          <w:rFonts w:hint="cs"/>
          <w:rtl/>
          <w:lang w:bidi="ar-EG"/>
        </w:rPr>
        <w:t>سيلفا.</w:t>
      </w:r>
    </w:p>
    <w:p w:rsidR="00410898" w:rsidRDefault="00410898" w:rsidP="008C7987">
      <w:pPr>
        <w:pStyle w:val="SingleTxt"/>
        <w:rPr>
          <w:rFonts w:hint="cs"/>
          <w:rtl/>
          <w:lang w:bidi="ar-EG"/>
        </w:rPr>
      </w:pPr>
      <w:r>
        <w:rPr>
          <w:rFonts w:hint="cs"/>
          <w:rtl/>
          <w:lang w:bidi="ar-EG"/>
        </w:rPr>
        <w:tab/>
        <w:t>وأرادت الحكومة الاتحادية - عن طريق استهلال خطة مكافحة تأنيث الإيدز وغيره من الأمراض التي تنتقل عن طريق الاتصال الجنسي - أن ترتقي بوعي السكان فيما يتعلق ب</w:t>
      </w:r>
      <w:r w:rsidR="008C7987">
        <w:rPr>
          <w:rFonts w:hint="cs"/>
          <w:rtl/>
          <w:lang w:bidi="ar-EG"/>
        </w:rPr>
        <w:t>تغيير وب</w:t>
      </w:r>
      <w:r>
        <w:rPr>
          <w:rFonts w:hint="cs"/>
          <w:rtl/>
          <w:lang w:bidi="ar-EG"/>
        </w:rPr>
        <w:t>اء الإيدز صورته و</w:t>
      </w:r>
      <w:r w:rsidR="008C7987">
        <w:rPr>
          <w:rFonts w:hint="cs"/>
          <w:rtl/>
          <w:lang w:bidi="ar-EG"/>
        </w:rPr>
        <w:t>إ</w:t>
      </w:r>
      <w:r>
        <w:rPr>
          <w:rFonts w:hint="cs"/>
          <w:rtl/>
          <w:lang w:bidi="ar-EG"/>
        </w:rPr>
        <w:t>ص</w:t>
      </w:r>
      <w:r w:rsidR="008C7987">
        <w:rPr>
          <w:rFonts w:hint="cs"/>
          <w:rtl/>
          <w:lang w:bidi="ar-EG"/>
        </w:rPr>
        <w:t>ا</w:t>
      </w:r>
      <w:r>
        <w:rPr>
          <w:rFonts w:hint="cs"/>
          <w:rtl/>
          <w:lang w:bidi="ar-EG"/>
        </w:rPr>
        <w:t>ب</w:t>
      </w:r>
      <w:r w:rsidR="008C7987">
        <w:rPr>
          <w:rFonts w:hint="cs"/>
          <w:rtl/>
          <w:lang w:bidi="ar-EG"/>
        </w:rPr>
        <w:t xml:space="preserve">ته </w:t>
      </w:r>
      <w:r>
        <w:rPr>
          <w:rFonts w:hint="cs"/>
          <w:rtl/>
          <w:lang w:bidi="ar-EG"/>
        </w:rPr>
        <w:t>المرأة بضراوة أيضا</w:t>
      </w:r>
      <w:r w:rsidR="008C7987">
        <w:rPr>
          <w:rFonts w:hint="cs"/>
          <w:rtl/>
          <w:lang w:bidi="ar-EG"/>
        </w:rPr>
        <w:t xml:space="preserve"> إذ </w:t>
      </w:r>
      <w:r>
        <w:rPr>
          <w:rFonts w:hint="cs"/>
          <w:rtl/>
          <w:lang w:bidi="ar-EG"/>
        </w:rPr>
        <w:t>زادت إصابة النساء بفيروس نقص المناعة البشرية بنسبة 44 في المائة بين عامي 1995 و 2005. وتستهدف الخطة تخفيض تعرض المرأة للإصابة بفيروس نقص المناعة البشرية وغيره من الأمراض التي تنتقل عن طريق الاتصال الجنسي.</w:t>
      </w:r>
    </w:p>
    <w:p w:rsidR="00410898" w:rsidRDefault="00410898" w:rsidP="00410898">
      <w:pPr>
        <w:pStyle w:val="SingleTxt"/>
        <w:rPr>
          <w:rFonts w:hint="cs"/>
          <w:rtl/>
          <w:lang w:bidi="ar-EG"/>
        </w:rPr>
      </w:pPr>
      <w:r>
        <w:rPr>
          <w:rFonts w:hint="cs"/>
          <w:rtl/>
          <w:lang w:bidi="ar-EG"/>
        </w:rPr>
        <w:tab/>
        <w:t>وتتضمن أهداف هذه الخطة مضاعفة عدد النساء اللاتي يجرين اختبار الإصابة بفيروس نقص المناعة البشرية (من 35 في المائة إلى 70 في المائة)، وتخفيض الانتقال الرأسي من 4 في المائة إلى أقل من 1 في المائة بحلول عام 2008، وزيادة مشتروات النساء من وسائل منع الحمل من 4 ملايين عام 2007 إلى عشرة ملايين بحلول عام 2008، والقضاء على الزهري الخلقي، وتمويل البحث المعني بوباء الإيدز.</w:t>
      </w:r>
    </w:p>
    <w:p w:rsidR="00410898" w:rsidRDefault="00410898" w:rsidP="001B09BB">
      <w:pPr>
        <w:pStyle w:val="SingleTxt"/>
        <w:rPr>
          <w:rFonts w:hint="eastAsia"/>
          <w:rtl/>
          <w:lang w:bidi="ar-EG"/>
        </w:rPr>
      </w:pPr>
      <w:r>
        <w:rPr>
          <w:rFonts w:hint="cs"/>
          <w:rtl/>
          <w:lang w:bidi="ar-EG"/>
        </w:rPr>
        <w:tab/>
        <w:t xml:space="preserve">والحملة المعنية بالوقاية من الأمراض التي تنتقل عن طريق الاتصال الجنسي/الإيدز </w:t>
      </w:r>
      <w:r w:rsidR="001B09BB">
        <w:rPr>
          <w:rFonts w:hint="cs"/>
          <w:rtl/>
          <w:lang w:bidi="ar-EG"/>
        </w:rPr>
        <w:t xml:space="preserve">التي شُنت </w:t>
      </w:r>
      <w:r>
        <w:rPr>
          <w:rFonts w:hint="cs"/>
          <w:rtl/>
          <w:lang w:bidi="ar-EG"/>
        </w:rPr>
        <w:t xml:space="preserve">في دورة ألعاب البلدان الأمريكية </w:t>
      </w:r>
      <w:r w:rsidR="000C19ED">
        <w:rPr>
          <w:rFonts w:hint="cs"/>
          <w:rtl/>
          <w:lang w:bidi="ar-EG"/>
        </w:rPr>
        <w:t xml:space="preserve">ودورة ألعاب </w:t>
      </w:r>
      <w:r w:rsidR="000C19ED">
        <w:rPr>
          <w:lang w:bidi="ar-EG"/>
        </w:rPr>
        <w:t>PARAPAN</w:t>
      </w:r>
      <w:r w:rsidR="000C19ED">
        <w:rPr>
          <w:rFonts w:hint="cs"/>
          <w:rtl/>
          <w:lang w:bidi="ar-EG"/>
        </w:rPr>
        <w:t xml:space="preserve"> الأمريكية سوف ت</w:t>
      </w:r>
      <w:r w:rsidR="001B09BB">
        <w:rPr>
          <w:rFonts w:hint="cs"/>
          <w:rtl/>
          <w:lang w:bidi="ar-EG"/>
        </w:rPr>
        <w:t>ُ</w:t>
      </w:r>
      <w:r w:rsidR="000C19ED">
        <w:rPr>
          <w:rFonts w:hint="cs"/>
          <w:rtl/>
          <w:lang w:bidi="ar-EG"/>
        </w:rPr>
        <w:t>شرك الرياضيين</w:t>
      </w:r>
      <w:r w:rsidR="000C19ED">
        <w:rPr>
          <w:rFonts w:hint="eastAsia"/>
          <w:rtl/>
          <w:lang w:bidi="ar-EG"/>
        </w:rPr>
        <w:t> </w:t>
      </w:r>
      <w:r w:rsidR="000C19ED">
        <w:rPr>
          <w:rFonts w:hint="cs"/>
          <w:rtl/>
          <w:lang w:bidi="ar-EG"/>
        </w:rPr>
        <w:t xml:space="preserve">في مكافحة الإيدز عن طريق الارتقاء بوعي السكان إزاء أهمية اتباع أسلوب صحي للحياة ومقدار أكبر من الثقة بالنفس بغية الإقلال من بعض أوجه الضعف التي تصاحب فيروس الإيدز والأمراض الأخرى. وعند افتتاح الدورة، سيحصل كل رياضي ومشارك على مجموعة </w:t>
      </w:r>
      <w:r w:rsidR="001B09BB">
        <w:rPr>
          <w:rFonts w:hint="cs"/>
          <w:rtl/>
          <w:lang w:bidi="ar-EG"/>
        </w:rPr>
        <w:t xml:space="preserve">لوازم </w:t>
      </w:r>
      <w:r w:rsidR="000C19ED">
        <w:rPr>
          <w:rFonts w:hint="cs"/>
          <w:rtl/>
          <w:lang w:bidi="ar-EG"/>
        </w:rPr>
        <w:t xml:space="preserve">تضم وسائل منع الحمل وقمصان بأكمام قصيرة (تي شيرت) ومعلومات عن الوقاية. وستستمر الحملة إلى اختتام الدورة في آب/أغسطس، وسيكون شعار الحملة </w:t>
      </w:r>
      <w:r w:rsidR="000C19ED">
        <w:rPr>
          <w:rFonts w:hint="eastAsia"/>
          <w:rtl/>
          <w:lang w:bidi="ar-EG"/>
        </w:rPr>
        <w:t>”</w:t>
      </w:r>
      <w:r w:rsidR="000C19ED">
        <w:rPr>
          <w:lang w:bidi="ar-EG"/>
        </w:rPr>
        <w:t>Vista - se nos jogos</w:t>
      </w:r>
      <w:r w:rsidR="000C19ED">
        <w:rPr>
          <w:rFonts w:hint="eastAsia"/>
          <w:rtl/>
          <w:lang w:bidi="ar-EG"/>
        </w:rPr>
        <w:t>“ [ارتدوا ثيابكم بأنفسكم في دورة الألعاب].</w:t>
      </w:r>
    </w:p>
    <w:p w:rsidR="000C19ED" w:rsidRPr="00D65187" w:rsidRDefault="000C19ED" w:rsidP="001B09BB">
      <w:pPr>
        <w:pStyle w:val="SingleTxt"/>
        <w:rPr>
          <w:rFonts w:hint="cs"/>
          <w:w w:val="100"/>
          <w:rtl/>
          <w:lang w:bidi="ar-EG"/>
        </w:rPr>
      </w:pPr>
      <w:r w:rsidRPr="00D65187">
        <w:rPr>
          <w:rFonts w:hint="cs"/>
          <w:w w:val="100"/>
          <w:rtl/>
          <w:lang w:bidi="ar-EG"/>
        </w:rPr>
        <w:tab/>
        <w:t xml:space="preserve">والحملة والخطة محصلة شراكة بين الأمانة الخاصة </w:t>
      </w:r>
      <w:r w:rsidR="00310465" w:rsidRPr="00D65187">
        <w:rPr>
          <w:rFonts w:hint="cs"/>
          <w:w w:val="100"/>
          <w:rtl/>
          <w:lang w:bidi="ar-EG"/>
        </w:rPr>
        <w:t>لسياسات المرأة، ووزارة الرياضة،</w:t>
      </w:r>
      <w:r w:rsidR="0065740E">
        <w:rPr>
          <w:rFonts w:hint="cs"/>
          <w:w w:val="100"/>
          <w:rtl/>
          <w:lang w:bidi="ar-EG"/>
        </w:rPr>
        <w:t xml:space="preserve"> </w:t>
      </w:r>
      <w:r w:rsidRPr="00D65187">
        <w:rPr>
          <w:rFonts w:hint="cs"/>
          <w:w w:val="100"/>
          <w:rtl/>
          <w:lang w:bidi="ar-EG"/>
        </w:rPr>
        <w:t>ووزارة الصحة، ووزارة التنمية الاجتماعية ومكافحة الجوع، وصن</w:t>
      </w:r>
      <w:r w:rsidR="00310465" w:rsidRPr="00D65187">
        <w:rPr>
          <w:rFonts w:hint="cs"/>
          <w:w w:val="100"/>
          <w:rtl/>
          <w:lang w:bidi="ar-EG"/>
        </w:rPr>
        <w:t>دوق الأمم</w:t>
      </w:r>
      <w:r w:rsidR="00310465" w:rsidRPr="00D65187">
        <w:rPr>
          <w:rFonts w:hint="eastAsia"/>
          <w:w w:val="100"/>
          <w:rtl/>
          <w:lang w:bidi="ar-EG"/>
        </w:rPr>
        <w:t> </w:t>
      </w:r>
      <w:r w:rsidRPr="00D65187">
        <w:rPr>
          <w:rFonts w:hint="cs"/>
          <w:w w:val="100"/>
          <w:rtl/>
          <w:lang w:bidi="ar-EG"/>
        </w:rPr>
        <w:t xml:space="preserve">المتحدة الإنمائي للمرأة، ومنظمة الأمم المتحدة للطفولة (اليونيسيف)، مع مشاركة </w:t>
      </w:r>
      <w:r w:rsidRPr="00D65187">
        <w:rPr>
          <w:w w:val="100"/>
          <w:lang w:bidi="ar-EG"/>
        </w:rPr>
        <w:t>Caixa Econ</w:t>
      </w:r>
      <w:r w:rsidRPr="00D65187">
        <w:rPr>
          <w:rFonts w:cs="Times New Roman"/>
          <w:w w:val="100"/>
          <w:lang w:bidi="ar-EG"/>
        </w:rPr>
        <w:t>ô</w:t>
      </w:r>
      <w:r w:rsidRPr="00D65187">
        <w:rPr>
          <w:w w:val="100"/>
          <w:lang w:bidi="ar-EG"/>
        </w:rPr>
        <w:t>mica Federal</w:t>
      </w:r>
      <w:r w:rsidR="00310465" w:rsidRPr="00D65187">
        <w:rPr>
          <w:rFonts w:hint="cs"/>
          <w:w w:val="100"/>
          <w:rtl/>
          <w:lang w:bidi="ar-EG"/>
        </w:rPr>
        <w:t xml:space="preserve"> [مصرف الادخار الاتحادي] واللجنة الأوليمبية البرازيلية واللجنة البرازيلية للشؤون الأوليمبية وحكومة ولاية ريو دي جانيرو وبلدية ريو دي</w:t>
      </w:r>
      <w:r w:rsidR="0099017D" w:rsidRPr="00D65187">
        <w:rPr>
          <w:rFonts w:hint="eastAsia"/>
          <w:w w:val="100"/>
          <w:rtl/>
          <w:lang w:bidi="ar-EG"/>
        </w:rPr>
        <w:t> </w:t>
      </w:r>
      <w:r w:rsidR="00310465" w:rsidRPr="00D65187">
        <w:rPr>
          <w:rFonts w:hint="cs"/>
          <w:w w:val="100"/>
          <w:rtl/>
          <w:lang w:bidi="ar-EG"/>
        </w:rPr>
        <w:t>جانيرو.</w:t>
      </w:r>
    </w:p>
    <w:p w:rsidR="00310465" w:rsidRDefault="00310465" w:rsidP="0039215A">
      <w:pPr>
        <w:pStyle w:val="SingleTxt"/>
        <w:rPr>
          <w:rFonts w:hint="cs"/>
          <w:rtl/>
          <w:lang w:bidi="ar-EG"/>
        </w:rPr>
      </w:pPr>
      <w:r>
        <w:rPr>
          <w:rFonts w:hint="cs"/>
          <w:rtl/>
          <w:lang w:bidi="ar-EG"/>
        </w:rPr>
        <w:tab/>
        <w:t>وفي 17 كانون الثاني/يناير 2007 وقع الرئيس لويس إناسيو لولا دا سيلفا مرسوما (</w:t>
      </w:r>
      <w:r w:rsidR="0039215A" w:rsidRPr="0039215A">
        <w:rPr>
          <w:lang w:bidi="ar-EG"/>
        </w:rPr>
        <w:t>DOU, 18/01/07, ed. nº 13, seção 1, p. 7</w:t>
      </w:r>
      <w:r>
        <w:rPr>
          <w:rFonts w:hint="cs"/>
          <w:rtl/>
          <w:lang w:bidi="ar-EG"/>
        </w:rPr>
        <w:t>)</w:t>
      </w:r>
      <w:r w:rsidR="0039215A">
        <w:rPr>
          <w:rFonts w:hint="cs"/>
          <w:rtl/>
          <w:lang w:bidi="ar-EG"/>
        </w:rPr>
        <w:t xml:space="preserve"> يقضي بعقد مؤتمر وطني ثان بشأن سياسات المرأة يجري تنسيقه عن طريق الأمانة الخاصة لسياسات المرأة التابعة لمكتب رئيس الجمهورية والمجلس الوطني لحقوق المرأة.</w:t>
      </w:r>
    </w:p>
    <w:p w:rsidR="0039215A" w:rsidRDefault="0039215A" w:rsidP="00FF55C0">
      <w:pPr>
        <w:pStyle w:val="SingleTxt"/>
        <w:rPr>
          <w:rFonts w:hint="cs"/>
          <w:rtl/>
          <w:lang w:bidi="ar-EG"/>
        </w:rPr>
      </w:pPr>
      <w:r>
        <w:rPr>
          <w:rFonts w:hint="cs"/>
          <w:rtl/>
          <w:lang w:bidi="ar-EG"/>
        </w:rPr>
        <w:tab/>
        <w:t xml:space="preserve">وسيعقد المؤتمر الثاني في برازيليا من 18 إلى 21 آب/أغسطس 2007 وسيحضره 800 2 من </w:t>
      </w:r>
      <w:r w:rsidR="001B09BB">
        <w:rPr>
          <w:rFonts w:hint="cs"/>
          <w:rtl/>
          <w:lang w:bidi="ar-EG"/>
        </w:rPr>
        <w:t xml:space="preserve">أعضاء </w:t>
      </w:r>
      <w:r>
        <w:rPr>
          <w:rFonts w:hint="cs"/>
          <w:rtl/>
          <w:lang w:bidi="ar-EG"/>
        </w:rPr>
        <w:t xml:space="preserve">الوفود التي تمثل الحكومة والمجتمع المدني والتي تشارك في </w:t>
      </w:r>
      <w:r w:rsidR="00FF55C0">
        <w:rPr>
          <w:rFonts w:hint="cs"/>
          <w:rtl/>
          <w:lang w:bidi="ar-EG"/>
        </w:rPr>
        <w:t>مؤتمرات الولايات</w:t>
      </w:r>
      <w:r>
        <w:rPr>
          <w:rFonts w:hint="cs"/>
          <w:rtl/>
          <w:lang w:bidi="ar-EG"/>
        </w:rPr>
        <w:t xml:space="preserve"> والبلدي</w:t>
      </w:r>
      <w:r w:rsidR="00FF55C0">
        <w:rPr>
          <w:rFonts w:hint="cs"/>
          <w:rtl/>
          <w:lang w:bidi="ar-EG"/>
        </w:rPr>
        <w:t>ات</w:t>
      </w:r>
      <w:r>
        <w:rPr>
          <w:rFonts w:hint="cs"/>
          <w:rtl/>
          <w:lang w:bidi="ar-EG"/>
        </w:rPr>
        <w:t xml:space="preserve"> و</w:t>
      </w:r>
      <w:r w:rsidR="00FF55C0" w:rsidRPr="00FF55C0">
        <w:rPr>
          <w:rFonts w:hint="cs"/>
          <w:rtl/>
          <w:lang w:bidi="ar-EG"/>
        </w:rPr>
        <w:t xml:space="preserve"> </w:t>
      </w:r>
      <w:r w:rsidR="00FF55C0">
        <w:rPr>
          <w:rFonts w:hint="cs"/>
          <w:rtl/>
          <w:lang w:bidi="ar-EG"/>
        </w:rPr>
        <w:t xml:space="preserve">المؤتمرات </w:t>
      </w:r>
      <w:r>
        <w:rPr>
          <w:rFonts w:hint="cs"/>
          <w:rtl/>
          <w:lang w:bidi="ar-EG"/>
        </w:rPr>
        <w:t>الإقليمية بين آذار/مارس و</w:t>
      </w:r>
      <w:r w:rsidR="00FF55C0">
        <w:rPr>
          <w:rFonts w:hint="cs"/>
          <w:rtl/>
          <w:lang w:bidi="ar-EG"/>
        </w:rPr>
        <w:t>تموز/</w:t>
      </w:r>
      <w:r>
        <w:rPr>
          <w:rFonts w:hint="cs"/>
          <w:rtl/>
          <w:lang w:bidi="ar-EG"/>
        </w:rPr>
        <w:t xml:space="preserve">يوليه من هذا العام. </w:t>
      </w:r>
    </w:p>
    <w:p w:rsidR="0039215A" w:rsidRDefault="0039215A" w:rsidP="0039215A">
      <w:pPr>
        <w:pStyle w:val="SingleTxt"/>
        <w:rPr>
          <w:rFonts w:hint="cs"/>
          <w:rtl/>
          <w:lang w:bidi="ar-EG"/>
        </w:rPr>
      </w:pPr>
      <w:r>
        <w:rPr>
          <w:rFonts w:hint="cs"/>
          <w:rtl/>
          <w:lang w:bidi="ar-EG"/>
        </w:rPr>
        <w:tab/>
        <w:t xml:space="preserve">وفيما </w:t>
      </w:r>
      <w:r w:rsidR="00DC4AFC">
        <w:rPr>
          <w:rFonts w:hint="cs"/>
          <w:rtl/>
          <w:lang w:bidi="ar-EG"/>
        </w:rPr>
        <w:t>يلي القضايا الرئيسة المقترح مناقشتها: أولا، تحليل الواقع الاجتماعي والاقتصادي والسياسي والثقافي البرازيلي، والتحديات التي تعترض تحقيق المساواة من خلال تنفيذ خطة السياسات الوطنية للمرأة؛ وثانيا، تقييم المبادرات والسياسات المتخذة في إطار هذه الخطة فيما يتعلق بتنفيذ تلك المبادرات والسياسات وآثارها؛ وثالثا، مشاركة المرأة في مجالات السلطة.</w:t>
      </w:r>
    </w:p>
    <w:p w:rsidR="00DC4AFC" w:rsidRDefault="00DC4AFC" w:rsidP="0039215A">
      <w:pPr>
        <w:pStyle w:val="SingleTxt"/>
        <w:rPr>
          <w:rFonts w:hint="cs"/>
          <w:rtl/>
          <w:lang w:bidi="ar-EG"/>
        </w:rPr>
      </w:pPr>
      <w:r>
        <w:rPr>
          <w:rFonts w:hint="cs"/>
          <w:rtl/>
          <w:lang w:bidi="ar-EG"/>
        </w:rPr>
        <w:tab/>
        <w:t>أما المؤتمر الوطني الثاني المعني بسياسات المرأة فسيتيح الفرصة للحكومة والحركات الاجتماعية النسائية لكي تقيم الأعمال التي جرى إحرازها حتى الآن، فضلا عن إعادة تعريف السمات الرئيسية للسياسات النسائية في بلدنا إذا اقتضى الأمر.</w:t>
      </w:r>
    </w:p>
    <w:p w:rsidR="00DC4AFC" w:rsidRDefault="00DC4AFC" w:rsidP="0039215A">
      <w:pPr>
        <w:pStyle w:val="SingleTxt"/>
        <w:rPr>
          <w:rFonts w:hint="cs"/>
          <w:rtl/>
          <w:lang w:bidi="ar-EG"/>
        </w:rPr>
      </w:pPr>
      <w:r>
        <w:rPr>
          <w:rFonts w:hint="cs"/>
          <w:rtl/>
          <w:lang w:bidi="ar-EG"/>
        </w:rPr>
        <w:tab/>
        <w:t>وأخيرا، نود أن نشير إلى أنه، فضلا عن توفير الإيضاحات التي طلبتها اللجنة، نغتنم هذه الفرصة لتحديث التقرير الوطني البرازيلي السادس المقدم في نيسان/أبريل 2005.</w:t>
      </w:r>
    </w:p>
    <w:p w:rsidR="00556651" w:rsidRPr="00556651" w:rsidRDefault="00556651" w:rsidP="00556651">
      <w:pPr>
        <w:pStyle w:val="SingleTxt"/>
        <w:spacing w:after="0" w:line="120" w:lineRule="exact"/>
        <w:rPr>
          <w:rFonts w:hint="cs"/>
          <w:sz w:val="10"/>
          <w:rtl/>
          <w:lang w:bidi="ar-EG"/>
        </w:rPr>
      </w:pPr>
    </w:p>
    <w:p w:rsidR="00DC4AFC" w:rsidRDefault="00556651" w:rsidP="0055665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قائمة بالقضايا والأسئلة التي طرحتها لجنة الاتفاقية</w:t>
      </w:r>
    </w:p>
    <w:p w:rsidR="00556651" w:rsidRPr="005E297F" w:rsidRDefault="00556651" w:rsidP="0055665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lang w:bidi="ar-EG"/>
        </w:rPr>
        <w:tab/>
      </w:r>
      <w:r w:rsidRPr="005E297F">
        <w:tab/>
      </w:r>
      <w:r w:rsidRPr="005E297F">
        <w:rPr>
          <w:rtl/>
        </w:rPr>
        <w:t>التشريعات والآليات الوطنية</w:t>
      </w:r>
    </w:p>
    <w:p w:rsidR="00556651" w:rsidRPr="0099017D" w:rsidRDefault="00556651" w:rsidP="00556651">
      <w:pPr>
        <w:pStyle w:val="SingleTxt"/>
        <w:rPr>
          <w:b/>
          <w:bCs/>
          <w:rtl/>
        </w:rPr>
      </w:pPr>
      <w:r w:rsidRPr="0099017D">
        <w:rPr>
          <w:rFonts w:hint="cs"/>
          <w:b/>
          <w:bCs/>
          <w:rtl/>
        </w:rPr>
        <w:t xml:space="preserve">1 </w:t>
      </w:r>
      <w:r w:rsidRPr="0099017D">
        <w:rPr>
          <w:b/>
          <w:bCs/>
          <w:rtl/>
        </w:rPr>
        <w:t>-</w:t>
      </w:r>
      <w:r w:rsidRPr="0099017D">
        <w:rPr>
          <w:rFonts w:hint="cs"/>
          <w:b/>
          <w:bCs/>
          <w:rtl/>
        </w:rPr>
        <w:tab/>
      </w:r>
      <w:r w:rsidRPr="0099017D">
        <w:rPr>
          <w:b/>
          <w:bCs/>
          <w:rtl/>
        </w:rPr>
        <w:t xml:space="preserve">يرجى تقديم معلومات مستكملة عن مشاريع التشريعات والتعديلات المذكورة </w:t>
      </w:r>
      <w:r w:rsidRPr="00997E49">
        <w:rPr>
          <w:b/>
          <w:bCs/>
          <w:w w:val="100"/>
          <w:rtl/>
        </w:rPr>
        <w:t>في التقرير</w:t>
      </w:r>
      <w:r w:rsidRPr="00997E49">
        <w:rPr>
          <w:rFonts w:hint="cs"/>
          <w:b/>
          <w:bCs/>
          <w:w w:val="100"/>
          <w:rtl/>
        </w:rPr>
        <w:t xml:space="preserve"> (صفحة 12)</w:t>
      </w:r>
      <w:r w:rsidRPr="00997E49">
        <w:rPr>
          <w:b/>
          <w:bCs/>
          <w:w w:val="100"/>
          <w:rtl/>
        </w:rPr>
        <w:t>، التي أحيلت إلى مجلس الشيوخ الاتحادي للموافقة عليها، ولا</w:t>
      </w:r>
      <w:r w:rsidR="00997E49" w:rsidRPr="00997E49">
        <w:rPr>
          <w:rFonts w:hint="eastAsia"/>
          <w:b/>
          <w:bCs/>
          <w:w w:val="100"/>
          <w:rtl/>
        </w:rPr>
        <w:t> </w:t>
      </w:r>
      <w:r w:rsidRPr="00997E49">
        <w:rPr>
          <w:b/>
          <w:bCs/>
          <w:w w:val="100"/>
          <w:rtl/>
        </w:rPr>
        <w:t xml:space="preserve">سيما مشروع القانون 117/3 الذي يلغي تعبير ’’امرأة شريفة‘‘ من مادتين في القانون الجنائي، ومشروع القانون 335/95 الذي يكفل وينظم إنشاء دور للحضانة ومراكز الرعاية النهارية في السجون </w:t>
      </w:r>
      <w:r w:rsidRPr="00997E49">
        <w:rPr>
          <w:rFonts w:hint="cs"/>
          <w:b/>
          <w:bCs/>
          <w:w w:val="100"/>
          <w:rtl/>
        </w:rPr>
        <w:t>خدمة</w:t>
      </w:r>
      <w:r w:rsidRPr="00997E49">
        <w:rPr>
          <w:b/>
          <w:bCs/>
          <w:w w:val="100"/>
          <w:rtl/>
        </w:rPr>
        <w:t xml:space="preserve"> </w:t>
      </w:r>
      <w:r w:rsidRPr="00997E49">
        <w:rPr>
          <w:rFonts w:hint="cs"/>
          <w:b/>
          <w:bCs/>
          <w:w w:val="100"/>
          <w:rtl/>
        </w:rPr>
        <w:t>ل</w:t>
      </w:r>
      <w:r w:rsidRPr="00997E49">
        <w:rPr>
          <w:b/>
          <w:bCs/>
          <w:w w:val="100"/>
          <w:rtl/>
        </w:rPr>
        <w:t>أطفال السجينات، ومشروع القانون 644/</w:t>
      </w:r>
      <w:r w:rsidRPr="00997E49">
        <w:rPr>
          <w:rFonts w:hint="cs"/>
          <w:b/>
          <w:bCs/>
          <w:w w:val="100"/>
          <w:rtl/>
        </w:rPr>
        <w:t>3</w:t>
      </w:r>
      <w:r w:rsidRPr="00997E49">
        <w:rPr>
          <w:b/>
          <w:bCs/>
          <w:w w:val="100"/>
          <w:rtl/>
        </w:rPr>
        <w:t xml:space="preserve"> الذي يكفل لعضوات المجالس والنائبات على مستوى الولايات والمستوى</w:t>
      </w:r>
      <w:r w:rsidRPr="0099017D">
        <w:rPr>
          <w:b/>
          <w:bCs/>
          <w:rtl/>
        </w:rPr>
        <w:t xml:space="preserve"> الاتحادي الحق في الحصول على إجازة الأمومة، والذي يشمل إجازة الأبوة بالنسبة للبرلمانيين من الرجال.</w:t>
      </w:r>
    </w:p>
    <w:p w:rsidR="00556651" w:rsidRDefault="009977B1" w:rsidP="00556651">
      <w:pPr>
        <w:pStyle w:val="SingleTxt"/>
        <w:rPr>
          <w:rFonts w:hint="cs"/>
          <w:rtl/>
          <w:lang w:bidi="ar-EG"/>
        </w:rPr>
      </w:pPr>
      <w:r>
        <w:rPr>
          <w:rFonts w:hint="cs"/>
          <w:rtl/>
          <w:lang w:bidi="ar-EG"/>
        </w:rPr>
        <w:tab/>
        <w:t xml:space="preserve">أجيز مشروع القانون 117/3 بوصفه القانون رقم 11106 بتاريخ 28 آذار/مارس 2005، وحذفت التعديلات تعبير </w:t>
      </w:r>
      <w:r>
        <w:rPr>
          <w:rFonts w:hint="eastAsia"/>
          <w:rtl/>
          <w:lang w:bidi="ar-EG"/>
        </w:rPr>
        <w:t>”امرأة شريفة</w:t>
      </w:r>
      <w:r>
        <w:rPr>
          <w:rFonts w:hint="cs"/>
          <w:rtl/>
          <w:lang w:bidi="ar-EG"/>
        </w:rPr>
        <w:t xml:space="preserve">“ - عذراء أو متزوجة - وجريمة الزنا من التشريع البرازيلي. وبالتالي، فالحجة المستخدمة في محاكمات المحلفين طيلة عقود للدفاع عن رجال قتلوا نساء، وهي </w:t>
      </w:r>
      <w:r>
        <w:rPr>
          <w:rFonts w:hint="eastAsia"/>
          <w:rtl/>
          <w:lang w:bidi="ar-EG"/>
        </w:rPr>
        <w:t>”الدفاع المشروع عن شرف شخص</w:t>
      </w:r>
      <w:r>
        <w:rPr>
          <w:rFonts w:hint="cs"/>
          <w:rtl/>
          <w:lang w:bidi="ar-EG"/>
        </w:rPr>
        <w:t>“، فقدت قوتها.</w:t>
      </w:r>
    </w:p>
    <w:p w:rsidR="009977B1" w:rsidRDefault="009977B1" w:rsidP="00556651">
      <w:pPr>
        <w:pStyle w:val="SingleTxt"/>
        <w:rPr>
          <w:rFonts w:hint="cs"/>
          <w:rtl/>
          <w:lang w:bidi="ar-EG"/>
        </w:rPr>
      </w:pPr>
      <w:r>
        <w:rPr>
          <w:rFonts w:hint="cs"/>
          <w:rtl/>
          <w:lang w:bidi="ar-EG"/>
        </w:rPr>
        <w:tab/>
        <w:t xml:space="preserve">وهناك تغيير رئيسي آخر، وهو إنهاء العفو عن الجرائم المرتكبة ضد الأعراف، مثل الاغتصاب والتحرش الجنسي. واعتاد القانون على السماح بزواج مرتكب الجريمة أو شخص آخر من الضحية، مما يبطل اتهام المعتدي. وجرى تغيير صياغة المادة 231 بشأن الاتجار بالنساء بحيث تشير إلى الاتجار الداخلي والدولي بالأشخاص، بحيث يمكن أن تكون الضحية رجلا </w:t>
      </w:r>
      <w:r w:rsidR="00D67682">
        <w:rPr>
          <w:rFonts w:hint="cs"/>
          <w:rtl/>
          <w:lang w:bidi="ar-EG"/>
        </w:rPr>
        <w:t>أو</w:t>
      </w:r>
      <w:r>
        <w:rPr>
          <w:rFonts w:hint="cs"/>
          <w:rtl/>
          <w:lang w:bidi="ar-EG"/>
        </w:rPr>
        <w:t xml:space="preserve"> امرأة. وفي هذا الصدد، تنبغي الإشارة إلى المرسوم رقم </w:t>
      </w:r>
      <w:r w:rsidR="00646E26">
        <w:rPr>
          <w:rFonts w:hint="cs"/>
          <w:rtl/>
          <w:lang w:bidi="ar-EG"/>
        </w:rPr>
        <w:t>5</w:t>
      </w:r>
      <w:r>
        <w:rPr>
          <w:rFonts w:hint="cs"/>
          <w:rtl/>
          <w:lang w:bidi="ar-EG"/>
        </w:rPr>
        <w:t>948 المؤرخ 26 تشرين الأول/أكتوبر 2006، الذي أجاز السياسة الوطنية بشأن مكافحة الاتجار بالأشخاص، وشكل فريقا عاملا مشتركا بين الوزارات بغرض إعداد مشروع خطة وطنية لمكافحة الاتجار بالأشخاص.</w:t>
      </w:r>
    </w:p>
    <w:p w:rsidR="009977B1" w:rsidRDefault="009977B1" w:rsidP="00556651">
      <w:pPr>
        <w:pStyle w:val="SingleTxt"/>
        <w:rPr>
          <w:rFonts w:hint="cs"/>
          <w:rtl/>
          <w:lang w:bidi="ar-EG"/>
        </w:rPr>
      </w:pPr>
      <w:r>
        <w:rPr>
          <w:rFonts w:hint="cs"/>
          <w:rtl/>
          <w:lang w:bidi="ar-EG"/>
        </w:rPr>
        <w:tab/>
        <w:t xml:space="preserve">ومشروع القانون 335/95، الذي يكفل </w:t>
      </w:r>
      <w:r w:rsidR="00423007">
        <w:rPr>
          <w:rFonts w:hint="cs"/>
          <w:rtl/>
          <w:lang w:bidi="ar-EG"/>
        </w:rPr>
        <w:t xml:space="preserve">وينظم إنشاء دور للحضانة حيث يمكن للسجينات رعاية أطفالهن، أرسل إلى مجلس الشيوخ الاتحادي بوصفه </w:t>
      </w:r>
      <w:r w:rsidR="00423007">
        <w:rPr>
          <w:lang w:bidi="ar-EG"/>
        </w:rPr>
        <w:t>PLC 105/2003</w:t>
      </w:r>
      <w:r w:rsidR="00423007">
        <w:rPr>
          <w:rFonts w:hint="cs"/>
          <w:rtl/>
          <w:lang w:bidi="ar-EG"/>
        </w:rPr>
        <w:t xml:space="preserve"> وتنظر فيه الآن اللجنة المعنية بالدستور والعدالة والمواطنة، وقد انتهى مقررها إلى الموافقة عليه.</w:t>
      </w:r>
    </w:p>
    <w:p w:rsidR="00423007" w:rsidRDefault="00423007" w:rsidP="00556651">
      <w:pPr>
        <w:pStyle w:val="SingleTxt"/>
        <w:rPr>
          <w:rFonts w:hint="cs"/>
          <w:rtl/>
          <w:lang w:bidi="ar-EG"/>
        </w:rPr>
      </w:pPr>
      <w:r>
        <w:rPr>
          <w:rFonts w:hint="cs"/>
          <w:rtl/>
          <w:lang w:bidi="ar-EG"/>
        </w:rPr>
        <w:tab/>
        <w:t>وفضلا عن ذلك، وقَّعت الأمانة الخاصة لسياسات المرأة ووزارة العدل من خلال إدارة السجون الوطنية التابعة لها، اتفاق تعاون تقني لتنفيذ سياسات عامة تستهدف السجينات وأطفالهن وأسرهن. وتتجه النية إلى كفالة ظروف حجز إنسانية والمساعدة على إعادة إدماج السجينات في المجتمع. ونُشِرَ اتفاق التعاون هذا في الجريدة الرسمية في 13</w:t>
      </w:r>
      <w:r>
        <w:rPr>
          <w:rFonts w:hint="eastAsia"/>
          <w:rtl/>
          <w:lang w:bidi="ar-EG"/>
        </w:rPr>
        <w:t> </w:t>
      </w:r>
      <w:r>
        <w:rPr>
          <w:rFonts w:hint="cs"/>
          <w:rtl/>
          <w:lang w:bidi="ar-EG"/>
        </w:rPr>
        <w:t>شباط/فبراير 2007.</w:t>
      </w:r>
    </w:p>
    <w:p w:rsidR="00423007" w:rsidRDefault="00423007" w:rsidP="00556651">
      <w:pPr>
        <w:pStyle w:val="SingleTxt"/>
        <w:rPr>
          <w:rFonts w:hint="cs"/>
          <w:rtl/>
          <w:lang w:bidi="ar-EG"/>
        </w:rPr>
      </w:pPr>
      <w:r>
        <w:rPr>
          <w:rFonts w:hint="cs"/>
          <w:rtl/>
          <w:lang w:bidi="ar-EG"/>
        </w:rPr>
        <w:tab/>
        <w:t>ويدعو هذا الاتفاق إلى تعيين فريق عامل مشترك بين الوزارات في ظرف 90 يوما من أجل التجهيز لإعادة تنظيم وتشكيل نظام احتجاز النساء. وسيكون لهذا الفريق العامل خصائص عريضة النطاق، تشمل صياغة مقترحات بشأن بقاء أطفال السجينات في السجن، وأماكن إقامة كافية في سجون النساء، وتدريب المهنيين الذين يتعاملون مع السجينات، وتخصيص نصيب من صندوق السجون الوطني لسجون النساء، ووضع برامج تستهدف توفير التعليم والرعاية الصحية والتدريب المهني والمساعدات القانونية والاجتماعية للسجينات وأسرهن.</w:t>
      </w:r>
    </w:p>
    <w:p w:rsidR="00423007" w:rsidRDefault="00423007" w:rsidP="00423007">
      <w:pPr>
        <w:pStyle w:val="SingleTxt"/>
        <w:rPr>
          <w:rFonts w:hint="cs"/>
          <w:rtl/>
          <w:lang w:bidi="ar-EG"/>
        </w:rPr>
      </w:pPr>
      <w:r>
        <w:rPr>
          <w:rFonts w:hint="cs"/>
          <w:rtl/>
          <w:lang w:bidi="ar-EG"/>
        </w:rPr>
        <w:tab/>
        <w:t xml:space="preserve">ويتضمن أعضاء الفريق العامل المشترك بين الوزارات ممثلين عن الوزارتين السالفتي الذكر، بالإضافة إلى ممثلين عن وزارات الصحة، والتعليم، والعمل، والتنمية الاجتماعية، والأمانة الخاصة لحقوق الإنسان، والأمانة الخاصة لسياسات تعزيز المساواة العنصرية. </w:t>
      </w:r>
      <w:r w:rsidR="006A202E">
        <w:rPr>
          <w:rFonts w:hint="cs"/>
          <w:rtl/>
          <w:lang w:bidi="ar-EG"/>
        </w:rPr>
        <w:t>وسيشارك القضاء والمجتمع المدني أيضا في هذا الفريق.</w:t>
      </w:r>
    </w:p>
    <w:p w:rsidR="006A202E" w:rsidRDefault="006A202E" w:rsidP="00646E26">
      <w:pPr>
        <w:pStyle w:val="SingleTxt"/>
        <w:rPr>
          <w:rFonts w:hint="cs"/>
          <w:rtl/>
          <w:lang w:bidi="ar-EG"/>
        </w:rPr>
      </w:pPr>
      <w:r>
        <w:rPr>
          <w:rFonts w:hint="cs"/>
          <w:rtl/>
          <w:lang w:bidi="ar-EG"/>
        </w:rPr>
        <w:tab/>
        <w:t>وقد أرسل مشروع القانون 644/3، الذي يكفل للبرلمانيين الحق في الحصول على إجازة الأمومة والأبوة، إلى مجلس الشيوخ الاتحادي (</w:t>
      </w:r>
      <w:r>
        <w:rPr>
          <w:lang w:bidi="ar-EG"/>
        </w:rPr>
        <w:t>PLC 104/2003</w:t>
      </w:r>
      <w:r>
        <w:rPr>
          <w:rFonts w:hint="cs"/>
          <w:rtl/>
          <w:lang w:bidi="ar-EG"/>
        </w:rPr>
        <w:t xml:space="preserve">) وتنظر الآن فيه اللجنة المعنية بالدستور والعدالة والمواطنة، الذي انتهى مقررها إلى رفض مشروع القانون، حيث أنه يعتدي على اختصاص المشرعين على صعيدي الولايات والبلديات، واقترح </w:t>
      </w:r>
      <w:r w:rsidR="00646E26">
        <w:rPr>
          <w:rFonts w:hint="cs"/>
          <w:rtl/>
          <w:lang w:bidi="ar-EG"/>
        </w:rPr>
        <w:t xml:space="preserve">المقرر </w:t>
      </w:r>
      <w:r>
        <w:rPr>
          <w:rFonts w:hint="cs"/>
          <w:rtl/>
          <w:lang w:bidi="ar-EG"/>
        </w:rPr>
        <w:t xml:space="preserve">استمرار رئاسة مجلس الشيوخ الاتحادي في دراسة هذه المسألة، وبخاصة في ضوء ضرورة كفالة إدماج الحقوق قيد المناقشة في القوانين الداخلية لمجلس الشيوخ الاتحادي، نظرا </w:t>
      </w:r>
      <w:r w:rsidR="00646E26">
        <w:rPr>
          <w:rFonts w:hint="cs"/>
          <w:rtl/>
          <w:lang w:bidi="ar-EG"/>
        </w:rPr>
        <w:t>لع</w:t>
      </w:r>
      <w:r>
        <w:rPr>
          <w:rFonts w:hint="cs"/>
          <w:rtl/>
          <w:lang w:bidi="ar-EG"/>
        </w:rPr>
        <w:t>د</w:t>
      </w:r>
      <w:r w:rsidR="00646E26">
        <w:rPr>
          <w:rFonts w:hint="cs"/>
          <w:rtl/>
          <w:lang w:bidi="ar-EG"/>
        </w:rPr>
        <w:t>ا</w:t>
      </w:r>
      <w:r>
        <w:rPr>
          <w:rFonts w:hint="cs"/>
          <w:rtl/>
          <w:lang w:bidi="ar-EG"/>
        </w:rPr>
        <w:t>ل</w:t>
      </w:r>
      <w:r w:rsidR="00646E26">
        <w:rPr>
          <w:rFonts w:hint="cs"/>
          <w:rtl/>
          <w:lang w:bidi="ar-EG"/>
        </w:rPr>
        <w:t>تها</w:t>
      </w:r>
      <w:r>
        <w:rPr>
          <w:rFonts w:hint="cs"/>
          <w:rtl/>
          <w:lang w:bidi="ar-EG"/>
        </w:rPr>
        <w:t>.</w:t>
      </w:r>
    </w:p>
    <w:p w:rsidR="006A202E" w:rsidRDefault="006A202E" w:rsidP="00423007">
      <w:pPr>
        <w:pStyle w:val="SingleTxt"/>
        <w:rPr>
          <w:rFonts w:hint="cs"/>
          <w:rtl/>
          <w:lang w:bidi="ar-EG"/>
        </w:rPr>
      </w:pPr>
      <w:r>
        <w:rPr>
          <w:rFonts w:hint="cs"/>
          <w:rtl/>
          <w:lang w:bidi="ar-EG"/>
        </w:rPr>
        <w:tab/>
        <w:t>وفيما يتعلق بالأمومة، تجدر الإشارة أيضا إلى أن القانون 11108 المؤرخ 7 نيسان/ أبريل 2005، الذي عدّل القانون 8080 المؤرخ 19 أيلول/سبتمبر 1990، يكفل للحامل الحق في الرفقة أثناء المخاض والولادة وبعد الولادة مباشرة، بموجب النظام الصحي الموحد.</w:t>
      </w:r>
    </w:p>
    <w:p w:rsidR="00181CD3" w:rsidRPr="00181CD3" w:rsidRDefault="00181CD3" w:rsidP="00181CD3">
      <w:pPr>
        <w:pStyle w:val="SingleTxt"/>
        <w:spacing w:after="0" w:line="120" w:lineRule="exact"/>
        <w:rPr>
          <w:rFonts w:hint="cs"/>
          <w:b/>
          <w:bCs/>
          <w:i/>
          <w:iCs/>
          <w:sz w:val="10"/>
          <w:rtl/>
        </w:rPr>
      </w:pPr>
    </w:p>
    <w:p w:rsidR="002E69CA" w:rsidRPr="0099017D" w:rsidRDefault="002E69CA" w:rsidP="002E69CA">
      <w:pPr>
        <w:pStyle w:val="SingleTxt"/>
        <w:rPr>
          <w:b/>
          <w:bCs/>
          <w:rtl/>
        </w:rPr>
      </w:pPr>
      <w:r w:rsidRPr="0099017D">
        <w:rPr>
          <w:rFonts w:hint="cs"/>
          <w:b/>
          <w:bCs/>
          <w:rtl/>
        </w:rPr>
        <w:t xml:space="preserve">2 </w:t>
      </w:r>
      <w:r w:rsidRPr="0099017D">
        <w:rPr>
          <w:b/>
          <w:bCs/>
          <w:rtl/>
        </w:rPr>
        <w:t>-</w:t>
      </w:r>
      <w:r w:rsidRPr="0099017D">
        <w:rPr>
          <w:rFonts w:hint="cs"/>
          <w:b/>
          <w:bCs/>
          <w:rtl/>
        </w:rPr>
        <w:tab/>
      </w:r>
      <w:r w:rsidRPr="0099017D">
        <w:rPr>
          <w:b/>
          <w:bCs/>
          <w:rtl/>
        </w:rPr>
        <w:t>ويشير التقرير</w:t>
      </w:r>
      <w:r w:rsidRPr="0099017D">
        <w:rPr>
          <w:rFonts w:hint="cs"/>
          <w:b/>
          <w:bCs/>
          <w:rtl/>
        </w:rPr>
        <w:t xml:space="preserve"> (صفحة 15)</w:t>
      </w:r>
      <w:r w:rsidRPr="0099017D">
        <w:rPr>
          <w:b/>
          <w:bCs/>
          <w:rtl/>
        </w:rPr>
        <w:t xml:space="preserve"> إلى أن </w:t>
      </w:r>
      <w:r w:rsidRPr="0099017D">
        <w:rPr>
          <w:rFonts w:hint="cs"/>
          <w:b/>
          <w:bCs/>
          <w:rtl/>
        </w:rPr>
        <w:t>”</w:t>
      </w:r>
      <w:r w:rsidRPr="0099017D">
        <w:rPr>
          <w:b/>
          <w:bCs/>
          <w:rtl/>
        </w:rPr>
        <w:t>ثمة حاليا مجالس معنية بحقوق المرأة على صعيد الولايات في 23</w:t>
      </w:r>
      <w:r w:rsidRPr="0099017D">
        <w:rPr>
          <w:rFonts w:hint="cs"/>
          <w:b/>
          <w:bCs/>
          <w:rtl/>
        </w:rPr>
        <w:t> </w:t>
      </w:r>
      <w:r w:rsidRPr="0099017D">
        <w:rPr>
          <w:b/>
          <w:bCs/>
          <w:rtl/>
        </w:rPr>
        <w:t>ولاية من الولايات الاتحادية الـ 27</w:t>
      </w:r>
      <w:r w:rsidRPr="0099017D">
        <w:rPr>
          <w:rFonts w:hint="cs"/>
          <w:b/>
          <w:bCs/>
          <w:rtl/>
          <w:lang w:bidi="ar-EG"/>
        </w:rPr>
        <w:t xml:space="preserve"> ...</w:t>
      </w:r>
      <w:r w:rsidRPr="0099017D">
        <w:rPr>
          <w:rFonts w:hint="eastAsia"/>
          <w:b/>
          <w:bCs/>
          <w:rtl/>
          <w:lang w:bidi="ar-EG"/>
        </w:rPr>
        <w:t>“</w:t>
      </w:r>
      <w:r w:rsidRPr="0099017D">
        <w:rPr>
          <w:b/>
          <w:bCs/>
          <w:rtl/>
        </w:rPr>
        <w:t>.</w:t>
      </w:r>
      <w:r w:rsidRPr="0099017D">
        <w:rPr>
          <w:b/>
          <w:bCs/>
        </w:rPr>
        <w:t xml:space="preserve"> </w:t>
      </w:r>
      <w:r w:rsidRPr="0099017D">
        <w:rPr>
          <w:b/>
          <w:bCs/>
          <w:rtl/>
        </w:rPr>
        <w:t>يرجى تقديم معلومات عن الموارد المالية والبشرية المتاحة لتلك المجالس وعما إذا كان ثمة خطط لإنشاء مثلها في الأربع ولايات التي لا توجد بها مجالس.</w:t>
      </w:r>
      <w:r w:rsidRPr="0099017D">
        <w:rPr>
          <w:b/>
          <w:bCs/>
        </w:rPr>
        <w:t xml:space="preserve"> </w:t>
      </w:r>
      <w:r w:rsidRPr="0099017D">
        <w:rPr>
          <w:b/>
          <w:bCs/>
          <w:rtl/>
        </w:rPr>
        <w:t xml:space="preserve">ويرجى أيضا زيادة </w:t>
      </w:r>
      <w:r w:rsidRPr="0099017D">
        <w:rPr>
          <w:rFonts w:hint="cs"/>
          <w:b/>
          <w:bCs/>
          <w:rtl/>
        </w:rPr>
        <w:t>التوسع في وصف</w:t>
      </w:r>
      <w:r w:rsidRPr="0099017D">
        <w:rPr>
          <w:b/>
          <w:bCs/>
          <w:rtl/>
        </w:rPr>
        <w:t xml:space="preserve"> العلاقة بين المجلس الوطني لحقوق المرأة ومجالس الولايات المعنية بحقوق المرأة، وبالتحديد الجانب المتعلق بمسؤوليتها المشتركة في رصد تنفيذ اتفاقية القضاء على جميع أشكال التمييز ضد المرأة</w:t>
      </w:r>
      <w:r w:rsidRPr="0099017D">
        <w:rPr>
          <w:rFonts w:hint="cs"/>
          <w:b/>
          <w:bCs/>
          <w:rtl/>
        </w:rPr>
        <w:t xml:space="preserve"> (صفحة 14)</w:t>
      </w:r>
      <w:r w:rsidRPr="0099017D">
        <w:rPr>
          <w:b/>
          <w:bCs/>
          <w:rtl/>
        </w:rPr>
        <w:t>.</w:t>
      </w:r>
    </w:p>
    <w:p w:rsidR="002E69CA" w:rsidRDefault="002E69CA" w:rsidP="002E69CA">
      <w:pPr>
        <w:pStyle w:val="SingleTxt"/>
        <w:rPr>
          <w:rFonts w:hint="cs"/>
          <w:rtl/>
        </w:rPr>
      </w:pPr>
      <w:r>
        <w:rPr>
          <w:rFonts w:hint="cs"/>
          <w:rtl/>
        </w:rPr>
        <w:tab/>
        <w:t>ويعمل المجلس الوطني لحقوق المرأة أيضا على تدعيم المجالس المعنية بحقوق المرأة على صعيدي الولايات والبلديات، بالإضافة إلى خصائصه المميزة. وحرصا على تحقيق هذا الهدف، يواصل المجلس صلاته بالمجالس الموجودة ويحيطها علما بأنشطته ويلبي طلباتها ويحتفظ بسجل للبيانات المجمعة. وفي عام 2003 كان هناك 90 مجلس بلديا و 20 مجلسا للولايات</w:t>
      </w:r>
      <w:r w:rsidR="00E12A00">
        <w:rPr>
          <w:rFonts w:hint="cs"/>
          <w:rtl/>
        </w:rPr>
        <w:t>.</w:t>
      </w:r>
      <w:r>
        <w:rPr>
          <w:rFonts w:hint="cs"/>
          <w:rtl/>
        </w:rPr>
        <w:t xml:space="preserve"> وتشير سجلات المجلس إلى أنه يوجد الآن 204 من المجالس: 24 مجلسا حكوميا (بما في ذلك مجلس ولاية أمازوناس لحقوق المرأة الذي أنشئ مؤخرا)، وسيجري في وقت قريب إنشاء مجالس في ولايات برنامبوكو وروندونيا وسرغيبي و 180 مجلسا بلديا (وهذه لا تتضمن إلا</w:t>
      </w:r>
      <w:r>
        <w:rPr>
          <w:rFonts w:hint="eastAsia"/>
          <w:rtl/>
        </w:rPr>
        <w:t> </w:t>
      </w:r>
      <w:r>
        <w:rPr>
          <w:rFonts w:hint="cs"/>
          <w:rtl/>
        </w:rPr>
        <w:t>المجالس البلدية التي جرى تحديد موقعها والاتصال بها).</w:t>
      </w:r>
    </w:p>
    <w:p w:rsidR="002E69CA" w:rsidRDefault="002E69CA" w:rsidP="00E12A00">
      <w:pPr>
        <w:pStyle w:val="SingleTxt"/>
        <w:spacing w:after="100"/>
        <w:rPr>
          <w:rFonts w:hint="cs"/>
          <w:rtl/>
        </w:rPr>
      </w:pPr>
      <w:r>
        <w:rPr>
          <w:rFonts w:hint="cs"/>
          <w:rtl/>
        </w:rPr>
        <w:tab/>
        <w:t xml:space="preserve">ويسعى المجلس أيضا إلى التشجيع على إنشاء مجالس عن طريق مواصلة الاتصال بالحركات النسائية المحلية والتشجيع على تدريب أعضاء المجلس. وفي آذار/مارس 2006 عقد المجلس والأمانة الخاصة لسياسات المرأة، بالشراكة مع المجلس الصحي الوطني ووزارة الصحة حلقة دراسية عن </w:t>
      </w:r>
      <w:r>
        <w:rPr>
          <w:rFonts w:hint="eastAsia"/>
          <w:rtl/>
        </w:rPr>
        <w:t>”الرقابة الاجتماعية لسياسات صحة المرأة</w:t>
      </w:r>
      <w:r>
        <w:rPr>
          <w:rFonts w:hint="cs"/>
          <w:rtl/>
        </w:rPr>
        <w:t xml:space="preserve">“ عندما اجتمعت في برازيليا المجالس البلدية المعنية بصحة المرأة وحقوقها على صعيدي الولايات والعاصمة. </w:t>
      </w:r>
      <w:r w:rsidR="001B75F7">
        <w:rPr>
          <w:rFonts w:hint="cs"/>
          <w:rtl/>
        </w:rPr>
        <w:t>ودعت نتائج الحلقة الدراسية إلى تدعيم المجالس الموجودة وإيجاد حوافز لإنشاء مجالس في الأماكن الخالية منها وعقد حلقات دراسية في الولايات. وفي عام 2006 عقدت حلقات دراسية للرقابة الاجتماعية على نفس النمط في العديد من الولايات وبواسطة المجالس المحلية لحقوق المرأة.</w:t>
      </w:r>
    </w:p>
    <w:p w:rsidR="001B75F7" w:rsidRDefault="001B75F7" w:rsidP="00855776">
      <w:pPr>
        <w:pStyle w:val="SingleTxt"/>
        <w:spacing w:after="100"/>
        <w:rPr>
          <w:rFonts w:hint="cs"/>
          <w:rtl/>
          <w:lang w:bidi="ar-EG"/>
        </w:rPr>
      </w:pPr>
      <w:r>
        <w:rPr>
          <w:rFonts w:hint="cs"/>
          <w:rtl/>
        </w:rPr>
        <w:tab/>
        <w:t xml:space="preserve">وفيما يتعلق بالموارد المالية والبشرية لمجالس الولايات، توجد لدينا المعلومات الحديثة التالية: </w:t>
      </w:r>
      <w:r w:rsidR="00E12A00">
        <w:rPr>
          <w:rFonts w:hint="cs"/>
          <w:rtl/>
        </w:rPr>
        <w:t>إ</w:t>
      </w:r>
      <w:r w:rsidRPr="001B75F7">
        <w:rPr>
          <w:rFonts w:hint="cs"/>
          <w:i/>
          <w:iCs/>
          <w:rtl/>
        </w:rPr>
        <w:t>يكر</w:t>
      </w:r>
      <w:r>
        <w:rPr>
          <w:rFonts w:hint="cs"/>
          <w:rtl/>
        </w:rPr>
        <w:t xml:space="preserve"> - وتقع في نطاق حكومة الولاية، وليس لديها ميزانية خاصة بها، ويوجد بها ثلاثة من موظفي الولاية؛ </w:t>
      </w:r>
      <w:r w:rsidRPr="001B75F7">
        <w:rPr>
          <w:rFonts w:hint="cs"/>
          <w:i/>
          <w:iCs/>
          <w:rtl/>
        </w:rPr>
        <w:t>وأمازوناس</w:t>
      </w:r>
      <w:r>
        <w:rPr>
          <w:rFonts w:hint="cs"/>
          <w:rtl/>
        </w:rPr>
        <w:t xml:space="preserve"> - وتقع في نطاق وزارة العدل وحقوق الإنسان، وتدخل في ميزانيتها، ويوجد بها اثنان من موظفي الوزارة؛ </w:t>
      </w:r>
      <w:r w:rsidRPr="001B75F7">
        <w:rPr>
          <w:rFonts w:hint="cs"/>
          <w:i/>
          <w:iCs/>
          <w:rtl/>
        </w:rPr>
        <w:t>وباهيا</w:t>
      </w:r>
      <w:r>
        <w:rPr>
          <w:rFonts w:hint="cs"/>
          <w:rtl/>
        </w:rPr>
        <w:t xml:space="preserve"> - وتقع في نطاق الإدارة التي أنشئت مؤخرا لتعزيز المساواة، وتدخل في ميزانيتها، ويوجد بها موظف من موظفي الإدارة؛ </w:t>
      </w:r>
      <w:r w:rsidRPr="001B75F7">
        <w:rPr>
          <w:rFonts w:hint="cs"/>
          <w:i/>
          <w:iCs/>
          <w:rtl/>
        </w:rPr>
        <w:t>وماتو غروسو دو سول</w:t>
      </w:r>
      <w:r>
        <w:rPr>
          <w:rFonts w:hint="cs"/>
          <w:rtl/>
        </w:rPr>
        <w:t xml:space="preserve"> - وتقع في نطاق وزارة العمل والرفاه الاجتماعي والاقتصاد الموطد، وليست لها ميزانية (تمول المبادرات عن طريق الأعضاء غير الحكوميين بالمجلس) ويوجد بها موظف من موظفي الوزارة؛ </w:t>
      </w:r>
      <w:r w:rsidRPr="001B75F7">
        <w:rPr>
          <w:rFonts w:hint="cs"/>
          <w:i/>
          <w:iCs/>
          <w:rtl/>
        </w:rPr>
        <w:t>وميناس غيراس</w:t>
      </w:r>
      <w:r>
        <w:rPr>
          <w:rFonts w:hint="cs"/>
          <w:rtl/>
        </w:rPr>
        <w:t xml:space="preserve"> - وتقع في نطاق إدارة التنمية الاجتماعية، وليست لها ميزانية خاصة بها ويوجد بها ثمانية من الموظفين المنتدبين من الإدارة؛ </w:t>
      </w:r>
      <w:r>
        <w:rPr>
          <w:rFonts w:hint="cs"/>
          <w:i/>
          <w:iCs/>
          <w:rtl/>
        </w:rPr>
        <w:t>وبارانا</w:t>
      </w:r>
      <w:r>
        <w:rPr>
          <w:rFonts w:hint="cs"/>
          <w:rtl/>
        </w:rPr>
        <w:t xml:space="preserve"> - وتقع في نطاق وزارة العدل والمواطنة، وليس لها ميزانية ولا موظفون (يؤدي العمل أعضاء المجلس أنفسهم)؛ </w:t>
      </w:r>
      <w:r>
        <w:rPr>
          <w:rFonts w:hint="cs"/>
          <w:i/>
          <w:iCs/>
          <w:rtl/>
        </w:rPr>
        <w:t>وريو دي جانيرو</w:t>
      </w:r>
      <w:r>
        <w:rPr>
          <w:rFonts w:hint="cs"/>
          <w:rtl/>
        </w:rPr>
        <w:t xml:space="preserve"> - وتقع في نطاق مراقبة حقوق المرأة التي أنشئت مؤخرا والتي ت</w:t>
      </w:r>
      <w:r w:rsidR="00855776">
        <w:rPr>
          <w:rFonts w:hint="cs"/>
          <w:rtl/>
        </w:rPr>
        <w:t xml:space="preserve">تبع </w:t>
      </w:r>
      <w:r>
        <w:rPr>
          <w:rFonts w:hint="cs"/>
          <w:rtl/>
        </w:rPr>
        <w:t>وزارة الرفاه الاجتماعي وحقوق الإنسان، وتبلغ ميزانية عام 2007 لتمويل هذه المراقبة وأنشطة المجلس 000 641 ريال</w:t>
      </w:r>
      <w:r w:rsidR="00855776">
        <w:rPr>
          <w:rFonts w:hint="cs"/>
          <w:rtl/>
        </w:rPr>
        <w:t xml:space="preserve"> برازيلي</w:t>
      </w:r>
      <w:r>
        <w:rPr>
          <w:rFonts w:hint="cs"/>
          <w:rtl/>
        </w:rPr>
        <w:t xml:space="preserve">، </w:t>
      </w:r>
      <w:r w:rsidR="0008246B">
        <w:rPr>
          <w:rFonts w:hint="cs"/>
          <w:rtl/>
          <w:lang w:bidi="ar-EG"/>
        </w:rPr>
        <w:t xml:space="preserve">ويعمل موظفو المراقبة لدى المجلس أيضا،؛ </w:t>
      </w:r>
      <w:r w:rsidR="0008246B" w:rsidRPr="0008246B">
        <w:rPr>
          <w:rFonts w:hint="cs"/>
          <w:i/>
          <w:iCs/>
          <w:rtl/>
          <w:lang w:bidi="ar-EG"/>
        </w:rPr>
        <w:t>وريو غراندي دو سول</w:t>
      </w:r>
      <w:r w:rsidR="0008246B">
        <w:rPr>
          <w:rFonts w:hint="cs"/>
          <w:rtl/>
          <w:lang w:bidi="ar-EG"/>
        </w:rPr>
        <w:t xml:space="preserve"> - وتمولها وزارة المالية ويوجد بها موظف؛ </w:t>
      </w:r>
      <w:r w:rsidR="0008246B">
        <w:rPr>
          <w:rFonts w:hint="cs"/>
          <w:i/>
          <w:iCs/>
          <w:rtl/>
          <w:lang w:bidi="ar-EG"/>
        </w:rPr>
        <w:t>وسانتا كاترينا</w:t>
      </w:r>
      <w:r w:rsidR="0008246B">
        <w:rPr>
          <w:rFonts w:hint="cs"/>
          <w:rtl/>
          <w:lang w:bidi="ar-EG"/>
        </w:rPr>
        <w:t xml:space="preserve"> - وتقع في نطاق وزارة التنمية الاجتماعية والعمل والدخل، التي تقدم الدعم المالي والإداري إلى المجلس؛ </w:t>
      </w:r>
      <w:r w:rsidR="0008246B">
        <w:rPr>
          <w:rFonts w:hint="cs"/>
          <w:i/>
          <w:iCs/>
          <w:rtl/>
          <w:lang w:bidi="ar-EG"/>
        </w:rPr>
        <w:t>وتوكانتينس</w:t>
      </w:r>
      <w:r w:rsidR="0008246B">
        <w:rPr>
          <w:rFonts w:hint="cs"/>
          <w:rtl/>
          <w:lang w:bidi="ar-EG"/>
        </w:rPr>
        <w:t xml:space="preserve"> - وتقع في نطاق وزارة المواطنة والعدل، ويمولها صندوق الولاية لحقوق المرأة وتبلغ ميزانيته 000 50 ريال</w:t>
      </w:r>
      <w:r w:rsidR="00855776">
        <w:rPr>
          <w:rFonts w:hint="cs"/>
          <w:rtl/>
          <w:lang w:bidi="ar-EG"/>
        </w:rPr>
        <w:t xml:space="preserve"> برازيلي</w:t>
      </w:r>
      <w:r w:rsidR="0008246B">
        <w:rPr>
          <w:rFonts w:hint="cs"/>
          <w:rtl/>
          <w:lang w:bidi="ar-EG"/>
        </w:rPr>
        <w:t xml:space="preserve">، ويوجد بها موظفان من الوزارة؛ </w:t>
      </w:r>
      <w:r w:rsidR="0008246B" w:rsidRPr="0008246B">
        <w:rPr>
          <w:rFonts w:hint="cs"/>
          <w:i/>
          <w:iCs/>
          <w:rtl/>
          <w:lang w:bidi="ar-EG"/>
        </w:rPr>
        <w:t>وساو باولو</w:t>
      </w:r>
      <w:r w:rsidR="0008246B">
        <w:rPr>
          <w:rFonts w:hint="cs"/>
          <w:rtl/>
          <w:lang w:bidi="ar-EG"/>
        </w:rPr>
        <w:t xml:space="preserve"> - ولدى مجلس ولاية ساو باولو المعني بظروف المرأة ميزانيته ورئيس وموظف وستة أفراد تحت التدريب.</w:t>
      </w:r>
    </w:p>
    <w:p w:rsidR="0008246B" w:rsidRDefault="0008246B" w:rsidP="0065740E">
      <w:pPr>
        <w:pStyle w:val="SingleTxt"/>
        <w:spacing w:after="100"/>
        <w:rPr>
          <w:rFonts w:hint="cs"/>
          <w:rtl/>
          <w:lang w:bidi="ar-EG"/>
        </w:rPr>
      </w:pPr>
      <w:r>
        <w:rPr>
          <w:rFonts w:hint="cs"/>
          <w:rtl/>
          <w:lang w:bidi="ar-EG"/>
        </w:rPr>
        <w:tab/>
        <w:t xml:space="preserve">ومن الملاحظ </w:t>
      </w:r>
      <w:r w:rsidR="00D67682">
        <w:rPr>
          <w:rFonts w:hint="cs"/>
          <w:rtl/>
          <w:lang w:bidi="ar-EG"/>
        </w:rPr>
        <w:t>أن</w:t>
      </w:r>
      <w:r>
        <w:rPr>
          <w:rFonts w:hint="cs"/>
          <w:rtl/>
          <w:lang w:bidi="ar-EG"/>
        </w:rPr>
        <w:t xml:space="preserve"> مجالس الولايات تفتقر إلى الهيكلة الواجبة، كما </w:t>
      </w:r>
      <w:r w:rsidR="00D67682">
        <w:rPr>
          <w:rFonts w:hint="cs"/>
          <w:rtl/>
          <w:lang w:bidi="ar-EG"/>
        </w:rPr>
        <w:t>أن</w:t>
      </w:r>
      <w:r>
        <w:rPr>
          <w:rFonts w:hint="cs"/>
          <w:rtl/>
          <w:lang w:bidi="ar-EG"/>
        </w:rPr>
        <w:t xml:space="preserve"> مواردها ضئيلة ولديها عدد محدود من الموظفين، مع استثناءات نادرة.</w:t>
      </w:r>
    </w:p>
    <w:p w:rsidR="0008246B" w:rsidRDefault="0008246B" w:rsidP="001D60B1">
      <w:pPr>
        <w:pStyle w:val="SingleTxt"/>
        <w:spacing w:after="100"/>
        <w:rPr>
          <w:rFonts w:hint="cs"/>
          <w:rtl/>
          <w:lang w:bidi="ar-EG"/>
        </w:rPr>
      </w:pPr>
      <w:r>
        <w:rPr>
          <w:rFonts w:hint="cs"/>
          <w:rtl/>
          <w:lang w:bidi="ar-EG"/>
        </w:rPr>
        <w:tab/>
        <w:t>ويجدر بنا أ</w:t>
      </w:r>
      <w:r w:rsidR="00181CD3">
        <w:rPr>
          <w:rFonts w:hint="cs"/>
          <w:rtl/>
          <w:lang w:bidi="ar-EG"/>
        </w:rPr>
        <w:t>ن</w:t>
      </w:r>
      <w:r>
        <w:rPr>
          <w:rFonts w:hint="cs"/>
          <w:rtl/>
          <w:lang w:bidi="ar-EG"/>
        </w:rPr>
        <w:t xml:space="preserve"> نضيف أنه فضلا عن إبقاء الأمانة الخاصة لسياسات المرأة على صلتها بمجالس الولايات والبلديات، فهي تسعى إلى المحافظة على</w:t>
      </w:r>
      <w:r w:rsidR="00855776">
        <w:rPr>
          <w:rFonts w:hint="cs"/>
          <w:rtl/>
          <w:lang w:bidi="ar-EG"/>
        </w:rPr>
        <w:t xml:space="preserve"> علاقتها</w:t>
      </w:r>
      <w:r>
        <w:rPr>
          <w:rFonts w:hint="cs"/>
          <w:rtl/>
          <w:lang w:bidi="ar-EG"/>
        </w:rPr>
        <w:t xml:space="preserve"> بهيئات ال</w:t>
      </w:r>
      <w:r w:rsidR="00855776">
        <w:rPr>
          <w:rFonts w:hint="cs"/>
          <w:rtl/>
          <w:lang w:bidi="ar-EG"/>
        </w:rPr>
        <w:t xml:space="preserve">ولايات </w:t>
      </w:r>
      <w:r>
        <w:rPr>
          <w:rFonts w:hint="cs"/>
          <w:rtl/>
          <w:lang w:bidi="ar-EG"/>
        </w:rPr>
        <w:t>والبلدي</w:t>
      </w:r>
      <w:r w:rsidR="00855776">
        <w:rPr>
          <w:rFonts w:hint="cs"/>
          <w:rtl/>
          <w:lang w:bidi="ar-EG"/>
        </w:rPr>
        <w:t>ات</w:t>
      </w:r>
      <w:r>
        <w:rPr>
          <w:rFonts w:hint="cs"/>
          <w:rtl/>
          <w:lang w:bidi="ar-EG"/>
        </w:rPr>
        <w:t xml:space="preserve"> المكرسة لسياسات المرأة وإقامة شراكات معها. ونتيجة لذلك، اجتمعت عام 2004 المجالس الـ 13 التي كانت موجودة آنذاك وقررت إقامة محفل حكومي وطني بشأن منظمات سياسات المرأة.</w:t>
      </w:r>
    </w:p>
    <w:p w:rsidR="0008246B" w:rsidRDefault="0008246B" w:rsidP="00855776">
      <w:pPr>
        <w:pStyle w:val="SingleTxt"/>
        <w:rPr>
          <w:rFonts w:hint="cs"/>
          <w:rtl/>
          <w:lang w:bidi="ar-EG"/>
        </w:rPr>
      </w:pPr>
      <w:r>
        <w:rPr>
          <w:rFonts w:hint="cs"/>
          <w:rtl/>
          <w:lang w:bidi="ar-EG"/>
        </w:rPr>
        <w:tab/>
        <w:t xml:space="preserve">وبفضل التشجيع والدعم اللذين تقدمهما الأمانة الخاصة لسياسات المرأة من أجل إنشاء أنظمة حكومية لسياسات المرأة والإدارات البلدية الجديدة، ارتفع عدد الأنظمة الموجودة ارتفاعا كبيرا. وقفر عددها من 13 عام 2004 (وفقا لدراسة استقصائية اضطلع بها المعهد البرازيلي للإدارة البلدية) إلى 125 عام 2006، بما في ذلك تسعة مجالس </w:t>
      </w:r>
      <w:r w:rsidR="00855776">
        <w:rPr>
          <w:rFonts w:hint="cs"/>
          <w:rtl/>
          <w:lang w:bidi="ar-EG"/>
        </w:rPr>
        <w:t xml:space="preserve">للولايات </w:t>
      </w:r>
      <w:r>
        <w:rPr>
          <w:rFonts w:hint="cs"/>
          <w:rtl/>
          <w:lang w:bidi="ar-EG"/>
        </w:rPr>
        <w:t>و 116 مجلسا بلديا.</w:t>
      </w:r>
    </w:p>
    <w:p w:rsidR="00181CD3" w:rsidRPr="00181CD3" w:rsidRDefault="00181CD3" w:rsidP="00181CD3">
      <w:pPr>
        <w:pStyle w:val="SingleTxt"/>
        <w:spacing w:after="0" w:line="120" w:lineRule="exact"/>
        <w:rPr>
          <w:rFonts w:hint="cs"/>
          <w:sz w:val="10"/>
          <w:rtl/>
          <w:lang w:bidi="ar-EG"/>
        </w:rPr>
      </w:pPr>
    </w:p>
    <w:p w:rsidR="00181CD3" w:rsidRPr="005E297F" w:rsidRDefault="00181CD3" w:rsidP="00181CD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E297F">
        <w:tab/>
      </w:r>
      <w:r w:rsidRPr="005E297F">
        <w:tab/>
      </w:r>
      <w:r w:rsidRPr="005E297F">
        <w:rPr>
          <w:rtl/>
        </w:rPr>
        <w:t>القوالب النمطية</w:t>
      </w:r>
    </w:p>
    <w:p w:rsidR="00181CD3" w:rsidRPr="0099017D" w:rsidRDefault="00181CD3" w:rsidP="00181CD3">
      <w:pPr>
        <w:pStyle w:val="SingleTxt"/>
        <w:rPr>
          <w:b/>
          <w:bCs/>
          <w:rtl/>
        </w:rPr>
      </w:pPr>
      <w:r w:rsidRPr="0099017D">
        <w:rPr>
          <w:rFonts w:hint="cs"/>
          <w:b/>
          <w:bCs/>
          <w:rtl/>
        </w:rPr>
        <w:t xml:space="preserve">3 </w:t>
      </w:r>
      <w:r w:rsidRPr="0099017D">
        <w:rPr>
          <w:b/>
          <w:bCs/>
          <w:rtl/>
        </w:rPr>
        <w:t>-</w:t>
      </w:r>
      <w:r w:rsidRPr="0099017D">
        <w:rPr>
          <w:rFonts w:hint="cs"/>
          <w:b/>
          <w:bCs/>
          <w:rtl/>
        </w:rPr>
        <w:tab/>
      </w:r>
      <w:r w:rsidRPr="0099017D">
        <w:rPr>
          <w:b/>
          <w:bCs/>
          <w:rtl/>
        </w:rPr>
        <w:t>ورد في التقرير</w:t>
      </w:r>
      <w:r w:rsidRPr="0099017D">
        <w:rPr>
          <w:rFonts w:hint="cs"/>
          <w:b/>
          <w:bCs/>
          <w:rtl/>
        </w:rPr>
        <w:t xml:space="preserve"> (صفحة 25)</w:t>
      </w:r>
      <w:r w:rsidRPr="0099017D">
        <w:rPr>
          <w:b/>
          <w:bCs/>
          <w:rtl/>
        </w:rPr>
        <w:t xml:space="preserve"> أن </w:t>
      </w:r>
      <w:r w:rsidRPr="0099017D">
        <w:rPr>
          <w:rFonts w:hint="cs"/>
          <w:b/>
          <w:bCs/>
          <w:rtl/>
        </w:rPr>
        <w:t>”</w:t>
      </w:r>
      <w:r w:rsidRPr="0099017D">
        <w:rPr>
          <w:b/>
          <w:bCs/>
          <w:rtl/>
        </w:rPr>
        <w:t>مبدأي احترام التنوع الجنساني ومكافحة التمييز ضد المرأة هما</w:t>
      </w:r>
      <w:r w:rsidRPr="0099017D">
        <w:rPr>
          <w:rFonts w:hint="cs"/>
          <w:b/>
          <w:bCs/>
          <w:rtl/>
        </w:rPr>
        <w:t> </w:t>
      </w:r>
      <w:r w:rsidRPr="0099017D">
        <w:rPr>
          <w:b/>
          <w:bCs/>
          <w:rtl/>
        </w:rPr>
        <w:t xml:space="preserve">أساس الخطة </w:t>
      </w:r>
      <w:r w:rsidRPr="0099017D">
        <w:rPr>
          <w:rFonts w:hint="cs"/>
          <w:b/>
          <w:bCs/>
          <w:rtl/>
        </w:rPr>
        <w:t>[</w:t>
      </w:r>
      <w:r w:rsidRPr="0099017D">
        <w:rPr>
          <w:b/>
          <w:bCs/>
          <w:rtl/>
        </w:rPr>
        <w:t>الوطنية</w:t>
      </w:r>
      <w:r w:rsidRPr="0099017D">
        <w:rPr>
          <w:rFonts w:hint="cs"/>
          <w:b/>
          <w:bCs/>
          <w:rtl/>
        </w:rPr>
        <w:t>]</w:t>
      </w:r>
      <w:r w:rsidRPr="0099017D">
        <w:rPr>
          <w:b/>
          <w:bCs/>
          <w:rtl/>
        </w:rPr>
        <w:t xml:space="preserve"> </w:t>
      </w:r>
      <w:r w:rsidRPr="0099017D">
        <w:rPr>
          <w:rFonts w:hint="cs"/>
          <w:b/>
          <w:bCs/>
          <w:rtl/>
        </w:rPr>
        <w:t>[</w:t>
      </w:r>
      <w:r w:rsidRPr="0099017D">
        <w:rPr>
          <w:b/>
          <w:bCs/>
          <w:rtl/>
        </w:rPr>
        <w:t>للتثقيف في مجال حقوق الإنسان</w:t>
      </w:r>
      <w:r w:rsidRPr="0099017D">
        <w:rPr>
          <w:rFonts w:hint="cs"/>
          <w:b/>
          <w:bCs/>
          <w:rtl/>
        </w:rPr>
        <w:t>]</w:t>
      </w:r>
      <w:r w:rsidRPr="0099017D">
        <w:rPr>
          <w:rFonts w:hint="eastAsia"/>
          <w:b/>
          <w:bCs/>
          <w:rtl/>
        </w:rPr>
        <w:t>“</w:t>
      </w:r>
      <w:r w:rsidRPr="0099017D">
        <w:rPr>
          <w:b/>
          <w:bCs/>
          <w:rtl/>
        </w:rPr>
        <w:t xml:space="preserve">، وأن </w:t>
      </w:r>
      <w:r w:rsidRPr="0099017D">
        <w:rPr>
          <w:rFonts w:hint="cs"/>
          <w:b/>
          <w:bCs/>
          <w:rtl/>
        </w:rPr>
        <w:t>”</w:t>
      </w:r>
      <w:r w:rsidRPr="0099017D">
        <w:rPr>
          <w:b/>
          <w:bCs/>
          <w:rtl/>
        </w:rPr>
        <w:t>ا</w:t>
      </w:r>
      <w:r w:rsidRPr="0099017D">
        <w:rPr>
          <w:rFonts w:hint="cs"/>
          <w:b/>
          <w:bCs/>
          <w:rtl/>
        </w:rPr>
        <w:t>لجهات الفاعلة</w:t>
      </w:r>
      <w:r w:rsidRPr="0099017D">
        <w:rPr>
          <w:b/>
          <w:bCs/>
          <w:rtl/>
        </w:rPr>
        <w:t xml:space="preserve"> </w:t>
      </w:r>
      <w:r w:rsidRPr="0099017D">
        <w:rPr>
          <w:rFonts w:hint="cs"/>
          <w:b/>
          <w:bCs/>
          <w:rtl/>
        </w:rPr>
        <w:t xml:space="preserve">الرئيسية </w:t>
      </w:r>
      <w:r w:rsidRPr="0099017D">
        <w:rPr>
          <w:b/>
          <w:bCs/>
          <w:rtl/>
        </w:rPr>
        <w:t>في تنفيذ الخطة ست</w:t>
      </w:r>
      <w:r w:rsidRPr="0099017D">
        <w:rPr>
          <w:rFonts w:hint="cs"/>
          <w:b/>
          <w:bCs/>
          <w:rtl/>
        </w:rPr>
        <w:t>ُ</w:t>
      </w:r>
      <w:r w:rsidRPr="0099017D">
        <w:rPr>
          <w:b/>
          <w:bCs/>
          <w:rtl/>
        </w:rPr>
        <w:t xml:space="preserve">دعى </w:t>
      </w:r>
      <w:r w:rsidRPr="0099017D">
        <w:rPr>
          <w:rFonts w:hint="cs"/>
          <w:b/>
          <w:bCs/>
          <w:rtl/>
        </w:rPr>
        <w:t>[</w:t>
      </w:r>
      <w:r w:rsidRPr="0099017D">
        <w:rPr>
          <w:b/>
          <w:bCs/>
          <w:rtl/>
        </w:rPr>
        <w:t xml:space="preserve">إلى </w:t>
      </w:r>
      <w:r w:rsidRPr="0099017D">
        <w:rPr>
          <w:rFonts w:hint="cs"/>
          <w:b/>
          <w:bCs/>
          <w:rtl/>
        </w:rPr>
        <w:t xml:space="preserve">حضور </w:t>
      </w:r>
      <w:r w:rsidRPr="0099017D">
        <w:rPr>
          <w:b/>
          <w:bCs/>
          <w:rtl/>
        </w:rPr>
        <w:t>اجتماعات في الفترة بين عامي 2005 و 2006 في جميع ولايات الاتحاد</w:t>
      </w:r>
      <w:r w:rsidRPr="0099017D">
        <w:rPr>
          <w:rFonts w:hint="cs"/>
          <w:b/>
          <w:bCs/>
          <w:rtl/>
        </w:rPr>
        <w:t>]</w:t>
      </w:r>
      <w:r w:rsidRPr="0099017D">
        <w:rPr>
          <w:b/>
          <w:bCs/>
          <w:rtl/>
        </w:rPr>
        <w:t xml:space="preserve">، ومن بين هذه </w:t>
      </w:r>
      <w:r w:rsidRPr="0099017D">
        <w:rPr>
          <w:rFonts w:hint="cs"/>
          <w:b/>
          <w:bCs/>
          <w:rtl/>
        </w:rPr>
        <w:t>الجهات القائمون بالتربية التابعون</w:t>
      </w:r>
      <w:r w:rsidRPr="0099017D">
        <w:rPr>
          <w:b/>
          <w:bCs/>
          <w:rtl/>
        </w:rPr>
        <w:t xml:space="preserve"> لشبكات الت</w:t>
      </w:r>
      <w:r w:rsidRPr="0099017D">
        <w:rPr>
          <w:rFonts w:hint="cs"/>
          <w:b/>
          <w:bCs/>
          <w:rtl/>
        </w:rPr>
        <w:t>ثقيف</w:t>
      </w:r>
      <w:r w:rsidRPr="0099017D">
        <w:rPr>
          <w:b/>
          <w:bCs/>
          <w:rtl/>
        </w:rPr>
        <w:t xml:space="preserve"> في الولايات والبلديات، والمسؤولون عن أكاديميات الشرطة المدنية والقوات العسكرية و</w:t>
      </w:r>
      <w:r w:rsidRPr="0099017D">
        <w:rPr>
          <w:rFonts w:hint="cs"/>
          <w:b/>
          <w:bCs/>
          <w:rtl/>
        </w:rPr>
        <w:t>رجال الإطفاء</w:t>
      </w:r>
      <w:r w:rsidRPr="0099017D">
        <w:rPr>
          <w:b/>
          <w:bCs/>
          <w:rtl/>
        </w:rPr>
        <w:t xml:space="preserve"> وحرس البلدي</w:t>
      </w:r>
      <w:r w:rsidRPr="0099017D">
        <w:rPr>
          <w:rFonts w:hint="cs"/>
          <w:b/>
          <w:bCs/>
          <w:rtl/>
        </w:rPr>
        <w:t>ات“</w:t>
      </w:r>
      <w:r w:rsidRPr="0099017D">
        <w:rPr>
          <w:b/>
          <w:bCs/>
          <w:rtl/>
        </w:rPr>
        <w:t>.</w:t>
      </w:r>
      <w:r w:rsidRPr="0099017D">
        <w:rPr>
          <w:b/>
          <w:bCs/>
        </w:rPr>
        <w:t xml:space="preserve"> </w:t>
      </w:r>
      <w:r w:rsidRPr="0099017D">
        <w:rPr>
          <w:b/>
          <w:bCs/>
          <w:rtl/>
        </w:rPr>
        <w:t>يرجى بيان عدد الاجتماعات السالفة الذكر التي عقدت في الفترة 2005-2006 وعدد الأشخاص المسؤولين عن تنفيذ الخطة الوطنية للتثقيف في مجال حقوق الإنسان الذين شاركوا فيها.</w:t>
      </w:r>
      <w:r w:rsidRPr="0099017D">
        <w:rPr>
          <w:b/>
          <w:bCs/>
        </w:rPr>
        <w:t xml:space="preserve"> </w:t>
      </w:r>
      <w:r w:rsidRPr="0099017D">
        <w:rPr>
          <w:b/>
          <w:bCs/>
          <w:rtl/>
        </w:rPr>
        <w:t xml:space="preserve">ويرجى أيضا ذكر المواضيع التي جرى تناولها في </w:t>
      </w:r>
      <w:r w:rsidRPr="0099017D">
        <w:rPr>
          <w:rFonts w:hint="cs"/>
          <w:b/>
          <w:bCs/>
          <w:rtl/>
        </w:rPr>
        <w:t>هذه</w:t>
      </w:r>
      <w:r w:rsidRPr="0099017D">
        <w:rPr>
          <w:b/>
          <w:bCs/>
          <w:rtl/>
        </w:rPr>
        <w:t xml:space="preserve"> الاجتماعات وبيان ما إذا كان ثمة رصد لأثر </w:t>
      </w:r>
      <w:r w:rsidRPr="0099017D">
        <w:rPr>
          <w:rFonts w:hint="cs"/>
          <w:b/>
          <w:bCs/>
          <w:rtl/>
        </w:rPr>
        <w:t>هذه</w:t>
      </w:r>
      <w:r w:rsidRPr="0099017D">
        <w:rPr>
          <w:b/>
          <w:bCs/>
          <w:rtl/>
        </w:rPr>
        <w:t xml:space="preserve"> الأنشطة بصورة دائمة وكيف </w:t>
      </w:r>
      <w:r w:rsidRPr="0099017D">
        <w:rPr>
          <w:rFonts w:hint="cs"/>
          <w:b/>
          <w:bCs/>
          <w:rtl/>
        </w:rPr>
        <w:t xml:space="preserve">يتم </w:t>
      </w:r>
      <w:r w:rsidRPr="0099017D">
        <w:rPr>
          <w:b/>
          <w:bCs/>
          <w:rtl/>
        </w:rPr>
        <w:t>القيام بهذا الرصد.</w:t>
      </w:r>
    </w:p>
    <w:p w:rsidR="0008246B" w:rsidRDefault="00181CD3" w:rsidP="002E69CA">
      <w:pPr>
        <w:pStyle w:val="SingleTxt"/>
        <w:rPr>
          <w:rFonts w:hint="cs"/>
          <w:rtl/>
        </w:rPr>
      </w:pPr>
      <w:r>
        <w:rPr>
          <w:rFonts w:hint="cs"/>
          <w:rtl/>
        </w:rPr>
        <w:tab/>
      </w:r>
      <w:r w:rsidR="0099017D">
        <w:rPr>
          <w:rFonts w:hint="cs"/>
          <w:rtl/>
        </w:rPr>
        <w:t xml:space="preserve">عقدت لقاءات في 29 ولاية وفي بلدية واحدة من أجل التشاور الوطني حول استعراض الخطة الوطنية للتثقيف في مجال حقوق الإنسان، وشاركت في هذه اللقاءات قطاعات من الجمهور والمجتمع المدني في المجالات الخمسة للخطة: التعليم الأساسي (الأمانات التعليمية، والإداريون، ومكاتب اتحاد مديري التعليم في البلديات، والقائمون بالتربية، والاتحادات، والرابطات)؛ والتعليم العالي (هيئة التدريس والطلبة، والباحثون، وهيئة تدريس التعليم المتصل، ومنتديات نواب الرؤساء، </w:t>
      </w:r>
      <w:r w:rsidR="00295B05">
        <w:rPr>
          <w:rFonts w:hint="cs"/>
          <w:rtl/>
        </w:rPr>
        <w:t xml:space="preserve">والاتحادات، ورابطات الكليات)؛ والتعليم غير النظامي (الرابطات، والمنظمات غير الحكومية، والحركات الاجتماعية، ونقابات العمال)؛ وتعليم المهنيين العاملين بالقضاء والأمن (الجنود، </w:t>
      </w:r>
      <w:r w:rsidR="004773DA">
        <w:rPr>
          <w:rFonts w:hint="cs"/>
          <w:rtl/>
        </w:rPr>
        <w:t>و</w:t>
      </w:r>
      <w:r w:rsidR="00295B05">
        <w:rPr>
          <w:rFonts w:hint="cs"/>
          <w:rtl/>
        </w:rPr>
        <w:t>ضباط الجيش والشرطة المدنية، وحرس الطرق الرئيسية، والمديرون التعليميون في الأكاديميات، ورعاة السجون، والكيانات والحركات الاجتماعية</w:t>
      </w:r>
      <w:r w:rsidR="004773DA">
        <w:rPr>
          <w:rFonts w:hint="cs"/>
          <w:rtl/>
        </w:rPr>
        <w:t>)</w:t>
      </w:r>
      <w:r w:rsidR="00295B05">
        <w:rPr>
          <w:rFonts w:hint="cs"/>
          <w:rtl/>
        </w:rPr>
        <w:t>، والتعليم ووسائط الإعلام (الاتحادات، هيئة تدريس وطلبة الإعلام، والمنظمات غير الحكومية الإعلامية)؛ فضلا عن لجان حقوق الإنسان بالمجالس والغرف، ومجالس الولايات المعنية بحقوق الإنسان، ومجالس الحقوق والوصاية.</w:t>
      </w:r>
    </w:p>
    <w:p w:rsidR="00295B05" w:rsidRDefault="00295B05" w:rsidP="002E69CA">
      <w:pPr>
        <w:pStyle w:val="SingleTxt"/>
        <w:rPr>
          <w:rFonts w:hint="cs"/>
          <w:rtl/>
        </w:rPr>
      </w:pPr>
      <w:r>
        <w:rPr>
          <w:rFonts w:hint="cs"/>
          <w:rtl/>
        </w:rPr>
        <w:tab/>
        <w:t>وفيما يتعلق بإضفاء الصبغة النظامية على الخطة ومراجعتها، عقدت حلقة دراسية لمراجعتها، كما عقدت اللجنة الوطنية المعنية بالتثقيف في مجال حقوق الإنسان ثلاثة اجتماعات للموافقة على النص النهائي. وإجمالا، شارك في هذه العملية عدد يتراوح بين 500 4 و 000 5 من ممثلي الحكومة والمجتمع المدني.</w:t>
      </w:r>
    </w:p>
    <w:p w:rsidR="00295B05" w:rsidRDefault="00295B05" w:rsidP="004773DA">
      <w:pPr>
        <w:pStyle w:val="SingleTxt"/>
        <w:rPr>
          <w:rFonts w:hint="cs"/>
          <w:rtl/>
        </w:rPr>
      </w:pPr>
      <w:r>
        <w:rPr>
          <w:rFonts w:hint="cs"/>
          <w:rtl/>
        </w:rPr>
        <w:tab/>
        <w:t>وتعلقت القضايا التي جرى تناولها في تلك اللقاءات بما يلي: الأوضاع الوطنية والدولية والتحديات الراهنة فيما يتعلق ببناء ثقافة لحقوق الإنسان؛ والمبادئ والمقاصد العامة للتثقيف المتعلق ب</w:t>
      </w:r>
      <w:r w:rsidR="004773DA">
        <w:rPr>
          <w:rFonts w:hint="cs"/>
          <w:rtl/>
        </w:rPr>
        <w:t>تلك ال</w:t>
      </w:r>
      <w:r>
        <w:rPr>
          <w:rFonts w:hint="cs"/>
          <w:rtl/>
        </w:rPr>
        <w:t xml:space="preserve">حقوق والخطة الوطنية للتثقيف في </w:t>
      </w:r>
      <w:r w:rsidR="004773DA">
        <w:rPr>
          <w:rFonts w:hint="cs"/>
          <w:rtl/>
        </w:rPr>
        <w:t>ذلك ال</w:t>
      </w:r>
      <w:r>
        <w:rPr>
          <w:rFonts w:hint="cs"/>
          <w:rtl/>
        </w:rPr>
        <w:t xml:space="preserve">مجال </w:t>
      </w:r>
      <w:r w:rsidR="004773DA">
        <w:rPr>
          <w:rFonts w:hint="cs"/>
          <w:rtl/>
        </w:rPr>
        <w:t>داخل</w:t>
      </w:r>
      <w:r>
        <w:rPr>
          <w:rFonts w:hint="cs"/>
          <w:rtl/>
        </w:rPr>
        <w:t xml:space="preserve"> إطار عقد الأمم المتحدة للتثقيف في مجال حقوق الإنسان - ونوقشت المبادئ والاستراتيجيات وسير العمل فيما يتعلق بالتثقيف في مجال حقوق الإنسان في كل مجال من المجالات الخمسة للخطة؛ وإنشاء لجان الولايات المعنية بالتثقيف في </w:t>
      </w:r>
      <w:r w:rsidR="004773DA">
        <w:rPr>
          <w:rFonts w:hint="cs"/>
          <w:rtl/>
        </w:rPr>
        <w:t>ذلك المجال</w:t>
      </w:r>
      <w:r>
        <w:rPr>
          <w:rFonts w:hint="cs"/>
          <w:rtl/>
        </w:rPr>
        <w:t xml:space="preserve">. </w:t>
      </w:r>
    </w:p>
    <w:p w:rsidR="00295B05" w:rsidRDefault="00295B05" w:rsidP="002E69CA">
      <w:pPr>
        <w:pStyle w:val="SingleTxt"/>
        <w:rPr>
          <w:rFonts w:hint="cs"/>
          <w:rtl/>
        </w:rPr>
      </w:pPr>
      <w:r>
        <w:rPr>
          <w:rFonts w:hint="cs"/>
          <w:rtl/>
        </w:rPr>
        <w:tab/>
        <w:t>ولن توضع آليات الرصد إلا بعد إنشاء لجان الولايات المعنية بالتثقيف في مجال حقوق الإنسان. وبالتالي، فبالرغم من التفكير في ذلك، لا توجد في الوقت الراهن مثل هذه الآلية.</w:t>
      </w:r>
    </w:p>
    <w:p w:rsidR="00C61B97" w:rsidRPr="00C61B97" w:rsidRDefault="00C61B97" w:rsidP="00C61B97">
      <w:pPr>
        <w:pStyle w:val="SingleTxt"/>
        <w:spacing w:after="0" w:line="120" w:lineRule="exact"/>
        <w:rPr>
          <w:rFonts w:hint="cs"/>
          <w:sz w:val="10"/>
          <w:rtl/>
        </w:rPr>
      </w:pPr>
    </w:p>
    <w:p w:rsidR="00C61B97" w:rsidRPr="00C61B97" w:rsidRDefault="00C61B97" w:rsidP="00C61B97">
      <w:pPr>
        <w:pStyle w:val="SingleTxt"/>
        <w:rPr>
          <w:b/>
          <w:bCs/>
          <w:rtl/>
        </w:rPr>
      </w:pPr>
      <w:r w:rsidRPr="00C61B97">
        <w:rPr>
          <w:rFonts w:hint="cs"/>
          <w:b/>
          <w:bCs/>
          <w:rtl/>
        </w:rPr>
        <w:t xml:space="preserve">4 </w:t>
      </w:r>
      <w:r w:rsidRPr="00C61B97">
        <w:rPr>
          <w:b/>
          <w:bCs/>
          <w:rtl/>
        </w:rPr>
        <w:t>-</w:t>
      </w:r>
      <w:r w:rsidRPr="00C61B97">
        <w:rPr>
          <w:rFonts w:hint="cs"/>
          <w:b/>
          <w:bCs/>
          <w:rtl/>
        </w:rPr>
        <w:tab/>
      </w:r>
      <w:r w:rsidRPr="00C61B97">
        <w:rPr>
          <w:b/>
          <w:bCs/>
          <w:rtl/>
        </w:rPr>
        <w:t>ويشير التقرير</w:t>
      </w:r>
      <w:r w:rsidRPr="00C61B97">
        <w:rPr>
          <w:rFonts w:hint="cs"/>
          <w:b/>
          <w:bCs/>
          <w:rtl/>
        </w:rPr>
        <w:t xml:space="preserve"> (صفحة 26)</w:t>
      </w:r>
      <w:r w:rsidRPr="00C61B97">
        <w:rPr>
          <w:b/>
          <w:bCs/>
          <w:rtl/>
        </w:rPr>
        <w:t xml:space="preserve"> فيما يتعلق بصورة المرأة في وسائط الإعلام إلى أن وزارة العدل شرعت في عام 2005 في العمل على تحديد معايير تصنيف محتوى ما يقدمه التلفزيون من حيث مواضيع مثل العنف والجنس والمخدرات، وإلى أن من بين المواضيع الأخرى الممكن تناولها العنف ضد المرأة والاتجار بالأشخاص والتمييز على أساس نوع الجنس.</w:t>
      </w:r>
      <w:r w:rsidRPr="00C61B97">
        <w:rPr>
          <w:b/>
          <w:bCs/>
        </w:rPr>
        <w:t xml:space="preserve"> </w:t>
      </w:r>
      <w:r w:rsidRPr="00C61B97">
        <w:rPr>
          <w:b/>
          <w:bCs/>
          <w:rtl/>
        </w:rPr>
        <w:t>يرجى تقديم تفاصيل عن التقدم المحرز في هذا الصدد وعن المبادرات المتخذة لتشجيع وسائط الإعلام على إبراز صورة إيجابية للمرأة وغير متحيزة ضدها.</w:t>
      </w:r>
    </w:p>
    <w:p w:rsidR="00295B05" w:rsidRDefault="00C61B97" w:rsidP="002E69CA">
      <w:pPr>
        <w:pStyle w:val="SingleTxt"/>
        <w:rPr>
          <w:rFonts w:hint="cs"/>
          <w:rtl/>
        </w:rPr>
      </w:pPr>
      <w:r>
        <w:rPr>
          <w:rFonts w:hint="cs"/>
          <w:rtl/>
        </w:rPr>
        <w:tab/>
        <w:t>ونظم الأمر الإداري رقم 264 المؤرخ 9 شباط/فبراير 2007 الصادر عن وزارة العدل أحكام القانون رقم 8069 المؤرخ 13 تموز/يوليه 1990 (النظام الأساسي للأطفال والمراهقين) والقانون رقم 10359 المؤرخ 27 كانون الأول/ديسمبر 2001 والمرسوم رقم 5834 المؤرخ 6 تموز/يوليه 2006 بشأن تصنيف الأعمال السمعية البصرية للتلفزيون ووسائط الإعلام المماثلة.</w:t>
      </w:r>
    </w:p>
    <w:p w:rsidR="00C61B97" w:rsidRDefault="00C61B97" w:rsidP="002E69CA">
      <w:pPr>
        <w:pStyle w:val="SingleTxt"/>
        <w:rPr>
          <w:rFonts w:hint="cs"/>
          <w:rtl/>
        </w:rPr>
      </w:pPr>
      <w:r>
        <w:rPr>
          <w:rFonts w:hint="cs"/>
          <w:rtl/>
        </w:rPr>
        <w:tab/>
        <w:t xml:space="preserve">وينص هذا الأمر الإداري على أن </w:t>
      </w:r>
      <w:r>
        <w:rPr>
          <w:rFonts w:hint="eastAsia"/>
          <w:rtl/>
        </w:rPr>
        <w:t>”جمهورية البرازيل الاتحادية مؤسسة على كرامة الإنسان، وهدفها تعزيز الرفاه للجميع دون تحيز قائم على أساس الأصل أو العنصر أو الجنس أو اللون أو العمر أو أي شكل آخر من أشكال التمييز</w:t>
      </w:r>
      <w:r>
        <w:rPr>
          <w:rFonts w:hint="cs"/>
          <w:rtl/>
        </w:rPr>
        <w:t>“. ويقرر الأمر الإداري أنه لأول مرة ستوجد رموز معيارية تدل على تصنيف أي برنامج، وينص هذا الأمر الإداري على تصنيف المذيعين للبرامج، ويتخذ مبادرات أخرى، مما يضع المسؤولية على عاتق المذيعين والمجتمع والقضاء ووزارة العدل.</w:t>
      </w:r>
    </w:p>
    <w:p w:rsidR="00C61B97" w:rsidRDefault="00C61B97" w:rsidP="002E69CA">
      <w:pPr>
        <w:pStyle w:val="SingleTxt"/>
        <w:rPr>
          <w:rFonts w:hint="cs"/>
          <w:rtl/>
        </w:rPr>
      </w:pPr>
      <w:r>
        <w:rPr>
          <w:rFonts w:hint="cs"/>
          <w:rtl/>
        </w:rPr>
        <w:tab/>
        <w:t>وتولي الحكومة الاتحادية أهمية قصوى لهذه المشاركة في تحمل المسؤوليات. ويقع على عاتق وزارة العدل واجب تعيين تصنيف البرامج ورصد برمجة</w:t>
      </w:r>
      <w:r w:rsidR="00997E49">
        <w:rPr>
          <w:rFonts w:hint="cs"/>
          <w:rtl/>
        </w:rPr>
        <w:t xml:space="preserve"> التلفزيون؛ وللوالدين اختيار ما</w:t>
      </w:r>
      <w:r w:rsidR="00997E49">
        <w:rPr>
          <w:rFonts w:hint="eastAsia"/>
          <w:rtl/>
        </w:rPr>
        <w:t> </w:t>
      </w:r>
      <w:r>
        <w:rPr>
          <w:rFonts w:hint="cs"/>
          <w:rtl/>
        </w:rPr>
        <w:t>يشاهده أطفالهما حيث أن لديهما قدرا أكبر من المعلومات عن محتوى البرامج التلفزيونية؛ وسيلتزم القضاء بمعاقبة المذيعين الذين لا يتقيدون بالتصنيف. ولا تخضع الأخبار للتصنيف.</w:t>
      </w:r>
    </w:p>
    <w:p w:rsidR="00C61B97" w:rsidRDefault="00C61B97" w:rsidP="002E69CA">
      <w:pPr>
        <w:pStyle w:val="SingleTxt"/>
        <w:rPr>
          <w:rFonts w:hint="cs"/>
          <w:rtl/>
        </w:rPr>
      </w:pPr>
      <w:r>
        <w:rPr>
          <w:rFonts w:hint="cs"/>
          <w:rtl/>
        </w:rPr>
        <w:tab/>
        <w:t xml:space="preserve">ويتضمن نموذج التصنيف التعريف بالمادة فيما يتعلق بالتمييز والتحيز والتحقير والاستهانة. وتتضمن أنماط التمييز تلك الأنماط التي تقوم على أساس نوع الجنس أو الطبقة. أو التمييز ضد المثليين والمثليات وثنائي الجنس و/أو من يغيرون نوع جنسهم، أو ضد العنصر </w:t>
      </w:r>
      <w:r w:rsidR="00D67682">
        <w:rPr>
          <w:rFonts w:hint="cs"/>
          <w:rtl/>
        </w:rPr>
        <w:t>أو</w:t>
      </w:r>
      <w:r>
        <w:rPr>
          <w:rFonts w:hint="cs"/>
          <w:rtl/>
        </w:rPr>
        <w:t xml:space="preserve"> الأصل العرقي أو السكان الأصليين أو المعوقين. ويتضمن نموذج التصنيف أيضا تصنيف شدة السلوك التمييزي وانتشار القوالب النمطية.</w:t>
      </w:r>
    </w:p>
    <w:p w:rsidR="001955C5" w:rsidRPr="001955C5" w:rsidRDefault="001955C5" w:rsidP="001955C5">
      <w:pPr>
        <w:pStyle w:val="SingleTxt"/>
        <w:spacing w:after="0" w:line="120" w:lineRule="exact"/>
        <w:rPr>
          <w:rFonts w:hint="cs"/>
          <w:sz w:val="10"/>
          <w:rtl/>
        </w:rPr>
      </w:pPr>
    </w:p>
    <w:p w:rsidR="001955C5" w:rsidRPr="005E297F" w:rsidRDefault="001955C5" w:rsidP="001955C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E297F">
        <w:tab/>
      </w:r>
      <w:r w:rsidRPr="005E297F">
        <w:tab/>
      </w:r>
      <w:r w:rsidRPr="005E297F">
        <w:rPr>
          <w:rtl/>
        </w:rPr>
        <w:t>الاتجار والاستغلال الجنسي والاستغلال في العمل</w:t>
      </w:r>
    </w:p>
    <w:p w:rsidR="001955C5" w:rsidRPr="001955C5" w:rsidRDefault="001955C5" w:rsidP="001955C5">
      <w:pPr>
        <w:pStyle w:val="SingleTxt"/>
        <w:rPr>
          <w:b/>
          <w:bCs/>
          <w:rtl/>
        </w:rPr>
      </w:pPr>
      <w:r w:rsidRPr="001955C5">
        <w:rPr>
          <w:rFonts w:hint="cs"/>
          <w:b/>
          <w:bCs/>
          <w:rtl/>
        </w:rPr>
        <w:t xml:space="preserve">5 </w:t>
      </w:r>
      <w:r w:rsidRPr="001955C5">
        <w:rPr>
          <w:b/>
          <w:bCs/>
          <w:rtl/>
        </w:rPr>
        <w:t>-</w:t>
      </w:r>
      <w:r w:rsidRPr="001955C5">
        <w:rPr>
          <w:rFonts w:hint="cs"/>
          <w:b/>
          <w:bCs/>
          <w:rtl/>
        </w:rPr>
        <w:tab/>
      </w:r>
      <w:r w:rsidRPr="001955C5">
        <w:rPr>
          <w:b/>
          <w:bCs/>
          <w:rtl/>
        </w:rPr>
        <w:t xml:space="preserve">ما هي حالة تنفيذ برنامج الأعمال المتكاملة </w:t>
      </w:r>
      <w:r w:rsidRPr="001955C5">
        <w:rPr>
          <w:rFonts w:hint="cs"/>
          <w:b/>
          <w:bCs/>
          <w:rtl/>
        </w:rPr>
        <w:t>للتصدي</w:t>
      </w:r>
      <w:r w:rsidRPr="001955C5">
        <w:rPr>
          <w:b/>
          <w:bCs/>
          <w:rtl/>
        </w:rPr>
        <w:t xml:space="preserve"> </w:t>
      </w:r>
      <w:r w:rsidRPr="001955C5">
        <w:rPr>
          <w:rFonts w:hint="cs"/>
          <w:b/>
          <w:bCs/>
          <w:rtl/>
        </w:rPr>
        <w:t>ل</w:t>
      </w:r>
      <w:r w:rsidRPr="001955C5">
        <w:rPr>
          <w:b/>
          <w:bCs/>
          <w:rtl/>
        </w:rPr>
        <w:t>لعنف الجنسي ضد الأطفال والمراهقين في البرازيل على مستوى ست بلديات رائدة وما هو أثر هذا البرنامج</w:t>
      </w:r>
      <w:r w:rsidRPr="001955C5">
        <w:rPr>
          <w:rFonts w:hint="cs"/>
          <w:b/>
          <w:bCs/>
          <w:rtl/>
        </w:rPr>
        <w:t xml:space="preserve"> (صفحتي 28-29)؟</w:t>
      </w:r>
      <w:r w:rsidRPr="001955C5">
        <w:rPr>
          <w:b/>
          <w:bCs/>
          <w:rtl/>
        </w:rPr>
        <w:t>.</w:t>
      </w:r>
      <w:r w:rsidRPr="001955C5">
        <w:rPr>
          <w:b/>
          <w:bCs/>
        </w:rPr>
        <w:t xml:space="preserve"> </w:t>
      </w:r>
      <w:r w:rsidRPr="001955C5">
        <w:rPr>
          <w:b/>
          <w:bCs/>
          <w:rtl/>
        </w:rPr>
        <w:t>يرجى ت</w:t>
      </w:r>
      <w:r w:rsidRPr="001955C5">
        <w:rPr>
          <w:rFonts w:hint="cs"/>
          <w:b/>
          <w:bCs/>
          <w:rtl/>
        </w:rPr>
        <w:t>وفير</w:t>
      </w:r>
      <w:r w:rsidRPr="001955C5">
        <w:rPr>
          <w:b/>
          <w:bCs/>
          <w:rtl/>
        </w:rPr>
        <w:t xml:space="preserve"> تفاصيل ومعلومات عما إذا كان هذا البرنامج سينفذ كذلك في بلديات أخرى، ولا</w:t>
      </w:r>
      <w:r w:rsidRPr="001955C5">
        <w:rPr>
          <w:rFonts w:hint="cs"/>
          <w:b/>
          <w:bCs/>
          <w:rtl/>
        </w:rPr>
        <w:t xml:space="preserve"> </w:t>
      </w:r>
      <w:r w:rsidRPr="001955C5">
        <w:rPr>
          <w:b/>
          <w:bCs/>
          <w:rtl/>
        </w:rPr>
        <w:t xml:space="preserve">سيما باعتبار ما ورد في </w:t>
      </w:r>
      <w:r w:rsidRPr="001955C5">
        <w:rPr>
          <w:rFonts w:hint="cs"/>
          <w:b/>
          <w:bCs/>
          <w:rtl/>
        </w:rPr>
        <w:t>صفحة 30</w:t>
      </w:r>
      <w:r w:rsidRPr="001955C5">
        <w:rPr>
          <w:b/>
          <w:bCs/>
          <w:rtl/>
        </w:rPr>
        <w:t xml:space="preserve"> من أن الاستغلال الجنسي التجاري ممارسة توجد في أكثر من 937</w:t>
      </w:r>
      <w:r w:rsidRPr="001955C5">
        <w:rPr>
          <w:rFonts w:hint="cs"/>
          <w:b/>
          <w:bCs/>
          <w:rtl/>
        </w:rPr>
        <w:t> </w:t>
      </w:r>
      <w:r w:rsidRPr="001955C5">
        <w:rPr>
          <w:b/>
          <w:bCs/>
          <w:rtl/>
        </w:rPr>
        <w:t xml:space="preserve">بلدية ومنطقة </w:t>
      </w:r>
      <w:r w:rsidRPr="001955C5">
        <w:rPr>
          <w:rFonts w:hint="cs"/>
          <w:b/>
          <w:bCs/>
          <w:rtl/>
        </w:rPr>
        <w:t xml:space="preserve">محلية </w:t>
      </w:r>
      <w:r w:rsidRPr="001955C5">
        <w:rPr>
          <w:b/>
          <w:bCs/>
          <w:rtl/>
        </w:rPr>
        <w:t>في البرازيل.</w:t>
      </w:r>
    </w:p>
    <w:p w:rsidR="00C61B97" w:rsidRDefault="001955C5" w:rsidP="002E69CA">
      <w:pPr>
        <w:pStyle w:val="SingleTxt"/>
        <w:rPr>
          <w:rFonts w:hint="cs"/>
          <w:rtl/>
        </w:rPr>
      </w:pPr>
      <w:r>
        <w:rPr>
          <w:rFonts w:hint="cs"/>
          <w:rtl/>
        </w:rPr>
        <w:tab/>
        <w:t>يهدف برنامج الأعمال المتكاملة للتصدي للعنف الجنسي ضد الأطفال والمراهقين في البرازيل إلى إنشاء و/أو تدعيم الشبكات المحلية من خلال الأعمال المتكاملة التي تستهدف إمكان تنسيق الخدمات وإدماجها، مع مشاركة المجتمع المدني.</w:t>
      </w:r>
    </w:p>
    <w:p w:rsidR="001955C5" w:rsidRDefault="001955C5" w:rsidP="002E69CA">
      <w:pPr>
        <w:pStyle w:val="SingleTxt"/>
        <w:rPr>
          <w:rFonts w:hint="cs"/>
          <w:rtl/>
        </w:rPr>
      </w:pPr>
      <w:r>
        <w:rPr>
          <w:rFonts w:hint="cs"/>
          <w:rtl/>
        </w:rPr>
        <w:tab/>
        <w:t>ويجري منذ عام 2003 تقديم المساعدات التقنية والأخذ بالمبادرات في ست بلديات (باكارايما، رورايما؛ وماناوس، أمازوناس؛ وريو برانكو، إيكر؛ وفييرا دي سانتانا، باهيا؛ وكامبينا غراندي، بارايبا؛ وكورومبا، ماتو غروسو دو سول). ويشترك في هذه الأنشطة حوالي 000 3 من المهنيين في مختلف المجالات.</w:t>
      </w:r>
    </w:p>
    <w:p w:rsidR="001955C5" w:rsidRDefault="001955C5" w:rsidP="00A74C98">
      <w:pPr>
        <w:pStyle w:val="SingleTxt"/>
        <w:rPr>
          <w:rFonts w:hint="cs"/>
          <w:rtl/>
        </w:rPr>
      </w:pPr>
      <w:r>
        <w:rPr>
          <w:rFonts w:hint="cs"/>
          <w:rtl/>
        </w:rPr>
        <w:tab/>
        <w:t>وفيما يلي الأهداف الرئيسية: الاضطلاع بـ 12 دراسة كمية ونوعية لتقييم العنف الجنسي ضد الأطفال والمراهقين؛ وإنشاء نظام متكامل للبيانات المحلية المتعلقة بهذه الحالة، مع الاهتمام بالعنف الجنسي في البلديات الرائدة الست؛ وتجهيز 14 مركزا من مراكز الحقوق والوصاية؛ وشن حملة توعية لتعبئة المجتمعات المحلية، وحملة دولية (تضم ثمانية من بلدان أمريكا الجنوبية)؛ وتدريب 000 5 مهني في مجالات الوقاية والرعاية والدفاع والمساءلة في سبع ولايات (إيكر، أمازوناس، رورايما، باهيا، بارايبا، ميناس غيراس، ماتو غروسو دو</w:t>
      </w:r>
      <w:r>
        <w:rPr>
          <w:rFonts w:hint="eastAsia"/>
          <w:rtl/>
        </w:rPr>
        <w:t> </w:t>
      </w:r>
      <w:r>
        <w:rPr>
          <w:rFonts w:hint="cs"/>
          <w:rtl/>
        </w:rPr>
        <w:t>سول)؛ وتزويد خدمات الخبرة التقنية في ست ولايات بالصلاحية اللازمة لكفالة تقديم الخدمات بطريقة إنسانية؛ وتدريب مجموعات الشباب في سبع ولايات لتعزيز اضطلاع الأطفال والمراهقين بدور رائد.</w:t>
      </w:r>
    </w:p>
    <w:p w:rsidR="009C1351" w:rsidRDefault="009C1351" w:rsidP="00A74C98">
      <w:pPr>
        <w:pStyle w:val="SingleTxt"/>
        <w:rPr>
          <w:rFonts w:hint="cs"/>
          <w:rtl/>
        </w:rPr>
      </w:pPr>
      <w:r>
        <w:rPr>
          <w:rFonts w:hint="cs"/>
          <w:rtl/>
        </w:rPr>
        <w:tab/>
        <w:t>ومنذ عام 2006 وسَّعت الحكومة الاتحادية نطاق برنامج الأعمال المتكاملة للتصدي للعنف الجنسي ضد الأطفال والمراهقين في البرازيل ل</w:t>
      </w:r>
      <w:r w:rsidR="00997E49">
        <w:rPr>
          <w:rFonts w:hint="cs"/>
          <w:rtl/>
        </w:rPr>
        <w:t>كي يمتد إلى 56 بلدية أخرى في 11</w:t>
      </w:r>
      <w:r w:rsidR="00997E49">
        <w:rPr>
          <w:rFonts w:hint="eastAsia"/>
          <w:rtl/>
        </w:rPr>
        <w:t> </w:t>
      </w:r>
      <w:r>
        <w:rPr>
          <w:rFonts w:hint="cs"/>
          <w:rtl/>
        </w:rPr>
        <w:t xml:space="preserve">ولاية جرى فيها تنفيذ مشروعات رائدة (أمازوناس وإيكر ورورايما وسيارا وبارايبا وباهيا وماتو غروسو دو سول وميناس غيراس) بالإضافة إلى ولاية مارانهاو، مع الأخذ في الاعتبار باتفاق الحل الودي الذي استهدف إنهاء القضيتين رقم 12426 ورقم 12427 - الأولاد الذين جرى إخصاؤهم في مارانهوا - اللتين رفعتا </w:t>
      </w:r>
      <w:r w:rsidR="00D67682">
        <w:rPr>
          <w:rFonts w:hint="cs"/>
          <w:rtl/>
        </w:rPr>
        <w:t>أم</w:t>
      </w:r>
      <w:r>
        <w:rPr>
          <w:rFonts w:hint="cs"/>
          <w:rtl/>
        </w:rPr>
        <w:t>ام لجنة حقوق الإنسان المشتركة بين البلدان الأمريكية التابعة لمنظمة الدول الأمريكية؛ وولاية ريو غراندي دو نورتي. وانتفع بهذا البرنامج ما مجموعه 621 165 5 من الأطفال والمراهقين. وبحلول نهاية عام 2007، يجري توسيع نطاق البرنامج لكي يشمل ولايات ريو دي جانيرو وروندونيا وبارا بمقتضى القرارات التي وافق عليها المجلس الوطني المعني بحقوق الأطفال والمراهقين.</w:t>
      </w:r>
    </w:p>
    <w:p w:rsidR="009C1351" w:rsidRDefault="009C1351" w:rsidP="007C0597">
      <w:pPr>
        <w:pStyle w:val="SingleTxt"/>
        <w:rPr>
          <w:rFonts w:hint="cs"/>
          <w:rtl/>
          <w:lang w:bidi="ar-EG"/>
        </w:rPr>
      </w:pPr>
      <w:r>
        <w:rPr>
          <w:rFonts w:hint="cs"/>
          <w:rtl/>
        </w:rPr>
        <w:tab/>
        <w:t xml:space="preserve">وتتضمن المبادرات التي اتخذت في إطار البرنامج خدمة إبلاغ هاتفية وطنية لمكافحة الاستغلال الجنسي للأطفال والمراهقين </w:t>
      </w:r>
      <w:r w:rsidR="00AA602E" w:rsidRPr="00AA602E">
        <w:rPr>
          <w:i/>
          <w:iCs/>
        </w:rPr>
        <w:t>National</w:t>
      </w:r>
      <w:r w:rsidR="007C0597">
        <w:rPr>
          <w:i/>
          <w:iCs/>
        </w:rPr>
        <w:t> </w:t>
      </w:r>
      <w:r w:rsidR="00AA602E" w:rsidRPr="00AA602E">
        <w:rPr>
          <w:i/>
          <w:iCs/>
        </w:rPr>
        <w:t>Dial</w:t>
      </w:r>
      <w:r w:rsidR="007C0597">
        <w:rPr>
          <w:i/>
          <w:iCs/>
        </w:rPr>
        <w:t> </w:t>
      </w:r>
      <w:r w:rsidR="00AA602E" w:rsidRPr="00AA602E">
        <w:rPr>
          <w:i/>
          <w:iCs/>
        </w:rPr>
        <w:t>Denunciation</w:t>
      </w:r>
      <w:r w:rsidR="007C0597">
        <w:rPr>
          <w:i/>
          <w:iCs/>
        </w:rPr>
        <w:t> </w:t>
      </w:r>
      <w:r w:rsidR="00AA602E" w:rsidRPr="00AA602E">
        <w:rPr>
          <w:i/>
          <w:iCs/>
        </w:rPr>
        <w:t>100</w:t>
      </w:r>
      <w:r w:rsidR="00AA602E">
        <w:rPr>
          <w:rFonts w:hint="cs"/>
          <w:rtl/>
          <w:lang w:bidi="ar-EG"/>
        </w:rPr>
        <w:t>، وهي خدمة اتصال هاتفية مجانية متاحة في جميع الولايات البراز</w:t>
      </w:r>
      <w:r w:rsidR="007C0597">
        <w:rPr>
          <w:rFonts w:hint="cs"/>
          <w:rtl/>
          <w:lang w:bidi="ar-EG"/>
        </w:rPr>
        <w:t xml:space="preserve">يلية. وينفذ هذا البرنامج عن طريق الأمانة الخاصة لحقوق الإنسان بالشراكة مع </w:t>
      </w:r>
      <w:r w:rsidR="007C0597">
        <w:rPr>
          <w:lang w:bidi="ar-EG"/>
        </w:rPr>
        <w:t>Petr</w:t>
      </w:r>
      <w:r w:rsidR="007C0597">
        <w:rPr>
          <w:rFonts w:cs="Times New Roman"/>
          <w:lang w:bidi="ar-EG"/>
        </w:rPr>
        <w:t>ó</w:t>
      </w:r>
      <w:r w:rsidR="007C0597">
        <w:rPr>
          <w:lang w:bidi="ar-EG"/>
        </w:rPr>
        <w:t>leo Brasileiro S. A. (Petrobr</w:t>
      </w:r>
      <w:r w:rsidR="007C0597">
        <w:rPr>
          <w:rFonts w:cs="Times New Roman"/>
          <w:lang w:bidi="ar-EG"/>
        </w:rPr>
        <w:t>á</w:t>
      </w:r>
      <w:r w:rsidR="007C0597">
        <w:rPr>
          <w:lang w:bidi="ar-EG"/>
        </w:rPr>
        <w:t>s)</w:t>
      </w:r>
      <w:r w:rsidR="007C0597">
        <w:rPr>
          <w:rFonts w:hint="cs"/>
          <w:rtl/>
          <w:lang w:bidi="ar-EG"/>
        </w:rPr>
        <w:t>، ومرجع الأطفال والمراهقين، مركز الدراسات والإجراءات، وهو منظمة غير حكومية. والغرض من البرنامج تلقي تقارير عن العنف ضد الأطفال والمراهقين ووقف حدوثه. وتشير التقارير الخاصة إلى أن النساء يشكلن نسبة 72 في المائة من الضحايا - 53 في المائة من أصل أفريقي و 42 في المائة من البيض. وفيما بين أيار/مايو 2003 و</w:t>
      </w:r>
      <w:r w:rsidR="00A74C98">
        <w:rPr>
          <w:rFonts w:hint="cs"/>
          <w:rtl/>
          <w:lang w:bidi="ar-EG"/>
        </w:rPr>
        <w:t xml:space="preserve">كانون الأول/ </w:t>
      </w:r>
      <w:r w:rsidR="007C0597">
        <w:rPr>
          <w:rFonts w:hint="cs"/>
          <w:rtl/>
          <w:lang w:bidi="ar-EG"/>
        </w:rPr>
        <w:t>ديسمبر 2006 تلقت خدمة الاتصال الهاتفي المباشر أكثر من 000 27 بلاغ من جميع أنحاء البلد.</w:t>
      </w:r>
    </w:p>
    <w:p w:rsidR="007C0597" w:rsidRPr="007C0597" w:rsidRDefault="007C0597" w:rsidP="007C0597">
      <w:pPr>
        <w:pStyle w:val="SingleTxt"/>
        <w:spacing w:after="0" w:line="120" w:lineRule="exact"/>
        <w:rPr>
          <w:rFonts w:hint="cs"/>
          <w:sz w:val="10"/>
          <w:rtl/>
          <w:lang w:bidi="ar-EG"/>
        </w:rPr>
      </w:pPr>
    </w:p>
    <w:p w:rsidR="0022082C" w:rsidRPr="0022082C" w:rsidRDefault="0022082C" w:rsidP="0022082C">
      <w:pPr>
        <w:pStyle w:val="SingleTxt"/>
        <w:rPr>
          <w:b/>
          <w:bCs/>
        </w:rPr>
      </w:pPr>
      <w:r w:rsidRPr="0022082C">
        <w:rPr>
          <w:rFonts w:hint="cs"/>
          <w:b/>
          <w:bCs/>
          <w:rtl/>
        </w:rPr>
        <w:t xml:space="preserve">6 </w:t>
      </w:r>
      <w:r w:rsidRPr="0022082C">
        <w:rPr>
          <w:b/>
          <w:bCs/>
          <w:rtl/>
        </w:rPr>
        <w:t>-</w:t>
      </w:r>
      <w:r w:rsidRPr="0022082C">
        <w:rPr>
          <w:rFonts w:hint="cs"/>
          <w:b/>
          <w:bCs/>
          <w:rtl/>
        </w:rPr>
        <w:tab/>
      </w:r>
      <w:r w:rsidRPr="0022082C">
        <w:rPr>
          <w:b/>
          <w:bCs/>
          <w:rtl/>
        </w:rPr>
        <w:t xml:space="preserve">وورد في التقرير </w:t>
      </w:r>
      <w:r w:rsidRPr="0022082C">
        <w:rPr>
          <w:rFonts w:hint="cs"/>
          <w:b/>
          <w:bCs/>
          <w:rtl/>
          <w:lang w:bidi="ar-EG"/>
        </w:rPr>
        <w:t>(صفحة 33)</w:t>
      </w:r>
      <w:r w:rsidRPr="0022082C">
        <w:rPr>
          <w:b/>
          <w:bCs/>
          <w:rtl/>
        </w:rPr>
        <w:t xml:space="preserve"> أن تقرير اللجنة البرلمانية المشتركة لتقصي الحقائق عن الاستغلال التجاري للأطفال والمراهقين كشف طرق الاتجار بالفتيات والفتيان، وتضمن نتائج التحقيق في الادعاءات بالاستغلال، وأورد أسماء حوالي 250 شخصا يشتبه تورطهم في جريمة الاستغلال الجنسي.</w:t>
      </w:r>
      <w:r w:rsidRPr="0022082C">
        <w:rPr>
          <w:b/>
          <w:bCs/>
        </w:rPr>
        <w:t xml:space="preserve"> </w:t>
      </w:r>
      <w:r w:rsidRPr="0022082C">
        <w:rPr>
          <w:b/>
          <w:bCs/>
          <w:rtl/>
        </w:rPr>
        <w:t>ما هو عدد الأشخاص المشتبه فيهم الذين قدموا للمحاكمة وأدينوا؟</w:t>
      </w:r>
      <w:r w:rsidRPr="0022082C">
        <w:rPr>
          <w:b/>
          <w:bCs/>
        </w:rPr>
        <w:t xml:space="preserve"> </w:t>
      </w:r>
    </w:p>
    <w:p w:rsidR="007C0597" w:rsidRDefault="0022082C" w:rsidP="00F124C6">
      <w:pPr>
        <w:pStyle w:val="SingleTxt"/>
        <w:rPr>
          <w:rFonts w:hint="cs"/>
          <w:rtl/>
          <w:lang w:bidi="ar-EG"/>
        </w:rPr>
      </w:pPr>
      <w:r>
        <w:rPr>
          <w:rFonts w:hint="cs"/>
          <w:rtl/>
          <w:lang w:bidi="ar-EG"/>
        </w:rPr>
        <w:tab/>
        <w:t xml:space="preserve">تتابع الجبهة البرلمانية للكونغرس الوطني للدفاع عن الأطفال والمراهقين الإجراءات القضائية التي يضطلع بها مكتب المدعي العام لكل من الوحدات الاتحادية الـ 27، بناء على النتائج التي توصلت إليها لجنة التحقيق البرلمانية المشتركة، بما في ذلك اتهام 250 فردا </w:t>
      </w:r>
      <w:r w:rsidR="00B82335">
        <w:rPr>
          <w:rFonts w:hint="cs"/>
          <w:rtl/>
          <w:lang w:bidi="ar-EG"/>
        </w:rPr>
        <w:t>من ال</w:t>
      </w:r>
      <w:r>
        <w:rPr>
          <w:rFonts w:hint="cs"/>
          <w:rtl/>
          <w:lang w:bidi="ar-EG"/>
        </w:rPr>
        <w:t>مشتبه في تورطهم في الاستغلال الجنسي للأطفال والمراهقين. ومن المتوقع أن تقدم اللجنة النتائج التي توصلت إليها في الفصل الأول من عام 2007. وتجدر الإشارة إلى أن دستور البرازيل ينص على الاعتماد المتبادل بين فروع الحكومة. وبالتالي، تقع مسؤولية توجيه الاتهام على عاتق مكاتب المدعي العام للدولة، بينما تقع مسؤولية الادعاء على عاتق سلطات الدولة القضائية.</w:t>
      </w:r>
    </w:p>
    <w:p w:rsidR="0022082C" w:rsidRDefault="0022082C" w:rsidP="00F124C6">
      <w:pPr>
        <w:pStyle w:val="SingleTxt"/>
        <w:rPr>
          <w:rFonts w:hint="cs"/>
          <w:rtl/>
          <w:lang w:bidi="ar-EG"/>
        </w:rPr>
      </w:pPr>
      <w:r>
        <w:rPr>
          <w:rFonts w:hint="cs"/>
          <w:rtl/>
          <w:lang w:bidi="ar-EG"/>
        </w:rPr>
        <w:tab/>
        <w:t xml:space="preserve">ويجدر التأكيد </w:t>
      </w:r>
      <w:r w:rsidR="00F124C6">
        <w:rPr>
          <w:rFonts w:hint="cs"/>
          <w:rtl/>
          <w:lang w:bidi="ar-EG"/>
        </w:rPr>
        <w:t xml:space="preserve">أنه </w:t>
      </w:r>
      <w:r>
        <w:rPr>
          <w:rFonts w:hint="cs"/>
          <w:rtl/>
          <w:lang w:bidi="ar-EG"/>
        </w:rPr>
        <w:t xml:space="preserve">على صعيد الحكومة الاتحادية جرى توسيع نطاق برنامج </w:t>
      </w:r>
      <w:r>
        <w:rPr>
          <w:lang w:bidi="ar-EG"/>
        </w:rPr>
        <w:t>Sentinela</w:t>
      </w:r>
      <w:r>
        <w:rPr>
          <w:rFonts w:hint="cs"/>
          <w:rtl/>
          <w:lang w:bidi="ar-EG"/>
        </w:rPr>
        <w:t xml:space="preserve"> الذي يقدم المساعدات النفسية الاجتماعية إلى الأطفال من ضحايا الاستغلال الجنسي والذي غطى 300 بلدية عام 2005، بحيث تشمل 114 1 مدينة في عام 2006، بينما زادت ميزانيته بنسبة 518 في المائة منذ عام 2003.</w:t>
      </w:r>
    </w:p>
    <w:p w:rsidR="0022082C" w:rsidRPr="0022082C" w:rsidRDefault="0022082C" w:rsidP="0022082C">
      <w:pPr>
        <w:pStyle w:val="SingleTxt"/>
        <w:spacing w:after="0" w:line="120" w:lineRule="exact"/>
        <w:rPr>
          <w:rFonts w:hint="cs"/>
          <w:sz w:val="10"/>
          <w:rtl/>
          <w:lang w:bidi="ar-EG"/>
        </w:rPr>
      </w:pPr>
    </w:p>
    <w:p w:rsidR="00065F0E" w:rsidRPr="00065F0E" w:rsidRDefault="00065F0E" w:rsidP="00065F0E">
      <w:pPr>
        <w:pStyle w:val="SingleTxt"/>
        <w:rPr>
          <w:b/>
          <w:bCs/>
          <w:rtl/>
        </w:rPr>
      </w:pPr>
      <w:r w:rsidRPr="00065F0E">
        <w:rPr>
          <w:rFonts w:hint="cs"/>
          <w:b/>
          <w:bCs/>
          <w:rtl/>
        </w:rPr>
        <w:t xml:space="preserve">7 </w:t>
      </w:r>
      <w:r w:rsidRPr="00065F0E">
        <w:rPr>
          <w:b/>
          <w:bCs/>
          <w:rtl/>
        </w:rPr>
        <w:t>-</w:t>
      </w:r>
      <w:r w:rsidRPr="00065F0E">
        <w:rPr>
          <w:rFonts w:hint="cs"/>
          <w:b/>
          <w:bCs/>
          <w:rtl/>
        </w:rPr>
        <w:tab/>
      </w:r>
      <w:r w:rsidRPr="00065F0E">
        <w:rPr>
          <w:b/>
          <w:bCs/>
          <w:rtl/>
        </w:rPr>
        <w:t>ما هو عدد الفتيات اللواتي استفدن من برنامج القضاء على عمل الطفل الذي ورد ذكره في التقرير</w:t>
      </w:r>
      <w:r>
        <w:rPr>
          <w:rFonts w:hint="cs"/>
          <w:b/>
          <w:bCs/>
          <w:rtl/>
        </w:rPr>
        <w:t xml:space="preserve"> (صفحة 33)</w:t>
      </w:r>
      <w:r w:rsidRPr="00065F0E">
        <w:rPr>
          <w:b/>
          <w:bCs/>
          <w:rtl/>
        </w:rPr>
        <w:t>، وما هو الأثر العام لهذا البرنامج، ولا</w:t>
      </w:r>
      <w:r w:rsidRPr="00065F0E">
        <w:rPr>
          <w:rFonts w:hint="cs"/>
          <w:b/>
          <w:bCs/>
          <w:rtl/>
        </w:rPr>
        <w:t xml:space="preserve"> </w:t>
      </w:r>
      <w:r w:rsidRPr="00065F0E">
        <w:rPr>
          <w:b/>
          <w:bCs/>
          <w:rtl/>
        </w:rPr>
        <w:t>سيما من حيث منع عمل ا</w:t>
      </w:r>
      <w:r w:rsidRPr="00065F0E">
        <w:rPr>
          <w:rFonts w:hint="cs"/>
          <w:b/>
          <w:bCs/>
          <w:rtl/>
        </w:rPr>
        <w:t>لأطفال</w:t>
      </w:r>
      <w:r w:rsidRPr="00065F0E">
        <w:rPr>
          <w:b/>
          <w:bCs/>
          <w:rtl/>
        </w:rPr>
        <w:t>؟</w:t>
      </w:r>
    </w:p>
    <w:p w:rsidR="0022082C" w:rsidRDefault="00065F0E" w:rsidP="007C0597">
      <w:pPr>
        <w:pStyle w:val="SingleTxt"/>
        <w:rPr>
          <w:rFonts w:hint="cs"/>
          <w:rtl/>
          <w:lang w:bidi="ar-EG"/>
        </w:rPr>
      </w:pPr>
      <w:r>
        <w:rPr>
          <w:rFonts w:hint="cs"/>
          <w:rtl/>
        </w:rPr>
        <w:tab/>
        <w:t xml:space="preserve">وفقا لوزارة التنمية الاجتماعية ومكافحة الجوع انتفعت 788 50 فتاة ببرنامج القضاء على عمل الطفل (المرفق 1)، بينما انتفعت 701 272 فتاة ممن تحررن من عمالة الأطفال ببرنامج الأسرة الكبيرة </w:t>
      </w:r>
      <w:r>
        <w:t>[</w:t>
      </w:r>
      <w:r w:rsidRPr="00065F0E">
        <w:rPr>
          <w:i/>
          <w:iCs/>
        </w:rPr>
        <w:t>Bolsa Familia</w:t>
      </w:r>
      <w:r>
        <w:t>]</w:t>
      </w:r>
      <w:r>
        <w:rPr>
          <w:rFonts w:hint="cs"/>
          <w:rtl/>
          <w:lang w:bidi="ar-EG"/>
        </w:rPr>
        <w:t xml:space="preserve"> (المرفق 2).</w:t>
      </w:r>
    </w:p>
    <w:p w:rsidR="00065F0E" w:rsidRDefault="00065F0E" w:rsidP="00F124C6">
      <w:pPr>
        <w:pStyle w:val="SingleTxt"/>
        <w:rPr>
          <w:rFonts w:hint="cs"/>
          <w:rtl/>
          <w:lang w:bidi="ar-EG"/>
        </w:rPr>
      </w:pPr>
      <w:r>
        <w:rPr>
          <w:rFonts w:hint="cs"/>
          <w:rtl/>
          <w:lang w:bidi="ar-EG"/>
        </w:rPr>
        <w:tab/>
        <w:t>و</w:t>
      </w:r>
      <w:r w:rsidR="00F124C6">
        <w:rPr>
          <w:rFonts w:hint="cs"/>
          <w:rtl/>
          <w:lang w:bidi="ar-EG"/>
        </w:rPr>
        <w:t>ت</w:t>
      </w:r>
      <w:r>
        <w:rPr>
          <w:rFonts w:hint="cs"/>
          <w:rtl/>
          <w:lang w:bidi="ar-EG"/>
        </w:rPr>
        <w:t xml:space="preserve">تضمن </w:t>
      </w:r>
      <w:r w:rsidR="00F124C6">
        <w:rPr>
          <w:rFonts w:hint="cs"/>
          <w:rtl/>
          <w:lang w:bidi="ar-EG"/>
        </w:rPr>
        <w:t>آ</w:t>
      </w:r>
      <w:r>
        <w:rPr>
          <w:rFonts w:hint="cs"/>
          <w:rtl/>
          <w:lang w:bidi="ar-EG"/>
        </w:rPr>
        <w:t>ث</w:t>
      </w:r>
      <w:r w:rsidR="00F124C6">
        <w:rPr>
          <w:rFonts w:hint="cs"/>
          <w:rtl/>
          <w:lang w:bidi="ar-EG"/>
        </w:rPr>
        <w:t>ا</w:t>
      </w:r>
      <w:r>
        <w:rPr>
          <w:rFonts w:hint="cs"/>
          <w:rtl/>
          <w:lang w:bidi="ar-EG"/>
        </w:rPr>
        <w:t>ر برنامج القضاء على عمل الطفل ما يلي: تخفيض الفقر المدقع</w:t>
      </w:r>
      <w:r w:rsidR="00F124C6">
        <w:rPr>
          <w:rFonts w:hint="cs"/>
          <w:rtl/>
          <w:lang w:bidi="ar-EG"/>
        </w:rPr>
        <w:t>،</w:t>
      </w:r>
      <w:r>
        <w:rPr>
          <w:rFonts w:hint="cs"/>
          <w:rtl/>
          <w:lang w:bidi="ar-EG"/>
        </w:rPr>
        <w:t xml:space="preserve"> والتفاوت الاجتماعي</w:t>
      </w:r>
      <w:r w:rsidR="00F124C6">
        <w:rPr>
          <w:rFonts w:hint="cs"/>
          <w:rtl/>
          <w:lang w:bidi="ar-EG"/>
        </w:rPr>
        <w:t>،</w:t>
      </w:r>
      <w:r>
        <w:rPr>
          <w:rFonts w:hint="cs"/>
          <w:rtl/>
          <w:lang w:bidi="ar-EG"/>
        </w:rPr>
        <w:t xml:space="preserve"> وتحسين حالة المواد الغذائية والتغذية للأسر التي تقدم إليها المساعدة</w:t>
      </w:r>
      <w:r w:rsidR="00F124C6">
        <w:rPr>
          <w:rFonts w:hint="cs"/>
          <w:rtl/>
          <w:lang w:bidi="ar-EG"/>
        </w:rPr>
        <w:t>،</w:t>
      </w:r>
      <w:r>
        <w:rPr>
          <w:rFonts w:hint="cs"/>
          <w:rtl/>
          <w:lang w:bidi="ar-EG"/>
        </w:rPr>
        <w:t xml:space="preserve"> والعمل الاجتماعي والتثقيفي مع الأسر التي لديها أطفال ومراهقون والتي تتلقى المساعدة بمقتضى البرنامج</w:t>
      </w:r>
      <w:r w:rsidR="00F124C6">
        <w:rPr>
          <w:rFonts w:hint="cs"/>
          <w:rtl/>
          <w:lang w:bidi="ar-EG"/>
        </w:rPr>
        <w:t>،</w:t>
      </w:r>
      <w:r>
        <w:rPr>
          <w:rFonts w:hint="cs"/>
          <w:rtl/>
          <w:lang w:bidi="ar-EG"/>
        </w:rPr>
        <w:t xml:space="preserve"> وإنهاء عمل الأطفال والمراهقين واستغلالهم ب</w:t>
      </w:r>
      <w:r w:rsidR="00F124C6">
        <w:rPr>
          <w:rFonts w:hint="cs"/>
          <w:rtl/>
          <w:lang w:bidi="ar-EG"/>
        </w:rPr>
        <w:t xml:space="preserve">عد </w:t>
      </w:r>
      <w:r>
        <w:rPr>
          <w:rFonts w:hint="cs"/>
          <w:rtl/>
          <w:lang w:bidi="ar-EG"/>
        </w:rPr>
        <w:t>التعرف عليهم وتسجيلهم في السجل الموحد للبرامج الاجتماعية للحكومة الاتحادية</w:t>
      </w:r>
      <w:r w:rsidR="00F124C6">
        <w:rPr>
          <w:rFonts w:hint="cs"/>
          <w:rtl/>
          <w:lang w:bidi="ar-EG"/>
        </w:rPr>
        <w:t>،</w:t>
      </w:r>
      <w:r>
        <w:rPr>
          <w:rFonts w:hint="cs"/>
          <w:rtl/>
          <w:lang w:bidi="ar-EG"/>
        </w:rPr>
        <w:t xml:space="preserve"> وحضور الأطفال والمراهقين الأنشطة الاجتماعية والتثقيفية (بعد ساعات الدراسة) </w:t>
      </w:r>
      <w:r w:rsidR="00F124C6">
        <w:rPr>
          <w:rFonts w:hint="cs"/>
          <w:rtl/>
          <w:lang w:bidi="ar-EG"/>
        </w:rPr>
        <w:t>ل</w:t>
      </w:r>
      <w:r>
        <w:rPr>
          <w:rFonts w:hint="cs"/>
          <w:rtl/>
          <w:lang w:bidi="ar-EG"/>
        </w:rPr>
        <w:t>برنامج القضاء على عمل الطفل بنسبة 85 في المائة</w:t>
      </w:r>
      <w:r w:rsidR="00F124C6">
        <w:rPr>
          <w:rFonts w:hint="cs"/>
          <w:rtl/>
          <w:lang w:bidi="ar-EG"/>
        </w:rPr>
        <w:t>،</w:t>
      </w:r>
      <w:r>
        <w:rPr>
          <w:rFonts w:hint="cs"/>
          <w:rtl/>
          <w:lang w:bidi="ar-EG"/>
        </w:rPr>
        <w:t xml:space="preserve"> وتدعيم صلات الأسرة والمجتمع المحلي</w:t>
      </w:r>
      <w:r w:rsidR="00F124C6">
        <w:rPr>
          <w:rFonts w:hint="cs"/>
          <w:rtl/>
          <w:lang w:bidi="ar-EG"/>
        </w:rPr>
        <w:t>، و</w:t>
      </w:r>
      <w:r>
        <w:rPr>
          <w:rFonts w:hint="cs"/>
          <w:rtl/>
          <w:lang w:bidi="ar-EG"/>
        </w:rPr>
        <w:t>إمكانية الوصول إلى الأنشطة الثقافية والرياضية والترويحية التي تستهدف التنمية الكاملة للأطفال والمراهقين. ويجري تأكيد توجيه المصفوفة الاجتماعية والأسرية</w:t>
      </w:r>
      <w:r w:rsidR="00F124C6">
        <w:rPr>
          <w:rFonts w:hint="cs"/>
          <w:rtl/>
          <w:lang w:bidi="ar-EG"/>
        </w:rPr>
        <w:t>،</w:t>
      </w:r>
      <w:r>
        <w:rPr>
          <w:rFonts w:hint="cs"/>
          <w:rtl/>
          <w:lang w:bidi="ar-EG"/>
        </w:rPr>
        <w:t xml:space="preserve"> والرقابة الاجتماعية من خلال نظام الرفاه الاجتماعي الموحد الذي يشارك فيه برنامج القضاء على عمل الطفل.</w:t>
      </w:r>
    </w:p>
    <w:p w:rsidR="00F92183" w:rsidRPr="00F92183" w:rsidRDefault="00F92183" w:rsidP="00F92183">
      <w:pPr>
        <w:pStyle w:val="SingleTxt"/>
        <w:spacing w:after="0" w:line="120" w:lineRule="exact"/>
        <w:rPr>
          <w:rFonts w:hint="cs"/>
          <w:sz w:val="10"/>
          <w:rtl/>
          <w:lang w:bidi="ar-EG"/>
        </w:rPr>
      </w:pPr>
    </w:p>
    <w:p w:rsidR="00F92183" w:rsidRPr="005E297F" w:rsidRDefault="00F92183" w:rsidP="00F9218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5E297F">
        <w:tab/>
      </w:r>
      <w:r w:rsidRPr="005E297F">
        <w:tab/>
      </w:r>
      <w:r w:rsidRPr="005E297F">
        <w:rPr>
          <w:rtl/>
        </w:rPr>
        <w:t>العنف ضد ال</w:t>
      </w:r>
      <w:r>
        <w:rPr>
          <w:rFonts w:hint="cs"/>
          <w:rtl/>
        </w:rPr>
        <w:t>مرأة</w:t>
      </w:r>
    </w:p>
    <w:p w:rsidR="00F92183" w:rsidRPr="00F92183" w:rsidRDefault="00F92183" w:rsidP="00F92183">
      <w:pPr>
        <w:pStyle w:val="SingleTxt"/>
        <w:rPr>
          <w:b/>
          <w:bCs/>
        </w:rPr>
      </w:pPr>
      <w:r w:rsidRPr="00F92183">
        <w:rPr>
          <w:rFonts w:hint="cs"/>
          <w:b/>
          <w:bCs/>
          <w:rtl/>
        </w:rPr>
        <w:t xml:space="preserve">8 </w:t>
      </w:r>
      <w:r w:rsidRPr="00F92183">
        <w:rPr>
          <w:b/>
          <w:bCs/>
          <w:rtl/>
        </w:rPr>
        <w:t>-</w:t>
      </w:r>
      <w:r w:rsidRPr="00F92183">
        <w:rPr>
          <w:rFonts w:hint="cs"/>
          <w:b/>
          <w:bCs/>
          <w:rtl/>
        </w:rPr>
        <w:tab/>
      </w:r>
      <w:r w:rsidRPr="00F92183">
        <w:rPr>
          <w:b/>
          <w:bCs/>
          <w:rtl/>
        </w:rPr>
        <w:t>يرجى تقديم معلومات عما إذا كان مشروع القانون 4559/2004 المتعلق بالعنف ضد المرأة</w:t>
      </w:r>
      <w:r w:rsidRPr="00F92183">
        <w:rPr>
          <w:rFonts w:hint="cs"/>
          <w:b/>
          <w:bCs/>
          <w:rtl/>
        </w:rPr>
        <w:t xml:space="preserve"> و</w:t>
      </w:r>
      <w:r w:rsidRPr="00F92183">
        <w:rPr>
          <w:b/>
          <w:bCs/>
          <w:rtl/>
        </w:rPr>
        <w:t xml:space="preserve">الذي عرض على الكونغرس الوطني في تشرين الثاني/نوفمبر 2004 قد اعتمد وعن مدى اتباع جميع الهيئات </w:t>
      </w:r>
      <w:r w:rsidRPr="00F92183">
        <w:rPr>
          <w:rFonts w:hint="cs"/>
          <w:b/>
          <w:bCs/>
          <w:rtl/>
        </w:rPr>
        <w:t>ذات الصلة</w:t>
      </w:r>
      <w:r w:rsidRPr="00F92183">
        <w:rPr>
          <w:b/>
          <w:bCs/>
          <w:rtl/>
        </w:rPr>
        <w:t xml:space="preserve"> المباد</w:t>
      </w:r>
      <w:r w:rsidRPr="00F92183">
        <w:rPr>
          <w:rFonts w:hint="cs"/>
          <w:b/>
          <w:bCs/>
          <w:rtl/>
        </w:rPr>
        <w:t xml:space="preserve">ئ </w:t>
      </w:r>
      <w:r w:rsidRPr="00F92183">
        <w:rPr>
          <w:b/>
          <w:bCs/>
          <w:rtl/>
        </w:rPr>
        <w:t xml:space="preserve">التوجيهية للسياسات العامة والأعمال المتكاملة المشار إليها في </w:t>
      </w:r>
      <w:r w:rsidRPr="00F92183">
        <w:rPr>
          <w:rFonts w:hint="cs"/>
          <w:b/>
          <w:bCs/>
          <w:rtl/>
        </w:rPr>
        <w:t>صفحة 35</w:t>
      </w:r>
      <w:r w:rsidRPr="00F92183">
        <w:rPr>
          <w:b/>
          <w:bCs/>
          <w:rtl/>
        </w:rPr>
        <w:t>.</w:t>
      </w:r>
      <w:r w:rsidRPr="00F92183">
        <w:rPr>
          <w:b/>
          <w:bCs/>
        </w:rPr>
        <w:t xml:space="preserve"> </w:t>
      </w:r>
    </w:p>
    <w:p w:rsidR="00065F0E" w:rsidRDefault="00F92183" w:rsidP="007C0597">
      <w:pPr>
        <w:pStyle w:val="SingleTxt"/>
        <w:rPr>
          <w:rFonts w:hint="cs"/>
          <w:rtl/>
          <w:lang w:bidi="ar-EG"/>
        </w:rPr>
      </w:pPr>
      <w:r>
        <w:rPr>
          <w:rFonts w:hint="cs"/>
          <w:rtl/>
          <w:lang w:bidi="ar-EG"/>
        </w:rPr>
        <w:tab/>
        <w:t>اعتمد الرئيس لويس إناسيو لولا دا سيلفا القانون 11340 في 7 آب/أغسطس 2006. وحيث أن هذا القانون أعِدَّ بشكل ديمقراطي ووافق عليه الكونغرس الوطني بالإجماع، فهو ي</w:t>
      </w:r>
      <w:r w:rsidR="00617DF6">
        <w:rPr>
          <w:rFonts w:hint="cs"/>
          <w:rtl/>
          <w:lang w:bidi="ar-EG"/>
        </w:rPr>
        <w:t>ُ</w:t>
      </w:r>
      <w:r>
        <w:rPr>
          <w:rFonts w:hint="cs"/>
          <w:rtl/>
          <w:lang w:bidi="ar-EG"/>
        </w:rPr>
        <w:t>نفذ</w:t>
      </w:r>
      <w:r w:rsidR="00F124C6">
        <w:rPr>
          <w:rFonts w:hint="cs"/>
          <w:rtl/>
          <w:lang w:bidi="ar-EG"/>
        </w:rPr>
        <w:t>،</w:t>
      </w:r>
      <w:r>
        <w:rPr>
          <w:rFonts w:hint="cs"/>
          <w:rtl/>
          <w:lang w:bidi="ar-EG"/>
        </w:rPr>
        <w:t xml:space="preserve"> وتكيف الهيئات المشاركة نفسها وفقا للخطوط الإرشادية الجديدة من أجل معالجة العنف ضد المرأة.</w:t>
      </w:r>
    </w:p>
    <w:p w:rsidR="00F92183" w:rsidRDefault="00F92183" w:rsidP="007C0597">
      <w:pPr>
        <w:pStyle w:val="SingleTxt"/>
        <w:rPr>
          <w:rFonts w:hint="cs"/>
          <w:rtl/>
          <w:lang w:bidi="ar-EG"/>
        </w:rPr>
      </w:pPr>
      <w:r>
        <w:rPr>
          <w:rFonts w:hint="cs"/>
          <w:rtl/>
          <w:lang w:bidi="ar-EG"/>
        </w:rPr>
        <w:tab/>
        <w:t>وهذا التشريع الجديد</w:t>
      </w:r>
      <w:r w:rsidR="00617DF6">
        <w:rPr>
          <w:rFonts w:hint="cs"/>
          <w:rtl/>
          <w:lang w:bidi="ar-EG"/>
        </w:rPr>
        <w:t>،</w:t>
      </w:r>
      <w:r>
        <w:rPr>
          <w:rFonts w:hint="cs"/>
          <w:rtl/>
          <w:lang w:bidi="ar-EG"/>
        </w:rPr>
        <w:t xml:space="preserve"> المعروف بقانون ماريا دا بينها تكريما لصيدلية وقعت مرتين ضحية لمحاولة قتل من جانب زوجها، إنجاز رئيسي للنساء اللاتي يتعرضن للعنف. وتتراوح التدابير من حالة إلى أخرى - من طرد المعتدي من الأسرة المعيشية، إلى حظر اقترابه من الزوجة والأطفال المعتدى عليهم، إلى حق المرأة في استعادة الممتلكات وإبطال التوكيلات التي قد تكون قد أصدرتها لصالح المعتدي. ويتيح القانون أيضا تدابير الرفاه الاجتماعي، مثل إدراج المرأة في سجل برامج الرفاه الاجتماعي على الصعيد الاتحادي وصعيدي الولاية والبلدية.</w:t>
      </w:r>
    </w:p>
    <w:p w:rsidR="00F92183" w:rsidRDefault="00F92183" w:rsidP="00F47B96">
      <w:pPr>
        <w:pStyle w:val="SingleTxt"/>
        <w:rPr>
          <w:rFonts w:hint="cs"/>
          <w:rtl/>
          <w:lang w:bidi="ar-EG"/>
        </w:rPr>
      </w:pPr>
      <w:r>
        <w:rPr>
          <w:rFonts w:hint="cs"/>
          <w:rtl/>
          <w:lang w:bidi="ar-EG"/>
        </w:rPr>
        <w:tab/>
        <w:t xml:space="preserve">وقبل إصدار هذا القانون، كانت جرائم العنف المنـزلي والأسري ضد المرأة تعتبر </w:t>
      </w:r>
      <w:r>
        <w:rPr>
          <w:rFonts w:hint="eastAsia"/>
          <w:rtl/>
          <w:lang w:bidi="ar-EG"/>
        </w:rPr>
        <w:t>”أقل عدوانية</w:t>
      </w:r>
      <w:r>
        <w:rPr>
          <w:rFonts w:hint="cs"/>
          <w:rtl/>
          <w:lang w:bidi="ar-EG"/>
        </w:rPr>
        <w:t xml:space="preserve">“ وكانت تجري محاكمتها أمام محاكم جنائية خاصة، مع مشاجرات الجيران أو الشارع وحوادث المرور، ضمن غيرها من الجنح. أما القانون الجديد فيعترف بالعدوانية الشديدة للعنف المنـزلي وينص على أن تنظر محاكم العنف المنـزلي والأسري ضد المرأة في هذه الجرائم، وهي المحاكم التي أنشئت في ظل </w:t>
      </w:r>
      <w:r w:rsidR="00F47B96">
        <w:rPr>
          <w:rFonts w:hint="cs"/>
          <w:rtl/>
          <w:lang w:bidi="ar-EG"/>
        </w:rPr>
        <w:t>محاكم العدل في الولايات والعاصمة. وأوجد القانون ابتكارا آخر، وهو تصنيف العنف المنـزلي والأسري ضد المرأة بوصفه انتهاكا لحقوق الإنسان</w:t>
      </w:r>
      <w:r w:rsidR="00617DF6">
        <w:rPr>
          <w:rFonts w:hint="cs"/>
          <w:rtl/>
          <w:lang w:bidi="ar-EG"/>
        </w:rPr>
        <w:t>،</w:t>
      </w:r>
      <w:r w:rsidR="00F47B96">
        <w:rPr>
          <w:rFonts w:hint="cs"/>
          <w:rtl/>
          <w:lang w:bidi="ar-EG"/>
        </w:rPr>
        <w:t xml:space="preserve"> وتصنيف العنف النفسي بوصفه شكلا من أشكال العنف.</w:t>
      </w:r>
    </w:p>
    <w:p w:rsidR="00F47B96" w:rsidRDefault="00F47B96" w:rsidP="007C0597">
      <w:pPr>
        <w:pStyle w:val="SingleTxt"/>
        <w:rPr>
          <w:rFonts w:hint="cs"/>
          <w:rtl/>
          <w:lang w:bidi="ar-EG"/>
        </w:rPr>
      </w:pPr>
      <w:r>
        <w:rPr>
          <w:rFonts w:hint="cs"/>
          <w:rtl/>
          <w:lang w:bidi="ar-EG"/>
        </w:rPr>
        <w:tab/>
        <w:t>وقد أصدرت الأمانة الخاصة لسياسات المرأة، وهي جزء من مكتب الرئيس، دعوة عامة إلى المنظمات غير الحكومية و/أو المؤسسات الجامعية المنظمة في اتحادات لكي تتقدم بمقترحات لإنشاء مرصد لمراقبة تنفيذ وإنفاذ القانون 11340 (قانون ماريا دا بينها).</w:t>
      </w:r>
    </w:p>
    <w:p w:rsidR="00F47B96" w:rsidRDefault="00F47B96" w:rsidP="007C0597">
      <w:pPr>
        <w:pStyle w:val="SingleTxt"/>
        <w:rPr>
          <w:rFonts w:hint="cs"/>
          <w:rtl/>
          <w:lang w:bidi="ar-EG"/>
        </w:rPr>
      </w:pPr>
      <w:r>
        <w:rPr>
          <w:rFonts w:hint="cs"/>
          <w:rtl/>
          <w:lang w:bidi="ar-EG"/>
        </w:rPr>
        <w:tab/>
        <w:t>ويجب أن يحظى المرصد بالاستقلال الذاتي وستكون مهمته مراقبة ورصد تنفيذ هذا القانون وإنفاذه. وسيكون للمرصد صلة سياسية وهيكلية بالمجلس الوطني لحقوق المرأة وسيقدم مدخلات لتحسين السياسات العامة التي تتعلق بالعنف ضد المرأة، بحيث تتسق مع اتفاقية بيليم دو بارا وتوصيات اتفاقية القضاء على جميع أشكال التمييز ضد المرأة.</w:t>
      </w:r>
    </w:p>
    <w:p w:rsidR="00F47B96" w:rsidRPr="00F47B96" w:rsidRDefault="00F47B96" w:rsidP="00F47B96">
      <w:pPr>
        <w:pStyle w:val="SingleTxt"/>
        <w:spacing w:after="0" w:line="120" w:lineRule="exact"/>
        <w:rPr>
          <w:rFonts w:hint="cs"/>
          <w:sz w:val="10"/>
          <w:rtl/>
          <w:lang w:bidi="ar-EG"/>
        </w:rPr>
      </w:pPr>
    </w:p>
    <w:p w:rsidR="00F47B96" w:rsidRPr="00F47B96" w:rsidRDefault="00F47B96" w:rsidP="00F47B96">
      <w:pPr>
        <w:pStyle w:val="SingleTxt"/>
        <w:rPr>
          <w:b/>
          <w:bCs/>
          <w:rtl/>
        </w:rPr>
      </w:pPr>
      <w:r>
        <w:rPr>
          <w:rFonts w:hint="cs"/>
          <w:rtl/>
        </w:rPr>
        <w:t xml:space="preserve">9 </w:t>
      </w:r>
      <w:r w:rsidRPr="005E297F">
        <w:rPr>
          <w:rtl/>
        </w:rPr>
        <w:t>-</w:t>
      </w:r>
      <w:r>
        <w:rPr>
          <w:rFonts w:hint="cs"/>
          <w:rtl/>
        </w:rPr>
        <w:tab/>
      </w:r>
      <w:r w:rsidRPr="00F47B96">
        <w:rPr>
          <w:b/>
          <w:bCs/>
          <w:rtl/>
        </w:rPr>
        <w:t>يرجى تقديم معلومات عن أثر الدراسة الاستقصائية التي أجرتها البرازيل في إطار الدراسة المتعددة الأقطار عن صحة المرأة والعنف العائلي ضد المرأة التي أعدتها منظمة الصحة العالمية وذلك من حيث اعتماد سياسات جديدة وغيرها من التدابير.</w:t>
      </w:r>
    </w:p>
    <w:p w:rsidR="00F47B96" w:rsidRDefault="00F47B96" w:rsidP="007C0597">
      <w:pPr>
        <w:pStyle w:val="SingleTxt"/>
        <w:rPr>
          <w:rFonts w:hint="cs"/>
          <w:rtl/>
        </w:rPr>
      </w:pPr>
      <w:r>
        <w:rPr>
          <w:rFonts w:hint="cs"/>
          <w:rtl/>
        </w:rPr>
        <w:tab/>
        <w:t>استمرت الدراسة الاستقصائية، مثلها مثل المبادرات والحملات والدراسات الجارية الأخرى، في تأكيد حاجة البرازيل إلى المعالجة الحاسمة للعنف ضد المرأة بوصفه مسألة من مسائل الصحة العامة أيضا. ولقيت الدراسة الاستقصائية ترحيبا شديدا في البرازيل، فنشرتها الصحف الوطنية والصحافة الإقليمية والمعاهد والوكالات المتصلة بهذه المسألة</w:t>
      </w:r>
      <w:r w:rsidR="00617DF6">
        <w:rPr>
          <w:rFonts w:hint="cs"/>
          <w:rtl/>
        </w:rPr>
        <w:t>،</w:t>
      </w:r>
      <w:r>
        <w:rPr>
          <w:rFonts w:hint="cs"/>
          <w:rtl/>
        </w:rPr>
        <w:t xml:space="preserve"> وأثنت عليها. وكان لهذه الدراسة الاستقصائية أثر إيجابي أيضا في وزارة الصحة البرازيلية، وبخاصة في المجال التقني المكرس لصحة المرأة.</w:t>
      </w:r>
    </w:p>
    <w:p w:rsidR="00F47B96" w:rsidRPr="00F47B96" w:rsidRDefault="00F47B96" w:rsidP="00F47B96">
      <w:pPr>
        <w:pStyle w:val="SingleTxt"/>
        <w:spacing w:after="0" w:line="120" w:lineRule="exact"/>
        <w:rPr>
          <w:rFonts w:hint="cs"/>
          <w:sz w:val="10"/>
          <w:rtl/>
        </w:rPr>
      </w:pPr>
    </w:p>
    <w:p w:rsidR="00F47B96" w:rsidRPr="00F47B96" w:rsidRDefault="00F47B96" w:rsidP="00D67E8E">
      <w:pPr>
        <w:pStyle w:val="SingleTxt"/>
        <w:rPr>
          <w:b/>
          <w:bCs/>
        </w:rPr>
      </w:pPr>
      <w:r w:rsidRPr="00F47B96">
        <w:rPr>
          <w:rFonts w:hint="cs"/>
          <w:b/>
          <w:bCs/>
          <w:rtl/>
        </w:rPr>
        <w:t xml:space="preserve">10 </w:t>
      </w:r>
      <w:r w:rsidRPr="00F47B96">
        <w:rPr>
          <w:b/>
          <w:bCs/>
          <w:rtl/>
        </w:rPr>
        <w:t>-</w:t>
      </w:r>
      <w:r w:rsidRPr="00F47B96">
        <w:rPr>
          <w:rFonts w:hint="cs"/>
          <w:b/>
          <w:bCs/>
          <w:rtl/>
        </w:rPr>
        <w:tab/>
      </w:r>
      <w:r w:rsidRPr="00F47B96">
        <w:rPr>
          <w:b/>
          <w:bCs/>
          <w:rtl/>
        </w:rPr>
        <w:t xml:space="preserve">أفاد التقرير </w:t>
      </w:r>
      <w:r w:rsidR="00D67E8E">
        <w:rPr>
          <w:rFonts w:hint="cs"/>
          <w:b/>
          <w:bCs/>
          <w:rtl/>
        </w:rPr>
        <w:t xml:space="preserve">(صفحة 36) </w:t>
      </w:r>
      <w:r w:rsidRPr="00F47B96">
        <w:rPr>
          <w:b/>
          <w:bCs/>
          <w:rtl/>
        </w:rPr>
        <w:t xml:space="preserve">بإنشاء مكتب لأمين المظالم في آذار/مارس 2003 بموجب المرسوم رقم 4625 (المادة 3، </w:t>
      </w:r>
      <w:r w:rsidR="00D67E8E">
        <w:rPr>
          <w:rFonts w:hint="cs"/>
          <w:b/>
          <w:bCs/>
          <w:rtl/>
        </w:rPr>
        <w:t>القسم الثالث</w:t>
      </w:r>
      <w:r w:rsidRPr="00F47B96">
        <w:rPr>
          <w:b/>
          <w:bCs/>
          <w:rtl/>
        </w:rPr>
        <w:t xml:space="preserve">) بهدف تناول </w:t>
      </w:r>
      <w:r w:rsidRPr="00F47B96">
        <w:rPr>
          <w:rFonts w:hint="cs"/>
          <w:b/>
          <w:bCs/>
          <w:rtl/>
        </w:rPr>
        <w:t>ادعاءات</w:t>
      </w:r>
      <w:r w:rsidRPr="00F47B96">
        <w:rPr>
          <w:b/>
          <w:bCs/>
          <w:rtl/>
        </w:rPr>
        <w:t xml:space="preserve"> التمييز والعنف ضد المرأة.</w:t>
      </w:r>
      <w:r w:rsidRPr="00F47B96">
        <w:rPr>
          <w:b/>
          <w:bCs/>
        </w:rPr>
        <w:t xml:space="preserve"> </w:t>
      </w:r>
      <w:r w:rsidRPr="00F47B96">
        <w:rPr>
          <w:b/>
          <w:bCs/>
          <w:rtl/>
        </w:rPr>
        <w:t xml:space="preserve">ما هو عدد </w:t>
      </w:r>
      <w:r w:rsidRPr="00F47B96">
        <w:rPr>
          <w:rFonts w:hint="cs"/>
          <w:b/>
          <w:bCs/>
          <w:rtl/>
        </w:rPr>
        <w:t>الادعاءات</w:t>
      </w:r>
      <w:r w:rsidRPr="00F47B96">
        <w:rPr>
          <w:b/>
          <w:bCs/>
          <w:rtl/>
        </w:rPr>
        <w:t xml:space="preserve"> والشكاوى المتعلقة بالتمييز والعنف ضد المرأة التي تلقاها مكتب أمين المظالم وأحالها إلى </w:t>
      </w:r>
      <w:r w:rsidRPr="00F47B96">
        <w:rPr>
          <w:rFonts w:hint="cs"/>
          <w:b/>
          <w:bCs/>
          <w:rtl/>
        </w:rPr>
        <w:t xml:space="preserve">كل من </w:t>
      </w:r>
      <w:r w:rsidRPr="00F47B96">
        <w:rPr>
          <w:b/>
          <w:bCs/>
          <w:rtl/>
        </w:rPr>
        <w:t>الهيئات المختصة للتحقيق فيها، وما</w:t>
      </w:r>
      <w:r w:rsidRPr="00F47B96">
        <w:rPr>
          <w:rFonts w:hint="cs"/>
          <w:b/>
          <w:bCs/>
          <w:rtl/>
        </w:rPr>
        <w:t>ذا كان مآل</w:t>
      </w:r>
      <w:r w:rsidRPr="00F47B96">
        <w:rPr>
          <w:b/>
          <w:bCs/>
          <w:rtl/>
        </w:rPr>
        <w:t xml:space="preserve"> تلك ال</w:t>
      </w:r>
      <w:r w:rsidRPr="00F47B96">
        <w:rPr>
          <w:rFonts w:hint="cs"/>
          <w:b/>
          <w:bCs/>
          <w:rtl/>
        </w:rPr>
        <w:t>قضايا</w:t>
      </w:r>
      <w:r w:rsidRPr="00F47B96">
        <w:rPr>
          <w:b/>
          <w:bCs/>
          <w:rtl/>
        </w:rPr>
        <w:t>؟</w:t>
      </w:r>
      <w:r w:rsidRPr="00F47B96">
        <w:rPr>
          <w:b/>
          <w:bCs/>
        </w:rPr>
        <w:t xml:space="preserve"> </w:t>
      </w:r>
    </w:p>
    <w:tbl>
      <w:tblPr>
        <w:bidiVisual/>
        <w:tblW w:w="0" w:type="auto"/>
        <w:tblInd w:w="1267" w:type="dxa"/>
        <w:tblLayout w:type="fixed"/>
        <w:tblCellMar>
          <w:left w:w="0" w:type="dxa"/>
          <w:right w:w="0" w:type="dxa"/>
        </w:tblCellMar>
        <w:tblLook w:val="0000" w:firstRow="0" w:lastRow="0" w:firstColumn="0" w:lastColumn="0" w:noHBand="0" w:noVBand="0"/>
      </w:tblPr>
      <w:tblGrid>
        <w:gridCol w:w="2300"/>
        <w:gridCol w:w="2266"/>
        <w:gridCol w:w="2060"/>
        <w:gridCol w:w="694"/>
      </w:tblGrid>
      <w:tr w:rsidR="00D67E8E" w:rsidRPr="00D67E8E">
        <w:tblPrEx>
          <w:tblCellMar>
            <w:top w:w="0" w:type="dxa"/>
            <w:bottom w:w="0" w:type="dxa"/>
          </w:tblCellMar>
        </w:tblPrEx>
        <w:trPr>
          <w:cantSplit/>
          <w:tblHeader/>
        </w:trPr>
        <w:tc>
          <w:tcPr>
            <w:tcW w:w="7320" w:type="dxa"/>
            <w:gridSpan w:val="4"/>
            <w:tcBorders>
              <w:top w:val="single" w:sz="4" w:space="0" w:color="auto"/>
              <w:bottom w:val="single" w:sz="4" w:space="0" w:color="auto"/>
            </w:tcBorders>
            <w:shd w:val="clear" w:color="auto" w:fill="auto"/>
            <w:vAlign w:val="bottom"/>
          </w:tcPr>
          <w:p w:rsidR="00D67E8E" w:rsidRPr="00D65187" w:rsidRDefault="00D67E8E" w:rsidP="00D67E8E">
            <w:pPr>
              <w:tabs>
                <w:tab w:val="left" w:pos="288"/>
                <w:tab w:val="left" w:pos="576"/>
                <w:tab w:val="left" w:pos="864"/>
                <w:tab w:val="left" w:pos="1152"/>
              </w:tabs>
              <w:suppressAutoHyphens/>
              <w:spacing w:before="80" w:after="80" w:line="240" w:lineRule="exact"/>
              <w:ind w:right="144"/>
              <w:jc w:val="center"/>
              <w:rPr>
                <w:rFonts w:hint="cs"/>
                <w:b/>
                <w:bCs/>
                <w:sz w:val="18"/>
                <w:szCs w:val="26"/>
                <w:rtl/>
              </w:rPr>
            </w:pPr>
            <w:r w:rsidRPr="00D65187">
              <w:rPr>
                <w:rFonts w:hint="cs"/>
                <w:b/>
                <w:bCs/>
                <w:sz w:val="18"/>
                <w:szCs w:val="26"/>
                <w:rtl/>
              </w:rPr>
              <w:t>مجموع الشكاوى حسب السنة</w:t>
            </w:r>
          </w:p>
        </w:tc>
      </w:tr>
      <w:tr w:rsidR="00D67E8E" w:rsidRPr="00D67E8E">
        <w:tblPrEx>
          <w:tblCellMar>
            <w:top w:w="0" w:type="dxa"/>
            <w:bottom w:w="0" w:type="dxa"/>
          </w:tblCellMar>
        </w:tblPrEx>
        <w:trPr>
          <w:cantSplit/>
        </w:trPr>
        <w:tc>
          <w:tcPr>
            <w:tcW w:w="2300" w:type="dxa"/>
            <w:tcBorders>
              <w:top w:val="single" w:sz="4" w:space="0" w:color="auto"/>
            </w:tcBorders>
            <w:shd w:val="clear" w:color="auto" w:fill="auto"/>
            <w:vAlign w:val="bottom"/>
          </w:tcPr>
          <w:p w:rsidR="00D67E8E" w:rsidRPr="00D67E8E" w:rsidRDefault="00D67E8E" w:rsidP="00D67E8E">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2003</w:t>
            </w:r>
          </w:p>
        </w:tc>
        <w:tc>
          <w:tcPr>
            <w:tcW w:w="2266" w:type="dxa"/>
            <w:tcBorders>
              <w:top w:val="single" w:sz="4" w:space="0" w:color="auto"/>
            </w:tcBorders>
            <w:shd w:val="clear" w:color="auto" w:fill="auto"/>
            <w:vAlign w:val="bottom"/>
          </w:tcPr>
          <w:p w:rsidR="00D67E8E" w:rsidRPr="00D67E8E" w:rsidRDefault="00D67E8E" w:rsidP="00D67E8E">
            <w:pPr>
              <w:tabs>
                <w:tab w:val="left" w:pos="288"/>
                <w:tab w:val="left" w:pos="576"/>
                <w:tab w:val="left" w:pos="864"/>
                <w:tab w:val="left" w:pos="1152"/>
              </w:tabs>
              <w:spacing w:before="40" w:after="80" w:line="240" w:lineRule="exact"/>
              <w:ind w:right="144"/>
              <w:rPr>
                <w:rFonts w:hint="cs"/>
                <w:sz w:val="18"/>
                <w:szCs w:val="26"/>
                <w:rtl/>
              </w:rPr>
            </w:pPr>
            <w:r w:rsidRPr="00D67E8E">
              <w:rPr>
                <w:rFonts w:hint="cs"/>
                <w:sz w:val="18"/>
                <w:szCs w:val="26"/>
                <w:rtl/>
              </w:rPr>
              <w:t>2004</w:t>
            </w:r>
          </w:p>
        </w:tc>
        <w:tc>
          <w:tcPr>
            <w:tcW w:w="2060" w:type="dxa"/>
            <w:tcBorders>
              <w:top w:val="single" w:sz="4" w:space="0" w:color="auto"/>
            </w:tcBorders>
            <w:shd w:val="clear" w:color="auto" w:fill="auto"/>
            <w:vAlign w:val="bottom"/>
          </w:tcPr>
          <w:p w:rsidR="00D67E8E" w:rsidRPr="00D67E8E" w:rsidRDefault="00D67E8E" w:rsidP="00D67E8E">
            <w:pPr>
              <w:tabs>
                <w:tab w:val="left" w:pos="288"/>
                <w:tab w:val="left" w:pos="576"/>
                <w:tab w:val="left" w:pos="864"/>
                <w:tab w:val="left" w:pos="1152"/>
              </w:tabs>
              <w:spacing w:before="40" w:after="80" w:line="240" w:lineRule="exact"/>
              <w:ind w:right="144"/>
              <w:rPr>
                <w:rFonts w:hint="cs"/>
                <w:sz w:val="18"/>
                <w:szCs w:val="26"/>
                <w:rtl/>
              </w:rPr>
            </w:pPr>
            <w:r w:rsidRPr="00D67E8E">
              <w:rPr>
                <w:rFonts w:hint="cs"/>
                <w:sz w:val="18"/>
                <w:szCs w:val="26"/>
                <w:rtl/>
              </w:rPr>
              <w:t>2005</w:t>
            </w:r>
          </w:p>
        </w:tc>
        <w:tc>
          <w:tcPr>
            <w:tcW w:w="694" w:type="dxa"/>
            <w:tcBorders>
              <w:top w:val="single" w:sz="4" w:space="0" w:color="auto"/>
            </w:tcBorders>
            <w:shd w:val="clear" w:color="auto" w:fill="auto"/>
            <w:vAlign w:val="bottom"/>
          </w:tcPr>
          <w:p w:rsidR="00D67E8E" w:rsidRPr="00D67E8E" w:rsidRDefault="00D67E8E" w:rsidP="00D67E8E">
            <w:pPr>
              <w:tabs>
                <w:tab w:val="left" w:pos="288"/>
                <w:tab w:val="left" w:pos="576"/>
                <w:tab w:val="left" w:pos="864"/>
                <w:tab w:val="left" w:pos="1152"/>
              </w:tabs>
              <w:spacing w:before="40" w:after="80" w:line="240" w:lineRule="exact"/>
              <w:ind w:right="144"/>
              <w:rPr>
                <w:rFonts w:hint="cs"/>
                <w:sz w:val="18"/>
                <w:szCs w:val="26"/>
                <w:rtl/>
              </w:rPr>
            </w:pPr>
            <w:r w:rsidRPr="00D67E8E">
              <w:rPr>
                <w:rFonts w:hint="cs"/>
                <w:sz w:val="18"/>
                <w:szCs w:val="26"/>
                <w:rtl/>
              </w:rPr>
              <w:t>2006</w:t>
            </w:r>
          </w:p>
        </w:tc>
      </w:tr>
      <w:tr w:rsidR="00D80F26" w:rsidRPr="00D67E8E">
        <w:tblPrEx>
          <w:tblCellMar>
            <w:top w:w="0" w:type="dxa"/>
            <w:bottom w:w="0" w:type="dxa"/>
          </w:tblCellMar>
        </w:tblPrEx>
        <w:trPr>
          <w:cantSplit/>
          <w:trHeight w:hRule="exact" w:val="115"/>
          <w:tblHeader/>
        </w:trPr>
        <w:tc>
          <w:tcPr>
            <w:tcW w:w="2300" w:type="dxa"/>
            <w:tcBorders>
              <w:top w:val="single" w:sz="12" w:space="0" w:color="auto"/>
            </w:tcBorders>
            <w:shd w:val="clear" w:color="auto" w:fill="auto"/>
            <w:vAlign w:val="bottom"/>
          </w:tcPr>
          <w:p w:rsidR="00D80F26" w:rsidRPr="00D67E8E" w:rsidRDefault="00D80F26" w:rsidP="00C66309">
            <w:pPr>
              <w:tabs>
                <w:tab w:val="left" w:pos="288"/>
                <w:tab w:val="left" w:pos="576"/>
                <w:tab w:val="left" w:pos="864"/>
                <w:tab w:val="left" w:pos="1152"/>
              </w:tabs>
              <w:spacing w:before="40" w:after="80" w:line="240" w:lineRule="exact"/>
              <w:ind w:right="40"/>
              <w:rPr>
                <w:rFonts w:hint="cs"/>
                <w:sz w:val="16"/>
                <w:szCs w:val="24"/>
                <w:rtl/>
              </w:rPr>
            </w:pPr>
          </w:p>
        </w:tc>
        <w:tc>
          <w:tcPr>
            <w:tcW w:w="2266" w:type="dxa"/>
            <w:tcBorders>
              <w:top w:val="single" w:sz="12" w:space="0" w:color="auto"/>
            </w:tcBorders>
            <w:shd w:val="clear" w:color="auto" w:fill="auto"/>
            <w:vAlign w:val="bottom"/>
          </w:tcPr>
          <w:p w:rsidR="00D80F26" w:rsidRPr="00D67E8E" w:rsidRDefault="00D80F26" w:rsidP="00C66309">
            <w:pPr>
              <w:tabs>
                <w:tab w:val="left" w:pos="288"/>
                <w:tab w:val="left" w:pos="576"/>
                <w:tab w:val="left" w:pos="864"/>
                <w:tab w:val="left" w:pos="1152"/>
              </w:tabs>
              <w:spacing w:before="40" w:after="80" w:line="240" w:lineRule="exact"/>
              <w:ind w:right="144"/>
              <w:rPr>
                <w:rFonts w:hint="cs"/>
                <w:sz w:val="18"/>
                <w:szCs w:val="26"/>
                <w:rtl/>
              </w:rPr>
            </w:pPr>
          </w:p>
        </w:tc>
        <w:tc>
          <w:tcPr>
            <w:tcW w:w="2060" w:type="dxa"/>
            <w:tcBorders>
              <w:top w:val="single" w:sz="12" w:space="0" w:color="auto"/>
            </w:tcBorders>
            <w:shd w:val="clear" w:color="auto" w:fill="auto"/>
            <w:vAlign w:val="bottom"/>
          </w:tcPr>
          <w:p w:rsidR="00D80F26" w:rsidRPr="00D67E8E" w:rsidRDefault="00D80F26" w:rsidP="00C66309">
            <w:pPr>
              <w:tabs>
                <w:tab w:val="left" w:pos="288"/>
                <w:tab w:val="left" w:pos="576"/>
                <w:tab w:val="left" w:pos="864"/>
                <w:tab w:val="left" w:pos="1152"/>
              </w:tabs>
              <w:spacing w:before="40" w:after="80" w:line="240" w:lineRule="exact"/>
              <w:ind w:right="144"/>
              <w:rPr>
                <w:rFonts w:hint="cs"/>
                <w:sz w:val="18"/>
                <w:szCs w:val="26"/>
                <w:rtl/>
              </w:rPr>
            </w:pPr>
          </w:p>
        </w:tc>
        <w:tc>
          <w:tcPr>
            <w:tcW w:w="694" w:type="dxa"/>
            <w:tcBorders>
              <w:top w:val="single" w:sz="12" w:space="0" w:color="auto"/>
            </w:tcBorders>
            <w:shd w:val="clear" w:color="auto" w:fill="auto"/>
            <w:vAlign w:val="bottom"/>
          </w:tcPr>
          <w:p w:rsidR="00D80F26" w:rsidRPr="00D67E8E" w:rsidRDefault="00D80F26" w:rsidP="00C66309">
            <w:pPr>
              <w:tabs>
                <w:tab w:val="left" w:pos="288"/>
                <w:tab w:val="left" w:pos="576"/>
                <w:tab w:val="left" w:pos="864"/>
                <w:tab w:val="left" w:pos="1152"/>
              </w:tabs>
              <w:spacing w:before="40" w:after="80" w:line="240" w:lineRule="exact"/>
              <w:ind w:right="144"/>
              <w:rPr>
                <w:rFonts w:hint="cs"/>
                <w:sz w:val="18"/>
                <w:szCs w:val="26"/>
                <w:rtl/>
              </w:rPr>
            </w:pPr>
          </w:p>
        </w:tc>
      </w:tr>
      <w:tr w:rsidR="00D67E8E" w:rsidRPr="00D67E8E">
        <w:tblPrEx>
          <w:tblCellMar>
            <w:top w:w="0" w:type="dxa"/>
            <w:bottom w:w="0" w:type="dxa"/>
          </w:tblCellMar>
        </w:tblPrEx>
        <w:trPr>
          <w:cantSplit/>
        </w:trPr>
        <w:tc>
          <w:tcPr>
            <w:tcW w:w="2300" w:type="dxa"/>
            <w:tcBorders>
              <w:bottom w:val="single" w:sz="12" w:space="0" w:color="auto"/>
            </w:tcBorders>
            <w:shd w:val="clear" w:color="auto" w:fill="auto"/>
            <w:vAlign w:val="bottom"/>
          </w:tcPr>
          <w:p w:rsidR="00D67E8E" w:rsidRPr="00D67E8E" w:rsidRDefault="00D67E8E" w:rsidP="00D67E8E">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86</w:t>
            </w:r>
          </w:p>
        </w:tc>
        <w:tc>
          <w:tcPr>
            <w:tcW w:w="2266" w:type="dxa"/>
            <w:tcBorders>
              <w:bottom w:val="single" w:sz="12" w:space="0" w:color="auto"/>
            </w:tcBorders>
            <w:shd w:val="clear" w:color="auto" w:fill="auto"/>
            <w:vAlign w:val="bottom"/>
          </w:tcPr>
          <w:p w:rsidR="00D67E8E" w:rsidRPr="00D67E8E" w:rsidRDefault="00D67E8E" w:rsidP="00D67E8E">
            <w:pPr>
              <w:tabs>
                <w:tab w:val="left" w:pos="288"/>
                <w:tab w:val="left" w:pos="576"/>
                <w:tab w:val="left" w:pos="864"/>
                <w:tab w:val="left" w:pos="1152"/>
              </w:tabs>
              <w:spacing w:before="40" w:after="80" w:line="240" w:lineRule="exact"/>
              <w:ind w:right="144"/>
              <w:rPr>
                <w:rFonts w:hint="cs"/>
                <w:sz w:val="18"/>
                <w:szCs w:val="26"/>
                <w:rtl/>
              </w:rPr>
            </w:pPr>
            <w:r w:rsidRPr="00D67E8E">
              <w:rPr>
                <w:rFonts w:hint="cs"/>
                <w:sz w:val="18"/>
                <w:szCs w:val="26"/>
                <w:rtl/>
              </w:rPr>
              <w:t>224</w:t>
            </w:r>
          </w:p>
        </w:tc>
        <w:tc>
          <w:tcPr>
            <w:tcW w:w="2060" w:type="dxa"/>
            <w:tcBorders>
              <w:bottom w:val="single" w:sz="12" w:space="0" w:color="auto"/>
            </w:tcBorders>
            <w:shd w:val="clear" w:color="auto" w:fill="auto"/>
            <w:vAlign w:val="bottom"/>
          </w:tcPr>
          <w:p w:rsidR="00D67E8E" w:rsidRPr="00D67E8E" w:rsidRDefault="00D67E8E" w:rsidP="00D67E8E">
            <w:pPr>
              <w:tabs>
                <w:tab w:val="left" w:pos="288"/>
                <w:tab w:val="left" w:pos="576"/>
                <w:tab w:val="left" w:pos="864"/>
                <w:tab w:val="left" w:pos="1152"/>
              </w:tabs>
              <w:spacing w:before="40" w:after="80" w:line="240" w:lineRule="exact"/>
              <w:ind w:right="144"/>
              <w:rPr>
                <w:rFonts w:hint="cs"/>
                <w:sz w:val="18"/>
                <w:szCs w:val="26"/>
                <w:rtl/>
              </w:rPr>
            </w:pPr>
            <w:r w:rsidRPr="00D67E8E">
              <w:rPr>
                <w:rFonts w:hint="cs"/>
                <w:sz w:val="18"/>
                <w:szCs w:val="26"/>
                <w:rtl/>
              </w:rPr>
              <w:t>364</w:t>
            </w:r>
          </w:p>
        </w:tc>
        <w:tc>
          <w:tcPr>
            <w:tcW w:w="694" w:type="dxa"/>
            <w:tcBorders>
              <w:bottom w:val="single" w:sz="12" w:space="0" w:color="auto"/>
            </w:tcBorders>
            <w:shd w:val="clear" w:color="auto" w:fill="auto"/>
            <w:vAlign w:val="bottom"/>
          </w:tcPr>
          <w:p w:rsidR="00D67E8E" w:rsidRPr="00D67E8E" w:rsidRDefault="00D67E8E" w:rsidP="00D67E8E">
            <w:pPr>
              <w:tabs>
                <w:tab w:val="left" w:pos="288"/>
                <w:tab w:val="left" w:pos="576"/>
                <w:tab w:val="left" w:pos="864"/>
                <w:tab w:val="left" w:pos="1152"/>
              </w:tabs>
              <w:spacing w:before="40" w:after="80" w:line="240" w:lineRule="exact"/>
              <w:ind w:right="144"/>
              <w:rPr>
                <w:rFonts w:hint="cs"/>
                <w:sz w:val="18"/>
                <w:szCs w:val="26"/>
                <w:rtl/>
              </w:rPr>
            </w:pPr>
            <w:r w:rsidRPr="00D67E8E">
              <w:rPr>
                <w:rFonts w:hint="cs"/>
                <w:sz w:val="18"/>
                <w:szCs w:val="26"/>
                <w:rtl/>
              </w:rPr>
              <w:t>351</w:t>
            </w:r>
          </w:p>
        </w:tc>
      </w:tr>
    </w:tbl>
    <w:p w:rsidR="00D67E8E" w:rsidRPr="00D67E8E" w:rsidRDefault="00D67E8E" w:rsidP="00D67E8E">
      <w:pPr>
        <w:pStyle w:val="SingleTxt"/>
        <w:spacing w:after="0" w:line="120" w:lineRule="exact"/>
        <w:rPr>
          <w:rFonts w:hint="cs"/>
          <w:b/>
          <w:bCs/>
          <w:sz w:val="10"/>
          <w:rtl/>
        </w:rPr>
      </w:pPr>
    </w:p>
    <w:p w:rsidR="00F47B96" w:rsidRPr="00F47B96" w:rsidRDefault="00D67E8E" w:rsidP="00D67E8E">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r>
      <w:r w:rsidRPr="00D67E8E">
        <w:rPr>
          <w:rFonts w:hint="cs"/>
          <w:i/>
          <w:iCs/>
          <w:rtl/>
        </w:rPr>
        <w:t>المصدر</w:t>
      </w:r>
      <w:r>
        <w:rPr>
          <w:rFonts w:hint="cs"/>
          <w:rtl/>
        </w:rPr>
        <w:t>:</w:t>
      </w:r>
      <w:r>
        <w:rPr>
          <w:rFonts w:hint="cs"/>
          <w:rtl/>
        </w:rPr>
        <w:tab/>
        <w:t>أوفيدوريا/الأمانة الخاصة لسياسات المرأة - نيسان/أبريل 2007.</w:t>
      </w:r>
    </w:p>
    <w:p w:rsidR="00D67E8E" w:rsidRPr="00D67E8E" w:rsidRDefault="00D67E8E" w:rsidP="00D67E8E">
      <w:pPr>
        <w:pStyle w:val="SingleTxt"/>
        <w:spacing w:after="0" w:line="120" w:lineRule="exact"/>
        <w:rPr>
          <w:rFonts w:hint="cs"/>
          <w:sz w:val="10"/>
          <w:rtl/>
          <w:lang w:bidi="ar-EG"/>
        </w:rPr>
      </w:pPr>
    </w:p>
    <w:p w:rsidR="00D67E8E" w:rsidRPr="00D67E8E" w:rsidRDefault="00D67E8E" w:rsidP="00D67E8E">
      <w:pPr>
        <w:pStyle w:val="SingleTxt"/>
        <w:spacing w:after="0" w:line="120" w:lineRule="exact"/>
        <w:rPr>
          <w:rFonts w:hint="cs"/>
          <w:sz w:val="10"/>
          <w:rtl/>
          <w:lang w:bidi="ar-EG"/>
        </w:rPr>
      </w:pPr>
    </w:p>
    <w:p w:rsidR="00F92183" w:rsidRDefault="00D67E8E" w:rsidP="00617DF6">
      <w:pPr>
        <w:pStyle w:val="SingleTxt"/>
        <w:rPr>
          <w:rFonts w:hint="cs"/>
          <w:rtl/>
          <w:lang w:bidi="ar-EG"/>
        </w:rPr>
      </w:pPr>
      <w:r>
        <w:rPr>
          <w:rFonts w:hint="cs"/>
          <w:rtl/>
          <w:lang w:bidi="ar-EG"/>
        </w:rPr>
        <w:tab/>
        <w:t xml:space="preserve">تجدر الإشارة إلى أن نقص عدد الشكاوى المقدمة إلى مكتب أمين المظالم عام 2006 كان يرجع إلى إدخال خدمة </w:t>
      </w:r>
      <w:r w:rsidR="00617DF6">
        <w:rPr>
          <w:rFonts w:hint="cs"/>
          <w:rtl/>
          <w:lang w:bidi="ar-EG"/>
        </w:rPr>
        <w:t xml:space="preserve">السنترال </w:t>
      </w:r>
      <w:r>
        <w:rPr>
          <w:rFonts w:hint="cs"/>
          <w:rtl/>
          <w:lang w:bidi="ar-EG"/>
        </w:rPr>
        <w:t>النسائية</w:t>
      </w:r>
      <w:r w:rsidR="00617DF6">
        <w:rPr>
          <w:rFonts w:hint="cs"/>
          <w:rtl/>
          <w:lang w:bidi="ar-EG"/>
        </w:rPr>
        <w:t xml:space="preserve"> - </w:t>
      </w:r>
      <w:r>
        <w:rPr>
          <w:rFonts w:hint="cs"/>
          <w:rtl/>
          <w:lang w:bidi="ar-EG"/>
        </w:rPr>
        <w:t xml:space="preserve"> </w:t>
      </w:r>
      <w:r>
        <w:rPr>
          <w:rFonts w:hint="cs"/>
          <w:i/>
          <w:iCs/>
          <w:rtl/>
          <w:lang w:bidi="ar-EG"/>
        </w:rPr>
        <w:t>أطلبي رقم 180</w:t>
      </w:r>
      <w:r w:rsidR="00617DF6">
        <w:rPr>
          <w:rFonts w:hint="cs"/>
          <w:rtl/>
          <w:lang w:bidi="ar-EG"/>
        </w:rPr>
        <w:t>. وهي</w:t>
      </w:r>
      <w:r>
        <w:rPr>
          <w:rFonts w:hint="cs"/>
          <w:rtl/>
          <w:lang w:bidi="ar-EG"/>
        </w:rPr>
        <w:t xml:space="preserve"> خدمة هاتفية مجانية لمساعدة النساء في حالات العنف.</w:t>
      </w:r>
    </w:p>
    <w:p w:rsidR="00D67E8E" w:rsidRDefault="00D67E8E" w:rsidP="00937608">
      <w:pPr>
        <w:pStyle w:val="SingleTxt"/>
        <w:rPr>
          <w:rFonts w:hint="cs"/>
          <w:rtl/>
          <w:lang w:bidi="ar-EG"/>
        </w:rPr>
      </w:pPr>
      <w:r>
        <w:rPr>
          <w:rFonts w:hint="cs"/>
          <w:rtl/>
          <w:lang w:bidi="ar-EG"/>
        </w:rPr>
        <w:tab/>
        <w:t xml:space="preserve">وفي عام 2003 عندما أنشئ مكتب أمين المظالم، كانت معظم المساعدات </w:t>
      </w:r>
      <w:r w:rsidRPr="00617DF6">
        <w:rPr>
          <w:rFonts w:hint="cs"/>
          <w:i/>
          <w:iCs/>
          <w:rtl/>
          <w:lang w:bidi="ar-EG"/>
        </w:rPr>
        <w:t xml:space="preserve">شخصية </w:t>
      </w:r>
      <w:r>
        <w:rPr>
          <w:rFonts w:hint="cs"/>
          <w:rtl/>
          <w:lang w:bidi="ar-EG"/>
        </w:rPr>
        <w:t xml:space="preserve">(32.56 في المائة) وعن طريق </w:t>
      </w:r>
      <w:r>
        <w:rPr>
          <w:rFonts w:hint="cs"/>
          <w:i/>
          <w:iCs/>
          <w:rtl/>
          <w:lang w:bidi="ar-EG"/>
        </w:rPr>
        <w:t>الهاتف</w:t>
      </w:r>
      <w:r>
        <w:rPr>
          <w:rFonts w:hint="cs"/>
          <w:rtl/>
          <w:lang w:bidi="ar-EG"/>
        </w:rPr>
        <w:t xml:space="preserve"> (20.93 في المائة). وجاءت معظم طلبات المساعدة من المنطقة </w:t>
      </w:r>
      <w:r>
        <w:rPr>
          <w:rFonts w:hint="cs"/>
          <w:i/>
          <w:iCs/>
          <w:rtl/>
          <w:lang w:bidi="ar-EG"/>
        </w:rPr>
        <w:t>الغربية الوسطى</w:t>
      </w:r>
      <w:r>
        <w:rPr>
          <w:rFonts w:hint="cs"/>
          <w:rtl/>
          <w:lang w:bidi="ar-EG"/>
        </w:rPr>
        <w:t xml:space="preserve"> (33.72 في المائة) تتبعها المنطقة </w:t>
      </w:r>
      <w:r>
        <w:rPr>
          <w:rFonts w:hint="cs"/>
          <w:i/>
          <w:iCs/>
          <w:rtl/>
          <w:lang w:bidi="ar-EG"/>
        </w:rPr>
        <w:t>الجنوبية الشرقية</w:t>
      </w:r>
      <w:r>
        <w:rPr>
          <w:rFonts w:hint="cs"/>
          <w:rtl/>
          <w:lang w:bidi="ar-EG"/>
        </w:rPr>
        <w:t xml:space="preserve"> (17.44 في المائة). و</w:t>
      </w:r>
      <w:r w:rsidR="00937608">
        <w:rPr>
          <w:rFonts w:hint="cs"/>
          <w:rtl/>
          <w:lang w:bidi="ar-EG"/>
        </w:rPr>
        <w:t>غالبا ما كان يجري طل</w:t>
      </w:r>
      <w:r>
        <w:rPr>
          <w:rFonts w:hint="cs"/>
          <w:rtl/>
          <w:lang w:bidi="ar-EG"/>
        </w:rPr>
        <w:t>ب</w:t>
      </w:r>
      <w:r w:rsidR="00937608">
        <w:rPr>
          <w:rFonts w:hint="cs"/>
          <w:rtl/>
          <w:lang w:bidi="ar-EG"/>
        </w:rPr>
        <w:t xml:space="preserve"> ال</w:t>
      </w:r>
      <w:r>
        <w:rPr>
          <w:rFonts w:hint="cs"/>
          <w:rtl/>
          <w:lang w:bidi="ar-EG"/>
        </w:rPr>
        <w:t xml:space="preserve">مساعدات من خلال </w:t>
      </w:r>
      <w:r>
        <w:rPr>
          <w:rFonts w:hint="cs"/>
          <w:i/>
          <w:iCs/>
          <w:rtl/>
          <w:lang w:bidi="ar-EG"/>
        </w:rPr>
        <w:t>الالتماس</w:t>
      </w:r>
      <w:r>
        <w:rPr>
          <w:rFonts w:hint="cs"/>
          <w:b/>
          <w:bCs/>
          <w:i/>
          <w:iCs/>
          <w:rtl/>
          <w:lang w:bidi="ar-EG"/>
        </w:rPr>
        <w:t xml:space="preserve"> </w:t>
      </w:r>
      <w:r>
        <w:rPr>
          <w:rFonts w:hint="cs"/>
          <w:b/>
          <w:bCs/>
          <w:rtl/>
          <w:lang w:bidi="ar-EG"/>
        </w:rPr>
        <w:t>(</w:t>
      </w:r>
      <w:r w:rsidRPr="00D67E8E">
        <w:rPr>
          <w:rFonts w:hint="cs"/>
          <w:rtl/>
          <w:lang w:bidi="ar-EG"/>
        </w:rPr>
        <w:t>56.98</w:t>
      </w:r>
      <w:r>
        <w:rPr>
          <w:rFonts w:hint="cs"/>
          <w:rtl/>
          <w:lang w:bidi="ar-EG"/>
        </w:rPr>
        <w:t xml:space="preserve"> في المائة)، يليه </w:t>
      </w:r>
      <w:r w:rsidR="00166284">
        <w:rPr>
          <w:rFonts w:hint="cs"/>
          <w:i/>
          <w:iCs/>
          <w:rtl/>
          <w:lang w:bidi="ar-EG"/>
        </w:rPr>
        <w:t>الإبلاغ</w:t>
      </w:r>
      <w:r w:rsidR="00166284">
        <w:rPr>
          <w:rFonts w:hint="cs"/>
          <w:rtl/>
          <w:lang w:bidi="ar-EG"/>
        </w:rPr>
        <w:t xml:space="preserve"> (33.72 في المائة). وكانت أ</w:t>
      </w:r>
      <w:r w:rsidR="00617DF6">
        <w:rPr>
          <w:rFonts w:hint="cs"/>
          <w:rtl/>
          <w:lang w:bidi="ar-EG"/>
        </w:rPr>
        <w:t>ه</w:t>
      </w:r>
      <w:r w:rsidR="00166284">
        <w:rPr>
          <w:rFonts w:hint="cs"/>
          <w:rtl/>
          <w:lang w:bidi="ar-EG"/>
        </w:rPr>
        <w:t xml:space="preserve">م المسائل المطالبة الاجتماعية والقضائية بالحصول على </w:t>
      </w:r>
      <w:r w:rsidR="00166284">
        <w:rPr>
          <w:rFonts w:hint="cs"/>
          <w:i/>
          <w:iCs/>
          <w:rtl/>
          <w:lang w:bidi="ar-EG"/>
        </w:rPr>
        <w:t>الحقوق الاجتماعية</w:t>
      </w:r>
      <w:r w:rsidR="00166284">
        <w:rPr>
          <w:rFonts w:hint="cs"/>
          <w:rtl/>
          <w:lang w:bidi="ar-EG"/>
        </w:rPr>
        <w:t xml:space="preserve"> وضمانها (32.56 في المائة) فيما يتعلق بالإجراءات والضمان الاجتماعي والضعف الاقتصادي والاجتماعي، يلي ذلك </w:t>
      </w:r>
      <w:r w:rsidR="00166284">
        <w:rPr>
          <w:rFonts w:hint="cs"/>
          <w:i/>
          <w:iCs/>
          <w:rtl/>
          <w:lang w:bidi="ar-EG"/>
        </w:rPr>
        <w:t xml:space="preserve">العنف </w:t>
      </w:r>
      <w:r w:rsidR="00166284">
        <w:rPr>
          <w:rFonts w:hint="cs"/>
          <w:rtl/>
          <w:lang w:bidi="ar-EG"/>
        </w:rPr>
        <w:t xml:space="preserve">بصفة عامة (11.63 في المائة) (البدني، الجنسي، إلخ)، </w:t>
      </w:r>
      <w:r w:rsidR="00166284">
        <w:rPr>
          <w:rFonts w:hint="cs"/>
          <w:i/>
          <w:iCs/>
          <w:rtl/>
          <w:lang w:bidi="ar-EG"/>
        </w:rPr>
        <w:t>والعمالة</w:t>
      </w:r>
      <w:r w:rsidR="00166284">
        <w:rPr>
          <w:rFonts w:hint="cs"/>
          <w:rtl/>
          <w:lang w:bidi="ar-EG"/>
        </w:rPr>
        <w:t xml:space="preserve">، فيما يتعلق بالتحرش الأخلاقي وتشريع العمل والتوظيف في سوق العمل، ضمن مسائل أخرى؛ واحتلت المسألتان الأخيرتان المركز الثالث في طلبات المساعدة. وشغلت حالات </w:t>
      </w:r>
      <w:r w:rsidR="00166284">
        <w:rPr>
          <w:rFonts w:hint="cs"/>
          <w:i/>
          <w:iCs/>
          <w:rtl/>
          <w:lang w:bidi="ar-EG"/>
        </w:rPr>
        <w:t>العنف العائلي</w:t>
      </w:r>
      <w:r w:rsidR="00166284">
        <w:rPr>
          <w:rFonts w:hint="cs"/>
          <w:rtl/>
          <w:lang w:bidi="ar-EG"/>
        </w:rPr>
        <w:t xml:space="preserve"> (8.14 في المائة) </w:t>
      </w:r>
      <w:r w:rsidR="00166284">
        <w:rPr>
          <w:rFonts w:hint="cs"/>
          <w:i/>
          <w:iCs/>
          <w:rtl/>
          <w:lang w:bidi="ar-EG"/>
        </w:rPr>
        <w:t>والقتل</w:t>
      </w:r>
      <w:r w:rsidR="00166284">
        <w:rPr>
          <w:rFonts w:hint="cs"/>
          <w:rtl/>
          <w:lang w:bidi="ar-EG"/>
        </w:rPr>
        <w:t xml:space="preserve"> (8.14 في المائة) بصفة عامة المركز الرابع يلي ذلك </w:t>
      </w:r>
      <w:r w:rsidR="00166284">
        <w:rPr>
          <w:rFonts w:hint="cs"/>
          <w:i/>
          <w:iCs/>
          <w:rtl/>
          <w:lang w:bidi="ar-EG"/>
        </w:rPr>
        <w:t>التشريع</w:t>
      </w:r>
      <w:r w:rsidR="00166284">
        <w:rPr>
          <w:rFonts w:hint="cs"/>
          <w:rtl/>
          <w:lang w:bidi="ar-EG"/>
        </w:rPr>
        <w:t xml:space="preserve"> (4.65 في المائة). أما </w:t>
      </w:r>
      <w:r w:rsidR="00166284">
        <w:rPr>
          <w:rFonts w:hint="cs"/>
          <w:i/>
          <w:iCs/>
          <w:rtl/>
          <w:lang w:bidi="ar-EG"/>
        </w:rPr>
        <w:t>مسائل التمييز</w:t>
      </w:r>
      <w:r w:rsidR="00166284">
        <w:rPr>
          <w:rFonts w:hint="cs"/>
          <w:rtl/>
          <w:lang w:bidi="ar-EG"/>
        </w:rPr>
        <w:t xml:space="preserve"> (3.49 في المائة) القائم على أساس العنصر أو اللون أو الأصل العرقي أو التوجه الجنسي </w:t>
      </w:r>
      <w:r w:rsidR="00937608">
        <w:rPr>
          <w:rFonts w:hint="cs"/>
          <w:rtl/>
          <w:lang w:bidi="ar-EG"/>
        </w:rPr>
        <w:t xml:space="preserve">أو غير ذلك، بالإضافة إلى </w:t>
      </w:r>
      <w:r w:rsidR="00166284" w:rsidRPr="00166284">
        <w:rPr>
          <w:rFonts w:hint="cs"/>
          <w:i/>
          <w:iCs/>
          <w:rtl/>
          <w:lang w:bidi="ar-EG"/>
        </w:rPr>
        <w:t>الاتجار</w:t>
      </w:r>
      <w:r w:rsidR="00166284">
        <w:rPr>
          <w:rFonts w:hint="cs"/>
          <w:i/>
          <w:iCs/>
          <w:rtl/>
          <w:lang w:bidi="ar-EG"/>
        </w:rPr>
        <w:t xml:space="preserve"> بالأشخاص</w:t>
      </w:r>
      <w:r w:rsidR="00166284">
        <w:rPr>
          <w:rFonts w:hint="cs"/>
          <w:rtl/>
          <w:lang w:bidi="ar-EG"/>
        </w:rPr>
        <w:t xml:space="preserve"> (3.49</w:t>
      </w:r>
      <w:r w:rsidR="00166284">
        <w:rPr>
          <w:rFonts w:hint="eastAsia"/>
          <w:rtl/>
          <w:lang w:bidi="ar-EG"/>
        </w:rPr>
        <w:t> </w:t>
      </w:r>
      <w:r w:rsidR="00166284">
        <w:rPr>
          <w:rFonts w:hint="cs"/>
          <w:rtl/>
          <w:lang w:bidi="ar-EG"/>
        </w:rPr>
        <w:t xml:space="preserve">في المائة) فكان مركزها السادس بينما كانت المسائل المتعلقة </w:t>
      </w:r>
      <w:r w:rsidR="00166284">
        <w:rPr>
          <w:rFonts w:hint="cs"/>
          <w:i/>
          <w:iCs/>
          <w:rtl/>
          <w:lang w:bidi="ar-EG"/>
        </w:rPr>
        <w:t>بالصحة</w:t>
      </w:r>
      <w:r w:rsidR="00166284">
        <w:rPr>
          <w:rFonts w:hint="cs"/>
          <w:rtl/>
          <w:lang w:bidi="ar-EG"/>
        </w:rPr>
        <w:t xml:space="preserve"> (2.33 في المائة) أقل تكررا.</w:t>
      </w:r>
    </w:p>
    <w:p w:rsidR="00166284" w:rsidRDefault="00166284" w:rsidP="00937608">
      <w:pPr>
        <w:pStyle w:val="SingleTxt"/>
        <w:rPr>
          <w:rFonts w:hint="cs"/>
          <w:rtl/>
          <w:lang w:bidi="ar-EG"/>
        </w:rPr>
      </w:pPr>
      <w:r>
        <w:rPr>
          <w:rFonts w:hint="cs"/>
          <w:rtl/>
          <w:lang w:bidi="ar-EG"/>
        </w:rPr>
        <w:tab/>
      </w:r>
      <w:r w:rsidR="00266611">
        <w:rPr>
          <w:rFonts w:hint="cs"/>
          <w:rtl/>
          <w:lang w:bidi="ar-EG"/>
        </w:rPr>
        <w:t xml:space="preserve">وفي عام 2004 قدمت معظم المساعدات عن طريق </w:t>
      </w:r>
      <w:r w:rsidR="00266611">
        <w:rPr>
          <w:rFonts w:hint="cs"/>
          <w:i/>
          <w:iCs/>
          <w:rtl/>
          <w:lang w:bidi="ar-EG"/>
        </w:rPr>
        <w:t xml:space="preserve">البريد الإلكتروني </w:t>
      </w:r>
      <w:r w:rsidR="00266611" w:rsidRPr="00266611">
        <w:rPr>
          <w:rFonts w:hint="cs"/>
          <w:rtl/>
          <w:lang w:bidi="ar-EG"/>
        </w:rPr>
        <w:t>(45.09 في المائة)</w:t>
      </w:r>
      <w:r w:rsidR="00266611">
        <w:rPr>
          <w:rFonts w:hint="cs"/>
          <w:i/>
          <w:iCs/>
          <w:rtl/>
          <w:lang w:bidi="ar-EG"/>
        </w:rPr>
        <w:t xml:space="preserve"> والهاتف </w:t>
      </w:r>
      <w:r w:rsidR="00266611">
        <w:rPr>
          <w:rFonts w:hint="cs"/>
          <w:rtl/>
          <w:lang w:bidi="ar-EG"/>
        </w:rPr>
        <w:t xml:space="preserve">(21.88 في المائة). ومرة أخرى، جاءت معظم طلبات المساعدة من المنطقة </w:t>
      </w:r>
      <w:r w:rsidR="00266611">
        <w:rPr>
          <w:rFonts w:hint="cs"/>
          <w:i/>
          <w:iCs/>
          <w:rtl/>
          <w:lang w:bidi="ar-EG"/>
        </w:rPr>
        <w:t>الغربية الوسطى</w:t>
      </w:r>
      <w:r w:rsidR="00266611">
        <w:rPr>
          <w:rFonts w:hint="cs"/>
          <w:rtl/>
          <w:lang w:bidi="ar-EG"/>
        </w:rPr>
        <w:t xml:space="preserve"> (34.38 في المائة) والمنطقة </w:t>
      </w:r>
      <w:r w:rsidR="00266611">
        <w:rPr>
          <w:rFonts w:hint="cs"/>
          <w:i/>
          <w:iCs/>
          <w:rtl/>
          <w:lang w:bidi="ar-EG"/>
        </w:rPr>
        <w:t>الجنوبية الشرقية</w:t>
      </w:r>
      <w:r w:rsidR="00266611">
        <w:rPr>
          <w:rFonts w:hint="cs"/>
          <w:rtl/>
          <w:lang w:bidi="ar-EG"/>
        </w:rPr>
        <w:t xml:space="preserve"> (29.46 في المائة). </w:t>
      </w:r>
      <w:r w:rsidR="001D60B1">
        <w:rPr>
          <w:rFonts w:hint="cs"/>
          <w:rtl/>
          <w:lang w:bidi="ar-EG"/>
        </w:rPr>
        <w:t>وغالبا ما</w:t>
      </w:r>
      <w:r w:rsidR="001D60B1">
        <w:rPr>
          <w:rFonts w:hint="eastAsia"/>
          <w:rtl/>
          <w:lang w:bidi="ar-EG"/>
        </w:rPr>
        <w:t> </w:t>
      </w:r>
      <w:r w:rsidR="00937608">
        <w:rPr>
          <w:rFonts w:hint="cs"/>
          <w:rtl/>
          <w:lang w:bidi="ar-EG"/>
        </w:rPr>
        <w:t>كان يجري طلب المساعدات من خلال</w:t>
      </w:r>
      <w:r w:rsidR="00266611">
        <w:rPr>
          <w:rFonts w:hint="cs"/>
          <w:rtl/>
          <w:lang w:bidi="ar-EG"/>
        </w:rPr>
        <w:t xml:space="preserve"> </w:t>
      </w:r>
      <w:r w:rsidR="00266611">
        <w:rPr>
          <w:rFonts w:hint="cs"/>
          <w:i/>
          <w:iCs/>
          <w:rtl/>
          <w:lang w:bidi="ar-EG"/>
        </w:rPr>
        <w:t>الالتماس</w:t>
      </w:r>
      <w:r w:rsidR="00266611">
        <w:rPr>
          <w:rFonts w:hint="cs"/>
          <w:rtl/>
          <w:lang w:bidi="ar-EG"/>
        </w:rPr>
        <w:t xml:space="preserve"> (39.73 في المائة). وتلى ذلك </w:t>
      </w:r>
      <w:r w:rsidR="00266611" w:rsidRPr="00266611">
        <w:rPr>
          <w:rFonts w:hint="cs"/>
          <w:i/>
          <w:iCs/>
          <w:rtl/>
          <w:lang w:bidi="ar-EG"/>
        </w:rPr>
        <w:t>الإبلاغ</w:t>
      </w:r>
      <w:r w:rsidR="00266611">
        <w:rPr>
          <w:rFonts w:hint="cs"/>
          <w:rtl/>
          <w:lang w:bidi="ar-EG"/>
        </w:rPr>
        <w:t xml:space="preserve"> (27.23 في المائة). وكانت أهم المسائل الحصول على </w:t>
      </w:r>
      <w:r w:rsidR="00266611">
        <w:rPr>
          <w:rFonts w:hint="cs"/>
          <w:i/>
          <w:iCs/>
          <w:rtl/>
          <w:lang w:bidi="ar-EG"/>
        </w:rPr>
        <w:t>الحقوق الاجتماعية</w:t>
      </w:r>
      <w:r w:rsidR="00266611">
        <w:rPr>
          <w:rFonts w:hint="cs"/>
          <w:rtl/>
          <w:lang w:bidi="ar-EG"/>
        </w:rPr>
        <w:t xml:space="preserve"> وضمانها (25 في المائة) تبعها </w:t>
      </w:r>
      <w:r w:rsidR="00266611">
        <w:rPr>
          <w:rFonts w:hint="cs"/>
          <w:i/>
          <w:iCs/>
          <w:rtl/>
          <w:lang w:bidi="ar-EG"/>
        </w:rPr>
        <w:t>العنف العائلي</w:t>
      </w:r>
      <w:r w:rsidR="00266611">
        <w:rPr>
          <w:rFonts w:hint="cs"/>
          <w:rtl/>
          <w:lang w:bidi="ar-EG"/>
        </w:rPr>
        <w:t xml:space="preserve"> (9.82 في المائة) </w:t>
      </w:r>
      <w:r w:rsidR="00266611">
        <w:rPr>
          <w:rFonts w:hint="cs"/>
          <w:i/>
          <w:iCs/>
          <w:rtl/>
          <w:lang w:bidi="ar-EG"/>
        </w:rPr>
        <w:t>والعمالة</w:t>
      </w:r>
      <w:r w:rsidR="00266611">
        <w:rPr>
          <w:rFonts w:hint="cs"/>
          <w:rtl/>
          <w:lang w:bidi="ar-EG"/>
        </w:rPr>
        <w:t xml:space="preserve"> (8.93 في المائة)</w:t>
      </w:r>
      <w:r w:rsidR="00937608">
        <w:rPr>
          <w:rFonts w:hint="cs"/>
          <w:rtl/>
          <w:lang w:bidi="ar-EG"/>
        </w:rPr>
        <w:t>،</w:t>
      </w:r>
      <w:r w:rsidR="00266611">
        <w:rPr>
          <w:rFonts w:hint="cs"/>
          <w:rtl/>
          <w:lang w:bidi="ar-EG"/>
        </w:rPr>
        <w:t xml:space="preserve"> اللذان احتلا المركزين الثالث والرابع على التوالي، </w:t>
      </w:r>
      <w:r w:rsidR="00266611">
        <w:rPr>
          <w:rFonts w:hint="cs"/>
          <w:i/>
          <w:iCs/>
          <w:rtl/>
          <w:lang w:bidi="ar-EG"/>
        </w:rPr>
        <w:t>والتمييز</w:t>
      </w:r>
      <w:r w:rsidR="00266611">
        <w:rPr>
          <w:rFonts w:hint="cs"/>
          <w:rtl/>
          <w:lang w:bidi="ar-EG"/>
        </w:rPr>
        <w:t xml:space="preserve"> (8.04 في المائة)</w:t>
      </w:r>
      <w:r w:rsidR="00937608">
        <w:rPr>
          <w:rFonts w:hint="cs"/>
          <w:rtl/>
          <w:lang w:bidi="ar-EG"/>
        </w:rPr>
        <w:t>،</w:t>
      </w:r>
      <w:r w:rsidR="00266611">
        <w:rPr>
          <w:rFonts w:hint="cs"/>
          <w:rtl/>
          <w:lang w:bidi="ar-EG"/>
        </w:rPr>
        <w:t xml:space="preserve"> </w:t>
      </w:r>
      <w:r w:rsidR="00266611">
        <w:rPr>
          <w:rFonts w:hint="cs"/>
          <w:i/>
          <w:iCs/>
          <w:rtl/>
          <w:lang w:bidi="ar-EG"/>
        </w:rPr>
        <w:t>والعنف</w:t>
      </w:r>
      <w:r w:rsidR="00266611">
        <w:rPr>
          <w:rFonts w:hint="cs"/>
          <w:rtl/>
          <w:lang w:bidi="ar-EG"/>
        </w:rPr>
        <w:t xml:space="preserve"> (8.04 في المائة)</w:t>
      </w:r>
      <w:r w:rsidR="00937608">
        <w:rPr>
          <w:rFonts w:hint="cs"/>
          <w:rtl/>
          <w:lang w:bidi="ar-EG"/>
        </w:rPr>
        <w:t>،</w:t>
      </w:r>
      <w:r w:rsidR="00266611">
        <w:rPr>
          <w:rFonts w:hint="cs"/>
          <w:rtl/>
          <w:lang w:bidi="ar-EG"/>
        </w:rPr>
        <w:t xml:space="preserve"> واحتل كل منهما المركز الخامس.</w:t>
      </w:r>
    </w:p>
    <w:p w:rsidR="00266611" w:rsidRDefault="008B5800" w:rsidP="00BC37D0">
      <w:pPr>
        <w:pStyle w:val="SingleTxt"/>
        <w:rPr>
          <w:rFonts w:hint="cs"/>
          <w:rtl/>
          <w:lang w:bidi="ar-EG"/>
        </w:rPr>
      </w:pPr>
      <w:r>
        <w:rPr>
          <w:rFonts w:hint="cs"/>
          <w:rtl/>
          <w:lang w:bidi="ar-EG"/>
        </w:rPr>
        <w:tab/>
        <w:t xml:space="preserve">وفي عام 2005، قدمت معظم المساعدات عن طريق </w:t>
      </w:r>
      <w:r>
        <w:rPr>
          <w:rFonts w:hint="cs"/>
          <w:i/>
          <w:iCs/>
          <w:rtl/>
          <w:lang w:bidi="ar-EG"/>
        </w:rPr>
        <w:t>البريد الإلكتروني</w:t>
      </w:r>
      <w:r>
        <w:rPr>
          <w:rFonts w:hint="cs"/>
          <w:rtl/>
          <w:lang w:bidi="ar-EG"/>
        </w:rPr>
        <w:t xml:space="preserve"> (</w:t>
      </w:r>
      <w:r w:rsidR="00937608">
        <w:rPr>
          <w:rFonts w:hint="cs"/>
          <w:rtl/>
          <w:lang w:bidi="ar-EG"/>
        </w:rPr>
        <w:t>5</w:t>
      </w:r>
      <w:r>
        <w:rPr>
          <w:rFonts w:hint="cs"/>
          <w:rtl/>
          <w:lang w:bidi="ar-EG"/>
        </w:rPr>
        <w:t xml:space="preserve">9.07 في المائة) وعن طريق </w:t>
      </w:r>
      <w:r>
        <w:rPr>
          <w:rFonts w:hint="cs"/>
          <w:i/>
          <w:iCs/>
          <w:rtl/>
          <w:lang w:bidi="ar-EG"/>
        </w:rPr>
        <w:t>الهاتف</w:t>
      </w:r>
      <w:r>
        <w:rPr>
          <w:rFonts w:hint="cs"/>
          <w:rtl/>
          <w:lang w:bidi="ar-EG"/>
        </w:rPr>
        <w:t xml:space="preserve"> (18.41 في المائة). وجاءت معظم طلبات المساعدة من المنطقة </w:t>
      </w:r>
      <w:r>
        <w:rPr>
          <w:rFonts w:hint="cs"/>
          <w:i/>
          <w:iCs/>
          <w:rtl/>
          <w:lang w:bidi="ar-EG"/>
        </w:rPr>
        <w:t>الجنوبية الشرقية</w:t>
      </w:r>
      <w:r>
        <w:rPr>
          <w:rFonts w:hint="cs"/>
          <w:rtl/>
          <w:lang w:bidi="ar-EG"/>
        </w:rPr>
        <w:t xml:space="preserve"> (30.49 في المائة) تليها المنطقة </w:t>
      </w:r>
      <w:r>
        <w:rPr>
          <w:rFonts w:hint="cs"/>
          <w:i/>
          <w:iCs/>
          <w:rtl/>
          <w:lang w:bidi="ar-EG"/>
        </w:rPr>
        <w:t>الغربية الوسطى</w:t>
      </w:r>
      <w:r>
        <w:rPr>
          <w:rFonts w:hint="cs"/>
          <w:rtl/>
          <w:lang w:bidi="ar-EG"/>
        </w:rPr>
        <w:t xml:space="preserve"> (24.45 في المائة). </w:t>
      </w:r>
      <w:r w:rsidR="00937608">
        <w:rPr>
          <w:rFonts w:hint="cs"/>
          <w:rtl/>
          <w:lang w:bidi="ar-EG"/>
        </w:rPr>
        <w:t xml:space="preserve">وغالبا ما كان يجري طلب المساعدات من خلال </w:t>
      </w:r>
      <w:r>
        <w:rPr>
          <w:rFonts w:hint="cs"/>
          <w:i/>
          <w:iCs/>
          <w:rtl/>
          <w:lang w:bidi="ar-EG"/>
        </w:rPr>
        <w:t xml:space="preserve">الالتماس </w:t>
      </w:r>
      <w:r>
        <w:rPr>
          <w:rFonts w:hint="cs"/>
          <w:rtl/>
          <w:lang w:bidi="ar-EG"/>
        </w:rPr>
        <w:t xml:space="preserve">(39.29 في المائة) تبعه </w:t>
      </w:r>
      <w:r>
        <w:rPr>
          <w:rFonts w:hint="cs"/>
          <w:i/>
          <w:iCs/>
          <w:rtl/>
          <w:lang w:bidi="ar-EG"/>
        </w:rPr>
        <w:t>الإبلاغ</w:t>
      </w:r>
      <w:r>
        <w:rPr>
          <w:rFonts w:hint="cs"/>
          <w:rtl/>
          <w:lang w:bidi="ar-EG"/>
        </w:rPr>
        <w:t xml:space="preserve"> (22.25 في المائة). واحتلت المسائل المتعلقة </w:t>
      </w:r>
      <w:r>
        <w:rPr>
          <w:rFonts w:hint="cs"/>
          <w:i/>
          <w:iCs/>
          <w:rtl/>
          <w:lang w:bidi="ar-EG"/>
        </w:rPr>
        <w:t>بالحقوق الاجتماعية</w:t>
      </w:r>
      <w:r>
        <w:rPr>
          <w:rFonts w:hint="cs"/>
          <w:rtl/>
          <w:lang w:bidi="ar-EG"/>
        </w:rPr>
        <w:t xml:space="preserve"> المركز الثاني (17.58 في المائة) واحتل </w:t>
      </w:r>
      <w:r>
        <w:rPr>
          <w:rFonts w:hint="cs"/>
          <w:i/>
          <w:iCs/>
          <w:rtl/>
          <w:lang w:bidi="ar-EG"/>
        </w:rPr>
        <w:t>التمييز</w:t>
      </w:r>
      <w:r>
        <w:rPr>
          <w:rFonts w:hint="cs"/>
          <w:rtl/>
          <w:lang w:bidi="ar-EG"/>
        </w:rPr>
        <w:t xml:space="preserve"> المركز الثالث (11.26 في المائة) </w:t>
      </w:r>
      <w:r>
        <w:rPr>
          <w:rFonts w:hint="cs"/>
          <w:i/>
          <w:iCs/>
          <w:rtl/>
          <w:lang w:bidi="ar-EG"/>
        </w:rPr>
        <w:t>والعنف</w:t>
      </w:r>
      <w:r>
        <w:rPr>
          <w:rFonts w:hint="cs"/>
          <w:rtl/>
          <w:lang w:bidi="ar-EG"/>
        </w:rPr>
        <w:t xml:space="preserve"> المركز الرابع (10.44 في المائة) </w:t>
      </w:r>
      <w:r>
        <w:rPr>
          <w:rFonts w:hint="cs"/>
          <w:i/>
          <w:iCs/>
          <w:rtl/>
          <w:lang w:bidi="ar-EG"/>
        </w:rPr>
        <w:t>والعنف العائلي</w:t>
      </w:r>
      <w:r>
        <w:rPr>
          <w:rFonts w:hint="cs"/>
          <w:rtl/>
          <w:lang w:bidi="ar-EG"/>
        </w:rPr>
        <w:t xml:space="preserve"> المركز الخامس (7.97 في المائة).</w:t>
      </w:r>
    </w:p>
    <w:p w:rsidR="008B5800" w:rsidRDefault="00621353" w:rsidP="00BC37D0">
      <w:pPr>
        <w:pStyle w:val="SingleTxt"/>
        <w:spacing w:after="100"/>
        <w:rPr>
          <w:rFonts w:hint="cs"/>
          <w:rtl/>
          <w:lang w:bidi="ar-EG"/>
        </w:rPr>
      </w:pPr>
      <w:r>
        <w:rPr>
          <w:rFonts w:hint="cs"/>
          <w:rtl/>
          <w:lang w:bidi="ar-EG"/>
        </w:rPr>
        <w:tab/>
        <w:t xml:space="preserve">وفي عام 2006، قدمت معظم المساعدات عن طريق </w:t>
      </w:r>
      <w:r>
        <w:rPr>
          <w:rFonts w:hint="cs"/>
          <w:i/>
          <w:iCs/>
          <w:rtl/>
          <w:lang w:bidi="ar-EG"/>
        </w:rPr>
        <w:t>البريد الإلكتروني</w:t>
      </w:r>
      <w:r>
        <w:rPr>
          <w:rFonts w:hint="cs"/>
          <w:rtl/>
          <w:lang w:bidi="ar-EG"/>
        </w:rPr>
        <w:t xml:space="preserve"> (60.97 في المائة) </w:t>
      </w:r>
      <w:r>
        <w:rPr>
          <w:rFonts w:hint="cs"/>
          <w:i/>
          <w:iCs/>
          <w:rtl/>
          <w:lang w:bidi="ar-EG"/>
        </w:rPr>
        <w:t>والهاتف</w:t>
      </w:r>
      <w:r>
        <w:rPr>
          <w:rFonts w:hint="cs"/>
          <w:rtl/>
          <w:lang w:bidi="ar-EG"/>
        </w:rPr>
        <w:t xml:space="preserve"> (8.83 في المائة) وجاءت معظم طلبات المساعدة من المنطقة </w:t>
      </w:r>
      <w:r>
        <w:rPr>
          <w:rFonts w:hint="cs"/>
          <w:i/>
          <w:iCs/>
          <w:rtl/>
          <w:lang w:bidi="ar-EG"/>
        </w:rPr>
        <w:t>الجنوبية الشرقية</w:t>
      </w:r>
      <w:r>
        <w:rPr>
          <w:rFonts w:hint="cs"/>
          <w:rtl/>
          <w:lang w:bidi="ar-EG"/>
        </w:rPr>
        <w:t xml:space="preserve"> (32.67 في المائة) تلتها المنطقة </w:t>
      </w:r>
      <w:r>
        <w:rPr>
          <w:rFonts w:hint="cs"/>
          <w:i/>
          <w:iCs/>
          <w:rtl/>
          <w:lang w:bidi="ar-EG"/>
        </w:rPr>
        <w:t>الغربية الوسطى</w:t>
      </w:r>
      <w:r>
        <w:rPr>
          <w:rFonts w:hint="cs"/>
          <w:rtl/>
          <w:lang w:bidi="ar-EG"/>
        </w:rPr>
        <w:t xml:space="preserve"> (19.66 في المائة). </w:t>
      </w:r>
      <w:r w:rsidR="00BC37D0">
        <w:rPr>
          <w:rFonts w:hint="cs"/>
          <w:rtl/>
          <w:lang w:bidi="ar-EG"/>
        </w:rPr>
        <w:t>وغالبا ما كان يجري طلب المساعدات من خلال</w:t>
      </w:r>
      <w:r>
        <w:rPr>
          <w:rFonts w:hint="cs"/>
          <w:rtl/>
          <w:lang w:bidi="ar-EG"/>
        </w:rPr>
        <w:t xml:space="preserve"> </w:t>
      </w:r>
      <w:r w:rsidRPr="00621353">
        <w:rPr>
          <w:rFonts w:hint="cs"/>
          <w:i/>
          <w:iCs/>
          <w:rtl/>
          <w:lang w:bidi="ar-EG"/>
        </w:rPr>
        <w:t>الالتماس</w:t>
      </w:r>
      <w:r>
        <w:rPr>
          <w:rFonts w:hint="cs"/>
          <w:rtl/>
          <w:lang w:bidi="ar-EG"/>
        </w:rPr>
        <w:t xml:space="preserve"> (51.58 في المائة) </w:t>
      </w:r>
      <w:r>
        <w:rPr>
          <w:rFonts w:hint="cs"/>
          <w:i/>
          <w:iCs/>
          <w:rtl/>
          <w:lang w:bidi="ar-EG"/>
        </w:rPr>
        <w:t>والإبلاغ</w:t>
      </w:r>
      <w:r>
        <w:rPr>
          <w:rFonts w:hint="cs"/>
          <w:rtl/>
          <w:lang w:bidi="ar-EG"/>
        </w:rPr>
        <w:t xml:space="preserve"> (16.24 في المائة). واحتلت مسائل </w:t>
      </w:r>
      <w:r>
        <w:rPr>
          <w:rFonts w:hint="cs"/>
          <w:i/>
          <w:iCs/>
          <w:rtl/>
          <w:lang w:bidi="ar-EG"/>
        </w:rPr>
        <w:t>الحقوق الاجتماعية</w:t>
      </w:r>
      <w:r>
        <w:rPr>
          <w:rFonts w:hint="cs"/>
          <w:rtl/>
          <w:lang w:bidi="ar-EG"/>
        </w:rPr>
        <w:t xml:space="preserve"> المركز الثاني (12.54 في المائة) بوصفها مسألة هامة، تبعها </w:t>
      </w:r>
      <w:r>
        <w:rPr>
          <w:rFonts w:hint="cs"/>
          <w:i/>
          <w:iCs/>
          <w:rtl/>
          <w:lang w:bidi="ar-EG"/>
        </w:rPr>
        <w:t>العنف</w:t>
      </w:r>
      <w:r>
        <w:rPr>
          <w:rFonts w:hint="cs"/>
          <w:rtl/>
          <w:lang w:bidi="ar-EG"/>
        </w:rPr>
        <w:t xml:space="preserve"> (10.83 في المائة) </w:t>
      </w:r>
      <w:r>
        <w:rPr>
          <w:rFonts w:hint="cs"/>
          <w:i/>
          <w:iCs/>
          <w:rtl/>
          <w:lang w:bidi="ar-EG"/>
        </w:rPr>
        <w:t>والعمالة</w:t>
      </w:r>
      <w:r>
        <w:rPr>
          <w:rFonts w:hint="cs"/>
          <w:rtl/>
          <w:lang w:bidi="ar-EG"/>
        </w:rPr>
        <w:t xml:space="preserve"> (9.40 في المائة)</w:t>
      </w:r>
      <w:r w:rsidR="00BC37D0">
        <w:rPr>
          <w:rFonts w:hint="cs"/>
          <w:rtl/>
          <w:lang w:bidi="ar-EG"/>
        </w:rPr>
        <w:t>،</w:t>
      </w:r>
      <w:r>
        <w:rPr>
          <w:rFonts w:hint="cs"/>
          <w:rtl/>
          <w:lang w:bidi="ar-EG"/>
        </w:rPr>
        <w:t xml:space="preserve"> اللذان احتلا المركزين الثالث والرابع على التوالي؛ واحتلت مسائل </w:t>
      </w:r>
      <w:r>
        <w:rPr>
          <w:rFonts w:hint="cs"/>
          <w:i/>
          <w:iCs/>
          <w:rtl/>
          <w:lang w:bidi="ar-EG"/>
        </w:rPr>
        <w:t>التشريع</w:t>
      </w:r>
      <w:r>
        <w:rPr>
          <w:rFonts w:hint="cs"/>
          <w:rtl/>
          <w:lang w:bidi="ar-EG"/>
        </w:rPr>
        <w:t xml:space="preserve"> (8.55 في المائة) </w:t>
      </w:r>
      <w:r>
        <w:rPr>
          <w:rFonts w:hint="cs"/>
          <w:i/>
          <w:iCs/>
          <w:rtl/>
          <w:lang w:bidi="ar-EG"/>
        </w:rPr>
        <w:t>والصحة</w:t>
      </w:r>
      <w:r>
        <w:rPr>
          <w:rFonts w:hint="cs"/>
          <w:rtl/>
          <w:lang w:bidi="ar-EG"/>
        </w:rPr>
        <w:t xml:space="preserve"> (6.84 في المائة) المركزين الخامس والسادس على التوالي</w:t>
      </w:r>
      <w:r w:rsidR="00BC37D0">
        <w:rPr>
          <w:rFonts w:hint="cs"/>
          <w:rtl/>
          <w:lang w:bidi="ar-EG"/>
        </w:rPr>
        <w:t>؛</w:t>
      </w:r>
      <w:r>
        <w:rPr>
          <w:rFonts w:hint="cs"/>
          <w:rtl/>
          <w:lang w:bidi="ar-EG"/>
        </w:rPr>
        <w:t xml:space="preserve"> بينما احتل </w:t>
      </w:r>
      <w:r>
        <w:rPr>
          <w:rFonts w:hint="cs"/>
          <w:i/>
          <w:iCs/>
          <w:rtl/>
          <w:lang w:bidi="ar-EG"/>
        </w:rPr>
        <w:t>التمييز</w:t>
      </w:r>
      <w:r>
        <w:rPr>
          <w:rFonts w:hint="cs"/>
          <w:rtl/>
          <w:lang w:bidi="ar-EG"/>
        </w:rPr>
        <w:t xml:space="preserve"> (5.98 في المائة) </w:t>
      </w:r>
      <w:r>
        <w:rPr>
          <w:rFonts w:hint="cs"/>
          <w:i/>
          <w:iCs/>
          <w:rtl/>
          <w:lang w:bidi="ar-EG"/>
        </w:rPr>
        <w:t>والعنف العائلي</w:t>
      </w:r>
      <w:r w:rsidR="00997E49">
        <w:rPr>
          <w:rFonts w:hint="cs"/>
          <w:rtl/>
          <w:lang w:bidi="ar-EG"/>
        </w:rPr>
        <w:t xml:space="preserve"> (5.70</w:t>
      </w:r>
      <w:r w:rsidR="00997E49">
        <w:rPr>
          <w:rFonts w:hint="eastAsia"/>
          <w:rtl/>
          <w:lang w:bidi="ar-EG"/>
        </w:rPr>
        <w:t> </w:t>
      </w:r>
      <w:r>
        <w:rPr>
          <w:rFonts w:hint="cs"/>
          <w:rtl/>
          <w:lang w:bidi="ar-EG"/>
        </w:rPr>
        <w:t>في المائة) المركزين السابع والثامن.</w:t>
      </w:r>
    </w:p>
    <w:p w:rsidR="00621353" w:rsidRDefault="00621353" w:rsidP="00BC37D0">
      <w:pPr>
        <w:pStyle w:val="SingleTxt"/>
        <w:spacing w:after="100"/>
        <w:rPr>
          <w:rFonts w:hint="cs"/>
          <w:rtl/>
          <w:lang w:bidi="ar-EG"/>
        </w:rPr>
      </w:pPr>
      <w:r>
        <w:rPr>
          <w:rFonts w:hint="cs"/>
          <w:rtl/>
          <w:lang w:bidi="ar-EG"/>
        </w:rPr>
        <w:tab/>
        <w:t xml:space="preserve">وفي جميع هذه السنوات، كما يتضح من الجداول في المرفق 3 (تبين الجداول السنوية الطلب حسب المنطقة والأصل والسمات، والتصنيف حسب المسألة)، تحتل فئة </w:t>
      </w:r>
      <w:r>
        <w:rPr>
          <w:rFonts w:hint="eastAsia"/>
          <w:rtl/>
          <w:lang w:bidi="ar-EG"/>
        </w:rPr>
        <w:t>”</w:t>
      </w:r>
      <w:r w:rsidR="00BC37D0">
        <w:rPr>
          <w:rFonts w:hint="cs"/>
          <w:rtl/>
          <w:lang w:bidi="ar-EG"/>
        </w:rPr>
        <w:t>مسائل أخرى</w:t>
      </w:r>
      <w:r>
        <w:rPr>
          <w:rFonts w:hint="cs"/>
          <w:rtl/>
          <w:lang w:bidi="ar-EG"/>
        </w:rPr>
        <w:t>“ المرتبة الأولى. وهذه الفئة تضم مسائل مختلفة - الاضطهاد السياسي، والتدخل في الهيئات الحكومية، وطلبات النشر، وتصفية المشاريع، إلخ.</w:t>
      </w:r>
    </w:p>
    <w:p w:rsidR="00621353" w:rsidRDefault="00621353" w:rsidP="0065740E">
      <w:pPr>
        <w:pStyle w:val="SingleTxt"/>
        <w:spacing w:after="100"/>
        <w:rPr>
          <w:rFonts w:hint="cs"/>
          <w:rtl/>
          <w:lang w:bidi="ar-EG"/>
        </w:rPr>
      </w:pPr>
      <w:r>
        <w:rPr>
          <w:rFonts w:hint="cs"/>
          <w:rtl/>
          <w:lang w:bidi="ar-EG"/>
        </w:rPr>
        <w:tab/>
        <w:t xml:space="preserve">ومن الجدير بالذكر أن خدمة </w:t>
      </w:r>
      <w:r>
        <w:rPr>
          <w:rFonts w:hint="cs"/>
          <w:i/>
          <w:iCs/>
          <w:rtl/>
          <w:lang w:bidi="ar-EG"/>
        </w:rPr>
        <w:t xml:space="preserve">أطلبي </w:t>
      </w:r>
      <w:r w:rsidR="00A1286C">
        <w:rPr>
          <w:rFonts w:hint="cs"/>
          <w:i/>
          <w:iCs/>
          <w:rtl/>
          <w:lang w:bidi="ar-EG"/>
        </w:rPr>
        <w:t>رقم 180</w:t>
      </w:r>
      <w:r w:rsidR="00A1286C">
        <w:rPr>
          <w:rFonts w:hint="cs"/>
          <w:rtl/>
          <w:lang w:bidi="ar-EG"/>
        </w:rPr>
        <w:t xml:space="preserve"> أكملت في 17 نيسان/أبريل 2007 عامها الأول من العمل لمدة 24 ساعة بعد فترة تنفيذ بدأت في تشرين الثاني/نوفمبر 2005. ويمكن للنساء الاتصال بالمجان من أي هاتف في البلد بغية طلب معلومات عن المسائل القانونية ودوائر الشرطة المتخصصة، والعيادات الصحية، والمآوى، إلخ.</w:t>
      </w:r>
    </w:p>
    <w:p w:rsidR="00A1286C" w:rsidRDefault="00A1286C" w:rsidP="0065740E">
      <w:pPr>
        <w:pStyle w:val="SingleTxt"/>
        <w:spacing w:after="100"/>
        <w:rPr>
          <w:rFonts w:hint="cs"/>
          <w:rtl/>
          <w:lang w:bidi="ar-EG"/>
        </w:rPr>
      </w:pPr>
      <w:r>
        <w:rPr>
          <w:rFonts w:hint="cs"/>
          <w:rtl/>
          <w:lang w:bidi="ar-EG"/>
        </w:rPr>
        <w:tab/>
        <w:t>ويعمل سنترال الهاتف على نحو سري ويسجل المكالمات المعنية بالعدوان البدني والنفسي، والعنف الجنسي، والتحرش الجنسي والأخلاقي، والاعتداء البذيء، والاغتصاب، والاتجار بالنساء لأغراض الاستغلال.</w:t>
      </w:r>
    </w:p>
    <w:p w:rsidR="00A1286C" w:rsidRDefault="00A1286C" w:rsidP="007F08AC">
      <w:pPr>
        <w:pStyle w:val="SingleTxt"/>
        <w:spacing w:after="100"/>
        <w:rPr>
          <w:rFonts w:hint="cs"/>
          <w:rtl/>
          <w:lang w:bidi="ar-EG"/>
        </w:rPr>
      </w:pPr>
      <w:r>
        <w:rPr>
          <w:rFonts w:hint="cs"/>
          <w:rtl/>
          <w:lang w:bidi="ar-EG"/>
        </w:rPr>
        <w:tab/>
        <w:t xml:space="preserve">وتبين الإحصائيات أن بيرنامبوكو هي الولاية التي تحتوي على أكبر عدد من النساء اللاتي يُقتلن. والتقارير الشهرية عن المساعدات المقدمة ترسل إلى مكاتب التنسيق والنصح النسائية في 15 ولاية و 110 </w:t>
      </w:r>
      <w:r w:rsidR="007F08AC">
        <w:rPr>
          <w:rFonts w:hint="cs"/>
          <w:rtl/>
          <w:lang w:bidi="ar-EG"/>
        </w:rPr>
        <w:t>من ال</w:t>
      </w:r>
      <w:r>
        <w:rPr>
          <w:rFonts w:hint="cs"/>
          <w:rtl/>
          <w:lang w:bidi="ar-EG"/>
        </w:rPr>
        <w:t>بلدي</w:t>
      </w:r>
      <w:r w:rsidR="007F08AC">
        <w:rPr>
          <w:rFonts w:hint="cs"/>
          <w:rtl/>
          <w:lang w:bidi="ar-EG"/>
        </w:rPr>
        <w:t>ات</w:t>
      </w:r>
      <w:r>
        <w:rPr>
          <w:rFonts w:hint="cs"/>
          <w:rtl/>
          <w:lang w:bidi="ar-EG"/>
        </w:rPr>
        <w:t>. أما في الولايات التي لا توجد بها هذه المكاتب، فترسل الوثائق إلى حكومة الولاية ومكتب المدعي العام وإدارات الأمن.</w:t>
      </w:r>
    </w:p>
    <w:p w:rsidR="00A1286C" w:rsidRPr="00A1286C" w:rsidRDefault="00A1286C" w:rsidP="0065740E">
      <w:pPr>
        <w:pStyle w:val="SingleTxt"/>
        <w:spacing w:after="0" w:line="80" w:lineRule="exact"/>
        <w:rPr>
          <w:rFonts w:hint="cs"/>
          <w:sz w:val="10"/>
          <w:rtl/>
          <w:lang w:bidi="ar-EG"/>
        </w:rPr>
      </w:pPr>
    </w:p>
    <w:p w:rsidR="00A1286C" w:rsidRPr="00A1286C" w:rsidRDefault="00A1286C" w:rsidP="007F08AC">
      <w:pPr>
        <w:pStyle w:val="SingleTxt"/>
        <w:spacing w:after="100"/>
        <w:rPr>
          <w:b/>
          <w:bCs/>
          <w:rtl/>
        </w:rPr>
      </w:pPr>
      <w:r w:rsidRPr="00A1286C">
        <w:rPr>
          <w:b/>
          <w:bCs/>
          <w:rtl/>
        </w:rPr>
        <w:t>1</w:t>
      </w:r>
      <w:r w:rsidRPr="00A1286C">
        <w:rPr>
          <w:rFonts w:hint="cs"/>
          <w:b/>
          <w:bCs/>
          <w:rtl/>
        </w:rPr>
        <w:t xml:space="preserve">1 </w:t>
      </w:r>
      <w:r w:rsidRPr="00A1286C">
        <w:rPr>
          <w:b/>
          <w:bCs/>
          <w:rtl/>
        </w:rPr>
        <w:t>-</w:t>
      </w:r>
      <w:r w:rsidRPr="00A1286C">
        <w:rPr>
          <w:rFonts w:hint="cs"/>
          <w:b/>
          <w:bCs/>
          <w:rtl/>
        </w:rPr>
        <w:tab/>
      </w:r>
      <w:r w:rsidRPr="00A1286C">
        <w:rPr>
          <w:b/>
          <w:bCs/>
          <w:rtl/>
        </w:rPr>
        <w:t>على غرار ما ذكرت المقررة الخاصة المعنية بالعنف ضد المرأة وأسبابه وعواقبه (</w:t>
      </w:r>
      <w:r w:rsidRPr="00A1286C">
        <w:rPr>
          <w:b/>
          <w:bCs/>
        </w:rPr>
        <w:t>E/CN.4/2006/61</w:t>
      </w:r>
      <w:r w:rsidRPr="00A1286C">
        <w:rPr>
          <w:b/>
          <w:bCs/>
          <w:rtl/>
        </w:rPr>
        <w:t>)، أشارت لجنة البلدان الأمريكية لحقوق الإنسان في عام 2001 إلى</w:t>
      </w:r>
      <w:r w:rsidRPr="00A1286C">
        <w:rPr>
          <w:rFonts w:hint="cs"/>
          <w:b/>
          <w:bCs/>
          <w:rtl/>
        </w:rPr>
        <w:t xml:space="preserve"> </w:t>
      </w:r>
      <w:r w:rsidRPr="00A1286C">
        <w:rPr>
          <w:b/>
          <w:bCs/>
          <w:rtl/>
        </w:rPr>
        <w:t>’’عدم قيام الدولة بعمل فعال فيما يتصل بمحاكمة المعتدين وإدانتهم‘‘.</w:t>
      </w:r>
      <w:r w:rsidRPr="00A1286C">
        <w:rPr>
          <w:b/>
          <w:bCs/>
        </w:rPr>
        <w:t xml:space="preserve"> </w:t>
      </w:r>
      <w:r w:rsidR="00997E49">
        <w:rPr>
          <w:b/>
          <w:bCs/>
          <w:rtl/>
        </w:rPr>
        <w:t>يرجى ذكر ما</w:t>
      </w:r>
      <w:r w:rsidR="00997E49">
        <w:rPr>
          <w:rFonts w:hint="cs"/>
          <w:b/>
          <w:bCs/>
          <w:rtl/>
        </w:rPr>
        <w:t> </w:t>
      </w:r>
      <w:r w:rsidRPr="00A1286C">
        <w:rPr>
          <w:b/>
          <w:bCs/>
          <w:rtl/>
        </w:rPr>
        <w:t>تقوم به الدولة الطرف كرد على هذا التقييم، بما في ذلك البيانات المتعلقة بمحاكمة وإدانة مرتكبي العنف ضد المرأة.</w:t>
      </w:r>
    </w:p>
    <w:p w:rsidR="00A1286C" w:rsidRDefault="00A1286C" w:rsidP="007F08AC">
      <w:pPr>
        <w:pStyle w:val="SingleTxt"/>
        <w:spacing w:after="100"/>
        <w:rPr>
          <w:rFonts w:hint="cs"/>
          <w:rtl/>
        </w:rPr>
      </w:pPr>
      <w:r>
        <w:rPr>
          <w:rFonts w:hint="cs"/>
          <w:rtl/>
        </w:rPr>
        <w:tab/>
        <w:t>منذ عام 1998، عندما تضمنت الخطة المتعددة السنوات ميزانية محددة لمحاربة العنف ضد المرأة جرى تنفيذ أعمال فعالة لتحقيق هذا الغرض. وجرت الموافقة على مشاريع بإنشاء مآوى وتدريب الوكلاء العامين على القضايا الجنسانية، وبخاصة رؤساء الشرطة في دوائر الشرطة المتخصصة في القضايا النسائية والمدافعين العامين.</w:t>
      </w:r>
    </w:p>
    <w:p w:rsidR="00A1286C" w:rsidRDefault="00A1286C" w:rsidP="00266611">
      <w:pPr>
        <w:pStyle w:val="SingleTxt"/>
        <w:rPr>
          <w:rFonts w:hint="cs"/>
          <w:rtl/>
        </w:rPr>
      </w:pPr>
      <w:r>
        <w:rPr>
          <w:rFonts w:hint="cs"/>
          <w:rtl/>
        </w:rPr>
        <w:tab/>
        <w:t>ومنذ عام 2003، وبتولي الحكومة الجديدة وإنشاء الأمانة الخاصة لسياسات المرأة، جرى توسيع نطاق برامج التدريب وزاد الدعم المقدم إلى المآوى ومراكز الإحالة ووُضعت الخطة الوطنية لمحاربة العنف ضد المرأة، مما جمع المبادرات السابقة تحت مظلة واحدة أوسع نطاقا.</w:t>
      </w:r>
    </w:p>
    <w:p w:rsidR="00A1286C" w:rsidRDefault="00A1286C" w:rsidP="007F08AC">
      <w:pPr>
        <w:pStyle w:val="SingleTxt"/>
        <w:rPr>
          <w:rFonts w:hint="cs"/>
          <w:rtl/>
        </w:rPr>
      </w:pPr>
      <w:r>
        <w:rPr>
          <w:rFonts w:hint="cs"/>
          <w:rtl/>
        </w:rPr>
        <w:tab/>
        <w:t xml:space="preserve">ومن الجدير بالذكر أن الدولة البرازيلية اعتمدت تدابير تتعلق بالتوصية 54/1 والإشعار </w:t>
      </w:r>
      <w:r w:rsidR="007F08AC">
        <w:rPr>
          <w:rFonts w:hint="cs"/>
          <w:rtl/>
        </w:rPr>
        <w:t>المتعلق ب</w:t>
      </w:r>
      <w:r>
        <w:rPr>
          <w:rFonts w:hint="cs"/>
          <w:rtl/>
        </w:rPr>
        <w:t xml:space="preserve">القضية 12051 الوارد من لجنة البلدان الأمريكية لحقوق الإنسان في 16 نيسان/أبريل 2001 (قضية ماريا دا بينها)، حيث أن حكومة البرازيل تستجيب دائما لهذه اللجنة بإجراءات يجري تنفيذها بغية إغلاق القضية موضع النظر. وكانت إحدى توصيات اللجنة تدعو إلى سن تشريع خاص من أجل ردع العنف ضد المرأة. وتحقق هذا بإصدار </w:t>
      </w:r>
      <w:r w:rsidR="004751CF">
        <w:rPr>
          <w:rFonts w:hint="cs"/>
          <w:rtl/>
        </w:rPr>
        <w:t>القانون 11340 عام 2006. وبفضل التقدم المحرز في المفاوضات التي شارك فيها مقدمو الالتماسات، وهم الضحية وولاية سيارا (حيث جرى الانتهاك) والحكومة الاتحادية، فمن المرجح أن يوقع الأطراف اتفاقا بنهاية عام 2007، وبالتالي تغلق هذه القضية.</w:t>
      </w:r>
    </w:p>
    <w:p w:rsidR="004751CF" w:rsidRDefault="004751CF" w:rsidP="00A1286C">
      <w:pPr>
        <w:pStyle w:val="SingleTxt"/>
        <w:rPr>
          <w:rFonts w:hint="cs"/>
          <w:rtl/>
        </w:rPr>
      </w:pPr>
      <w:r>
        <w:rPr>
          <w:rFonts w:hint="cs"/>
          <w:rtl/>
        </w:rPr>
        <w:tab/>
        <w:t>وفيما يتعلق بالأمانة الخاصة لحقوق الإنسان، تت</w:t>
      </w:r>
      <w:r w:rsidR="007F08AC">
        <w:rPr>
          <w:rFonts w:hint="cs"/>
          <w:rtl/>
        </w:rPr>
        <w:t>ا</w:t>
      </w:r>
      <w:r>
        <w:rPr>
          <w:rFonts w:hint="cs"/>
          <w:rtl/>
        </w:rPr>
        <w:t>بع الأمانة الخاصة لسياسات المرأة خمس قضايا أخرى للعنف ضد النساء البرازيليات، وتضطلع الآن لجنة البلدان الأمريكية لحقوق الإنسان بالنظر في هذه القضايا، إلا أنه لم يجر بعد التوصل إلى موقف رسمي بشأن أي منها. وعلى أي حال فالحكومة البرازيلية والأمانة الخاصة لسياسات المرأة تبذلان ما في وسعهما لتكثيف الإجراءات التي تستهدف ردع العنف ضد المرأة بغية منع عرض قضايا جديدة على محاكم حقوق الإنسان.</w:t>
      </w:r>
    </w:p>
    <w:p w:rsidR="004751CF" w:rsidRDefault="004751CF" w:rsidP="00A1286C">
      <w:pPr>
        <w:pStyle w:val="SingleTxt"/>
        <w:rPr>
          <w:rFonts w:hint="cs"/>
          <w:rtl/>
        </w:rPr>
      </w:pPr>
      <w:r>
        <w:rPr>
          <w:rFonts w:hint="cs"/>
          <w:rtl/>
        </w:rPr>
        <w:tab/>
        <w:t>وبالنسبة لما تضطلع به الدولة من أجل الاستجابة إلى هذه المسألة، أي فيما يتعلق بتنفيذ القانون، بما فيه من بيانات عن محاكمة وإدانة مرتكبي العنف ضد المرأة، تنبغي الإشارة إلى أن الدستور الاتحادي البرازيلي يؤكد الفصل بين السلطات. وبالتالي تعرض جرائم انتهاك حقوق المرأة على محاكم الولايات، وقد تصل في نهاية المطاف إلى محكمة العدل العليا، وهي آخر محكمة قضائية.</w:t>
      </w:r>
    </w:p>
    <w:p w:rsidR="004751CF" w:rsidRDefault="004751CF" w:rsidP="004415BB">
      <w:pPr>
        <w:pStyle w:val="SingleTxt"/>
        <w:rPr>
          <w:rFonts w:hint="cs"/>
          <w:rtl/>
        </w:rPr>
      </w:pPr>
      <w:r>
        <w:rPr>
          <w:rFonts w:hint="cs"/>
          <w:rtl/>
        </w:rPr>
        <w:tab/>
        <w:t>وكذلك، تجدر الإشارة إلى موافقة المجلس الوطني للعدل في 6 آذار/مارس 2007 على التوصية 9 التي تنص على أنه ينبغي لمحاكم العدل أن تشكل محاكم تتخصص في قضايا العنف المنـزلي والأسري ضد المرأة. والقانون 11340، وهو قانون ماريا دا بينها، يتيح إنشاء محاكم متخصصة تقدم المساعدة إلى النساء اللاتي يقعن ضحايا للعنف المنـزلي والأسري.</w:t>
      </w:r>
      <w:r w:rsidR="008A27CD">
        <w:rPr>
          <w:rFonts w:hint="cs"/>
          <w:rtl/>
        </w:rPr>
        <w:t xml:space="preserve"> وتنص التوصية أيضا على </w:t>
      </w:r>
      <w:r w:rsidR="00D00DA3">
        <w:rPr>
          <w:rFonts w:hint="cs"/>
          <w:rtl/>
        </w:rPr>
        <w:t>أن</w:t>
      </w:r>
      <w:r w:rsidR="008A27CD">
        <w:rPr>
          <w:rFonts w:hint="cs"/>
          <w:rtl/>
        </w:rPr>
        <w:t>ه ينبغي للمحاكم أن تدرج في مصارف بياناتها بيانات إحصائية عن العنف المنـزلي، وأن ت</w:t>
      </w:r>
      <w:r w:rsidR="004415BB">
        <w:rPr>
          <w:rFonts w:hint="cs"/>
          <w:rtl/>
        </w:rPr>
        <w:t>تولى</w:t>
      </w:r>
      <w:r w:rsidR="008A27CD">
        <w:rPr>
          <w:rFonts w:hint="cs"/>
          <w:rtl/>
        </w:rPr>
        <w:t xml:space="preserve"> تقديم دورات دراسية متعددة التخصصات عن حقوق الإنسان والعنف الجنساني للقضاة المؤهلين، فضلا عن إدراج السلطة القضائية ضمن الخدمات الأخرى لشبكة المساعدات النسائية.</w:t>
      </w:r>
    </w:p>
    <w:p w:rsidR="008A27CD" w:rsidRDefault="008A27CD" w:rsidP="004415BB">
      <w:pPr>
        <w:pStyle w:val="SingleTxt"/>
        <w:rPr>
          <w:rFonts w:hint="cs"/>
          <w:rtl/>
        </w:rPr>
      </w:pPr>
      <w:r>
        <w:rPr>
          <w:rFonts w:hint="cs"/>
          <w:rtl/>
        </w:rPr>
        <w:tab/>
        <w:t>وتجدر الإشارة أخيرا إلى أن الولايات تتخذ التدابير اللازمة لجمع البيانات الإحصائية عن العنف ضد المرأة. ومن الأمثلة على ذلك ن</w:t>
      </w:r>
      <w:r w:rsidR="004415BB">
        <w:rPr>
          <w:rFonts w:hint="cs"/>
          <w:rtl/>
        </w:rPr>
        <w:t>ُ</w:t>
      </w:r>
      <w:r>
        <w:rPr>
          <w:rFonts w:hint="cs"/>
          <w:rtl/>
        </w:rPr>
        <w:t>س</w:t>
      </w:r>
      <w:r w:rsidR="004415BB">
        <w:rPr>
          <w:rFonts w:hint="cs"/>
          <w:rtl/>
        </w:rPr>
        <w:t>َ</w:t>
      </w:r>
      <w:r>
        <w:rPr>
          <w:rFonts w:hint="cs"/>
          <w:rtl/>
        </w:rPr>
        <w:t xml:space="preserve">خ </w:t>
      </w:r>
      <w:r>
        <w:rPr>
          <w:rFonts w:hint="cs"/>
          <w:i/>
          <w:iCs/>
          <w:rtl/>
        </w:rPr>
        <w:t>ملف المرأة</w:t>
      </w:r>
      <w:r>
        <w:rPr>
          <w:rFonts w:hint="cs"/>
          <w:rtl/>
        </w:rPr>
        <w:t xml:space="preserve"> الصادر عن معهد ريو</w:t>
      </w:r>
      <w:r w:rsidR="00FC25CF">
        <w:rPr>
          <w:rFonts w:hint="eastAsia"/>
          <w:rtl/>
        </w:rPr>
        <w:t> </w:t>
      </w:r>
      <w:r>
        <w:rPr>
          <w:rFonts w:hint="cs"/>
          <w:rtl/>
        </w:rPr>
        <w:t>دي</w:t>
      </w:r>
      <w:r w:rsidR="00FC25CF">
        <w:rPr>
          <w:rFonts w:hint="eastAsia"/>
          <w:rtl/>
        </w:rPr>
        <w:t> </w:t>
      </w:r>
      <w:r>
        <w:rPr>
          <w:rFonts w:hint="cs"/>
          <w:rtl/>
        </w:rPr>
        <w:t>جانيرو للأمن العام. ويحتوي هذا المطبوع على مواد ومعلومات عن جرائم الاغتصاب والاعتداءات البذيئة العنيفة والإصابات البدنية الشائنة، فضلا عن حوادث القتل والتهديد التي تقع النساء ضحايا لها في الولاية. وي</w:t>
      </w:r>
      <w:r w:rsidR="004415BB">
        <w:rPr>
          <w:rFonts w:hint="cs"/>
          <w:rtl/>
        </w:rPr>
        <w:t>تضمن</w:t>
      </w:r>
      <w:r>
        <w:rPr>
          <w:rFonts w:hint="cs"/>
          <w:rtl/>
        </w:rPr>
        <w:t xml:space="preserve"> العدد الأول من </w:t>
      </w:r>
      <w:r>
        <w:rPr>
          <w:rFonts w:hint="cs"/>
          <w:i/>
          <w:iCs/>
          <w:rtl/>
        </w:rPr>
        <w:t>ملف المرأة</w:t>
      </w:r>
      <w:r>
        <w:rPr>
          <w:rFonts w:hint="cs"/>
          <w:rtl/>
        </w:rPr>
        <w:t xml:space="preserve"> بيانات تشير إلى عامي 2004 و 2005، بينما ي</w:t>
      </w:r>
      <w:r w:rsidR="004415BB">
        <w:rPr>
          <w:rFonts w:hint="cs"/>
          <w:rtl/>
        </w:rPr>
        <w:t>تضمن</w:t>
      </w:r>
      <w:r>
        <w:rPr>
          <w:rFonts w:hint="cs"/>
          <w:rtl/>
        </w:rPr>
        <w:t xml:space="preserve"> العدد الثاني بيانات تتعلق بعام 2006.</w:t>
      </w:r>
    </w:p>
    <w:p w:rsidR="00C87B32" w:rsidRPr="00C87B32" w:rsidRDefault="00C87B32" w:rsidP="00C87B32">
      <w:pPr>
        <w:pStyle w:val="SingleTxt"/>
        <w:spacing w:after="0" w:line="120" w:lineRule="exact"/>
        <w:rPr>
          <w:rFonts w:hint="cs"/>
          <w:sz w:val="10"/>
          <w:rtl/>
          <w:lang w:bidi="ar-EG"/>
        </w:rPr>
      </w:pPr>
    </w:p>
    <w:p w:rsidR="00C87B32" w:rsidRPr="005E297F" w:rsidRDefault="00C87B32" w:rsidP="00C87B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E297F">
        <w:tab/>
      </w:r>
      <w:r w:rsidRPr="005E297F">
        <w:tab/>
      </w:r>
      <w:r w:rsidRPr="005E297F">
        <w:rPr>
          <w:rtl/>
        </w:rPr>
        <w:t>الحياة السياسية والعامة</w:t>
      </w:r>
    </w:p>
    <w:p w:rsidR="00C87B32" w:rsidRPr="00C87B32" w:rsidRDefault="00C87B32" w:rsidP="00C87B32">
      <w:pPr>
        <w:pStyle w:val="SingleTxt"/>
        <w:rPr>
          <w:b/>
          <w:bCs/>
          <w:rtl/>
        </w:rPr>
      </w:pPr>
      <w:r w:rsidRPr="00C87B32">
        <w:rPr>
          <w:b/>
          <w:bCs/>
          <w:rtl/>
        </w:rPr>
        <w:t>1</w:t>
      </w:r>
      <w:r w:rsidRPr="00C87B32">
        <w:rPr>
          <w:rFonts w:hint="cs"/>
          <w:b/>
          <w:bCs/>
          <w:rtl/>
        </w:rPr>
        <w:t xml:space="preserve">2 </w:t>
      </w:r>
      <w:r w:rsidRPr="00C87B32">
        <w:rPr>
          <w:b/>
          <w:bCs/>
          <w:rtl/>
        </w:rPr>
        <w:t>-</w:t>
      </w:r>
      <w:r w:rsidRPr="00C87B32">
        <w:rPr>
          <w:rFonts w:hint="cs"/>
          <w:b/>
          <w:bCs/>
          <w:rtl/>
        </w:rPr>
        <w:tab/>
      </w:r>
      <w:r w:rsidRPr="00C87B32">
        <w:rPr>
          <w:b/>
          <w:bCs/>
          <w:rtl/>
        </w:rPr>
        <w:t xml:space="preserve">يرجى تقديم معلومات مستكملة عن مناقشة مشاريع القوانين في الكونغرس الوطني لتعديل القانون رقم 9504 المؤرخ </w:t>
      </w:r>
      <w:r>
        <w:rPr>
          <w:rFonts w:hint="cs"/>
          <w:b/>
          <w:bCs/>
          <w:rtl/>
        </w:rPr>
        <w:t xml:space="preserve">30 </w:t>
      </w:r>
      <w:r w:rsidRPr="00C87B32">
        <w:rPr>
          <w:b/>
          <w:bCs/>
          <w:rtl/>
        </w:rPr>
        <w:t>أيلول/سبتمبر 1997 المتعلق بالحصص</w:t>
      </w:r>
      <w:r>
        <w:rPr>
          <w:rFonts w:hint="cs"/>
          <w:b/>
          <w:bCs/>
          <w:rtl/>
        </w:rPr>
        <w:t xml:space="preserve"> (صفحة 42)</w:t>
      </w:r>
      <w:r w:rsidRPr="00C87B32">
        <w:rPr>
          <w:b/>
          <w:bCs/>
          <w:rtl/>
        </w:rPr>
        <w:t>.</w:t>
      </w:r>
    </w:p>
    <w:p w:rsidR="00C87B32" w:rsidRDefault="00C87B32" w:rsidP="004415BB">
      <w:pPr>
        <w:pStyle w:val="SingleTxt"/>
        <w:rPr>
          <w:rFonts w:hint="cs"/>
          <w:rtl/>
        </w:rPr>
      </w:pPr>
      <w:r>
        <w:rPr>
          <w:rFonts w:hint="cs"/>
          <w:rtl/>
        </w:rPr>
        <w:tab/>
        <w:t>تجرى المناقشة حالي</w:t>
      </w:r>
      <w:r w:rsidR="004415BB">
        <w:rPr>
          <w:rFonts w:hint="cs"/>
          <w:rtl/>
        </w:rPr>
        <w:t xml:space="preserve">ا </w:t>
      </w:r>
      <w:r>
        <w:rPr>
          <w:rFonts w:hint="cs"/>
          <w:rtl/>
        </w:rPr>
        <w:t>حول إدخال تعديلات على القانون 9504/1997 في الإطار الأعرض نطاقا للإصلاح المقترح للنظام السياسي البرازيلي. ويتيح الإصلاح السياسي فرصة فريدة لإجراء تغييرات في العمليات السياسية. وبمعنى أوسع نطاقا، يتضمن هذا الإصلاح استعراض علاقات القوة بين الدولة والمجتمع، والقواعد التشغيلية للأحزاب السياسية، والمعايير التي تحكم الانتخابات وعمليات صنع القرار، كما يتضمن المراقبة العامة للميزانية، وامتيازات الإذاعة والتلفزيون، والهيكل القضائي وسير العمل فيه. ويتيح الإصلاح إمكانية إدخال التحسينات وإضفاء الصبغة الديمقراطية على النظام السياسي وأشكال المشاركة والتمثيل السياسيين.</w:t>
      </w:r>
    </w:p>
    <w:p w:rsidR="00C87B32" w:rsidRDefault="00C87B32" w:rsidP="00C87B32">
      <w:pPr>
        <w:pStyle w:val="SingleTxt"/>
        <w:rPr>
          <w:rFonts w:hint="cs"/>
          <w:rtl/>
        </w:rPr>
      </w:pPr>
      <w:r>
        <w:rPr>
          <w:rFonts w:hint="cs"/>
          <w:rtl/>
        </w:rPr>
        <w:tab/>
        <w:t>ومشروع القانون 2679/2003 (المرفق بمشروع القانون 5268/2001) هو التشريع المقترح الذي يضم أكبر عدد من المواضيع، كما أن اللجنة الخاصة للإصلاح السياسي وافقت عليه، وهي اللجنة التي أقيمت خصيصا لمعالجة هذه المسألة. ويدعو مشروع القانون هذا إلى إحداث تغييرات في أحكام مدونة الانتخابات، وقانون الأحزاب السياسية، والقانون الانتخابي.</w:t>
      </w:r>
    </w:p>
    <w:p w:rsidR="00C87B32" w:rsidRDefault="00C87B32" w:rsidP="003D7C46">
      <w:pPr>
        <w:pStyle w:val="SingleTxt"/>
        <w:rPr>
          <w:rFonts w:hint="cs"/>
          <w:rtl/>
        </w:rPr>
      </w:pPr>
      <w:r>
        <w:rPr>
          <w:rFonts w:hint="cs"/>
          <w:rtl/>
        </w:rPr>
        <w:tab/>
        <w:t>وفيما يلي التغيرات المتوقعة: تخصيص ما لا يقل</w:t>
      </w:r>
      <w:r w:rsidR="00222A1F">
        <w:rPr>
          <w:rFonts w:hint="cs"/>
          <w:rtl/>
        </w:rPr>
        <w:t xml:space="preserve"> عن 30 في المائة ولا يزيد عن 70</w:t>
      </w:r>
      <w:r w:rsidR="00222A1F">
        <w:rPr>
          <w:rFonts w:hint="eastAsia"/>
          <w:rtl/>
        </w:rPr>
        <w:t> </w:t>
      </w:r>
      <w:r>
        <w:rPr>
          <w:rFonts w:hint="cs"/>
          <w:rtl/>
        </w:rPr>
        <w:t>في المائة من المراكز لمرشحي كل من الجنسين في القوائم المقدمة من كل حزب أو تجمع سياسي، ومراقبة الحصص الجنسانية على القائمة (المغلقة) التي سبق أن وافق عليها الحزب أو الاتحاد بحيث تجري كفالة التناوب بين الجنسين في مركز واحد على الأقل من كل ثلاثة مراكز، أ</w:t>
      </w:r>
      <w:r w:rsidR="003D7C46">
        <w:rPr>
          <w:rFonts w:hint="cs"/>
          <w:rtl/>
        </w:rPr>
        <w:t>و</w:t>
      </w:r>
      <w:r>
        <w:rPr>
          <w:rFonts w:hint="cs"/>
          <w:rtl/>
        </w:rPr>
        <w:t xml:space="preserve"> التناوب بنسبة 50-50، وتخصيص ما لا يقل عن 20</w:t>
      </w:r>
      <w:r w:rsidR="00222A1F">
        <w:rPr>
          <w:rFonts w:hint="cs"/>
          <w:rtl/>
        </w:rPr>
        <w:t xml:space="preserve"> في المائة أو 30 في المائة من وقت الإعلان المجاني للحزب في الإذاعة والتلفزيون لتعزيز المشاركة السياسية للنساء والدعاية لها، وتخصيص ما لا يقل عن 30 في المائة من الحد الأدنى، وهو 20 في المائة، [من الموارد] المخصصة للمؤسسات أو المعاهد الحزبية للقطاعات الحزبية المكرسة لتشجيع المشاركة النسائية والمساعدة على تنميتها (ما يعادل 6 في المائة من التمويل الحزبي).</w:t>
      </w:r>
    </w:p>
    <w:p w:rsidR="00222A1F" w:rsidRDefault="00222A1F" w:rsidP="00222A1F">
      <w:pPr>
        <w:pStyle w:val="SingleTxt"/>
        <w:rPr>
          <w:rFonts w:hint="cs"/>
          <w:rtl/>
        </w:rPr>
      </w:pPr>
      <w:r>
        <w:rPr>
          <w:rFonts w:hint="cs"/>
          <w:rtl/>
        </w:rPr>
        <w:tab/>
        <w:t>ويتيح الإصلاح فرصة رئيسية لتعزيز الديمقراطية وتعميقها</w:t>
      </w:r>
      <w:r w:rsidR="003D7C46">
        <w:rPr>
          <w:rFonts w:hint="cs"/>
          <w:rtl/>
        </w:rPr>
        <w:t>،</w:t>
      </w:r>
      <w:r>
        <w:rPr>
          <w:rFonts w:hint="cs"/>
          <w:rtl/>
        </w:rPr>
        <w:t xml:space="preserve"> والإدماج السياسي للقطاعات الناقصة التمثيل. وبغية تعميق هذه المناقشة، جرى اختيار المشاركة السياسية للمرأة كمسألة من المسائل الرئيسية التي تجري دراستها أثناء انعقاد المؤتمر الوطني الثاني لسياسات المرأة، المزمع عقده في آب/أغسطس 2007.</w:t>
      </w:r>
    </w:p>
    <w:p w:rsidR="008C107C" w:rsidRPr="008C107C" w:rsidRDefault="008C107C" w:rsidP="008C107C">
      <w:pPr>
        <w:pStyle w:val="SingleTxt"/>
        <w:spacing w:after="0" w:line="120" w:lineRule="exact"/>
        <w:rPr>
          <w:rFonts w:hint="cs"/>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403"/>
        <w:gridCol w:w="824"/>
        <w:gridCol w:w="927"/>
        <w:gridCol w:w="206"/>
        <w:gridCol w:w="927"/>
        <w:gridCol w:w="824"/>
        <w:gridCol w:w="206"/>
        <w:gridCol w:w="1003"/>
      </w:tblGrid>
      <w:tr w:rsidR="004445F9" w:rsidRPr="00652B30">
        <w:tblPrEx>
          <w:tblCellMar>
            <w:top w:w="0" w:type="dxa"/>
            <w:bottom w:w="0" w:type="dxa"/>
          </w:tblCellMar>
        </w:tblPrEx>
        <w:trPr>
          <w:cantSplit/>
          <w:tblHeader/>
        </w:trPr>
        <w:tc>
          <w:tcPr>
            <w:tcW w:w="7320" w:type="dxa"/>
            <w:gridSpan w:val="8"/>
            <w:tcBorders>
              <w:top w:val="single" w:sz="4" w:space="0" w:color="auto"/>
              <w:bottom w:val="single" w:sz="4" w:space="0" w:color="auto"/>
            </w:tcBorders>
            <w:shd w:val="clear" w:color="auto" w:fill="auto"/>
            <w:vAlign w:val="bottom"/>
          </w:tcPr>
          <w:p w:rsidR="004445F9" w:rsidRPr="00D65187" w:rsidRDefault="004445F9" w:rsidP="004445F9">
            <w:pPr>
              <w:tabs>
                <w:tab w:val="left" w:pos="288"/>
                <w:tab w:val="left" w:pos="576"/>
                <w:tab w:val="left" w:pos="864"/>
                <w:tab w:val="left" w:pos="1152"/>
              </w:tabs>
              <w:spacing w:before="80" w:after="80" w:line="240" w:lineRule="exact"/>
              <w:ind w:right="144"/>
              <w:jc w:val="center"/>
              <w:rPr>
                <w:rFonts w:hint="cs"/>
                <w:b/>
                <w:bCs/>
                <w:sz w:val="18"/>
                <w:szCs w:val="26"/>
                <w:rtl/>
              </w:rPr>
            </w:pPr>
            <w:r w:rsidRPr="00D65187">
              <w:rPr>
                <w:rFonts w:hint="cs"/>
                <w:b/>
                <w:bCs/>
                <w:sz w:val="18"/>
                <w:szCs w:val="26"/>
                <w:rtl/>
              </w:rPr>
              <w:t>النساء في مراكز السلطة في البرازيل</w:t>
            </w:r>
            <w:r w:rsidR="00652B30" w:rsidRPr="00D65187">
              <w:rPr>
                <w:rFonts w:hint="cs"/>
                <w:b/>
                <w:bCs/>
                <w:sz w:val="18"/>
                <w:szCs w:val="26"/>
                <w:rtl/>
              </w:rPr>
              <w:t xml:space="preserve"> - 2007</w:t>
            </w:r>
          </w:p>
        </w:tc>
      </w:tr>
      <w:tr w:rsidR="004445F9" w:rsidRPr="00652B30">
        <w:tblPrEx>
          <w:tblCellMar>
            <w:top w:w="0" w:type="dxa"/>
            <w:bottom w:w="0" w:type="dxa"/>
          </w:tblCellMar>
        </w:tblPrEx>
        <w:trPr>
          <w:cantSplit/>
          <w:tblHeader/>
        </w:trPr>
        <w:tc>
          <w:tcPr>
            <w:tcW w:w="2403" w:type="dxa"/>
            <w:tcBorders>
              <w:top w:val="single" w:sz="4" w:space="0" w:color="auto"/>
            </w:tcBorders>
            <w:shd w:val="clear" w:color="auto" w:fill="auto"/>
            <w:vAlign w:val="bottom"/>
          </w:tcPr>
          <w:p w:rsidR="004445F9" w:rsidRPr="00652B30" w:rsidRDefault="004445F9" w:rsidP="00FC25CF">
            <w:pPr>
              <w:tabs>
                <w:tab w:val="left" w:pos="288"/>
                <w:tab w:val="left" w:pos="576"/>
                <w:tab w:val="left" w:pos="864"/>
                <w:tab w:val="left" w:pos="1152"/>
              </w:tabs>
              <w:spacing w:after="80" w:line="240" w:lineRule="exact"/>
              <w:ind w:right="40"/>
              <w:rPr>
                <w:rFonts w:hint="cs"/>
                <w:i/>
                <w:iCs/>
                <w:sz w:val="18"/>
                <w:szCs w:val="26"/>
                <w:rtl/>
              </w:rPr>
            </w:pPr>
          </w:p>
        </w:tc>
        <w:tc>
          <w:tcPr>
            <w:tcW w:w="1751" w:type="dxa"/>
            <w:gridSpan w:val="2"/>
            <w:tcBorders>
              <w:top w:val="single" w:sz="4" w:space="0" w:color="auto"/>
              <w:bottom w:val="single" w:sz="4" w:space="0" w:color="auto"/>
            </w:tcBorders>
            <w:shd w:val="clear" w:color="auto" w:fill="auto"/>
            <w:vAlign w:val="bottom"/>
          </w:tcPr>
          <w:p w:rsidR="004445F9" w:rsidRPr="00652B30" w:rsidRDefault="004445F9" w:rsidP="004445F9">
            <w:pPr>
              <w:tabs>
                <w:tab w:val="left" w:pos="288"/>
                <w:tab w:val="left" w:pos="576"/>
                <w:tab w:val="left" w:pos="864"/>
                <w:tab w:val="left" w:pos="1152"/>
              </w:tabs>
              <w:spacing w:after="80" w:line="240" w:lineRule="exact"/>
              <w:ind w:right="144"/>
              <w:jc w:val="center"/>
              <w:rPr>
                <w:rFonts w:hint="cs"/>
                <w:i/>
                <w:iCs/>
                <w:sz w:val="18"/>
                <w:szCs w:val="26"/>
                <w:rtl/>
              </w:rPr>
            </w:pPr>
            <w:r w:rsidRPr="00652B30">
              <w:rPr>
                <w:rFonts w:hint="cs"/>
                <w:i/>
                <w:iCs/>
                <w:sz w:val="18"/>
                <w:szCs w:val="26"/>
                <w:rtl/>
              </w:rPr>
              <w:t>النساء</w:t>
            </w:r>
          </w:p>
        </w:tc>
        <w:tc>
          <w:tcPr>
            <w:tcW w:w="206" w:type="dxa"/>
            <w:tcBorders>
              <w:top w:val="single" w:sz="4" w:space="0" w:color="auto"/>
            </w:tcBorders>
            <w:shd w:val="clear" w:color="auto" w:fill="auto"/>
            <w:vAlign w:val="bottom"/>
          </w:tcPr>
          <w:p w:rsidR="004445F9" w:rsidRPr="00652B30" w:rsidRDefault="004445F9" w:rsidP="00FC25CF">
            <w:pPr>
              <w:tabs>
                <w:tab w:val="left" w:pos="288"/>
                <w:tab w:val="left" w:pos="576"/>
                <w:tab w:val="left" w:pos="864"/>
                <w:tab w:val="left" w:pos="1152"/>
              </w:tabs>
              <w:spacing w:after="80" w:line="240" w:lineRule="exact"/>
              <w:ind w:right="144"/>
              <w:rPr>
                <w:rFonts w:hint="cs"/>
                <w:i/>
                <w:iCs/>
                <w:sz w:val="18"/>
                <w:szCs w:val="26"/>
                <w:rtl/>
              </w:rPr>
            </w:pPr>
          </w:p>
        </w:tc>
        <w:tc>
          <w:tcPr>
            <w:tcW w:w="1751" w:type="dxa"/>
            <w:gridSpan w:val="2"/>
            <w:tcBorders>
              <w:top w:val="single" w:sz="4" w:space="0" w:color="auto"/>
              <w:bottom w:val="single" w:sz="4" w:space="0" w:color="auto"/>
            </w:tcBorders>
            <w:shd w:val="clear" w:color="auto" w:fill="auto"/>
            <w:vAlign w:val="bottom"/>
          </w:tcPr>
          <w:p w:rsidR="004445F9" w:rsidRPr="00652B30" w:rsidRDefault="004445F9" w:rsidP="004445F9">
            <w:pPr>
              <w:tabs>
                <w:tab w:val="left" w:pos="288"/>
                <w:tab w:val="left" w:pos="576"/>
                <w:tab w:val="left" w:pos="864"/>
                <w:tab w:val="left" w:pos="1152"/>
              </w:tabs>
              <w:spacing w:after="80" w:line="240" w:lineRule="exact"/>
              <w:ind w:right="144"/>
              <w:jc w:val="center"/>
              <w:rPr>
                <w:rFonts w:hint="cs"/>
                <w:i/>
                <w:iCs/>
                <w:sz w:val="18"/>
                <w:szCs w:val="26"/>
                <w:rtl/>
              </w:rPr>
            </w:pPr>
            <w:r w:rsidRPr="00652B30">
              <w:rPr>
                <w:rFonts w:hint="cs"/>
                <w:i/>
                <w:iCs/>
                <w:sz w:val="18"/>
                <w:szCs w:val="26"/>
                <w:rtl/>
              </w:rPr>
              <w:t>الرجال</w:t>
            </w:r>
          </w:p>
        </w:tc>
        <w:tc>
          <w:tcPr>
            <w:tcW w:w="206" w:type="dxa"/>
            <w:tcBorders>
              <w:top w:val="single" w:sz="4" w:space="0" w:color="auto"/>
            </w:tcBorders>
            <w:shd w:val="clear" w:color="auto" w:fill="auto"/>
            <w:vAlign w:val="bottom"/>
          </w:tcPr>
          <w:p w:rsidR="004445F9" w:rsidRPr="00652B30" w:rsidRDefault="004445F9" w:rsidP="00FC25CF">
            <w:pPr>
              <w:tabs>
                <w:tab w:val="left" w:pos="288"/>
                <w:tab w:val="left" w:pos="576"/>
                <w:tab w:val="left" w:pos="864"/>
                <w:tab w:val="left" w:pos="1152"/>
              </w:tabs>
              <w:spacing w:after="80" w:line="240" w:lineRule="exact"/>
              <w:ind w:right="144"/>
              <w:rPr>
                <w:rFonts w:hint="cs"/>
                <w:i/>
                <w:iCs/>
                <w:sz w:val="18"/>
                <w:szCs w:val="26"/>
                <w:rtl/>
              </w:rPr>
            </w:pPr>
          </w:p>
        </w:tc>
        <w:tc>
          <w:tcPr>
            <w:tcW w:w="1003" w:type="dxa"/>
            <w:tcBorders>
              <w:top w:val="single" w:sz="4" w:space="0" w:color="auto"/>
              <w:bottom w:val="single" w:sz="4" w:space="0" w:color="auto"/>
            </w:tcBorders>
            <w:shd w:val="clear" w:color="auto" w:fill="auto"/>
            <w:vAlign w:val="bottom"/>
          </w:tcPr>
          <w:p w:rsidR="004445F9" w:rsidRPr="00652B30" w:rsidRDefault="004445F9" w:rsidP="00AC4906">
            <w:pPr>
              <w:tabs>
                <w:tab w:val="left" w:pos="288"/>
                <w:tab w:val="left" w:pos="576"/>
                <w:tab w:val="left" w:pos="864"/>
                <w:tab w:val="left" w:pos="1152"/>
              </w:tabs>
              <w:spacing w:after="80" w:line="240" w:lineRule="exact"/>
              <w:ind w:right="144"/>
              <w:jc w:val="center"/>
              <w:rPr>
                <w:rFonts w:hint="cs"/>
                <w:i/>
                <w:iCs/>
                <w:sz w:val="18"/>
                <w:szCs w:val="26"/>
                <w:rtl/>
              </w:rPr>
            </w:pPr>
            <w:r w:rsidRPr="00652B30">
              <w:rPr>
                <w:rFonts w:hint="cs"/>
                <w:i/>
                <w:iCs/>
                <w:sz w:val="18"/>
                <w:szCs w:val="26"/>
                <w:rtl/>
              </w:rPr>
              <w:t>المجموع</w:t>
            </w:r>
          </w:p>
        </w:tc>
      </w:tr>
      <w:tr w:rsidR="008C107C" w:rsidRPr="00652B30">
        <w:tblPrEx>
          <w:tblCellMar>
            <w:top w:w="0" w:type="dxa"/>
            <w:bottom w:w="0" w:type="dxa"/>
          </w:tblCellMar>
        </w:tblPrEx>
        <w:trPr>
          <w:cantSplit/>
          <w:tblHeader/>
        </w:trPr>
        <w:tc>
          <w:tcPr>
            <w:tcW w:w="2403" w:type="dxa"/>
            <w:tcBorders>
              <w:bottom w:val="single" w:sz="12" w:space="0" w:color="auto"/>
            </w:tcBorders>
            <w:shd w:val="clear" w:color="auto" w:fill="auto"/>
            <w:vAlign w:val="bottom"/>
          </w:tcPr>
          <w:p w:rsidR="00FC25CF" w:rsidRPr="00652B30" w:rsidRDefault="00652B30" w:rsidP="00FC25CF">
            <w:pPr>
              <w:tabs>
                <w:tab w:val="left" w:pos="288"/>
                <w:tab w:val="left" w:pos="576"/>
                <w:tab w:val="left" w:pos="864"/>
                <w:tab w:val="left" w:pos="1152"/>
              </w:tabs>
              <w:spacing w:after="80" w:line="240" w:lineRule="exact"/>
              <w:ind w:right="40"/>
              <w:rPr>
                <w:rFonts w:hint="cs"/>
                <w:i/>
                <w:iCs/>
                <w:sz w:val="18"/>
                <w:szCs w:val="26"/>
                <w:rtl/>
              </w:rPr>
            </w:pPr>
            <w:r>
              <w:rPr>
                <w:rFonts w:hint="cs"/>
                <w:i/>
                <w:iCs/>
                <w:sz w:val="18"/>
                <w:szCs w:val="26"/>
                <w:rtl/>
              </w:rPr>
              <w:t>السلطة التنفيذية</w:t>
            </w:r>
          </w:p>
        </w:tc>
        <w:tc>
          <w:tcPr>
            <w:tcW w:w="824" w:type="dxa"/>
            <w:tcBorders>
              <w:top w:val="single" w:sz="4" w:space="0" w:color="auto"/>
              <w:bottom w:val="single" w:sz="12" w:space="0" w:color="auto"/>
            </w:tcBorders>
            <w:shd w:val="clear" w:color="auto" w:fill="auto"/>
            <w:vAlign w:val="bottom"/>
          </w:tcPr>
          <w:p w:rsidR="00FC25CF" w:rsidRPr="00652B30" w:rsidRDefault="003D7C46" w:rsidP="00FC25CF">
            <w:pPr>
              <w:tabs>
                <w:tab w:val="left" w:pos="288"/>
                <w:tab w:val="left" w:pos="576"/>
                <w:tab w:val="left" w:pos="864"/>
                <w:tab w:val="left" w:pos="1152"/>
              </w:tabs>
              <w:spacing w:after="80" w:line="240" w:lineRule="exact"/>
              <w:ind w:right="144"/>
              <w:rPr>
                <w:rFonts w:hint="cs"/>
                <w:i/>
                <w:iCs/>
                <w:sz w:val="18"/>
                <w:szCs w:val="26"/>
                <w:rtl/>
              </w:rPr>
            </w:pPr>
            <w:r>
              <w:rPr>
                <w:rFonts w:hint="cs"/>
                <w:i/>
                <w:iCs/>
                <w:sz w:val="18"/>
                <w:szCs w:val="26"/>
                <w:rtl/>
              </w:rPr>
              <w:t>العدد</w:t>
            </w:r>
          </w:p>
        </w:tc>
        <w:tc>
          <w:tcPr>
            <w:tcW w:w="927" w:type="dxa"/>
            <w:tcBorders>
              <w:top w:val="single" w:sz="4" w:space="0" w:color="auto"/>
              <w:bottom w:val="single" w:sz="12" w:space="0" w:color="auto"/>
            </w:tcBorders>
            <w:shd w:val="clear" w:color="auto" w:fill="auto"/>
            <w:vAlign w:val="bottom"/>
          </w:tcPr>
          <w:p w:rsidR="00FC25CF" w:rsidRPr="00652B30" w:rsidRDefault="00CB27B4" w:rsidP="00FC25CF">
            <w:pPr>
              <w:tabs>
                <w:tab w:val="left" w:pos="288"/>
                <w:tab w:val="left" w:pos="576"/>
                <w:tab w:val="left" w:pos="864"/>
                <w:tab w:val="left" w:pos="1152"/>
              </w:tabs>
              <w:spacing w:after="80" w:line="240" w:lineRule="exact"/>
              <w:ind w:right="144"/>
              <w:rPr>
                <w:rFonts w:hint="cs"/>
                <w:i/>
                <w:iCs/>
                <w:sz w:val="18"/>
                <w:szCs w:val="26"/>
                <w:rtl/>
              </w:rPr>
            </w:pPr>
            <w:r w:rsidRPr="00652B30">
              <w:rPr>
                <w:rFonts w:hint="cs"/>
                <w:i/>
                <w:iCs/>
                <w:sz w:val="18"/>
                <w:szCs w:val="26"/>
                <w:rtl/>
              </w:rPr>
              <w:t>نسبة مئوية</w:t>
            </w:r>
          </w:p>
        </w:tc>
        <w:tc>
          <w:tcPr>
            <w:tcW w:w="206" w:type="dxa"/>
            <w:tcBorders>
              <w:bottom w:val="single" w:sz="12" w:space="0" w:color="auto"/>
            </w:tcBorders>
            <w:shd w:val="clear" w:color="auto" w:fill="auto"/>
            <w:vAlign w:val="bottom"/>
          </w:tcPr>
          <w:p w:rsidR="00FC25CF" w:rsidRPr="00652B30" w:rsidRDefault="00FC25CF" w:rsidP="00FC25CF">
            <w:pPr>
              <w:tabs>
                <w:tab w:val="left" w:pos="288"/>
                <w:tab w:val="left" w:pos="576"/>
                <w:tab w:val="left" w:pos="864"/>
                <w:tab w:val="left" w:pos="1152"/>
              </w:tabs>
              <w:spacing w:after="80" w:line="240" w:lineRule="exact"/>
              <w:ind w:right="144"/>
              <w:rPr>
                <w:rFonts w:hint="cs"/>
                <w:i/>
                <w:iCs/>
                <w:sz w:val="18"/>
                <w:szCs w:val="26"/>
                <w:rtl/>
              </w:rPr>
            </w:pPr>
          </w:p>
        </w:tc>
        <w:tc>
          <w:tcPr>
            <w:tcW w:w="927" w:type="dxa"/>
            <w:tcBorders>
              <w:bottom w:val="single" w:sz="12" w:space="0" w:color="auto"/>
            </w:tcBorders>
            <w:shd w:val="clear" w:color="auto" w:fill="auto"/>
            <w:vAlign w:val="bottom"/>
          </w:tcPr>
          <w:p w:rsidR="00FC25CF" w:rsidRPr="00652B30" w:rsidRDefault="003D7C46" w:rsidP="00FC25CF">
            <w:pPr>
              <w:tabs>
                <w:tab w:val="left" w:pos="288"/>
                <w:tab w:val="left" w:pos="576"/>
                <w:tab w:val="left" w:pos="864"/>
                <w:tab w:val="left" w:pos="1152"/>
              </w:tabs>
              <w:spacing w:after="80" w:line="240" w:lineRule="exact"/>
              <w:ind w:right="144"/>
              <w:rPr>
                <w:rFonts w:hint="cs"/>
                <w:i/>
                <w:iCs/>
                <w:sz w:val="18"/>
                <w:szCs w:val="26"/>
                <w:rtl/>
              </w:rPr>
            </w:pPr>
            <w:r>
              <w:rPr>
                <w:rFonts w:hint="cs"/>
                <w:i/>
                <w:iCs/>
                <w:sz w:val="18"/>
                <w:szCs w:val="26"/>
                <w:rtl/>
              </w:rPr>
              <w:t>االع</w:t>
            </w:r>
            <w:r w:rsidR="004445F9" w:rsidRPr="00652B30">
              <w:rPr>
                <w:rFonts w:hint="cs"/>
                <w:i/>
                <w:iCs/>
                <w:sz w:val="18"/>
                <w:szCs w:val="26"/>
                <w:rtl/>
              </w:rPr>
              <w:t>دد</w:t>
            </w:r>
          </w:p>
        </w:tc>
        <w:tc>
          <w:tcPr>
            <w:tcW w:w="824" w:type="dxa"/>
            <w:tcBorders>
              <w:bottom w:val="single" w:sz="12" w:space="0" w:color="auto"/>
            </w:tcBorders>
            <w:shd w:val="clear" w:color="auto" w:fill="auto"/>
            <w:vAlign w:val="bottom"/>
          </w:tcPr>
          <w:p w:rsidR="00FC25CF" w:rsidRPr="00652B30" w:rsidRDefault="00CB27B4" w:rsidP="008C107C">
            <w:pPr>
              <w:tabs>
                <w:tab w:val="left" w:pos="288"/>
                <w:tab w:val="left" w:pos="864"/>
                <w:tab w:val="left" w:pos="1152"/>
              </w:tabs>
              <w:spacing w:after="80" w:line="240" w:lineRule="exact"/>
              <w:rPr>
                <w:rFonts w:hint="cs"/>
                <w:i/>
                <w:iCs/>
                <w:sz w:val="18"/>
                <w:szCs w:val="26"/>
                <w:rtl/>
              </w:rPr>
            </w:pPr>
            <w:r w:rsidRPr="00652B30">
              <w:rPr>
                <w:rFonts w:hint="cs"/>
                <w:i/>
                <w:iCs/>
                <w:sz w:val="18"/>
                <w:szCs w:val="26"/>
                <w:rtl/>
              </w:rPr>
              <w:t>نسبة مئوية</w:t>
            </w:r>
          </w:p>
        </w:tc>
        <w:tc>
          <w:tcPr>
            <w:tcW w:w="206" w:type="dxa"/>
            <w:tcBorders>
              <w:bottom w:val="single" w:sz="12" w:space="0" w:color="auto"/>
            </w:tcBorders>
            <w:shd w:val="clear" w:color="auto" w:fill="auto"/>
            <w:vAlign w:val="bottom"/>
          </w:tcPr>
          <w:p w:rsidR="00FC25CF" w:rsidRPr="00652B30" w:rsidRDefault="00FC25CF" w:rsidP="00FC25CF">
            <w:pPr>
              <w:tabs>
                <w:tab w:val="left" w:pos="288"/>
                <w:tab w:val="left" w:pos="576"/>
                <w:tab w:val="left" w:pos="864"/>
                <w:tab w:val="left" w:pos="1152"/>
              </w:tabs>
              <w:spacing w:after="80" w:line="240" w:lineRule="exact"/>
              <w:ind w:right="144"/>
              <w:rPr>
                <w:rFonts w:hint="cs"/>
                <w:i/>
                <w:iCs/>
                <w:sz w:val="18"/>
                <w:szCs w:val="26"/>
                <w:rtl/>
              </w:rPr>
            </w:pPr>
          </w:p>
        </w:tc>
        <w:tc>
          <w:tcPr>
            <w:tcW w:w="1003" w:type="dxa"/>
            <w:tcBorders>
              <w:bottom w:val="single" w:sz="12" w:space="0" w:color="auto"/>
            </w:tcBorders>
            <w:shd w:val="clear" w:color="auto" w:fill="auto"/>
            <w:vAlign w:val="bottom"/>
          </w:tcPr>
          <w:p w:rsidR="00FC25CF" w:rsidRPr="00652B30" w:rsidRDefault="00CB27B4" w:rsidP="00CB27B4">
            <w:pPr>
              <w:tabs>
                <w:tab w:val="left" w:pos="288"/>
                <w:tab w:val="left" w:pos="864"/>
                <w:tab w:val="left" w:pos="1152"/>
              </w:tabs>
              <w:spacing w:after="80" w:line="240" w:lineRule="exact"/>
              <w:rPr>
                <w:rFonts w:hint="cs"/>
                <w:i/>
                <w:iCs/>
                <w:sz w:val="18"/>
                <w:szCs w:val="26"/>
                <w:rtl/>
              </w:rPr>
            </w:pPr>
            <w:r w:rsidRPr="00652B30">
              <w:rPr>
                <w:rFonts w:hint="cs"/>
                <w:i/>
                <w:iCs/>
                <w:sz w:val="18"/>
                <w:szCs w:val="26"/>
                <w:rtl/>
              </w:rPr>
              <w:t>100 في المائة</w:t>
            </w:r>
          </w:p>
        </w:tc>
      </w:tr>
      <w:tr w:rsidR="008C107C" w:rsidRPr="00652B30">
        <w:tblPrEx>
          <w:tblCellMar>
            <w:top w:w="0" w:type="dxa"/>
            <w:bottom w:w="0" w:type="dxa"/>
          </w:tblCellMar>
        </w:tblPrEx>
        <w:trPr>
          <w:cantSplit/>
          <w:trHeight w:hRule="exact" w:val="115"/>
          <w:tblHeader/>
        </w:trPr>
        <w:tc>
          <w:tcPr>
            <w:tcW w:w="2403" w:type="dxa"/>
            <w:tcBorders>
              <w:top w:val="single" w:sz="12" w:space="0" w:color="auto"/>
            </w:tcBorders>
            <w:shd w:val="clear" w:color="auto" w:fill="auto"/>
            <w:vAlign w:val="bottom"/>
          </w:tcPr>
          <w:p w:rsidR="00FC25CF" w:rsidRPr="00652B30" w:rsidRDefault="00FC25CF" w:rsidP="00FC25CF">
            <w:pPr>
              <w:tabs>
                <w:tab w:val="left" w:pos="288"/>
                <w:tab w:val="left" w:pos="576"/>
                <w:tab w:val="left" w:pos="864"/>
                <w:tab w:val="left" w:pos="1152"/>
              </w:tabs>
              <w:spacing w:before="40" w:after="80" w:line="240" w:lineRule="exact"/>
              <w:ind w:right="40"/>
              <w:rPr>
                <w:rFonts w:hint="cs"/>
                <w:sz w:val="18"/>
                <w:szCs w:val="26"/>
                <w:rtl/>
              </w:rPr>
            </w:pPr>
          </w:p>
        </w:tc>
        <w:tc>
          <w:tcPr>
            <w:tcW w:w="824" w:type="dxa"/>
            <w:tcBorders>
              <w:top w:val="single" w:sz="12" w:space="0" w:color="auto"/>
            </w:tcBorders>
            <w:shd w:val="clear" w:color="auto" w:fill="auto"/>
            <w:vAlign w:val="bottom"/>
          </w:tcPr>
          <w:p w:rsidR="00FC25CF" w:rsidRPr="00652B30" w:rsidRDefault="00FC25CF" w:rsidP="00FC25CF">
            <w:pPr>
              <w:tabs>
                <w:tab w:val="left" w:pos="288"/>
                <w:tab w:val="left" w:pos="576"/>
                <w:tab w:val="left" w:pos="864"/>
                <w:tab w:val="left" w:pos="1152"/>
              </w:tabs>
              <w:spacing w:before="40" w:after="80" w:line="240" w:lineRule="exact"/>
              <w:ind w:right="144"/>
              <w:rPr>
                <w:rFonts w:hint="cs"/>
                <w:sz w:val="18"/>
                <w:szCs w:val="26"/>
                <w:rtl/>
              </w:rPr>
            </w:pPr>
          </w:p>
        </w:tc>
        <w:tc>
          <w:tcPr>
            <w:tcW w:w="927" w:type="dxa"/>
            <w:tcBorders>
              <w:top w:val="single" w:sz="12" w:space="0" w:color="auto"/>
            </w:tcBorders>
            <w:shd w:val="clear" w:color="auto" w:fill="auto"/>
            <w:vAlign w:val="bottom"/>
          </w:tcPr>
          <w:p w:rsidR="00FC25CF" w:rsidRPr="00652B30" w:rsidRDefault="00FC25CF" w:rsidP="00FC25CF">
            <w:pPr>
              <w:tabs>
                <w:tab w:val="left" w:pos="288"/>
                <w:tab w:val="left" w:pos="576"/>
                <w:tab w:val="left" w:pos="864"/>
                <w:tab w:val="left" w:pos="1152"/>
              </w:tabs>
              <w:spacing w:before="40" w:after="80" w:line="240" w:lineRule="exact"/>
              <w:ind w:right="144"/>
              <w:rPr>
                <w:rFonts w:hint="cs"/>
                <w:sz w:val="18"/>
                <w:szCs w:val="26"/>
                <w:rtl/>
              </w:rPr>
            </w:pPr>
          </w:p>
        </w:tc>
        <w:tc>
          <w:tcPr>
            <w:tcW w:w="206" w:type="dxa"/>
            <w:tcBorders>
              <w:top w:val="single" w:sz="12" w:space="0" w:color="auto"/>
            </w:tcBorders>
            <w:shd w:val="clear" w:color="auto" w:fill="auto"/>
            <w:vAlign w:val="bottom"/>
          </w:tcPr>
          <w:p w:rsidR="00FC25CF" w:rsidRPr="00652B30" w:rsidRDefault="00FC25CF" w:rsidP="00FC25CF">
            <w:pPr>
              <w:tabs>
                <w:tab w:val="left" w:pos="288"/>
                <w:tab w:val="left" w:pos="576"/>
                <w:tab w:val="left" w:pos="864"/>
                <w:tab w:val="left" w:pos="1152"/>
              </w:tabs>
              <w:spacing w:before="40" w:after="80" w:line="240" w:lineRule="exact"/>
              <w:ind w:right="144"/>
              <w:rPr>
                <w:rFonts w:hint="cs"/>
                <w:sz w:val="18"/>
                <w:szCs w:val="26"/>
                <w:rtl/>
              </w:rPr>
            </w:pPr>
          </w:p>
        </w:tc>
        <w:tc>
          <w:tcPr>
            <w:tcW w:w="927" w:type="dxa"/>
            <w:tcBorders>
              <w:top w:val="single" w:sz="12" w:space="0" w:color="auto"/>
            </w:tcBorders>
            <w:shd w:val="clear" w:color="auto" w:fill="auto"/>
            <w:vAlign w:val="bottom"/>
          </w:tcPr>
          <w:p w:rsidR="00FC25CF" w:rsidRPr="00652B30" w:rsidRDefault="00FC25CF" w:rsidP="00FC25CF">
            <w:pPr>
              <w:tabs>
                <w:tab w:val="left" w:pos="288"/>
                <w:tab w:val="left" w:pos="576"/>
                <w:tab w:val="left" w:pos="864"/>
                <w:tab w:val="left" w:pos="1152"/>
              </w:tabs>
              <w:spacing w:before="40" w:after="80" w:line="240" w:lineRule="exact"/>
              <w:ind w:right="144"/>
              <w:rPr>
                <w:rFonts w:hint="cs"/>
                <w:sz w:val="18"/>
                <w:szCs w:val="26"/>
                <w:rtl/>
              </w:rPr>
            </w:pPr>
          </w:p>
        </w:tc>
        <w:tc>
          <w:tcPr>
            <w:tcW w:w="824" w:type="dxa"/>
            <w:tcBorders>
              <w:top w:val="single" w:sz="12" w:space="0" w:color="auto"/>
            </w:tcBorders>
            <w:shd w:val="clear" w:color="auto" w:fill="auto"/>
            <w:vAlign w:val="bottom"/>
          </w:tcPr>
          <w:p w:rsidR="00FC25CF" w:rsidRPr="00652B30" w:rsidRDefault="00FC25CF" w:rsidP="00FC25CF">
            <w:pPr>
              <w:tabs>
                <w:tab w:val="left" w:pos="288"/>
                <w:tab w:val="left" w:pos="576"/>
                <w:tab w:val="left" w:pos="864"/>
                <w:tab w:val="left" w:pos="1152"/>
              </w:tabs>
              <w:spacing w:before="40" w:after="80" w:line="240" w:lineRule="exact"/>
              <w:ind w:right="144"/>
              <w:rPr>
                <w:rFonts w:hint="cs"/>
                <w:sz w:val="18"/>
                <w:szCs w:val="26"/>
                <w:rtl/>
              </w:rPr>
            </w:pPr>
          </w:p>
        </w:tc>
        <w:tc>
          <w:tcPr>
            <w:tcW w:w="206" w:type="dxa"/>
            <w:tcBorders>
              <w:top w:val="single" w:sz="12" w:space="0" w:color="auto"/>
            </w:tcBorders>
            <w:shd w:val="clear" w:color="auto" w:fill="auto"/>
            <w:vAlign w:val="bottom"/>
          </w:tcPr>
          <w:p w:rsidR="00FC25CF" w:rsidRPr="00652B30" w:rsidRDefault="00FC25CF" w:rsidP="00FC25CF">
            <w:pPr>
              <w:tabs>
                <w:tab w:val="left" w:pos="288"/>
                <w:tab w:val="left" w:pos="576"/>
                <w:tab w:val="left" w:pos="864"/>
                <w:tab w:val="left" w:pos="1152"/>
              </w:tabs>
              <w:spacing w:before="40" w:after="80" w:line="240" w:lineRule="exact"/>
              <w:ind w:right="144"/>
              <w:rPr>
                <w:rFonts w:hint="cs"/>
                <w:sz w:val="18"/>
                <w:szCs w:val="26"/>
                <w:rtl/>
              </w:rPr>
            </w:pPr>
          </w:p>
        </w:tc>
        <w:tc>
          <w:tcPr>
            <w:tcW w:w="1003" w:type="dxa"/>
            <w:tcBorders>
              <w:top w:val="single" w:sz="12" w:space="0" w:color="auto"/>
            </w:tcBorders>
            <w:shd w:val="clear" w:color="auto" w:fill="auto"/>
            <w:vAlign w:val="bottom"/>
          </w:tcPr>
          <w:p w:rsidR="00FC25CF" w:rsidRPr="00652B30" w:rsidRDefault="00FC25CF" w:rsidP="00FC25CF">
            <w:pPr>
              <w:tabs>
                <w:tab w:val="left" w:pos="288"/>
                <w:tab w:val="left" w:pos="576"/>
                <w:tab w:val="left" w:pos="864"/>
                <w:tab w:val="left" w:pos="1152"/>
              </w:tabs>
              <w:spacing w:before="40" w:after="80" w:line="240" w:lineRule="exact"/>
              <w:ind w:right="144"/>
              <w:rPr>
                <w:rFonts w:hint="cs"/>
                <w:sz w:val="18"/>
                <w:szCs w:val="26"/>
                <w:rtl/>
              </w:rPr>
            </w:pPr>
          </w:p>
        </w:tc>
      </w:tr>
      <w:tr w:rsidR="008C107C" w:rsidRPr="00652B30">
        <w:tblPrEx>
          <w:tblCellMar>
            <w:top w:w="0" w:type="dxa"/>
            <w:bottom w:w="0" w:type="dxa"/>
          </w:tblCellMar>
        </w:tblPrEx>
        <w:trPr>
          <w:cantSplit/>
        </w:trPr>
        <w:tc>
          <w:tcPr>
            <w:tcW w:w="2403" w:type="dxa"/>
            <w:shd w:val="clear" w:color="auto" w:fill="auto"/>
            <w:vAlign w:val="bottom"/>
          </w:tcPr>
          <w:p w:rsidR="00FC25CF" w:rsidRPr="00652B30" w:rsidRDefault="004445F9" w:rsidP="00FC25CF">
            <w:pPr>
              <w:tabs>
                <w:tab w:val="left" w:pos="288"/>
                <w:tab w:val="left" w:pos="576"/>
                <w:tab w:val="left" w:pos="864"/>
                <w:tab w:val="left" w:pos="1152"/>
              </w:tabs>
              <w:spacing w:before="40" w:after="80" w:line="240" w:lineRule="exact"/>
              <w:ind w:right="40"/>
              <w:rPr>
                <w:rFonts w:hint="cs"/>
                <w:sz w:val="18"/>
                <w:szCs w:val="26"/>
                <w:rtl/>
              </w:rPr>
            </w:pPr>
            <w:r w:rsidRPr="00652B30">
              <w:rPr>
                <w:rFonts w:hint="cs"/>
                <w:sz w:val="18"/>
                <w:szCs w:val="26"/>
                <w:rtl/>
              </w:rPr>
              <w:t>مجلس الشيوخ</w:t>
            </w:r>
          </w:p>
        </w:tc>
        <w:tc>
          <w:tcPr>
            <w:tcW w:w="824" w:type="dxa"/>
            <w:shd w:val="clear" w:color="auto" w:fill="auto"/>
            <w:vAlign w:val="bottom"/>
          </w:tcPr>
          <w:p w:rsidR="00FC25CF" w:rsidRPr="00652B30" w:rsidRDefault="004445F9"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10</w:t>
            </w:r>
          </w:p>
        </w:tc>
        <w:tc>
          <w:tcPr>
            <w:tcW w:w="927" w:type="dxa"/>
            <w:shd w:val="clear" w:color="auto" w:fill="auto"/>
            <w:vAlign w:val="bottom"/>
          </w:tcPr>
          <w:p w:rsidR="00FC25CF" w:rsidRPr="00652B30" w:rsidRDefault="004445F9"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12.34</w:t>
            </w:r>
          </w:p>
        </w:tc>
        <w:tc>
          <w:tcPr>
            <w:tcW w:w="206" w:type="dxa"/>
            <w:shd w:val="clear" w:color="auto" w:fill="auto"/>
            <w:vAlign w:val="bottom"/>
          </w:tcPr>
          <w:p w:rsidR="00FC25CF" w:rsidRPr="00652B30" w:rsidRDefault="00FC25CF" w:rsidP="00FC25CF">
            <w:pPr>
              <w:tabs>
                <w:tab w:val="left" w:pos="288"/>
                <w:tab w:val="left" w:pos="576"/>
                <w:tab w:val="left" w:pos="864"/>
                <w:tab w:val="left" w:pos="1152"/>
              </w:tabs>
              <w:spacing w:before="40" w:after="80" w:line="240" w:lineRule="exact"/>
              <w:ind w:right="144"/>
              <w:rPr>
                <w:rFonts w:hint="cs"/>
                <w:sz w:val="18"/>
                <w:szCs w:val="26"/>
                <w:rtl/>
              </w:rPr>
            </w:pPr>
          </w:p>
        </w:tc>
        <w:tc>
          <w:tcPr>
            <w:tcW w:w="927" w:type="dxa"/>
            <w:shd w:val="clear" w:color="auto" w:fill="auto"/>
            <w:vAlign w:val="bottom"/>
          </w:tcPr>
          <w:p w:rsidR="00FC25CF" w:rsidRPr="00652B30" w:rsidRDefault="00CB27B4"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71</w:t>
            </w:r>
          </w:p>
        </w:tc>
        <w:tc>
          <w:tcPr>
            <w:tcW w:w="824" w:type="dxa"/>
            <w:shd w:val="clear" w:color="auto" w:fill="auto"/>
            <w:vAlign w:val="bottom"/>
          </w:tcPr>
          <w:p w:rsidR="00FC25CF" w:rsidRPr="00652B30" w:rsidRDefault="00CB27B4"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87.66</w:t>
            </w:r>
          </w:p>
        </w:tc>
        <w:tc>
          <w:tcPr>
            <w:tcW w:w="206" w:type="dxa"/>
            <w:shd w:val="clear" w:color="auto" w:fill="auto"/>
            <w:vAlign w:val="bottom"/>
          </w:tcPr>
          <w:p w:rsidR="00FC25CF" w:rsidRPr="00652B30" w:rsidRDefault="00FC25CF" w:rsidP="00FC25CF">
            <w:pPr>
              <w:tabs>
                <w:tab w:val="left" w:pos="288"/>
                <w:tab w:val="left" w:pos="576"/>
                <w:tab w:val="left" w:pos="864"/>
                <w:tab w:val="left" w:pos="1152"/>
              </w:tabs>
              <w:spacing w:before="40" w:after="80" w:line="240" w:lineRule="exact"/>
              <w:ind w:right="144"/>
              <w:rPr>
                <w:rFonts w:hint="cs"/>
                <w:sz w:val="18"/>
                <w:szCs w:val="26"/>
                <w:rtl/>
              </w:rPr>
            </w:pPr>
          </w:p>
        </w:tc>
        <w:tc>
          <w:tcPr>
            <w:tcW w:w="1003" w:type="dxa"/>
            <w:shd w:val="clear" w:color="auto" w:fill="auto"/>
            <w:vAlign w:val="bottom"/>
          </w:tcPr>
          <w:p w:rsidR="00FC25CF" w:rsidRPr="00652B30" w:rsidRDefault="00CB27B4"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81</w:t>
            </w:r>
          </w:p>
        </w:tc>
      </w:tr>
      <w:tr w:rsidR="004445F9" w:rsidRPr="00652B30">
        <w:tblPrEx>
          <w:tblCellMar>
            <w:top w:w="0" w:type="dxa"/>
            <w:bottom w:w="0" w:type="dxa"/>
          </w:tblCellMar>
        </w:tblPrEx>
        <w:trPr>
          <w:cantSplit/>
        </w:trPr>
        <w:tc>
          <w:tcPr>
            <w:tcW w:w="2403" w:type="dxa"/>
            <w:shd w:val="clear" w:color="auto" w:fill="auto"/>
            <w:vAlign w:val="bottom"/>
          </w:tcPr>
          <w:p w:rsidR="00FC25CF" w:rsidRPr="00652B30" w:rsidRDefault="004445F9" w:rsidP="00FC25CF">
            <w:pPr>
              <w:tabs>
                <w:tab w:val="left" w:pos="288"/>
                <w:tab w:val="left" w:pos="576"/>
                <w:tab w:val="left" w:pos="864"/>
                <w:tab w:val="left" w:pos="1152"/>
              </w:tabs>
              <w:spacing w:before="40" w:after="80" w:line="240" w:lineRule="exact"/>
              <w:ind w:right="40"/>
              <w:rPr>
                <w:rFonts w:hint="cs"/>
                <w:sz w:val="18"/>
                <w:szCs w:val="26"/>
                <w:rtl/>
              </w:rPr>
            </w:pPr>
            <w:r w:rsidRPr="00652B30">
              <w:rPr>
                <w:rFonts w:hint="cs"/>
                <w:sz w:val="18"/>
                <w:szCs w:val="26"/>
                <w:rtl/>
              </w:rPr>
              <w:t>مجلس النواب</w:t>
            </w:r>
          </w:p>
        </w:tc>
        <w:tc>
          <w:tcPr>
            <w:tcW w:w="824" w:type="dxa"/>
            <w:shd w:val="clear" w:color="auto" w:fill="auto"/>
            <w:vAlign w:val="bottom"/>
          </w:tcPr>
          <w:p w:rsidR="00FC25CF" w:rsidRPr="00652B30" w:rsidRDefault="004445F9"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45</w:t>
            </w:r>
          </w:p>
        </w:tc>
        <w:tc>
          <w:tcPr>
            <w:tcW w:w="927" w:type="dxa"/>
            <w:shd w:val="clear" w:color="auto" w:fill="auto"/>
            <w:vAlign w:val="bottom"/>
          </w:tcPr>
          <w:p w:rsidR="00FC25CF" w:rsidRPr="00652B30" w:rsidRDefault="004445F9"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8.77</w:t>
            </w:r>
          </w:p>
        </w:tc>
        <w:tc>
          <w:tcPr>
            <w:tcW w:w="206" w:type="dxa"/>
            <w:shd w:val="clear" w:color="auto" w:fill="auto"/>
            <w:vAlign w:val="bottom"/>
          </w:tcPr>
          <w:p w:rsidR="00FC25CF" w:rsidRPr="00652B30" w:rsidRDefault="00FC25CF" w:rsidP="00FC25CF">
            <w:pPr>
              <w:tabs>
                <w:tab w:val="left" w:pos="288"/>
                <w:tab w:val="left" w:pos="576"/>
                <w:tab w:val="left" w:pos="864"/>
                <w:tab w:val="left" w:pos="1152"/>
              </w:tabs>
              <w:spacing w:before="40" w:after="80" w:line="240" w:lineRule="exact"/>
              <w:ind w:right="144"/>
              <w:rPr>
                <w:rFonts w:hint="cs"/>
                <w:sz w:val="18"/>
                <w:szCs w:val="26"/>
                <w:rtl/>
              </w:rPr>
            </w:pPr>
          </w:p>
        </w:tc>
        <w:tc>
          <w:tcPr>
            <w:tcW w:w="927" w:type="dxa"/>
            <w:shd w:val="clear" w:color="auto" w:fill="auto"/>
            <w:vAlign w:val="bottom"/>
          </w:tcPr>
          <w:p w:rsidR="00FC25CF" w:rsidRPr="00652B30" w:rsidRDefault="00CB27B4"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468</w:t>
            </w:r>
          </w:p>
        </w:tc>
        <w:tc>
          <w:tcPr>
            <w:tcW w:w="824" w:type="dxa"/>
            <w:shd w:val="clear" w:color="auto" w:fill="auto"/>
            <w:vAlign w:val="bottom"/>
          </w:tcPr>
          <w:p w:rsidR="00FC25CF" w:rsidRPr="00652B30" w:rsidRDefault="00CB27B4"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91.23</w:t>
            </w:r>
          </w:p>
        </w:tc>
        <w:tc>
          <w:tcPr>
            <w:tcW w:w="206" w:type="dxa"/>
            <w:shd w:val="clear" w:color="auto" w:fill="auto"/>
            <w:vAlign w:val="bottom"/>
          </w:tcPr>
          <w:p w:rsidR="00FC25CF" w:rsidRPr="00652B30" w:rsidRDefault="00FC25CF" w:rsidP="00FC25CF">
            <w:pPr>
              <w:tabs>
                <w:tab w:val="left" w:pos="288"/>
                <w:tab w:val="left" w:pos="576"/>
                <w:tab w:val="left" w:pos="864"/>
                <w:tab w:val="left" w:pos="1152"/>
              </w:tabs>
              <w:spacing w:before="40" w:after="80" w:line="240" w:lineRule="exact"/>
              <w:ind w:right="144"/>
              <w:rPr>
                <w:rFonts w:hint="cs"/>
                <w:sz w:val="18"/>
                <w:szCs w:val="26"/>
                <w:rtl/>
              </w:rPr>
            </w:pPr>
          </w:p>
        </w:tc>
        <w:tc>
          <w:tcPr>
            <w:tcW w:w="1003" w:type="dxa"/>
            <w:shd w:val="clear" w:color="auto" w:fill="auto"/>
            <w:vAlign w:val="bottom"/>
          </w:tcPr>
          <w:p w:rsidR="00FC25CF" w:rsidRPr="00652B30" w:rsidRDefault="00CB27B4"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513</w:t>
            </w:r>
          </w:p>
        </w:tc>
      </w:tr>
      <w:tr w:rsidR="008C107C" w:rsidRPr="00652B30">
        <w:tblPrEx>
          <w:tblCellMar>
            <w:top w:w="0" w:type="dxa"/>
            <w:bottom w:w="0" w:type="dxa"/>
          </w:tblCellMar>
        </w:tblPrEx>
        <w:trPr>
          <w:cantSplit/>
        </w:trPr>
        <w:tc>
          <w:tcPr>
            <w:tcW w:w="2403" w:type="dxa"/>
            <w:shd w:val="clear" w:color="auto" w:fill="auto"/>
            <w:vAlign w:val="bottom"/>
          </w:tcPr>
          <w:p w:rsidR="00FC25CF" w:rsidRPr="00652B30" w:rsidRDefault="004445F9" w:rsidP="00FC25CF">
            <w:pPr>
              <w:tabs>
                <w:tab w:val="left" w:pos="288"/>
                <w:tab w:val="left" w:pos="576"/>
                <w:tab w:val="left" w:pos="864"/>
                <w:tab w:val="left" w:pos="1152"/>
              </w:tabs>
              <w:spacing w:before="40" w:after="80" w:line="240" w:lineRule="exact"/>
              <w:ind w:right="40"/>
              <w:rPr>
                <w:rFonts w:hint="cs"/>
                <w:sz w:val="18"/>
                <w:szCs w:val="26"/>
                <w:rtl/>
              </w:rPr>
            </w:pPr>
            <w:r w:rsidRPr="00652B30">
              <w:rPr>
                <w:rFonts w:hint="cs"/>
                <w:sz w:val="18"/>
                <w:szCs w:val="26"/>
                <w:rtl/>
              </w:rPr>
              <w:t>جمعيات الولايات</w:t>
            </w:r>
          </w:p>
        </w:tc>
        <w:tc>
          <w:tcPr>
            <w:tcW w:w="824" w:type="dxa"/>
            <w:shd w:val="clear" w:color="auto" w:fill="auto"/>
            <w:vAlign w:val="bottom"/>
          </w:tcPr>
          <w:p w:rsidR="00FC25CF" w:rsidRPr="00652B30" w:rsidRDefault="004445F9"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123</w:t>
            </w:r>
          </w:p>
        </w:tc>
        <w:tc>
          <w:tcPr>
            <w:tcW w:w="927" w:type="dxa"/>
            <w:shd w:val="clear" w:color="auto" w:fill="auto"/>
            <w:vAlign w:val="bottom"/>
          </w:tcPr>
          <w:p w:rsidR="00FC25CF" w:rsidRPr="00652B30" w:rsidRDefault="004445F9"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11.61</w:t>
            </w:r>
          </w:p>
        </w:tc>
        <w:tc>
          <w:tcPr>
            <w:tcW w:w="206" w:type="dxa"/>
            <w:shd w:val="clear" w:color="auto" w:fill="auto"/>
            <w:vAlign w:val="bottom"/>
          </w:tcPr>
          <w:p w:rsidR="00FC25CF" w:rsidRPr="00652B30" w:rsidRDefault="00FC25CF" w:rsidP="00FC25CF">
            <w:pPr>
              <w:tabs>
                <w:tab w:val="left" w:pos="288"/>
                <w:tab w:val="left" w:pos="576"/>
                <w:tab w:val="left" w:pos="864"/>
                <w:tab w:val="left" w:pos="1152"/>
              </w:tabs>
              <w:spacing w:before="40" w:after="80" w:line="240" w:lineRule="exact"/>
              <w:ind w:right="144"/>
              <w:rPr>
                <w:rFonts w:hint="cs"/>
                <w:sz w:val="18"/>
                <w:szCs w:val="26"/>
                <w:rtl/>
              </w:rPr>
            </w:pPr>
          </w:p>
        </w:tc>
        <w:tc>
          <w:tcPr>
            <w:tcW w:w="927" w:type="dxa"/>
            <w:shd w:val="clear" w:color="auto" w:fill="auto"/>
            <w:vAlign w:val="bottom"/>
          </w:tcPr>
          <w:p w:rsidR="00FC25CF" w:rsidRPr="00652B30" w:rsidRDefault="00CB27B4"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936</w:t>
            </w:r>
          </w:p>
        </w:tc>
        <w:tc>
          <w:tcPr>
            <w:tcW w:w="824" w:type="dxa"/>
            <w:shd w:val="clear" w:color="auto" w:fill="auto"/>
            <w:vAlign w:val="bottom"/>
          </w:tcPr>
          <w:p w:rsidR="00FC25CF" w:rsidRPr="00652B30" w:rsidRDefault="00CB27B4"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88.39</w:t>
            </w:r>
          </w:p>
        </w:tc>
        <w:tc>
          <w:tcPr>
            <w:tcW w:w="206" w:type="dxa"/>
            <w:shd w:val="clear" w:color="auto" w:fill="auto"/>
            <w:vAlign w:val="bottom"/>
          </w:tcPr>
          <w:p w:rsidR="00FC25CF" w:rsidRPr="00652B30" w:rsidRDefault="00FC25CF" w:rsidP="00FC25CF">
            <w:pPr>
              <w:tabs>
                <w:tab w:val="left" w:pos="288"/>
                <w:tab w:val="left" w:pos="576"/>
                <w:tab w:val="left" w:pos="864"/>
                <w:tab w:val="left" w:pos="1152"/>
              </w:tabs>
              <w:spacing w:before="40" w:after="80" w:line="240" w:lineRule="exact"/>
              <w:ind w:right="144"/>
              <w:rPr>
                <w:rFonts w:hint="cs"/>
                <w:sz w:val="18"/>
                <w:szCs w:val="26"/>
                <w:rtl/>
              </w:rPr>
            </w:pPr>
          </w:p>
        </w:tc>
        <w:tc>
          <w:tcPr>
            <w:tcW w:w="1003" w:type="dxa"/>
            <w:shd w:val="clear" w:color="auto" w:fill="auto"/>
            <w:vAlign w:val="bottom"/>
          </w:tcPr>
          <w:p w:rsidR="00FC25CF" w:rsidRPr="00652B30" w:rsidRDefault="00CB27B4"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059 1</w:t>
            </w:r>
          </w:p>
        </w:tc>
      </w:tr>
      <w:tr w:rsidR="008C107C" w:rsidRPr="00652B30">
        <w:tblPrEx>
          <w:tblCellMar>
            <w:top w:w="0" w:type="dxa"/>
            <w:bottom w:w="0" w:type="dxa"/>
          </w:tblCellMar>
        </w:tblPrEx>
        <w:trPr>
          <w:cantSplit/>
        </w:trPr>
        <w:tc>
          <w:tcPr>
            <w:tcW w:w="2403" w:type="dxa"/>
            <w:tcBorders>
              <w:bottom w:val="single" w:sz="12" w:space="0" w:color="auto"/>
            </w:tcBorders>
            <w:shd w:val="clear" w:color="auto" w:fill="auto"/>
            <w:vAlign w:val="bottom"/>
          </w:tcPr>
          <w:p w:rsidR="00FC25CF" w:rsidRPr="00652B30" w:rsidRDefault="004445F9" w:rsidP="00FC25CF">
            <w:pPr>
              <w:tabs>
                <w:tab w:val="left" w:pos="288"/>
                <w:tab w:val="left" w:pos="576"/>
                <w:tab w:val="left" w:pos="864"/>
                <w:tab w:val="left" w:pos="1152"/>
              </w:tabs>
              <w:spacing w:before="40" w:after="80" w:line="240" w:lineRule="exact"/>
              <w:ind w:right="40"/>
              <w:rPr>
                <w:rFonts w:hint="cs"/>
                <w:sz w:val="18"/>
                <w:szCs w:val="26"/>
                <w:rtl/>
              </w:rPr>
            </w:pPr>
            <w:r w:rsidRPr="00652B30">
              <w:rPr>
                <w:rFonts w:hint="cs"/>
                <w:sz w:val="18"/>
                <w:szCs w:val="26"/>
                <w:rtl/>
              </w:rPr>
              <w:t>مجلس المدينة</w:t>
            </w:r>
          </w:p>
        </w:tc>
        <w:tc>
          <w:tcPr>
            <w:tcW w:w="824" w:type="dxa"/>
            <w:tcBorders>
              <w:bottom w:val="single" w:sz="12" w:space="0" w:color="auto"/>
            </w:tcBorders>
            <w:shd w:val="clear" w:color="auto" w:fill="auto"/>
            <w:vAlign w:val="bottom"/>
          </w:tcPr>
          <w:p w:rsidR="00FC25CF" w:rsidRPr="00652B30" w:rsidRDefault="004445F9"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556 6</w:t>
            </w:r>
          </w:p>
        </w:tc>
        <w:tc>
          <w:tcPr>
            <w:tcW w:w="927" w:type="dxa"/>
            <w:tcBorders>
              <w:bottom w:val="single" w:sz="12" w:space="0" w:color="auto"/>
            </w:tcBorders>
            <w:shd w:val="clear" w:color="auto" w:fill="auto"/>
            <w:vAlign w:val="bottom"/>
          </w:tcPr>
          <w:p w:rsidR="00FC25CF" w:rsidRPr="00652B30" w:rsidRDefault="004445F9"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12.65</w:t>
            </w:r>
          </w:p>
        </w:tc>
        <w:tc>
          <w:tcPr>
            <w:tcW w:w="206" w:type="dxa"/>
            <w:tcBorders>
              <w:bottom w:val="single" w:sz="12" w:space="0" w:color="auto"/>
            </w:tcBorders>
            <w:shd w:val="clear" w:color="auto" w:fill="auto"/>
            <w:vAlign w:val="bottom"/>
          </w:tcPr>
          <w:p w:rsidR="00FC25CF" w:rsidRPr="00652B30" w:rsidRDefault="00FC25CF" w:rsidP="00FC25CF">
            <w:pPr>
              <w:tabs>
                <w:tab w:val="left" w:pos="288"/>
                <w:tab w:val="left" w:pos="576"/>
                <w:tab w:val="left" w:pos="864"/>
                <w:tab w:val="left" w:pos="1152"/>
              </w:tabs>
              <w:spacing w:before="40" w:after="80" w:line="240" w:lineRule="exact"/>
              <w:ind w:right="144"/>
              <w:rPr>
                <w:rFonts w:hint="cs"/>
                <w:sz w:val="18"/>
                <w:szCs w:val="26"/>
                <w:rtl/>
              </w:rPr>
            </w:pPr>
          </w:p>
        </w:tc>
        <w:tc>
          <w:tcPr>
            <w:tcW w:w="927" w:type="dxa"/>
            <w:tcBorders>
              <w:bottom w:val="single" w:sz="12" w:space="0" w:color="auto"/>
            </w:tcBorders>
            <w:shd w:val="clear" w:color="auto" w:fill="auto"/>
            <w:vAlign w:val="bottom"/>
          </w:tcPr>
          <w:p w:rsidR="00FC25CF" w:rsidRPr="00652B30" w:rsidRDefault="00CB27B4"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252 42</w:t>
            </w:r>
          </w:p>
        </w:tc>
        <w:tc>
          <w:tcPr>
            <w:tcW w:w="824" w:type="dxa"/>
            <w:tcBorders>
              <w:bottom w:val="single" w:sz="12" w:space="0" w:color="auto"/>
            </w:tcBorders>
            <w:shd w:val="clear" w:color="auto" w:fill="auto"/>
            <w:vAlign w:val="bottom"/>
          </w:tcPr>
          <w:p w:rsidR="00FC25CF" w:rsidRPr="00652B30" w:rsidRDefault="00CB27B4" w:rsidP="00FC25CF">
            <w:pPr>
              <w:tabs>
                <w:tab w:val="left" w:pos="288"/>
                <w:tab w:val="left" w:pos="576"/>
                <w:tab w:val="left" w:pos="864"/>
                <w:tab w:val="left" w:pos="1152"/>
              </w:tabs>
              <w:spacing w:before="40" w:after="80" w:line="240" w:lineRule="exact"/>
              <w:ind w:right="144"/>
              <w:rPr>
                <w:rFonts w:hint="cs"/>
                <w:sz w:val="18"/>
                <w:szCs w:val="26"/>
                <w:rtl/>
              </w:rPr>
            </w:pPr>
            <w:r w:rsidRPr="00652B30">
              <w:rPr>
                <w:rFonts w:hint="cs"/>
                <w:sz w:val="18"/>
                <w:szCs w:val="26"/>
                <w:rtl/>
              </w:rPr>
              <w:t>87.35</w:t>
            </w:r>
          </w:p>
        </w:tc>
        <w:tc>
          <w:tcPr>
            <w:tcW w:w="206" w:type="dxa"/>
            <w:tcBorders>
              <w:bottom w:val="single" w:sz="12" w:space="0" w:color="auto"/>
            </w:tcBorders>
            <w:shd w:val="clear" w:color="auto" w:fill="auto"/>
            <w:vAlign w:val="bottom"/>
          </w:tcPr>
          <w:p w:rsidR="00FC25CF" w:rsidRPr="00652B30" w:rsidRDefault="00FC25CF" w:rsidP="00FC25CF">
            <w:pPr>
              <w:tabs>
                <w:tab w:val="left" w:pos="288"/>
                <w:tab w:val="left" w:pos="576"/>
                <w:tab w:val="left" w:pos="864"/>
                <w:tab w:val="left" w:pos="1152"/>
              </w:tabs>
              <w:spacing w:before="40" w:after="80" w:line="240" w:lineRule="exact"/>
              <w:ind w:right="144"/>
              <w:rPr>
                <w:rFonts w:hint="cs"/>
                <w:sz w:val="18"/>
                <w:szCs w:val="26"/>
                <w:rtl/>
              </w:rPr>
            </w:pPr>
          </w:p>
        </w:tc>
        <w:tc>
          <w:tcPr>
            <w:tcW w:w="1003" w:type="dxa"/>
            <w:tcBorders>
              <w:bottom w:val="single" w:sz="12" w:space="0" w:color="auto"/>
            </w:tcBorders>
            <w:shd w:val="clear" w:color="auto" w:fill="auto"/>
            <w:vAlign w:val="bottom"/>
          </w:tcPr>
          <w:p w:rsidR="00FC25CF" w:rsidRPr="00652B30" w:rsidRDefault="00CB27B4" w:rsidP="00CB27B4">
            <w:pPr>
              <w:tabs>
                <w:tab w:val="left" w:pos="288"/>
                <w:tab w:val="left" w:pos="864"/>
                <w:tab w:val="left" w:pos="1152"/>
              </w:tabs>
              <w:spacing w:before="40" w:after="80" w:line="240" w:lineRule="exact"/>
              <w:rPr>
                <w:rFonts w:hint="cs"/>
                <w:sz w:val="18"/>
                <w:szCs w:val="26"/>
                <w:rtl/>
              </w:rPr>
            </w:pPr>
            <w:r w:rsidRPr="00652B30">
              <w:rPr>
                <w:rFonts w:hint="cs"/>
                <w:sz w:val="18"/>
                <w:szCs w:val="26"/>
                <w:rtl/>
              </w:rPr>
              <w:t>808 51</w:t>
            </w:r>
          </w:p>
        </w:tc>
      </w:tr>
    </w:tbl>
    <w:p w:rsidR="008C107C" w:rsidRPr="008C107C" w:rsidRDefault="008C107C" w:rsidP="008C107C">
      <w:pPr>
        <w:pStyle w:val="SingleTxt"/>
        <w:spacing w:after="0" w:line="120" w:lineRule="exact"/>
        <w:rPr>
          <w:rFonts w:hint="cs"/>
          <w:sz w:val="10"/>
          <w:rtl/>
        </w:rPr>
      </w:pPr>
    </w:p>
    <w:p w:rsidR="00652B30" w:rsidRPr="00652B30" w:rsidRDefault="00652B30" w:rsidP="00652B30">
      <w:pPr>
        <w:pStyle w:val="SingleTxt"/>
        <w:spacing w:after="0" w:line="120" w:lineRule="exact"/>
        <w:rPr>
          <w:rFonts w:hint="cs"/>
          <w:sz w:val="10"/>
          <w:rtl/>
        </w:rPr>
      </w:pPr>
    </w:p>
    <w:p w:rsidR="00652B30" w:rsidRPr="00652B30" w:rsidRDefault="00652B30" w:rsidP="00652B30">
      <w:pPr>
        <w:pStyle w:val="SingleTxt"/>
        <w:spacing w:after="0" w:line="120" w:lineRule="exact"/>
        <w:rPr>
          <w:rFonts w:hint="cs"/>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403"/>
        <w:gridCol w:w="824"/>
        <w:gridCol w:w="927"/>
        <w:gridCol w:w="206"/>
        <w:gridCol w:w="927"/>
        <w:gridCol w:w="824"/>
        <w:gridCol w:w="206"/>
        <w:gridCol w:w="1003"/>
      </w:tblGrid>
      <w:tr w:rsidR="00652B30" w:rsidRPr="00652B30">
        <w:tblPrEx>
          <w:tblCellMar>
            <w:top w:w="0" w:type="dxa"/>
            <w:bottom w:w="0" w:type="dxa"/>
          </w:tblCellMar>
        </w:tblPrEx>
        <w:trPr>
          <w:cantSplit/>
          <w:tblHeader/>
        </w:trPr>
        <w:tc>
          <w:tcPr>
            <w:tcW w:w="7320" w:type="dxa"/>
            <w:gridSpan w:val="8"/>
            <w:tcBorders>
              <w:top w:val="single" w:sz="4" w:space="0" w:color="auto"/>
              <w:bottom w:val="single" w:sz="4" w:space="0" w:color="auto"/>
            </w:tcBorders>
            <w:shd w:val="clear" w:color="auto" w:fill="auto"/>
            <w:vAlign w:val="bottom"/>
          </w:tcPr>
          <w:p w:rsidR="00652B30" w:rsidRPr="00D65187" w:rsidRDefault="00652B30" w:rsidP="007E3CEF">
            <w:pPr>
              <w:tabs>
                <w:tab w:val="left" w:pos="288"/>
                <w:tab w:val="left" w:pos="576"/>
                <w:tab w:val="left" w:pos="864"/>
                <w:tab w:val="left" w:pos="1152"/>
              </w:tabs>
              <w:spacing w:before="80" w:after="80" w:line="240" w:lineRule="exact"/>
              <w:ind w:right="144"/>
              <w:jc w:val="center"/>
              <w:rPr>
                <w:rFonts w:hint="cs"/>
                <w:b/>
                <w:bCs/>
                <w:sz w:val="18"/>
                <w:szCs w:val="26"/>
                <w:rtl/>
              </w:rPr>
            </w:pPr>
            <w:r w:rsidRPr="00D65187">
              <w:rPr>
                <w:rFonts w:hint="cs"/>
                <w:b/>
                <w:bCs/>
                <w:sz w:val="18"/>
                <w:szCs w:val="26"/>
                <w:rtl/>
              </w:rPr>
              <w:t>النساء في مراكز السلطة في البرازيل - 2007</w:t>
            </w:r>
          </w:p>
        </w:tc>
      </w:tr>
      <w:tr w:rsidR="008C107C" w:rsidRPr="00652B30">
        <w:tblPrEx>
          <w:tblCellMar>
            <w:top w:w="0" w:type="dxa"/>
            <w:bottom w:w="0" w:type="dxa"/>
          </w:tblCellMar>
        </w:tblPrEx>
        <w:trPr>
          <w:cantSplit/>
          <w:tblHeader/>
        </w:trPr>
        <w:tc>
          <w:tcPr>
            <w:tcW w:w="2403" w:type="dxa"/>
            <w:tcBorders>
              <w:top w:val="single" w:sz="4"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after="80" w:line="240" w:lineRule="exact"/>
              <w:ind w:right="40"/>
              <w:rPr>
                <w:rFonts w:hint="cs"/>
                <w:i/>
                <w:iCs/>
                <w:sz w:val="18"/>
                <w:szCs w:val="26"/>
                <w:rtl/>
              </w:rPr>
            </w:pPr>
          </w:p>
        </w:tc>
        <w:tc>
          <w:tcPr>
            <w:tcW w:w="1751" w:type="dxa"/>
            <w:gridSpan w:val="2"/>
            <w:tcBorders>
              <w:top w:val="single" w:sz="4" w:space="0" w:color="auto"/>
              <w:bottom w:val="single" w:sz="4"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after="80" w:line="240" w:lineRule="exact"/>
              <w:ind w:right="144"/>
              <w:jc w:val="center"/>
              <w:rPr>
                <w:rFonts w:hint="cs"/>
                <w:i/>
                <w:iCs/>
                <w:sz w:val="18"/>
                <w:szCs w:val="26"/>
                <w:rtl/>
              </w:rPr>
            </w:pPr>
            <w:r w:rsidRPr="00652B30">
              <w:rPr>
                <w:rFonts w:hint="cs"/>
                <w:i/>
                <w:iCs/>
                <w:sz w:val="18"/>
                <w:szCs w:val="26"/>
                <w:rtl/>
              </w:rPr>
              <w:t>النساء</w:t>
            </w:r>
          </w:p>
        </w:tc>
        <w:tc>
          <w:tcPr>
            <w:tcW w:w="206" w:type="dxa"/>
            <w:tcBorders>
              <w:top w:val="single" w:sz="4"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after="80" w:line="240" w:lineRule="exact"/>
              <w:ind w:right="144"/>
              <w:rPr>
                <w:rFonts w:hint="cs"/>
                <w:i/>
                <w:iCs/>
                <w:sz w:val="18"/>
                <w:szCs w:val="26"/>
                <w:rtl/>
              </w:rPr>
            </w:pPr>
          </w:p>
        </w:tc>
        <w:tc>
          <w:tcPr>
            <w:tcW w:w="1751" w:type="dxa"/>
            <w:gridSpan w:val="2"/>
            <w:tcBorders>
              <w:top w:val="single" w:sz="4" w:space="0" w:color="auto"/>
              <w:bottom w:val="single" w:sz="4"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after="80" w:line="240" w:lineRule="exact"/>
              <w:ind w:right="144"/>
              <w:jc w:val="center"/>
              <w:rPr>
                <w:rFonts w:hint="cs"/>
                <w:i/>
                <w:iCs/>
                <w:sz w:val="18"/>
                <w:szCs w:val="26"/>
                <w:rtl/>
              </w:rPr>
            </w:pPr>
            <w:r w:rsidRPr="00652B30">
              <w:rPr>
                <w:rFonts w:hint="cs"/>
                <w:i/>
                <w:iCs/>
                <w:sz w:val="18"/>
                <w:szCs w:val="26"/>
                <w:rtl/>
              </w:rPr>
              <w:t>الرجال</w:t>
            </w:r>
          </w:p>
        </w:tc>
        <w:tc>
          <w:tcPr>
            <w:tcW w:w="206" w:type="dxa"/>
            <w:tcBorders>
              <w:top w:val="single" w:sz="4"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after="80" w:line="240" w:lineRule="exact"/>
              <w:ind w:right="144"/>
              <w:rPr>
                <w:rFonts w:hint="cs"/>
                <w:i/>
                <w:iCs/>
                <w:sz w:val="18"/>
                <w:szCs w:val="26"/>
                <w:rtl/>
              </w:rPr>
            </w:pPr>
          </w:p>
        </w:tc>
        <w:tc>
          <w:tcPr>
            <w:tcW w:w="1003" w:type="dxa"/>
            <w:tcBorders>
              <w:top w:val="single" w:sz="4" w:space="0" w:color="auto"/>
              <w:bottom w:val="single" w:sz="4" w:space="0" w:color="auto"/>
            </w:tcBorders>
            <w:shd w:val="clear" w:color="auto" w:fill="auto"/>
            <w:vAlign w:val="bottom"/>
          </w:tcPr>
          <w:p w:rsidR="00652B30" w:rsidRPr="00652B30" w:rsidRDefault="00652B30" w:rsidP="00AC4906">
            <w:pPr>
              <w:tabs>
                <w:tab w:val="left" w:pos="288"/>
                <w:tab w:val="left" w:pos="576"/>
                <w:tab w:val="left" w:pos="864"/>
                <w:tab w:val="left" w:pos="1152"/>
              </w:tabs>
              <w:spacing w:after="80" w:line="240" w:lineRule="exact"/>
              <w:ind w:right="144"/>
              <w:jc w:val="center"/>
              <w:rPr>
                <w:rFonts w:hint="cs"/>
                <w:i/>
                <w:iCs/>
                <w:sz w:val="18"/>
                <w:szCs w:val="26"/>
                <w:rtl/>
              </w:rPr>
            </w:pPr>
            <w:r w:rsidRPr="00652B30">
              <w:rPr>
                <w:rFonts w:hint="cs"/>
                <w:i/>
                <w:iCs/>
                <w:sz w:val="18"/>
                <w:szCs w:val="26"/>
                <w:rtl/>
              </w:rPr>
              <w:t>المجموع</w:t>
            </w:r>
          </w:p>
        </w:tc>
      </w:tr>
      <w:tr w:rsidR="00652B30" w:rsidRPr="00652B30">
        <w:tblPrEx>
          <w:tblCellMar>
            <w:top w:w="0" w:type="dxa"/>
            <w:bottom w:w="0" w:type="dxa"/>
          </w:tblCellMar>
        </w:tblPrEx>
        <w:trPr>
          <w:cantSplit/>
          <w:tblHeader/>
        </w:trPr>
        <w:tc>
          <w:tcPr>
            <w:tcW w:w="2403" w:type="dxa"/>
            <w:tcBorders>
              <w:bottom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after="80" w:line="240" w:lineRule="exact"/>
              <w:ind w:right="40"/>
              <w:rPr>
                <w:rFonts w:hint="cs"/>
                <w:i/>
                <w:iCs/>
                <w:sz w:val="18"/>
                <w:szCs w:val="26"/>
                <w:rtl/>
              </w:rPr>
            </w:pPr>
            <w:r>
              <w:rPr>
                <w:rFonts w:hint="cs"/>
                <w:i/>
                <w:iCs/>
                <w:sz w:val="18"/>
                <w:szCs w:val="26"/>
                <w:rtl/>
              </w:rPr>
              <w:t>السلطة التنفيذية</w:t>
            </w:r>
          </w:p>
        </w:tc>
        <w:tc>
          <w:tcPr>
            <w:tcW w:w="824" w:type="dxa"/>
            <w:tcBorders>
              <w:top w:val="single" w:sz="4" w:space="0" w:color="auto"/>
              <w:bottom w:val="single" w:sz="12" w:space="0" w:color="auto"/>
            </w:tcBorders>
            <w:shd w:val="clear" w:color="auto" w:fill="auto"/>
            <w:vAlign w:val="bottom"/>
          </w:tcPr>
          <w:p w:rsidR="00652B30" w:rsidRPr="00652B30" w:rsidRDefault="003D7C46" w:rsidP="007E3CEF">
            <w:pPr>
              <w:tabs>
                <w:tab w:val="left" w:pos="288"/>
                <w:tab w:val="left" w:pos="576"/>
                <w:tab w:val="left" w:pos="864"/>
                <w:tab w:val="left" w:pos="1152"/>
              </w:tabs>
              <w:spacing w:after="80" w:line="240" w:lineRule="exact"/>
              <w:ind w:right="144"/>
              <w:rPr>
                <w:rFonts w:hint="cs"/>
                <w:i/>
                <w:iCs/>
                <w:sz w:val="18"/>
                <w:szCs w:val="26"/>
                <w:rtl/>
              </w:rPr>
            </w:pPr>
            <w:r>
              <w:rPr>
                <w:rFonts w:hint="cs"/>
                <w:i/>
                <w:iCs/>
                <w:sz w:val="18"/>
                <w:szCs w:val="26"/>
                <w:rtl/>
              </w:rPr>
              <w:t>العدد</w:t>
            </w:r>
          </w:p>
        </w:tc>
        <w:tc>
          <w:tcPr>
            <w:tcW w:w="927" w:type="dxa"/>
            <w:tcBorders>
              <w:top w:val="single" w:sz="4" w:space="0" w:color="auto"/>
              <w:bottom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after="80" w:line="240" w:lineRule="exact"/>
              <w:ind w:right="144"/>
              <w:rPr>
                <w:rFonts w:hint="cs"/>
                <w:i/>
                <w:iCs/>
                <w:sz w:val="18"/>
                <w:szCs w:val="26"/>
                <w:rtl/>
              </w:rPr>
            </w:pPr>
            <w:r w:rsidRPr="00652B30">
              <w:rPr>
                <w:rFonts w:hint="cs"/>
                <w:i/>
                <w:iCs/>
                <w:sz w:val="18"/>
                <w:szCs w:val="26"/>
                <w:rtl/>
              </w:rPr>
              <w:t>نسبة مئوية</w:t>
            </w:r>
          </w:p>
        </w:tc>
        <w:tc>
          <w:tcPr>
            <w:tcW w:w="206" w:type="dxa"/>
            <w:tcBorders>
              <w:bottom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after="80" w:line="240" w:lineRule="exact"/>
              <w:ind w:right="144"/>
              <w:rPr>
                <w:rFonts w:hint="cs"/>
                <w:i/>
                <w:iCs/>
                <w:sz w:val="18"/>
                <w:szCs w:val="26"/>
                <w:rtl/>
              </w:rPr>
            </w:pPr>
          </w:p>
        </w:tc>
        <w:tc>
          <w:tcPr>
            <w:tcW w:w="927" w:type="dxa"/>
            <w:tcBorders>
              <w:bottom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after="80" w:line="240" w:lineRule="exact"/>
              <w:ind w:right="144"/>
              <w:rPr>
                <w:rFonts w:hint="cs"/>
                <w:i/>
                <w:iCs/>
                <w:sz w:val="18"/>
                <w:szCs w:val="26"/>
                <w:rtl/>
              </w:rPr>
            </w:pPr>
            <w:r w:rsidRPr="00652B30">
              <w:rPr>
                <w:rFonts w:hint="cs"/>
                <w:i/>
                <w:iCs/>
                <w:sz w:val="18"/>
                <w:szCs w:val="26"/>
                <w:rtl/>
              </w:rPr>
              <w:t>ا</w:t>
            </w:r>
            <w:r w:rsidR="003D7C46">
              <w:rPr>
                <w:rFonts w:hint="cs"/>
                <w:i/>
                <w:iCs/>
                <w:sz w:val="18"/>
                <w:szCs w:val="26"/>
                <w:rtl/>
              </w:rPr>
              <w:t>العدد</w:t>
            </w:r>
          </w:p>
        </w:tc>
        <w:tc>
          <w:tcPr>
            <w:tcW w:w="824" w:type="dxa"/>
            <w:tcBorders>
              <w:bottom w:val="single" w:sz="12" w:space="0" w:color="auto"/>
            </w:tcBorders>
            <w:shd w:val="clear" w:color="auto" w:fill="auto"/>
            <w:vAlign w:val="bottom"/>
          </w:tcPr>
          <w:p w:rsidR="00652B30" w:rsidRPr="00652B30" w:rsidRDefault="00652B30" w:rsidP="008C107C">
            <w:pPr>
              <w:tabs>
                <w:tab w:val="left" w:pos="288"/>
                <w:tab w:val="left" w:pos="864"/>
                <w:tab w:val="left" w:pos="1152"/>
              </w:tabs>
              <w:spacing w:after="80" w:line="240" w:lineRule="exact"/>
              <w:rPr>
                <w:rFonts w:hint="cs"/>
                <w:i/>
                <w:iCs/>
                <w:sz w:val="18"/>
                <w:szCs w:val="26"/>
                <w:rtl/>
              </w:rPr>
            </w:pPr>
            <w:r w:rsidRPr="00652B30">
              <w:rPr>
                <w:rFonts w:hint="cs"/>
                <w:i/>
                <w:iCs/>
                <w:sz w:val="18"/>
                <w:szCs w:val="26"/>
                <w:rtl/>
              </w:rPr>
              <w:t>نسبة مئوية</w:t>
            </w:r>
          </w:p>
        </w:tc>
        <w:tc>
          <w:tcPr>
            <w:tcW w:w="206" w:type="dxa"/>
            <w:tcBorders>
              <w:bottom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after="80" w:line="240" w:lineRule="exact"/>
              <w:ind w:right="144"/>
              <w:rPr>
                <w:rFonts w:hint="cs"/>
                <w:i/>
                <w:iCs/>
                <w:sz w:val="18"/>
                <w:szCs w:val="26"/>
                <w:rtl/>
              </w:rPr>
            </w:pPr>
          </w:p>
        </w:tc>
        <w:tc>
          <w:tcPr>
            <w:tcW w:w="1003" w:type="dxa"/>
            <w:tcBorders>
              <w:bottom w:val="single" w:sz="12" w:space="0" w:color="auto"/>
            </w:tcBorders>
            <w:shd w:val="clear" w:color="auto" w:fill="auto"/>
            <w:vAlign w:val="bottom"/>
          </w:tcPr>
          <w:p w:rsidR="00652B30" w:rsidRPr="00652B30" w:rsidRDefault="00652B30" w:rsidP="008C107C">
            <w:pPr>
              <w:tabs>
                <w:tab w:val="left" w:pos="288"/>
                <w:tab w:val="left" w:pos="1152"/>
              </w:tabs>
              <w:spacing w:after="80" w:line="240" w:lineRule="exact"/>
              <w:rPr>
                <w:rFonts w:hint="cs"/>
                <w:i/>
                <w:iCs/>
                <w:sz w:val="18"/>
                <w:szCs w:val="26"/>
                <w:rtl/>
              </w:rPr>
            </w:pPr>
            <w:r w:rsidRPr="00652B30">
              <w:rPr>
                <w:rFonts w:hint="cs"/>
                <w:i/>
                <w:iCs/>
                <w:sz w:val="18"/>
                <w:szCs w:val="26"/>
                <w:rtl/>
              </w:rPr>
              <w:t xml:space="preserve">100 في </w:t>
            </w:r>
            <w:r w:rsidR="008C107C">
              <w:rPr>
                <w:rFonts w:hint="cs"/>
                <w:i/>
                <w:iCs/>
                <w:sz w:val="18"/>
                <w:szCs w:val="26"/>
                <w:rtl/>
              </w:rPr>
              <w:t>المائ</w:t>
            </w:r>
            <w:r w:rsidRPr="00652B30">
              <w:rPr>
                <w:rFonts w:hint="cs"/>
                <w:i/>
                <w:iCs/>
                <w:sz w:val="18"/>
                <w:szCs w:val="26"/>
                <w:rtl/>
              </w:rPr>
              <w:t>ة</w:t>
            </w:r>
          </w:p>
        </w:tc>
      </w:tr>
      <w:tr w:rsidR="00652B30" w:rsidRPr="00652B30">
        <w:tblPrEx>
          <w:tblCellMar>
            <w:top w:w="0" w:type="dxa"/>
            <w:bottom w:w="0" w:type="dxa"/>
          </w:tblCellMar>
        </w:tblPrEx>
        <w:trPr>
          <w:cantSplit/>
          <w:trHeight w:hRule="exact" w:val="115"/>
          <w:tblHeader/>
        </w:trPr>
        <w:tc>
          <w:tcPr>
            <w:tcW w:w="2403" w:type="dxa"/>
            <w:tcBorders>
              <w:top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40"/>
              <w:rPr>
                <w:rFonts w:hint="cs"/>
                <w:sz w:val="18"/>
                <w:szCs w:val="26"/>
                <w:rtl/>
              </w:rPr>
            </w:pPr>
          </w:p>
        </w:tc>
        <w:tc>
          <w:tcPr>
            <w:tcW w:w="824" w:type="dxa"/>
            <w:tcBorders>
              <w:top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p>
        </w:tc>
        <w:tc>
          <w:tcPr>
            <w:tcW w:w="927" w:type="dxa"/>
            <w:tcBorders>
              <w:top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p>
        </w:tc>
        <w:tc>
          <w:tcPr>
            <w:tcW w:w="206" w:type="dxa"/>
            <w:tcBorders>
              <w:top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p>
        </w:tc>
        <w:tc>
          <w:tcPr>
            <w:tcW w:w="927" w:type="dxa"/>
            <w:tcBorders>
              <w:top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p>
        </w:tc>
        <w:tc>
          <w:tcPr>
            <w:tcW w:w="824" w:type="dxa"/>
            <w:tcBorders>
              <w:top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p>
        </w:tc>
        <w:tc>
          <w:tcPr>
            <w:tcW w:w="206" w:type="dxa"/>
            <w:tcBorders>
              <w:top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p>
        </w:tc>
        <w:tc>
          <w:tcPr>
            <w:tcW w:w="1003" w:type="dxa"/>
            <w:tcBorders>
              <w:top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p>
        </w:tc>
      </w:tr>
      <w:tr w:rsidR="00652B30" w:rsidRPr="00652B30">
        <w:tblPrEx>
          <w:tblCellMar>
            <w:top w:w="0" w:type="dxa"/>
            <w:bottom w:w="0" w:type="dxa"/>
          </w:tblCellMar>
        </w:tblPrEx>
        <w:trPr>
          <w:cantSplit/>
        </w:trPr>
        <w:tc>
          <w:tcPr>
            <w:tcW w:w="2403" w:type="dxa"/>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40"/>
              <w:rPr>
                <w:rFonts w:hint="cs"/>
                <w:sz w:val="18"/>
                <w:szCs w:val="26"/>
                <w:rtl/>
              </w:rPr>
            </w:pPr>
            <w:r>
              <w:rPr>
                <w:rFonts w:hint="cs"/>
                <w:sz w:val="18"/>
                <w:szCs w:val="26"/>
                <w:rtl/>
              </w:rPr>
              <w:t>رئيس الجمهورية</w:t>
            </w:r>
          </w:p>
        </w:tc>
        <w:tc>
          <w:tcPr>
            <w:tcW w:w="824" w:type="dxa"/>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w:t>
            </w:r>
          </w:p>
        </w:tc>
        <w:tc>
          <w:tcPr>
            <w:tcW w:w="927" w:type="dxa"/>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w:t>
            </w:r>
          </w:p>
        </w:tc>
        <w:tc>
          <w:tcPr>
            <w:tcW w:w="206" w:type="dxa"/>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p>
        </w:tc>
        <w:tc>
          <w:tcPr>
            <w:tcW w:w="927" w:type="dxa"/>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1</w:t>
            </w:r>
          </w:p>
        </w:tc>
        <w:tc>
          <w:tcPr>
            <w:tcW w:w="824" w:type="dxa"/>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100</w:t>
            </w:r>
          </w:p>
        </w:tc>
        <w:tc>
          <w:tcPr>
            <w:tcW w:w="206" w:type="dxa"/>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p>
        </w:tc>
        <w:tc>
          <w:tcPr>
            <w:tcW w:w="1003" w:type="dxa"/>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1</w:t>
            </w:r>
          </w:p>
        </w:tc>
      </w:tr>
      <w:tr w:rsidR="00652B30" w:rsidRPr="00652B30">
        <w:tblPrEx>
          <w:tblCellMar>
            <w:top w:w="0" w:type="dxa"/>
            <w:bottom w:w="0" w:type="dxa"/>
          </w:tblCellMar>
        </w:tblPrEx>
        <w:trPr>
          <w:cantSplit/>
        </w:trPr>
        <w:tc>
          <w:tcPr>
            <w:tcW w:w="2403" w:type="dxa"/>
            <w:shd w:val="clear" w:color="auto" w:fill="auto"/>
            <w:vAlign w:val="bottom"/>
          </w:tcPr>
          <w:p w:rsidR="00652B30" w:rsidRPr="00652B30" w:rsidRDefault="00652B30" w:rsidP="00AC4906">
            <w:pPr>
              <w:tabs>
                <w:tab w:val="left" w:pos="288"/>
                <w:tab w:val="left" w:pos="576"/>
                <w:tab w:val="left" w:pos="864"/>
                <w:tab w:val="left" w:pos="1152"/>
              </w:tabs>
              <w:spacing w:before="40" w:after="80" w:line="240" w:lineRule="exact"/>
              <w:ind w:right="206"/>
              <w:rPr>
                <w:rFonts w:hint="cs"/>
                <w:sz w:val="18"/>
                <w:szCs w:val="26"/>
                <w:rtl/>
              </w:rPr>
            </w:pPr>
            <w:r>
              <w:rPr>
                <w:rFonts w:hint="cs"/>
                <w:sz w:val="18"/>
                <w:szCs w:val="26"/>
                <w:rtl/>
              </w:rPr>
              <w:t>حكومة الولاية ومنطقة العاصمة الاتحادية</w:t>
            </w:r>
          </w:p>
        </w:tc>
        <w:tc>
          <w:tcPr>
            <w:tcW w:w="824" w:type="dxa"/>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4</w:t>
            </w:r>
          </w:p>
        </w:tc>
        <w:tc>
          <w:tcPr>
            <w:tcW w:w="927" w:type="dxa"/>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14.81</w:t>
            </w:r>
          </w:p>
        </w:tc>
        <w:tc>
          <w:tcPr>
            <w:tcW w:w="206" w:type="dxa"/>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p>
        </w:tc>
        <w:tc>
          <w:tcPr>
            <w:tcW w:w="927" w:type="dxa"/>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23</w:t>
            </w:r>
          </w:p>
        </w:tc>
        <w:tc>
          <w:tcPr>
            <w:tcW w:w="824" w:type="dxa"/>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85.19</w:t>
            </w:r>
          </w:p>
        </w:tc>
        <w:tc>
          <w:tcPr>
            <w:tcW w:w="206" w:type="dxa"/>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p>
        </w:tc>
        <w:tc>
          <w:tcPr>
            <w:tcW w:w="1003" w:type="dxa"/>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27</w:t>
            </w:r>
          </w:p>
        </w:tc>
      </w:tr>
      <w:tr w:rsidR="00652B30" w:rsidRPr="00652B30">
        <w:tblPrEx>
          <w:tblCellMar>
            <w:top w:w="0" w:type="dxa"/>
            <w:bottom w:w="0" w:type="dxa"/>
          </w:tblCellMar>
        </w:tblPrEx>
        <w:trPr>
          <w:cantSplit/>
        </w:trPr>
        <w:tc>
          <w:tcPr>
            <w:tcW w:w="2403" w:type="dxa"/>
            <w:tcBorders>
              <w:bottom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40"/>
              <w:rPr>
                <w:rFonts w:hint="cs"/>
                <w:sz w:val="18"/>
                <w:szCs w:val="26"/>
                <w:rtl/>
              </w:rPr>
            </w:pPr>
            <w:r>
              <w:rPr>
                <w:rFonts w:hint="cs"/>
                <w:sz w:val="18"/>
                <w:szCs w:val="26"/>
                <w:rtl/>
              </w:rPr>
              <w:t>حكومة البلدية</w:t>
            </w:r>
          </w:p>
        </w:tc>
        <w:tc>
          <w:tcPr>
            <w:tcW w:w="824" w:type="dxa"/>
            <w:tcBorders>
              <w:bottom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418</w:t>
            </w:r>
          </w:p>
        </w:tc>
        <w:tc>
          <w:tcPr>
            <w:tcW w:w="927" w:type="dxa"/>
            <w:tcBorders>
              <w:bottom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7.52</w:t>
            </w:r>
          </w:p>
        </w:tc>
        <w:tc>
          <w:tcPr>
            <w:tcW w:w="206" w:type="dxa"/>
            <w:tcBorders>
              <w:bottom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p>
        </w:tc>
        <w:tc>
          <w:tcPr>
            <w:tcW w:w="927" w:type="dxa"/>
            <w:tcBorders>
              <w:bottom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141 5</w:t>
            </w:r>
          </w:p>
        </w:tc>
        <w:tc>
          <w:tcPr>
            <w:tcW w:w="824" w:type="dxa"/>
            <w:tcBorders>
              <w:bottom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92.48</w:t>
            </w:r>
          </w:p>
        </w:tc>
        <w:tc>
          <w:tcPr>
            <w:tcW w:w="206" w:type="dxa"/>
            <w:tcBorders>
              <w:bottom w:val="single" w:sz="12" w:space="0" w:color="auto"/>
            </w:tcBorders>
            <w:shd w:val="clear" w:color="auto" w:fill="auto"/>
            <w:vAlign w:val="bottom"/>
          </w:tcPr>
          <w:p w:rsidR="00652B30" w:rsidRPr="00652B30" w:rsidRDefault="00652B30" w:rsidP="007E3CEF">
            <w:pPr>
              <w:tabs>
                <w:tab w:val="left" w:pos="288"/>
                <w:tab w:val="left" w:pos="576"/>
                <w:tab w:val="left" w:pos="864"/>
                <w:tab w:val="left" w:pos="1152"/>
              </w:tabs>
              <w:spacing w:before="40" w:after="80" w:line="240" w:lineRule="exact"/>
              <w:ind w:right="144"/>
              <w:rPr>
                <w:rFonts w:hint="cs"/>
                <w:sz w:val="18"/>
                <w:szCs w:val="26"/>
                <w:rtl/>
              </w:rPr>
            </w:pPr>
          </w:p>
        </w:tc>
        <w:tc>
          <w:tcPr>
            <w:tcW w:w="1003" w:type="dxa"/>
            <w:tcBorders>
              <w:bottom w:val="single" w:sz="12" w:space="0" w:color="auto"/>
            </w:tcBorders>
            <w:shd w:val="clear" w:color="auto" w:fill="auto"/>
            <w:vAlign w:val="bottom"/>
          </w:tcPr>
          <w:p w:rsidR="00652B30" w:rsidRPr="00652B30" w:rsidRDefault="00652B30" w:rsidP="007E3CEF">
            <w:pPr>
              <w:tabs>
                <w:tab w:val="left" w:pos="288"/>
                <w:tab w:val="left" w:pos="864"/>
                <w:tab w:val="left" w:pos="1152"/>
              </w:tabs>
              <w:spacing w:before="40" w:after="80" w:line="240" w:lineRule="exact"/>
              <w:rPr>
                <w:rFonts w:hint="cs"/>
                <w:sz w:val="18"/>
                <w:szCs w:val="26"/>
                <w:rtl/>
              </w:rPr>
            </w:pPr>
            <w:r>
              <w:rPr>
                <w:rFonts w:hint="cs"/>
                <w:sz w:val="18"/>
                <w:szCs w:val="26"/>
                <w:rtl/>
              </w:rPr>
              <w:t>559 5</w:t>
            </w:r>
          </w:p>
        </w:tc>
      </w:tr>
    </w:tbl>
    <w:p w:rsidR="0065740E" w:rsidRPr="0065740E" w:rsidRDefault="0065740E" w:rsidP="0065740E">
      <w:pPr>
        <w:pStyle w:val="SingleTxt"/>
        <w:spacing w:after="0" w:line="120" w:lineRule="exact"/>
        <w:rPr>
          <w:sz w:val="10"/>
          <w:rtl/>
        </w:rPr>
      </w:pPr>
    </w:p>
    <w:p w:rsidR="0065740E" w:rsidRPr="0065740E" w:rsidRDefault="0065740E" w:rsidP="0065740E">
      <w:pPr>
        <w:pStyle w:val="SingleTxt"/>
        <w:spacing w:after="0" w:line="120" w:lineRule="exact"/>
        <w:rPr>
          <w:sz w:val="10"/>
          <w:rtl/>
        </w:rPr>
      </w:pPr>
    </w:p>
    <w:p w:rsidR="00222A1F" w:rsidRPr="00222A1F" w:rsidRDefault="00222A1F" w:rsidP="00222A1F">
      <w:pPr>
        <w:pStyle w:val="SingleTxt"/>
        <w:spacing w:after="0" w:line="120" w:lineRule="exact"/>
        <w:rPr>
          <w:sz w:val="10"/>
          <w:rtl/>
        </w:rPr>
      </w:pPr>
    </w:p>
    <w:p w:rsidR="00C87B32" w:rsidRDefault="00222A1F" w:rsidP="00FC25CF">
      <w:pPr>
        <w:pStyle w:val="SingleTxt"/>
        <w:rPr>
          <w:rFonts w:hint="cs"/>
          <w:b/>
          <w:bCs/>
          <w:rtl/>
          <w:lang w:bidi="ar-EG"/>
        </w:rPr>
      </w:pPr>
      <w:r w:rsidRPr="00222A1F">
        <w:rPr>
          <w:rFonts w:hint="cs"/>
          <w:b/>
          <w:bCs/>
          <w:rtl/>
        </w:rPr>
        <w:t>13</w:t>
      </w:r>
      <w:r w:rsidR="00C87B32" w:rsidRPr="00222A1F">
        <w:rPr>
          <w:rFonts w:hint="cs"/>
          <w:b/>
          <w:bCs/>
          <w:rtl/>
        </w:rPr>
        <w:t xml:space="preserve"> </w:t>
      </w:r>
      <w:r w:rsidR="00C87B32" w:rsidRPr="00222A1F">
        <w:rPr>
          <w:b/>
          <w:bCs/>
          <w:rtl/>
        </w:rPr>
        <w:t>-</w:t>
      </w:r>
      <w:r w:rsidR="00C87B32" w:rsidRPr="00222A1F">
        <w:rPr>
          <w:rFonts w:hint="cs"/>
          <w:b/>
          <w:bCs/>
          <w:rtl/>
        </w:rPr>
        <w:tab/>
      </w:r>
      <w:r w:rsidR="00C87B32" w:rsidRPr="00222A1F">
        <w:rPr>
          <w:b/>
          <w:bCs/>
          <w:rtl/>
        </w:rPr>
        <w:t xml:space="preserve">ما هو عدد المرشحات من النساء اللواتي حضرن حلقات العمل بشأن </w:t>
      </w:r>
      <w:r w:rsidR="00C87B32" w:rsidRPr="00222A1F">
        <w:rPr>
          <w:rFonts w:hint="cs"/>
          <w:b/>
          <w:bCs/>
          <w:rtl/>
        </w:rPr>
        <w:t>إجراءات</w:t>
      </w:r>
      <w:r w:rsidR="00C87B32" w:rsidRPr="00222A1F">
        <w:rPr>
          <w:b/>
          <w:bCs/>
          <w:rtl/>
        </w:rPr>
        <w:t xml:space="preserve"> بناء قدرات النساء المرشحات، وهي حلقات نظمتها الأمانة ال</w:t>
      </w:r>
      <w:r w:rsidR="00C87B32" w:rsidRPr="00222A1F">
        <w:rPr>
          <w:rFonts w:hint="cs"/>
          <w:b/>
          <w:bCs/>
          <w:rtl/>
        </w:rPr>
        <w:t>خاصة</w:t>
      </w:r>
      <w:r w:rsidR="00C87B32" w:rsidRPr="00222A1F">
        <w:rPr>
          <w:b/>
          <w:bCs/>
          <w:rtl/>
        </w:rPr>
        <w:t xml:space="preserve"> لسياسات</w:t>
      </w:r>
      <w:r w:rsidR="00C87B32" w:rsidRPr="00222A1F">
        <w:rPr>
          <w:rFonts w:hint="cs"/>
          <w:b/>
          <w:bCs/>
          <w:rtl/>
        </w:rPr>
        <w:t xml:space="preserve"> </w:t>
      </w:r>
      <w:r w:rsidR="00FC25CF">
        <w:rPr>
          <w:b/>
          <w:bCs/>
          <w:rtl/>
        </w:rPr>
        <w:t>المرأة</w:t>
      </w:r>
      <w:r w:rsidR="00FC25CF">
        <w:rPr>
          <w:rFonts w:hint="cs"/>
          <w:b/>
          <w:bCs/>
          <w:rtl/>
        </w:rPr>
        <w:t xml:space="preserve"> (صفحة 42)،</w:t>
      </w:r>
      <w:r w:rsidR="00FC25CF">
        <w:rPr>
          <w:b/>
          <w:bCs/>
          <w:rtl/>
        </w:rPr>
        <w:t xml:space="preserve"> وما</w:t>
      </w:r>
      <w:r w:rsidR="00FC25CF">
        <w:rPr>
          <w:rFonts w:hint="cs"/>
          <w:b/>
          <w:bCs/>
          <w:rtl/>
        </w:rPr>
        <w:t> </w:t>
      </w:r>
      <w:r w:rsidR="00C87B32" w:rsidRPr="00222A1F">
        <w:rPr>
          <w:b/>
          <w:bCs/>
          <w:rtl/>
        </w:rPr>
        <w:t xml:space="preserve">هو الأثر الذي أحدثته حلقات العمل </w:t>
      </w:r>
      <w:r w:rsidR="00C87B32" w:rsidRPr="00222A1F">
        <w:rPr>
          <w:rFonts w:hint="cs"/>
          <w:b/>
          <w:bCs/>
          <w:rtl/>
        </w:rPr>
        <w:t>هذه</w:t>
      </w:r>
      <w:r w:rsidR="00C87B32" w:rsidRPr="00222A1F">
        <w:rPr>
          <w:b/>
          <w:bCs/>
          <w:rtl/>
        </w:rPr>
        <w:t xml:space="preserve"> من حيث </w:t>
      </w:r>
      <w:r w:rsidR="00C87B32" w:rsidRPr="00222A1F">
        <w:rPr>
          <w:rFonts w:hint="cs"/>
          <w:b/>
          <w:bCs/>
          <w:rtl/>
        </w:rPr>
        <w:t>تعزيز</w:t>
      </w:r>
      <w:r w:rsidR="00C87B32" w:rsidRPr="00222A1F">
        <w:rPr>
          <w:b/>
          <w:bCs/>
          <w:rtl/>
        </w:rPr>
        <w:t xml:space="preserve"> المشاركة السياسية للنساء؟</w:t>
      </w:r>
    </w:p>
    <w:p w:rsidR="00AC4906" w:rsidRDefault="00AC4906" w:rsidP="00AC4906">
      <w:pPr>
        <w:pStyle w:val="SingleTxt"/>
        <w:rPr>
          <w:rFonts w:hint="cs"/>
          <w:rtl/>
          <w:lang w:bidi="ar-EG"/>
        </w:rPr>
      </w:pPr>
      <w:r>
        <w:rPr>
          <w:rFonts w:hint="cs"/>
          <w:rtl/>
          <w:lang w:bidi="ar-EG"/>
        </w:rPr>
        <w:tab/>
        <w:t>لا توجد لدينا معلومات عن عدد النساء المرشحات اللواتي حضرن حلقات عمل بناء القدرات، وهي الحلقات التي عقدت برعاية الأمانة الخاصة لسياسات المرأة. والأمانة لا</w:t>
      </w:r>
      <w:r>
        <w:rPr>
          <w:rFonts w:hint="eastAsia"/>
          <w:rtl/>
          <w:lang w:bidi="ar-EG"/>
        </w:rPr>
        <w:t> </w:t>
      </w:r>
      <w:r>
        <w:rPr>
          <w:rFonts w:hint="cs"/>
          <w:rtl/>
          <w:lang w:bidi="ar-EG"/>
        </w:rPr>
        <w:t>تعقد بنفسها أنشطة بناء القدرات بل تمولها. وفيما يتعلق بأثر حلقات العمل هذه فنرى أنه أثر بسيط حتى الآن.</w:t>
      </w:r>
    </w:p>
    <w:p w:rsidR="00AC4906" w:rsidRPr="00222A1F" w:rsidRDefault="00AC4906" w:rsidP="00AC4906">
      <w:pPr>
        <w:pStyle w:val="SingleTxt"/>
        <w:rPr>
          <w:rFonts w:hint="cs"/>
          <w:rtl/>
          <w:lang w:bidi="ar-EG"/>
        </w:rPr>
      </w:pPr>
      <w:r>
        <w:rPr>
          <w:rFonts w:hint="cs"/>
          <w:rtl/>
          <w:lang w:bidi="ar-EG"/>
        </w:rPr>
        <w:tab/>
        <w:t>وتعتقد الأمانة الخاصة لسياسات المرأة والمجلس الوطني لسياسات المرأة أنه من الضروري إجراء مناقشة مستمرة وأكثر تعمقا حول هذه المسألة، وقد دعاهما هذا الاعتقاد إلى اعتماد تلك المناقشة بوصفها السمة الرئيسية للمؤتمر الوطني الثاني لسياسات المرأة.</w:t>
      </w:r>
    </w:p>
    <w:p w:rsidR="00AC4906" w:rsidRPr="00AC4906" w:rsidRDefault="00AC4906" w:rsidP="00AC4906">
      <w:pPr>
        <w:pStyle w:val="SingleTxt"/>
        <w:spacing w:after="0" w:line="120" w:lineRule="exact"/>
        <w:rPr>
          <w:sz w:val="10"/>
          <w:rtl/>
        </w:rPr>
      </w:pPr>
    </w:p>
    <w:p w:rsidR="00C87B32" w:rsidRDefault="00C87B32" w:rsidP="003D7C46">
      <w:pPr>
        <w:pStyle w:val="SingleTxt"/>
        <w:rPr>
          <w:b/>
          <w:bCs/>
        </w:rPr>
      </w:pPr>
      <w:r w:rsidRPr="00AC4906">
        <w:rPr>
          <w:b/>
          <w:bCs/>
          <w:rtl/>
        </w:rPr>
        <w:t>1</w:t>
      </w:r>
      <w:r w:rsidR="00AC4906" w:rsidRPr="00AC4906">
        <w:rPr>
          <w:rFonts w:hint="cs"/>
          <w:b/>
          <w:bCs/>
          <w:rtl/>
        </w:rPr>
        <w:t>4</w:t>
      </w:r>
      <w:r w:rsidRPr="00AC4906">
        <w:rPr>
          <w:rFonts w:hint="cs"/>
          <w:b/>
          <w:bCs/>
          <w:rtl/>
        </w:rPr>
        <w:t xml:space="preserve"> </w:t>
      </w:r>
      <w:r w:rsidRPr="00AC4906">
        <w:rPr>
          <w:b/>
          <w:bCs/>
          <w:rtl/>
        </w:rPr>
        <w:t>-</w:t>
      </w:r>
      <w:r w:rsidRPr="00AC4906">
        <w:rPr>
          <w:rFonts w:hint="cs"/>
          <w:b/>
          <w:bCs/>
          <w:rtl/>
        </w:rPr>
        <w:tab/>
      </w:r>
      <w:r w:rsidRPr="00AC4906">
        <w:rPr>
          <w:b/>
          <w:bCs/>
          <w:rtl/>
        </w:rPr>
        <w:t>ورد في التقرير</w:t>
      </w:r>
      <w:r w:rsidR="00AC4906" w:rsidRPr="00AC4906">
        <w:rPr>
          <w:rFonts w:hint="cs"/>
          <w:b/>
          <w:bCs/>
          <w:rtl/>
        </w:rPr>
        <w:t xml:space="preserve"> (صفحة 47)</w:t>
      </w:r>
      <w:r w:rsidRPr="00AC4906">
        <w:rPr>
          <w:b/>
          <w:bCs/>
          <w:rtl/>
        </w:rPr>
        <w:t xml:space="preserve"> أن </w:t>
      </w:r>
      <w:r w:rsidR="00AC4906" w:rsidRPr="00AC4906">
        <w:rPr>
          <w:rFonts w:hint="cs"/>
          <w:b/>
          <w:bCs/>
          <w:rtl/>
        </w:rPr>
        <w:t>”</w:t>
      </w:r>
      <w:r w:rsidRPr="00AC4906">
        <w:rPr>
          <w:b/>
          <w:bCs/>
          <w:rtl/>
        </w:rPr>
        <w:t>عدد النساء اللواتي يلتحق بالسلك الدبلوماسي قد تراجع بصورة طفيفة</w:t>
      </w:r>
      <w:r w:rsidR="00AC4906" w:rsidRPr="00AC4906">
        <w:rPr>
          <w:rFonts w:hint="cs"/>
          <w:b/>
          <w:bCs/>
          <w:rtl/>
        </w:rPr>
        <w:t>“</w:t>
      </w:r>
      <w:r w:rsidRPr="00AC4906">
        <w:rPr>
          <w:b/>
          <w:bCs/>
          <w:rtl/>
        </w:rPr>
        <w:t xml:space="preserve">، كما ذكر فيه أن </w:t>
      </w:r>
      <w:r w:rsidR="00AC4906" w:rsidRPr="00AC4906">
        <w:rPr>
          <w:rFonts w:hint="cs"/>
          <w:b/>
          <w:bCs/>
          <w:rtl/>
        </w:rPr>
        <w:t>”</w:t>
      </w:r>
      <w:r w:rsidRPr="00AC4906">
        <w:rPr>
          <w:rFonts w:hint="cs"/>
          <w:b/>
          <w:bCs/>
          <w:rtl/>
        </w:rPr>
        <w:t>غالبية</w:t>
      </w:r>
      <w:r w:rsidRPr="00AC4906">
        <w:rPr>
          <w:b/>
          <w:bCs/>
          <w:rtl/>
        </w:rPr>
        <w:t xml:space="preserve"> النساء اللواتي يعملن في السلك الدبلوماسي لا يبلغن سوى مستوى متوسط </w:t>
      </w:r>
      <w:r w:rsidRPr="00AC4906">
        <w:rPr>
          <w:rFonts w:hint="cs"/>
          <w:b/>
          <w:bCs/>
          <w:rtl/>
        </w:rPr>
        <w:t>من حيث الترقية</w:t>
      </w:r>
      <w:r w:rsidRPr="00AC4906">
        <w:rPr>
          <w:b/>
          <w:bCs/>
          <w:rtl/>
        </w:rPr>
        <w:t xml:space="preserve"> المهني</w:t>
      </w:r>
      <w:r w:rsidRPr="00AC4906">
        <w:rPr>
          <w:rFonts w:hint="cs"/>
          <w:b/>
          <w:bCs/>
          <w:rtl/>
        </w:rPr>
        <w:t>ة</w:t>
      </w:r>
      <w:r w:rsidR="00AC4906" w:rsidRPr="00AC4906">
        <w:rPr>
          <w:rFonts w:hint="eastAsia"/>
          <w:b/>
          <w:bCs/>
          <w:rtl/>
        </w:rPr>
        <w:t>“</w:t>
      </w:r>
      <w:r w:rsidRPr="00AC4906">
        <w:rPr>
          <w:b/>
          <w:bCs/>
          <w:rtl/>
        </w:rPr>
        <w:t>.</w:t>
      </w:r>
      <w:r w:rsidRPr="00AC4906">
        <w:rPr>
          <w:b/>
          <w:bCs/>
        </w:rPr>
        <w:t xml:space="preserve"> </w:t>
      </w:r>
      <w:r w:rsidRPr="00AC4906">
        <w:rPr>
          <w:b/>
          <w:bCs/>
          <w:rtl/>
        </w:rPr>
        <w:t xml:space="preserve">يرجى تقديم معلومات عما إذا كانت قد اتخذت أية تدابير </w:t>
      </w:r>
      <w:r w:rsidRPr="00AC4906">
        <w:rPr>
          <w:rFonts w:hint="cs"/>
          <w:b/>
          <w:bCs/>
          <w:rtl/>
        </w:rPr>
        <w:t>لتعزيز ال</w:t>
      </w:r>
      <w:r w:rsidRPr="00AC4906">
        <w:rPr>
          <w:b/>
          <w:bCs/>
          <w:rtl/>
        </w:rPr>
        <w:t xml:space="preserve">تكافؤ </w:t>
      </w:r>
      <w:r w:rsidRPr="00AC4906">
        <w:rPr>
          <w:rFonts w:hint="cs"/>
          <w:b/>
          <w:bCs/>
          <w:rtl/>
        </w:rPr>
        <w:t>بالنسبة ل</w:t>
      </w:r>
      <w:r w:rsidRPr="00AC4906">
        <w:rPr>
          <w:b/>
          <w:bCs/>
          <w:rtl/>
        </w:rPr>
        <w:t xml:space="preserve">مشاركة المرأة في الخدمة </w:t>
      </w:r>
      <w:r w:rsidRPr="00AC4906">
        <w:rPr>
          <w:rFonts w:hint="cs"/>
          <w:b/>
          <w:bCs/>
          <w:rtl/>
        </w:rPr>
        <w:t>الدبلوماسية</w:t>
      </w:r>
      <w:r w:rsidRPr="00AC4906">
        <w:rPr>
          <w:b/>
          <w:bCs/>
          <w:rtl/>
        </w:rPr>
        <w:t>، بما في ذلك في المستويات العليا.</w:t>
      </w:r>
    </w:p>
    <w:p w:rsidR="00AC4906" w:rsidRDefault="00AA0133" w:rsidP="00AC4906">
      <w:pPr>
        <w:pStyle w:val="SingleTxt"/>
        <w:rPr>
          <w:rFonts w:hint="cs"/>
          <w:rtl/>
          <w:lang w:bidi="ar-EG"/>
        </w:rPr>
      </w:pPr>
      <w:r>
        <w:tab/>
      </w:r>
      <w:r>
        <w:rPr>
          <w:rFonts w:hint="cs"/>
          <w:rtl/>
          <w:lang w:bidi="ar-EG"/>
        </w:rPr>
        <w:t xml:space="preserve">لم تعتمد الحكومة البرازيلية إلى الآن تدابير محددة لزيادة عدد النساء في السلك الدبلوماسي. وتجدر الإشارة مع ذلك، إلى أن المعلومات الواردة في صفحة 47 (من النص الإنكليزي) من التقرير الدوري السادس المقدم من البرازيل في نيسان/أبريل 2005، التي جاء فيها أن </w:t>
      </w:r>
      <w:r>
        <w:rPr>
          <w:rFonts w:hint="eastAsia"/>
          <w:rtl/>
          <w:lang w:bidi="ar-EG"/>
        </w:rPr>
        <w:t xml:space="preserve">”(...) </w:t>
      </w:r>
      <w:r>
        <w:rPr>
          <w:rFonts w:hint="cs"/>
          <w:rtl/>
          <w:lang w:bidi="ar-EG"/>
        </w:rPr>
        <w:t>عدد النساء اللواتي يلتحقن بالسلك الدبلوماسي قد تراجع بصورة طفيفة</w:t>
      </w:r>
      <w:r>
        <w:rPr>
          <w:rFonts w:hint="eastAsia"/>
          <w:rtl/>
          <w:lang w:bidi="ar-EG"/>
        </w:rPr>
        <w:t xml:space="preserve">“. </w:t>
      </w:r>
      <w:r>
        <w:rPr>
          <w:rFonts w:hint="cs"/>
          <w:rtl/>
          <w:lang w:bidi="ar-EG"/>
        </w:rPr>
        <w:t>غير دقيقة إلى حد ما. والتراجع النسبي في عدد النساء حدث في اختبار معين للالتحاق العام - أجري عام 2003 - إلا أن نسبة النساء الملتحقات بالسلك الدبلوماسي ظلت ثابتة منذ الثمانينات، ورغم اختلافها من عام إلى آخر فقد ظلت حوالي 20 في المائة. وفي كانون الأول/ديسمبر 2006 شكلت النساء نسبة 19.99 في المائة من العدد الإجمالي للدبلوماسيين البرازيليين.</w:t>
      </w:r>
    </w:p>
    <w:p w:rsidR="00AA0133" w:rsidRDefault="00AA0133" w:rsidP="00AC4906">
      <w:pPr>
        <w:pStyle w:val="SingleTxt"/>
        <w:rPr>
          <w:rFonts w:hint="cs"/>
          <w:rtl/>
          <w:lang w:bidi="ar-EG"/>
        </w:rPr>
      </w:pPr>
      <w:r>
        <w:rPr>
          <w:rFonts w:hint="cs"/>
          <w:rtl/>
          <w:lang w:bidi="ar-EG"/>
        </w:rPr>
        <w:tab/>
        <w:t>ورغم ذلك، فلا شك في أن المحافظة على هذه النسبة طيلة الثلاثين سنة الماضية مشكلة. وقد زادت نسبة النساء من إجمالي عدد خريجي الكليات زيادة كبيرة في هذه الفترة. بل تجاوزت نسبة الرجال في عام 2000. وكان ينبغي أن تتضح هذه الظاهرة في عدد النساء في السلك الدبلوماسي كما كانت الحالة في المسارات</w:t>
      </w:r>
      <w:r w:rsidR="00D00DA3">
        <w:rPr>
          <w:rFonts w:hint="cs"/>
          <w:rtl/>
          <w:lang w:bidi="ar-EG"/>
        </w:rPr>
        <w:t xml:space="preserve"> الوظيفية الأخرى، إلا أن هذا لم</w:t>
      </w:r>
      <w:r w:rsidR="00D00DA3">
        <w:rPr>
          <w:rFonts w:hint="eastAsia"/>
          <w:rtl/>
          <w:lang w:bidi="ar-EG"/>
        </w:rPr>
        <w:t> </w:t>
      </w:r>
      <w:r>
        <w:rPr>
          <w:rFonts w:hint="cs"/>
          <w:rtl/>
          <w:lang w:bidi="ar-EG"/>
        </w:rPr>
        <w:t>يحدث بعد.</w:t>
      </w:r>
    </w:p>
    <w:p w:rsidR="00AA0133" w:rsidRDefault="00AA0133" w:rsidP="00AA0133">
      <w:pPr>
        <w:pStyle w:val="SingleTxt"/>
        <w:rPr>
          <w:rFonts w:hint="cs"/>
          <w:rtl/>
          <w:lang w:bidi="ar-EG"/>
        </w:rPr>
      </w:pPr>
      <w:r>
        <w:rPr>
          <w:rFonts w:hint="cs"/>
          <w:rtl/>
          <w:lang w:bidi="ar-EG"/>
        </w:rPr>
        <w:tab/>
        <w:t xml:space="preserve">وفيما يتعلق بالدبلوماسيات اللاتي تعلو مراكزهن، ينبغي </w:t>
      </w:r>
      <w:r w:rsidR="00D00DA3">
        <w:rPr>
          <w:rFonts w:hint="cs"/>
          <w:rtl/>
          <w:lang w:bidi="ar-EG"/>
        </w:rPr>
        <w:t>أن</w:t>
      </w:r>
      <w:r>
        <w:rPr>
          <w:rFonts w:hint="cs"/>
          <w:rtl/>
          <w:lang w:bidi="ar-EG"/>
        </w:rPr>
        <w:t xml:space="preserve"> نسترعي الانتباه إلى العدد الكبير من النساء في منصب وزير من الدرجة الأولى (أرفع منصب في المسار الوظيفي) في السنوات الأربع الماضية. وكما جاء في التقرير، ففي عام 2003 لم تكن نسبة النساء إلا</w:t>
      </w:r>
      <w:r w:rsidR="00D00DA3">
        <w:rPr>
          <w:rFonts w:hint="eastAsia"/>
          <w:rtl/>
          <w:lang w:bidi="ar-EG"/>
        </w:rPr>
        <w:t> </w:t>
      </w:r>
      <w:r>
        <w:rPr>
          <w:rFonts w:hint="cs"/>
          <w:rtl/>
          <w:lang w:bidi="ar-EG"/>
        </w:rPr>
        <w:t>6.1 في المائة من إجمالي عدد الوزراء من الدرجة الأولى. وارتفعت هذه النسبة بحلول آذار/مارس 2007 إلى 8.7 في المائة</w:t>
      </w:r>
      <w:r w:rsidR="007E3CEF">
        <w:rPr>
          <w:rFonts w:hint="cs"/>
          <w:rtl/>
          <w:lang w:bidi="ar-EG"/>
        </w:rPr>
        <w:t>؛ ورغم أنها ما زالت نسبة ضئيلة، فهي تشكل زيادة كبيرة في السنوات الثلاث الماضية. وفي هذا الصدد، ينبغي أن نسترعي الانتباه إلى تعيين السفيرة ماريا لويزا فيوتي رئيسة لوفد البرازيل الدائم لدى الأمم المتحدة.</w:t>
      </w:r>
    </w:p>
    <w:p w:rsidR="007E3CEF" w:rsidRPr="007E3CEF" w:rsidRDefault="007E3CEF" w:rsidP="007E3CEF">
      <w:pPr>
        <w:pStyle w:val="SingleTxt"/>
        <w:spacing w:after="0" w:line="120" w:lineRule="exact"/>
        <w:rPr>
          <w:rFonts w:hint="cs"/>
          <w:sz w:val="10"/>
          <w:rtl/>
          <w:lang w:bidi="ar-EG"/>
        </w:rPr>
      </w:pPr>
    </w:p>
    <w:p w:rsidR="00C87B32" w:rsidRDefault="00C87B32" w:rsidP="0057138D">
      <w:pPr>
        <w:pStyle w:val="SingleTxt"/>
        <w:rPr>
          <w:rFonts w:hint="cs"/>
          <w:b/>
          <w:bCs/>
          <w:rtl/>
        </w:rPr>
      </w:pPr>
      <w:r w:rsidRPr="007E3CEF">
        <w:rPr>
          <w:b/>
          <w:bCs/>
          <w:rtl/>
        </w:rPr>
        <w:t>1</w:t>
      </w:r>
      <w:r w:rsidR="007E3CEF" w:rsidRPr="007E3CEF">
        <w:rPr>
          <w:rFonts w:hint="cs"/>
          <w:b/>
          <w:bCs/>
          <w:rtl/>
        </w:rPr>
        <w:t>5</w:t>
      </w:r>
      <w:r w:rsidRPr="007E3CEF">
        <w:rPr>
          <w:rFonts w:hint="cs"/>
          <w:b/>
          <w:bCs/>
          <w:rtl/>
        </w:rPr>
        <w:t xml:space="preserve"> </w:t>
      </w:r>
      <w:r w:rsidRPr="007E3CEF">
        <w:rPr>
          <w:b/>
          <w:bCs/>
          <w:rtl/>
        </w:rPr>
        <w:t>-</w:t>
      </w:r>
      <w:r w:rsidRPr="007E3CEF">
        <w:rPr>
          <w:rFonts w:hint="cs"/>
          <w:b/>
          <w:bCs/>
          <w:rtl/>
        </w:rPr>
        <w:tab/>
      </w:r>
      <w:r w:rsidRPr="007E3CEF">
        <w:rPr>
          <w:b/>
          <w:bCs/>
          <w:rtl/>
        </w:rPr>
        <w:t>بي</w:t>
      </w:r>
      <w:r w:rsidR="007E3CEF" w:rsidRPr="007E3CEF">
        <w:rPr>
          <w:rFonts w:hint="cs"/>
          <w:b/>
          <w:bCs/>
          <w:rtl/>
        </w:rPr>
        <w:t>َّ</w:t>
      </w:r>
      <w:r w:rsidRPr="007E3CEF">
        <w:rPr>
          <w:b/>
          <w:bCs/>
          <w:rtl/>
        </w:rPr>
        <w:t>ن التقرير</w:t>
      </w:r>
      <w:r w:rsidR="007E3CEF" w:rsidRPr="007E3CEF">
        <w:rPr>
          <w:rFonts w:hint="cs"/>
          <w:b/>
          <w:bCs/>
          <w:rtl/>
        </w:rPr>
        <w:t xml:space="preserve"> (في صفحتي 42</w:t>
      </w:r>
      <w:r w:rsidR="0057138D">
        <w:rPr>
          <w:rFonts w:hint="cs"/>
          <w:b/>
          <w:bCs/>
          <w:rtl/>
        </w:rPr>
        <w:t xml:space="preserve"> و</w:t>
      </w:r>
      <w:r w:rsidR="007E3CEF" w:rsidRPr="007E3CEF">
        <w:rPr>
          <w:rFonts w:hint="cs"/>
          <w:b/>
          <w:bCs/>
          <w:rtl/>
        </w:rPr>
        <w:t>43)</w:t>
      </w:r>
      <w:r w:rsidRPr="007E3CEF">
        <w:rPr>
          <w:b/>
          <w:bCs/>
          <w:rtl/>
        </w:rPr>
        <w:t xml:space="preserve"> أن </w:t>
      </w:r>
      <w:r w:rsidR="007E3CEF" w:rsidRPr="007E3CEF">
        <w:rPr>
          <w:rFonts w:hint="cs"/>
          <w:b/>
          <w:bCs/>
          <w:rtl/>
        </w:rPr>
        <w:t>”</w:t>
      </w:r>
      <w:r w:rsidRPr="007E3CEF">
        <w:rPr>
          <w:b/>
          <w:bCs/>
          <w:rtl/>
        </w:rPr>
        <w:t xml:space="preserve">مشاركة المرأة لا تزال مقيدة إلى حد كبير </w:t>
      </w:r>
      <w:r w:rsidRPr="007E3CEF">
        <w:rPr>
          <w:rFonts w:hint="cs"/>
          <w:b/>
          <w:bCs/>
          <w:rtl/>
        </w:rPr>
        <w:t>فيما يتعلق</w:t>
      </w:r>
      <w:r w:rsidRPr="007E3CEF">
        <w:rPr>
          <w:b/>
          <w:bCs/>
          <w:rtl/>
        </w:rPr>
        <w:t xml:space="preserve"> </w:t>
      </w:r>
      <w:r w:rsidRPr="007E3CEF">
        <w:rPr>
          <w:rFonts w:hint="cs"/>
          <w:b/>
          <w:bCs/>
          <w:rtl/>
        </w:rPr>
        <w:t>با</w:t>
      </w:r>
      <w:r w:rsidRPr="007E3CEF">
        <w:rPr>
          <w:b/>
          <w:bCs/>
          <w:rtl/>
        </w:rPr>
        <w:t>لمناصب ا</w:t>
      </w:r>
      <w:r w:rsidRPr="007E3CEF">
        <w:rPr>
          <w:rFonts w:hint="cs"/>
          <w:b/>
          <w:bCs/>
          <w:rtl/>
        </w:rPr>
        <w:t>لرفيعة</w:t>
      </w:r>
      <w:r w:rsidRPr="007E3CEF">
        <w:rPr>
          <w:b/>
          <w:bCs/>
          <w:rtl/>
        </w:rPr>
        <w:t xml:space="preserve"> </w:t>
      </w:r>
      <w:r w:rsidRPr="007E3CEF">
        <w:rPr>
          <w:rFonts w:hint="cs"/>
          <w:b/>
          <w:bCs/>
          <w:rtl/>
        </w:rPr>
        <w:t>ال</w:t>
      </w:r>
      <w:r w:rsidRPr="007E3CEF">
        <w:rPr>
          <w:b/>
          <w:bCs/>
          <w:rtl/>
        </w:rPr>
        <w:t xml:space="preserve">مستوى </w:t>
      </w:r>
      <w:r w:rsidR="007E3CEF" w:rsidRPr="007E3CEF">
        <w:rPr>
          <w:rFonts w:hint="cs"/>
          <w:b/>
          <w:bCs/>
          <w:rtl/>
        </w:rPr>
        <w:t>[</w:t>
      </w:r>
      <w:r w:rsidRPr="007E3CEF">
        <w:rPr>
          <w:b/>
          <w:bCs/>
          <w:rtl/>
        </w:rPr>
        <w:t>في المحاكم</w:t>
      </w:r>
      <w:r w:rsidR="007E3CEF" w:rsidRPr="007E3CEF">
        <w:rPr>
          <w:rFonts w:hint="cs"/>
          <w:b/>
          <w:bCs/>
          <w:rtl/>
        </w:rPr>
        <w:t>]</w:t>
      </w:r>
      <w:r w:rsidRPr="007E3CEF">
        <w:rPr>
          <w:b/>
          <w:bCs/>
          <w:rtl/>
        </w:rPr>
        <w:t xml:space="preserve"> التي تُشغل بالتعيين</w:t>
      </w:r>
      <w:r w:rsidR="007E3CEF" w:rsidRPr="007E3CEF">
        <w:rPr>
          <w:rFonts w:hint="cs"/>
          <w:b/>
          <w:bCs/>
          <w:rtl/>
        </w:rPr>
        <w:t>“</w:t>
      </w:r>
      <w:r w:rsidRPr="007E3CEF">
        <w:rPr>
          <w:b/>
          <w:bCs/>
          <w:rtl/>
        </w:rPr>
        <w:t>.</w:t>
      </w:r>
      <w:r w:rsidR="007E3CEF" w:rsidRPr="007E3CEF">
        <w:rPr>
          <w:rFonts w:hint="cs"/>
          <w:b/>
          <w:bCs/>
          <w:rtl/>
        </w:rPr>
        <w:t xml:space="preserve"> </w:t>
      </w:r>
      <w:r w:rsidRPr="007E3CEF">
        <w:rPr>
          <w:rFonts w:hint="cs"/>
          <w:b/>
          <w:bCs/>
          <w:rtl/>
        </w:rPr>
        <w:t>ف</w:t>
      </w:r>
      <w:r w:rsidRPr="007E3CEF">
        <w:rPr>
          <w:b/>
          <w:bCs/>
          <w:rtl/>
        </w:rPr>
        <w:t>ما هي أسباب هذه الحالة وكيف تنوي الدولة العضو معالجتها؟</w:t>
      </w:r>
      <w:r w:rsidRPr="007E3CEF">
        <w:rPr>
          <w:b/>
          <w:bCs/>
        </w:rPr>
        <w:t xml:space="preserve"> </w:t>
      </w:r>
      <w:r w:rsidRPr="007E3CEF">
        <w:rPr>
          <w:b/>
          <w:bCs/>
          <w:rtl/>
        </w:rPr>
        <w:t>وبصورة خاصة، ما هي التدابير التي يجري تنفيذها لكفالة تعيين النساء في تلك المناصب على قدم المساواة مع الرجال؟</w:t>
      </w:r>
      <w:r w:rsidRPr="007E3CEF">
        <w:rPr>
          <w:b/>
          <w:bCs/>
        </w:rPr>
        <w:t xml:space="preserve"> </w:t>
      </w:r>
    </w:p>
    <w:p w:rsidR="007E3CEF" w:rsidRDefault="00E40790" w:rsidP="007E3CEF">
      <w:pPr>
        <w:pStyle w:val="SingleTxt"/>
        <w:rPr>
          <w:rFonts w:hint="cs"/>
          <w:rtl/>
        </w:rPr>
      </w:pPr>
      <w:r>
        <w:rPr>
          <w:rFonts w:hint="cs"/>
          <w:rtl/>
        </w:rPr>
        <w:tab/>
        <w:t>إن شغل المناصب الرفيعة المستوى في القضاء عن طريق التعيين يشكل إحدى العقبات الرئيسية التي تعترض سبيل شغل عدد أكبر من النساء تلك المناصب، حيث أن تقليد سيادة الذكور ما زال سائدا. وقد اعتمدت بعض التدابير إلا أنها لا تكفي للتغلب على المقاومة التي تشنها السلطة القضائية نفسها، ويتضح ذلك من محاولة تعيين حصص للنساء. وبالتالي فقد كان وصول المرأة إلى هذه المناصب الرفيعة المستوى بطيئا جدا.</w:t>
      </w:r>
    </w:p>
    <w:p w:rsidR="00E40790" w:rsidRDefault="00E40790" w:rsidP="007E3CEF">
      <w:pPr>
        <w:pStyle w:val="SingleTxt"/>
        <w:rPr>
          <w:rFonts w:hint="cs"/>
          <w:rtl/>
        </w:rPr>
      </w:pPr>
      <w:r>
        <w:rPr>
          <w:rFonts w:hint="cs"/>
          <w:rtl/>
        </w:rPr>
        <w:tab/>
        <w:t>وبالرغم من ذلك، تنبغي الإشارة إلى أن رئيسة المحكمة العليا الاتحادية هي الوزيرة إلين غريسي، وأن رئيس الجمهورية عين مؤخرا القاضية ماريا اليزابيث غويمارايس أول امرأة في المحكمة العسكرية العليا.</w:t>
      </w:r>
    </w:p>
    <w:tbl>
      <w:tblPr>
        <w:bidiVisual/>
        <w:tblW w:w="7320" w:type="dxa"/>
        <w:tblInd w:w="1267" w:type="dxa"/>
        <w:tblLayout w:type="fixed"/>
        <w:tblCellMar>
          <w:left w:w="0" w:type="dxa"/>
          <w:right w:w="0" w:type="dxa"/>
        </w:tblCellMar>
        <w:tblLook w:val="0000" w:firstRow="0" w:lastRow="0" w:firstColumn="0" w:lastColumn="0" w:noHBand="0" w:noVBand="0"/>
      </w:tblPr>
      <w:tblGrid>
        <w:gridCol w:w="2403"/>
        <w:gridCol w:w="824"/>
        <w:gridCol w:w="927"/>
        <w:gridCol w:w="206"/>
        <w:gridCol w:w="927"/>
        <w:gridCol w:w="824"/>
        <w:gridCol w:w="206"/>
        <w:gridCol w:w="1003"/>
      </w:tblGrid>
      <w:tr w:rsidR="00E40790" w:rsidRPr="00652B30">
        <w:tblPrEx>
          <w:tblCellMar>
            <w:top w:w="0" w:type="dxa"/>
            <w:bottom w:w="0" w:type="dxa"/>
          </w:tblCellMar>
        </w:tblPrEx>
        <w:trPr>
          <w:cantSplit/>
          <w:tblHeader/>
        </w:trPr>
        <w:tc>
          <w:tcPr>
            <w:tcW w:w="7320" w:type="dxa"/>
            <w:gridSpan w:val="8"/>
            <w:tcBorders>
              <w:top w:val="single" w:sz="4" w:space="0" w:color="auto"/>
              <w:bottom w:val="single" w:sz="4" w:space="0" w:color="auto"/>
            </w:tcBorders>
            <w:shd w:val="clear" w:color="auto" w:fill="auto"/>
            <w:vAlign w:val="bottom"/>
          </w:tcPr>
          <w:p w:rsidR="00E40790" w:rsidRPr="00D65187" w:rsidRDefault="00E40790" w:rsidP="00411FDE">
            <w:pPr>
              <w:tabs>
                <w:tab w:val="left" w:pos="288"/>
                <w:tab w:val="left" w:pos="576"/>
                <w:tab w:val="left" w:pos="864"/>
                <w:tab w:val="left" w:pos="1152"/>
              </w:tabs>
              <w:spacing w:before="80" w:after="80" w:line="240" w:lineRule="exact"/>
              <w:ind w:right="144"/>
              <w:jc w:val="center"/>
              <w:rPr>
                <w:rFonts w:hint="cs"/>
                <w:b/>
                <w:bCs/>
                <w:sz w:val="18"/>
                <w:szCs w:val="26"/>
                <w:rtl/>
              </w:rPr>
            </w:pPr>
            <w:r w:rsidRPr="00D65187">
              <w:rPr>
                <w:rFonts w:hint="cs"/>
                <w:b/>
                <w:bCs/>
                <w:sz w:val="18"/>
                <w:szCs w:val="26"/>
                <w:rtl/>
              </w:rPr>
              <w:t>عدد القضاة</w:t>
            </w:r>
          </w:p>
        </w:tc>
      </w:tr>
      <w:tr w:rsidR="00E40790" w:rsidRPr="00652B30">
        <w:tblPrEx>
          <w:tblCellMar>
            <w:top w:w="0" w:type="dxa"/>
            <w:bottom w:w="0" w:type="dxa"/>
          </w:tblCellMar>
        </w:tblPrEx>
        <w:trPr>
          <w:cantSplit/>
          <w:tblHeader/>
        </w:trPr>
        <w:tc>
          <w:tcPr>
            <w:tcW w:w="2403" w:type="dxa"/>
            <w:tcBorders>
              <w:top w:val="single" w:sz="4"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after="80" w:line="240" w:lineRule="exact"/>
              <w:ind w:right="40"/>
              <w:rPr>
                <w:rFonts w:hint="cs"/>
                <w:i/>
                <w:iCs/>
                <w:sz w:val="18"/>
                <w:szCs w:val="26"/>
                <w:rtl/>
              </w:rPr>
            </w:pPr>
          </w:p>
        </w:tc>
        <w:tc>
          <w:tcPr>
            <w:tcW w:w="1751" w:type="dxa"/>
            <w:gridSpan w:val="2"/>
            <w:tcBorders>
              <w:top w:val="single" w:sz="4" w:space="0" w:color="auto"/>
              <w:bottom w:val="single" w:sz="4"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after="80" w:line="240" w:lineRule="exact"/>
              <w:ind w:right="144"/>
              <w:jc w:val="center"/>
              <w:rPr>
                <w:rFonts w:hint="cs"/>
                <w:i/>
                <w:iCs/>
                <w:sz w:val="18"/>
                <w:szCs w:val="26"/>
                <w:rtl/>
              </w:rPr>
            </w:pPr>
            <w:r w:rsidRPr="00652B30">
              <w:rPr>
                <w:rFonts w:hint="cs"/>
                <w:i/>
                <w:iCs/>
                <w:sz w:val="18"/>
                <w:szCs w:val="26"/>
                <w:rtl/>
              </w:rPr>
              <w:t>النساء</w:t>
            </w:r>
          </w:p>
        </w:tc>
        <w:tc>
          <w:tcPr>
            <w:tcW w:w="206" w:type="dxa"/>
            <w:tcBorders>
              <w:top w:val="single" w:sz="4"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after="80" w:line="240" w:lineRule="exact"/>
              <w:ind w:right="144"/>
              <w:rPr>
                <w:rFonts w:hint="cs"/>
                <w:i/>
                <w:iCs/>
                <w:sz w:val="18"/>
                <w:szCs w:val="26"/>
                <w:rtl/>
              </w:rPr>
            </w:pPr>
          </w:p>
        </w:tc>
        <w:tc>
          <w:tcPr>
            <w:tcW w:w="1751" w:type="dxa"/>
            <w:gridSpan w:val="2"/>
            <w:tcBorders>
              <w:top w:val="single" w:sz="4" w:space="0" w:color="auto"/>
              <w:bottom w:val="single" w:sz="4"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after="80" w:line="240" w:lineRule="exact"/>
              <w:ind w:right="144"/>
              <w:jc w:val="center"/>
              <w:rPr>
                <w:rFonts w:hint="cs"/>
                <w:i/>
                <w:iCs/>
                <w:sz w:val="18"/>
                <w:szCs w:val="26"/>
                <w:rtl/>
              </w:rPr>
            </w:pPr>
            <w:r w:rsidRPr="00652B30">
              <w:rPr>
                <w:rFonts w:hint="cs"/>
                <w:i/>
                <w:iCs/>
                <w:sz w:val="18"/>
                <w:szCs w:val="26"/>
                <w:rtl/>
              </w:rPr>
              <w:t>الرجال</w:t>
            </w:r>
          </w:p>
        </w:tc>
        <w:tc>
          <w:tcPr>
            <w:tcW w:w="206" w:type="dxa"/>
            <w:tcBorders>
              <w:top w:val="single" w:sz="4"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after="80" w:line="240" w:lineRule="exact"/>
              <w:ind w:right="144"/>
              <w:rPr>
                <w:rFonts w:hint="cs"/>
                <w:i/>
                <w:iCs/>
                <w:sz w:val="18"/>
                <w:szCs w:val="26"/>
                <w:rtl/>
              </w:rPr>
            </w:pPr>
          </w:p>
        </w:tc>
        <w:tc>
          <w:tcPr>
            <w:tcW w:w="1003" w:type="dxa"/>
            <w:tcBorders>
              <w:top w:val="single" w:sz="4" w:space="0" w:color="auto"/>
              <w:bottom w:val="single" w:sz="4"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after="80" w:line="240" w:lineRule="exact"/>
              <w:ind w:right="144"/>
              <w:jc w:val="center"/>
              <w:rPr>
                <w:rFonts w:hint="cs"/>
                <w:i/>
                <w:iCs/>
                <w:sz w:val="18"/>
                <w:szCs w:val="26"/>
                <w:rtl/>
              </w:rPr>
            </w:pPr>
            <w:r w:rsidRPr="00652B30">
              <w:rPr>
                <w:rFonts w:hint="cs"/>
                <w:i/>
                <w:iCs/>
                <w:sz w:val="18"/>
                <w:szCs w:val="26"/>
                <w:rtl/>
              </w:rPr>
              <w:t>المجموع</w:t>
            </w:r>
          </w:p>
        </w:tc>
      </w:tr>
      <w:tr w:rsidR="00E40790" w:rsidRPr="00652B30">
        <w:tblPrEx>
          <w:tblCellMar>
            <w:top w:w="0" w:type="dxa"/>
            <w:bottom w:w="0" w:type="dxa"/>
          </w:tblCellMar>
        </w:tblPrEx>
        <w:trPr>
          <w:cantSplit/>
          <w:tblHeader/>
        </w:trPr>
        <w:tc>
          <w:tcPr>
            <w:tcW w:w="2403" w:type="dxa"/>
            <w:tcBorders>
              <w:bottom w:val="single" w:sz="12"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after="80" w:line="240" w:lineRule="exact"/>
              <w:ind w:right="40"/>
              <w:rPr>
                <w:rFonts w:hint="cs"/>
                <w:i/>
                <w:iCs/>
                <w:sz w:val="18"/>
                <w:szCs w:val="26"/>
                <w:rtl/>
              </w:rPr>
            </w:pPr>
            <w:r>
              <w:rPr>
                <w:rFonts w:hint="cs"/>
                <w:i/>
                <w:iCs/>
                <w:sz w:val="18"/>
                <w:szCs w:val="26"/>
                <w:rtl/>
              </w:rPr>
              <w:t>السلطة القضائية</w:t>
            </w:r>
          </w:p>
        </w:tc>
        <w:tc>
          <w:tcPr>
            <w:tcW w:w="824" w:type="dxa"/>
            <w:tcBorders>
              <w:top w:val="single" w:sz="4" w:space="0" w:color="auto"/>
              <w:bottom w:val="single" w:sz="12" w:space="0" w:color="auto"/>
            </w:tcBorders>
            <w:shd w:val="clear" w:color="auto" w:fill="auto"/>
            <w:vAlign w:val="bottom"/>
          </w:tcPr>
          <w:p w:rsidR="00E40790" w:rsidRPr="00652B30" w:rsidRDefault="0057138D" w:rsidP="00411FDE">
            <w:pPr>
              <w:tabs>
                <w:tab w:val="left" w:pos="288"/>
                <w:tab w:val="left" w:pos="576"/>
                <w:tab w:val="left" w:pos="864"/>
                <w:tab w:val="left" w:pos="1152"/>
              </w:tabs>
              <w:spacing w:after="80" w:line="240" w:lineRule="exact"/>
              <w:ind w:right="144"/>
              <w:rPr>
                <w:rFonts w:hint="cs"/>
                <w:i/>
                <w:iCs/>
                <w:sz w:val="18"/>
                <w:szCs w:val="26"/>
                <w:rtl/>
              </w:rPr>
            </w:pPr>
            <w:r>
              <w:rPr>
                <w:rFonts w:hint="cs"/>
                <w:i/>
                <w:iCs/>
                <w:sz w:val="18"/>
                <w:szCs w:val="26"/>
                <w:rtl/>
              </w:rPr>
              <w:t>العدد</w:t>
            </w:r>
          </w:p>
        </w:tc>
        <w:tc>
          <w:tcPr>
            <w:tcW w:w="927" w:type="dxa"/>
            <w:tcBorders>
              <w:top w:val="single" w:sz="4" w:space="0" w:color="auto"/>
              <w:bottom w:val="single" w:sz="12"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after="80" w:line="240" w:lineRule="exact"/>
              <w:ind w:right="144"/>
              <w:rPr>
                <w:rFonts w:hint="cs"/>
                <w:i/>
                <w:iCs/>
                <w:sz w:val="18"/>
                <w:szCs w:val="26"/>
                <w:rtl/>
              </w:rPr>
            </w:pPr>
            <w:r w:rsidRPr="00652B30">
              <w:rPr>
                <w:rFonts w:hint="cs"/>
                <w:i/>
                <w:iCs/>
                <w:sz w:val="18"/>
                <w:szCs w:val="26"/>
                <w:rtl/>
              </w:rPr>
              <w:t>نسبة مئوية</w:t>
            </w:r>
          </w:p>
        </w:tc>
        <w:tc>
          <w:tcPr>
            <w:tcW w:w="206" w:type="dxa"/>
            <w:tcBorders>
              <w:bottom w:val="single" w:sz="12"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after="80" w:line="240" w:lineRule="exact"/>
              <w:ind w:right="144"/>
              <w:rPr>
                <w:rFonts w:hint="cs"/>
                <w:i/>
                <w:iCs/>
                <w:sz w:val="18"/>
                <w:szCs w:val="26"/>
                <w:rtl/>
              </w:rPr>
            </w:pPr>
          </w:p>
        </w:tc>
        <w:tc>
          <w:tcPr>
            <w:tcW w:w="927" w:type="dxa"/>
            <w:tcBorders>
              <w:bottom w:val="single" w:sz="12" w:space="0" w:color="auto"/>
            </w:tcBorders>
            <w:shd w:val="clear" w:color="auto" w:fill="auto"/>
            <w:vAlign w:val="bottom"/>
          </w:tcPr>
          <w:p w:rsidR="00E40790" w:rsidRPr="00652B30" w:rsidRDefault="0057138D" w:rsidP="00411FDE">
            <w:pPr>
              <w:tabs>
                <w:tab w:val="left" w:pos="288"/>
                <w:tab w:val="left" w:pos="576"/>
                <w:tab w:val="left" w:pos="864"/>
                <w:tab w:val="left" w:pos="1152"/>
              </w:tabs>
              <w:spacing w:after="80" w:line="240" w:lineRule="exact"/>
              <w:ind w:right="144"/>
              <w:rPr>
                <w:rFonts w:hint="cs"/>
                <w:i/>
                <w:iCs/>
                <w:sz w:val="18"/>
                <w:szCs w:val="26"/>
                <w:rtl/>
              </w:rPr>
            </w:pPr>
            <w:r>
              <w:rPr>
                <w:rFonts w:hint="cs"/>
                <w:i/>
                <w:iCs/>
                <w:sz w:val="18"/>
                <w:szCs w:val="26"/>
                <w:rtl/>
              </w:rPr>
              <w:t>العدد</w:t>
            </w:r>
          </w:p>
        </w:tc>
        <w:tc>
          <w:tcPr>
            <w:tcW w:w="824" w:type="dxa"/>
            <w:tcBorders>
              <w:bottom w:val="single" w:sz="12" w:space="0" w:color="auto"/>
            </w:tcBorders>
            <w:shd w:val="clear" w:color="auto" w:fill="auto"/>
            <w:vAlign w:val="bottom"/>
          </w:tcPr>
          <w:p w:rsidR="00E40790" w:rsidRPr="00652B30" w:rsidRDefault="00E40790" w:rsidP="00411FDE">
            <w:pPr>
              <w:tabs>
                <w:tab w:val="left" w:pos="288"/>
                <w:tab w:val="left" w:pos="864"/>
                <w:tab w:val="left" w:pos="1152"/>
              </w:tabs>
              <w:spacing w:after="80" w:line="240" w:lineRule="exact"/>
              <w:rPr>
                <w:rFonts w:hint="cs"/>
                <w:i/>
                <w:iCs/>
                <w:sz w:val="18"/>
                <w:szCs w:val="26"/>
                <w:rtl/>
              </w:rPr>
            </w:pPr>
            <w:r w:rsidRPr="00652B30">
              <w:rPr>
                <w:rFonts w:hint="cs"/>
                <w:i/>
                <w:iCs/>
                <w:sz w:val="18"/>
                <w:szCs w:val="26"/>
                <w:rtl/>
              </w:rPr>
              <w:t>نسبة مئوية</w:t>
            </w:r>
          </w:p>
        </w:tc>
        <w:tc>
          <w:tcPr>
            <w:tcW w:w="206" w:type="dxa"/>
            <w:tcBorders>
              <w:bottom w:val="single" w:sz="12"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after="80" w:line="240" w:lineRule="exact"/>
              <w:ind w:right="144"/>
              <w:rPr>
                <w:rFonts w:hint="cs"/>
                <w:i/>
                <w:iCs/>
                <w:sz w:val="18"/>
                <w:szCs w:val="26"/>
                <w:rtl/>
              </w:rPr>
            </w:pPr>
          </w:p>
        </w:tc>
        <w:tc>
          <w:tcPr>
            <w:tcW w:w="1003" w:type="dxa"/>
            <w:tcBorders>
              <w:bottom w:val="single" w:sz="12" w:space="0" w:color="auto"/>
            </w:tcBorders>
            <w:shd w:val="clear" w:color="auto" w:fill="auto"/>
            <w:vAlign w:val="bottom"/>
          </w:tcPr>
          <w:p w:rsidR="00E40790" w:rsidRPr="00652B30" w:rsidRDefault="00E40790" w:rsidP="00411FDE">
            <w:pPr>
              <w:tabs>
                <w:tab w:val="left" w:pos="288"/>
                <w:tab w:val="left" w:pos="1152"/>
              </w:tabs>
              <w:spacing w:after="80" w:line="240" w:lineRule="exact"/>
              <w:rPr>
                <w:rFonts w:hint="cs"/>
                <w:i/>
                <w:iCs/>
                <w:sz w:val="18"/>
                <w:szCs w:val="26"/>
                <w:rtl/>
              </w:rPr>
            </w:pPr>
            <w:r w:rsidRPr="00652B30">
              <w:rPr>
                <w:rFonts w:hint="cs"/>
                <w:i/>
                <w:iCs/>
                <w:sz w:val="18"/>
                <w:szCs w:val="26"/>
                <w:rtl/>
              </w:rPr>
              <w:t xml:space="preserve">100 في </w:t>
            </w:r>
            <w:r>
              <w:rPr>
                <w:rFonts w:hint="cs"/>
                <w:i/>
                <w:iCs/>
                <w:sz w:val="18"/>
                <w:szCs w:val="26"/>
                <w:rtl/>
              </w:rPr>
              <w:t>المائ</w:t>
            </w:r>
            <w:r w:rsidRPr="00652B30">
              <w:rPr>
                <w:rFonts w:hint="cs"/>
                <w:i/>
                <w:iCs/>
                <w:sz w:val="18"/>
                <w:szCs w:val="26"/>
                <w:rtl/>
              </w:rPr>
              <w:t>ة</w:t>
            </w:r>
          </w:p>
        </w:tc>
      </w:tr>
      <w:tr w:rsidR="00E40790" w:rsidRPr="00652B30">
        <w:tblPrEx>
          <w:tblCellMar>
            <w:top w:w="0" w:type="dxa"/>
            <w:bottom w:w="0" w:type="dxa"/>
          </w:tblCellMar>
        </w:tblPrEx>
        <w:trPr>
          <w:cantSplit/>
          <w:trHeight w:hRule="exact" w:val="115"/>
          <w:tblHeader/>
        </w:trPr>
        <w:tc>
          <w:tcPr>
            <w:tcW w:w="2403" w:type="dxa"/>
            <w:tcBorders>
              <w:top w:val="single" w:sz="12"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40"/>
              <w:rPr>
                <w:rFonts w:hint="cs"/>
                <w:sz w:val="18"/>
                <w:szCs w:val="26"/>
                <w:rtl/>
              </w:rPr>
            </w:pPr>
          </w:p>
        </w:tc>
        <w:tc>
          <w:tcPr>
            <w:tcW w:w="824" w:type="dxa"/>
            <w:tcBorders>
              <w:top w:val="single" w:sz="12"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p>
        </w:tc>
        <w:tc>
          <w:tcPr>
            <w:tcW w:w="927" w:type="dxa"/>
            <w:tcBorders>
              <w:top w:val="single" w:sz="12"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p>
        </w:tc>
        <w:tc>
          <w:tcPr>
            <w:tcW w:w="206" w:type="dxa"/>
            <w:tcBorders>
              <w:top w:val="single" w:sz="12"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p>
        </w:tc>
        <w:tc>
          <w:tcPr>
            <w:tcW w:w="927" w:type="dxa"/>
            <w:tcBorders>
              <w:top w:val="single" w:sz="12"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p>
        </w:tc>
        <w:tc>
          <w:tcPr>
            <w:tcW w:w="824" w:type="dxa"/>
            <w:tcBorders>
              <w:top w:val="single" w:sz="12"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p>
        </w:tc>
        <w:tc>
          <w:tcPr>
            <w:tcW w:w="206" w:type="dxa"/>
            <w:tcBorders>
              <w:top w:val="single" w:sz="12"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p>
        </w:tc>
        <w:tc>
          <w:tcPr>
            <w:tcW w:w="1003" w:type="dxa"/>
            <w:tcBorders>
              <w:top w:val="single" w:sz="12"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p>
        </w:tc>
      </w:tr>
      <w:tr w:rsidR="00E40790" w:rsidRPr="00652B30">
        <w:tblPrEx>
          <w:tblCellMar>
            <w:top w:w="0" w:type="dxa"/>
            <w:bottom w:w="0" w:type="dxa"/>
          </w:tblCellMar>
        </w:tblPrEx>
        <w:trPr>
          <w:cantSplit/>
        </w:trPr>
        <w:tc>
          <w:tcPr>
            <w:tcW w:w="2403"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40"/>
              <w:rPr>
                <w:rFonts w:hint="cs"/>
                <w:sz w:val="18"/>
                <w:szCs w:val="26"/>
                <w:rtl/>
              </w:rPr>
            </w:pPr>
            <w:r>
              <w:rPr>
                <w:rFonts w:hint="cs"/>
                <w:sz w:val="18"/>
                <w:szCs w:val="26"/>
                <w:rtl/>
              </w:rPr>
              <w:t>المحكمة العليا الاتحادية</w:t>
            </w:r>
          </w:p>
        </w:tc>
        <w:tc>
          <w:tcPr>
            <w:tcW w:w="824"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2</w:t>
            </w:r>
          </w:p>
        </w:tc>
        <w:tc>
          <w:tcPr>
            <w:tcW w:w="927"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18.18</w:t>
            </w:r>
          </w:p>
        </w:tc>
        <w:tc>
          <w:tcPr>
            <w:tcW w:w="206"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p>
        </w:tc>
        <w:tc>
          <w:tcPr>
            <w:tcW w:w="927"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9</w:t>
            </w:r>
          </w:p>
        </w:tc>
        <w:tc>
          <w:tcPr>
            <w:tcW w:w="824"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81.82</w:t>
            </w:r>
          </w:p>
        </w:tc>
        <w:tc>
          <w:tcPr>
            <w:tcW w:w="206"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p>
        </w:tc>
        <w:tc>
          <w:tcPr>
            <w:tcW w:w="1003"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11</w:t>
            </w:r>
          </w:p>
        </w:tc>
      </w:tr>
      <w:tr w:rsidR="00E40790" w:rsidRPr="00652B30">
        <w:tblPrEx>
          <w:tblCellMar>
            <w:top w:w="0" w:type="dxa"/>
            <w:bottom w:w="0" w:type="dxa"/>
          </w:tblCellMar>
        </w:tblPrEx>
        <w:trPr>
          <w:cantSplit/>
        </w:trPr>
        <w:tc>
          <w:tcPr>
            <w:tcW w:w="2403"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206"/>
              <w:rPr>
                <w:rFonts w:hint="cs"/>
                <w:sz w:val="18"/>
                <w:szCs w:val="26"/>
                <w:rtl/>
              </w:rPr>
            </w:pPr>
            <w:r>
              <w:rPr>
                <w:rFonts w:hint="cs"/>
                <w:sz w:val="18"/>
                <w:szCs w:val="26"/>
                <w:rtl/>
              </w:rPr>
              <w:t>محكمة العدل العليا</w:t>
            </w:r>
          </w:p>
        </w:tc>
        <w:tc>
          <w:tcPr>
            <w:tcW w:w="824"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5</w:t>
            </w:r>
          </w:p>
        </w:tc>
        <w:tc>
          <w:tcPr>
            <w:tcW w:w="927"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14.28</w:t>
            </w:r>
          </w:p>
        </w:tc>
        <w:tc>
          <w:tcPr>
            <w:tcW w:w="206"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p>
        </w:tc>
        <w:tc>
          <w:tcPr>
            <w:tcW w:w="927"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27</w:t>
            </w:r>
          </w:p>
        </w:tc>
        <w:tc>
          <w:tcPr>
            <w:tcW w:w="824"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85.72</w:t>
            </w:r>
          </w:p>
        </w:tc>
        <w:tc>
          <w:tcPr>
            <w:tcW w:w="206"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p>
        </w:tc>
        <w:tc>
          <w:tcPr>
            <w:tcW w:w="1003"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32</w:t>
            </w:r>
          </w:p>
        </w:tc>
      </w:tr>
      <w:tr w:rsidR="00E40790" w:rsidRPr="00652B30">
        <w:tblPrEx>
          <w:tblCellMar>
            <w:top w:w="0" w:type="dxa"/>
            <w:bottom w:w="0" w:type="dxa"/>
          </w:tblCellMar>
        </w:tblPrEx>
        <w:trPr>
          <w:cantSplit/>
        </w:trPr>
        <w:tc>
          <w:tcPr>
            <w:tcW w:w="2403"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206"/>
              <w:rPr>
                <w:rFonts w:hint="cs"/>
                <w:sz w:val="18"/>
                <w:szCs w:val="26"/>
                <w:rtl/>
              </w:rPr>
            </w:pPr>
            <w:r>
              <w:rPr>
                <w:rFonts w:hint="cs"/>
                <w:sz w:val="18"/>
                <w:szCs w:val="26"/>
                <w:rtl/>
              </w:rPr>
              <w:t>محكمة العمل الكبرى</w:t>
            </w:r>
          </w:p>
        </w:tc>
        <w:tc>
          <w:tcPr>
            <w:tcW w:w="824"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2</w:t>
            </w:r>
          </w:p>
        </w:tc>
        <w:tc>
          <w:tcPr>
            <w:tcW w:w="927"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10.52</w:t>
            </w:r>
          </w:p>
        </w:tc>
        <w:tc>
          <w:tcPr>
            <w:tcW w:w="206"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p>
        </w:tc>
        <w:tc>
          <w:tcPr>
            <w:tcW w:w="927" w:type="dxa"/>
            <w:shd w:val="clear" w:color="auto" w:fill="auto"/>
            <w:vAlign w:val="bottom"/>
          </w:tcPr>
          <w:p w:rsidR="00E40790" w:rsidRPr="00652B30" w:rsidRDefault="00411FDE"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16</w:t>
            </w:r>
          </w:p>
        </w:tc>
        <w:tc>
          <w:tcPr>
            <w:tcW w:w="824" w:type="dxa"/>
            <w:shd w:val="clear" w:color="auto" w:fill="auto"/>
            <w:vAlign w:val="bottom"/>
          </w:tcPr>
          <w:p w:rsidR="00E40790" w:rsidRPr="00652B30" w:rsidRDefault="00411FDE"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89.48</w:t>
            </w:r>
          </w:p>
        </w:tc>
        <w:tc>
          <w:tcPr>
            <w:tcW w:w="206"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p>
        </w:tc>
        <w:tc>
          <w:tcPr>
            <w:tcW w:w="1003" w:type="dxa"/>
            <w:shd w:val="clear" w:color="auto" w:fill="auto"/>
            <w:vAlign w:val="bottom"/>
          </w:tcPr>
          <w:p w:rsidR="00E40790" w:rsidRPr="00652B30" w:rsidRDefault="00411FDE"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19</w:t>
            </w:r>
          </w:p>
        </w:tc>
      </w:tr>
      <w:tr w:rsidR="00E40790" w:rsidRPr="00652B30">
        <w:tblPrEx>
          <w:tblCellMar>
            <w:top w:w="0" w:type="dxa"/>
            <w:bottom w:w="0" w:type="dxa"/>
          </w:tblCellMar>
        </w:tblPrEx>
        <w:trPr>
          <w:cantSplit/>
        </w:trPr>
        <w:tc>
          <w:tcPr>
            <w:tcW w:w="2403" w:type="dxa"/>
            <w:shd w:val="clear" w:color="auto" w:fill="auto"/>
            <w:vAlign w:val="bottom"/>
          </w:tcPr>
          <w:p w:rsidR="00E40790" w:rsidRPr="00652B30" w:rsidRDefault="00411FDE" w:rsidP="00411FDE">
            <w:pPr>
              <w:tabs>
                <w:tab w:val="left" w:pos="288"/>
                <w:tab w:val="left" w:pos="576"/>
                <w:tab w:val="left" w:pos="864"/>
                <w:tab w:val="left" w:pos="1152"/>
              </w:tabs>
              <w:spacing w:before="40" w:after="80" w:line="240" w:lineRule="exact"/>
              <w:ind w:right="206"/>
              <w:rPr>
                <w:rFonts w:hint="cs"/>
                <w:sz w:val="18"/>
                <w:szCs w:val="26"/>
                <w:rtl/>
              </w:rPr>
            </w:pPr>
            <w:r>
              <w:rPr>
                <w:rFonts w:hint="cs"/>
                <w:sz w:val="18"/>
                <w:szCs w:val="26"/>
                <w:rtl/>
              </w:rPr>
              <w:t>المحكمة الانتخابية الكبرى</w:t>
            </w:r>
          </w:p>
        </w:tc>
        <w:tc>
          <w:tcPr>
            <w:tcW w:w="824" w:type="dxa"/>
            <w:shd w:val="clear" w:color="auto" w:fill="auto"/>
            <w:vAlign w:val="bottom"/>
          </w:tcPr>
          <w:p w:rsidR="00E40790" w:rsidRPr="00652B30" w:rsidRDefault="00411FDE"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صفر</w:t>
            </w:r>
          </w:p>
        </w:tc>
        <w:tc>
          <w:tcPr>
            <w:tcW w:w="927" w:type="dxa"/>
            <w:shd w:val="clear" w:color="auto" w:fill="auto"/>
            <w:vAlign w:val="bottom"/>
          </w:tcPr>
          <w:p w:rsidR="00E40790" w:rsidRPr="00652B30" w:rsidRDefault="00411FDE"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صفر</w:t>
            </w:r>
          </w:p>
        </w:tc>
        <w:tc>
          <w:tcPr>
            <w:tcW w:w="206"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p>
        </w:tc>
        <w:tc>
          <w:tcPr>
            <w:tcW w:w="927" w:type="dxa"/>
            <w:shd w:val="clear" w:color="auto" w:fill="auto"/>
            <w:vAlign w:val="bottom"/>
          </w:tcPr>
          <w:p w:rsidR="00E40790" w:rsidRPr="00652B30" w:rsidRDefault="00411FDE"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7</w:t>
            </w:r>
          </w:p>
        </w:tc>
        <w:tc>
          <w:tcPr>
            <w:tcW w:w="824" w:type="dxa"/>
            <w:shd w:val="clear" w:color="auto" w:fill="auto"/>
            <w:vAlign w:val="bottom"/>
          </w:tcPr>
          <w:p w:rsidR="00E40790" w:rsidRPr="00652B30" w:rsidRDefault="00411FDE"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100</w:t>
            </w:r>
          </w:p>
        </w:tc>
        <w:tc>
          <w:tcPr>
            <w:tcW w:w="206" w:type="dxa"/>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p>
        </w:tc>
        <w:tc>
          <w:tcPr>
            <w:tcW w:w="1003" w:type="dxa"/>
            <w:shd w:val="clear" w:color="auto" w:fill="auto"/>
            <w:vAlign w:val="bottom"/>
          </w:tcPr>
          <w:p w:rsidR="00E40790" w:rsidRPr="00652B30" w:rsidRDefault="00411FDE"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7</w:t>
            </w:r>
          </w:p>
        </w:tc>
      </w:tr>
      <w:tr w:rsidR="00E40790" w:rsidRPr="00652B30">
        <w:tblPrEx>
          <w:tblCellMar>
            <w:top w:w="0" w:type="dxa"/>
            <w:bottom w:w="0" w:type="dxa"/>
          </w:tblCellMar>
        </w:tblPrEx>
        <w:trPr>
          <w:cantSplit/>
        </w:trPr>
        <w:tc>
          <w:tcPr>
            <w:tcW w:w="2403" w:type="dxa"/>
            <w:tcBorders>
              <w:bottom w:val="single" w:sz="12" w:space="0" w:color="auto"/>
            </w:tcBorders>
            <w:shd w:val="clear" w:color="auto" w:fill="auto"/>
            <w:vAlign w:val="bottom"/>
          </w:tcPr>
          <w:p w:rsidR="00E40790" w:rsidRPr="00652B30" w:rsidRDefault="00411FDE" w:rsidP="00411FDE">
            <w:pPr>
              <w:tabs>
                <w:tab w:val="left" w:pos="288"/>
                <w:tab w:val="left" w:pos="576"/>
                <w:tab w:val="left" w:pos="864"/>
                <w:tab w:val="left" w:pos="1152"/>
              </w:tabs>
              <w:spacing w:before="40" w:after="80" w:line="240" w:lineRule="exact"/>
              <w:ind w:right="40"/>
              <w:rPr>
                <w:rFonts w:hint="cs"/>
                <w:sz w:val="18"/>
                <w:szCs w:val="26"/>
                <w:rtl/>
              </w:rPr>
            </w:pPr>
            <w:r>
              <w:rPr>
                <w:rFonts w:hint="cs"/>
                <w:sz w:val="18"/>
                <w:szCs w:val="26"/>
                <w:rtl/>
              </w:rPr>
              <w:t>المحكمة العسكرية الكبرى</w:t>
            </w:r>
          </w:p>
        </w:tc>
        <w:tc>
          <w:tcPr>
            <w:tcW w:w="824" w:type="dxa"/>
            <w:tcBorders>
              <w:bottom w:val="single" w:sz="12" w:space="0" w:color="auto"/>
            </w:tcBorders>
            <w:shd w:val="clear" w:color="auto" w:fill="auto"/>
            <w:vAlign w:val="bottom"/>
          </w:tcPr>
          <w:p w:rsidR="00E40790" w:rsidRPr="00652B30" w:rsidRDefault="00411FDE"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1</w:t>
            </w:r>
          </w:p>
        </w:tc>
        <w:tc>
          <w:tcPr>
            <w:tcW w:w="927" w:type="dxa"/>
            <w:tcBorders>
              <w:bottom w:val="single" w:sz="12" w:space="0" w:color="auto"/>
            </w:tcBorders>
            <w:shd w:val="clear" w:color="auto" w:fill="auto"/>
            <w:vAlign w:val="bottom"/>
          </w:tcPr>
          <w:p w:rsidR="00E40790" w:rsidRPr="00652B30" w:rsidRDefault="00411FDE"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6.66</w:t>
            </w:r>
          </w:p>
        </w:tc>
        <w:tc>
          <w:tcPr>
            <w:tcW w:w="206" w:type="dxa"/>
            <w:tcBorders>
              <w:bottom w:val="single" w:sz="12"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p>
        </w:tc>
        <w:tc>
          <w:tcPr>
            <w:tcW w:w="927" w:type="dxa"/>
            <w:tcBorders>
              <w:bottom w:val="single" w:sz="12" w:space="0" w:color="auto"/>
            </w:tcBorders>
            <w:shd w:val="clear" w:color="auto" w:fill="auto"/>
            <w:vAlign w:val="bottom"/>
          </w:tcPr>
          <w:p w:rsidR="00E40790" w:rsidRPr="00652B30" w:rsidRDefault="00411FDE"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15</w:t>
            </w:r>
          </w:p>
        </w:tc>
        <w:tc>
          <w:tcPr>
            <w:tcW w:w="824" w:type="dxa"/>
            <w:tcBorders>
              <w:bottom w:val="single" w:sz="12" w:space="0" w:color="auto"/>
            </w:tcBorders>
            <w:shd w:val="clear" w:color="auto" w:fill="auto"/>
            <w:vAlign w:val="bottom"/>
          </w:tcPr>
          <w:p w:rsidR="00E40790" w:rsidRPr="00652B30" w:rsidRDefault="00411FDE" w:rsidP="00411FDE">
            <w:pPr>
              <w:tabs>
                <w:tab w:val="left" w:pos="288"/>
                <w:tab w:val="left" w:pos="576"/>
                <w:tab w:val="left" w:pos="864"/>
                <w:tab w:val="left" w:pos="1152"/>
              </w:tabs>
              <w:spacing w:before="40" w:after="80" w:line="240" w:lineRule="exact"/>
              <w:ind w:right="144"/>
              <w:rPr>
                <w:rFonts w:hint="cs"/>
                <w:sz w:val="18"/>
                <w:szCs w:val="26"/>
                <w:rtl/>
              </w:rPr>
            </w:pPr>
            <w:r>
              <w:rPr>
                <w:rFonts w:hint="cs"/>
                <w:sz w:val="18"/>
                <w:szCs w:val="26"/>
                <w:rtl/>
              </w:rPr>
              <w:t>93.44</w:t>
            </w:r>
          </w:p>
        </w:tc>
        <w:tc>
          <w:tcPr>
            <w:tcW w:w="206" w:type="dxa"/>
            <w:tcBorders>
              <w:bottom w:val="single" w:sz="12" w:space="0" w:color="auto"/>
            </w:tcBorders>
            <w:shd w:val="clear" w:color="auto" w:fill="auto"/>
            <w:vAlign w:val="bottom"/>
          </w:tcPr>
          <w:p w:rsidR="00E40790" w:rsidRPr="00652B30" w:rsidRDefault="00E40790" w:rsidP="00411FDE">
            <w:pPr>
              <w:tabs>
                <w:tab w:val="left" w:pos="288"/>
                <w:tab w:val="left" w:pos="576"/>
                <w:tab w:val="left" w:pos="864"/>
                <w:tab w:val="left" w:pos="1152"/>
              </w:tabs>
              <w:spacing w:before="40" w:after="80" w:line="240" w:lineRule="exact"/>
              <w:ind w:right="144"/>
              <w:rPr>
                <w:rFonts w:hint="cs"/>
                <w:sz w:val="18"/>
                <w:szCs w:val="26"/>
                <w:rtl/>
              </w:rPr>
            </w:pPr>
          </w:p>
        </w:tc>
        <w:tc>
          <w:tcPr>
            <w:tcW w:w="1003" w:type="dxa"/>
            <w:tcBorders>
              <w:bottom w:val="single" w:sz="12" w:space="0" w:color="auto"/>
            </w:tcBorders>
            <w:shd w:val="clear" w:color="auto" w:fill="auto"/>
            <w:vAlign w:val="bottom"/>
          </w:tcPr>
          <w:p w:rsidR="00E40790" w:rsidRPr="00652B30" w:rsidRDefault="00411FDE" w:rsidP="00411FDE">
            <w:pPr>
              <w:tabs>
                <w:tab w:val="left" w:pos="288"/>
                <w:tab w:val="left" w:pos="864"/>
                <w:tab w:val="left" w:pos="1152"/>
              </w:tabs>
              <w:spacing w:before="40" w:after="80" w:line="240" w:lineRule="exact"/>
              <w:rPr>
                <w:rFonts w:hint="cs"/>
                <w:sz w:val="18"/>
                <w:szCs w:val="26"/>
                <w:rtl/>
              </w:rPr>
            </w:pPr>
            <w:r>
              <w:rPr>
                <w:rFonts w:hint="cs"/>
                <w:sz w:val="18"/>
                <w:szCs w:val="26"/>
                <w:rtl/>
              </w:rPr>
              <w:t>15</w:t>
            </w:r>
          </w:p>
        </w:tc>
      </w:tr>
    </w:tbl>
    <w:p w:rsidR="0065740E" w:rsidRPr="0065740E" w:rsidRDefault="0065740E" w:rsidP="0065740E">
      <w:pPr>
        <w:pStyle w:val="SingleTxt"/>
        <w:spacing w:after="0" w:line="120" w:lineRule="exact"/>
        <w:rPr>
          <w:rFonts w:hint="cs"/>
          <w:sz w:val="10"/>
          <w:rtl/>
          <w:lang w:bidi="ar-EG"/>
        </w:rPr>
      </w:pPr>
    </w:p>
    <w:p w:rsidR="0065740E" w:rsidRPr="0065740E" w:rsidRDefault="0065740E" w:rsidP="0065740E">
      <w:pPr>
        <w:pStyle w:val="SingleTxt"/>
        <w:spacing w:after="0" w:line="120" w:lineRule="exact"/>
        <w:rPr>
          <w:rFonts w:hint="cs"/>
          <w:sz w:val="10"/>
          <w:rtl/>
          <w:lang w:bidi="ar-EG"/>
        </w:rPr>
      </w:pPr>
    </w:p>
    <w:p w:rsidR="00E40790" w:rsidRDefault="00E354AB" w:rsidP="007E3CEF">
      <w:pPr>
        <w:pStyle w:val="SingleTxt"/>
        <w:rPr>
          <w:rFonts w:hint="cs"/>
          <w:rtl/>
          <w:lang w:bidi="ar-EG"/>
        </w:rPr>
      </w:pPr>
      <w:r>
        <w:rPr>
          <w:rFonts w:hint="cs"/>
          <w:rtl/>
          <w:lang w:bidi="ar-EG"/>
        </w:rPr>
        <w:tab/>
        <w:t>واعتمدت مؤخرا الأمانة الخاصة لسياسات المرأة والمجلس الوطني لسياسات المرأة مبادرة هامة، وهي إدراج مشاركة المرأة في مناصب السلطة كموضوع من المواضيع الرئيسية في المؤتمر الوطني الثاني لسياسات المرأة.</w:t>
      </w:r>
    </w:p>
    <w:p w:rsidR="00E354AB" w:rsidRPr="00E354AB" w:rsidRDefault="00E354AB" w:rsidP="00E354AB">
      <w:pPr>
        <w:pStyle w:val="SingleTxt"/>
        <w:spacing w:after="0" w:line="120" w:lineRule="exact"/>
        <w:rPr>
          <w:rFonts w:hint="cs"/>
          <w:sz w:val="10"/>
          <w:rtl/>
          <w:lang w:bidi="ar-EG"/>
        </w:rPr>
      </w:pPr>
    </w:p>
    <w:p w:rsidR="00C87B32" w:rsidRPr="005E297F" w:rsidRDefault="00C87B32" w:rsidP="00C87B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sidRPr="005E297F">
        <w:tab/>
      </w:r>
      <w:r w:rsidRPr="005E297F">
        <w:tab/>
      </w:r>
      <w:r w:rsidRPr="005E297F">
        <w:rPr>
          <w:rtl/>
        </w:rPr>
        <w:t>التعليم</w:t>
      </w:r>
    </w:p>
    <w:p w:rsidR="00C87B32" w:rsidRPr="00E354AB" w:rsidRDefault="00C87B32" w:rsidP="00E354AB">
      <w:pPr>
        <w:pStyle w:val="SingleTxt"/>
        <w:rPr>
          <w:rFonts w:hint="cs"/>
          <w:b/>
          <w:bCs/>
          <w:rtl/>
        </w:rPr>
      </w:pPr>
      <w:r w:rsidRPr="00E354AB">
        <w:rPr>
          <w:b/>
          <w:bCs/>
          <w:rtl/>
        </w:rPr>
        <w:t>1</w:t>
      </w:r>
      <w:r w:rsidR="00E354AB" w:rsidRPr="00E354AB">
        <w:rPr>
          <w:rFonts w:hint="cs"/>
          <w:b/>
          <w:bCs/>
          <w:rtl/>
        </w:rPr>
        <w:t>6</w:t>
      </w:r>
      <w:r w:rsidRPr="00E354AB">
        <w:rPr>
          <w:rFonts w:hint="cs"/>
          <w:b/>
          <w:bCs/>
          <w:rtl/>
        </w:rPr>
        <w:t xml:space="preserve"> </w:t>
      </w:r>
      <w:r w:rsidRPr="00E354AB">
        <w:rPr>
          <w:b/>
          <w:bCs/>
          <w:rtl/>
        </w:rPr>
        <w:t>-</w:t>
      </w:r>
      <w:r w:rsidRPr="00E354AB">
        <w:rPr>
          <w:rFonts w:hint="cs"/>
          <w:b/>
          <w:bCs/>
          <w:rtl/>
        </w:rPr>
        <w:tab/>
      </w:r>
      <w:r w:rsidRPr="00E354AB">
        <w:rPr>
          <w:b/>
          <w:bCs/>
          <w:rtl/>
        </w:rPr>
        <w:t xml:space="preserve">أخذا في الاعتبار </w:t>
      </w:r>
      <w:r w:rsidR="0057138D">
        <w:rPr>
          <w:rFonts w:hint="cs"/>
          <w:b/>
          <w:bCs/>
          <w:rtl/>
        </w:rPr>
        <w:t>ب</w:t>
      </w:r>
      <w:r w:rsidRPr="00E354AB">
        <w:rPr>
          <w:b/>
          <w:bCs/>
          <w:rtl/>
        </w:rPr>
        <w:t>التقييم</w:t>
      </w:r>
      <w:r w:rsidR="00E354AB" w:rsidRPr="00E354AB">
        <w:rPr>
          <w:rFonts w:hint="cs"/>
          <w:b/>
          <w:bCs/>
          <w:rtl/>
        </w:rPr>
        <w:t xml:space="preserve"> (صفحة 50)</w:t>
      </w:r>
      <w:r w:rsidRPr="00E354AB">
        <w:rPr>
          <w:b/>
          <w:bCs/>
          <w:rtl/>
        </w:rPr>
        <w:t xml:space="preserve"> الذي يفيد بأن </w:t>
      </w:r>
      <w:r w:rsidR="00E354AB" w:rsidRPr="00E354AB">
        <w:rPr>
          <w:rFonts w:hint="cs"/>
          <w:b/>
          <w:bCs/>
          <w:rtl/>
        </w:rPr>
        <w:t>”</w:t>
      </w:r>
      <w:r w:rsidRPr="00E354AB">
        <w:rPr>
          <w:b/>
          <w:bCs/>
          <w:rtl/>
        </w:rPr>
        <w:t xml:space="preserve">الثقافة التي يهمن عليها الذكور توجِّه الرجال والنساء نحو </w:t>
      </w:r>
      <w:r w:rsidR="00E354AB" w:rsidRPr="00E354AB">
        <w:rPr>
          <w:rFonts w:hint="cs"/>
          <w:b/>
          <w:bCs/>
          <w:rtl/>
        </w:rPr>
        <w:t>مسار وظيفي محدد</w:t>
      </w:r>
      <w:r w:rsidR="00E354AB" w:rsidRPr="00E354AB">
        <w:rPr>
          <w:rFonts w:hint="eastAsia"/>
          <w:b/>
          <w:bCs/>
          <w:rtl/>
        </w:rPr>
        <w:t>“</w:t>
      </w:r>
      <w:r w:rsidRPr="00E354AB">
        <w:rPr>
          <w:b/>
          <w:bCs/>
          <w:rtl/>
        </w:rPr>
        <w:t>، ما هي التدابير التي تتخذها الحكومة أو تعتزم اتخاذها لتصحيح هذا الاتجاه وتعزيز تنويع الخيارات الأكاديمية والمهنية؟</w:t>
      </w:r>
    </w:p>
    <w:p w:rsidR="00E354AB" w:rsidRDefault="00E354AB" w:rsidP="00E354AB">
      <w:pPr>
        <w:pStyle w:val="SingleTxt"/>
        <w:rPr>
          <w:rFonts w:hint="cs"/>
          <w:rtl/>
        </w:rPr>
      </w:pPr>
      <w:r>
        <w:rPr>
          <w:rFonts w:hint="cs"/>
          <w:rtl/>
        </w:rPr>
        <w:tab/>
        <w:t>فيما يتعلق بمسؤولية وزارة التعليم، تتضمن الخطة الوطنية لسياسات المرأة (2004) كهدف من أهدافها إدراج المبادئ التوجيهية المعنية بنوع الجنس والعنصر والأصل العرقي في التعليم المهني والتقني (الإجراء 2-1-14). وفي عام 2006 أعطت وزارة التعليم أولوية لذلك، ويعود هذا بالتحديد إلى الفجوة الموجودة في ذلك المجال.</w:t>
      </w:r>
    </w:p>
    <w:p w:rsidR="00E354AB" w:rsidRDefault="00E354AB" w:rsidP="00F81A18">
      <w:pPr>
        <w:pStyle w:val="SingleTxt"/>
        <w:rPr>
          <w:rFonts w:hint="cs"/>
          <w:rtl/>
        </w:rPr>
      </w:pPr>
      <w:r>
        <w:rPr>
          <w:rFonts w:hint="cs"/>
          <w:rtl/>
        </w:rPr>
        <w:tab/>
        <w:t xml:space="preserve">ومن وجهة نظر جنسانية بحتة (حيث أن المبادئ التوجيهية الوطنية سبق أن أخذت في اعتبارها العنصر العرقي - العنصري بمقتضى القانون 10639/2004)، فإنه تنفيذا لهذه المبادرة </w:t>
      </w:r>
      <w:r w:rsidR="00F81A18">
        <w:rPr>
          <w:rFonts w:hint="cs"/>
          <w:rtl/>
        </w:rPr>
        <w:t>بدأت</w:t>
      </w:r>
      <w:r>
        <w:rPr>
          <w:rFonts w:hint="cs"/>
          <w:rtl/>
        </w:rPr>
        <w:t xml:space="preserve"> في عام 2006 اللجنة الوطنية المعنية برصد وتنسيق الخطة الوطنية لسياسات المرأة</w:t>
      </w:r>
      <w:r w:rsidR="00F81A18">
        <w:rPr>
          <w:rFonts w:hint="cs"/>
          <w:rtl/>
        </w:rPr>
        <w:t>،</w:t>
      </w:r>
      <w:r>
        <w:rPr>
          <w:rFonts w:hint="cs"/>
          <w:rtl/>
        </w:rPr>
        <w:t xml:space="preserve"> والأمانة الخاصة لسياسات المرأة </w:t>
      </w:r>
      <w:r w:rsidR="00F81A18">
        <w:rPr>
          <w:rFonts w:hint="cs"/>
          <w:rtl/>
        </w:rPr>
        <w:t>الإضطلاع ب</w:t>
      </w:r>
      <w:r>
        <w:rPr>
          <w:rFonts w:hint="cs"/>
          <w:rtl/>
        </w:rPr>
        <w:t>الأعمال المتعلقة بالارتقاء بالوعي.</w:t>
      </w:r>
      <w:r w:rsidR="00803B44">
        <w:rPr>
          <w:rFonts w:hint="cs"/>
          <w:rtl/>
        </w:rPr>
        <w:t xml:space="preserve"> وتستهدف هذه الأعمال المديرين المسؤولين عن أمانة التعليم المهني والتقني بوزارة التعليم بغية توعيتهم بأهمية اعتماد التدابير المتعلقة بنوع الجنس.</w:t>
      </w:r>
    </w:p>
    <w:p w:rsidR="00803B44" w:rsidRDefault="00F81A18" w:rsidP="00F81A18">
      <w:pPr>
        <w:pStyle w:val="SingleTxt"/>
        <w:rPr>
          <w:rFonts w:hint="cs"/>
          <w:rtl/>
        </w:rPr>
      </w:pPr>
      <w:r>
        <w:rPr>
          <w:rFonts w:hint="cs"/>
          <w:rtl/>
        </w:rPr>
        <w:tab/>
        <w:t>وكان أحد الأحداث</w:t>
      </w:r>
      <w:r w:rsidR="00803B44">
        <w:rPr>
          <w:rFonts w:hint="cs"/>
          <w:rtl/>
        </w:rPr>
        <w:t xml:space="preserve"> في هذا الصدد محاضرة عن نوع الجنس وعلاقته بتدريب النساء والرجال ألقيت على الإداريين والمعلمين المهنيين والتقنيين في المؤتمر الوطني المعني بالتعليم المهني والتقني الذي عقد في برازيليا من 5 إلى 8 تشرين الثاني/نوفمبر 2006. وكان أحد أهداف هذا الحدث دراسة المبادئ التوجيهية الوطنية للتعليم المهني والتقني عن طريق تشجيع حوار تشارك فيه مختلف الوكالات المعنية.</w:t>
      </w:r>
    </w:p>
    <w:p w:rsidR="00803B44" w:rsidRDefault="00803B44" w:rsidP="00E354AB">
      <w:pPr>
        <w:pStyle w:val="SingleTxt"/>
        <w:rPr>
          <w:rFonts w:hint="cs"/>
          <w:rtl/>
        </w:rPr>
      </w:pPr>
      <w:r>
        <w:rPr>
          <w:rFonts w:hint="cs"/>
          <w:rtl/>
        </w:rPr>
        <w:tab/>
        <w:t>ومع ذلك، فحتى الآن لم تصدر وزارة التعليم أية مبادئ توجيهية ولم تعلن أية تدابير تتعلق بالمناهج الدراسية والممارسات في مؤسسات التعليم الثانوي والتقني والمهني ولا في معاهد التعليم العالي، وهي المبادئ التي تستهدف الإقلال من الفصل الجنساني في مختلف المسارات الوظيفية المهنية والأكاديمية. وتجدر الإشارة إلى أن الولايات والبلديات والمدارس والجامعات تتمتع بالاستقلال فيما يتعلق بوضع المناهج الدراسية بحيث تخضع للمعايير والمبادئ التوجيهية العامة التي وضعتها وزارة التعليم والمجلس التعليمي الوطني بمقتضى قانون المبادئ التوجيهية للتعليم الوطني وأساساته (القانون 9394/1996).</w:t>
      </w:r>
    </w:p>
    <w:p w:rsidR="00803B44" w:rsidRDefault="00803B44" w:rsidP="00F81A18">
      <w:pPr>
        <w:pStyle w:val="SingleTxt"/>
        <w:rPr>
          <w:rFonts w:hint="cs"/>
          <w:rtl/>
        </w:rPr>
      </w:pPr>
      <w:r>
        <w:rPr>
          <w:rFonts w:hint="cs"/>
          <w:rtl/>
        </w:rPr>
        <w:tab/>
        <w:t xml:space="preserve">ولمعالجة هذه المشكلة، اعتمدت وزارة التعليم بالاشتراك مع الأمانة الخاصة لسياسات المرأة، مجموعة من المبادرات تتضمن برنامجي </w:t>
      </w:r>
      <w:r>
        <w:rPr>
          <w:rFonts w:hint="eastAsia"/>
          <w:rtl/>
        </w:rPr>
        <w:t>”نوع الجنس والتنوع في المدرسة</w:t>
      </w:r>
      <w:r>
        <w:rPr>
          <w:rFonts w:hint="cs"/>
          <w:rtl/>
        </w:rPr>
        <w:t xml:space="preserve">“ و </w:t>
      </w:r>
      <w:r>
        <w:rPr>
          <w:rFonts w:hint="eastAsia"/>
          <w:rtl/>
        </w:rPr>
        <w:t>”المرأة والعلم</w:t>
      </w:r>
      <w:r>
        <w:rPr>
          <w:rFonts w:hint="cs"/>
          <w:rtl/>
        </w:rPr>
        <w:t>“.</w:t>
      </w:r>
    </w:p>
    <w:p w:rsidR="00803B44" w:rsidRDefault="00803B44" w:rsidP="00F81A18">
      <w:pPr>
        <w:pStyle w:val="SingleTxt"/>
        <w:rPr>
          <w:rFonts w:hint="cs"/>
          <w:rtl/>
        </w:rPr>
      </w:pPr>
      <w:r>
        <w:rPr>
          <w:rFonts w:hint="cs"/>
          <w:rtl/>
        </w:rPr>
        <w:tab/>
        <w:t xml:space="preserve">ويهدف برنامج </w:t>
      </w:r>
      <w:r>
        <w:rPr>
          <w:rFonts w:hint="eastAsia"/>
          <w:rtl/>
        </w:rPr>
        <w:t>”نوع الجنس والتنوع في المدرسة</w:t>
      </w:r>
      <w:r>
        <w:rPr>
          <w:rFonts w:hint="cs"/>
          <w:rtl/>
        </w:rPr>
        <w:t xml:space="preserve">“ إلى تأهيل التربويين </w:t>
      </w:r>
      <w:r w:rsidR="00F81A18">
        <w:rPr>
          <w:rFonts w:hint="cs"/>
          <w:rtl/>
        </w:rPr>
        <w:t>بنظام المدارس العامة مم</w:t>
      </w:r>
      <w:r>
        <w:rPr>
          <w:rFonts w:hint="cs"/>
          <w:rtl/>
        </w:rPr>
        <w:t>ن يدر</w:t>
      </w:r>
      <w:r w:rsidR="00F81A18">
        <w:rPr>
          <w:rFonts w:hint="cs"/>
          <w:rtl/>
        </w:rPr>
        <w:t>ّ</w:t>
      </w:r>
      <w:r>
        <w:rPr>
          <w:rFonts w:hint="cs"/>
          <w:rtl/>
        </w:rPr>
        <w:t>سون الصفوف الدراسية من ال</w:t>
      </w:r>
      <w:r w:rsidR="00F81A18">
        <w:rPr>
          <w:rFonts w:hint="cs"/>
          <w:rtl/>
        </w:rPr>
        <w:t>صف</w:t>
      </w:r>
      <w:r>
        <w:rPr>
          <w:rFonts w:hint="cs"/>
          <w:rtl/>
        </w:rPr>
        <w:t xml:space="preserve"> الخامس إلى</w:t>
      </w:r>
      <w:r w:rsidR="00F81A18">
        <w:rPr>
          <w:rFonts w:hint="cs"/>
          <w:rtl/>
        </w:rPr>
        <w:t xml:space="preserve"> الصف الثامن من التعليم الأساسي</w:t>
      </w:r>
      <w:r>
        <w:rPr>
          <w:rFonts w:hint="cs"/>
          <w:rtl/>
        </w:rPr>
        <w:t xml:space="preserve">، ويتعلق هذا التأهيل بمسائل نوع الجنس، والتثقيف الجنسي، والمساواة العرقية والعنصرية. وجرى تنفيذ هذه الدورة الدراسية التي تستغرق </w:t>
      </w:r>
      <w:r w:rsidR="00B917F2">
        <w:rPr>
          <w:rFonts w:hint="cs"/>
          <w:rtl/>
        </w:rPr>
        <w:t>200 ساعة على أساس تجريبي في بلديات بورتو فيلهو، في رورايما؛ وسلفادور، في باهيا؛ ودورادوس، في ماتوغروسو دو</w:t>
      </w:r>
      <w:r w:rsidR="00B917F2">
        <w:rPr>
          <w:rFonts w:hint="eastAsia"/>
          <w:rtl/>
        </w:rPr>
        <w:t> </w:t>
      </w:r>
      <w:r w:rsidR="00B917F2">
        <w:rPr>
          <w:rFonts w:hint="cs"/>
          <w:rtl/>
        </w:rPr>
        <w:t>سول؛ ومارينغا، في باريبا؛ ونوفا إيغواسو، في ريو دي جانيرو؛ ونيتروي، في ريو دي جانيرو؛ وحضر هذه الدورة 000 12 من المعلمين بالنظام التعليمي العام.</w:t>
      </w:r>
    </w:p>
    <w:p w:rsidR="00B917F2" w:rsidRDefault="00B917F2" w:rsidP="00803B44">
      <w:pPr>
        <w:pStyle w:val="SingleTxt"/>
        <w:rPr>
          <w:rFonts w:hint="cs"/>
          <w:rtl/>
        </w:rPr>
      </w:pPr>
      <w:r>
        <w:rPr>
          <w:rFonts w:hint="cs"/>
          <w:rtl/>
        </w:rPr>
        <w:tab/>
        <w:t>وكان هناك صدى في جميع أنحاء البلد للقبول الواسع النطاق للبرنامج وللمعرفة التي اكتسبها المهنيون التعليميون، فضلا عن المنهجية المبتكرة، ورغبت ولايات عديدة في تنفيذ هذا المشروع في مناطقها. واجتذب البرنامج أيضا اهتمام الأماكن التي قدم فيها المشروع في مصر وإنكلترا واسكتلندا وأيرلندا وشيلي.</w:t>
      </w:r>
    </w:p>
    <w:p w:rsidR="00B917F2" w:rsidRDefault="00B917F2" w:rsidP="00803B44">
      <w:pPr>
        <w:pStyle w:val="SingleTxt"/>
        <w:rPr>
          <w:rFonts w:hint="cs"/>
          <w:rtl/>
        </w:rPr>
      </w:pPr>
      <w:r>
        <w:rPr>
          <w:rFonts w:hint="cs"/>
          <w:rtl/>
        </w:rPr>
        <w:tab/>
        <w:t xml:space="preserve">ويجري حاليا إدماج دورة </w:t>
      </w:r>
      <w:r>
        <w:rPr>
          <w:rFonts w:hint="eastAsia"/>
          <w:rtl/>
        </w:rPr>
        <w:t>”نوع الجنس والتنوع في المدرسة</w:t>
      </w:r>
      <w:r>
        <w:rPr>
          <w:rFonts w:hint="cs"/>
          <w:rtl/>
        </w:rPr>
        <w:t>“ في برنامج الجامعة المفتوحة (مشروع مبتكر لوزارة التعليم ينشئ مراكز لدعم التعليم العالي بهدف إضفاء الصبغة الديمقراطية على التعليم). وفضلا عن ذلك، سيُنفذ المشروع أيضا في ولايات عديدة، بالشراكة مع حكومة وجامعات كل منطقة.</w:t>
      </w:r>
    </w:p>
    <w:p w:rsidR="00B917F2" w:rsidRDefault="00B917F2" w:rsidP="004E443B">
      <w:pPr>
        <w:pStyle w:val="SingleTxt"/>
        <w:rPr>
          <w:rFonts w:hint="cs"/>
          <w:rtl/>
        </w:rPr>
      </w:pPr>
      <w:r>
        <w:rPr>
          <w:rFonts w:hint="cs"/>
          <w:rtl/>
        </w:rPr>
        <w:tab/>
        <w:t>والهدف الرئيسي للبرنامج توفير العناصر اللازمة لت</w:t>
      </w:r>
      <w:r w:rsidR="004E443B">
        <w:rPr>
          <w:rFonts w:hint="cs"/>
          <w:rtl/>
        </w:rPr>
        <w:t xml:space="preserve">غيير </w:t>
      </w:r>
      <w:r>
        <w:rPr>
          <w:rFonts w:hint="cs"/>
          <w:rtl/>
        </w:rPr>
        <w:t>ممارسات التدريس</w:t>
      </w:r>
      <w:r w:rsidR="004E443B">
        <w:rPr>
          <w:rFonts w:hint="cs"/>
          <w:rtl/>
        </w:rPr>
        <w:t>،</w:t>
      </w:r>
      <w:r>
        <w:rPr>
          <w:rFonts w:hint="cs"/>
          <w:rtl/>
        </w:rPr>
        <w:t xml:space="preserve"> والقضاء على التحيزات </w:t>
      </w:r>
      <w:r w:rsidR="004E443B">
        <w:rPr>
          <w:rFonts w:hint="cs"/>
          <w:rtl/>
        </w:rPr>
        <w:t>وعلى</w:t>
      </w:r>
      <w:r>
        <w:rPr>
          <w:rFonts w:hint="cs"/>
          <w:rtl/>
        </w:rPr>
        <w:t xml:space="preserve"> </w:t>
      </w:r>
      <w:r w:rsidR="004E443B">
        <w:rPr>
          <w:rFonts w:hint="cs"/>
          <w:rtl/>
        </w:rPr>
        <w:t>تكرار</w:t>
      </w:r>
      <w:r>
        <w:rPr>
          <w:rFonts w:hint="cs"/>
          <w:rtl/>
        </w:rPr>
        <w:t>ها في المدارس. وإتمام المهنيون تلك الدورة يزودهم بالأدوات التي يستخدمونها في عملهم اليومي لدراسة ومعالجة المواقف والسلوك فيما يتعلق بنوع الجنس والعلاقات العرقية والعنصرية والجنسانية.</w:t>
      </w:r>
    </w:p>
    <w:p w:rsidR="00B917F2" w:rsidRDefault="00B917F2" w:rsidP="006A279D">
      <w:pPr>
        <w:pStyle w:val="SingleTxt"/>
        <w:rPr>
          <w:rFonts w:hint="cs"/>
          <w:rtl/>
        </w:rPr>
      </w:pPr>
      <w:r>
        <w:rPr>
          <w:rFonts w:hint="cs"/>
          <w:rtl/>
        </w:rPr>
        <w:tab/>
        <w:t xml:space="preserve">وتولت الأمانة الخاصة لسياسات المرأة تصميم برنامج </w:t>
      </w:r>
      <w:r>
        <w:rPr>
          <w:rFonts w:hint="eastAsia"/>
          <w:rtl/>
        </w:rPr>
        <w:t>”المرأة والعلم</w:t>
      </w:r>
      <w:r>
        <w:rPr>
          <w:rFonts w:hint="cs"/>
          <w:rtl/>
        </w:rPr>
        <w:t>“، بالاشتراك مع وزارة التعليم، ووزارة العلم والتكنولوجيا، والمجلس الوطني المعني بالتنمية العلمية والتكنولوجية</w:t>
      </w:r>
      <w:r w:rsidR="004E443B">
        <w:rPr>
          <w:rFonts w:hint="cs"/>
          <w:rtl/>
        </w:rPr>
        <w:t>،</w:t>
      </w:r>
      <w:r>
        <w:rPr>
          <w:rFonts w:hint="cs"/>
          <w:rtl/>
        </w:rPr>
        <w:t xml:space="preserve"> وصندوق الأمم المتحدة الإنمائي للمرأة. ويهدف هذا البرنامج إلى إلقاء الضوء على أهمية البحث</w:t>
      </w:r>
      <w:r w:rsidR="004E443B">
        <w:rPr>
          <w:rFonts w:hint="cs"/>
          <w:rtl/>
        </w:rPr>
        <w:t xml:space="preserve">،كما </w:t>
      </w:r>
      <w:r>
        <w:rPr>
          <w:rFonts w:hint="cs"/>
          <w:rtl/>
        </w:rPr>
        <w:t xml:space="preserve">يشجع </w:t>
      </w:r>
      <w:r w:rsidR="004E443B">
        <w:rPr>
          <w:rFonts w:hint="cs"/>
          <w:rtl/>
        </w:rPr>
        <w:t xml:space="preserve">على </w:t>
      </w:r>
      <w:r>
        <w:rPr>
          <w:rFonts w:hint="cs"/>
          <w:rtl/>
        </w:rPr>
        <w:t xml:space="preserve">اقتناء ونشر المعرفة الجديدة في </w:t>
      </w:r>
      <w:r w:rsidR="004E443B">
        <w:rPr>
          <w:rFonts w:hint="cs"/>
          <w:rtl/>
        </w:rPr>
        <w:t xml:space="preserve">مجال </w:t>
      </w:r>
      <w:r>
        <w:rPr>
          <w:rFonts w:hint="cs"/>
          <w:rtl/>
        </w:rPr>
        <w:t>العلاقات الجنسانية</w:t>
      </w:r>
      <w:r w:rsidR="00E3164E">
        <w:rPr>
          <w:rFonts w:hint="cs"/>
          <w:rtl/>
        </w:rPr>
        <w:t>،</w:t>
      </w:r>
      <w:r>
        <w:rPr>
          <w:rFonts w:hint="cs"/>
          <w:rtl/>
        </w:rPr>
        <w:t xml:space="preserve"> و</w:t>
      </w:r>
      <w:r w:rsidR="004E443B">
        <w:rPr>
          <w:rFonts w:hint="cs"/>
          <w:rtl/>
        </w:rPr>
        <w:t xml:space="preserve">الدراسات النسائية </w:t>
      </w:r>
      <w:r>
        <w:rPr>
          <w:rFonts w:hint="cs"/>
          <w:rtl/>
        </w:rPr>
        <w:t>و</w:t>
      </w:r>
      <w:r w:rsidR="004E443B">
        <w:rPr>
          <w:rFonts w:hint="cs"/>
          <w:rtl/>
        </w:rPr>
        <w:t>المتعلقة ب</w:t>
      </w:r>
      <w:r>
        <w:rPr>
          <w:rFonts w:hint="cs"/>
          <w:rtl/>
        </w:rPr>
        <w:t>المساواة بين الجنسين.</w:t>
      </w:r>
    </w:p>
    <w:p w:rsidR="00B917F2" w:rsidRDefault="00D51B78" w:rsidP="00E3164E">
      <w:pPr>
        <w:pStyle w:val="SingleTxt"/>
        <w:rPr>
          <w:rFonts w:hint="cs"/>
          <w:rtl/>
        </w:rPr>
      </w:pPr>
      <w:r>
        <w:rPr>
          <w:rFonts w:hint="cs"/>
          <w:rtl/>
        </w:rPr>
        <w:tab/>
        <w:t>وعند تطبيق البرنامج للمرة الأولى عام 2005 تضمن القانون رقم 45/2006 للمجلس الوطني للبحوث العلمية والتكنولوجية الذي منح 1.2 مليون ريال</w:t>
      </w:r>
      <w:r w:rsidR="006A279D">
        <w:rPr>
          <w:rFonts w:hint="cs"/>
          <w:rtl/>
          <w:lang w:bidi="ar-EG"/>
        </w:rPr>
        <w:t xml:space="preserve"> برازيلي</w:t>
      </w:r>
      <w:r>
        <w:rPr>
          <w:rFonts w:hint="cs"/>
          <w:rtl/>
        </w:rPr>
        <w:t xml:space="preserve"> لدعم البحث في مجا</w:t>
      </w:r>
      <w:r w:rsidR="006A279D">
        <w:rPr>
          <w:rFonts w:hint="cs"/>
          <w:rtl/>
        </w:rPr>
        <w:t>ل نوع</w:t>
      </w:r>
      <w:r>
        <w:rPr>
          <w:rFonts w:hint="cs"/>
          <w:rtl/>
        </w:rPr>
        <w:t xml:space="preserve"> الجنس</w:t>
      </w:r>
      <w:r w:rsidR="006A279D">
        <w:rPr>
          <w:rFonts w:hint="cs"/>
          <w:rtl/>
        </w:rPr>
        <w:t>،</w:t>
      </w:r>
      <w:r>
        <w:rPr>
          <w:rFonts w:hint="cs"/>
          <w:rtl/>
        </w:rPr>
        <w:t xml:space="preserve"> </w:t>
      </w:r>
      <w:r w:rsidR="006A279D">
        <w:rPr>
          <w:rFonts w:hint="cs"/>
          <w:rtl/>
        </w:rPr>
        <w:t>والدراسات النسائية والمتعلقة بالمساواة بين الجنسين</w:t>
      </w:r>
      <w:r w:rsidR="00E3164E">
        <w:rPr>
          <w:rFonts w:hint="cs"/>
          <w:rtl/>
        </w:rPr>
        <w:t>؛</w:t>
      </w:r>
      <w:r>
        <w:rPr>
          <w:rFonts w:hint="cs"/>
          <w:rtl/>
        </w:rPr>
        <w:t xml:space="preserve"> وخصص</w:t>
      </w:r>
      <w:r w:rsidR="006A279D">
        <w:rPr>
          <w:rFonts w:hint="cs"/>
          <w:rtl/>
        </w:rPr>
        <w:t xml:space="preserve"> البرنامج</w:t>
      </w:r>
      <w:r>
        <w:rPr>
          <w:rFonts w:hint="cs"/>
          <w:rtl/>
        </w:rPr>
        <w:t xml:space="preserve"> جائزة أولى لمسابقة بين طلبة المدارس الثانوية في كتابة المقالات</w:t>
      </w:r>
      <w:r w:rsidR="00E3164E">
        <w:rPr>
          <w:rFonts w:hint="cs"/>
          <w:rtl/>
        </w:rPr>
        <w:t>،</w:t>
      </w:r>
      <w:r>
        <w:rPr>
          <w:rFonts w:hint="cs"/>
          <w:rtl/>
        </w:rPr>
        <w:t xml:space="preserve"> وبين طلبة الجامعات والدراسات العليا في المقالات العلمية موضوعها </w:t>
      </w:r>
      <w:r>
        <w:rPr>
          <w:rFonts w:hint="eastAsia"/>
          <w:rtl/>
        </w:rPr>
        <w:t>”بناء المساواة بين الجنسين</w:t>
      </w:r>
      <w:r>
        <w:rPr>
          <w:rFonts w:hint="cs"/>
          <w:rtl/>
        </w:rPr>
        <w:t>“</w:t>
      </w:r>
      <w:r w:rsidR="00E3164E">
        <w:rPr>
          <w:rFonts w:hint="cs"/>
          <w:rtl/>
        </w:rPr>
        <w:t>؛</w:t>
      </w:r>
      <w:r>
        <w:rPr>
          <w:rFonts w:hint="cs"/>
          <w:rtl/>
        </w:rPr>
        <w:t xml:space="preserve"> وع</w:t>
      </w:r>
      <w:r w:rsidR="00E3164E">
        <w:rPr>
          <w:rFonts w:hint="cs"/>
          <w:rtl/>
        </w:rPr>
        <w:t>ُ</w:t>
      </w:r>
      <w:r>
        <w:rPr>
          <w:rFonts w:hint="cs"/>
          <w:rtl/>
        </w:rPr>
        <w:t xml:space="preserve">قد الملتقى الوطني لمراكز ومجموعات البحث بشأن </w:t>
      </w:r>
      <w:r>
        <w:rPr>
          <w:rFonts w:hint="eastAsia"/>
          <w:rtl/>
        </w:rPr>
        <w:t>”التفكير في المسائل الجنسانية والعلوم</w:t>
      </w:r>
      <w:r>
        <w:rPr>
          <w:rFonts w:hint="cs"/>
          <w:rtl/>
        </w:rPr>
        <w:t>“.</w:t>
      </w:r>
    </w:p>
    <w:p w:rsidR="00E3164E" w:rsidRDefault="00D51B78" w:rsidP="00E3164E">
      <w:pPr>
        <w:pStyle w:val="SingleTxt"/>
        <w:rPr>
          <w:rFonts w:hint="cs"/>
          <w:rtl/>
        </w:rPr>
      </w:pPr>
      <w:r>
        <w:rPr>
          <w:rFonts w:hint="cs"/>
          <w:rtl/>
        </w:rPr>
        <w:tab/>
        <w:t xml:space="preserve">وجرى في عام 2006 منح جائزة </w:t>
      </w:r>
      <w:r>
        <w:rPr>
          <w:rFonts w:hint="eastAsia"/>
          <w:rtl/>
        </w:rPr>
        <w:t>”بناء المساواة بين الجنسين</w:t>
      </w:r>
      <w:r>
        <w:rPr>
          <w:rFonts w:hint="cs"/>
          <w:rtl/>
        </w:rPr>
        <w:t xml:space="preserve">“ للمرة الثانية. وفي عام 2007، سيمنح برنامج </w:t>
      </w:r>
      <w:r>
        <w:rPr>
          <w:rFonts w:hint="eastAsia"/>
          <w:rtl/>
        </w:rPr>
        <w:t>”المرأة والعلم</w:t>
      </w:r>
      <w:r>
        <w:rPr>
          <w:rFonts w:hint="cs"/>
          <w:rtl/>
        </w:rPr>
        <w:t>“ - الذي يطبق للمرة الثالثة - الجائزة الثالثة لـ </w:t>
      </w:r>
      <w:r>
        <w:rPr>
          <w:rFonts w:hint="eastAsia"/>
          <w:rtl/>
        </w:rPr>
        <w:t>”بناء المساواة بين الجنسين</w:t>
      </w:r>
      <w:r>
        <w:rPr>
          <w:rFonts w:hint="cs"/>
          <w:rtl/>
        </w:rPr>
        <w:t xml:space="preserve">“؛ وسينظم المجلس الوطني للبحوث العلمية والتكنولوجية المسابقة العامة الثانية لدعم البحث </w:t>
      </w:r>
      <w:r w:rsidR="00E3164E">
        <w:rPr>
          <w:rFonts w:hint="cs"/>
          <w:rtl/>
        </w:rPr>
        <w:t>في مجال نوع الجنس، والدراسات النسائية والمتعلقة بالمساواة بين الجنسين.</w:t>
      </w:r>
    </w:p>
    <w:p w:rsidR="00D51B78" w:rsidRDefault="00D51B78" w:rsidP="00E3164E">
      <w:pPr>
        <w:pStyle w:val="SingleTxt"/>
        <w:rPr>
          <w:rFonts w:hint="cs"/>
          <w:rtl/>
        </w:rPr>
      </w:pPr>
      <w:r>
        <w:rPr>
          <w:rFonts w:hint="cs"/>
          <w:rtl/>
        </w:rPr>
        <w:tab/>
        <w:t xml:space="preserve">وتنفذ وزارة العمل والعمالة أيضا تدابير، كما تقدم دعما استراتيجيا إلى السياسات التي تعزز التنوع والقضاء على جميع أشكال التمييز. وتنفذ هذه السياسات في </w:t>
      </w:r>
      <w:r w:rsidR="00E3164E">
        <w:rPr>
          <w:rFonts w:hint="cs"/>
          <w:rtl/>
        </w:rPr>
        <w:t>أط</w:t>
      </w:r>
      <w:r>
        <w:rPr>
          <w:rFonts w:hint="cs"/>
          <w:rtl/>
        </w:rPr>
        <w:t>ر برامج متنوعة عن طريق النظام العام للعمل، والعمالة والدخل، واقتصاد التضامن، وعلاقات العمل، ومراقبة الامتثال لمعايير حماية العمال، وتوسيع وتحسين شبكة مكافحة التمييز في مكان العمل بما يتفق مع خطوط برنامج البرازيل ونوع الجنس والعنصر.</w:t>
      </w:r>
    </w:p>
    <w:p w:rsidR="00D51B78" w:rsidRDefault="00D51B78" w:rsidP="00D51B78">
      <w:pPr>
        <w:pStyle w:val="SingleTxt"/>
        <w:rPr>
          <w:rFonts w:hint="cs"/>
          <w:rtl/>
        </w:rPr>
      </w:pPr>
      <w:r>
        <w:rPr>
          <w:rFonts w:hint="cs"/>
          <w:rtl/>
        </w:rPr>
        <w:tab/>
        <w:t>ويدمج هذا البرنامج قضايا نوع الجنس والعنصر في أعماله ذات الأولوية، جنبا إلى جنب مع مكافحة الأنماط الأخرى للتمييز في مكان العمل، وتوضح ذلك المعالم المؤسسية التي تتكون من المؤتمرات الوطنية التي عقدتها الأمانة الخاصة لسياسات المرأة عام 2004، والأمانة الخاصة لسياسات تعزيز المساواة العنصرية عام 2005، والمؤتمر الوطني لحقوق الإنسان الذي عقدته الأمانة الخاصة لحقوق الإنسان عام 2004.</w:t>
      </w:r>
    </w:p>
    <w:p w:rsidR="00D51B78" w:rsidRDefault="00D51B78" w:rsidP="00D51B78">
      <w:pPr>
        <w:pStyle w:val="SingleTxt"/>
        <w:rPr>
          <w:rFonts w:hint="cs"/>
          <w:rtl/>
        </w:rPr>
      </w:pPr>
      <w:r>
        <w:rPr>
          <w:rFonts w:hint="cs"/>
          <w:rtl/>
        </w:rPr>
        <w:tab/>
        <w:t xml:space="preserve">والهدف هو الامتثال للمعايير الدستورية التي تصور الالتزامات التي قطعتها البرازيل في المجال الدولي، وبخاصة الاتفاقية رقم 100 لمنظمة العمل الدولية التي جرى التصديق عليها عام 1957، والاتفاقية رقم 111 لمنظمة العمل الدولية التي جرى التصديق عليها عام 1968، واتفاقية الأمم المتحدة للقضاء </w:t>
      </w:r>
      <w:r w:rsidR="000D0047">
        <w:rPr>
          <w:rFonts w:hint="cs"/>
          <w:rtl/>
        </w:rPr>
        <w:t>على جميع أشكال التمييز ضد المرأة</w:t>
      </w:r>
      <w:r>
        <w:rPr>
          <w:rFonts w:hint="cs"/>
          <w:rtl/>
        </w:rPr>
        <w:t xml:space="preserve"> التي جرى التصديق عليها عام 1984.</w:t>
      </w:r>
    </w:p>
    <w:p w:rsidR="00D51B78" w:rsidRDefault="00D51B78" w:rsidP="00D51B78">
      <w:pPr>
        <w:pStyle w:val="SingleTxt"/>
        <w:rPr>
          <w:rFonts w:hint="cs"/>
          <w:rtl/>
        </w:rPr>
      </w:pPr>
      <w:r>
        <w:rPr>
          <w:rFonts w:hint="cs"/>
          <w:rtl/>
        </w:rPr>
        <w:tab/>
        <w:t xml:space="preserve">وينفذ البرنامج في جميع الولايات الـ 27 للاتحاد فضلا عن مكاتب العمل الإقليمية الرئيسية والثانوية عن طريق مراكز تعزيز تكافؤ الفرص ومكافحة التمييز التي أُنشئت </w:t>
      </w:r>
      <w:r w:rsidR="000D0047">
        <w:rPr>
          <w:rFonts w:hint="cs"/>
          <w:rtl/>
        </w:rPr>
        <w:t>بالأمر الإداري رقم 604 لوزارة العمل والعمالة في 1 حزيران/يونيه 2000.</w:t>
      </w:r>
    </w:p>
    <w:p w:rsidR="000D0047" w:rsidRDefault="000D0047" w:rsidP="00D51B78">
      <w:pPr>
        <w:pStyle w:val="SingleTxt"/>
        <w:rPr>
          <w:rFonts w:hint="cs"/>
          <w:rtl/>
        </w:rPr>
      </w:pPr>
      <w:r>
        <w:rPr>
          <w:rFonts w:hint="cs"/>
          <w:rtl/>
        </w:rPr>
        <w:tab/>
        <w:t>ومن الجدير بالذكر أيضا اللجنة الثلاثية لتكافؤ الفرص والمساواة في المعاملة بالنسبة لنوع الجنس والعنصر في مكان العمل، وأُنشئت هذه اللجنة في وزارة العمل والعمالة بالمرسوم المؤرخ 20 آب/أغسطس 2004، وكانت أهدافها: مناقشة وتقديم مقترحات بسياسات عامة عن تكافؤ الفرص والمساواة في المعاملة، فضلا عن مكافحة جميع أشكال التمييز القائم على أساس نوع الجنس والعنصر في مكان العمل، وتعزيز إدماج مسائل نوع الجنس والمسائل العنصرية في البرامج التي تضطلع بها وزارة العمل والعمالة وفي تنفيذ تلك البرامج والرقابة عليها وتقييمها، وتشجيع ودعم المبادرات البرلمانية المعنية بهذه المسألة، ودعم وتشجيع المبادرات التي تعتمدها الهيئات والكيانات، بما فيها هيئات وكيانات المجتمع المدني، فضلا عن تعزيز نشر التشريع المعني.</w:t>
      </w:r>
    </w:p>
    <w:p w:rsidR="000D0047" w:rsidRPr="000D0047" w:rsidRDefault="000D0047" w:rsidP="000D0047">
      <w:pPr>
        <w:pStyle w:val="SingleTxt"/>
        <w:spacing w:after="0" w:line="120" w:lineRule="exact"/>
        <w:rPr>
          <w:rFonts w:hint="cs"/>
          <w:b/>
          <w:bCs/>
          <w:sz w:val="10"/>
          <w:rtl/>
        </w:rPr>
      </w:pPr>
    </w:p>
    <w:p w:rsidR="00C87B32" w:rsidRPr="000D0047" w:rsidRDefault="00C87B32" w:rsidP="000D0047">
      <w:pPr>
        <w:pStyle w:val="SingleTxt"/>
        <w:rPr>
          <w:b/>
          <w:bCs/>
          <w:rtl/>
        </w:rPr>
      </w:pPr>
      <w:r w:rsidRPr="000D0047">
        <w:rPr>
          <w:b/>
          <w:bCs/>
          <w:rtl/>
        </w:rPr>
        <w:t>1</w:t>
      </w:r>
      <w:r w:rsidR="000D0047" w:rsidRPr="000D0047">
        <w:rPr>
          <w:rFonts w:hint="cs"/>
          <w:b/>
          <w:bCs/>
          <w:rtl/>
        </w:rPr>
        <w:t>7</w:t>
      </w:r>
      <w:r w:rsidRPr="000D0047">
        <w:rPr>
          <w:rFonts w:hint="cs"/>
          <w:b/>
          <w:bCs/>
          <w:rtl/>
        </w:rPr>
        <w:t xml:space="preserve"> </w:t>
      </w:r>
      <w:r w:rsidRPr="000D0047">
        <w:rPr>
          <w:b/>
          <w:bCs/>
          <w:rtl/>
        </w:rPr>
        <w:t>-</w:t>
      </w:r>
      <w:r w:rsidRPr="000D0047">
        <w:rPr>
          <w:rFonts w:hint="cs"/>
          <w:b/>
          <w:bCs/>
          <w:rtl/>
        </w:rPr>
        <w:tab/>
      </w:r>
      <w:r w:rsidRPr="000D0047">
        <w:rPr>
          <w:b/>
          <w:bCs/>
          <w:rtl/>
        </w:rPr>
        <w:t>ويشير التقرير</w:t>
      </w:r>
      <w:r w:rsidR="000D0047" w:rsidRPr="000D0047">
        <w:rPr>
          <w:rFonts w:hint="cs"/>
          <w:b/>
          <w:bCs/>
          <w:rtl/>
        </w:rPr>
        <w:t xml:space="preserve"> (صفحة 23)</w:t>
      </w:r>
      <w:r w:rsidRPr="000D0047">
        <w:rPr>
          <w:b/>
          <w:bCs/>
          <w:rtl/>
        </w:rPr>
        <w:t xml:space="preserve"> إلى أن اللجنة المشتركة بين الوزارات</w:t>
      </w:r>
      <w:r w:rsidRPr="000D0047">
        <w:rPr>
          <w:rFonts w:hint="cs"/>
          <w:b/>
          <w:bCs/>
          <w:rtl/>
        </w:rPr>
        <w:t xml:space="preserve"> المعنية</w:t>
      </w:r>
      <w:r w:rsidRPr="000D0047">
        <w:rPr>
          <w:b/>
          <w:bCs/>
          <w:rtl/>
        </w:rPr>
        <w:t xml:space="preserve"> </w:t>
      </w:r>
      <w:r w:rsidRPr="000D0047">
        <w:rPr>
          <w:rFonts w:hint="cs"/>
          <w:b/>
          <w:bCs/>
          <w:rtl/>
        </w:rPr>
        <w:t>ب</w:t>
      </w:r>
      <w:r w:rsidRPr="000D0047">
        <w:rPr>
          <w:b/>
          <w:bCs/>
          <w:rtl/>
        </w:rPr>
        <w:t xml:space="preserve">سياسات العمل الإيجابي ’’صاغت مشروع </w:t>
      </w:r>
      <w:r w:rsidR="000D0047" w:rsidRPr="000D0047">
        <w:rPr>
          <w:rFonts w:hint="cs"/>
          <w:b/>
          <w:bCs/>
          <w:rtl/>
        </w:rPr>
        <w:t>القانون</w:t>
      </w:r>
      <w:r w:rsidRPr="000D0047">
        <w:rPr>
          <w:b/>
          <w:bCs/>
          <w:rtl/>
        </w:rPr>
        <w:t xml:space="preserve"> 3627/4 الذي ينظر فيه مجلس النواب في الوقت الحالي، والذي ينشئ النظام الخاص للشواغر في المؤسسات العامة الاتحادية للتعليم العالي وهو نظام موجه للطلبة الذين يتخرجون في المدارس الحكومية، وبخاصة السود والسكان الأصليون</w:t>
      </w:r>
      <w:r w:rsidRPr="000D0047">
        <w:rPr>
          <w:rFonts w:hint="cs"/>
          <w:b/>
          <w:bCs/>
          <w:rtl/>
        </w:rPr>
        <w:t xml:space="preserve">“. </w:t>
      </w:r>
      <w:r w:rsidRPr="000D0047">
        <w:rPr>
          <w:b/>
          <w:bCs/>
          <w:rtl/>
        </w:rPr>
        <w:t>يرجى تقديم معلومات مستكملة عن مشروع التشريع المذكور وعما إذا كان قد اعتمد بالفعل</w:t>
      </w:r>
      <w:r w:rsidRPr="000D0047">
        <w:rPr>
          <w:rFonts w:hint="cs"/>
          <w:b/>
          <w:bCs/>
          <w:rtl/>
        </w:rPr>
        <w:t>. و</w:t>
      </w:r>
      <w:r w:rsidRPr="000D0047">
        <w:rPr>
          <w:b/>
          <w:bCs/>
          <w:rtl/>
        </w:rPr>
        <w:t xml:space="preserve">هل روعي في التشريع تخصيص حصص </w:t>
      </w:r>
      <w:r w:rsidRPr="000D0047">
        <w:rPr>
          <w:rFonts w:hint="cs"/>
          <w:b/>
          <w:bCs/>
          <w:rtl/>
        </w:rPr>
        <w:t xml:space="preserve">محددة </w:t>
      </w:r>
      <w:r w:rsidRPr="000D0047">
        <w:rPr>
          <w:b/>
          <w:bCs/>
          <w:rtl/>
        </w:rPr>
        <w:t>للنساء، وما هو الأثر المتوقع لهذا التشريع؟</w:t>
      </w:r>
    </w:p>
    <w:p w:rsidR="000D0047" w:rsidRDefault="000D0047" w:rsidP="00C87B32">
      <w:pPr>
        <w:pStyle w:val="SingleTxt"/>
        <w:rPr>
          <w:rFonts w:hint="cs"/>
          <w:rtl/>
        </w:rPr>
      </w:pPr>
      <w:r>
        <w:rPr>
          <w:rFonts w:hint="cs"/>
          <w:rtl/>
        </w:rPr>
        <w:tab/>
        <w:t>جرى تطوير مشروع القانون 3627/4 على أساس المقترحات التي قدمها المجتمع المدني إلى أعضاء اللجنة المعنية بالتعليم والثقافة، وقُدم إلى الكونغرس الوطني في 20 أيار/مايو 2004، وهو الآن قيد قرار مجلس النواب بعد أن وافقت عليه بالإجماع اللجنة المعنية بالتعليم وحقوق الإنسان والأقليات ولجنة العدالة. وحثت المناقشة حول مشروع القانون المجتمع البرازيلي على التفكير في العنصرية والتمييز العنصري. وقد سارت الإجراءات ببطء نتيجة للمقاومة العنيفة.</w:t>
      </w:r>
    </w:p>
    <w:p w:rsidR="000D0047" w:rsidRDefault="000D0047" w:rsidP="004440A7">
      <w:pPr>
        <w:pStyle w:val="SingleTxt"/>
        <w:rPr>
          <w:rFonts w:hint="cs"/>
          <w:rtl/>
        </w:rPr>
      </w:pPr>
      <w:r>
        <w:rPr>
          <w:rFonts w:hint="cs"/>
          <w:rtl/>
        </w:rPr>
        <w:tab/>
        <w:t>ومشروع القانون هذا، الذي لا يتوخى تخصيص حصص للمرأة، ينص على أن يخصص للطلبة الذين يكملون تعليمهم في المدارس العامة 50 في المائة من الشواغر التي يجري شغلها عن طريق عقد اختبارات قبول عامة في مؤسسات التعليم العالي العامة. ويجري شغل حد أدنى من أنصبة هذه الشواغر بالطلبة الذين يعلنون عن أنفسهم أنهم من السود والسكان الأصليين، بما يتفق مع نسبة الأفراد من السود والمنحدرين من أصل أفريقي (</w:t>
      </w:r>
      <w:r w:rsidR="004440A7">
        <w:rPr>
          <w:rFonts w:hint="cs"/>
          <w:rtl/>
        </w:rPr>
        <w:t>ال</w:t>
      </w:r>
      <w:r>
        <w:rPr>
          <w:rFonts w:hint="cs"/>
          <w:rtl/>
        </w:rPr>
        <w:t>مولدين</w:t>
      </w:r>
      <w:r w:rsidR="00895DD0">
        <w:rPr>
          <w:rFonts w:hint="cs"/>
          <w:rtl/>
        </w:rPr>
        <w:t>)، والسكان الأصليين م</w:t>
      </w:r>
      <w:r w:rsidR="004440A7">
        <w:rPr>
          <w:rFonts w:hint="cs"/>
          <w:rtl/>
        </w:rPr>
        <w:t>م</w:t>
      </w:r>
      <w:r w:rsidR="00895DD0">
        <w:rPr>
          <w:rFonts w:hint="cs"/>
          <w:rtl/>
        </w:rPr>
        <w:t xml:space="preserve">ن </w:t>
      </w:r>
      <w:r w:rsidR="004440A7">
        <w:rPr>
          <w:rFonts w:hint="cs"/>
          <w:rtl/>
        </w:rPr>
        <w:t>يقيمون ب</w:t>
      </w:r>
      <w:r w:rsidR="00895DD0">
        <w:rPr>
          <w:rFonts w:hint="cs"/>
          <w:rtl/>
        </w:rPr>
        <w:t>الولاية التي يقع بها مقر المؤسسة المعنية. وتجدر الإشارة إلى أن النساء يشكلن بالفعل أغلبية من يلتحقون بالجامعة في البرازيل ويتخرجون منها.</w:t>
      </w:r>
    </w:p>
    <w:p w:rsidR="00895DD0" w:rsidRDefault="00895DD0" w:rsidP="004440A7">
      <w:pPr>
        <w:pStyle w:val="SingleTxt"/>
        <w:rPr>
          <w:rFonts w:hint="cs"/>
          <w:rtl/>
          <w:lang w:bidi="ar-EG"/>
        </w:rPr>
      </w:pPr>
      <w:r>
        <w:rPr>
          <w:rFonts w:hint="cs"/>
          <w:rtl/>
        </w:rPr>
        <w:tab/>
        <w:t xml:space="preserve">وبالتالي يكون الأثر المتوقع من هذا التشريع الإقلال من التفاوت في الوصول إلى التعليم العالي بسبب التفاوت في الدخول (من يذهبون إلى المدارس الثانوية الحكومية في البرازيل يأتون من الطبقات السكانية الفقيرة) والتمييز المبني على </w:t>
      </w:r>
      <w:r w:rsidR="00293515">
        <w:rPr>
          <w:rFonts w:hint="cs"/>
          <w:rtl/>
        </w:rPr>
        <w:t>أساس الأصل العر</w:t>
      </w:r>
      <w:r w:rsidR="004440A7">
        <w:rPr>
          <w:rFonts w:hint="cs"/>
          <w:rtl/>
        </w:rPr>
        <w:t>ق</w:t>
      </w:r>
      <w:r w:rsidR="00293515">
        <w:rPr>
          <w:rFonts w:hint="cs"/>
          <w:rtl/>
        </w:rPr>
        <w:t>ي والعنصر. وتوضح الأرقام التي جرى الحصول عليها من وزارة الاقتصاد أن السود (السود والمولدين) الذين يمثلون 46.9 في المائة من سكان البلد لا يشكلون إلا 24.1 في المائة من المقيدين في الكليات (</w:t>
      </w:r>
      <w:r w:rsidR="00293515">
        <w:t>“</w:t>
      </w:r>
      <w:r w:rsidR="00293515" w:rsidRPr="00E93652">
        <w:rPr>
          <w:i/>
          <w:iCs/>
        </w:rPr>
        <w:t>Cor e Ra</w:t>
      </w:r>
      <w:r w:rsidR="00293515" w:rsidRPr="00E93652">
        <w:rPr>
          <w:rFonts w:cs="Times New Roman"/>
          <w:i/>
          <w:iCs/>
        </w:rPr>
        <w:t>ç</w:t>
      </w:r>
      <w:r w:rsidR="00293515" w:rsidRPr="00E93652">
        <w:rPr>
          <w:i/>
          <w:iCs/>
        </w:rPr>
        <w:t>a da Educa</w:t>
      </w:r>
      <w:r w:rsidR="00293515" w:rsidRPr="00E93652">
        <w:rPr>
          <w:rFonts w:cs="Times New Roman"/>
          <w:i/>
          <w:iCs/>
        </w:rPr>
        <w:t>çã</w:t>
      </w:r>
      <w:r w:rsidR="00293515" w:rsidRPr="00E93652">
        <w:rPr>
          <w:i/>
          <w:iCs/>
        </w:rPr>
        <w:t>o Superior Brasile</w:t>
      </w:r>
      <w:r w:rsidR="00E93652" w:rsidRPr="00E93652">
        <w:rPr>
          <w:i/>
          <w:iCs/>
        </w:rPr>
        <w:t>i</w:t>
      </w:r>
      <w:r w:rsidR="00293515" w:rsidRPr="00E93652">
        <w:rPr>
          <w:i/>
          <w:iCs/>
        </w:rPr>
        <w:t>ra</w:t>
      </w:r>
      <w:r w:rsidR="00293515">
        <w:t>.”</w:t>
      </w:r>
      <w:r w:rsidR="00293515">
        <w:rPr>
          <w:rFonts w:hint="cs"/>
          <w:rtl/>
          <w:lang w:bidi="ar-EG"/>
        </w:rPr>
        <w:t xml:space="preserve"> البرازيل، المعهد الوطني للدراسات والبحوث التعليمية، 2005)</w:t>
      </w:r>
      <w:r w:rsidR="00E93652">
        <w:rPr>
          <w:rFonts w:hint="cs"/>
          <w:rtl/>
          <w:lang w:bidi="ar-EG"/>
        </w:rPr>
        <w:t>.</w:t>
      </w:r>
    </w:p>
    <w:p w:rsidR="00E93652" w:rsidRPr="00E93652" w:rsidRDefault="00E93652" w:rsidP="00E93652">
      <w:pPr>
        <w:pStyle w:val="SingleTxt"/>
        <w:spacing w:after="0" w:line="120" w:lineRule="exact"/>
        <w:rPr>
          <w:rFonts w:hint="cs"/>
          <w:sz w:val="10"/>
          <w:rtl/>
          <w:lang w:bidi="ar-EG"/>
        </w:rPr>
      </w:pPr>
    </w:p>
    <w:p w:rsidR="00C87B32" w:rsidRDefault="00C87B32" w:rsidP="001D60B1">
      <w:pPr>
        <w:pStyle w:val="SingleTxt"/>
        <w:rPr>
          <w:rFonts w:hint="cs"/>
          <w:b/>
          <w:bCs/>
          <w:rtl/>
        </w:rPr>
      </w:pPr>
      <w:r w:rsidRPr="00E93652">
        <w:rPr>
          <w:b/>
          <w:bCs/>
          <w:rtl/>
        </w:rPr>
        <w:t>1</w:t>
      </w:r>
      <w:r w:rsidR="00E93652" w:rsidRPr="00E93652">
        <w:rPr>
          <w:rFonts w:hint="cs"/>
          <w:b/>
          <w:bCs/>
          <w:rtl/>
        </w:rPr>
        <w:t>8</w:t>
      </w:r>
      <w:r w:rsidRPr="00E93652">
        <w:rPr>
          <w:rFonts w:hint="cs"/>
          <w:b/>
          <w:bCs/>
          <w:rtl/>
        </w:rPr>
        <w:t xml:space="preserve"> </w:t>
      </w:r>
      <w:r w:rsidRPr="00E93652">
        <w:rPr>
          <w:b/>
          <w:bCs/>
          <w:rtl/>
        </w:rPr>
        <w:t>-</w:t>
      </w:r>
      <w:r w:rsidRPr="00E93652">
        <w:rPr>
          <w:rFonts w:hint="cs"/>
          <w:b/>
          <w:bCs/>
          <w:rtl/>
        </w:rPr>
        <w:tab/>
      </w:r>
      <w:r w:rsidRPr="00E93652">
        <w:rPr>
          <w:b/>
          <w:bCs/>
          <w:rtl/>
        </w:rPr>
        <w:t>ورد في التقرير</w:t>
      </w:r>
      <w:r w:rsidR="00E93652" w:rsidRPr="00E93652">
        <w:rPr>
          <w:rFonts w:hint="cs"/>
          <w:b/>
          <w:bCs/>
          <w:rtl/>
        </w:rPr>
        <w:t xml:space="preserve"> (صفحة 54)</w:t>
      </w:r>
      <w:r w:rsidRPr="00E93652">
        <w:rPr>
          <w:b/>
          <w:bCs/>
          <w:rtl/>
        </w:rPr>
        <w:t xml:space="preserve"> أن </w:t>
      </w:r>
      <w:r w:rsidR="00E93652" w:rsidRPr="00E93652">
        <w:rPr>
          <w:rFonts w:hint="cs"/>
          <w:b/>
          <w:bCs/>
          <w:rtl/>
        </w:rPr>
        <w:t>”</w:t>
      </w:r>
      <w:r w:rsidRPr="00E93652">
        <w:rPr>
          <w:b/>
          <w:bCs/>
          <w:rtl/>
        </w:rPr>
        <w:t xml:space="preserve">النساء الكبيرات في السن </w:t>
      </w:r>
      <w:r w:rsidRPr="00E93652">
        <w:rPr>
          <w:rFonts w:hint="cs"/>
          <w:b/>
          <w:bCs/>
          <w:rtl/>
        </w:rPr>
        <w:t xml:space="preserve">والنساء </w:t>
      </w:r>
      <w:r w:rsidRPr="00E93652">
        <w:rPr>
          <w:b/>
          <w:bCs/>
          <w:rtl/>
        </w:rPr>
        <w:t>الفقيرات لا</w:t>
      </w:r>
      <w:r w:rsidR="001D60B1">
        <w:rPr>
          <w:rFonts w:hint="cs"/>
          <w:b/>
          <w:bCs/>
          <w:rtl/>
        </w:rPr>
        <w:t> </w:t>
      </w:r>
      <w:r w:rsidRPr="00E93652">
        <w:rPr>
          <w:b/>
          <w:bCs/>
          <w:rtl/>
        </w:rPr>
        <w:t xml:space="preserve">يزلن يستبعدن من التعليم بدرجة كبيرة، مما يستدعي </w:t>
      </w:r>
      <w:r w:rsidRPr="00E93652">
        <w:rPr>
          <w:rFonts w:hint="cs"/>
          <w:b/>
          <w:bCs/>
          <w:rtl/>
        </w:rPr>
        <w:t>وضع</w:t>
      </w:r>
      <w:r w:rsidRPr="00E93652">
        <w:rPr>
          <w:b/>
          <w:bCs/>
          <w:rtl/>
        </w:rPr>
        <w:t xml:space="preserve"> سياسات محددة.</w:t>
      </w:r>
      <w:r w:rsidRPr="00E93652">
        <w:rPr>
          <w:b/>
          <w:bCs/>
        </w:rPr>
        <w:t xml:space="preserve"> </w:t>
      </w:r>
      <w:r w:rsidRPr="00E93652">
        <w:rPr>
          <w:b/>
          <w:bCs/>
          <w:rtl/>
        </w:rPr>
        <w:t xml:space="preserve">وعلى سبيل المثال، يزداد معدل النساء الأميات زيادة مطردة بالنسبة للنساء اللواتي يتجاوزن </w:t>
      </w:r>
      <w:r w:rsidRPr="00E93652">
        <w:rPr>
          <w:rFonts w:hint="cs"/>
          <w:b/>
          <w:bCs/>
          <w:rtl/>
        </w:rPr>
        <w:t xml:space="preserve">سن الـ </w:t>
      </w:r>
      <w:r w:rsidRPr="00E93652">
        <w:rPr>
          <w:b/>
          <w:bCs/>
          <w:rtl/>
        </w:rPr>
        <w:t>40 سنة</w:t>
      </w:r>
      <w:r w:rsidR="00E93652" w:rsidRPr="00E93652">
        <w:rPr>
          <w:rFonts w:hint="cs"/>
          <w:b/>
          <w:bCs/>
          <w:rtl/>
        </w:rPr>
        <w:t>“</w:t>
      </w:r>
      <w:r w:rsidRPr="00E93652">
        <w:rPr>
          <w:b/>
          <w:bCs/>
          <w:rtl/>
        </w:rPr>
        <w:t>.</w:t>
      </w:r>
      <w:r w:rsidRPr="00E93652">
        <w:rPr>
          <w:b/>
          <w:bCs/>
        </w:rPr>
        <w:t xml:space="preserve"> </w:t>
      </w:r>
      <w:r w:rsidRPr="00E93652">
        <w:rPr>
          <w:b/>
          <w:bCs/>
          <w:rtl/>
        </w:rPr>
        <w:t>وورد في التقرير أيضا</w:t>
      </w:r>
      <w:r w:rsidR="00E93652" w:rsidRPr="00E93652">
        <w:rPr>
          <w:rFonts w:hint="cs"/>
          <w:b/>
          <w:bCs/>
          <w:rtl/>
        </w:rPr>
        <w:t xml:space="preserve"> (صفحة 55)</w:t>
      </w:r>
      <w:r w:rsidRPr="00E93652">
        <w:rPr>
          <w:b/>
          <w:bCs/>
          <w:rtl/>
        </w:rPr>
        <w:t xml:space="preserve"> أن </w:t>
      </w:r>
      <w:r w:rsidR="00E93652" w:rsidRPr="00E93652">
        <w:rPr>
          <w:rFonts w:hint="cs"/>
          <w:b/>
          <w:bCs/>
          <w:rtl/>
        </w:rPr>
        <w:t>”</w:t>
      </w:r>
      <w:r w:rsidRPr="00E93652">
        <w:rPr>
          <w:b/>
          <w:bCs/>
          <w:rtl/>
        </w:rPr>
        <w:t xml:space="preserve">السود والنساء (والرجال) من السكان الأصليين ممثلون تمثيلا </w:t>
      </w:r>
      <w:r w:rsidRPr="00E93652">
        <w:rPr>
          <w:rFonts w:hint="cs"/>
          <w:b/>
          <w:bCs/>
          <w:rtl/>
        </w:rPr>
        <w:t>ناق</w:t>
      </w:r>
      <w:r w:rsidRPr="00E93652">
        <w:rPr>
          <w:b/>
          <w:bCs/>
          <w:rtl/>
        </w:rPr>
        <w:t>صا في النظام التعليمي البرازيلي</w:t>
      </w:r>
      <w:r w:rsidR="00E93652" w:rsidRPr="00E93652">
        <w:rPr>
          <w:rFonts w:hint="cs"/>
          <w:b/>
          <w:bCs/>
          <w:rtl/>
        </w:rPr>
        <w:t>“</w:t>
      </w:r>
      <w:r w:rsidRPr="00E93652">
        <w:rPr>
          <w:b/>
          <w:bCs/>
          <w:rtl/>
        </w:rPr>
        <w:t>.</w:t>
      </w:r>
      <w:r w:rsidRPr="00E93652">
        <w:rPr>
          <w:b/>
          <w:bCs/>
        </w:rPr>
        <w:t xml:space="preserve"> </w:t>
      </w:r>
      <w:r w:rsidRPr="00E93652">
        <w:rPr>
          <w:b/>
          <w:bCs/>
          <w:rtl/>
        </w:rPr>
        <w:t>يرجى بيان ما إذا كانت الحكومة قد اعتمدت سياسات محددة لزيادة تعليم القراءة والكتابة وتحسين تعليم النساء الكبيرات في السن والنساء الفقيرات، بما في ذلك في أوساط السود والسكان الأصليين.</w:t>
      </w:r>
      <w:r w:rsidRPr="00E93652">
        <w:rPr>
          <w:b/>
          <w:bCs/>
        </w:rPr>
        <w:t xml:space="preserve"> </w:t>
      </w:r>
      <w:r w:rsidRPr="00E93652">
        <w:rPr>
          <w:b/>
          <w:bCs/>
          <w:rtl/>
        </w:rPr>
        <w:t>ويرجى أيضا توضيح النتائج التي تحققت من تنفيذ تلك السياسات.</w:t>
      </w:r>
    </w:p>
    <w:p w:rsidR="00BE54A7" w:rsidRDefault="00BE54A7" w:rsidP="00BE54A7">
      <w:pPr>
        <w:pStyle w:val="SingleTxt"/>
        <w:rPr>
          <w:rFonts w:hint="cs"/>
          <w:rtl/>
        </w:rPr>
      </w:pPr>
      <w:r>
        <w:rPr>
          <w:rFonts w:hint="cs"/>
          <w:rtl/>
        </w:rPr>
        <w:tab/>
        <w:t xml:space="preserve">لم تعتمد وزارة التعليم من خلال برنامج </w:t>
      </w:r>
      <w:r>
        <w:rPr>
          <w:rFonts w:hint="cs"/>
          <w:i/>
          <w:iCs/>
          <w:rtl/>
        </w:rPr>
        <w:t>محو الأمية في البرازيل</w:t>
      </w:r>
      <w:r>
        <w:rPr>
          <w:rFonts w:hint="cs"/>
          <w:rtl/>
        </w:rPr>
        <w:t xml:space="preserve"> أية إجراءات محددة لزيادة</w:t>
      </w:r>
      <w:r w:rsidR="00136E8E">
        <w:rPr>
          <w:rFonts w:hint="cs"/>
          <w:rtl/>
        </w:rPr>
        <w:t xml:space="preserve"> تعليم</w:t>
      </w:r>
      <w:r>
        <w:rPr>
          <w:rFonts w:hint="cs"/>
          <w:rtl/>
        </w:rPr>
        <w:t xml:space="preserve"> القراءة والكتابة</w:t>
      </w:r>
      <w:r w:rsidR="00136E8E">
        <w:rPr>
          <w:rFonts w:hint="cs"/>
          <w:rtl/>
        </w:rPr>
        <w:t>،</w:t>
      </w:r>
      <w:r>
        <w:rPr>
          <w:rFonts w:hint="cs"/>
          <w:rtl/>
        </w:rPr>
        <w:t xml:space="preserve"> وتحسين تعليم النساء الكبيرات في السن والنساء الفقيرات، رغم أن الإناث يشكلن عددا كبيرا من الملتحقات بهذا البرنامج.</w:t>
      </w:r>
    </w:p>
    <w:p w:rsidR="00BE54A7" w:rsidRDefault="00BE54A7" w:rsidP="00136E8E">
      <w:pPr>
        <w:pStyle w:val="SingleTxt"/>
        <w:rPr>
          <w:rFonts w:hint="cs"/>
          <w:rtl/>
        </w:rPr>
      </w:pPr>
      <w:r>
        <w:rPr>
          <w:rFonts w:hint="cs"/>
          <w:rtl/>
        </w:rPr>
        <w:tab/>
        <w:t>والنساء من السود والسكان الأصليين، بغض النظر عن فئتهم العمرية، تجري مساعدتهن على نحو غير مباشر عن طريق سياسات تحسين التعليم التي تستهدف المجموعات/الأقاليم التالية: السكان الأصليون/توسيع نطاق الوصول إلى التعليم في أراضي</w:t>
      </w:r>
      <w:r w:rsidR="00136E8E">
        <w:rPr>
          <w:rFonts w:hint="cs"/>
          <w:rtl/>
        </w:rPr>
        <w:t xml:space="preserve"> السكان</w:t>
      </w:r>
      <w:r>
        <w:rPr>
          <w:rFonts w:hint="cs"/>
          <w:rtl/>
        </w:rPr>
        <w:t xml:space="preserve"> الأصلي</w:t>
      </w:r>
      <w:r w:rsidR="00136E8E">
        <w:rPr>
          <w:rFonts w:hint="cs"/>
          <w:rtl/>
        </w:rPr>
        <w:t>ين</w:t>
      </w:r>
      <w:r>
        <w:rPr>
          <w:rFonts w:hint="cs"/>
          <w:rtl/>
        </w:rPr>
        <w:t xml:space="preserve">؛ سكان </w:t>
      </w:r>
      <w:r w:rsidRPr="00BE54A7">
        <w:rPr>
          <w:rFonts w:hint="cs"/>
          <w:i/>
          <w:iCs/>
          <w:rtl/>
        </w:rPr>
        <w:t>كويلومبولا</w:t>
      </w:r>
      <w:r>
        <w:rPr>
          <w:rFonts w:hint="cs"/>
          <w:rtl/>
        </w:rPr>
        <w:t xml:space="preserve"> وتوسيع نطاق الوصول إلى التعليم في ب</w:t>
      </w:r>
      <w:r w:rsidR="00136E8E">
        <w:rPr>
          <w:rFonts w:hint="cs"/>
          <w:rtl/>
        </w:rPr>
        <w:t>ق</w:t>
      </w:r>
      <w:r>
        <w:rPr>
          <w:rFonts w:hint="cs"/>
          <w:rtl/>
        </w:rPr>
        <w:t xml:space="preserve">ية أراضي </w:t>
      </w:r>
      <w:r w:rsidRPr="00BE54A7">
        <w:rPr>
          <w:rFonts w:hint="cs"/>
          <w:i/>
          <w:iCs/>
          <w:rtl/>
        </w:rPr>
        <w:t>كويلومبو</w:t>
      </w:r>
      <w:r>
        <w:rPr>
          <w:rFonts w:hint="cs"/>
          <w:rtl/>
        </w:rPr>
        <w:t xml:space="preserve"> التي يقطنها</w:t>
      </w:r>
      <w:r w:rsidR="00136E8E">
        <w:rPr>
          <w:rFonts w:hint="cs"/>
          <w:rtl/>
        </w:rPr>
        <w:t xml:space="preserve"> بصفة أساسية</w:t>
      </w:r>
      <w:r>
        <w:rPr>
          <w:rFonts w:hint="cs"/>
          <w:rtl/>
        </w:rPr>
        <w:t xml:space="preserve"> سلالة العبيد.</w:t>
      </w:r>
    </w:p>
    <w:p w:rsidR="00BE54A7" w:rsidRPr="00BE54A7" w:rsidRDefault="00BE54A7" w:rsidP="00BE54A7">
      <w:pPr>
        <w:pStyle w:val="SingleTxt"/>
        <w:spacing w:after="0" w:line="120" w:lineRule="exact"/>
        <w:rPr>
          <w:rFonts w:hint="cs"/>
          <w:sz w:val="10"/>
          <w:rtl/>
        </w:rPr>
      </w:pPr>
    </w:p>
    <w:p w:rsidR="00C87B32" w:rsidRPr="005E297F" w:rsidRDefault="00C87B32" w:rsidP="00C87B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E297F">
        <w:tab/>
      </w:r>
      <w:r w:rsidRPr="005E297F">
        <w:tab/>
      </w:r>
      <w:r w:rsidRPr="005E297F">
        <w:rPr>
          <w:rtl/>
        </w:rPr>
        <w:t>العمالة</w:t>
      </w:r>
    </w:p>
    <w:p w:rsidR="00C87B32" w:rsidRPr="00BE54A7" w:rsidRDefault="00BE54A7" w:rsidP="00C87B32">
      <w:pPr>
        <w:pStyle w:val="SingleTxt"/>
        <w:rPr>
          <w:rFonts w:hint="cs"/>
          <w:b/>
          <w:bCs/>
          <w:rtl/>
        </w:rPr>
      </w:pPr>
      <w:r w:rsidRPr="00BE54A7">
        <w:rPr>
          <w:rFonts w:hint="cs"/>
          <w:b/>
          <w:bCs/>
          <w:rtl/>
        </w:rPr>
        <w:t>19</w:t>
      </w:r>
      <w:r w:rsidR="00C87B32" w:rsidRPr="00BE54A7">
        <w:rPr>
          <w:rFonts w:hint="cs"/>
          <w:b/>
          <w:bCs/>
          <w:rtl/>
        </w:rPr>
        <w:t xml:space="preserve"> </w:t>
      </w:r>
      <w:r w:rsidR="00C87B32" w:rsidRPr="00BE54A7">
        <w:rPr>
          <w:b/>
          <w:bCs/>
          <w:rtl/>
        </w:rPr>
        <w:t>-</w:t>
      </w:r>
      <w:r w:rsidR="00C87B32" w:rsidRPr="00BE54A7">
        <w:rPr>
          <w:rFonts w:hint="cs"/>
          <w:b/>
          <w:bCs/>
          <w:rtl/>
        </w:rPr>
        <w:tab/>
      </w:r>
      <w:r w:rsidR="00C87B32" w:rsidRPr="00BE54A7">
        <w:rPr>
          <w:b/>
          <w:bCs/>
          <w:rtl/>
        </w:rPr>
        <w:t>ما هو عدد النساء اللواتي استفدن من برنامج تشجيع الاستقلال الذاتي الاقتصادي للمرأة في عالم العمل وبرنامج مكافحة الفقر الوارد ذكرهما في التقرير</w:t>
      </w:r>
      <w:r w:rsidRPr="00BE54A7">
        <w:rPr>
          <w:rFonts w:hint="cs"/>
          <w:b/>
          <w:bCs/>
          <w:rtl/>
        </w:rPr>
        <w:t xml:space="preserve"> (صفحة 61)</w:t>
      </w:r>
      <w:r w:rsidRPr="00BE54A7">
        <w:rPr>
          <w:b/>
          <w:bCs/>
          <w:rtl/>
        </w:rPr>
        <w:t>، وما</w:t>
      </w:r>
      <w:r w:rsidRPr="00BE54A7">
        <w:rPr>
          <w:rFonts w:hint="eastAsia"/>
          <w:b/>
          <w:bCs/>
          <w:rtl/>
        </w:rPr>
        <w:t> </w:t>
      </w:r>
      <w:r w:rsidR="00C87B32" w:rsidRPr="00BE54A7">
        <w:rPr>
          <w:b/>
          <w:bCs/>
          <w:rtl/>
        </w:rPr>
        <w:t>هي النتائج التي تحققت من البرنامجين من حيث الحد من الفقر في أوساط النساء؟</w:t>
      </w:r>
    </w:p>
    <w:p w:rsidR="00BE54A7" w:rsidRDefault="00BE54A7" w:rsidP="00C87B32">
      <w:pPr>
        <w:pStyle w:val="SingleTxt"/>
        <w:rPr>
          <w:rFonts w:hint="cs"/>
          <w:rtl/>
        </w:rPr>
      </w:pPr>
      <w:r>
        <w:rPr>
          <w:rFonts w:hint="cs"/>
          <w:rtl/>
        </w:rPr>
        <w:tab/>
        <w:t xml:space="preserve">هدف برنامج تشجيع الاستقلال الذاتي الاقتصادي للمرأة في عالم العمل </w:t>
      </w:r>
      <w:r w:rsidR="00136E8E">
        <w:rPr>
          <w:rFonts w:hint="cs"/>
          <w:rtl/>
        </w:rPr>
        <w:t xml:space="preserve">هو </w:t>
      </w:r>
      <w:r>
        <w:rPr>
          <w:rFonts w:hint="cs"/>
          <w:rtl/>
        </w:rPr>
        <w:t xml:space="preserve">دعم مبادرات تمكين المرأة وبناء القدرات بغية تعزيز تكافؤ الفرص في عالم العمل، فضلا عن تشجيع تنفيذ المشاريع التي تستهدف الاستقلال الذاتي الاقتصادي للمرأة، بحيث يجري إنشاء نقط مرجعية لإجراءات الحكومة في </w:t>
      </w:r>
      <w:r w:rsidR="00E700A3">
        <w:rPr>
          <w:rFonts w:hint="cs"/>
          <w:rtl/>
        </w:rPr>
        <w:t>مجالات العمالة والعمل والدخل، مثل الحضانات والتعاونيات والرابطات.</w:t>
      </w:r>
    </w:p>
    <w:p w:rsidR="00E700A3" w:rsidRDefault="00E700A3" w:rsidP="00E700A3">
      <w:pPr>
        <w:pStyle w:val="SingleTxt"/>
        <w:rPr>
          <w:rFonts w:hint="cs"/>
          <w:rtl/>
        </w:rPr>
      </w:pPr>
      <w:r>
        <w:rPr>
          <w:rFonts w:hint="cs"/>
          <w:rtl/>
        </w:rPr>
        <w:tab/>
        <w:t>وفي عام 2004 جرى تدعيم 23 مشروعا، مما سمح بتدريب 600 6 امرأة في جميع أنحاء البلد. وفي عام 2005 جرى تدعيم 23 مشروعا آخر وتلقى ما يزيد عن 2000 امرأة تدريبا في ثماني ولايات. وفي عام 2006 دعمت الأمانة الخاصة لسياسات المرأة 39 مشروعا انتفعت بها 170 2 امرأة في 14 ولاية انتفاعا مباشرا. وعلى مدى الثلاث سنوات الماضية، انتفعت 170 10 امرأة انتفاعا مباشرا ببرنامج تعزيز تمكين المرأة في سوق العمل.</w:t>
      </w:r>
    </w:p>
    <w:p w:rsidR="00E700A3" w:rsidRDefault="00E700A3" w:rsidP="00136E8E">
      <w:pPr>
        <w:pStyle w:val="SingleTxt"/>
        <w:rPr>
          <w:rFonts w:hint="cs"/>
          <w:rtl/>
        </w:rPr>
      </w:pPr>
      <w:r>
        <w:rPr>
          <w:rFonts w:hint="cs"/>
          <w:rtl/>
        </w:rPr>
        <w:tab/>
        <w:t xml:space="preserve">وفيما يتعلق ببرنامج منحة الأسرة، </w:t>
      </w:r>
      <w:r w:rsidR="00136E8E">
        <w:rPr>
          <w:rFonts w:hint="cs"/>
          <w:rtl/>
        </w:rPr>
        <w:t>ت</w:t>
      </w:r>
      <w:r>
        <w:rPr>
          <w:rFonts w:hint="cs"/>
          <w:rtl/>
        </w:rPr>
        <w:t>بين الإحصائيات الواردة من السجل الموحد للأمانة الوطنية للدخل وال</w:t>
      </w:r>
      <w:r w:rsidR="00136E8E">
        <w:rPr>
          <w:rFonts w:hint="cs"/>
          <w:rtl/>
        </w:rPr>
        <w:t xml:space="preserve">مواطنة </w:t>
      </w:r>
      <w:r>
        <w:rPr>
          <w:rFonts w:hint="cs"/>
          <w:rtl/>
        </w:rPr>
        <w:t xml:space="preserve">بوزارة التنمية الاجتماعية ومكافحة الجوع أن 11.1 مليون أسرة تعيش في جميع بلديات القطر تنتفع من هذا البرنامج. ومما يسترعي الانتباه أن 95 في المائة من الاستحقاقات تدفع للنساء. والمرفق 4 </w:t>
      </w:r>
      <w:r w:rsidR="00136E8E">
        <w:rPr>
          <w:rFonts w:hint="cs"/>
          <w:rtl/>
        </w:rPr>
        <w:t xml:space="preserve">يتضمن </w:t>
      </w:r>
      <w:r>
        <w:rPr>
          <w:rFonts w:hint="cs"/>
          <w:rtl/>
        </w:rPr>
        <w:t>معلومات عامة عن البرنامج.</w:t>
      </w:r>
    </w:p>
    <w:p w:rsidR="00E700A3" w:rsidRDefault="00E700A3" w:rsidP="004D7433">
      <w:pPr>
        <w:pStyle w:val="SingleTxt"/>
        <w:rPr>
          <w:rFonts w:hint="cs"/>
          <w:rtl/>
          <w:lang w:bidi="ar-EG"/>
        </w:rPr>
      </w:pPr>
      <w:r>
        <w:rPr>
          <w:rFonts w:hint="cs"/>
          <w:rtl/>
        </w:rPr>
        <w:tab/>
        <w:t xml:space="preserve">ويبدأ العمل في تقييم أثر البرنامج على حياة المرأة. ويجري ذلك من خلال دراسة استقصائية عن برنامج منحة الأسرة </w:t>
      </w:r>
      <w:r>
        <w:t>[Bolsa Fam</w:t>
      </w:r>
      <w:r>
        <w:rPr>
          <w:rFonts w:cs="Times New Roman"/>
        </w:rPr>
        <w:t>í</w:t>
      </w:r>
      <w:r>
        <w:t>lia]</w:t>
      </w:r>
      <w:r>
        <w:rPr>
          <w:rFonts w:hint="cs"/>
          <w:rtl/>
          <w:lang w:bidi="ar-EG"/>
        </w:rPr>
        <w:t xml:space="preserve"> بعنوان </w:t>
      </w:r>
      <w:r>
        <w:rPr>
          <w:rFonts w:hint="eastAsia"/>
          <w:rtl/>
          <w:lang w:bidi="ar-EG"/>
        </w:rPr>
        <w:t>”مكافحة التفاوتات بين الجنسين</w:t>
      </w:r>
      <w:r>
        <w:rPr>
          <w:rFonts w:hint="cs"/>
          <w:rtl/>
          <w:lang w:bidi="ar-EG"/>
        </w:rPr>
        <w:t xml:space="preserve">“، واضطلعت بإجرائها المنظمة غير الحكومية </w:t>
      </w:r>
      <w:r>
        <w:rPr>
          <w:lang w:bidi="ar-EG"/>
        </w:rPr>
        <w:t>A</w:t>
      </w:r>
      <w:r>
        <w:rPr>
          <w:rFonts w:cs="Times New Roman"/>
          <w:lang w:bidi="ar-EG"/>
        </w:rPr>
        <w:t>çõ</w:t>
      </w:r>
      <w:r w:rsidR="004D7433">
        <w:rPr>
          <w:rFonts w:cs="Times New Roman"/>
          <w:lang w:bidi="ar-EG"/>
        </w:rPr>
        <w:t>es em G</w:t>
      </w:r>
      <w:r>
        <w:rPr>
          <w:rFonts w:cs="Times New Roman"/>
          <w:lang w:bidi="ar-EG"/>
        </w:rPr>
        <w:t>ê</w:t>
      </w:r>
      <w:r w:rsidR="004D7433">
        <w:rPr>
          <w:rFonts w:cs="Times New Roman"/>
          <w:lang w:bidi="ar-EG"/>
        </w:rPr>
        <w:t>nero e Cidadania</w:t>
      </w:r>
      <w:r w:rsidR="004D7433">
        <w:rPr>
          <w:rFonts w:hint="cs"/>
          <w:rtl/>
          <w:lang w:bidi="ar-EG"/>
        </w:rPr>
        <w:t xml:space="preserve"> وقدمتها إلى وزارة التنمية الاجتماعية والإدارة البريطانية للتنمية الدولية. وجمعت هذه الدراسة الاستقصائية معلومات ميدانية في 10 بلديات بين آذار/مارس وحزيران/يونيه 2006.</w:t>
      </w:r>
    </w:p>
    <w:p w:rsidR="004D7433" w:rsidRDefault="004D7433" w:rsidP="00136E8E">
      <w:pPr>
        <w:pStyle w:val="SingleTxt"/>
        <w:tabs>
          <w:tab w:val="right" w:pos="7378"/>
        </w:tabs>
        <w:rPr>
          <w:rFonts w:hint="cs"/>
          <w:rtl/>
          <w:lang w:bidi="ar-EG"/>
        </w:rPr>
      </w:pPr>
      <w:r>
        <w:rPr>
          <w:rFonts w:hint="cs"/>
          <w:rtl/>
          <w:lang w:bidi="ar-EG"/>
        </w:rPr>
        <w:tab/>
        <w:t xml:space="preserve">وأحد نتائج الدراسة الاستقصائية تعزيز سلطة المنتفعين ووضعهم العام في المنـزل، حيث أن الدخل الذي يتلقونه يجعلهم في حالة أفضل من أفراد الأسرة الآخرين ممن تكون وظائفهم وأجورهم غير مؤكدة. وتجدر الإشارة إلى الفقرة 14 من القانون 863 10، الذي أنشأ برنامج منحة الأسرة </w:t>
      </w:r>
      <w:r>
        <w:rPr>
          <w:lang w:bidi="ar-EG"/>
        </w:rPr>
        <w:t xml:space="preserve">[Bolsa </w:t>
      </w:r>
      <w:r>
        <w:t>Fam</w:t>
      </w:r>
      <w:r>
        <w:rPr>
          <w:rFonts w:cs="Times New Roman"/>
        </w:rPr>
        <w:t>í</w:t>
      </w:r>
      <w:r>
        <w:t>lia]</w:t>
      </w:r>
      <w:r>
        <w:rPr>
          <w:rFonts w:hint="cs"/>
          <w:rtl/>
          <w:lang w:bidi="ar-EG"/>
        </w:rPr>
        <w:t xml:space="preserve">، </w:t>
      </w:r>
      <w:r w:rsidR="00136E8E">
        <w:rPr>
          <w:rFonts w:hint="cs"/>
          <w:rtl/>
          <w:lang w:bidi="ar-EG"/>
        </w:rPr>
        <w:t>التي تنص على أنه طبقا للتعليمات</w:t>
      </w:r>
      <w:r>
        <w:rPr>
          <w:rFonts w:hint="cs"/>
          <w:rtl/>
          <w:lang w:bidi="ar-EG"/>
        </w:rPr>
        <w:t xml:space="preserve"> يكون من الأفضل أن تدفع المستحقات للنساء.</w:t>
      </w:r>
    </w:p>
    <w:p w:rsidR="004D7433" w:rsidRDefault="004D7433" w:rsidP="00136E8E">
      <w:pPr>
        <w:pStyle w:val="SingleTxt"/>
        <w:rPr>
          <w:rFonts w:hint="cs"/>
          <w:rtl/>
          <w:lang w:bidi="ar-EG"/>
        </w:rPr>
      </w:pPr>
      <w:r>
        <w:rPr>
          <w:rFonts w:hint="cs"/>
          <w:rtl/>
          <w:lang w:bidi="ar-EG"/>
        </w:rPr>
        <w:tab/>
        <w:t xml:space="preserve">وتحدد الدراسة الاستقصائية أيضا ثلاثة أنواع واضحة من الآثار التي يتركها البرنامج على حياة النساء المنتفعات. الأثر الأول هو </w:t>
      </w:r>
      <w:r w:rsidR="00136E8E">
        <w:rPr>
          <w:rFonts w:hint="cs"/>
          <w:rtl/>
          <w:lang w:bidi="ar-EG"/>
        </w:rPr>
        <w:t>ظهور</w:t>
      </w:r>
      <w:r>
        <w:rPr>
          <w:rFonts w:hint="cs"/>
          <w:rtl/>
          <w:lang w:bidi="ar-EG"/>
        </w:rPr>
        <w:t>هن كمستهلكات</w:t>
      </w:r>
      <w:r w:rsidR="00136E8E">
        <w:rPr>
          <w:rFonts w:hint="cs"/>
          <w:rtl/>
          <w:lang w:bidi="ar-EG"/>
        </w:rPr>
        <w:t>.</w:t>
      </w:r>
      <w:r>
        <w:rPr>
          <w:rFonts w:hint="cs"/>
          <w:rtl/>
          <w:lang w:bidi="ar-EG"/>
        </w:rPr>
        <w:t xml:space="preserve"> وحيازتهن لبطاقة وتلقيهن دخل شهري ثابت أمران يلاحظهما المسؤولون الحكوميون والمنتفعون بوصفهما كسبا رئيسيا، حيث أن ذلك يزيد من القدرات الشرائية لهؤلاء النسوة.</w:t>
      </w:r>
    </w:p>
    <w:p w:rsidR="004D7433" w:rsidRDefault="004D7433" w:rsidP="004D7433">
      <w:pPr>
        <w:pStyle w:val="SingleTxt"/>
        <w:rPr>
          <w:rFonts w:hint="cs"/>
          <w:rtl/>
          <w:lang w:bidi="ar-EG"/>
        </w:rPr>
      </w:pPr>
      <w:r>
        <w:rPr>
          <w:rFonts w:hint="cs"/>
          <w:rtl/>
          <w:lang w:bidi="ar-EG"/>
        </w:rPr>
        <w:tab/>
        <w:t>والأثر الثاني المحدد في الميدان هو تأكيد سلطة هؤلاء النسوة في النطاق العائلي. وتوجد دلالات قوية على أن القوة الشرائية التي تهبها منحة الأسرة تسفر عن تغيرات في الهيكل الهرمي للأسرة، كما يتضح في تمكن المرأة من الاختيار ومن التفاوض حول سلطتها في المنـزل بصفة خاصة.</w:t>
      </w:r>
    </w:p>
    <w:p w:rsidR="004D7433" w:rsidRDefault="004D7433" w:rsidP="003E64C9">
      <w:pPr>
        <w:pStyle w:val="SingleTxt"/>
        <w:rPr>
          <w:rFonts w:hint="cs"/>
          <w:rtl/>
          <w:lang w:bidi="ar-EG"/>
        </w:rPr>
      </w:pPr>
      <w:r>
        <w:rPr>
          <w:rFonts w:hint="cs"/>
          <w:rtl/>
          <w:lang w:bidi="ar-EG"/>
        </w:rPr>
        <w:tab/>
        <w:t>ويتعلق الأثر الثالث بإدرا</w:t>
      </w:r>
      <w:r w:rsidR="003E64C9">
        <w:rPr>
          <w:rFonts w:hint="cs"/>
          <w:rtl/>
          <w:lang w:bidi="ar-EG"/>
        </w:rPr>
        <w:t>ك</w:t>
      </w:r>
      <w:r>
        <w:rPr>
          <w:rFonts w:hint="cs"/>
          <w:rtl/>
          <w:lang w:bidi="ar-EG"/>
        </w:rPr>
        <w:t xml:space="preserve"> المرأة أنها تشكل جزءا من مجموع المواطنين البرازيليين. وحيث أن المرأة تُلزم باستخراج بعض الوثائق، مثل شهادة الميلاد وبطاقة الهوية الشخصية لكي يمكنها التسجيل والتقدم بطلب الحصول على منحة الأسرة، فإن كثيرا من النساء، وبخاصة في المناطق الريفية، يتحققن من أنهن ينتمين بشكل ما إلى نسيج اجتماعي أوسع نطاقا يتعدى ح</w:t>
      </w:r>
      <w:r w:rsidR="00F016DB">
        <w:rPr>
          <w:rFonts w:hint="cs"/>
          <w:rtl/>
          <w:lang w:bidi="ar-EG"/>
        </w:rPr>
        <w:t>يهن أو مقاطعتهن.</w:t>
      </w:r>
    </w:p>
    <w:p w:rsidR="00F016DB" w:rsidRPr="00F016DB" w:rsidRDefault="00F016DB" w:rsidP="00F016DB">
      <w:pPr>
        <w:pStyle w:val="SingleTxt"/>
        <w:spacing w:after="0" w:line="120" w:lineRule="exact"/>
        <w:rPr>
          <w:rFonts w:hint="cs"/>
          <w:sz w:val="10"/>
          <w:rtl/>
          <w:lang w:bidi="ar-EG"/>
        </w:rPr>
      </w:pPr>
    </w:p>
    <w:p w:rsidR="00C87B32" w:rsidRDefault="00C87B32" w:rsidP="00F016DB">
      <w:pPr>
        <w:pStyle w:val="SingleTxt"/>
        <w:rPr>
          <w:rFonts w:hint="cs"/>
          <w:b/>
          <w:bCs/>
          <w:rtl/>
        </w:rPr>
      </w:pPr>
      <w:r w:rsidRPr="00F016DB">
        <w:rPr>
          <w:b/>
          <w:bCs/>
          <w:rtl/>
        </w:rPr>
        <w:t>2</w:t>
      </w:r>
      <w:r w:rsidR="00F016DB" w:rsidRPr="00F016DB">
        <w:rPr>
          <w:rFonts w:hint="cs"/>
          <w:b/>
          <w:bCs/>
          <w:rtl/>
        </w:rPr>
        <w:t>0</w:t>
      </w:r>
      <w:r w:rsidRPr="00F016DB">
        <w:rPr>
          <w:rFonts w:hint="cs"/>
          <w:b/>
          <w:bCs/>
          <w:rtl/>
        </w:rPr>
        <w:t xml:space="preserve"> </w:t>
      </w:r>
      <w:r w:rsidRPr="00F016DB">
        <w:rPr>
          <w:b/>
          <w:bCs/>
          <w:rtl/>
        </w:rPr>
        <w:t>-</w:t>
      </w:r>
      <w:r w:rsidRPr="00F016DB">
        <w:rPr>
          <w:rFonts w:hint="cs"/>
          <w:b/>
          <w:bCs/>
          <w:rtl/>
        </w:rPr>
        <w:tab/>
      </w:r>
      <w:r w:rsidRPr="00F016DB">
        <w:rPr>
          <w:b/>
          <w:bCs/>
          <w:rtl/>
        </w:rPr>
        <w:t>ذكر في التقرير</w:t>
      </w:r>
      <w:r w:rsidR="00F016DB" w:rsidRPr="00F016DB">
        <w:rPr>
          <w:rFonts w:hint="cs"/>
          <w:b/>
          <w:bCs/>
          <w:rtl/>
        </w:rPr>
        <w:t xml:space="preserve"> (صفحة 64)</w:t>
      </w:r>
      <w:r w:rsidRPr="00F016DB">
        <w:rPr>
          <w:b/>
          <w:bCs/>
          <w:rtl/>
        </w:rPr>
        <w:t xml:space="preserve"> أن التشريع المتعلق بالعمل المن</w:t>
      </w:r>
      <w:r w:rsidRPr="00F016DB">
        <w:rPr>
          <w:rFonts w:hint="cs"/>
          <w:b/>
          <w:bCs/>
          <w:rtl/>
        </w:rPr>
        <w:t>ـ</w:t>
      </w:r>
      <w:r w:rsidRPr="00F016DB">
        <w:rPr>
          <w:b/>
          <w:bCs/>
          <w:rtl/>
        </w:rPr>
        <w:t>زلي</w:t>
      </w:r>
      <w:r w:rsidRPr="00F016DB">
        <w:rPr>
          <w:rFonts w:hint="cs"/>
          <w:b/>
          <w:bCs/>
          <w:rtl/>
        </w:rPr>
        <w:t xml:space="preserve">. </w:t>
      </w:r>
      <w:r w:rsidRPr="00F016DB">
        <w:rPr>
          <w:rFonts w:hint="eastAsia"/>
          <w:b/>
          <w:bCs/>
          <w:rtl/>
        </w:rPr>
        <w:t>”</w:t>
      </w:r>
      <w:r w:rsidRPr="00F016DB">
        <w:rPr>
          <w:b/>
          <w:bCs/>
          <w:rtl/>
        </w:rPr>
        <w:t>سيجري تنقيحه من أجل توسيع نطاق كل حقوق العاملين لتشمل خدم المنازل</w:t>
      </w:r>
      <w:r w:rsidRPr="00F016DB">
        <w:rPr>
          <w:rFonts w:hint="cs"/>
          <w:b/>
          <w:bCs/>
          <w:rtl/>
        </w:rPr>
        <w:t>“</w:t>
      </w:r>
      <w:r w:rsidRPr="00F016DB">
        <w:rPr>
          <w:b/>
          <w:bCs/>
          <w:rtl/>
        </w:rPr>
        <w:t>.</w:t>
      </w:r>
      <w:r w:rsidRPr="00F016DB">
        <w:rPr>
          <w:rFonts w:hint="cs"/>
          <w:b/>
          <w:bCs/>
          <w:rtl/>
        </w:rPr>
        <w:t xml:space="preserve"> </w:t>
      </w:r>
      <w:r w:rsidRPr="00F016DB">
        <w:rPr>
          <w:b/>
          <w:bCs/>
          <w:rtl/>
        </w:rPr>
        <w:t>يرجى تقديم معلومات عن تنقيح هذا التشريع، وعما إذا كان قد دخل حيز التنفيذ، وعن أثره في تعزيز حقوق النساء في مجال العمل</w:t>
      </w:r>
      <w:r w:rsidRPr="00F016DB">
        <w:rPr>
          <w:rFonts w:hint="cs"/>
          <w:b/>
          <w:bCs/>
          <w:rtl/>
        </w:rPr>
        <w:t xml:space="preserve"> وحمايتها</w:t>
      </w:r>
      <w:r w:rsidRPr="00F016DB">
        <w:rPr>
          <w:b/>
          <w:bCs/>
          <w:rtl/>
        </w:rPr>
        <w:t>.</w:t>
      </w:r>
    </w:p>
    <w:p w:rsidR="00F016DB" w:rsidRDefault="00F016DB" w:rsidP="00F016DB">
      <w:pPr>
        <w:pStyle w:val="SingleTxt"/>
        <w:rPr>
          <w:rFonts w:hint="cs"/>
          <w:rtl/>
        </w:rPr>
      </w:pPr>
      <w:r>
        <w:rPr>
          <w:rFonts w:hint="cs"/>
          <w:rtl/>
        </w:rPr>
        <w:tab/>
        <w:t>تشجيعا على إضفاء الصبغة الرسمية على العمل المنـزلي أصدرت الحكومة الاتحادية التدبير المؤقت رقم 284 في آذار/مارس 2006، الذي أصبح القانون 11324 في آب/أغسطس 2006. ويسمح هذا القانون لدافع الضرائب الذي يستخدم خادما في المنـزل أن يخصم من عائده الضريبي مبلغا نسبته 12 في المائة يدفع شهريا للضمان الاجتماعي بوصفه إسهاما من صاحب العمل. وتوجد بالبلد الآن 6.5 ملايين خادمة بالمنازل، تشكل 4.8 ملايين منهن جزءا من سوق العمل غير الرسمي.</w:t>
      </w:r>
    </w:p>
    <w:p w:rsidR="00F016DB" w:rsidRDefault="00F016DB" w:rsidP="00F016DB">
      <w:pPr>
        <w:pStyle w:val="SingleTxt"/>
        <w:rPr>
          <w:rFonts w:hint="cs"/>
          <w:rtl/>
        </w:rPr>
      </w:pPr>
      <w:r>
        <w:rPr>
          <w:rFonts w:hint="cs"/>
          <w:rtl/>
        </w:rPr>
        <w:tab/>
        <w:t>والتشريع الجديد (الذي اشتركت في صياغته الأمانة الخاصة لسياسات المرأة ووزارة الضمان الاجتماعي ووزارة العمل والعمالة والأمانة الخاصة لسياسات تعزيز المساواة العنصرية) ينص على أن صاحب العمل قد يحصل على تخفيض في ضريبة الدخل على الحد الأدنى لمرتب خادم منزلي واحد ابتداء من الإقرارات الضريبية عن عام 2006.</w:t>
      </w:r>
    </w:p>
    <w:p w:rsidR="00F016DB" w:rsidRDefault="00F016DB" w:rsidP="003E64C9">
      <w:pPr>
        <w:pStyle w:val="SingleTxt"/>
        <w:rPr>
          <w:rFonts w:hint="cs"/>
          <w:rtl/>
          <w:lang w:bidi="ar-EG"/>
        </w:rPr>
      </w:pPr>
      <w:r>
        <w:rPr>
          <w:rFonts w:hint="cs"/>
          <w:rtl/>
        </w:rPr>
        <w:tab/>
        <w:t>ورغبة في تنوير السكان، شنت الأمانة الخاصة لسياسات المرأة حملة إذاعية وطنية في آذار/مارس 2006 بشأن ما ي</w:t>
      </w:r>
      <w:r w:rsidR="003E64C9">
        <w:rPr>
          <w:rFonts w:hint="cs"/>
          <w:rtl/>
        </w:rPr>
        <w:t>حث</w:t>
      </w:r>
      <w:r>
        <w:rPr>
          <w:rFonts w:hint="cs"/>
          <w:rtl/>
        </w:rPr>
        <w:t xml:space="preserve"> الحكومة الاتحادية</w:t>
      </w:r>
      <w:r w:rsidR="003E64C9">
        <w:rPr>
          <w:rFonts w:hint="cs"/>
          <w:rtl/>
        </w:rPr>
        <w:t xml:space="preserve"> على </w:t>
      </w:r>
      <w:r>
        <w:rPr>
          <w:rFonts w:hint="cs"/>
          <w:rtl/>
        </w:rPr>
        <w:t xml:space="preserve">إدماج خادمات المنازل في سوق العمل الرسمي وتثبيتهن. ومن 27 آذار/مارس إلى 10 نيسان/أبريل 2006 بثت 79 محطة </w:t>
      </w:r>
      <w:r>
        <w:t>AM/FM</w:t>
      </w:r>
      <w:r>
        <w:rPr>
          <w:rFonts w:hint="cs"/>
          <w:rtl/>
          <w:lang w:bidi="ar-EG"/>
        </w:rPr>
        <w:t xml:space="preserve"> من أكثر المحطات الإذاعية شعبية فترتين تستغرق كل منهما 30 ثانية</w:t>
      </w:r>
      <w:r w:rsidR="003E64C9">
        <w:rPr>
          <w:rFonts w:hint="cs"/>
          <w:rtl/>
          <w:lang w:bidi="ar-EG"/>
        </w:rPr>
        <w:t>،</w:t>
      </w:r>
      <w:r>
        <w:rPr>
          <w:rFonts w:hint="cs"/>
          <w:rtl/>
          <w:lang w:bidi="ar-EG"/>
        </w:rPr>
        <w:t xml:space="preserve"> وتستهدف خادمات المنازل ومستخدميهن</w:t>
      </w:r>
      <w:r w:rsidR="003E64C9">
        <w:rPr>
          <w:rFonts w:hint="cs"/>
          <w:rtl/>
          <w:lang w:bidi="ar-EG"/>
        </w:rPr>
        <w:t>،</w:t>
      </w:r>
      <w:r>
        <w:rPr>
          <w:rFonts w:hint="cs"/>
          <w:rtl/>
          <w:lang w:bidi="ar-EG"/>
        </w:rPr>
        <w:t xml:space="preserve"> موضحة الاستحقاقات التي يتيحها التدبير وأهمية الاحتفاظ </w:t>
      </w:r>
      <w:r w:rsidR="0005138C">
        <w:rPr>
          <w:rFonts w:hint="cs"/>
          <w:rtl/>
          <w:lang w:bidi="ar-EG"/>
        </w:rPr>
        <w:t xml:space="preserve">بكتيب </w:t>
      </w:r>
      <w:r w:rsidR="003E64C9">
        <w:rPr>
          <w:rFonts w:hint="cs"/>
          <w:rtl/>
          <w:lang w:bidi="ar-EG"/>
        </w:rPr>
        <w:t>ي</w:t>
      </w:r>
      <w:r w:rsidR="0005138C">
        <w:rPr>
          <w:rFonts w:hint="cs"/>
          <w:rtl/>
          <w:lang w:bidi="ar-EG"/>
        </w:rPr>
        <w:t xml:space="preserve">وقَّع عليه </w:t>
      </w:r>
      <w:r w:rsidR="003E64C9">
        <w:rPr>
          <w:rFonts w:hint="cs"/>
          <w:rtl/>
          <w:lang w:bidi="ar-EG"/>
        </w:rPr>
        <w:t>ا</w:t>
      </w:r>
      <w:r w:rsidR="0005138C">
        <w:rPr>
          <w:rFonts w:hint="cs"/>
          <w:rtl/>
          <w:lang w:bidi="ar-EG"/>
        </w:rPr>
        <w:t>لعامل.</w:t>
      </w:r>
    </w:p>
    <w:p w:rsidR="0005138C" w:rsidRDefault="0005138C" w:rsidP="003B4260">
      <w:pPr>
        <w:pStyle w:val="SingleTxt"/>
        <w:rPr>
          <w:rFonts w:hint="cs"/>
          <w:rtl/>
          <w:lang w:bidi="ar-EG"/>
        </w:rPr>
      </w:pPr>
      <w:r>
        <w:rPr>
          <w:rFonts w:hint="cs"/>
          <w:rtl/>
          <w:lang w:bidi="ar-EG"/>
        </w:rPr>
        <w:tab/>
        <w:t>وقد كفل القانون 11324 أيضا مكاسبا جديدة لخدم المنازل، وجاء ذلك نتيجة مناقشة حادة بين السلطة التنفيذية والكونغرس الوطني ومع رابطة خدم المنازل واتحاداتهم. ويمك</w:t>
      </w:r>
      <w:r w:rsidR="003E64C9">
        <w:rPr>
          <w:rFonts w:hint="cs"/>
          <w:rtl/>
          <w:lang w:bidi="ar-EG"/>
        </w:rPr>
        <w:t>ّ</w:t>
      </w:r>
      <w:r>
        <w:rPr>
          <w:rFonts w:hint="cs"/>
          <w:rtl/>
          <w:lang w:bidi="ar-EG"/>
        </w:rPr>
        <w:t xml:space="preserve">ن القانون الجديد من حصول خدم المنازل على الحق في 30 يوما من الراحة السنوية، والراحة الأسبوعية المدفوعة الأجر أيام الأحد وأيام العطلات، وبقاء عمل الخادمة من </w:t>
      </w:r>
      <w:r w:rsidR="003B4260">
        <w:rPr>
          <w:rFonts w:hint="cs"/>
          <w:rtl/>
          <w:lang w:bidi="ar-EG"/>
        </w:rPr>
        <w:t>ال</w:t>
      </w:r>
      <w:r>
        <w:rPr>
          <w:rFonts w:hint="cs"/>
          <w:rtl/>
          <w:lang w:bidi="ar-EG"/>
        </w:rPr>
        <w:t xml:space="preserve">وقت </w:t>
      </w:r>
      <w:r w:rsidR="003B4260">
        <w:rPr>
          <w:rFonts w:hint="cs"/>
          <w:rtl/>
          <w:lang w:bidi="ar-EG"/>
        </w:rPr>
        <w:t>الذي ي</w:t>
      </w:r>
      <w:r>
        <w:rPr>
          <w:rFonts w:hint="cs"/>
          <w:rtl/>
          <w:lang w:bidi="ar-EG"/>
        </w:rPr>
        <w:t xml:space="preserve">تأكد </w:t>
      </w:r>
      <w:r w:rsidR="003B4260">
        <w:rPr>
          <w:rFonts w:hint="cs"/>
          <w:rtl/>
          <w:lang w:bidi="ar-EG"/>
        </w:rPr>
        <w:t xml:space="preserve">فيه </w:t>
      </w:r>
      <w:r>
        <w:rPr>
          <w:rFonts w:hint="cs"/>
          <w:rtl/>
          <w:lang w:bidi="ar-EG"/>
        </w:rPr>
        <w:t>حملها إلى خمسة أشهر بعد الولادة. ولا يمكن لصاحب العمل بعد الآن أن يخصم من مرتب الخادمة ما ينفق على المواد الغذائية والمسكن وأدوات النظافة الصحية.</w:t>
      </w:r>
    </w:p>
    <w:p w:rsidR="0005138C" w:rsidRDefault="0005138C" w:rsidP="00F016DB">
      <w:pPr>
        <w:pStyle w:val="SingleTxt"/>
        <w:rPr>
          <w:rFonts w:hint="cs"/>
          <w:rtl/>
          <w:lang w:bidi="ar-EG"/>
        </w:rPr>
      </w:pPr>
      <w:r>
        <w:rPr>
          <w:rFonts w:hint="cs"/>
          <w:rtl/>
          <w:lang w:bidi="ar-EG"/>
        </w:rPr>
        <w:tab/>
        <w:t>واستكمالا للقانون الجديد، بعثت السلطة التنفيذية مشروع القانون 7363/2006 إلى الكونغرس الوطني بصياغة جديدة للفقرة 3 - ألف من القانون 5859 المؤرخ كانون الأول/ديسمبر 1972، التي تنظم مهنة خدم المنازل وتقرر إدراجهم في صندوق ضمان مدة الخدمة. ومشروع القانون هذا قيد النظر في مجلس النواب، وسبق أن وافقت عليه اللجنة المعنية بالدستور والعدالة والمواطنة.</w:t>
      </w:r>
    </w:p>
    <w:p w:rsidR="0005138C" w:rsidRDefault="0005138C" w:rsidP="00F016DB">
      <w:pPr>
        <w:pStyle w:val="SingleTxt"/>
        <w:rPr>
          <w:rFonts w:hint="cs"/>
          <w:rtl/>
          <w:lang w:bidi="ar-EG"/>
        </w:rPr>
      </w:pPr>
      <w:r>
        <w:rPr>
          <w:rFonts w:hint="cs"/>
          <w:rtl/>
          <w:lang w:bidi="ar-EG"/>
        </w:rPr>
        <w:tab/>
        <w:t>وأخيرا، وافقت لجنة العمل والإدارة والخدمة المدنية في آذار/مارس 2007 على بديل</w:t>
      </w:r>
      <w:r w:rsidR="003B4260">
        <w:rPr>
          <w:rFonts w:hint="cs"/>
          <w:rtl/>
          <w:lang w:bidi="ar-EG"/>
        </w:rPr>
        <w:t xml:space="preserve"> مقدم</w:t>
      </w:r>
      <w:r>
        <w:rPr>
          <w:rFonts w:hint="cs"/>
          <w:rtl/>
          <w:lang w:bidi="ar-EG"/>
        </w:rPr>
        <w:t xml:space="preserve"> من مج</w:t>
      </w:r>
      <w:r w:rsidR="003B4260">
        <w:rPr>
          <w:rFonts w:hint="cs"/>
          <w:rtl/>
          <w:lang w:bidi="ar-EG"/>
        </w:rPr>
        <w:t xml:space="preserve">لس الشيوخ لمشروع القانون 1652/3، وهو البديل </w:t>
      </w:r>
      <w:r>
        <w:rPr>
          <w:rFonts w:hint="cs"/>
          <w:rtl/>
          <w:lang w:bidi="ar-EG"/>
        </w:rPr>
        <w:t>الذي قدمه لويس ألبرتو، عضو الكونغرس، والذي يلغي شرط تقديم شهادة حسن سير وسلوك للخدمة في المنازل. ويغير مشروع القانون هذا القانون الذي ينظم مهنة الخدمة في المنازل (القانون 5859/72).</w:t>
      </w:r>
    </w:p>
    <w:p w:rsidR="0005138C" w:rsidRDefault="0005138C" w:rsidP="003B4260">
      <w:pPr>
        <w:pStyle w:val="SingleTxt"/>
        <w:rPr>
          <w:rFonts w:hint="cs"/>
          <w:rtl/>
          <w:lang w:bidi="ar-EG"/>
        </w:rPr>
      </w:pPr>
      <w:r>
        <w:rPr>
          <w:rFonts w:hint="cs"/>
          <w:rtl/>
          <w:lang w:bidi="ar-EG"/>
        </w:rPr>
        <w:tab/>
        <w:t xml:space="preserve">ويضيف مشروع القانون البديل شرط تقديم خدم المنازل رقم تسجيل للضمان الاجتماعي. ويوجد ابتكار آخر، وهو </w:t>
      </w:r>
      <w:r w:rsidR="00D00DA3">
        <w:rPr>
          <w:rFonts w:hint="cs"/>
          <w:rtl/>
          <w:lang w:bidi="ar-EG"/>
        </w:rPr>
        <w:t>أن</w:t>
      </w:r>
      <w:r>
        <w:rPr>
          <w:rFonts w:hint="cs"/>
          <w:rtl/>
          <w:lang w:bidi="ar-EG"/>
        </w:rPr>
        <w:t xml:space="preserve"> يكون لصاحب العمل عشرة أيام لتدوين ملاحظة في كتيب العامل. وإن لم يمتثل لهذا الالتزام، يكون عرضة للعقاب المنصوص عليه في قوانين العمل الموحدة. وما زال </w:t>
      </w:r>
      <w:r w:rsidR="009D0E7A">
        <w:rPr>
          <w:rFonts w:hint="cs"/>
          <w:rtl/>
          <w:lang w:bidi="ar-EG"/>
        </w:rPr>
        <w:t>مشروع القانون هذا قيد مراجعة اللجنة المعنية بالدستور والعدالة والمواطنة وتقديمه للتصويت عليه.</w:t>
      </w:r>
    </w:p>
    <w:p w:rsidR="009D0E7A" w:rsidRPr="009D0E7A" w:rsidRDefault="009D0E7A" w:rsidP="009D0E7A">
      <w:pPr>
        <w:pStyle w:val="SingleTxt"/>
        <w:spacing w:after="0" w:line="120" w:lineRule="exact"/>
        <w:rPr>
          <w:rFonts w:hint="cs"/>
          <w:sz w:val="10"/>
          <w:rtl/>
          <w:lang w:bidi="ar-EG"/>
        </w:rPr>
      </w:pPr>
    </w:p>
    <w:p w:rsidR="00C87B32" w:rsidRDefault="00C87B32" w:rsidP="009D0E7A">
      <w:pPr>
        <w:pStyle w:val="SingleTxt"/>
        <w:rPr>
          <w:rFonts w:hint="cs"/>
          <w:b/>
          <w:bCs/>
          <w:rtl/>
        </w:rPr>
      </w:pPr>
      <w:r w:rsidRPr="009D0E7A">
        <w:rPr>
          <w:b/>
          <w:bCs/>
          <w:rtl/>
        </w:rPr>
        <w:t>2</w:t>
      </w:r>
      <w:r w:rsidR="009D0E7A" w:rsidRPr="009D0E7A">
        <w:rPr>
          <w:rFonts w:hint="cs"/>
          <w:b/>
          <w:bCs/>
          <w:rtl/>
        </w:rPr>
        <w:t>1</w:t>
      </w:r>
      <w:r w:rsidRPr="009D0E7A">
        <w:rPr>
          <w:rFonts w:hint="cs"/>
          <w:b/>
          <w:bCs/>
          <w:rtl/>
        </w:rPr>
        <w:t xml:space="preserve"> </w:t>
      </w:r>
      <w:r w:rsidRPr="009D0E7A">
        <w:rPr>
          <w:b/>
          <w:bCs/>
          <w:rtl/>
        </w:rPr>
        <w:t>-</w:t>
      </w:r>
      <w:r w:rsidRPr="009D0E7A">
        <w:rPr>
          <w:rFonts w:hint="cs"/>
          <w:b/>
          <w:bCs/>
          <w:rtl/>
        </w:rPr>
        <w:tab/>
      </w:r>
      <w:r w:rsidRPr="009D0E7A">
        <w:rPr>
          <w:b/>
          <w:bCs/>
          <w:rtl/>
        </w:rPr>
        <w:t>يرجى تقديم بيانات إحصائية عن مشاركة النساء في سوق العمل النظامي وغير النظامي، مفص</w:t>
      </w:r>
      <w:r w:rsidRPr="009D0E7A">
        <w:rPr>
          <w:rFonts w:hint="cs"/>
          <w:b/>
          <w:bCs/>
          <w:rtl/>
        </w:rPr>
        <w:t>ّ</w:t>
      </w:r>
      <w:r w:rsidRPr="009D0E7A">
        <w:rPr>
          <w:b/>
          <w:bCs/>
          <w:rtl/>
        </w:rPr>
        <w:t>لة حسب القطاعات، وحسب المناطق الحضرية والريفية، مقارنة بالرجال، مع بيان الاتجاهات على مر الزمن.</w:t>
      </w:r>
      <w:r w:rsidRPr="009D0E7A">
        <w:rPr>
          <w:b/>
          <w:bCs/>
        </w:rPr>
        <w:t xml:space="preserve"> </w:t>
      </w:r>
      <w:r w:rsidRPr="009D0E7A">
        <w:rPr>
          <w:rFonts w:hint="cs"/>
          <w:b/>
          <w:bCs/>
          <w:rtl/>
        </w:rPr>
        <w:t>و</w:t>
      </w:r>
      <w:r w:rsidRPr="009D0E7A">
        <w:rPr>
          <w:b/>
          <w:bCs/>
          <w:rtl/>
        </w:rPr>
        <w:t>يرجى أيضا تقديم معلومات عن أجور النساء في مختلف القطاعات، مقارنة مع أجور الرجال.</w:t>
      </w:r>
    </w:p>
    <w:p w:rsidR="009D0E7A" w:rsidRDefault="00975A10" w:rsidP="003B4260">
      <w:pPr>
        <w:pStyle w:val="SingleTxt"/>
        <w:rPr>
          <w:rFonts w:hint="cs"/>
          <w:rtl/>
        </w:rPr>
      </w:pPr>
      <w:r>
        <w:rPr>
          <w:rFonts w:hint="cs"/>
          <w:rtl/>
        </w:rPr>
        <w:tab/>
        <w:t xml:space="preserve">يتضمن المرفق 5 المعلومات المطلوبة، وهي مأخوذة من مصرف بيانات مؤسسة كارلوس شاغاس عن </w:t>
      </w:r>
      <w:r w:rsidRPr="00975A10">
        <w:rPr>
          <w:rFonts w:hint="cs"/>
          <w:rtl/>
        </w:rPr>
        <w:t>عمل المرأة (</w:t>
      </w:r>
      <w:hyperlink r:id="rId13" w:history="1">
        <w:r w:rsidRPr="00975A10">
          <w:rPr>
            <w:rStyle w:val="Hyperlink"/>
          </w:rPr>
          <w:t>http://www,fcc.org.br/mulher/index.html</w:t>
        </w:r>
      </w:hyperlink>
      <w:r w:rsidRPr="00975A10">
        <w:rPr>
          <w:rFonts w:hint="cs"/>
          <w:rtl/>
        </w:rPr>
        <w:t>).</w:t>
      </w:r>
      <w:r>
        <w:rPr>
          <w:rFonts w:hint="cs"/>
          <w:rtl/>
        </w:rPr>
        <w:t xml:space="preserve"> </w:t>
      </w:r>
      <w:r w:rsidR="00772F28" w:rsidRPr="001502DC">
        <w:rPr>
          <w:rFonts w:hint="cs"/>
          <w:w w:val="100"/>
          <w:rtl/>
        </w:rPr>
        <w:t xml:space="preserve">ويتضمن </w:t>
      </w:r>
      <w:r w:rsidR="003B4260">
        <w:rPr>
          <w:rFonts w:hint="cs"/>
          <w:w w:val="100"/>
          <w:rtl/>
        </w:rPr>
        <w:t>هذا ال</w:t>
      </w:r>
      <w:r w:rsidR="00772F28" w:rsidRPr="001502DC">
        <w:rPr>
          <w:rFonts w:hint="cs"/>
          <w:w w:val="100"/>
          <w:rtl/>
        </w:rPr>
        <w:t>مصرف</w:t>
      </w:r>
      <w:r w:rsidR="003B4260">
        <w:rPr>
          <w:rFonts w:hint="cs"/>
          <w:w w:val="100"/>
          <w:rtl/>
        </w:rPr>
        <w:t>،</w:t>
      </w:r>
      <w:r w:rsidR="00772F28" w:rsidRPr="001502DC">
        <w:rPr>
          <w:rFonts w:hint="cs"/>
          <w:w w:val="100"/>
          <w:rtl/>
        </w:rPr>
        <w:t xml:space="preserve"> </w:t>
      </w:r>
      <w:r w:rsidR="003B4260">
        <w:rPr>
          <w:rFonts w:hint="cs"/>
          <w:w w:val="100"/>
          <w:rtl/>
        </w:rPr>
        <w:t>المعني بع</w:t>
      </w:r>
      <w:r w:rsidR="00772F28" w:rsidRPr="001502DC">
        <w:rPr>
          <w:rFonts w:hint="cs"/>
          <w:w w:val="100"/>
          <w:rtl/>
        </w:rPr>
        <w:t>مل المرأة في البرازيل</w:t>
      </w:r>
      <w:r w:rsidR="003B4260">
        <w:rPr>
          <w:rFonts w:hint="cs"/>
          <w:w w:val="100"/>
          <w:rtl/>
        </w:rPr>
        <w:t>،</w:t>
      </w:r>
      <w:r w:rsidR="00772F28" w:rsidRPr="001502DC">
        <w:rPr>
          <w:rFonts w:hint="cs"/>
          <w:w w:val="100"/>
          <w:rtl/>
        </w:rPr>
        <w:t xml:space="preserve"> سلسلة تاريخية منذ عام 1979 إلى الآن، جرى الحصول عليها من خلال دراسات استقصائية أجرتها وكالات حكومية، مثل الدراسات التي أجراها المعهد البرازيلي للجغرافيا والإحصاءات، والتعدادات الديمغرافية، والدراسات الاستقصائية الوطنية لعينات الأسر المعيشية</w:t>
      </w:r>
      <w:r w:rsidR="003B4260">
        <w:rPr>
          <w:rFonts w:hint="cs"/>
          <w:w w:val="100"/>
          <w:rtl/>
        </w:rPr>
        <w:t xml:space="preserve"> التي </w:t>
      </w:r>
      <w:r w:rsidR="00772F28" w:rsidRPr="001502DC">
        <w:rPr>
          <w:rFonts w:hint="cs"/>
          <w:w w:val="100"/>
          <w:rtl/>
        </w:rPr>
        <w:t>أجرتها وزارة العمل - مثل القائمة السنوية للبيانات الاجتماعية</w:t>
      </w:r>
      <w:r w:rsidR="003B4260">
        <w:rPr>
          <w:rFonts w:hint="cs"/>
          <w:w w:val="100"/>
          <w:rtl/>
        </w:rPr>
        <w:t xml:space="preserve">، والتي </w:t>
      </w:r>
      <w:r w:rsidR="00772F28" w:rsidRPr="001502DC">
        <w:rPr>
          <w:rFonts w:hint="cs"/>
          <w:w w:val="100"/>
          <w:rtl/>
        </w:rPr>
        <w:t>أجرتها وزارة التعليم والثقافة من خلال معهد أنيسيو تيكسيرا الوطني للدراسات والبحوث التعليمية، وتعدادات التعليم العالي، وتعداد المدارس</w:t>
      </w:r>
      <w:r w:rsidR="00772F28">
        <w:rPr>
          <w:rFonts w:hint="cs"/>
          <w:rtl/>
        </w:rPr>
        <w:t>.</w:t>
      </w:r>
    </w:p>
    <w:p w:rsidR="00772F28" w:rsidRPr="00772F28" w:rsidRDefault="00772F28" w:rsidP="00772F28">
      <w:pPr>
        <w:pStyle w:val="SingleTxt"/>
        <w:spacing w:after="0" w:line="120" w:lineRule="exact"/>
        <w:rPr>
          <w:rFonts w:hint="cs"/>
          <w:sz w:val="10"/>
          <w:rtl/>
        </w:rPr>
      </w:pPr>
    </w:p>
    <w:p w:rsidR="00C87B32" w:rsidRPr="005E297F" w:rsidRDefault="00C87B32" w:rsidP="00C87B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sidRPr="005E297F">
        <w:tab/>
      </w:r>
      <w:r w:rsidRPr="005E297F">
        <w:tab/>
      </w:r>
      <w:r w:rsidRPr="005E297F">
        <w:rPr>
          <w:rtl/>
        </w:rPr>
        <w:t>الصحة</w:t>
      </w:r>
    </w:p>
    <w:p w:rsidR="00C87B32" w:rsidRDefault="00C87B32" w:rsidP="00772F28">
      <w:pPr>
        <w:pStyle w:val="SingleTxt"/>
        <w:rPr>
          <w:rFonts w:hint="cs"/>
          <w:b/>
          <w:bCs/>
          <w:rtl/>
        </w:rPr>
      </w:pPr>
      <w:r w:rsidRPr="00772F28">
        <w:rPr>
          <w:b/>
          <w:bCs/>
          <w:rtl/>
        </w:rPr>
        <w:t>2</w:t>
      </w:r>
      <w:r w:rsidR="00772F28" w:rsidRPr="00772F28">
        <w:rPr>
          <w:rFonts w:hint="cs"/>
          <w:b/>
          <w:bCs/>
          <w:rtl/>
        </w:rPr>
        <w:t>2</w:t>
      </w:r>
      <w:r w:rsidRPr="00772F28">
        <w:rPr>
          <w:rFonts w:hint="cs"/>
          <w:b/>
          <w:bCs/>
          <w:rtl/>
        </w:rPr>
        <w:t xml:space="preserve"> </w:t>
      </w:r>
      <w:r w:rsidRPr="00772F28">
        <w:rPr>
          <w:b/>
          <w:bCs/>
          <w:rtl/>
        </w:rPr>
        <w:t>-</w:t>
      </w:r>
      <w:r w:rsidRPr="00772F28">
        <w:rPr>
          <w:rFonts w:hint="cs"/>
          <w:b/>
          <w:bCs/>
          <w:rtl/>
        </w:rPr>
        <w:tab/>
      </w:r>
      <w:r w:rsidRPr="00772F28">
        <w:rPr>
          <w:b/>
          <w:bCs/>
          <w:rtl/>
        </w:rPr>
        <w:t>ذكرت المقررة الخاصة المعنية بمسألة العنف ضد المرأة وأسبابه وعواقبه (</w:t>
      </w:r>
      <w:r w:rsidRPr="00772F28">
        <w:rPr>
          <w:b/>
          <w:bCs/>
        </w:rPr>
        <w:t>E/CN.4/2005/72</w:t>
      </w:r>
      <w:r w:rsidRPr="00772F28">
        <w:rPr>
          <w:b/>
          <w:bCs/>
          <w:rtl/>
        </w:rPr>
        <w:t>) أنه على الرغم من الجهود الكبيرة التي تب</w:t>
      </w:r>
      <w:r w:rsidRPr="00772F28">
        <w:rPr>
          <w:rFonts w:hint="cs"/>
          <w:b/>
          <w:bCs/>
          <w:rtl/>
        </w:rPr>
        <w:t>ذ</w:t>
      </w:r>
      <w:r w:rsidRPr="00772F28">
        <w:rPr>
          <w:b/>
          <w:bCs/>
          <w:rtl/>
        </w:rPr>
        <w:t>لها حكومة البرازيل في مجال الصحة ’’يقدَّر أن ما يصل إلى 90 في المائة من النساء البرازيليات الريفيات لا يذهبن لتلقي خدمات الرعاية قبل الولادة و/أو لا يستفدن من الخدمات المجانية لأنهن لا يملكن وسيلة للوصول إلى العيادات الواقعة في المناطق الحضرية‘‘.</w:t>
      </w:r>
      <w:r w:rsidRPr="00772F28">
        <w:rPr>
          <w:b/>
          <w:bCs/>
        </w:rPr>
        <w:t xml:space="preserve"> </w:t>
      </w:r>
      <w:r w:rsidRPr="00772F28">
        <w:rPr>
          <w:b/>
          <w:bCs/>
          <w:rtl/>
        </w:rPr>
        <w:t>فما هي الإجراءات التي يجري اتخاذها لمعالجة هذه الحالة؟</w:t>
      </w:r>
      <w:r w:rsidRPr="00772F28">
        <w:rPr>
          <w:b/>
          <w:bCs/>
        </w:rPr>
        <w:t xml:space="preserve"> </w:t>
      </w:r>
      <w:r w:rsidRPr="00772F28">
        <w:rPr>
          <w:rFonts w:hint="cs"/>
          <w:b/>
          <w:bCs/>
          <w:rtl/>
        </w:rPr>
        <w:t>و</w:t>
      </w:r>
      <w:r w:rsidRPr="00772F28">
        <w:rPr>
          <w:b/>
          <w:bCs/>
          <w:rtl/>
        </w:rPr>
        <w:t>هل تنوي الحكومة إنشاء مستوصفات متنقلة للوصول إلى المناطق الريفية التي تفتقر إلى مرافق الرعاية الصحية؟</w:t>
      </w:r>
    </w:p>
    <w:p w:rsidR="00772F28" w:rsidRDefault="00772F28" w:rsidP="00772F28">
      <w:pPr>
        <w:pStyle w:val="SingleTxt"/>
        <w:rPr>
          <w:rFonts w:hint="cs"/>
          <w:rtl/>
        </w:rPr>
      </w:pPr>
      <w:r>
        <w:rPr>
          <w:rFonts w:hint="cs"/>
          <w:rtl/>
        </w:rPr>
        <w:tab/>
        <w:t>تجري في البرازيل منذ عام 19</w:t>
      </w:r>
      <w:r w:rsidR="00984753">
        <w:rPr>
          <w:rFonts w:hint="cs"/>
          <w:rtl/>
        </w:rPr>
        <w:t xml:space="preserve">50 عملية تحضر </w:t>
      </w:r>
      <w:r>
        <w:rPr>
          <w:rFonts w:hint="cs"/>
          <w:rtl/>
        </w:rPr>
        <w:t xml:space="preserve">سريع أثبتها التعداد الديمغرافي لعام 2000. وتسبب إضافة 26.8 مليون نسمة من سكان الحضر في زيادة درجة التحضر من 75.59 في المائة عام 1991 إلى 81.23 في المائة عام 2000. وترجع هذه الزيادة بصفة أساسية إلى ثلاثة عوامل: النمو النباتي في المناطق الحضرية، والهجرة صوب المراكز الحضرية، وإدماج المناطق التي كانت تصنف فيما سبق كمناطق ريفية. وفي السياق العالمي، تشابه درجة التحضر في البرازيل مثيلتها في أوروبا وأمريكا الشمالية </w:t>
      </w:r>
      <w:r w:rsidR="009F6BA9">
        <w:rPr>
          <w:rFonts w:hint="cs"/>
          <w:rtl/>
        </w:rPr>
        <w:t>واليابان إذ تفوق معدلاتها 75</w:t>
      </w:r>
      <w:r w:rsidR="009F6BA9">
        <w:rPr>
          <w:rFonts w:hint="eastAsia"/>
          <w:rtl/>
        </w:rPr>
        <w:t> </w:t>
      </w:r>
      <w:r w:rsidR="009F6BA9">
        <w:rPr>
          <w:rFonts w:hint="cs"/>
          <w:rtl/>
        </w:rPr>
        <w:t>في المائة. ولا تزال مناطق مثل آسيا وأفريقيا أقل تحضرا (أقل من 40 في المائة).</w:t>
      </w:r>
    </w:p>
    <w:p w:rsidR="009F6BA9" w:rsidRDefault="009F6BA9" w:rsidP="00772F28">
      <w:pPr>
        <w:pStyle w:val="SingleTxt"/>
        <w:rPr>
          <w:rFonts w:hint="cs"/>
          <w:rtl/>
        </w:rPr>
      </w:pPr>
      <w:r>
        <w:rPr>
          <w:rFonts w:hint="cs"/>
          <w:rtl/>
        </w:rPr>
        <w:tab/>
      </w:r>
      <w:r w:rsidRPr="001502DC">
        <w:rPr>
          <w:rFonts w:hint="cs"/>
          <w:w w:val="100"/>
          <w:rtl/>
        </w:rPr>
        <w:t xml:space="preserve">وتجرى 96 في المائة من حالات الوضع في البرازيل في المستشفيات، وتنتفع 83.64 في المائة من الحوامل بأربع مرات أو أكثر من الاختبار السابق للولادة، كما يتضح من الجداول أدناه، مما يتعارض مع المعلومات القائلة إن </w:t>
      </w:r>
      <w:r w:rsidRPr="001502DC">
        <w:rPr>
          <w:rFonts w:hint="eastAsia"/>
          <w:w w:val="100"/>
          <w:rtl/>
        </w:rPr>
        <w:t>”نسبة البرازيليات الريفيات اللاتي لا</w:t>
      </w:r>
      <w:r w:rsidRPr="001502DC">
        <w:rPr>
          <w:rFonts w:hint="cs"/>
          <w:w w:val="100"/>
          <w:rtl/>
        </w:rPr>
        <w:t> </w:t>
      </w:r>
      <w:r w:rsidRPr="001502DC">
        <w:rPr>
          <w:rFonts w:hint="eastAsia"/>
          <w:w w:val="100"/>
          <w:rtl/>
        </w:rPr>
        <w:t>ينتفعن بالرعاية السابقة للولادة تصل إلى 90 في المائة</w:t>
      </w:r>
      <w:r w:rsidRPr="001502DC">
        <w:rPr>
          <w:rFonts w:hint="cs"/>
          <w:w w:val="100"/>
          <w:rtl/>
        </w:rPr>
        <w:t>“. ولا توجد في الوقت الحالي خطط لدى الحكومة البرازيلية لإنشاء عيادات متنقلة من خلال وزارة الصحة لكي تصل إلى المناطق الريفية</w:t>
      </w:r>
      <w:r>
        <w:rPr>
          <w:rFonts w:hint="cs"/>
          <w:rtl/>
        </w:rPr>
        <w:t>.</w:t>
      </w:r>
    </w:p>
    <w:tbl>
      <w:tblPr>
        <w:bidiVisual/>
        <w:tblW w:w="0" w:type="auto"/>
        <w:tblInd w:w="1267" w:type="dxa"/>
        <w:tblLayout w:type="fixed"/>
        <w:tblCellMar>
          <w:left w:w="0" w:type="dxa"/>
          <w:right w:w="0" w:type="dxa"/>
        </w:tblCellMar>
        <w:tblLook w:val="0000" w:firstRow="0" w:lastRow="0" w:firstColumn="0" w:lastColumn="0" w:noHBand="0" w:noVBand="0"/>
      </w:tblPr>
      <w:tblGrid>
        <w:gridCol w:w="755"/>
        <w:gridCol w:w="1030"/>
        <w:gridCol w:w="1957"/>
        <w:gridCol w:w="824"/>
        <w:gridCol w:w="824"/>
        <w:gridCol w:w="927"/>
        <w:gridCol w:w="1005"/>
      </w:tblGrid>
      <w:tr w:rsidR="001502DC" w:rsidRPr="00DF2952">
        <w:tblPrEx>
          <w:tblCellMar>
            <w:top w:w="0" w:type="dxa"/>
            <w:bottom w:w="0" w:type="dxa"/>
          </w:tblCellMar>
        </w:tblPrEx>
        <w:trPr>
          <w:cantSplit/>
          <w:tblHeader/>
        </w:trPr>
        <w:tc>
          <w:tcPr>
            <w:tcW w:w="7322" w:type="dxa"/>
            <w:gridSpan w:val="7"/>
            <w:tcBorders>
              <w:top w:val="single" w:sz="4" w:space="0" w:color="auto"/>
              <w:bottom w:val="single" w:sz="4" w:space="0" w:color="auto"/>
            </w:tcBorders>
            <w:shd w:val="clear" w:color="auto" w:fill="auto"/>
            <w:vAlign w:val="bottom"/>
          </w:tcPr>
          <w:p w:rsidR="001502DC" w:rsidRPr="00AC350D" w:rsidRDefault="001502DC" w:rsidP="00AC350D">
            <w:pPr>
              <w:tabs>
                <w:tab w:val="left" w:pos="288"/>
                <w:tab w:val="left" w:pos="576"/>
                <w:tab w:val="left" w:pos="864"/>
                <w:tab w:val="left" w:pos="1152"/>
              </w:tabs>
              <w:spacing w:before="40" w:after="40" w:line="240" w:lineRule="exact"/>
              <w:jc w:val="center"/>
              <w:rPr>
                <w:rFonts w:hint="cs"/>
                <w:b/>
                <w:bCs/>
                <w:i/>
                <w:iCs/>
                <w:sz w:val="16"/>
                <w:szCs w:val="24"/>
                <w:rtl/>
              </w:rPr>
            </w:pPr>
            <w:r w:rsidRPr="00AC350D">
              <w:rPr>
                <w:rFonts w:hint="cs"/>
                <w:b/>
                <w:bCs/>
                <w:sz w:val="16"/>
                <w:szCs w:val="26"/>
                <w:rtl/>
              </w:rPr>
              <w:t>إجمالي عدد الولادات حسب مكان حدوثها - 2004</w:t>
            </w:r>
          </w:p>
        </w:tc>
      </w:tr>
      <w:tr w:rsidR="001502DC" w:rsidRPr="00DF2952">
        <w:tblPrEx>
          <w:tblCellMar>
            <w:top w:w="0" w:type="dxa"/>
            <w:bottom w:w="0" w:type="dxa"/>
          </w:tblCellMar>
        </w:tblPrEx>
        <w:trPr>
          <w:cantSplit/>
          <w:tblHeader/>
        </w:trPr>
        <w:tc>
          <w:tcPr>
            <w:tcW w:w="755" w:type="dxa"/>
            <w:tcBorders>
              <w:top w:val="single" w:sz="4" w:space="0" w:color="auto"/>
              <w:bottom w:val="single" w:sz="12" w:space="0" w:color="auto"/>
            </w:tcBorders>
            <w:shd w:val="clear" w:color="auto" w:fill="auto"/>
            <w:vAlign w:val="bottom"/>
          </w:tcPr>
          <w:p w:rsidR="00DF2952" w:rsidRPr="00DF2952" w:rsidRDefault="00DF2952" w:rsidP="00DF2952">
            <w:pPr>
              <w:tabs>
                <w:tab w:val="left" w:pos="288"/>
                <w:tab w:val="left" w:pos="576"/>
                <w:tab w:val="left" w:pos="864"/>
                <w:tab w:val="left" w:pos="1152"/>
              </w:tabs>
              <w:spacing w:after="80" w:line="240" w:lineRule="exact"/>
              <w:ind w:right="40"/>
              <w:rPr>
                <w:rFonts w:hint="cs"/>
                <w:i/>
                <w:iCs/>
                <w:sz w:val="16"/>
                <w:szCs w:val="24"/>
                <w:rtl/>
              </w:rPr>
            </w:pPr>
            <w:r>
              <w:rPr>
                <w:rFonts w:hint="cs"/>
                <w:i/>
                <w:iCs/>
                <w:sz w:val="16"/>
                <w:szCs w:val="24"/>
                <w:rtl/>
              </w:rPr>
              <w:t>البلدية</w:t>
            </w:r>
          </w:p>
        </w:tc>
        <w:tc>
          <w:tcPr>
            <w:tcW w:w="1030" w:type="dxa"/>
            <w:tcBorders>
              <w:top w:val="single" w:sz="4" w:space="0" w:color="auto"/>
              <w:bottom w:val="single" w:sz="12" w:space="0" w:color="auto"/>
            </w:tcBorders>
            <w:shd w:val="clear" w:color="auto" w:fill="auto"/>
            <w:vAlign w:val="bottom"/>
          </w:tcPr>
          <w:p w:rsidR="00DF2952" w:rsidRPr="00DF2952" w:rsidRDefault="00984753" w:rsidP="00DF295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w:t>
            </w:r>
            <w:r w:rsidR="00DF2952">
              <w:rPr>
                <w:rFonts w:hint="cs"/>
                <w:i/>
                <w:iCs/>
                <w:sz w:val="16"/>
                <w:szCs w:val="24"/>
                <w:rtl/>
              </w:rPr>
              <w:t>المستش</w:t>
            </w:r>
            <w:r>
              <w:rPr>
                <w:rFonts w:hint="cs"/>
                <w:i/>
                <w:iCs/>
                <w:sz w:val="16"/>
                <w:szCs w:val="24"/>
                <w:rtl/>
              </w:rPr>
              <w:t>ف</w:t>
            </w:r>
            <w:r w:rsidR="00DF2952">
              <w:rPr>
                <w:rFonts w:hint="cs"/>
                <w:i/>
                <w:iCs/>
                <w:sz w:val="16"/>
                <w:szCs w:val="24"/>
                <w:rtl/>
              </w:rPr>
              <w:t>ى</w:t>
            </w:r>
          </w:p>
        </w:tc>
        <w:tc>
          <w:tcPr>
            <w:tcW w:w="1957" w:type="dxa"/>
            <w:tcBorders>
              <w:top w:val="single" w:sz="4" w:space="0" w:color="auto"/>
              <w:bottom w:val="single" w:sz="12" w:space="0" w:color="auto"/>
            </w:tcBorders>
            <w:shd w:val="clear" w:color="auto" w:fill="auto"/>
            <w:vAlign w:val="bottom"/>
          </w:tcPr>
          <w:p w:rsidR="00DF2952" w:rsidRPr="00AC350D" w:rsidRDefault="00F31625" w:rsidP="00DF2952">
            <w:pPr>
              <w:tabs>
                <w:tab w:val="left" w:pos="288"/>
                <w:tab w:val="left" w:pos="576"/>
                <w:tab w:val="left" w:pos="864"/>
                <w:tab w:val="left" w:pos="1152"/>
              </w:tabs>
              <w:spacing w:after="80" w:line="240" w:lineRule="exact"/>
              <w:ind w:right="144"/>
              <w:rPr>
                <w:rFonts w:hint="cs"/>
                <w:i/>
                <w:iCs/>
                <w:w w:val="100"/>
                <w:sz w:val="16"/>
                <w:szCs w:val="24"/>
                <w:rtl/>
              </w:rPr>
            </w:pPr>
            <w:r>
              <w:rPr>
                <w:rFonts w:hint="cs"/>
                <w:i/>
                <w:iCs/>
                <w:w w:val="100"/>
                <w:sz w:val="16"/>
                <w:szCs w:val="24"/>
                <w:rtl/>
              </w:rPr>
              <w:t>ا</w:t>
            </w:r>
            <w:r w:rsidR="00DF2952" w:rsidRPr="00AC350D">
              <w:rPr>
                <w:rFonts w:hint="cs"/>
                <w:i/>
                <w:iCs/>
                <w:w w:val="100"/>
                <w:sz w:val="16"/>
                <w:szCs w:val="24"/>
                <w:rtl/>
              </w:rPr>
              <w:t>ا</w:t>
            </w:r>
            <w:r>
              <w:rPr>
                <w:rFonts w:hint="cs"/>
                <w:i/>
                <w:iCs/>
                <w:w w:val="100"/>
                <w:sz w:val="16"/>
                <w:szCs w:val="24"/>
                <w:rtl/>
              </w:rPr>
              <w:t>لمؤس</w:t>
            </w:r>
            <w:r w:rsidR="00DF2952" w:rsidRPr="00AC350D">
              <w:rPr>
                <w:rFonts w:hint="cs"/>
                <w:i/>
                <w:iCs/>
                <w:w w:val="100"/>
                <w:sz w:val="16"/>
                <w:szCs w:val="24"/>
                <w:rtl/>
              </w:rPr>
              <w:t>سات الصحية الأخرى</w:t>
            </w:r>
          </w:p>
        </w:tc>
        <w:tc>
          <w:tcPr>
            <w:tcW w:w="824" w:type="dxa"/>
            <w:tcBorders>
              <w:top w:val="single" w:sz="4" w:space="0" w:color="auto"/>
              <w:bottom w:val="single" w:sz="12" w:space="0" w:color="auto"/>
            </w:tcBorders>
            <w:shd w:val="clear" w:color="auto" w:fill="auto"/>
            <w:vAlign w:val="bottom"/>
          </w:tcPr>
          <w:p w:rsidR="00DF2952" w:rsidRPr="00DF2952" w:rsidRDefault="00984753" w:rsidP="00DF295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اا</w:t>
            </w:r>
            <w:r w:rsidR="00DF2952">
              <w:rPr>
                <w:rFonts w:hint="cs"/>
                <w:i/>
                <w:iCs/>
                <w:sz w:val="16"/>
                <w:szCs w:val="24"/>
                <w:rtl/>
              </w:rPr>
              <w:t>لمن</w:t>
            </w:r>
            <w:r w:rsidR="001D60B1">
              <w:rPr>
                <w:rFonts w:hint="cs"/>
                <w:i/>
                <w:iCs/>
                <w:sz w:val="16"/>
                <w:szCs w:val="24"/>
                <w:rtl/>
              </w:rPr>
              <w:t>ــــــــ</w:t>
            </w:r>
            <w:r w:rsidR="00DF2952">
              <w:rPr>
                <w:rFonts w:hint="cs"/>
                <w:i/>
                <w:iCs/>
                <w:sz w:val="16"/>
                <w:szCs w:val="24"/>
                <w:rtl/>
              </w:rPr>
              <w:t>زل</w:t>
            </w:r>
          </w:p>
        </w:tc>
        <w:tc>
          <w:tcPr>
            <w:tcW w:w="824" w:type="dxa"/>
            <w:tcBorders>
              <w:top w:val="single" w:sz="4" w:space="0" w:color="auto"/>
              <w:bottom w:val="single" w:sz="12" w:space="0" w:color="auto"/>
            </w:tcBorders>
            <w:shd w:val="clear" w:color="auto" w:fill="auto"/>
            <w:vAlign w:val="bottom"/>
          </w:tcPr>
          <w:p w:rsidR="00DF2952" w:rsidRPr="00DF2952" w:rsidRDefault="00DF2952" w:rsidP="00085796">
            <w:pPr>
              <w:tabs>
                <w:tab w:val="left" w:pos="288"/>
                <w:tab w:val="left" w:pos="576"/>
                <w:tab w:val="left" w:pos="864"/>
                <w:tab w:val="left" w:pos="1152"/>
              </w:tabs>
              <w:spacing w:after="80" w:line="240" w:lineRule="exact"/>
              <w:ind w:right="144"/>
              <w:jc w:val="center"/>
              <w:rPr>
                <w:rFonts w:hint="cs"/>
                <w:i/>
                <w:iCs/>
                <w:sz w:val="16"/>
                <w:szCs w:val="24"/>
                <w:rtl/>
              </w:rPr>
            </w:pPr>
            <w:r>
              <w:rPr>
                <w:rFonts w:hint="cs"/>
                <w:i/>
                <w:iCs/>
                <w:sz w:val="16"/>
                <w:szCs w:val="24"/>
                <w:rtl/>
              </w:rPr>
              <w:t>غير ذلك</w:t>
            </w:r>
          </w:p>
        </w:tc>
        <w:tc>
          <w:tcPr>
            <w:tcW w:w="927" w:type="dxa"/>
            <w:tcBorders>
              <w:top w:val="single" w:sz="4" w:space="0" w:color="auto"/>
              <w:bottom w:val="single" w:sz="12" w:space="0" w:color="auto"/>
            </w:tcBorders>
            <w:shd w:val="clear" w:color="auto" w:fill="auto"/>
            <w:vAlign w:val="bottom"/>
          </w:tcPr>
          <w:p w:rsidR="00DF2952" w:rsidRPr="00DF2952" w:rsidRDefault="00F31625" w:rsidP="00DF295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غ</w:t>
            </w:r>
            <w:r w:rsidR="00DF2952">
              <w:rPr>
                <w:rFonts w:hint="cs"/>
                <w:i/>
                <w:iCs/>
                <w:sz w:val="16"/>
                <w:szCs w:val="24"/>
                <w:rtl/>
              </w:rPr>
              <w:t>ير معروف</w:t>
            </w:r>
          </w:p>
        </w:tc>
        <w:tc>
          <w:tcPr>
            <w:tcW w:w="1005" w:type="dxa"/>
            <w:tcBorders>
              <w:top w:val="single" w:sz="4" w:space="0" w:color="auto"/>
              <w:bottom w:val="single" w:sz="12" w:space="0" w:color="auto"/>
            </w:tcBorders>
            <w:shd w:val="clear" w:color="auto" w:fill="auto"/>
            <w:vAlign w:val="bottom"/>
          </w:tcPr>
          <w:p w:rsidR="00DF2952" w:rsidRPr="00DF2952" w:rsidRDefault="00F31625" w:rsidP="001502DC">
            <w:pPr>
              <w:tabs>
                <w:tab w:val="left" w:pos="288"/>
                <w:tab w:val="left" w:pos="576"/>
                <w:tab w:val="left" w:pos="864"/>
                <w:tab w:val="left" w:pos="1152"/>
              </w:tabs>
              <w:spacing w:after="80" w:line="240" w:lineRule="exact"/>
              <w:rPr>
                <w:rFonts w:hint="cs"/>
                <w:i/>
                <w:iCs/>
                <w:sz w:val="16"/>
                <w:szCs w:val="24"/>
                <w:rtl/>
              </w:rPr>
            </w:pPr>
            <w:r>
              <w:rPr>
                <w:rFonts w:hint="cs"/>
                <w:i/>
                <w:iCs/>
                <w:sz w:val="16"/>
                <w:szCs w:val="24"/>
                <w:rtl/>
              </w:rPr>
              <w:t>االإجم</w:t>
            </w:r>
            <w:r w:rsidR="00DF2952">
              <w:rPr>
                <w:rFonts w:hint="cs"/>
                <w:i/>
                <w:iCs/>
                <w:sz w:val="16"/>
                <w:szCs w:val="24"/>
                <w:rtl/>
              </w:rPr>
              <w:t>الي</w:t>
            </w:r>
          </w:p>
        </w:tc>
      </w:tr>
      <w:tr w:rsidR="00DF2952" w:rsidRPr="00DF2952">
        <w:tblPrEx>
          <w:tblCellMar>
            <w:top w:w="0" w:type="dxa"/>
            <w:bottom w:w="0" w:type="dxa"/>
          </w:tblCellMar>
        </w:tblPrEx>
        <w:trPr>
          <w:cantSplit/>
          <w:trHeight w:hRule="exact" w:val="115"/>
          <w:tblHeader/>
        </w:trPr>
        <w:tc>
          <w:tcPr>
            <w:tcW w:w="755" w:type="dxa"/>
            <w:tcBorders>
              <w:top w:val="single" w:sz="12" w:space="0" w:color="auto"/>
            </w:tcBorders>
            <w:shd w:val="clear" w:color="auto" w:fill="auto"/>
            <w:vAlign w:val="bottom"/>
          </w:tcPr>
          <w:p w:rsidR="00DF2952" w:rsidRPr="00DF2952" w:rsidRDefault="00DF2952" w:rsidP="00DF2952">
            <w:pPr>
              <w:tabs>
                <w:tab w:val="left" w:pos="288"/>
                <w:tab w:val="left" w:pos="576"/>
                <w:tab w:val="left" w:pos="864"/>
                <w:tab w:val="left" w:pos="1152"/>
              </w:tabs>
              <w:spacing w:before="40" w:after="80" w:line="240" w:lineRule="exact"/>
              <w:ind w:right="40"/>
              <w:rPr>
                <w:rFonts w:hint="cs"/>
                <w:sz w:val="16"/>
                <w:szCs w:val="24"/>
                <w:rtl/>
              </w:rPr>
            </w:pPr>
          </w:p>
        </w:tc>
        <w:tc>
          <w:tcPr>
            <w:tcW w:w="1030" w:type="dxa"/>
            <w:tcBorders>
              <w:top w:val="single" w:sz="12" w:space="0" w:color="auto"/>
            </w:tcBorders>
            <w:shd w:val="clear" w:color="auto" w:fill="auto"/>
            <w:vAlign w:val="bottom"/>
          </w:tcPr>
          <w:p w:rsidR="00DF2952" w:rsidRPr="00DF2952" w:rsidRDefault="00DF2952" w:rsidP="00DF2952">
            <w:pPr>
              <w:tabs>
                <w:tab w:val="left" w:pos="288"/>
                <w:tab w:val="left" w:pos="576"/>
                <w:tab w:val="left" w:pos="864"/>
                <w:tab w:val="left" w:pos="1152"/>
              </w:tabs>
              <w:spacing w:before="40" w:after="80" w:line="240" w:lineRule="exact"/>
              <w:ind w:right="144"/>
              <w:rPr>
                <w:rFonts w:hint="cs"/>
                <w:sz w:val="16"/>
                <w:szCs w:val="24"/>
                <w:rtl/>
              </w:rPr>
            </w:pPr>
          </w:p>
        </w:tc>
        <w:tc>
          <w:tcPr>
            <w:tcW w:w="1957" w:type="dxa"/>
            <w:tcBorders>
              <w:top w:val="single" w:sz="12" w:space="0" w:color="auto"/>
            </w:tcBorders>
            <w:shd w:val="clear" w:color="auto" w:fill="auto"/>
            <w:vAlign w:val="bottom"/>
          </w:tcPr>
          <w:p w:rsidR="00DF2952" w:rsidRPr="00DF2952" w:rsidRDefault="00DF2952" w:rsidP="00DF2952">
            <w:pPr>
              <w:tabs>
                <w:tab w:val="left" w:pos="288"/>
                <w:tab w:val="left" w:pos="576"/>
                <w:tab w:val="left" w:pos="864"/>
                <w:tab w:val="left" w:pos="1152"/>
              </w:tabs>
              <w:spacing w:before="40" w:after="80" w:line="240" w:lineRule="exact"/>
              <w:ind w:right="144"/>
              <w:rPr>
                <w:rFonts w:hint="cs"/>
                <w:sz w:val="16"/>
                <w:szCs w:val="24"/>
                <w:rtl/>
              </w:rPr>
            </w:pPr>
          </w:p>
        </w:tc>
        <w:tc>
          <w:tcPr>
            <w:tcW w:w="824" w:type="dxa"/>
            <w:tcBorders>
              <w:top w:val="single" w:sz="12" w:space="0" w:color="auto"/>
            </w:tcBorders>
            <w:shd w:val="clear" w:color="auto" w:fill="auto"/>
            <w:vAlign w:val="bottom"/>
          </w:tcPr>
          <w:p w:rsidR="00DF2952" w:rsidRPr="00DF2952" w:rsidRDefault="00DF2952" w:rsidP="00DF2952">
            <w:pPr>
              <w:tabs>
                <w:tab w:val="left" w:pos="288"/>
                <w:tab w:val="left" w:pos="576"/>
                <w:tab w:val="left" w:pos="864"/>
                <w:tab w:val="left" w:pos="1152"/>
              </w:tabs>
              <w:spacing w:before="40" w:after="80" w:line="240" w:lineRule="exact"/>
              <w:ind w:right="144"/>
              <w:rPr>
                <w:rFonts w:hint="cs"/>
                <w:sz w:val="16"/>
                <w:szCs w:val="24"/>
                <w:rtl/>
              </w:rPr>
            </w:pPr>
          </w:p>
        </w:tc>
        <w:tc>
          <w:tcPr>
            <w:tcW w:w="824" w:type="dxa"/>
            <w:tcBorders>
              <w:top w:val="single" w:sz="12" w:space="0" w:color="auto"/>
            </w:tcBorders>
            <w:shd w:val="clear" w:color="auto" w:fill="auto"/>
            <w:vAlign w:val="bottom"/>
          </w:tcPr>
          <w:p w:rsidR="00DF2952" w:rsidRPr="00DF2952" w:rsidRDefault="00DF2952" w:rsidP="00DF2952">
            <w:pPr>
              <w:tabs>
                <w:tab w:val="left" w:pos="288"/>
                <w:tab w:val="left" w:pos="576"/>
                <w:tab w:val="left" w:pos="864"/>
                <w:tab w:val="left" w:pos="1152"/>
              </w:tabs>
              <w:spacing w:before="40" w:after="80" w:line="240" w:lineRule="exact"/>
              <w:ind w:right="144"/>
              <w:rPr>
                <w:rFonts w:hint="cs"/>
                <w:sz w:val="16"/>
                <w:szCs w:val="24"/>
                <w:rtl/>
              </w:rPr>
            </w:pPr>
          </w:p>
        </w:tc>
        <w:tc>
          <w:tcPr>
            <w:tcW w:w="927" w:type="dxa"/>
            <w:tcBorders>
              <w:top w:val="single" w:sz="12" w:space="0" w:color="auto"/>
            </w:tcBorders>
            <w:shd w:val="clear" w:color="auto" w:fill="auto"/>
            <w:vAlign w:val="bottom"/>
          </w:tcPr>
          <w:p w:rsidR="00DF2952" w:rsidRPr="00DF2952" w:rsidRDefault="00DF2952" w:rsidP="00DF2952">
            <w:pPr>
              <w:tabs>
                <w:tab w:val="left" w:pos="288"/>
                <w:tab w:val="left" w:pos="576"/>
                <w:tab w:val="left" w:pos="864"/>
                <w:tab w:val="left" w:pos="1152"/>
              </w:tabs>
              <w:spacing w:before="40" w:after="80" w:line="240" w:lineRule="exact"/>
              <w:ind w:right="144"/>
              <w:rPr>
                <w:rFonts w:hint="cs"/>
                <w:sz w:val="16"/>
                <w:szCs w:val="24"/>
                <w:rtl/>
              </w:rPr>
            </w:pPr>
          </w:p>
        </w:tc>
        <w:tc>
          <w:tcPr>
            <w:tcW w:w="1005" w:type="dxa"/>
            <w:tcBorders>
              <w:top w:val="single" w:sz="12" w:space="0" w:color="auto"/>
            </w:tcBorders>
            <w:shd w:val="clear" w:color="auto" w:fill="auto"/>
            <w:vAlign w:val="bottom"/>
          </w:tcPr>
          <w:p w:rsidR="00DF2952" w:rsidRPr="00DF2952" w:rsidRDefault="00DF2952" w:rsidP="001502DC">
            <w:pPr>
              <w:tabs>
                <w:tab w:val="left" w:pos="288"/>
                <w:tab w:val="left" w:pos="576"/>
                <w:tab w:val="left" w:pos="864"/>
                <w:tab w:val="left" w:pos="1152"/>
              </w:tabs>
              <w:spacing w:before="40" w:after="80" w:line="240" w:lineRule="exact"/>
              <w:rPr>
                <w:rFonts w:hint="cs"/>
                <w:sz w:val="16"/>
                <w:szCs w:val="24"/>
                <w:rtl/>
              </w:rPr>
            </w:pPr>
          </w:p>
        </w:tc>
      </w:tr>
      <w:tr w:rsidR="001502DC" w:rsidRPr="00DF2952">
        <w:tblPrEx>
          <w:tblCellMar>
            <w:top w:w="0" w:type="dxa"/>
            <w:bottom w:w="0" w:type="dxa"/>
          </w:tblCellMar>
        </w:tblPrEx>
        <w:trPr>
          <w:cantSplit/>
        </w:trPr>
        <w:tc>
          <w:tcPr>
            <w:tcW w:w="755" w:type="dxa"/>
            <w:shd w:val="clear" w:color="auto" w:fill="auto"/>
            <w:vAlign w:val="bottom"/>
          </w:tcPr>
          <w:p w:rsidR="00DF2952" w:rsidRPr="00DF2952" w:rsidRDefault="001502DC" w:rsidP="00AC350D">
            <w:pPr>
              <w:tabs>
                <w:tab w:val="left" w:pos="288"/>
                <w:tab w:val="left" w:pos="576"/>
                <w:tab w:val="left" w:pos="864"/>
                <w:tab w:val="left" w:pos="1152"/>
              </w:tabs>
              <w:spacing w:before="40" w:after="40" w:line="240" w:lineRule="exact"/>
              <w:ind w:right="40"/>
              <w:rPr>
                <w:rFonts w:hint="cs"/>
                <w:sz w:val="16"/>
                <w:szCs w:val="24"/>
                <w:rtl/>
              </w:rPr>
            </w:pPr>
            <w:r>
              <w:rPr>
                <w:rFonts w:hint="cs"/>
                <w:sz w:val="16"/>
                <w:szCs w:val="24"/>
                <w:rtl/>
              </w:rPr>
              <w:t>الإجمالي</w:t>
            </w:r>
          </w:p>
        </w:tc>
        <w:tc>
          <w:tcPr>
            <w:tcW w:w="1030" w:type="dxa"/>
            <w:shd w:val="clear" w:color="auto" w:fill="auto"/>
            <w:vAlign w:val="bottom"/>
          </w:tcPr>
          <w:p w:rsidR="00DF2952" w:rsidRPr="00DF2952" w:rsidRDefault="00DF2952" w:rsidP="001D60B1">
            <w:pPr>
              <w:tabs>
                <w:tab w:val="left" w:pos="288"/>
                <w:tab w:val="left" w:pos="576"/>
                <w:tab w:val="left" w:pos="1152"/>
              </w:tabs>
              <w:spacing w:before="40" w:after="40" w:line="240" w:lineRule="exact"/>
              <w:rPr>
                <w:rFonts w:hint="cs"/>
                <w:sz w:val="16"/>
                <w:szCs w:val="24"/>
                <w:rtl/>
              </w:rPr>
            </w:pPr>
            <w:r>
              <w:rPr>
                <w:rFonts w:hint="cs"/>
                <w:sz w:val="16"/>
                <w:szCs w:val="24"/>
                <w:rtl/>
              </w:rPr>
              <w:t>155 928 2</w:t>
            </w:r>
          </w:p>
        </w:tc>
        <w:tc>
          <w:tcPr>
            <w:tcW w:w="1957" w:type="dxa"/>
            <w:shd w:val="clear" w:color="auto" w:fill="auto"/>
            <w:vAlign w:val="bottom"/>
          </w:tcPr>
          <w:p w:rsidR="00DF2952" w:rsidRPr="00DF2952" w:rsidRDefault="001502DC" w:rsidP="00085796">
            <w:pPr>
              <w:tabs>
                <w:tab w:val="left" w:pos="288"/>
                <w:tab w:val="left" w:pos="864"/>
                <w:tab w:val="left" w:pos="1152"/>
              </w:tabs>
              <w:spacing w:before="40" w:after="40" w:line="240" w:lineRule="exact"/>
              <w:ind w:right="144"/>
              <w:jc w:val="center"/>
              <w:rPr>
                <w:rFonts w:hint="cs"/>
                <w:sz w:val="16"/>
                <w:szCs w:val="24"/>
                <w:rtl/>
              </w:rPr>
            </w:pPr>
            <w:r>
              <w:rPr>
                <w:rFonts w:hint="cs"/>
                <w:sz w:val="16"/>
                <w:szCs w:val="24"/>
                <w:rtl/>
              </w:rPr>
              <w:t>792 54</w:t>
            </w:r>
          </w:p>
        </w:tc>
        <w:tc>
          <w:tcPr>
            <w:tcW w:w="824" w:type="dxa"/>
            <w:shd w:val="clear" w:color="auto" w:fill="auto"/>
            <w:vAlign w:val="bottom"/>
          </w:tcPr>
          <w:p w:rsidR="00DF2952" w:rsidRPr="00DF2952" w:rsidRDefault="001502DC" w:rsidP="00AC350D">
            <w:pPr>
              <w:tabs>
                <w:tab w:val="left" w:pos="288"/>
                <w:tab w:val="left" w:pos="576"/>
                <w:tab w:val="left" w:pos="864"/>
                <w:tab w:val="left" w:pos="1152"/>
              </w:tabs>
              <w:spacing w:before="40" w:after="40" w:line="240" w:lineRule="exact"/>
              <w:ind w:right="144"/>
              <w:rPr>
                <w:rFonts w:hint="cs"/>
                <w:sz w:val="16"/>
                <w:szCs w:val="24"/>
                <w:rtl/>
              </w:rPr>
            </w:pPr>
            <w:r>
              <w:rPr>
                <w:rFonts w:hint="cs"/>
                <w:sz w:val="16"/>
                <w:szCs w:val="24"/>
                <w:rtl/>
              </w:rPr>
              <w:t>707 40</w:t>
            </w:r>
          </w:p>
        </w:tc>
        <w:tc>
          <w:tcPr>
            <w:tcW w:w="824" w:type="dxa"/>
            <w:shd w:val="clear" w:color="auto" w:fill="auto"/>
            <w:vAlign w:val="bottom"/>
          </w:tcPr>
          <w:p w:rsidR="00DF2952" w:rsidRPr="00DF2952" w:rsidRDefault="001502DC" w:rsidP="00085796">
            <w:pPr>
              <w:tabs>
                <w:tab w:val="left" w:pos="288"/>
                <w:tab w:val="left" w:pos="576"/>
                <w:tab w:val="left" w:pos="864"/>
                <w:tab w:val="left" w:pos="1152"/>
              </w:tabs>
              <w:spacing w:before="40" w:after="40" w:line="240" w:lineRule="exact"/>
              <w:ind w:right="144"/>
              <w:jc w:val="center"/>
              <w:rPr>
                <w:rFonts w:hint="cs"/>
                <w:sz w:val="16"/>
                <w:szCs w:val="24"/>
                <w:rtl/>
              </w:rPr>
            </w:pPr>
            <w:r>
              <w:rPr>
                <w:rFonts w:hint="cs"/>
                <w:sz w:val="16"/>
                <w:szCs w:val="24"/>
                <w:rtl/>
              </w:rPr>
              <w:t>661 2</w:t>
            </w:r>
          </w:p>
        </w:tc>
        <w:tc>
          <w:tcPr>
            <w:tcW w:w="927" w:type="dxa"/>
            <w:shd w:val="clear" w:color="auto" w:fill="auto"/>
            <w:vAlign w:val="bottom"/>
          </w:tcPr>
          <w:p w:rsidR="00DF2952" w:rsidRPr="00DF2952" w:rsidRDefault="001502DC" w:rsidP="00085796">
            <w:pPr>
              <w:tabs>
                <w:tab w:val="left" w:pos="288"/>
                <w:tab w:val="left" w:pos="576"/>
                <w:tab w:val="left" w:pos="864"/>
                <w:tab w:val="left" w:pos="1152"/>
              </w:tabs>
              <w:spacing w:before="40" w:after="40" w:line="240" w:lineRule="exact"/>
              <w:ind w:right="144"/>
              <w:jc w:val="center"/>
              <w:rPr>
                <w:rFonts w:hint="cs"/>
                <w:sz w:val="16"/>
                <w:szCs w:val="24"/>
                <w:rtl/>
              </w:rPr>
            </w:pPr>
            <w:r>
              <w:rPr>
                <w:rFonts w:hint="cs"/>
                <w:sz w:val="16"/>
                <w:szCs w:val="24"/>
                <w:rtl/>
              </w:rPr>
              <w:t>233</w:t>
            </w:r>
          </w:p>
        </w:tc>
        <w:tc>
          <w:tcPr>
            <w:tcW w:w="1005" w:type="dxa"/>
            <w:shd w:val="clear" w:color="auto" w:fill="auto"/>
            <w:vAlign w:val="bottom"/>
          </w:tcPr>
          <w:p w:rsidR="00DF2952" w:rsidRPr="00DF2952" w:rsidRDefault="001502DC" w:rsidP="00AC350D">
            <w:pPr>
              <w:tabs>
                <w:tab w:val="left" w:pos="288"/>
                <w:tab w:val="left" w:pos="576"/>
                <w:tab w:val="left" w:pos="864"/>
                <w:tab w:val="left" w:pos="1152"/>
              </w:tabs>
              <w:spacing w:before="40" w:after="40" w:line="240" w:lineRule="exact"/>
              <w:rPr>
                <w:rFonts w:hint="cs"/>
                <w:sz w:val="16"/>
                <w:szCs w:val="24"/>
                <w:rtl/>
              </w:rPr>
            </w:pPr>
            <w:r>
              <w:rPr>
                <w:rFonts w:hint="cs"/>
                <w:sz w:val="16"/>
                <w:szCs w:val="24"/>
                <w:rtl/>
              </w:rPr>
              <w:t>548 026 3</w:t>
            </w:r>
          </w:p>
        </w:tc>
      </w:tr>
      <w:tr w:rsidR="001502DC" w:rsidRPr="00DF2952">
        <w:tblPrEx>
          <w:tblCellMar>
            <w:top w:w="0" w:type="dxa"/>
            <w:bottom w:w="0" w:type="dxa"/>
          </w:tblCellMar>
        </w:tblPrEx>
        <w:trPr>
          <w:cantSplit/>
        </w:trPr>
        <w:tc>
          <w:tcPr>
            <w:tcW w:w="755" w:type="dxa"/>
            <w:tcBorders>
              <w:bottom w:val="single" w:sz="12" w:space="0" w:color="auto"/>
            </w:tcBorders>
            <w:shd w:val="clear" w:color="auto" w:fill="auto"/>
            <w:vAlign w:val="bottom"/>
          </w:tcPr>
          <w:p w:rsidR="00DF2952" w:rsidRPr="00DF2952" w:rsidRDefault="001502DC" w:rsidP="00AC350D">
            <w:pPr>
              <w:tabs>
                <w:tab w:val="left" w:pos="288"/>
                <w:tab w:val="left" w:pos="576"/>
                <w:tab w:val="left" w:pos="864"/>
                <w:tab w:val="left" w:pos="1152"/>
              </w:tabs>
              <w:spacing w:before="40" w:after="40" w:line="240" w:lineRule="exact"/>
              <w:ind w:right="40"/>
              <w:rPr>
                <w:rFonts w:hint="cs"/>
                <w:sz w:val="16"/>
                <w:szCs w:val="24"/>
                <w:rtl/>
              </w:rPr>
            </w:pPr>
            <w:r>
              <w:rPr>
                <w:rFonts w:hint="cs"/>
                <w:sz w:val="16"/>
                <w:szCs w:val="24"/>
                <w:rtl/>
              </w:rPr>
              <w:t>نسبة مئوية</w:t>
            </w:r>
          </w:p>
        </w:tc>
        <w:tc>
          <w:tcPr>
            <w:tcW w:w="1030" w:type="dxa"/>
            <w:tcBorders>
              <w:bottom w:val="single" w:sz="12" w:space="0" w:color="auto"/>
            </w:tcBorders>
            <w:shd w:val="clear" w:color="auto" w:fill="auto"/>
            <w:vAlign w:val="bottom"/>
          </w:tcPr>
          <w:p w:rsidR="00DF2952" w:rsidRPr="00DF2952" w:rsidRDefault="00DF2952" w:rsidP="00085796">
            <w:pPr>
              <w:tabs>
                <w:tab w:val="left" w:pos="288"/>
                <w:tab w:val="left" w:pos="576"/>
                <w:tab w:val="left" w:pos="864"/>
                <w:tab w:val="left" w:pos="1152"/>
              </w:tabs>
              <w:spacing w:before="40" w:after="40" w:line="240" w:lineRule="exact"/>
              <w:ind w:right="144"/>
              <w:jc w:val="center"/>
              <w:rPr>
                <w:rFonts w:hint="cs"/>
                <w:sz w:val="16"/>
                <w:szCs w:val="24"/>
                <w:rtl/>
              </w:rPr>
            </w:pPr>
            <w:r>
              <w:rPr>
                <w:rFonts w:hint="cs"/>
                <w:sz w:val="16"/>
                <w:szCs w:val="24"/>
                <w:rtl/>
              </w:rPr>
              <w:t>96.76</w:t>
            </w:r>
          </w:p>
        </w:tc>
        <w:tc>
          <w:tcPr>
            <w:tcW w:w="1957" w:type="dxa"/>
            <w:tcBorders>
              <w:bottom w:val="single" w:sz="12" w:space="0" w:color="auto"/>
            </w:tcBorders>
            <w:shd w:val="clear" w:color="auto" w:fill="auto"/>
            <w:vAlign w:val="bottom"/>
          </w:tcPr>
          <w:p w:rsidR="00DF2952" w:rsidRPr="00DF2952" w:rsidRDefault="00DF2952" w:rsidP="00085796">
            <w:pPr>
              <w:tabs>
                <w:tab w:val="left" w:pos="288"/>
                <w:tab w:val="left" w:pos="864"/>
                <w:tab w:val="left" w:pos="1152"/>
              </w:tabs>
              <w:spacing w:before="40" w:after="40" w:line="240" w:lineRule="exact"/>
              <w:ind w:right="144"/>
              <w:jc w:val="center"/>
              <w:rPr>
                <w:rFonts w:hint="cs"/>
                <w:sz w:val="16"/>
                <w:szCs w:val="24"/>
                <w:rtl/>
              </w:rPr>
            </w:pPr>
            <w:r>
              <w:rPr>
                <w:rFonts w:hint="cs"/>
                <w:sz w:val="16"/>
                <w:szCs w:val="24"/>
                <w:rtl/>
              </w:rPr>
              <w:t>1.87</w:t>
            </w:r>
          </w:p>
        </w:tc>
        <w:tc>
          <w:tcPr>
            <w:tcW w:w="824" w:type="dxa"/>
            <w:tcBorders>
              <w:bottom w:val="single" w:sz="12" w:space="0" w:color="auto"/>
            </w:tcBorders>
            <w:shd w:val="clear" w:color="auto" w:fill="auto"/>
            <w:vAlign w:val="bottom"/>
          </w:tcPr>
          <w:p w:rsidR="00DF2952" w:rsidRPr="00DF2952" w:rsidRDefault="00DF2952" w:rsidP="00085796">
            <w:pPr>
              <w:tabs>
                <w:tab w:val="left" w:pos="288"/>
                <w:tab w:val="left" w:pos="576"/>
                <w:tab w:val="left" w:pos="864"/>
                <w:tab w:val="left" w:pos="1152"/>
              </w:tabs>
              <w:spacing w:before="40" w:after="40" w:line="240" w:lineRule="exact"/>
              <w:ind w:right="144"/>
              <w:jc w:val="center"/>
              <w:rPr>
                <w:rFonts w:hint="cs"/>
                <w:sz w:val="16"/>
                <w:szCs w:val="24"/>
                <w:rtl/>
              </w:rPr>
            </w:pPr>
            <w:r>
              <w:rPr>
                <w:rFonts w:hint="cs"/>
                <w:sz w:val="16"/>
                <w:szCs w:val="24"/>
                <w:rtl/>
              </w:rPr>
              <w:t>1.35</w:t>
            </w:r>
          </w:p>
        </w:tc>
        <w:tc>
          <w:tcPr>
            <w:tcW w:w="824" w:type="dxa"/>
            <w:tcBorders>
              <w:bottom w:val="single" w:sz="12" w:space="0" w:color="auto"/>
            </w:tcBorders>
            <w:shd w:val="clear" w:color="auto" w:fill="auto"/>
            <w:vAlign w:val="bottom"/>
          </w:tcPr>
          <w:p w:rsidR="00DF2952" w:rsidRPr="00DF2952" w:rsidRDefault="00DF2952" w:rsidP="00085796">
            <w:pPr>
              <w:tabs>
                <w:tab w:val="left" w:pos="288"/>
                <w:tab w:val="left" w:pos="576"/>
                <w:tab w:val="left" w:pos="864"/>
                <w:tab w:val="left" w:pos="1152"/>
              </w:tabs>
              <w:spacing w:before="40" w:after="40" w:line="240" w:lineRule="exact"/>
              <w:ind w:right="144"/>
              <w:jc w:val="center"/>
              <w:rPr>
                <w:rFonts w:hint="cs"/>
                <w:sz w:val="16"/>
                <w:szCs w:val="24"/>
                <w:rtl/>
              </w:rPr>
            </w:pPr>
            <w:r>
              <w:rPr>
                <w:rFonts w:hint="cs"/>
                <w:sz w:val="16"/>
                <w:szCs w:val="24"/>
                <w:rtl/>
              </w:rPr>
              <w:t>0.01</w:t>
            </w:r>
          </w:p>
        </w:tc>
        <w:tc>
          <w:tcPr>
            <w:tcW w:w="927" w:type="dxa"/>
            <w:tcBorders>
              <w:bottom w:val="single" w:sz="12" w:space="0" w:color="auto"/>
            </w:tcBorders>
            <w:shd w:val="clear" w:color="auto" w:fill="auto"/>
            <w:vAlign w:val="bottom"/>
          </w:tcPr>
          <w:p w:rsidR="00DF2952" w:rsidRPr="00DF2952" w:rsidRDefault="00DF2952" w:rsidP="00085796">
            <w:pPr>
              <w:tabs>
                <w:tab w:val="left" w:pos="288"/>
                <w:tab w:val="left" w:pos="576"/>
                <w:tab w:val="left" w:pos="864"/>
                <w:tab w:val="left" w:pos="1152"/>
              </w:tabs>
              <w:spacing w:before="40" w:after="40" w:line="240" w:lineRule="exact"/>
              <w:ind w:right="144"/>
              <w:jc w:val="center"/>
              <w:rPr>
                <w:rFonts w:hint="cs"/>
                <w:sz w:val="16"/>
                <w:szCs w:val="24"/>
                <w:rtl/>
              </w:rPr>
            </w:pPr>
            <w:r>
              <w:rPr>
                <w:rFonts w:hint="cs"/>
                <w:sz w:val="16"/>
                <w:szCs w:val="24"/>
                <w:rtl/>
              </w:rPr>
              <w:t>0.01</w:t>
            </w:r>
          </w:p>
        </w:tc>
        <w:tc>
          <w:tcPr>
            <w:tcW w:w="1005" w:type="dxa"/>
            <w:tcBorders>
              <w:bottom w:val="single" w:sz="12" w:space="0" w:color="auto"/>
            </w:tcBorders>
            <w:shd w:val="clear" w:color="auto" w:fill="auto"/>
            <w:vAlign w:val="bottom"/>
          </w:tcPr>
          <w:p w:rsidR="00DF2952" w:rsidRPr="00DF2952" w:rsidRDefault="00DF2952" w:rsidP="00085796">
            <w:pPr>
              <w:tabs>
                <w:tab w:val="left" w:pos="288"/>
                <w:tab w:val="left" w:pos="576"/>
                <w:tab w:val="left" w:pos="864"/>
                <w:tab w:val="left" w:pos="1152"/>
              </w:tabs>
              <w:spacing w:before="40" w:after="40" w:line="240" w:lineRule="exact"/>
              <w:jc w:val="center"/>
              <w:rPr>
                <w:rFonts w:hint="cs"/>
                <w:sz w:val="16"/>
                <w:szCs w:val="24"/>
                <w:rtl/>
              </w:rPr>
            </w:pPr>
            <w:r>
              <w:rPr>
                <w:rFonts w:hint="cs"/>
                <w:sz w:val="16"/>
                <w:szCs w:val="24"/>
                <w:rtl/>
              </w:rPr>
              <w:t>100</w:t>
            </w:r>
          </w:p>
        </w:tc>
      </w:tr>
    </w:tbl>
    <w:p w:rsidR="00AC350D" w:rsidRPr="00AC350D" w:rsidRDefault="00AC350D" w:rsidP="00AC350D">
      <w:pPr>
        <w:pStyle w:val="FootnoteText"/>
        <w:tabs>
          <w:tab w:val="clear" w:pos="418"/>
          <w:tab w:val="right" w:pos="1915"/>
          <w:tab w:val="left" w:pos="2016"/>
          <w:tab w:val="left" w:pos="2491"/>
          <w:tab w:val="left" w:pos="2966"/>
          <w:tab w:val="left" w:pos="3442"/>
          <w:tab w:val="left" w:pos="3917"/>
        </w:tabs>
        <w:spacing w:line="80" w:lineRule="exact"/>
        <w:ind w:left="2030" w:right="1267" w:hanging="763"/>
        <w:rPr>
          <w:rFonts w:hint="cs"/>
          <w:sz w:val="10"/>
          <w:rtl/>
        </w:rPr>
      </w:pPr>
    </w:p>
    <w:p w:rsidR="009F6BA9" w:rsidRPr="00772F28" w:rsidRDefault="00AC350D" w:rsidP="00AC350D">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lang w:bidi="ar-EG"/>
        </w:rPr>
      </w:pPr>
      <w:r>
        <w:rPr>
          <w:rFonts w:hint="cs"/>
          <w:rtl/>
        </w:rPr>
        <w:tab/>
      </w:r>
      <w:r w:rsidRPr="00AC350D">
        <w:rPr>
          <w:rFonts w:hint="cs"/>
          <w:i/>
          <w:iCs/>
          <w:rtl/>
        </w:rPr>
        <w:t>المصدر</w:t>
      </w:r>
      <w:r>
        <w:rPr>
          <w:rFonts w:hint="cs"/>
          <w:rtl/>
        </w:rPr>
        <w:t>:</w:t>
      </w:r>
      <w:r>
        <w:rPr>
          <w:rFonts w:hint="cs"/>
          <w:rtl/>
        </w:rPr>
        <w:tab/>
      </w:r>
      <w:r>
        <w:t>MS/SVS/DASIS</w:t>
      </w:r>
      <w:r>
        <w:rPr>
          <w:rFonts w:hint="cs"/>
          <w:rtl/>
          <w:lang w:bidi="ar-EG"/>
        </w:rPr>
        <w:t xml:space="preserve"> - نظام معلومات الولادات الحية - </w:t>
      </w:r>
      <w:r>
        <w:rPr>
          <w:lang w:bidi="ar-EG"/>
        </w:rPr>
        <w:t>SINASC</w:t>
      </w:r>
      <w:r>
        <w:rPr>
          <w:rFonts w:hint="cs"/>
          <w:rtl/>
          <w:lang w:bidi="ar-EG"/>
        </w:rPr>
        <w:t>.</w:t>
      </w:r>
    </w:p>
    <w:p w:rsidR="0065740E" w:rsidRPr="0065740E" w:rsidRDefault="0065740E" w:rsidP="0065740E">
      <w:pPr>
        <w:pStyle w:val="SingleTxt"/>
        <w:spacing w:after="0" w:line="120" w:lineRule="exact"/>
        <w:rPr>
          <w:rFonts w:hint="cs"/>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1167"/>
        <w:gridCol w:w="968"/>
        <w:gridCol w:w="968"/>
        <w:gridCol w:w="968"/>
        <w:gridCol w:w="968"/>
        <w:gridCol w:w="969"/>
        <w:gridCol w:w="721"/>
        <w:gridCol w:w="591"/>
      </w:tblGrid>
      <w:tr w:rsidR="00D65187" w:rsidRPr="00D65187">
        <w:tblPrEx>
          <w:tblCellMar>
            <w:top w:w="0" w:type="dxa"/>
            <w:bottom w:w="0" w:type="dxa"/>
          </w:tblCellMar>
        </w:tblPrEx>
        <w:trPr>
          <w:cantSplit/>
          <w:tblHeader/>
        </w:trPr>
        <w:tc>
          <w:tcPr>
            <w:tcW w:w="7320" w:type="dxa"/>
            <w:gridSpan w:val="8"/>
            <w:tcBorders>
              <w:top w:val="single" w:sz="4" w:space="0" w:color="auto"/>
              <w:bottom w:val="single" w:sz="4" w:space="0" w:color="auto"/>
            </w:tcBorders>
            <w:shd w:val="clear" w:color="auto" w:fill="auto"/>
            <w:vAlign w:val="bottom"/>
          </w:tcPr>
          <w:p w:rsidR="00D65187" w:rsidRPr="00D65187" w:rsidRDefault="00D65187" w:rsidP="00D65187">
            <w:pPr>
              <w:tabs>
                <w:tab w:val="left" w:pos="288"/>
                <w:tab w:val="left" w:pos="576"/>
                <w:tab w:val="left" w:pos="864"/>
                <w:tab w:val="left" w:pos="1152"/>
              </w:tabs>
              <w:spacing w:before="80" w:after="80" w:line="240" w:lineRule="exact"/>
              <w:ind w:right="144"/>
              <w:jc w:val="center"/>
              <w:rPr>
                <w:rFonts w:hint="cs"/>
                <w:b/>
                <w:bCs/>
                <w:sz w:val="12"/>
                <w:szCs w:val="20"/>
                <w:rtl/>
              </w:rPr>
            </w:pPr>
            <w:r w:rsidRPr="00D65187">
              <w:rPr>
                <w:rFonts w:hint="cs"/>
                <w:b/>
                <w:bCs/>
                <w:sz w:val="18"/>
                <w:szCs w:val="26"/>
                <w:rtl/>
              </w:rPr>
              <w:t>المواليد حسب سكن الأم لكل سنة وفقا لاختبارات ما قبل الولادة</w:t>
            </w:r>
          </w:p>
        </w:tc>
      </w:tr>
      <w:tr w:rsidR="00DF09D3" w:rsidRPr="00D65187">
        <w:tblPrEx>
          <w:tblCellMar>
            <w:top w:w="0" w:type="dxa"/>
            <w:bottom w:w="0" w:type="dxa"/>
          </w:tblCellMar>
        </w:tblPrEx>
        <w:trPr>
          <w:cantSplit/>
          <w:tblHeader/>
        </w:trPr>
        <w:tc>
          <w:tcPr>
            <w:tcW w:w="1167" w:type="dxa"/>
            <w:tcBorders>
              <w:top w:val="single" w:sz="4" w:space="0" w:color="auto"/>
              <w:bottom w:val="single" w:sz="12" w:space="0" w:color="auto"/>
            </w:tcBorders>
            <w:shd w:val="clear" w:color="auto" w:fill="auto"/>
            <w:vAlign w:val="bottom"/>
          </w:tcPr>
          <w:p w:rsidR="009B1571" w:rsidRPr="00D65187" w:rsidRDefault="00DF09D3" w:rsidP="009B1571">
            <w:pPr>
              <w:tabs>
                <w:tab w:val="left" w:pos="288"/>
                <w:tab w:val="left" w:pos="576"/>
                <w:tab w:val="left" w:pos="864"/>
                <w:tab w:val="left" w:pos="1152"/>
              </w:tabs>
              <w:spacing w:after="80" w:line="240" w:lineRule="exact"/>
              <w:ind w:right="40"/>
              <w:rPr>
                <w:rFonts w:hint="cs"/>
                <w:i/>
                <w:iCs/>
                <w:sz w:val="12"/>
                <w:szCs w:val="20"/>
                <w:rtl/>
              </w:rPr>
            </w:pPr>
            <w:r w:rsidRPr="00D65187">
              <w:rPr>
                <w:rFonts w:hint="cs"/>
                <w:i/>
                <w:iCs/>
                <w:sz w:val="12"/>
                <w:szCs w:val="20"/>
                <w:rtl/>
              </w:rPr>
              <w:t>السنة</w:t>
            </w:r>
          </w:p>
        </w:tc>
        <w:tc>
          <w:tcPr>
            <w:tcW w:w="968" w:type="dxa"/>
            <w:tcBorders>
              <w:top w:val="single" w:sz="4" w:space="0" w:color="auto"/>
              <w:bottom w:val="single" w:sz="12" w:space="0" w:color="auto"/>
            </w:tcBorders>
            <w:shd w:val="clear" w:color="auto" w:fill="auto"/>
            <w:vAlign w:val="bottom"/>
          </w:tcPr>
          <w:p w:rsidR="009B1571" w:rsidRPr="00D65187" w:rsidRDefault="00DF09D3" w:rsidP="009B1571">
            <w:pPr>
              <w:tabs>
                <w:tab w:val="left" w:pos="288"/>
                <w:tab w:val="left" w:pos="576"/>
                <w:tab w:val="left" w:pos="864"/>
                <w:tab w:val="left" w:pos="1152"/>
              </w:tabs>
              <w:spacing w:after="80" w:line="240" w:lineRule="exact"/>
              <w:ind w:right="144"/>
              <w:rPr>
                <w:rFonts w:hint="cs"/>
                <w:i/>
                <w:iCs/>
                <w:sz w:val="12"/>
                <w:szCs w:val="20"/>
                <w:rtl/>
              </w:rPr>
            </w:pPr>
            <w:r w:rsidRPr="00D65187">
              <w:rPr>
                <w:rFonts w:hint="cs"/>
                <w:i/>
                <w:iCs/>
                <w:sz w:val="12"/>
                <w:szCs w:val="20"/>
                <w:rtl/>
              </w:rPr>
              <w:t>2001</w:t>
            </w:r>
          </w:p>
        </w:tc>
        <w:tc>
          <w:tcPr>
            <w:tcW w:w="968" w:type="dxa"/>
            <w:tcBorders>
              <w:top w:val="single" w:sz="4" w:space="0" w:color="auto"/>
              <w:bottom w:val="single" w:sz="12" w:space="0" w:color="auto"/>
            </w:tcBorders>
            <w:shd w:val="clear" w:color="auto" w:fill="auto"/>
            <w:vAlign w:val="bottom"/>
          </w:tcPr>
          <w:p w:rsidR="009B1571" w:rsidRPr="00D65187" w:rsidRDefault="00DF09D3" w:rsidP="009B1571">
            <w:pPr>
              <w:tabs>
                <w:tab w:val="left" w:pos="288"/>
                <w:tab w:val="left" w:pos="576"/>
                <w:tab w:val="left" w:pos="864"/>
                <w:tab w:val="left" w:pos="1152"/>
              </w:tabs>
              <w:spacing w:after="80" w:line="240" w:lineRule="exact"/>
              <w:ind w:right="144"/>
              <w:rPr>
                <w:rFonts w:hint="cs"/>
                <w:i/>
                <w:iCs/>
                <w:sz w:val="12"/>
                <w:szCs w:val="20"/>
                <w:rtl/>
              </w:rPr>
            </w:pPr>
            <w:r w:rsidRPr="00D65187">
              <w:rPr>
                <w:rFonts w:hint="cs"/>
                <w:i/>
                <w:iCs/>
                <w:sz w:val="12"/>
                <w:szCs w:val="20"/>
                <w:rtl/>
              </w:rPr>
              <w:t>2002</w:t>
            </w:r>
          </w:p>
        </w:tc>
        <w:tc>
          <w:tcPr>
            <w:tcW w:w="968" w:type="dxa"/>
            <w:tcBorders>
              <w:top w:val="single" w:sz="4" w:space="0" w:color="auto"/>
              <w:bottom w:val="single" w:sz="12" w:space="0" w:color="auto"/>
            </w:tcBorders>
            <w:shd w:val="clear" w:color="auto" w:fill="auto"/>
            <w:vAlign w:val="bottom"/>
          </w:tcPr>
          <w:p w:rsidR="009B1571" w:rsidRPr="00D65187" w:rsidRDefault="00DF09D3" w:rsidP="009B1571">
            <w:pPr>
              <w:tabs>
                <w:tab w:val="left" w:pos="288"/>
                <w:tab w:val="left" w:pos="576"/>
                <w:tab w:val="left" w:pos="864"/>
                <w:tab w:val="left" w:pos="1152"/>
              </w:tabs>
              <w:spacing w:after="80" w:line="240" w:lineRule="exact"/>
              <w:ind w:right="144"/>
              <w:rPr>
                <w:rFonts w:hint="cs"/>
                <w:i/>
                <w:iCs/>
                <w:sz w:val="12"/>
                <w:szCs w:val="20"/>
                <w:rtl/>
              </w:rPr>
            </w:pPr>
            <w:r w:rsidRPr="00D65187">
              <w:rPr>
                <w:rFonts w:hint="cs"/>
                <w:i/>
                <w:iCs/>
                <w:sz w:val="12"/>
                <w:szCs w:val="20"/>
                <w:rtl/>
              </w:rPr>
              <w:t>2003</w:t>
            </w:r>
          </w:p>
        </w:tc>
        <w:tc>
          <w:tcPr>
            <w:tcW w:w="968" w:type="dxa"/>
            <w:tcBorders>
              <w:top w:val="single" w:sz="4" w:space="0" w:color="auto"/>
              <w:bottom w:val="single" w:sz="12" w:space="0" w:color="auto"/>
            </w:tcBorders>
            <w:shd w:val="clear" w:color="auto" w:fill="auto"/>
            <w:vAlign w:val="bottom"/>
          </w:tcPr>
          <w:p w:rsidR="009B1571" w:rsidRPr="00D65187" w:rsidRDefault="00DF09D3" w:rsidP="009B1571">
            <w:pPr>
              <w:tabs>
                <w:tab w:val="left" w:pos="288"/>
                <w:tab w:val="left" w:pos="576"/>
                <w:tab w:val="left" w:pos="864"/>
                <w:tab w:val="left" w:pos="1152"/>
              </w:tabs>
              <w:spacing w:after="80" w:line="240" w:lineRule="exact"/>
              <w:ind w:right="144"/>
              <w:rPr>
                <w:rFonts w:hint="cs"/>
                <w:i/>
                <w:iCs/>
                <w:sz w:val="12"/>
                <w:szCs w:val="20"/>
                <w:rtl/>
              </w:rPr>
            </w:pPr>
            <w:r w:rsidRPr="00D65187">
              <w:rPr>
                <w:rFonts w:hint="cs"/>
                <w:i/>
                <w:iCs/>
                <w:sz w:val="12"/>
                <w:szCs w:val="20"/>
                <w:rtl/>
              </w:rPr>
              <w:t>2004</w:t>
            </w:r>
          </w:p>
        </w:tc>
        <w:tc>
          <w:tcPr>
            <w:tcW w:w="969" w:type="dxa"/>
            <w:tcBorders>
              <w:top w:val="single" w:sz="4" w:space="0" w:color="auto"/>
              <w:bottom w:val="single" w:sz="12" w:space="0" w:color="auto"/>
            </w:tcBorders>
            <w:shd w:val="clear" w:color="auto" w:fill="auto"/>
            <w:vAlign w:val="bottom"/>
          </w:tcPr>
          <w:p w:rsidR="009B1571" w:rsidRPr="00D65187" w:rsidRDefault="00DF09D3" w:rsidP="009B1571">
            <w:pPr>
              <w:tabs>
                <w:tab w:val="left" w:pos="288"/>
                <w:tab w:val="left" w:pos="576"/>
                <w:tab w:val="left" w:pos="864"/>
                <w:tab w:val="left" w:pos="1152"/>
              </w:tabs>
              <w:spacing w:after="80" w:line="240" w:lineRule="exact"/>
              <w:ind w:right="144"/>
              <w:rPr>
                <w:rFonts w:hint="cs"/>
                <w:i/>
                <w:iCs/>
                <w:sz w:val="12"/>
                <w:szCs w:val="20"/>
                <w:rtl/>
              </w:rPr>
            </w:pPr>
            <w:r w:rsidRPr="00D65187">
              <w:rPr>
                <w:rFonts w:hint="cs"/>
                <w:i/>
                <w:iCs/>
                <w:sz w:val="12"/>
                <w:szCs w:val="20"/>
                <w:rtl/>
              </w:rPr>
              <w:t>الإجمالي</w:t>
            </w:r>
          </w:p>
        </w:tc>
        <w:tc>
          <w:tcPr>
            <w:tcW w:w="721" w:type="dxa"/>
            <w:tcBorders>
              <w:top w:val="single" w:sz="4" w:space="0" w:color="auto"/>
              <w:bottom w:val="single" w:sz="12" w:space="0" w:color="auto"/>
            </w:tcBorders>
            <w:shd w:val="clear" w:color="auto" w:fill="auto"/>
            <w:vAlign w:val="bottom"/>
          </w:tcPr>
          <w:p w:rsidR="009B1571" w:rsidRPr="00D65187" w:rsidRDefault="00DF09D3" w:rsidP="00D65187">
            <w:pPr>
              <w:tabs>
                <w:tab w:val="left" w:pos="288"/>
                <w:tab w:val="left" w:pos="576"/>
                <w:tab w:val="left" w:pos="864"/>
                <w:tab w:val="left" w:pos="1152"/>
              </w:tabs>
              <w:spacing w:after="80" w:line="240" w:lineRule="exact"/>
              <w:rPr>
                <w:rFonts w:hint="cs"/>
                <w:i/>
                <w:iCs/>
                <w:sz w:val="12"/>
                <w:szCs w:val="20"/>
                <w:rtl/>
              </w:rPr>
            </w:pPr>
            <w:r w:rsidRPr="00D65187">
              <w:rPr>
                <w:rFonts w:hint="cs"/>
                <w:i/>
                <w:iCs/>
                <w:sz w:val="12"/>
                <w:szCs w:val="20"/>
                <w:rtl/>
              </w:rPr>
              <w:t>النسبة المئوية</w:t>
            </w:r>
          </w:p>
        </w:tc>
        <w:tc>
          <w:tcPr>
            <w:tcW w:w="591" w:type="dxa"/>
            <w:tcBorders>
              <w:top w:val="single" w:sz="4" w:space="0" w:color="auto"/>
              <w:bottom w:val="single" w:sz="12" w:space="0" w:color="auto"/>
            </w:tcBorders>
            <w:shd w:val="clear" w:color="auto" w:fill="auto"/>
            <w:vAlign w:val="bottom"/>
          </w:tcPr>
          <w:p w:rsidR="009B1571" w:rsidRPr="00D65187" w:rsidRDefault="009B1571" w:rsidP="009B1571">
            <w:pPr>
              <w:tabs>
                <w:tab w:val="left" w:pos="288"/>
                <w:tab w:val="left" w:pos="576"/>
                <w:tab w:val="left" w:pos="864"/>
                <w:tab w:val="left" w:pos="1152"/>
              </w:tabs>
              <w:spacing w:after="80" w:line="240" w:lineRule="exact"/>
              <w:ind w:right="144"/>
              <w:rPr>
                <w:rFonts w:hint="cs"/>
                <w:i/>
                <w:iCs/>
                <w:sz w:val="12"/>
                <w:szCs w:val="20"/>
                <w:rtl/>
              </w:rPr>
            </w:pPr>
          </w:p>
        </w:tc>
      </w:tr>
      <w:tr w:rsidR="009B1571" w:rsidRPr="00D65187">
        <w:tblPrEx>
          <w:tblCellMar>
            <w:top w:w="0" w:type="dxa"/>
            <w:bottom w:w="0" w:type="dxa"/>
          </w:tblCellMar>
        </w:tblPrEx>
        <w:trPr>
          <w:cantSplit/>
          <w:trHeight w:hRule="exact" w:val="115"/>
          <w:tblHeader/>
        </w:trPr>
        <w:tc>
          <w:tcPr>
            <w:tcW w:w="1167" w:type="dxa"/>
            <w:tcBorders>
              <w:top w:val="single" w:sz="12" w:space="0" w:color="auto"/>
            </w:tcBorders>
            <w:shd w:val="clear" w:color="auto" w:fill="auto"/>
            <w:vAlign w:val="bottom"/>
          </w:tcPr>
          <w:p w:rsidR="009B1571" w:rsidRPr="00D65187" w:rsidRDefault="009B1571" w:rsidP="009B1571">
            <w:pPr>
              <w:tabs>
                <w:tab w:val="left" w:pos="288"/>
                <w:tab w:val="left" w:pos="576"/>
                <w:tab w:val="left" w:pos="864"/>
                <w:tab w:val="left" w:pos="1152"/>
              </w:tabs>
              <w:spacing w:before="40" w:after="80" w:line="240" w:lineRule="exact"/>
              <w:ind w:right="40"/>
              <w:rPr>
                <w:rFonts w:hint="cs"/>
                <w:sz w:val="12"/>
                <w:szCs w:val="20"/>
                <w:rtl/>
              </w:rPr>
            </w:pPr>
          </w:p>
        </w:tc>
        <w:tc>
          <w:tcPr>
            <w:tcW w:w="968" w:type="dxa"/>
            <w:tcBorders>
              <w:top w:val="single" w:sz="12" w:space="0" w:color="auto"/>
            </w:tcBorders>
            <w:shd w:val="clear" w:color="auto" w:fill="auto"/>
            <w:vAlign w:val="bottom"/>
          </w:tcPr>
          <w:p w:rsidR="009B1571" w:rsidRPr="00D65187" w:rsidRDefault="009B1571" w:rsidP="009B1571">
            <w:pPr>
              <w:tabs>
                <w:tab w:val="left" w:pos="288"/>
                <w:tab w:val="left" w:pos="576"/>
                <w:tab w:val="left" w:pos="864"/>
                <w:tab w:val="left" w:pos="1152"/>
              </w:tabs>
              <w:spacing w:before="40" w:after="80" w:line="240" w:lineRule="exact"/>
              <w:ind w:right="144"/>
              <w:rPr>
                <w:rFonts w:hint="cs"/>
                <w:sz w:val="12"/>
                <w:szCs w:val="20"/>
                <w:rtl/>
              </w:rPr>
            </w:pPr>
          </w:p>
        </w:tc>
        <w:tc>
          <w:tcPr>
            <w:tcW w:w="968" w:type="dxa"/>
            <w:tcBorders>
              <w:top w:val="single" w:sz="12" w:space="0" w:color="auto"/>
            </w:tcBorders>
            <w:shd w:val="clear" w:color="auto" w:fill="auto"/>
            <w:vAlign w:val="bottom"/>
          </w:tcPr>
          <w:p w:rsidR="009B1571" w:rsidRPr="00D65187" w:rsidRDefault="009B1571" w:rsidP="009B1571">
            <w:pPr>
              <w:tabs>
                <w:tab w:val="left" w:pos="288"/>
                <w:tab w:val="left" w:pos="576"/>
                <w:tab w:val="left" w:pos="864"/>
                <w:tab w:val="left" w:pos="1152"/>
              </w:tabs>
              <w:spacing w:before="40" w:after="80" w:line="240" w:lineRule="exact"/>
              <w:ind w:right="144"/>
              <w:rPr>
                <w:rFonts w:hint="cs"/>
                <w:sz w:val="12"/>
                <w:szCs w:val="20"/>
                <w:rtl/>
              </w:rPr>
            </w:pPr>
          </w:p>
        </w:tc>
        <w:tc>
          <w:tcPr>
            <w:tcW w:w="968" w:type="dxa"/>
            <w:tcBorders>
              <w:top w:val="single" w:sz="12" w:space="0" w:color="auto"/>
            </w:tcBorders>
            <w:shd w:val="clear" w:color="auto" w:fill="auto"/>
            <w:vAlign w:val="bottom"/>
          </w:tcPr>
          <w:p w:rsidR="009B1571" w:rsidRPr="00D65187" w:rsidRDefault="009B1571" w:rsidP="009B1571">
            <w:pPr>
              <w:tabs>
                <w:tab w:val="left" w:pos="288"/>
                <w:tab w:val="left" w:pos="576"/>
                <w:tab w:val="left" w:pos="864"/>
                <w:tab w:val="left" w:pos="1152"/>
              </w:tabs>
              <w:spacing w:before="40" w:after="80" w:line="240" w:lineRule="exact"/>
              <w:ind w:right="144"/>
              <w:rPr>
                <w:rFonts w:hint="cs"/>
                <w:sz w:val="12"/>
                <w:szCs w:val="20"/>
                <w:rtl/>
              </w:rPr>
            </w:pPr>
          </w:p>
        </w:tc>
        <w:tc>
          <w:tcPr>
            <w:tcW w:w="968" w:type="dxa"/>
            <w:tcBorders>
              <w:top w:val="single" w:sz="12" w:space="0" w:color="auto"/>
            </w:tcBorders>
            <w:shd w:val="clear" w:color="auto" w:fill="auto"/>
            <w:vAlign w:val="bottom"/>
          </w:tcPr>
          <w:p w:rsidR="009B1571" w:rsidRPr="00D65187" w:rsidRDefault="009B1571" w:rsidP="009B1571">
            <w:pPr>
              <w:tabs>
                <w:tab w:val="left" w:pos="288"/>
                <w:tab w:val="left" w:pos="576"/>
                <w:tab w:val="left" w:pos="864"/>
                <w:tab w:val="left" w:pos="1152"/>
              </w:tabs>
              <w:spacing w:before="40" w:after="80" w:line="240" w:lineRule="exact"/>
              <w:ind w:right="144"/>
              <w:rPr>
                <w:rFonts w:hint="cs"/>
                <w:sz w:val="12"/>
                <w:szCs w:val="20"/>
                <w:rtl/>
              </w:rPr>
            </w:pPr>
          </w:p>
        </w:tc>
        <w:tc>
          <w:tcPr>
            <w:tcW w:w="969" w:type="dxa"/>
            <w:tcBorders>
              <w:top w:val="single" w:sz="12" w:space="0" w:color="auto"/>
            </w:tcBorders>
            <w:shd w:val="clear" w:color="auto" w:fill="auto"/>
            <w:vAlign w:val="bottom"/>
          </w:tcPr>
          <w:p w:rsidR="009B1571" w:rsidRPr="00D65187" w:rsidRDefault="009B1571" w:rsidP="009B1571">
            <w:pPr>
              <w:tabs>
                <w:tab w:val="left" w:pos="288"/>
                <w:tab w:val="left" w:pos="576"/>
                <w:tab w:val="left" w:pos="864"/>
                <w:tab w:val="left" w:pos="1152"/>
              </w:tabs>
              <w:spacing w:before="40" w:after="80" w:line="240" w:lineRule="exact"/>
              <w:ind w:right="144"/>
              <w:rPr>
                <w:rFonts w:hint="cs"/>
                <w:sz w:val="12"/>
                <w:szCs w:val="20"/>
                <w:rtl/>
              </w:rPr>
            </w:pPr>
          </w:p>
        </w:tc>
        <w:tc>
          <w:tcPr>
            <w:tcW w:w="721" w:type="dxa"/>
            <w:tcBorders>
              <w:top w:val="single" w:sz="12" w:space="0" w:color="auto"/>
            </w:tcBorders>
            <w:shd w:val="clear" w:color="auto" w:fill="auto"/>
            <w:vAlign w:val="bottom"/>
          </w:tcPr>
          <w:p w:rsidR="009B1571" w:rsidRPr="00D65187" w:rsidRDefault="009B1571" w:rsidP="009B1571">
            <w:pPr>
              <w:tabs>
                <w:tab w:val="left" w:pos="288"/>
                <w:tab w:val="left" w:pos="576"/>
                <w:tab w:val="left" w:pos="864"/>
                <w:tab w:val="left" w:pos="1152"/>
              </w:tabs>
              <w:spacing w:before="40" w:after="80" w:line="240" w:lineRule="exact"/>
              <w:ind w:right="144"/>
              <w:rPr>
                <w:rFonts w:hint="cs"/>
                <w:sz w:val="12"/>
                <w:szCs w:val="20"/>
                <w:rtl/>
              </w:rPr>
            </w:pPr>
          </w:p>
        </w:tc>
        <w:tc>
          <w:tcPr>
            <w:tcW w:w="591" w:type="dxa"/>
            <w:tcBorders>
              <w:top w:val="single" w:sz="12" w:space="0" w:color="auto"/>
            </w:tcBorders>
            <w:shd w:val="clear" w:color="auto" w:fill="auto"/>
            <w:vAlign w:val="bottom"/>
          </w:tcPr>
          <w:p w:rsidR="009B1571" w:rsidRPr="00D65187" w:rsidRDefault="009B1571" w:rsidP="009B1571">
            <w:pPr>
              <w:tabs>
                <w:tab w:val="left" w:pos="288"/>
                <w:tab w:val="left" w:pos="576"/>
                <w:tab w:val="left" w:pos="864"/>
                <w:tab w:val="left" w:pos="1152"/>
              </w:tabs>
              <w:spacing w:before="40" w:after="80" w:line="240" w:lineRule="exact"/>
              <w:ind w:right="144"/>
              <w:rPr>
                <w:rFonts w:hint="cs"/>
                <w:sz w:val="12"/>
                <w:szCs w:val="20"/>
                <w:rtl/>
              </w:rPr>
            </w:pPr>
          </w:p>
        </w:tc>
      </w:tr>
      <w:tr w:rsidR="00DF09D3" w:rsidRPr="00D65187">
        <w:tblPrEx>
          <w:tblCellMar>
            <w:top w:w="0" w:type="dxa"/>
            <w:bottom w:w="0" w:type="dxa"/>
          </w:tblCellMar>
        </w:tblPrEx>
        <w:trPr>
          <w:cantSplit/>
        </w:trPr>
        <w:tc>
          <w:tcPr>
            <w:tcW w:w="1167" w:type="dxa"/>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40"/>
              <w:rPr>
                <w:rFonts w:hint="cs"/>
                <w:sz w:val="12"/>
                <w:szCs w:val="20"/>
                <w:rtl/>
              </w:rPr>
            </w:pPr>
            <w:r w:rsidRPr="00D65187">
              <w:rPr>
                <w:rFonts w:hint="cs"/>
                <w:sz w:val="12"/>
                <w:szCs w:val="20"/>
                <w:rtl/>
              </w:rPr>
              <w:t>دون اختبار</w:t>
            </w:r>
          </w:p>
        </w:tc>
        <w:tc>
          <w:tcPr>
            <w:tcW w:w="968" w:type="dxa"/>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143 136</w:t>
            </w:r>
          </w:p>
        </w:tc>
        <w:tc>
          <w:tcPr>
            <w:tcW w:w="968" w:type="dxa"/>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324 112</w:t>
            </w:r>
          </w:p>
        </w:tc>
        <w:tc>
          <w:tcPr>
            <w:tcW w:w="968" w:type="dxa"/>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314 95</w:t>
            </w:r>
          </w:p>
        </w:tc>
        <w:tc>
          <w:tcPr>
            <w:tcW w:w="968" w:type="dxa"/>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970 83</w:t>
            </w:r>
          </w:p>
        </w:tc>
        <w:tc>
          <w:tcPr>
            <w:tcW w:w="969" w:type="dxa"/>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751 427</w:t>
            </w:r>
          </w:p>
        </w:tc>
        <w:tc>
          <w:tcPr>
            <w:tcW w:w="721" w:type="dxa"/>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3.495</w:t>
            </w:r>
          </w:p>
        </w:tc>
        <w:tc>
          <w:tcPr>
            <w:tcW w:w="591" w:type="dxa"/>
            <w:shd w:val="clear" w:color="auto" w:fill="auto"/>
            <w:vAlign w:val="bottom"/>
          </w:tcPr>
          <w:p w:rsidR="009B1571" w:rsidRPr="00D65187" w:rsidRDefault="009B1571" w:rsidP="009B1571">
            <w:pPr>
              <w:tabs>
                <w:tab w:val="left" w:pos="288"/>
                <w:tab w:val="left" w:pos="576"/>
                <w:tab w:val="left" w:pos="864"/>
                <w:tab w:val="left" w:pos="1152"/>
              </w:tabs>
              <w:spacing w:before="40" w:after="80" w:line="240" w:lineRule="exact"/>
              <w:ind w:right="144"/>
              <w:rPr>
                <w:rFonts w:hint="cs"/>
                <w:sz w:val="12"/>
                <w:szCs w:val="20"/>
                <w:rtl/>
              </w:rPr>
            </w:pPr>
          </w:p>
        </w:tc>
      </w:tr>
      <w:tr w:rsidR="009B1571" w:rsidRPr="00D65187">
        <w:tblPrEx>
          <w:tblCellMar>
            <w:top w:w="0" w:type="dxa"/>
            <w:bottom w:w="0" w:type="dxa"/>
          </w:tblCellMar>
        </w:tblPrEx>
        <w:trPr>
          <w:cantSplit/>
        </w:trPr>
        <w:tc>
          <w:tcPr>
            <w:tcW w:w="1167" w:type="dxa"/>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40"/>
              <w:rPr>
                <w:rFonts w:hint="cs"/>
                <w:sz w:val="12"/>
                <w:szCs w:val="20"/>
                <w:rtl/>
              </w:rPr>
            </w:pPr>
            <w:r w:rsidRPr="00D65187">
              <w:rPr>
                <w:rFonts w:hint="cs"/>
                <w:sz w:val="12"/>
                <w:szCs w:val="20"/>
                <w:rtl/>
              </w:rPr>
              <w:t>1 - 3 اختبارات</w:t>
            </w:r>
          </w:p>
        </w:tc>
        <w:tc>
          <w:tcPr>
            <w:tcW w:w="968" w:type="dxa"/>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848 345</w:t>
            </w:r>
          </w:p>
        </w:tc>
        <w:tc>
          <w:tcPr>
            <w:tcW w:w="968" w:type="dxa"/>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688 322</w:t>
            </w:r>
          </w:p>
        </w:tc>
        <w:tc>
          <w:tcPr>
            <w:tcW w:w="968" w:type="dxa"/>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382 300</w:t>
            </w:r>
          </w:p>
        </w:tc>
        <w:tc>
          <w:tcPr>
            <w:tcW w:w="968" w:type="dxa"/>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855 283</w:t>
            </w:r>
          </w:p>
        </w:tc>
        <w:tc>
          <w:tcPr>
            <w:tcW w:w="969" w:type="dxa"/>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773 252 1</w:t>
            </w:r>
          </w:p>
        </w:tc>
        <w:tc>
          <w:tcPr>
            <w:tcW w:w="721" w:type="dxa"/>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10.24</w:t>
            </w:r>
          </w:p>
        </w:tc>
        <w:tc>
          <w:tcPr>
            <w:tcW w:w="591" w:type="dxa"/>
            <w:shd w:val="clear" w:color="auto" w:fill="auto"/>
            <w:vAlign w:val="bottom"/>
          </w:tcPr>
          <w:p w:rsidR="009B1571" w:rsidRPr="00D65187" w:rsidRDefault="009B1571" w:rsidP="009B1571">
            <w:pPr>
              <w:tabs>
                <w:tab w:val="left" w:pos="288"/>
                <w:tab w:val="left" w:pos="576"/>
                <w:tab w:val="left" w:pos="864"/>
                <w:tab w:val="left" w:pos="1152"/>
              </w:tabs>
              <w:spacing w:before="40" w:after="80" w:line="240" w:lineRule="exact"/>
              <w:ind w:right="144"/>
              <w:rPr>
                <w:rFonts w:hint="cs"/>
                <w:sz w:val="12"/>
                <w:szCs w:val="20"/>
                <w:rtl/>
              </w:rPr>
            </w:pPr>
          </w:p>
        </w:tc>
      </w:tr>
      <w:tr w:rsidR="00DF09D3" w:rsidRPr="00D65187">
        <w:tblPrEx>
          <w:tblCellMar>
            <w:top w:w="0" w:type="dxa"/>
            <w:bottom w:w="0" w:type="dxa"/>
          </w:tblCellMar>
        </w:tblPrEx>
        <w:trPr>
          <w:cantSplit/>
        </w:trPr>
        <w:tc>
          <w:tcPr>
            <w:tcW w:w="1167" w:type="dxa"/>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40"/>
              <w:rPr>
                <w:rFonts w:hint="cs"/>
                <w:sz w:val="12"/>
                <w:szCs w:val="20"/>
                <w:rtl/>
              </w:rPr>
            </w:pPr>
            <w:r w:rsidRPr="00D65187">
              <w:rPr>
                <w:rFonts w:hint="cs"/>
                <w:sz w:val="12"/>
                <w:szCs w:val="20"/>
                <w:rtl/>
              </w:rPr>
              <w:t>4 - 6 اختبارات</w:t>
            </w:r>
          </w:p>
        </w:tc>
        <w:tc>
          <w:tcPr>
            <w:tcW w:w="968" w:type="dxa"/>
            <w:shd w:val="clear" w:color="auto" w:fill="auto"/>
            <w:vAlign w:val="bottom"/>
          </w:tcPr>
          <w:p w:rsidR="009B1571" w:rsidRPr="00D65187" w:rsidRDefault="00D65187"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903 096 1</w:t>
            </w:r>
          </w:p>
        </w:tc>
        <w:tc>
          <w:tcPr>
            <w:tcW w:w="968" w:type="dxa"/>
            <w:shd w:val="clear" w:color="auto" w:fill="auto"/>
            <w:vAlign w:val="bottom"/>
          </w:tcPr>
          <w:p w:rsidR="009B1571" w:rsidRPr="00D65187" w:rsidRDefault="00D65187"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806 079 1</w:t>
            </w:r>
          </w:p>
        </w:tc>
        <w:tc>
          <w:tcPr>
            <w:tcW w:w="968" w:type="dxa"/>
            <w:shd w:val="clear" w:color="auto" w:fill="auto"/>
            <w:vAlign w:val="bottom"/>
          </w:tcPr>
          <w:p w:rsidR="009B1571" w:rsidRPr="00D65187" w:rsidRDefault="00D65187"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680 056 1</w:t>
            </w:r>
          </w:p>
        </w:tc>
        <w:tc>
          <w:tcPr>
            <w:tcW w:w="968" w:type="dxa"/>
            <w:shd w:val="clear" w:color="auto" w:fill="auto"/>
            <w:vAlign w:val="bottom"/>
          </w:tcPr>
          <w:p w:rsidR="009B1571" w:rsidRPr="00D65187" w:rsidRDefault="00D65187"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142 031 1</w:t>
            </w:r>
          </w:p>
        </w:tc>
        <w:tc>
          <w:tcPr>
            <w:tcW w:w="969" w:type="dxa"/>
            <w:shd w:val="clear" w:color="auto" w:fill="auto"/>
            <w:vAlign w:val="bottom"/>
          </w:tcPr>
          <w:p w:rsidR="009B1571" w:rsidRPr="00D65187" w:rsidRDefault="00D65187"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531 264 4</w:t>
            </w:r>
          </w:p>
        </w:tc>
        <w:tc>
          <w:tcPr>
            <w:tcW w:w="721" w:type="dxa"/>
            <w:shd w:val="clear" w:color="auto" w:fill="auto"/>
            <w:vAlign w:val="bottom"/>
          </w:tcPr>
          <w:p w:rsidR="009B1571" w:rsidRPr="00D65187" w:rsidRDefault="00D65187"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34.84</w:t>
            </w:r>
          </w:p>
        </w:tc>
        <w:tc>
          <w:tcPr>
            <w:tcW w:w="591" w:type="dxa"/>
            <w:shd w:val="clear" w:color="auto" w:fill="auto"/>
            <w:vAlign w:val="bottom"/>
          </w:tcPr>
          <w:p w:rsidR="009B1571" w:rsidRPr="00D65187" w:rsidRDefault="009B1571" w:rsidP="009B1571">
            <w:pPr>
              <w:tabs>
                <w:tab w:val="left" w:pos="288"/>
                <w:tab w:val="left" w:pos="576"/>
                <w:tab w:val="left" w:pos="864"/>
                <w:tab w:val="left" w:pos="1152"/>
              </w:tabs>
              <w:spacing w:before="40" w:after="80" w:line="240" w:lineRule="exact"/>
              <w:ind w:right="144"/>
              <w:rPr>
                <w:rFonts w:hint="cs"/>
                <w:sz w:val="12"/>
                <w:szCs w:val="20"/>
                <w:rtl/>
              </w:rPr>
            </w:pPr>
          </w:p>
        </w:tc>
      </w:tr>
      <w:tr w:rsidR="00DF09D3" w:rsidRPr="00D65187">
        <w:tblPrEx>
          <w:tblCellMar>
            <w:top w:w="0" w:type="dxa"/>
            <w:bottom w:w="0" w:type="dxa"/>
          </w:tblCellMar>
        </w:tblPrEx>
        <w:trPr>
          <w:cantSplit/>
        </w:trPr>
        <w:tc>
          <w:tcPr>
            <w:tcW w:w="1167" w:type="dxa"/>
            <w:tcBorders>
              <w:bottom w:val="single" w:sz="12" w:space="0" w:color="auto"/>
            </w:tcBorders>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40"/>
              <w:rPr>
                <w:rFonts w:hint="cs"/>
                <w:sz w:val="12"/>
                <w:szCs w:val="20"/>
                <w:rtl/>
              </w:rPr>
            </w:pPr>
            <w:r w:rsidRPr="00D65187">
              <w:rPr>
                <w:rFonts w:hint="cs"/>
                <w:sz w:val="12"/>
                <w:szCs w:val="20"/>
                <w:rtl/>
              </w:rPr>
              <w:t>7 اختبارات أو أكثر</w:t>
            </w:r>
          </w:p>
        </w:tc>
        <w:tc>
          <w:tcPr>
            <w:tcW w:w="968" w:type="dxa"/>
            <w:tcBorders>
              <w:bottom w:val="single" w:sz="12" w:space="0" w:color="auto"/>
            </w:tcBorders>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062 419 1</w:t>
            </w:r>
          </w:p>
        </w:tc>
        <w:tc>
          <w:tcPr>
            <w:tcW w:w="968" w:type="dxa"/>
            <w:tcBorders>
              <w:bottom w:val="single" w:sz="12" w:space="0" w:color="auto"/>
            </w:tcBorders>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469 463 1</w:t>
            </w:r>
          </w:p>
        </w:tc>
        <w:tc>
          <w:tcPr>
            <w:tcW w:w="968" w:type="dxa"/>
            <w:tcBorders>
              <w:bottom w:val="single" w:sz="12" w:space="0" w:color="auto"/>
            </w:tcBorders>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553 516 1</w:t>
            </w:r>
          </w:p>
        </w:tc>
        <w:tc>
          <w:tcPr>
            <w:tcW w:w="968" w:type="dxa"/>
            <w:tcBorders>
              <w:bottom w:val="single" w:sz="12" w:space="0" w:color="auto"/>
            </w:tcBorders>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185 573 1</w:t>
            </w:r>
          </w:p>
        </w:tc>
        <w:tc>
          <w:tcPr>
            <w:tcW w:w="969" w:type="dxa"/>
            <w:tcBorders>
              <w:bottom w:val="single" w:sz="12" w:space="0" w:color="auto"/>
            </w:tcBorders>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269 972 5</w:t>
            </w:r>
          </w:p>
        </w:tc>
        <w:tc>
          <w:tcPr>
            <w:tcW w:w="721" w:type="dxa"/>
            <w:tcBorders>
              <w:bottom w:val="single" w:sz="12" w:space="0" w:color="auto"/>
            </w:tcBorders>
            <w:shd w:val="clear" w:color="auto" w:fill="auto"/>
            <w:vAlign w:val="bottom"/>
          </w:tcPr>
          <w:p w:rsidR="009B1571" w:rsidRPr="00D65187" w:rsidRDefault="00DF09D3" w:rsidP="009B1571">
            <w:pPr>
              <w:tabs>
                <w:tab w:val="left" w:pos="288"/>
                <w:tab w:val="left" w:pos="576"/>
                <w:tab w:val="left" w:pos="864"/>
                <w:tab w:val="left" w:pos="1152"/>
              </w:tabs>
              <w:spacing w:before="40" w:after="80" w:line="240" w:lineRule="exact"/>
              <w:ind w:right="144"/>
              <w:rPr>
                <w:rFonts w:hint="cs"/>
                <w:sz w:val="12"/>
                <w:szCs w:val="20"/>
                <w:rtl/>
              </w:rPr>
            </w:pPr>
            <w:r w:rsidRPr="00D65187">
              <w:rPr>
                <w:rFonts w:hint="cs"/>
                <w:sz w:val="12"/>
                <w:szCs w:val="20"/>
                <w:rtl/>
              </w:rPr>
              <w:t>48.79</w:t>
            </w:r>
          </w:p>
        </w:tc>
        <w:tc>
          <w:tcPr>
            <w:tcW w:w="591" w:type="dxa"/>
            <w:tcBorders>
              <w:bottom w:val="single" w:sz="12" w:space="0" w:color="auto"/>
            </w:tcBorders>
            <w:shd w:val="clear" w:color="auto" w:fill="auto"/>
            <w:vAlign w:val="bottom"/>
          </w:tcPr>
          <w:p w:rsidR="009B1571" w:rsidRPr="00D65187" w:rsidRDefault="00DF09D3" w:rsidP="00DF09D3">
            <w:pPr>
              <w:tabs>
                <w:tab w:val="left" w:pos="288"/>
                <w:tab w:val="left" w:pos="576"/>
                <w:tab w:val="left" w:pos="864"/>
                <w:tab w:val="left" w:pos="1152"/>
              </w:tabs>
              <w:spacing w:before="40" w:after="80" w:line="240" w:lineRule="exact"/>
              <w:rPr>
                <w:rFonts w:hint="cs"/>
                <w:sz w:val="12"/>
                <w:szCs w:val="20"/>
                <w:rtl/>
              </w:rPr>
            </w:pPr>
            <w:r w:rsidRPr="00D65187">
              <w:rPr>
                <w:rFonts w:hint="cs"/>
                <w:sz w:val="12"/>
                <w:szCs w:val="20"/>
                <w:rtl/>
              </w:rPr>
              <w:t>83.64</w:t>
            </w:r>
          </w:p>
        </w:tc>
      </w:tr>
    </w:tbl>
    <w:p w:rsidR="0065740E" w:rsidRPr="0065740E" w:rsidRDefault="0065740E" w:rsidP="0065740E">
      <w:pPr>
        <w:pStyle w:val="SingleTxt"/>
        <w:spacing w:after="0" w:line="120" w:lineRule="exact"/>
        <w:rPr>
          <w:rFonts w:hint="cs"/>
          <w:sz w:val="10"/>
          <w:rtl/>
        </w:rPr>
      </w:pPr>
    </w:p>
    <w:p w:rsidR="0065740E" w:rsidRPr="00772F28" w:rsidRDefault="0065740E" w:rsidP="0065740E">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lang w:bidi="ar-EG"/>
        </w:rPr>
      </w:pPr>
      <w:r>
        <w:rPr>
          <w:rFonts w:hint="cs"/>
          <w:rtl/>
        </w:rPr>
        <w:tab/>
      </w:r>
      <w:r w:rsidRPr="00AC350D">
        <w:rPr>
          <w:rFonts w:hint="cs"/>
          <w:i/>
          <w:iCs/>
          <w:rtl/>
        </w:rPr>
        <w:t>المصدر</w:t>
      </w:r>
      <w:r>
        <w:rPr>
          <w:rFonts w:hint="cs"/>
          <w:rtl/>
        </w:rPr>
        <w:t>:</w:t>
      </w:r>
      <w:r>
        <w:rPr>
          <w:rFonts w:hint="cs"/>
          <w:rtl/>
        </w:rPr>
        <w:tab/>
      </w:r>
      <w:r>
        <w:t>MS/SVS/DASIS</w:t>
      </w:r>
      <w:r>
        <w:rPr>
          <w:rFonts w:hint="cs"/>
          <w:rtl/>
          <w:lang w:bidi="ar-EG"/>
        </w:rPr>
        <w:t xml:space="preserve"> - نظام معلومات الولادات الحية - </w:t>
      </w:r>
      <w:r>
        <w:rPr>
          <w:lang w:bidi="ar-EG"/>
        </w:rPr>
        <w:t>SINASC</w:t>
      </w:r>
      <w:r>
        <w:rPr>
          <w:rFonts w:hint="cs"/>
          <w:rtl/>
          <w:lang w:bidi="ar-EG"/>
        </w:rPr>
        <w:t>.</w:t>
      </w:r>
    </w:p>
    <w:p w:rsidR="0065740E" w:rsidRPr="0065740E" w:rsidRDefault="0065740E" w:rsidP="0065740E">
      <w:pPr>
        <w:pStyle w:val="SingleTxt"/>
        <w:spacing w:after="0" w:line="120" w:lineRule="exact"/>
        <w:rPr>
          <w:rFonts w:hint="cs"/>
          <w:sz w:val="10"/>
          <w:rtl/>
        </w:rPr>
      </w:pPr>
    </w:p>
    <w:p w:rsidR="0065740E" w:rsidRPr="0065740E" w:rsidRDefault="0065740E" w:rsidP="0065740E">
      <w:pPr>
        <w:pStyle w:val="SingleTxt"/>
        <w:spacing w:after="0" w:line="120" w:lineRule="exact"/>
        <w:rPr>
          <w:rFonts w:hint="cs"/>
          <w:sz w:val="10"/>
          <w:rtl/>
        </w:rPr>
      </w:pPr>
    </w:p>
    <w:p w:rsidR="00085796" w:rsidRDefault="0065740E" w:rsidP="00F31625">
      <w:pPr>
        <w:pStyle w:val="SingleTxt"/>
        <w:rPr>
          <w:rFonts w:hint="cs"/>
          <w:rtl/>
        </w:rPr>
      </w:pPr>
      <w:r>
        <w:rPr>
          <w:rFonts w:hint="cs"/>
          <w:rtl/>
        </w:rPr>
        <w:tab/>
        <w:t xml:space="preserve">وأنفقت وزارة الصحة على الرعاية الأساسية </w:t>
      </w:r>
      <w:r w:rsidR="00F31625">
        <w:rPr>
          <w:rFonts w:hint="cs"/>
          <w:rtl/>
        </w:rPr>
        <w:t>-</w:t>
      </w:r>
      <w:r>
        <w:rPr>
          <w:rFonts w:hint="cs"/>
          <w:rtl/>
        </w:rPr>
        <w:t>في إطار استراتيجية صحة الأسرة</w:t>
      </w:r>
      <w:r w:rsidR="00F31625">
        <w:rPr>
          <w:rFonts w:hint="cs"/>
          <w:rtl/>
        </w:rPr>
        <w:t>-</w:t>
      </w:r>
      <w:r>
        <w:rPr>
          <w:rFonts w:hint="cs"/>
          <w:rtl/>
        </w:rPr>
        <w:t xml:space="preserve"> كطريقة لتوفير الرعاية للسكان في أقرب مكان ممكن من سكنهم. وشكلت الأسر الريفية 24.21 في المائة من الأسر التي تتلقى هذه الرعاية من الأفرقة الصحية</w:t>
      </w:r>
      <w:r w:rsidR="00F31625">
        <w:rPr>
          <w:rFonts w:hint="cs"/>
          <w:rtl/>
        </w:rPr>
        <w:t>،</w:t>
      </w:r>
      <w:r>
        <w:rPr>
          <w:rFonts w:hint="cs"/>
          <w:rtl/>
        </w:rPr>
        <w:t>كما يتضح من الجدول أدناه.</w:t>
      </w:r>
    </w:p>
    <w:tbl>
      <w:tblPr>
        <w:bidiVisual/>
        <w:tblW w:w="7320" w:type="dxa"/>
        <w:tblInd w:w="1267" w:type="dxa"/>
        <w:tblLayout w:type="fixed"/>
        <w:tblCellMar>
          <w:left w:w="0" w:type="dxa"/>
          <w:right w:w="0" w:type="dxa"/>
        </w:tblCellMar>
        <w:tblLook w:val="0000" w:firstRow="0" w:lastRow="0" w:firstColumn="0" w:lastColumn="0" w:noHBand="0" w:noVBand="0"/>
      </w:tblPr>
      <w:tblGrid>
        <w:gridCol w:w="858"/>
        <w:gridCol w:w="1648"/>
        <w:gridCol w:w="927"/>
        <w:gridCol w:w="1545"/>
        <w:gridCol w:w="927"/>
        <w:gridCol w:w="1415"/>
      </w:tblGrid>
      <w:tr w:rsidR="00D37B3F" w:rsidRPr="000C424C">
        <w:tblPrEx>
          <w:tblCellMar>
            <w:top w:w="0" w:type="dxa"/>
            <w:bottom w:w="0" w:type="dxa"/>
          </w:tblCellMar>
        </w:tblPrEx>
        <w:trPr>
          <w:cantSplit/>
          <w:tblHeader/>
        </w:trPr>
        <w:tc>
          <w:tcPr>
            <w:tcW w:w="7320" w:type="dxa"/>
            <w:gridSpan w:val="6"/>
            <w:tcBorders>
              <w:top w:val="single" w:sz="4" w:space="0" w:color="auto"/>
              <w:bottom w:val="single" w:sz="4" w:space="0" w:color="auto"/>
            </w:tcBorders>
            <w:shd w:val="clear" w:color="auto" w:fill="auto"/>
            <w:vAlign w:val="bottom"/>
          </w:tcPr>
          <w:p w:rsidR="00D37B3F" w:rsidRPr="00D37B3F" w:rsidRDefault="00D37B3F" w:rsidP="00D37B3F">
            <w:pPr>
              <w:tabs>
                <w:tab w:val="left" w:pos="288"/>
                <w:tab w:val="left" w:pos="576"/>
                <w:tab w:val="left" w:pos="864"/>
                <w:tab w:val="left" w:pos="1152"/>
              </w:tabs>
              <w:spacing w:before="80" w:after="80" w:line="240" w:lineRule="exact"/>
              <w:ind w:right="144"/>
              <w:jc w:val="center"/>
              <w:rPr>
                <w:rFonts w:hint="cs"/>
                <w:b/>
                <w:bCs/>
                <w:sz w:val="16"/>
                <w:szCs w:val="24"/>
                <w:rtl/>
                <w:lang w:bidi="ar-EG"/>
              </w:rPr>
            </w:pPr>
            <w:r w:rsidRPr="00DC6FE6">
              <w:rPr>
                <w:rFonts w:hint="cs"/>
                <w:b/>
                <w:bCs/>
                <w:sz w:val="18"/>
                <w:szCs w:val="26"/>
                <w:rtl/>
                <w:lang w:bidi="ar-EG"/>
              </w:rPr>
              <w:t>الأسرة التي تحصل على الرعاية عن طريق أفرق</w:t>
            </w:r>
            <w:r w:rsidR="00F31625">
              <w:rPr>
                <w:rFonts w:hint="cs"/>
                <w:b/>
                <w:bCs/>
                <w:sz w:val="18"/>
                <w:szCs w:val="26"/>
                <w:rtl/>
                <w:lang w:bidi="ar-EG"/>
              </w:rPr>
              <w:t>ة</w:t>
            </w:r>
            <w:r w:rsidRPr="00DC6FE6">
              <w:rPr>
                <w:rFonts w:hint="cs"/>
                <w:b/>
                <w:bCs/>
                <w:sz w:val="18"/>
                <w:szCs w:val="26"/>
                <w:rtl/>
                <w:lang w:bidi="ar-EG"/>
              </w:rPr>
              <w:t xml:space="preserve"> الرعاية الصحية الأسرية لكل منطقة سكنية</w:t>
            </w:r>
          </w:p>
        </w:tc>
      </w:tr>
      <w:tr w:rsidR="000C424C" w:rsidRPr="000C424C">
        <w:tblPrEx>
          <w:tblCellMar>
            <w:top w:w="0" w:type="dxa"/>
            <w:bottom w:w="0" w:type="dxa"/>
          </w:tblCellMar>
        </w:tblPrEx>
        <w:trPr>
          <w:cantSplit/>
          <w:tblHeader/>
        </w:trPr>
        <w:tc>
          <w:tcPr>
            <w:tcW w:w="858" w:type="dxa"/>
            <w:tcBorders>
              <w:top w:val="single" w:sz="4" w:space="0" w:color="auto"/>
              <w:bottom w:val="single" w:sz="12" w:space="0" w:color="auto"/>
            </w:tcBorders>
            <w:shd w:val="clear" w:color="auto" w:fill="auto"/>
            <w:vAlign w:val="bottom"/>
          </w:tcPr>
          <w:p w:rsidR="000C424C" w:rsidRPr="000C424C" w:rsidRDefault="000C424C" w:rsidP="000C424C">
            <w:pPr>
              <w:tabs>
                <w:tab w:val="left" w:pos="288"/>
                <w:tab w:val="left" w:pos="576"/>
                <w:tab w:val="left" w:pos="864"/>
                <w:tab w:val="left" w:pos="1152"/>
              </w:tabs>
              <w:spacing w:before="40" w:after="80" w:line="240" w:lineRule="exact"/>
              <w:ind w:right="40"/>
              <w:rPr>
                <w:rFonts w:hint="cs"/>
                <w:i/>
                <w:iCs/>
                <w:sz w:val="16"/>
                <w:szCs w:val="24"/>
                <w:rtl/>
                <w:lang w:bidi="ar-EG"/>
              </w:rPr>
            </w:pPr>
            <w:r>
              <w:rPr>
                <w:rFonts w:hint="cs"/>
                <w:i/>
                <w:iCs/>
                <w:sz w:val="16"/>
                <w:szCs w:val="24"/>
                <w:rtl/>
                <w:lang w:bidi="ar-EG"/>
              </w:rPr>
              <w:t>السنة</w:t>
            </w:r>
          </w:p>
        </w:tc>
        <w:tc>
          <w:tcPr>
            <w:tcW w:w="1648" w:type="dxa"/>
            <w:tcBorders>
              <w:top w:val="single" w:sz="4" w:space="0" w:color="auto"/>
              <w:bottom w:val="single" w:sz="12" w:space="0" w:color="auto"/>
            </w:tcBorders>
            <w:shd w:val="clear" w:color="auto" w:fill="auto"/>
            <w:vAlign w:val="bottom"/>
          </w:tcPr>
          <w:p w:rsidR="000C424C" w:rsidRPr="000C424C" w:rsidRDefault="006464B5" w:rsidP="006464B5">
            <w:pPr>
              <w:tabs>
                <w:tab w:val="left" w:pos="288"/>
                <w:tab w:val="left" w:pos="576"/>
                <w:tab w:val="left" w:pos="864"/>
                <w:tab w:val="left" w:pos="1152"/>
              </w:tabs>
              <w:spacing w:before="40" w:after="80" w:line="240" w:lineRule="exact"/>
              <w:ind w:right="309"/>
              <w:jc w:val="center"/>
              <w:rPr>
                <w:rFonts w:hint="cs"/>
                <w:i/>
                <w:iCs/>
                <w:sz w:val="16"/>
                <w:szCs w:val="24"/>
                <w:rtl/>
                <w:lang w:bidi="ar-EG"/>
              </w:rPr>
            </w:pPr>
            <w:r>
              <w:rPr>
                <w:rFonts w:hint="cs"/>
                <w:i/>
                <w:iCs/>
                <w:sz w:val="16"/>
                <w:szCs w:val="24"/>
                <w:rtl/>
                <w:lang w:bidi="ar-EG"/>
              </w:rPr>
              <w:t>الحضر</w:t>
            </w:r>
          </w:p>
        </w:tc>
        <w:tc>
          <w:tcPr>
            <w:tcW w:w="927" w:type="dxa"/>
            <w:tcBorders>
              <w:top w:val="single" w:sz="4" w:space="0" w:color="auto"/>
              <w:bottom w:val="single" w:sz="12" w:space="0" w:color="auto"/>
            </w:tcBorders>
            <w:shd w:val="clear" w:color="auto" w:fill="auto"/>
            <w:vAlign w:val="bottom"/>
          </w:tcPr>
          <w:p w:rsidR="000C424C" w:rsidRPr="000C424C" w:rsidRDefault="000C424C" w:rsidP="006657FD">
            <w:pPr>
              <w:tabs>
                <w:tab w:val="left" w:pos="288"/>
                <w:tab w:val="left" w:pos="576"/>
                <w:tab w:val="left" w:pos="1152"/>
              </w:tabs>
              <w:spacing w:before="40" w:after="80" w:line="240" w:lineRule="exact"/>
              <w:ind w:right="103"/>
              <w:rPr>
                <w:rFonts w:hint="cs"/>
                <w:i/>
                <w:iCs/>
                <w:sz w:val="16"/>
                <w:szCs w:val="24"/>
                <w:rtl/>
                <w:lang w:bidi="ar-EG"/>
              </w:rPr>
            </w:pPr>
            <w:r>
              <w:rPr>
                <w:rFonts w:hint="cs"/>
                <w:i/>
                <w:iCs/>
                <w:sz w:val="16"/>
                <w:szCs w:val="24"/>
                <w:rtl/>
                <w:lang w:bidi="ar-EG"/>
              </w:rPr>
              <w:t>النسبة المئوية</w:t>
            </w:r>
          </w:p>
        </w:tc>
        <w:tc>
          <w:tcPr>
            <w:tcW w:w="1545" w:type="dxa"/>
            <w:tcBorders>
              <w:top w:val="single" w:sz="4" w:space="0" w:color="auto"/>
              <w:bottom w:val="single" w:sz="12" w:space="0" w:color="auto"/>
            </w:tcBorders>
            <w:shd w:val="clear" w:color="auto" w:fill="auto"/>
            <w:vAlign w:val="bottom"/>
          </w:tcPr>
          <w:p w:rsidR="000C424C" w:rsidRPr="000C424C" w:rsidRDefault="000C424C" w:rsidP="006464B5">
            <w:pPr>
              <w:tabs>
                <w:tab w:val="left" w:pos="288"/>
                <w:tab w:val="left" w:pos="576"/>
                <w:tab w:val="left" w:pos="864"/>
                <w:tab w:val="left" w:pos="1152"/>
              </w:tabs>
              <w:spacing w:before="40" w:after="80" w:line="240" w:lineRule="exact"/>
              <w:ind w:right="314"/>
              <w:jc w:val="center"/>
              <w:rPr>
                <w:rFonts w:hint="cs"/>
                <w:i/>
                <w:iCs/>
                <w:sz w:val="16"/>
                <w:szCs w:val="24"/>
                <w:rtl/>
                <w:lang w:bidi="ar-EG"/>
              </w:rPr>
            </w:pPr>
            <w:r>
              <w:rPr>
                <w:rFonts w:hint="cs"/>
                <w:i/>
                <w:iCs/>
                <w:sz w:val="16"/>
                <w:szCs w:val="24"/>
                <w:rtl/>
                <w:lang w:bidi="ar-EG"/>
              </w:rPr>
              <w:t>الريف</w:t>
            </w:r>
          </w:p>
        </w:tc>
        <w:tc>
          <w:tcPr>
            <w:tcW w:w="927" w:type="dxa"/>
            <w:tcBorders>
              <w:top w:val="single" w:sz="4" w:space="0" w:color="auto"/>
              <w:bottom w:val="single" w:sz="12" w:space="0" w:color="auto"/>
            </w:tcBorders>
            <w:shd w:val="clear" w:color="auto" w:fill="auto"/>
            <w:vAlign w:val="bottom"/>
          </w:tcPr>
          <w:p w:rsidR="000C424C" w:rsidRPr="000C424C" w:rsidRDefault="000C424C" w:rsidP="006657FD">
            <w:pPr>
              <w:tabs>
                <w:tab w:val="left" w:pos="288"/>
                <w:tab w:val="left" w:pos="576"/>
                <w:tab w:val="left" w:pos="1152"/>
              </w:tabs>
              <w:spacing w:before="40" w:after="80" w:line="240" w:lineRule="exact"/>
              <w:ind w:right="103"/>
              <w:rPr>
                <w:rFonts w:hint="cs"/>
                <w:i/>
                <w:iCs/>
                <w:sz w:val="16"/>
                <w:szCs w:val="24"/>
                <w:rtl/>
                <w:lang w:bidi="ar-EG"/>
              </w:rPr>
            </w:pPr>
            <w:r>
              <w:rPr>
                <w:rFonts w:hint="cs"/>
                <w:i/>
                <w:iCs/>
                <w:sz w:val="16"/>
                <w:szCs w:val="24"/>
                <w:rtl/>
                <w:lang w:bidi="ar-EG"/>
              </w:rPr>
              <w:t>النسبة المئوية</w:t>
            </w:r>
          </w:p>
        </w:tc>
        <w:tc>
          <w:tcPr>
            <w:tcW w:w="1415" w:type="dxa"/>
            <w:tcBorders>
              <w:top w:val="single" w:sz="4" w:space="0" w:color="auto"/>
              <w:bottom w:val="single" w:sz="12" w:space="0" w:color="auto"/>
            </w:tcBorders>
            <w:shd w:val="clear" w:color="auto" w:fill="auto"/>
            <w:vAlign w:val="bottom"/>
          </w:tcPr>
          <w:p w:rsidR="000C424C" w:rsidRPr="000C424C" w:rsidRDefault="000C424C" w:rsidP="006464B5">
            <w:pPr>
              <w:tabs>
                <w:tab w:val="left" w:pos="288"/>
                <w:tab w:val="left" w:pos="576"/>
                <w:tab w:val="left" w:pos="864"/>
                <w:tab w:val="left" w:pos="1152"/>
              </w:tabs>
              <w:spacing w:before="40" w:after="80" w:line="240" w:lineRule="exact"/>
              <w:jc w:val="center"/>
              <w:rPr>
                <w:rFonts w:hint="cs"/>
                <w:i/>
                <w:iCs/>
                <w:sz w:val="16"/>
                <w:szCs w:val="24"/>
                <w:rtl/>
                <w:lang w:bidi="ar-EG"/>
              </w:rPr>
            </w:pPr>
            <w:r>
              <w:rPr>
                <w:rFonts w:hint="cs"/>
                <w:i/>
                <w:iCs/>
                <w:sz w:val="16"/>
                <w:szCs w:val="24"/>
                <w:rtl/>
                <w:lang w:bidi="ar-EG"/>
              </w:rPr>
              <w:t>الإجمالي</w:t>
            </w:r>
          </w:p>
        </w:tc>
      </w:tr>
      <w:tr w:rsidR="000C424C" w:rsidRPr="000C424C">
        <w:tblPrEx>
          <w:tblCellMar>
            <w:top w:w="0" w:type="dxa"/>
            <w:bottom w:w="0" w:type="dxa"/>
          </w:tblCellMar>
        </w:tblPrEx>
        <w:trPr>
          <w:cantSplit/>
          <w:trHeight w:hRule="exact" w:val="115"/>
          <w:tblHeader/>
        </w:trPr>
        <w:tc>
          <w:tcPr>
            <w:tcW w:w="858" w:type="dxa"/>
            <w:tcBorders>
              <w:top w:val="single" w:sz="12" w:space="0" w:color="auto"/>
            </w:tcBorders>
            <w:shd w:val="clear" w:color="auto" w:fill="auto"/>
            <w:vAlign w:val="bottom"/>
          </w:tcPr>
          <w:p w:rsidR="000C424C" w:rsidRPr="000C424C" w:rsidRDefault="000C424C" w:rsidP="000C424C">
            <w:pPr>
              <w:tabs>
                <w:tab w:val="left" w:pos="288"/>
                <w:tab w:val="left" w:pos="576"/>
                <w:tab w:val="left" w:pos="864"/>
                <w:tab w:val="left" w:pos="1152"/>
              </w:tabs>
              <w:spacing w:before="40" w:after="80" w:line="240" w:lineRule="exact"/>
              <w:ind w:right="40"/>
              <w:rPr>
                <w:rFonts w:hint="cs"/>
                <w:sz w:val="16"/>
                <w:szCs w:val="24"/>
                <w:rtl/>
                <w:lang w:bidi="ar-EG"/>
              </w:rPr>
            </w:pPr>
          </w:p>
        </w:tc>
        <w:tc>
          <w:tcPr>
            <w:tcW w:w="1648" w:type="dxa"/>
            <w:tcBorders>
              <w:top w:val="single" w:sz="12" w:space="0" w:color="auto"/>
            </w:tcBorders>
            <w:shd w:val="clear" w:color="auto" w:fill="auto"/>
            <w:vAlign w:val="bottom"/>
          </w:tcPr>
          <w:p w:rsidR="000C424C" w:rsidRPr="000C424C" w:rsidRDefault="000C424C" w:rsidP="000C424C">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tcBorders>
              <w:top w:val="single" w:sz="12" w:space="0" w:color="auto"/>
            </w:tcBorders>
            <w:shd w:val="clear" w:color="auto" w:fill="auto"/>
            <w:vAlign w:val="bottom"/>
          </w:tcPr>
          <w:p w:rsidR="000C424C" w:rsidRPr="000C424C" w:rsidRDefault="000C424C" w:rsidP="000C424C">
            <w:pPr>
              <w:tabs>
                <w:tab w:val="left" w:pos="288"/>
                <w:tab w:val="left" w:pos="576"/>
                <w:tab w:val="left" w:pos="864"/>
                <w:tab w:val="left" w:pos="1152"/>
              </w:tabs>
              <w:spacing w:before="40" w:after="80" w:line="240" w:lineRule="exact"/>
              <w:ind w:right="144"/>
              <w:rPr>
                <w:rFonts w:hint="cs"/>
                <w:sz w:val="16"/>
                <w:szCs w:val="24"/>
                <w:rtl/>
                <w:lang w:bidi="ar-EG"/>
              </w:rPr>
            </w:pPr>
          </w:p>
        </w:tc>
        <w:tc>
          <w:tcPr>
            <w:tcW w:w="1545" w:type="dxa"/>
            <w:tcBorders>
              <w:top w:val="single" w:sz="12" w:space="0" w:color="auto"/>
            </w:tcBorders>
            <w:shd w:val="clear" w:color="auto" w:fill="auto"/>
            <w:vAlign w:val="bottom"/>
          </w:tcPr>
          <w:p w:rsidR="000C424C" w:rsidRPr="000C424C" w:rsidRDefault="000C424C" w:rsidP="000C424C">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tcBorders>
              <w:top w:val="single" w:sz="12" w:space="0" w:color="auto"/>
            </w:tcBorders>
            <w:shd w:val="clear" w:color="auto" w:fill="auto"/>
            <w:vAlign w:val="bottom"/>
          </w:tcPr>
          <w:p w:rsidR="000C424C" w:rsidRPr="000C424C" w:rsidRDefault="000C424C" w:rsidP="000C424C">
            <w:pPr>
              <w:tabs>
                <w:tab w:val="left" w:pos="288"/>
                <w:tab w:val="left" w:pos="576"/>
                <w:tab w:val="left" w:pos="864"/>
                <w:tab w:val="left" w:pos="1152"/>
              </w:tabs>
              <w:spacing w:before="40" w:after="80" w:line="240" w:lineRule="exact"/>
              <w:ind w:right="144"/>
              <w:rPr>
                <w:rFonts w:hint="cs"/>
                <w:sz w:val="16"/>
                <w:szCs w:val="24"/>
                <w:rtl/>
                <w:lang w:bidi="ar-EG"/>
              </w:rPr>
            </w:pPr>
          </w:p>
        </w:tc>
        <w:tc>
          <w:tcPr>
            <w:tcW w:w="1415" w:type="dxa"/>
            <w:tcBorders>
              <w:top w:val="single" w:sz="12" w:space="0" w:color="auto"/>
            </w:tcBorders>
            <w:shd w:val="clear" w:color="auto" w:fill="auto"/>
            <w:vAlign w:val="bottom"/>
          </w:tcPr>
          <w:p w:rsidR="000C424C" w:rsidRPr="000C424C" w:rsidRDefault="000C424C" w:rsidP="000C424C">
            <w:pPr>
              <w:tabs>
                <w:tab w:val="left" w:pos="288"/>
                <w:tab w:val="left" w:pos="576"/>
                <w:tab w:val="left" w:pos="864"/>
                <w:tab w:val="left" w:pos="1152"/>
              </w:tabs>
              <w:spacing w:before="40" w:after="80" w:line="240" w:lineRule="exact"/>
              <w:ind w:right="144"/>
              <w:rPr>
                <w:rFonts w:hint="cs"/>
                <w:sz w:val="16"/>
                <w:szCs w:val="24"/>
                <w:rtl/>
                <w:lang w:bidi="ar-EG"/>
              </w:rPr>
            </w:pPr>
          </w:p>
        </w:tc>
      </w:tr>
      <w:tr w:rsidR="00D37B3F" w:rsidRPr="00D37B3F">
        <w:tblPrEx>
          <w:tblCellMar>
            <w:top w:w="0" w:type="dxa"/>
            <w:bottom w:w="0" w:type="dxa"/>
          </w:tblCellMar>
        </w:tblPrEx>
        <w:trPr>
          <w:cantSplit/>
        </w:trPr>
        <w:tc>
          <w:tcPr>
            <w:tcW w:w="858" w:type="dxa"/>
            <w:shd w:val="clear" w:color="auto" w:fill="auto"/>
            <w:vAlign w:val="bottom"/>
          </w:tcPr>
          <w:p w:rsidR="00D37B3F" w:rsidRPr="00DC6FE6" w:rsidRDefault="00D37B3F" w:rsidP="00D37B3F">
            <w:pPr>
              <w:tabs>
                <w:tab w:val="left" w:pos="288"/>
                <w:tab w:val="left" w:pos="576"/>
                <w:tab w:val="left" w:pos="864"/>
                <w:tab w:val="left" w:pos="1152"/>
              </w:tabs>
              <w:spacing w:before="40" w:after="60" w:line="280" w:lineRule="exact"/>
              <w:ind w:right="40"/>
              <w:rPr>
                <w:rFonts w:hint="cs"/>
                <w:sz w:val="18"/>
                <w:szCs w:val="26"/>
                <w:rtl/>
                <w:lang w:bidi="ar-EG"/>
              </w:rPr>
            </w:pPr>
            <w:r w:rsidRPr="00DC6FE6">
              <w:rPr>
                <w:rFonts w:hint="cs"/>
                <w:sz w:val="18"/>
                <w:szCs w:val="26"/>
                <w:rtl/>
                <w:lang w:bidi="ar-EG"/>
              </w:rPr>
              <w:t>2003</w:t>
            </w:r>
          </w:p>
        </w:tc>
        <w:tc>
          <w:tcPr>
            <w:tcW w:w="1648"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200</w:t>
            </w:r>
            <w:r w:rsidRPr="00DC6FE6">
              <w:rPr>
                <w:sz w:val="18"/>
                <w:szCs w:val="26"/>
              </w:rPr>
              <w:t xml:space="preserve"> </w:t>
            </w:r>
            <w:r w:rsidRPr="00DC6FE6">
              <w:rPr>
                <w:sz w:val="18"/>
                <w:szCs w:val="26"/>
                <w:rtl/>
              </w:rPr>
              <w:t>351</w:t>
            </w:r>
            <w:r w:rsidRPr="00DC6FE6">
              <w:rPr>
                <w:sz w:val="18"/>
                <w:szCs w:val="26"/>
              </w:rPr>
              <w:t xml:space="preserve"> </w:t>
            </w:r>
            <w:r w:rsidRPr="00DC6FE6">
              <w:rPr>
                <w:sz w:val="18"/>
                <w:szCs w:val="26"/>
                <w:rtl/>
              </w:rPr>
              <w:t>966</w:t>
            </w:r>
          </w:p>
        </w:tc>
        <w:tc>
          <w:tcPr>
            <w:tcW w:w="927"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74</w:t>
            </w:r>
            <w:r w:rsidRPr="00DC6FE6">
              <w:rPr>
                <w:sz w:val="18"/>
                <w:szCs w:val="26"/>
              </w:rPr>
              <w:t>,</w:t>
            </w:r>
            <w:r w:rsidRPr="00DC6FE6">
              <w:rPr>
                <w:sz w:val="18"/>
                <w:szCs w:val="26"/>
                <w:rtl/>
              </w:rPr>
              <w:t>95</w:t>
            </w:r>
          </w:p>
        </w:tc>
        <w:tc>
          <w:tcPr>
            <w:tcW w:w="1545"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66</w:t>
            </w:r>
            <w:r w:rsidRPr="00DC6FE6">
              <w:rPr>
                <w:sz w:val="18"/>
                <w:szCs w:val="26"/>
              </w:rPr>
              <w:t xml:space="preserve"> </w:t>
            </w:r>
            <w:r w:rsidRPr="00DC6FE6">
              <w:rPr>
                <w:sz w:val="18"/>
                <w:szCs w:val="26"/>
                <w:rtl/>
              </w:rPr>
              <w:t>952</w:t>
            </w:r>
            <w:r w:rsidRPr="00DC6FE6">
              <w:rPr>
                <w:sz w:val="18"/>
                <w:szCs w:val="26"/>
              </w:rPr>
              <w:t xml:space="preserve"> </w:t>
            </w:r>
            <w:r w:rsidRPr="00DC6FE6">
              <w:rPr>
                <w:sz w:val="18"/>
                <w:szCs w:val="26"/>
                <w:rtl/>
              </w:rPr>
              <w:t>185</w:t>
            </w:r>
          </w:p>
        </w:tc>
        <w:tc>
          <w:tcPr>
            <w:tcW w:w="927"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25</w:t>
            </w:r>
            <w:r w:rsidRPr="00DC6FE6">
              <w:rPr>
                <w:sz w:val="18"/>
                <w:szCs w:val="26"/>
              </w:rPr>
              <w:t>,</w:t>
            </w:r>
            <w:r w:rsidRPr="00DC6FE6">
              <w:rPr>
                <w:sz w:val="18"/>
                <w:szCs w:val="26"/>
                <w:rtl/>
              </w:rPr>
              <w:t>05</w:t>
            </w:r>
          </w:p>
        </w:tc>
        <w:tc>
          <w:tcPr>
            <w:tcW w:w="1415"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267</w:t>
            </w:r>
            <w:r w:rsidRPr="00DC6FE6">
              <w:rPr>
                <w:sz w:val="18"/>
                <w:szCs w:val="26"/>
              </w:rPr>
              <w:t xml:space="preserve"> </w:t>
            </w:r>
            <w:r w:rsidRPr="00DC6FE6">
              <w:rPr>
                <w:sz w:val="18"/>
                <w:szCs w:val="26"/>
                <w:rtl/>
              </w:rPr>
              <w:t>304</w:t>
            </w:r>
            <w:r w:rsidRPr="00DC6FE6">
              <w:rPr>
                <w:sz w:val="18"/>
                <w:szCs w:val="26"/>
              </w:rPr>
              <w:t xml:space="preserve"> </w:t>
            </w:r>
            <w:r w:rsidRPr="00DC6FE6">
              <w:rPr>
                <w:sz w:val="18"/>
                <w:szCs w:val="26"/>
                <w:rtl/>
              </w:rPr>
              <w:t>151</w:t>
            </w:r>
          </w:p>
        </w:tc>
      </w:tr>
      <w:tr w:rsidR="00D37B3F" w:rsidRPr="00D37B3F">
        <w:tblPrEx>
          <w:tblCellMar>
            <w:top w:w="0" w:type="dxa"/>
            <w:bottom w:w="0" w:type="dxa"/>
          </w:tblCellMar>
        </w:tblPrEx>
        <w:trPr>
          <w:cantSplit/>
        </w:trPr>
        <w:tc>
          <w:tcPr>
            <w:tcW w:w="858" w:type="dxa"/>
            <w:shd w:val="clear" w:color="auto" w:fill="auto"/>
            <w:vAlign w:val="bottom"/>
          </w:tcPr>
          <w:p w:rsidR="00D37B3F" w:rsidRPr="00DC6FE6" w:rsidRDefault="00D37B3F" w:rsidP="00D37B3F">
            <w:pPr>
              <w:tabs>
                <w:tab w:val="left" w:pos="288"/>
                <w:tab w:val="left" w:pos="576"/>
                <w:tab w:val="left" w:pos="864"/>
                <w:tab w:val="left" w:pos="1152"/>
              </w:tabs>
              <w:spacing w:before="40" w:after="60" w:line="280" w:lineRule="exact"/>
              <w:ind w:right="40"/>
              <w:rPr>
                <w:rFonts w:hint="cs"/>
                <w:sz w:val="18"/>
                <w:szCs w:val="26"/>
                <w:rtl/>
                <w:lang w:bidi="ar-EG"/>
              </w:rPr>
            </w:pPr>
            <w:r w:rsidRPr="00DC6FE6">
              <w:rPr>
                <w:rFonts w:hint="cs"/>
                <w:sz w:val="18"/>
                <w:szCs w:val="26"/>
                <w:rtl/>
                <w:lang w:bidi="ar-EG"/>
              </w:rPr>
              <w:t>2004</w:t>
            </w:r>
          </w:p>
        </w:tc>
        <w:tc>
          <w:tcPr>
            <w:tcW w:w="1648"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218</w:t>
            </w:r>
            <w:r w:rsidRPr="00DC6FE6">
              <w:rPr>
                <w:sz w:val="18"/>
                <w:szCs w:val="26"/>
              </w:rPr>
              <w:t xml:space="preserve"> </w:t>
            </w:r>
            <w:r w:rsidRPr="00DC6FE6">
              <w:rPr>
                <w:sz w:val="18"/>
                <w:szCs w:val="26"/>
                <w:rtl/>
              </w:rPr>
              <w:t>109</w:t>
            </w:r>
            <w:r w:rsidRPr="00DC6FE6">
              <w:rPr>
                <w:sz w:val="18"/>
                <w:szCs w:val="26"/>
              </w:rPr>
              <w:t xml:space="preserve"> </w:t>
            </w:r>
            <w:r w:rsidRPr="00DC6FE6">
              <w:rPr>
                <w:sz w:val="18"/>
                <w:szCs w:val="26"/>
                <w:rtl/>
              </w:rPr>
              <w:t>864</w:t>
            </w:r>
          </w:p>
        </w:tc>
        <w:tc>
          <w:tcPr>
            <w:tcW w:w="927"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75</w:t>
            </w:r>
            <w:r w:rsidRPr="00DC6FE6">
              <w:rPr>
                <w:sz w:val="18"/>
                <w:szCs w:val="26"/>
              </w:rPr>
              <w:t>,</w:t>
            </w:r>
            <w:r w:rsidRPr="00DC6FE6">
              <w:rPr>
                <w:sz w:val="18"/>
                <w:szCs w:val="26"/>
                <w:rtl/>
              </w:rPr>
              <w:t>85</w:t>
            </w:r>
          </w:p>
        </w:tc>
        <w:tc>
          <w:tcPr>
            <w:tcW w:w="1545"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69</w:t>
            </w:r>
            <w:r w:rsidRPr="00DC6FE6">
              <w:rPr>
                <w:sz w:val="18"/>
                <w:szCs w:val="26"/>
              </w:rPr>
              <w:t xml:space="preserve"> </w:t>
            </w:r>
            <w:r w:rsidRPr="00DC6FE6">
              <w:rPr>
                <w:sz w:val="18"/>
                <w:szCs w:val="26"/>
                <w:rtl/>
              </w:rPr>
              <w:t>437</w:t>
            </w:r>
            <w:r w:rsidRPr="00DC6FE6">
              <w:rPr>
                <w:sz w:val="18"/>
                <w:szCs w:val="26"/>
              </w:rPr>
              <w:t xml:space="preserve"> </w:t>
            </w:r>
            <w:r w:rsidRPr="00DC6FE6">
              <w:rPr>
                <w:sz w:val="18"/>
                <w:szCs w:val="26"/>
                <w:rtl/>
              </w:rPr>
              <w:t>744</w:t>
            </w:r>
          </w:p>
        </w:tc>
        <w:tc>
          <w:tcPr>
            <w:tcW w:w="927"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24</w:t>
            </w:r>
            <w:r w:rsidRPr="00DC6FE6">
              <w:rPr>
                <w:sz w:val="18"/>
                <w:szCs w:val="26"/>
              </w:rPr>
              <w:t>,</w:t>
            </w:r>
            <w:r w:rsidRPr="00DC6FE6">
              <w:rPr>
                <w:sz w:val="18"/>
                <w:szCs w:val="26"/>
                <w:rtl/>
              </w:rPr>
              <w:t>15</w:t>
            </w:r>
          </w:p>
        </w:tc>
        <w:tc>
          <w:tcPr>
            <w:tcW w:w="1415"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287</w:t>
            </w:r>
            <w:r w:rsidRPr="00DC6FE6">
              <w:rPr>
                <w:sz w:val="18"/>
                <w:szCs w:val="26"/>
              </w:rPr>
              <w:t xml:space="preserve"> </w:t>
            </w:r>
            <w:r w:rsidRPr="00DC6FE6">
              <w:rPr>
                <w:sz w:val="18"/>
                <w:szCs w:val="26"/>
                <w:rtl/>
              </w:rPr>
              <w:t>547</w:t>
            </w:r>
            <w:r w:rsidRPr="00DC6FE6">
              <w:rPr>
                <w:sz w:val="18"/>
                <w:szCs w:val="26"/>
              </w:rPr>
              <w:t xml:space="preserve"> </w:t>
            </w:r>
            <w:r w:rsidRPr="00DC6FE6">
              <w:rPr>
                <w:sz w:val="18"/>
                <w:szCs w:val="26"/>
                <w:rtl/>
              </w:rPr>
              <w:t>608</w:t>
            </w:r>
          </w:p>
        </w:tc>
      </w:tr>
      <w:tr w:rsidR="00D37B3F" w:rsidRPr="00D37B3F">
        <w:tblPrEx>
          <w:tblCellMar>
            <w:top w:w="0" w:type="dxa"/>
            <w:bottom w:w="0" w:type="dxa"/>
          </w:tblCellMar>
        </w:tblPrEx>
        <w:trPr>
          <w:cantSplit/>
        </w:trPr>
        <w:tc>
          <w:tcPr>
            <w:tcW w:w="858" w:type="dxa"/>
            <w:shd w:val="clear" w:color="auto" w:fill="auto"/>
            <w:vAlign w:val="bottom"/>
          </w:tcPr>
          <w:p w:rsidR="00D37B3F" w:rsidRPr="00DC6FE6" w:rsidRDefault="00D37B3F" w:rsidP="00D37B3F">
            <w:pPr>
              <w:tabs>
                <w:tab w:val="left" w:pos="288"/>
                <w:tab w:val="left" w:pos="576"/>
                <w:tab w:val="left" w:pos="864"/>
                <w:tab w:val="left" w:pos="1152"/>
              </w:tabs>
              <w:spacing w:before="40" w:after="60" w:line="280" w:lineRule="exact"/>
              <w:ind w:right="40"/>
              <w:rPr>
                <w:rFonts w:hint="cs"/>
                <w:sz w:val="18"/>
                <w:szCs w:val="26"/>
                <w:rtl/>
                <w:lang w:bidi="ar-EG"/>
              </w:rPr>
            </w:pPr>
            <w:r w:rsidRPr="00DC6FE6">
              <w:rPr>
                <w:rFonts w:hint="cs"/>
                <w:sz w:val="18"/>
                <w:szCs w:val="26"/>
                <w:rtl/>
                <w:lang w:bidi="ar-EG"/>
              </w:rPr>
              <w:t>2005</w:t>
            </w:r>
          </w:p>
        </w:tc>
        <w:tc>
          <w:tcPr>
            <w:tcW w:w="1648"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224</w:t>
            </w:r>
            <w:r w:rsidRPr="00DC6FE6">
              <w:rPr>
                <w:sz w:val="18"/>
                <w:szCs w:val="26"/>
              </w:rPr>
              <w:t xml:space="preserve"> </w:t>
            </w:r>
            <w:r w:rsidRPr="00DC6FE6">
              <w:rPr>
                <w:sz w:val="18"/>
                <w:szCs w:val="26"/>
                <w:rtl/>
              </w:rPr>
              <w:t>058</w:t>
            </w:r>
            <w:r w:rsidRPr="00DC6FE6">
              <w:rPr>
                <w:sz w:val="18"/>
                <w:szCs w:val="26"/>
              </w:rPr>
              <w:t xml:space="preserve"> </w:t>
            </w:r>
            <w:r w:rsidRPr="00DC6FE6">
              <w:rPr>
                <w:sz w:val="18"/>
                <w:szCs w:val="26"/>
                <w:rtl/>
              </w:rPr>
              <w:t>987</w:t>
            </w:r>
          </w:p>
        </w:tc>
        <w:tc>
          <w:tcPr>
            <w:tcW w:w="927"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75</w:t>
            </w:r>
            <w:r w:rsidRPr="00DC6FE6">
              <w:rPr>
                <w:sz w:val="18"/>
                <w:szCs w:val="26"/>
              </w:rPr>
              <w:t>,</w:t>
            </w:r>
            <w:r w:rsidRPr="00DC6FE6">
              <w:rPr>
                <w:sz w:val="18"/>
                <w:szCs w:val="26"/>
                <w:rtl/>
              </w:rPr>
              <w:t>87</w:t>
            </w:r>
          </w:p>
        </w:tc>
        <w:tc>
          <w:tcPr>
            <w:tcW w:w="1545"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71</w:t>
            </w:r>
            <w:r w:rsidRPr="00DC6FE6">
              <w:rPr>
                <w:sz w:val="18"/>
                <w:szCs w:val="26"/>
              </w:rPr>
              <w:t xml:space="preserve"> </w:t>
            </w:r>
            <w:r w:rsidRPr="00DC6FE6">
              <w:rPr>
                <w:sz w:val="18"/>
                <w:szCs w:val="26"/>
                <w:rtl/>
              </w:rPr>
              <w:t>278</w:t>
            </w:r>
            <w:r w:rsidRPr="00DC6FE6">
              <w:rPr>
                <w:sz w:val="18"/>
                <w:szCs w:val="26"/>
              </w:rPr>
              <w:t xml:space="preserve"> </w:t>
            </w:r>
            <w:r w:rsidRPr="00DC6FE6">
              <w:rPr>
                <w:sz w:val="18"/>
                <w:szCs w:val="26"/>
                <w:rtl/>
              </w:rPr>
              <w:t>781</w:t>
            </w:r>
          </w:p>
        </w:tc>
        <w:tc>
          <w:tcPr>
            <w:tcW w:w="927"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24</w:t>
            </w:r>
            <w:r w:rsidRPr="00DC6FE6">
              <w:rPr>
                <w:sz w:val="18"/>
                <w:szCs w:val="26"/>
              </w:rPr>
              <w:t>,</w:t>
            </w:r>
            <w:r w:rsidRPr="00DC6FE6">
              <w:rPr>
                <w:sz w:val="18"/>
                <w:szCs w:val="26"/>
                <w:rtl/>
              </w:rPr>
              <w:t>13</w:t>
            </w:r>
          </w:p>
        </w:tc>
        <w:tc>
          <w:tcPr>
            <w:tcW w:w="1415"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295</w:t>
            </w:r>
            <w:r w:rsidRPr="00DC6FE6">
              <w:rPr>
                <w:sz w:val="18"/>
                <w:szCs w:val="26"/>
              </w:rPr>
              <w:t xml:space="preserve"> </w:t>
            </w:r>
            <w:r w:rsidRPr="00DC6FE6">
              <w:rPr>
                <w:sz w:val="18"/>
                <w:szCs w:val="26"/>
                <w:rtl/>
              </w:rPr>
              <w:t>337</w:t>
            </w:r>
            <w:r w:rsidRPr="00DC6FE6">
              <w:rPr>
                <w:sz w:val="18"/>
                <w:szCs w:val="26"/>
              </w:rPr>
              <w:t xml:space="preserve"> </w:t>
            </w:r>
            <w:r w:rsidRPr="00DC6FE6">
              <w:rPr>
                <w:sz w:val="18"/>
                <w:szCs w:val="26"/>
                <w:rtl/>
              </w:rPr>
              <w:t>768</w:t>
            </w:r>
          </w:p>
        </w:tc>
      </w:tr>
      <w:tr w:rsidR="00D37B3F" w:rsidRPr="00D37B3F">
        <w:tblPrEx>
          <w:tblCellMar>
            <w:top w:w="0" w:type="dxa"/>
            <w:bottom w:w="0" w:type="dxa"/>
          </w:tblCellMar>
        </w:tblPrEx>
        <w:trPr>
          <w:cantSplit/>
        </w:trPr>
        <w:tc>
          <w:tcPr>
            <w:tcW w:w="858" w:type="dxa"/>
            <w:shd w:val="clear" w:color="auto" w:fill="auto"/>
            <w:vAlign w:val="bottom"/>
          </w:tcPr>
          <w:p w:rsidR="00D37B3F" w:rsidRPr="00DC6FE6" w:rsidRDefault="00D37B3F" w:rsidP="00D37B3F">
            <w:pPr>
              <w:tabs>
                <w:tab w:val="left" w:pos="288"/>
                <w:tab w:val="left" w:pos="576"/>
                <w:tab w:val="left" w:pos="864"/>
                <w:tab w:val="left" w:pos="1152"/>
              </w:tabs>
              <w:spacing w:before="40" w:after="60" w:line="280" w:lineRule="exact"/>
              <w:ind w:right="40"/>
              <w:rPr>
                <w:rFonts w:hint="cs"/>
                <w:sz w:val="18"/>
                <w:szCs w:val="26"/>
                <w:rtl/>
                <w:lang w:bidi="ar-EG"/>
              </w:rPr>
            </w:pPr>
            <w:r w:rsidRPr="00DC6FE6">
              <w:rPr>
                <w:rFonts w:hint="cs"/>
                <w:sz w:val="18"/>
                <w:szCs w:val="26"/>
                <w:rtl/>
                <w:lang w:bidi="ar-EG"/>
              </w:rPr>
              <w:t>2006</w:t>
            </w:r>
          </w:p>
        </w:tc>
        <w:tc>
          <w:tcPr>
            <w:tcW w:w="1648"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241</w:t>
            </w:r>
            <w:r w:rsidRPr="00DC6FE6">
              <w:rPr>
                <w:sz w:val="18"/>
                <w:szCs w:val="26"/>
              </w:rPr>
              <w:t xml:space="preserve"> </w:t>
            </w:r>
            <w:r w:rsidRPr="00DC6FE6">
              <w:rPr>
                <w:sz w:val="18"/>
                <w:szCs w:val="26"/>
                <w:rtl/>
              </w:rPr>
              <w:t>702</w:t>
            </w:r>
            <w:r w:rsidRPr="00DC6FE6">
              <w:rPr>
                <w:sz w:val="18"/>
                <w:szCs w:val="26"/>
              </w:rPr>
              <w:t xml:space="preserve"> </w:t>
            </w:r>
            <w:r w:rsidRPr="00DC6FE6">
              <w:rPr>
                <w:sz w:val="18"/>
                <w:szCs w:val="26"/>
                <w:rtl/>
              </w:rPr>
              <w:t>651</w:t>
            </w:r>
          </w:p>
        </w:tc>
        <w:tc>
          <w:tcPr>
            <w:tcW w:w="927"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76</w:t>
            </w:r>
            <w:r w:rsidRPr="00DC6FE6">
              <w:rPr>
                <w:sz w:val="18"/>
                <w:szCs w:val="26"/>
              </w:rPr>
              <w:t>,</w:t>
            </w:r>
            <w:r w:rsidRPr="00DC6FE6">
              <w:rPr>
                <w:sz w:val="18"/>
                <w:szCs w:val="26"/>
                <w:rtl/>
              </w:rPr>
              <w:t>36</w:t>
            </w:r>
          </w:p>
        </w:tc>
        <w:tc>
          <w:tcPr>
            <w:tcW w:w="1545"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74</w:t>
            </w:r>
            <w:r w:rsidRPr="00DC6FE6">
              <w:rPr>
                <w:sz w:val="18"/>
                <w:szCs w:val="26"/>
              </w:rPr>
              <w:t xml:space="preserve"> </w:t>
            </w:r>
            <w:r w:rsidRPr="00DC6FE6">
              <w:rPr>
                <w:sz w:val="18"/>
                <w:szCs w:val="26"/>
                <w:rtl/>
              </w:rPr>
              <w:t>845</w:t>
            </w:r>
            <w:r w:rsidRPr="00DC6FE6">
              <w:rPr>
                <w:sz w:val="18"/>
                <w:szCs w:val="26"/>
              </w:rPr>
              <w:t xml:space="preserve"> </w:t>
            </w:r>
            <w:r w:rsidRPr="00DC6FE6">
              <w:rPr>
                <w:sz w:val="18"/>
                <w:szCs w:val="26"/>
                <w:rtl/>
              </w:rPr>
              <w:t>992</w:t>
            </w:r>
          </w:p>
        </w:tc>
        <w:tc>
          <w:tcPr>
            <w:tcW w:w="927"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23</w:t>
            </w:r>
            <w:r w:rsidRPr="00DC6FE6">
              <w:rPr>
                <w:sz w:val="18"/>
                <w:szCs w:val="26"/>
              </w:rPr>
              <w:t>,</w:t>
            </w:r>
            <w:r w:rsidRPr="00DC6FE6">
              <w:rPr>
                <w:sz w:val="18"/>
                <w:szCs w:val="26"/>
                <w:rtl/>
              </w:rPr>
              <w:t>64</w:t>
            </w:r>
          </w:p>
        </w:tc>
        <w:tc>
          <w:tcPr>
            <w:tcW w:w="1415" w:type="dxa"/>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316</w:t>
            </w:r>
            <w:r w:rsidRPr="00DC6FE6">
              <w:rPr>
                <w:sz w:val="18"/>
                <w:szCs w:val="26"/>
              </w:rPr>
              <w:t xml:space="preserve"> </w:t>
            </w:r>
            <w:r w:rsidRPr="00DC6FE6">
              <w:rPr>
                <w:sz w:val="18"/>
                <w:szCs w:val="26"/>
                <w:rtl/>
              </w:rPr>
              <w:t>548</w:t>
            </w:r>
            <w:r w:rsidRPr="00DC6FE6">
              <w:rPr>
                <w:sz w:val="18"/>
                <w:szCs w:val="26"/>
              </w:rPr>
              <w:t xml:space="preserve"> </w:t>
            </w:r>
            <w:r w:rsidRPr="00DC6FE6">
              <w:rPr>
                <w:sz w:val="18"/>
                <w:szCs w:val="26"/>
                <w:rtl/>
              </w:rPr>
              <w:t>643</w:t>
            </w:r>
          </w:p>
        </w:tc>
      </w:tr>
      <w:tr w:rsidR="00D37B3F" w:rsidRPr="00D37B3F">
        <w:tblPrEx>
          <w:tblCellMar>
            <w:top w:w="0" w:type="dxa"/>
            <w:bottom w:w="0" w:type="dxa"/>
          </w:tblCellMar>
        </w:tblPrEx>
        <w:trPr>
          <w:cantSplit/>
        </w:trPr>
        <w:tc>
          <w:tcPr>
            <w:tcW w:w="858" w:type="dxa"/>
            <w:tcBorders>
              <w:bottom w:val="single" w:sz="12" w:space="0" w:color="auto"/>
            </w:tcBorders>
            <w:shd w:val="clear" w:color="auto" w:fill="auto"/>
            <w:vAlign w:val="bottom"/>
          </w:tcPr>
          <w:p w:rsidR="00D37B3F" w:rsidRPr="00DC6FE6" w:rsidRDefault="00D37B3F" w:rsidP="00D37B3F">
            <w:pPr>
              <w:tabs>
                <w:tab w:val="left" w:pos="288"/>
                <w:tab w:val="left" w:pos="576"/>
                <w:tab w:val="left" w:pos="864"/>
                <w:tab w:val="left" w:pos="1152"/>
              </w:tabs>
              <w:spacing w:before="40" w:after="60" w:line="280" w:lineRule="exact"/>
              <w:ind w:right="40"/>
              <w:rPr>
                <w:rFonts w:hint="cs"/>
                <w:sz w:val="18"/>
                <w:szCs w:val="26"/>
                <w:rtl/>
                <w:lang w:bidi="ar-EG"/>
              </w:rPr>
            </w:pPr>
            <w:r w:rsidRPr="00DC6FE6">
              <w:rPr>
                <w:rFonts w:hint="cs"/>
                <w:sz w:val="18"/>
                <w:szCs w:val="26"/>
                <w:rtl/>
                <w:lang w:bidi="ar-EG"/>
              </w:rPr>
              <w:t>الإجمالي</w:t>
            </w:r>
          </w:p>
        </w:tc>
        <w:tc>
          <w:tcPr>
            <w:tcW w:w="1648" w:type="dxa"/>
            <w:tcBorders>
              <w:bottom w:val="single" w:sz="12" w:space="0" w:color="auto"/>
            </w:tcBorders>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884</w:t>
            </w:r>
            <w:r w:rsidRPr="00DC6FE6">
              <w:rPr>
                <w:sz w:val="18"/>
                <w:szCs w:val="26"/>
              </w:rPr>
              <w:t xml:space="preserve"> </w:t>
            </w:r>
            <w:r w:rsidRPr="00DC6FE6">
              <w:rPr>
                <w:sz w:val="18"/>
                <w:szCs w:val="26"/>
                <w:rtl/>
              </w:rPr>
              <w:t>223</w:t>
            </w:r>
            <w:r w:rsidRPr="00DC6FE6">
              <w:rPr>
                <w:sz w:val="18"/>
                <w:szCs w:val="26"/>
              </w:rPr>
              <w:t xml:space="preserve"> </w:t>
            </w:r>
            <w:r w:rsidRPr="00DC6FE6">
              <w:rPr>
                <w:sz w:val="18"/>
                <w:szCs w:val="26"/>
                <w:rtl/>
              </w:rPr>
              <w:t>468</w:t>
            </w:r>
          </w:p>
        </w:tc>
        <w:tc>
          <w:tcPr>
            <w:tcW w:w="927" w:type="dxa"/>
            <w:tcBorders>
              <w:bottom w:val="single" w:sz="12" w:space="0" w:color="auto"/>
            </w:tcBorders>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75</w:t>
            </w:r>
            <w:r w:rsidRPr="00DC6FE6">
              <w:rPr>
                <w:sz w:val="18"/>
                <w:szCs w:val="26"/>
              </w:rPr>
              <w:t>,</w:t>
            </w:r>
            <w:r w:rsidRPr="00DC6FE6">
              <w:rPr>
                <w:sz w:val="18"/>
                <w:szCs w:val="26"/>
                <w:rtl/>
              </w:rPr>
              <w:t>79</w:t>
            </w:r>
          </w:p>
        </w:tc>
        <w:tc>
          <w:tcPr>
            <w:tcW w:w="1545" w:type="dxa"/>
            <w:tcBorders>
              <w:bottom w:val="single" w:sz="12" w:space="0" w:color="auto"/>
            </w:tcBorders>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282</w:t>
            </w:r>
            <w:r w:rsidRPr="00DC6FE6">
              <w:rPr>
                <w:sz w:val="18"/>
                <w:szCs w:val="26"/>
              </w:rPr>
              <w:t xml:space="preserve"> </w:t>
            </w:r>
            <w:r w:rsidRPr="00DC6FE6">
              <w:rPr>
                <w:sz w:val="18"/>
                <w:szCs w:val="26"/>
                <w:rtl/>
              </w:rPr>
              <w:t>514</w:t>
            </w:r>
            <w:r w:rsidRPr="00DC6FE6">
              <w:rPr>
                <w:sz w:val="18"/>
                <w:szCs w:val="26"/>
              </w:rPr>
              <w:t xml:space="preserve"> </w:t>
            </w:r>
            <w:r w:rsidRPr="00DC6FE6">
              <w:rPr>
                <w:sz w:val="18"/>
                <w:szCs w:val="26"/>
                <w:rtl/>
              </w:rPr>
              <w:t>702</w:t>
            </w:r>
          </w:p>
        </w:tc>
        <w:tc>
          <w:tcPr>
            <w:tcW w:w="927" w:type="dxa"/>
            <w:tcBorders>
              <w:bottom w:val="single" w:sz="12" w:space="0" w:color="auto"/>
            </w:tcBorders>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24</w:t>
            </w:r>
            <w:r w:rsidRPr="00DC6FE6">
              <w:rPr>
                <w:sz w:val="18"/>
                <w:szCs w:val="26"/>
              </w:rPr>
              <w:t>,</w:t>
            </w:r>
            <w:r w:rsidRPr="00DC6FE6">
              <w:rPr>
                <w:sz w:val="18"/>
                <w:szCs w:val="26"/>
                <w:rtl/>
              </w:rPr>
              <w:t>21</w:t>
            </w:r>
          </w:p>
        </w:tc>
        <w:tc>
          <w:tcPr>
            <w:tcW w:w="1415" w:type="dxa"/>
            <w:tcBorders>
              <w:bottom w:val="single" w:sz="12" w:space="0" w:color="auto"/>
            </w:tcBorders>
            <w:shd w:val="clear" w:color="auto" w:fill="auto"/>
            <w:vAlign w:val="bottom"/>
          </w:tcPr>
          <w:p w:rsidR="00D37B3F" w:rsidRPr="00DC6FE6" w:rsidRDefault="00D37B3F" w:rsidP="00D37B3F">
            <w:pPr>
              <w:bidi w:val="0"/>
              <w:spacing w:before="40" w:after="60" w:line="280" w:lineRule="exact"/>
              <w:jc w:val="right"/>
              <w:rPr>
                <w:rFonts w:eastAsia="Arial Unicode MS"/>
                <w:sz w:val="18"/>
                <w:szCs w:val="26"/>
              </w:rPr>
            </w:pPr>
            <w:r w:rsidRPr="00DC6FE6">
              <w:rPr>
                <w:sz w:val="18"/>
                <w:szCs w:val="26"/>
                <w:rtl/>
              </w:rPr>
              <w:t>1</w:t>
            </w:r>
            <w:r w:rsidRPr="00DC6FE6">
              <w:rPr>
                <w:sz w:val="18"/>
                <w:szCs w:val="26"/>
              </w:rPr>
              <w:t xml:space="preserve"> </w:t>
            </w:r>
            <w:r w:rsidRPr="00DC6FE6">
              <w:rPr>
                <w:sz w:val="18"/>
                <w:szCs w:val="26"/>
                <w:rtl/>
              </w:rPr>
              <w:t>166</w:t>
            </w:r>
            <w:r w:rsidRPr="00DC6FE6">
              <w:rPr>
                <w:sz w:val="18"/>
                <w:szCs w:val="26"/>
              </w:rPr>
              <w:t xml:space="preserve"> </w:t>
            </w:r>
            <w:r w:rsidRPr="00DC6FE6">
              <w:rPr>
                <w:sz w:val="18"/>
                <w:szCs w:val="26"/>
                <w:rtl/>
              </w:rPr>
              <w:t>738</w:t>
            </w:r>
            <w:r w:rsidRPr="00DC6FE6">
              <w:rPr>
                <w:sz w:val="18"/>
                <w:szCs w:val="26"/>
              </w:rPr>
              <w:t xml:space="preserve"> </w:t>
            </w:r>
            <w:r w:rsidRPr="00DC6FE6">
              <w:rPr>
                <w:sz w:val="18"/>
                <w:szCs w:val="26"/>
                <w:rtl/>
              </w:rPr>
              <w:t>170</w:t>
            </w:r>
          </w:p>
        </w:tc>
      </w:tr>
    </w:tbl>
    <w:p w:rsidR="006464B5" w:rsidRPr="006464B5" w:rsidRDefault="006464B5" w:rsidP="006464B5">
      <w:pPr>
        <w:pStyle w:val="SingleTxt"/>
        <w:spacing w:after="0" w:line="120" w:lineRule="exact"/>
        <w:rPr>
          <w:rFonts w:hint="cs"/>
          <w:sz w:val="10"/>
          <w:rtl/>
        </w:rPr>
      </w:pPr>
    </w:p>
    <w:p w:rsidR="006464B5" w:rsidRPr="00772F28" w:rsidRDefault="006464B5" w:rsidP="006464B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lang w:bidi="ar-EG"/>
        </w:rPr>
      </w:pPr>
      <w:r>
        <w:rPr>
          <w:rFonts w:hint="cs"/>
          <w:rtl/>
        </w:rPr>
        <w:tab/>
      </w:r>
      <w:r w:rsidRPr="00AC350D">
        <w:rPr>
          <w:rFonts w:hint="cs"/>
          <w:i/>
          <w:iCs/>
          <w:rtl/>
        </w:rPr>
        <w:t>المصدر</w:t>
      </w:r>
      <w:r>
        <w:rPr>
          <w:rFonts w:hint="cs"/>
          <w:rtl/>
        </w:rPr>
        <w:t>:</w:t>
      </w:r>
      <w:r>
        <w:rPr>
          <w:rFonts w:hint="cs"/>
          <w:rtl/>
        </w:rPr>
        <w:tab/>
        <w:t>وزارة الصحة، نظام معلومات الرعاية الأساسية</w:t>
      </w:r>
      <w:r>
        <w:rPr>
          <w:rFonts w:hint="cs"/>
          <w:rtl/>
          <w:lang w:bidi="ar-EG"/>
        </w:rPr>
        <w:t>.</w:t>
      </w:r>
    </w:p>
    <w:p w:rsidR="006464B5" w:rsidRPr="006464B5" w:rsidRDefault="006464B5" w:rsidP="006464B5">
      <w:pPr>
        <w:pStyle w:val="SingleTxt"/>
        <w:spacing w:after="0" w:line="120" w:lineRule="exact"/>
        <w:rPr>
          <w:rFonts w:hint="cs"/>
          <w:sz w:val="10"/>
          <w:rtl/>
          <w:lang w:bidi="ar-EG"/>
        </w:rPr>
      </w:pPr>
    </w:p>
    <w:p w:rsidR="006464B5" w:rsidRPr="006464B5" w:rsidRDefault="006464B5" w:rsidP="006464B5">
      <w:pPr>
        <w:pStyle w:val="SingleTxt"/>
        <w:spacing w:after="0" w:line="120" w:lineRule="exact"/>
        <w:rPr>
          <w:rFonts w:hint="cs"/>
          <w:sz w:val="10"/>
          <w:rtl/>
          <w:lang w:bidi="ar-EG"/>
        </w:rPr>
      </w:pPr>
    </w:p>
    <w:p w:rsidR="0065740E" w:rsidRDefault="006464B5" w:rsidP="00F31625">
      <w:pPr>
        <w:pStyle w:val="SingleTxt"/>
        <w:rPr>
          <w:rFonts w:hint="cs"/>
          <w:rtl/>
          <w:lang w:bidi="ar-EG"/>
        </w:rPr>
      </w:pPr>
      <w:r>
        <w:rPr>
          <w:rFonts w:hint="cs"/>
          <w:rtl/>
          <w:lang w:bidi="ar-EG"/>
        </w:rPr>
        <w:tab/>
        <w:t>وكجزء من السياسة الوطنية للحقوق الجنسية والإنجابية، تدعم وزارة الصحة الاتحاد الوطني للعمال الزراعيين</w:t>
      </w:r>
      <w:r w:rsidR="00F31625">
        <w:rPr>
          <w:rFonts w:hint="cs"/>
          <w:rtl/>
          <w:lang w:bidi="ar-EG"/>
        </w:rPr>
        <w:t xml:space="preserve"> عن طريق </w:t>
      </w:r>
      <w:r>
        <w:rPr>
          <w:rFonts w:hint="cs"/>
          <w:rtl/>
          <w:lang w:bidi="ar-EG"/>
        </w:rPr>
        <w:t>تدريب عناصر على الشؤون الجنسانية والصحية والحقوق الجنسية والإنجابية. ويتوخى المشروع إدماج المنهجيات التي تستهدف إيجاد نهج شامل للحقوق الجنسانية والجنسية والإنجابية، والنسل والعنصر والأصل العرقي، و</w:t>
      </w:r>
      <w:r w:rsidR="00F31625">
        <w:rPr>
          <w:rFonts w:hint="cs"/>
          <w:rtl/>
          <w:lang w:bidi="ar-EG"/>
        </w:rPr>
        <w:t>ايجاد نهج شامل أيضا ل</w:t>
      </w:r>
      <w:r>
        <w:rPr>
          <w:rFonts w:hint="cs"/>
          <w:rtl/>
          <w:lang w:bidi="ar-EG"/>
        </w:rPr>
        <w:t>لصفة الإقليمية في سياسات حركة نقابات عمال الريف وفي السياسة الصحية لسكان الريف. وبدأ تنفيذ هذا المشروع في أوائل نيسان/أبريل 2005 تحت مسؤولية الاتحاد الوطني للعمال الزراعيين، ومدة المشروع ثلاث سنوات.</w:t>
      </w:r>
    </w:p>
    <w:p w:rsidR="00D762D2" w:rsidRDefault="006464B5" w:rsidP="001B3B29">
      <w:pPr>
        <w:pStyle w:val="SingleTxt"/>
        <w:rPr>
          <w:rFonts w:hint="cs"/>
          <w:rtl/>
          <w:lang w:bidi="ar-EG"/>
        </w:rPr>
      </w:pPr>
      <w:r>
        <w:rPr>
          <w:rFonts w:hint="cs"/>
          <w:rtl/>
          <w:lang w:bidi="ar-EG"/>
        </w:rPr>
        <w:tab/>
        <w:t>وتجدر الإشارة أيضا إلى أن الرئيس لولا أزا</w:t>
      </w:r>
      <w:r w:rsidR="00E642B5">
        <w:rPr>
          <w:rFonts w:hint="cs"/>
          <w:rtl/>
          <w:lang w:bidi="ar-EG"/>
        </w:rPr>
        <w:t>ح</w:t>
      </w:r>
      <w:r>
        <w:rPr>
          <w:rFonts w:hint="cs"/>
          <w:rtl/>
          <w:lang w:bidi="ar-EG"/>
        </w:rPr>
        <w:t xml:space="preserve"> الستار عن العهد الوطني لتخفيض الوفيات النفاسية بمناسبة الاحتفال باليوم الدولي للمرأة. ويعتبر هذا العهد نموذجا للتعبئة والحوار الاجتماعيين من أجل تعزيز أهداف الأمم المتحد</w:t>
      </w:r>
      <w:r w:rsidR="00D762D2">
        <w:rPr>
          <w:rFonts w:hint="cs"/>
          <w:rtl/>
          <w:lang w:bidi="ar-EG"/>
        </w:rPr>
        <w:t xml:space="preserve">ة الإنمائية للألفية، حيث أنه </w:t>
      </w:r>
      <w:r w:rsidR="00E642B5">
        <w:rPr>
          <w:rFonts w:hint="cs"/>
          <w:rtl/>
          <w:lang w:bidi="ar-EG"/>
        </w:rPr>
        <w:t>ي</w:t>
      </w:r>
      <w:r w:rsidR="00D762D2">
        <w:rPr>
          <w:rFonts w:hint="cs"/>
          <w:rtl/>
          <w:lang w:bidi="ar-EG"/>
        </w:rPr>
        <w:t>كامل</w:t>
      </w:r>
      <w:r w:rsidR="001B3B29">
        <w:rPr>
          <w:rFonts w:hint="cs"/>
          <w:rtl/>
          <w:lang w:bidi="ar-EG"/>
        </w:rPr>
        <w:t xml:space="preserve"> بين</w:t>
      </w:r>
      <w:r w:rsidR="00D762D2">
        <w:rPr>
          <w:rFonts w:hint="cs"/>
          <w:rtl/>
          <w:lang w:bidi="ar-EG"/>
        </w:rPr>
        <w:t xml:space="preserve"> مستويات الحكومة الثلاثة </w:t>
      </w:r>
      <w:r w:rsidR="001B3B29">
        <w:rPr>
          <w:rtl/>
          <w:lang w:bidi="ar-EG"/>
        </w:rPr>
        <w:t>–</w:t>
      </w:r>
      <w:r w:rsidR="001B3B29">
        <w:rPr>
          <w:rFonts w:hint="cs"/>
          <w:rtl/>
          <w:lang w:bidi="ar-EG"/>
        </w:rPr>
        <w:t xml:space="preserve"> ال</w:t>
      </w:r>
      <w:r w:rsidR="00D762D2">
        <w:rPr>
          <w:rFonts w:hint="cs"/>
          <w:rtl/>
          <w:lang w:bidi="ar-EG"/>
        </w:rPr>
        <w:t>اتحاد</w:t>
      </w:r>
      <w:r w:rsidR="001B3B29">
        <w:rPr>
          <w:rFonts w:hint="cs"/>
          <w:rtl/>
          <w:lang w:bidi="ar-EG"/>
        </w:rPr>
        <w:t xml:space="preserve">ي </w:t>
      </w:r>
      <w:r w:rsidR="00D762D2">
        <w:rPr>
          <w:rFonts w:hint="cs"/>
          <w:rtl/>
          <w:lang w:bidi="ar-EG"/>
        </w:rPr>
        <w:t>والولايات والبلديا</w:t>
      </w:r>
      <w:r w:rsidR="00E642B5">
        <w:rPr>
          <w:rFonts w:hint="cs"/>
          <w:rtl/>
          <w:lang w:bidi="ar-EG"/>
        </w:rPr>
        <w:t>ت</w:t>
      </w:r>
      <w:r w:rsidR="001B3B29">
        <w:rPr>
          <w:rFonts w:hint="cs"/>
          <w:rtl/>
          <w:lang w:bidi="ar-EG"/>
        </w:rPr>
        <w:t>-</w:t>
      </w:r>
      <w:r w:rsidR="00D762D2">
        <w:rPr>
          <w:rFonts w:hint="cs"/>
          <w:rtl/>
          <w:lang w:bidi="ar-EG"/>
        </w:rPr>
        <w:t xml:space="preserve"> وطائفة عريضة من منظمات المجتمع المدني</w:t>
      </w:r>
      <w:r w:rsidR="001B3B29">
        <w:rPr>
          <w:rFonts w:hint="cs"/>
          <w:rtl/>
          <w:lang w:bidi="ar-EG"/>
        </w:rPr>
        <w:t>.</w:t>
      </w:r>
      <w:r w:rsidR="00D762D2">
        <w:rPr>
          <w:rFonts w:hint="cs"/>
          <w:rtl/>
          <w:lang w:bidi="ar-EG"/>
        </w:rPr>
        <w:t xml:space="preserve"> وبمقتضى العهد</w:t>
      </w:r>
      <w:r w:rsidR="001B3B29">
        <w:rPr>
          <w:rFonts w:hint="cs"/>
          <w:rtl/>
          <w:lang w:bidi="ar-EG"/>
        </w:rPr>
        <w:t>،</w:t>
      </w:r>
      <w:r w:rsidR="00D762D2">
        <w:rPr>
          <w:rFonts w:hint="cs"/>
          <w:rtl/>
          <w:lang w:bidi="ar-EG"/>
        </w:rPr>
        <w:t xml:space="preserve"> تضطلع وزارة الصحة بتوفير موارد يبلغ مجموعها 31.17 مليون ريال</w:t>
      </w:r>
      <w:r w:rsidR="001B3B29">
        <w:rPr>
          <w:rFonts w:hint="cs"/>
          <w:rtl/>
          <w:lang w:bidi="ar-EG"/>
        </w:rPr>
        <w:t xml:space="preserve"> برازيلي</w:t>
      </w:r>
      <w:r w:rsidR="00D762D2">
        <w:rPr>
          <w:rFonts w:hint="cs"/>
          <w:rtl/>
          <w:lang w:bidi="ar-EG"/>
        </w:rPr>
        <w:t xml:space="preserve"> بغية تكثيف مبادرات </w:t>
      </w:r>
      <w:r w:rsidR="001B3B29">
        <w:rPr>
          <w:rFonts w:hint="cs"/>
          <w:rtl/>
          <w:lang w:bidi="ar-EG"/>
        </w:rPr>
        <w:t xml:space="preserve">بناء </w:t>
      </w:r>
      <w:r w:rsidR="00D762D2">
        <w:rPr>
          <w:rFonts w:hint="cs"/>
          <w:rtl/>
          <w:lang w:bidi="ar-EG"/>
        </w:rPr>
        <w:t>القدر</w:t>
      </w:r>
      <w:r w:rsidR="001B3B29">
        <w:rPr>
          <w:rFonts w:hint="cs"/>
          <w:rtl/>
          <w:lang w:bidi="ar-EG"/>
        </w:rPr>
        <w:t>ات</w:t>
      </w:r>
      <w:r w:rsidR="00D762D2">
        <w:rPr>
          <w:rFonts w:hint="cs"/>
          <w:rtl/>
          <w:lang w:bidi="ar-EG"/>
        </w:rPr>
        <w:t xml:space="preserve"> من أجل توفير الرعاية للأم والطفل الرضيع. وقد قدمت 71 بلدية إلى الآن مشاريع لتخفيض الوفيات النفاسية ووفيات المواليد.</w:t>
      </w:r>
    </w:p>
    <w:p w:rsidR="00D762D2" w:rsidRDefault="00D762D2" w:rsidP="00D762D2">
      <w:pPr>
        <w:pStyle w:val="SingleTxt"/>
        <w:rPr>
          <w:rFonts w:hint="cs"/>
          <w:rtl/>
          <w:lang w:bidi="ar-EG"/>
        </w:rPr>
      </w:pPr>
      <w:r>
        <w:rPr>
          <w:rFonts w:hint="cs"/>
          <w:rtl/>
          <w:lang w:bidi="ar-EG"/>
        </w:rPr>
        <w:tab/>
        <w:t>وفضلا عن ذلك، عقدت 26 حلقة دراسية في الولايات (لم تمتنع إلا ولاية ساو باولو) بغية وضع خطط عمل، بالإضافة إلى عقد أربعة اجتماعات للجنة الوطنية المعنية برصد وتقييم تنفيذ العهد الوطني، وحضر هذه الاجتماعات 34 من ممثلي المجتمع المدني والحكومة.</w:t>
      </w:r>
    </w:p>
    <w:p w:rsidR="00D762D2" w:rsidRPr="00D762D2" w:rsidRDefault="00D762D2" w:rsidP="00D762D2">
      <w:pPr>
        <w:pStyle w:val="SingleTxt"/>
        <w:spacing w:after="0" w:line="120" w:lineRule="exact"/>
        <w:rPr>
          <w:rFonts w:hint="cs"/>
          <w:sz w:val="10"/>
          <w:rtl/>
          <w:lang w:bidi="ar-EG"/>
        </w:rPr>
      </w:pPr>
    </w:p>
    <w:p w:rsidR="00C87B32" w:rsidRDefault="00C87B32" w:rsidP="00D762D2">
      <w:pPr>
        <w:pStyle w:val="SingleTxt"/>
        <w:rPr>
          <w:rFonts w:hint="cs"/>
          <w:b/>
          <w:bCs/>
          <w:rtl/>
        </w:rPr>
      </w:pPr>
      <w:r w:rsidRPr="00D762D2">
        <w:rPr>
          <w:b/>
          <w:bCs/>
          <w:rtl/>
        </w:rPr>
        <w:t>2</w:t>
      </w:r>
      <w:r w:rsidR="00D762D2" w:rsidRPr="00D762D2">
        <w:rPr>
          <w:rFonts w:hint="cs"/>
          <w:b/>
          <w:bCs/>
          <w:rtl/>
        </w:rPr>
        <w:t>3</w:t>
      </w:r>
      <w:r w:rsidRPr="00D762D2">
        <w:rPr>
          <w:rFonts w:hint="cs"/>
          <w:b/>
          <w:bCs/>
          <w:rtl/>
        </w:rPr>
        <w:t xml:space="preserve"> </w:t>
      </w:r>
      <w:r w:rsidRPr="00D762D2">
        <w:rPr>
          <w:b/>
          <w:bCs/>
          <w:rtl/>
        </w:rPr>
        <w:t>-</w:t>
      </w:r>
      <w:r w:rsidRPr="00D762D2">
        <w:rPr>
          <w:rFonts w:hint="cs"/>
          <w:b/>
          <w:bCs/>
          <w:rtl/>
        </w:rPr>
        <w:tab/>
      </w:r>
      <w:r w:rsidRPr="00D762D2">
        <w:rPr>
          <w:b/>
          <w:bCs/>
          <w:rtl/>
        </w:rPr>
        <w:t>أعرب المقرر الخاص المعني بمسألة بيع الأطفال واستغلالهم في البغاء وفي المواد الخليعة (</w:t>
      </w:r>
      <w:r w:rsidRPr="00D762D2">
        <w:rPr>
          <w:b/>
          <w:bCs/>
        </w:rPr>
        <w:t>E/CN.4/2004/9/Add.2</w:t>
      </w:r>
      <w:r w:rsidRPr="00D762D2">
        <w:rPr>
          <w:b/>
          <w:bCs/>
          <w:rtl/>
        </w:rPr>
        <w:t xml:space="preserve">) عن قلقه إزاء الحالة فيما يتعلق بمسألة الإجهاض وأشار إلى أن </w:t>
      </w:r>
      <w:r w:rsidR="00D762D2" w:rsidRPr="00D762D2">
        <w:rPr>
          <w:rFonts w:hint="cs"/>
          <w:b/>
          <w:bCs/>
          <w:rtl/>
        </w:rPr>
        <w:t>”</w:t>
      </w:r>
      <w:r w:rsidRPr="00D762D2">
        <w:rPr>
          <w:b/>
          <w:bCs/>
          <w:rtl/>
        </w:rPr>
        <w:t>44</w:t>
      </w:r>
      <w:r w:rsidRPr="00D762D2">
        <w:rPr>
          <w:rFonts w:hint="cs"/>
          <w:b/>
          <w:bCs/>
          <w:rtl/>
        </w:rPr>
        <w:t> </w:t>
      </w:r>
      <w:r w:rsidRPr="00D762D2">
        <w:rPr>
          <w:b/>
          <w:bCs/>
          <w:rtl/>
        </w:rPr>
        <w:t>مركزا فقط في جميع أنحاء البلد تكفل إجراء الإجهاض</w:t>
      </w:r>
      <w:r w:rsidR="00D762D2" w:rsidRPr="00D762D2">
        <w:rPr>
          <w:rFonts w:hint="cs"/>
          <w:b/>
          <w:bCs/>
          <w:rtl/>
        </w:rPr>
        <w:t>“</w:t>
      </w:r>
      <w:r w:rsidRPr="00D762D2">
        <w:rPr>
          <w:b/>
          <w:bCs/>
          <w:rtl/>
        </w:rPr>
        <w:t xml:space="preserve"> وأن </w:t>
      </w:r>
      <w:r w:rsidR="00D762D2" w:rsidRPr="00D762D2">
        <w:rPr>
          <w:rFonts w:hint="cs"/>
          <w:b/>
          <w:bCs/>
          <w:rtl/>
        </w:rPr>
        <w:t>”</w:t>
      </w:r>
      <w:r w:rsidRPr="00D762D2">
        <w:rPr>
          <w:b/>
          <w:bCs/>
          <w:rtl/>
        </w:rPr>
        <w:t>ذلك يرغم العديد من النساء على الخضوع للإجهاض سرا، مما يعرض حياتهن للخطر.</w:t>
      </w:r>
      <w:r w:rsidRPr="00D762D2">
        <w:rPr>
          <w:b/>
          <w:bCs/>
        </w:rPr>
        <w:t xml:space="preserve"> </w:t>
      </w:r>
      <w:r w:rsidRPr="00D762D2">
        <w:rPr>
          <w:b/>
          <w:bCs/>
          <w:rtl/>
        </w:rPr>
        <w:t xml:space="preserve">ويمثل هذا حرمان </w:t>
      </w:r>
      <w:r w:rsidRPr="00D762D2">
        <w:rPr>
          <w:rFonts w:hint="cs"/>
          <w:b/>
          <w:bCs/>
          <w:rtl/>
        </w:rPr>
        <w:t>ا</w:t>
      </w:r>
      <w:r w:rsidRPr="00D762D2">
        <w:rPr>
          <w:b/>
          <w:bCs/>
          <w:rtl/>
        </w:rPr>
        <w:t xml:space="preserve">لمرأة من حقها في </w:t>
      </w:r>
      <w:r w:rsidRPr="00D762D2">
        <w:rPr>
          <w:rFonts w:hint="cs"/>
          <w:b/>
          <w:bCs/>
          <w:rtl/>
        </w:rPr>
        <w:t xml:space="preserve">الحصول على </w:t>
      </w:r>
      <w:r w:rsidRPr="00D762D2">
        <w:rPr>
          <w:b/>
          <w:bCs/>
          <w:rtl/>
        </w:rPr>
        <w:t>الرعاية الصحية</w:t>
      </w:r>
      <w:r w:rsidR="00D762D2" w:rsidRPr="00D762D2">
        <w:rPr>
          <w:rFonts w:hint="eastAsia"/>
          <w:b/>
          <w:bCs/>
          <w:rtl/>
        </w:rPr>
        <w:t>“</w:t>
      </w:r>
      <w:r w:rsidRPr="00D762D2">
        <w:rPr>
          <w:rFonts w:hint="cs"/>
          <w:b/>
          <w:bCs/>
          <w:rtl/>
        </w:rPr>
        <w:t xml:space="preserve">. </w:t>
      </w:r>
      <w:r w:rsidRPr="00D762D2">
        <w:rPr>
          <w:b/>
          <w:bCs/>
          <w:rtl/>
        </w:rPr>
        <w:t>يرجى تقديم بيانات، إن وجدت، بشأن عدد الوفيات النفاسية الناجمة عن الإجهاض غير المأمون، والتدابير التي يعتزم اتخاذها لمعالجة هذه المشكلة، أخذا في الاعتب</w:t>
      </w:r>
      <w:r w:rsidR="00D762D2">
        <w:rPr>
          <w:b/>
          <w:bCs/>
          <w:rtl/>
        </w:rPr>
        <w:t>ار أن الإجهاض جائز بموجب المادة</w:t>
      </w:r>
      <w:r w:rsidR="00D762D2">
        <w:rPr>
          <w:rFonts w:hint="cs"/>
          <w:b/>
          <w:bCs/>
          <w:rtl/>
        </w:rPr>
        <w:t> </w:t>
      </w:r>
      <w:r w:rsidRPr="00D762D2">
        <w:rPr>
          <w:b/>
          <w:bCs/>
          <w:rtl/>
        </w:rPr>
        <w:t>128، ا</w:t>
      </w:r>
      <w:r w:rsidRPr="00D762D2">
        <w:rPr>
          <w:rFonts w:hint="cs"/>
          <w:b/>
          <w:bCs/>
          <w:rtl/>
        </w:rPr>
        <w:t>لبند</w:t>
      </w:r>
      <w:r w:rsidRPr="00D762D2">
        <w:rPr>
          <w:b/>
          <w:bCs/>
          <w:rtl/>
        </w:rPr>
        <w:t>ين الأول والثاني من القانون الجنائي البرازيلي.</w:t>
      </w:r>
    </w:p>
    <w:p w:rsidR="00D762D2" w:rsidRDefault="00D762D2" w:rsidP="00D762D2">
      <w:pPr>
        <w:pStyle w:val="SingleTxt"/>
        <w:rPr>
          <w:rFonts w:hint="cs"/>
          <w:rtl/>
        </w:rPr>
      </w:pPr>
      <w:r>
        <w:rPr>
          <w:rFonts w:hint="cs"/>
          <w:rtl/>
        </w:rPr>
        <w:tab/>
        <w:t>الممارسة غير القانونية للإجهاض في البرازيل تجعل من المستحيل وجود إحصائيات يعتمد عليها لتدعيم سياسات عامة أكثر دقة وتحديد</w:t>
      </w:r>
      <w:r w:rsidR="001B3B29">
        <w:rPr>
          <w:rFonts w:hint="cs"/>
          <w:rtl/>
        </w:rPr>
        <w:t>ا</w:t>
      </w:r>
      <w:r>
        <w:rPr>
          <w:rFonts w:hint="cs"/>
          <w:rtl/>
        </w:rPr>
        <w:t xml:space="preserve"> تستهدف الواقع الإقليمي والفئات العمرية التي يكثر فيها حدوث الحمل غير المرغوب. وفي عام 2006 أجريت 067 2 حالة من حالات الإجهاض القانوني بموجب المادة 128 من قانون العقوبات البرازيلي الذي يتناول الخطر على حياة النساء والحمل الناتج عن اغتصاب. </w:t>
      </w:r>
    </w:p>
    <w:p w:rsidR="00D762D2" w:rsidRDefault="00D762D2" w:rsidP="00D762D2">
      <w:pPr>
        <w:pStyle w:val="SingleTxt"/>
        <w:rPr>
          <w:rFonts w:hint="cs"/>
          <w:rtl/>
          <w:lang w:bidi="ar-EG"/>
        </w:rPr>
      </w:pPr>
      <w:r>
        <w:rPr>
          <w:rFonts w:hint="cs"/>
          <w:rtl/>
        </w:rPr>
        <w:tab/>
        <w:t>وفي الفترة من 2004 إلى 2006، كان عدد النساء اللاتي أجريت لهن عمليات كشط الرحم بعد الإجهاض وسجلن في النظام الصحي الموحد 988 243 (2004)، و 019 241 (2005)، و 135 222</w:t>
      </w:r>
      <w:r>
        <w:t xml:space="preserve"> </w:t>
      </w:r>
      <w:r w:rsidR="00136676">
        <w:rPr>
          <w:rFonts w:hint="cs"/>
          <w:rtl/>
          <w:lang w:bidi="ar-EG"/>
        </w:rPr>
        <w:t>(2006). وهذه الممارسة هي ثاني أوسع إجراءات التوليد انتشارا في المستشفيات والعيادات. ولا يسبقها إلا الولادة العادية. ومن الناحية المالية، يمثل ذلك حوالي 35 مليون ريال برازيلي سنويا. ومعدلات الوفاة بسبب الإجهاض أكثر تكررا بين النساء المنحدرات من أصل أفريقي.</w:t>
      </w:r>
    </w:p>
    <w:p w:rsidR="00136676" w:rsidRDefault="00136676" w:rsidP="00D762D2">
      <w:pPr>
        <w:pStyle w:val="SingleTxt"/>
        <w:rPr>
          <w:rFonts w:hint="cs"/>
          <w:rtl/>
          <w:lang w:bidi="ar-EG"/>
        </w:rPr>
      </w:pPr>
      <w:r>
        <w:rPr>
          <w:rFonts w:hint="cs"/>
          <w:rtl/>
          <w:lang w:bidi="ar-EG"/>
        </w:rPr>
        <w:tab/>
        <w:t xml:space="preserve">والوفيات النفاسية مؤشر منتظم لتقييم الحالة الصحية للسكان، كما </w:t>
      </w:r>
      <w:r w:rsidR="001B3B29">
        <w:rPr>
          <w:rFonts w:hint="cs"/>
          <w:rtl/>
          <w:lang w:bidi="ar-EG"/>
        </w:rPr>
        <w:t xml:space="preserve">أنها </w:t>
      </w:r>
      <w:r>
        <w:rPr>
          <w:rFonts w:hint="cs"/>
          <w:rtl/>
          <w:lang w:bidi="ar-EG"/>
        </w:rPr>
        <w:t>تبين الانحرافات الموجودة. ومن الممكن إلى حد كبير تحاشي وفيات النساء في سن الخصوبة نتيجة للحمل أو الإجهاض أو الولادة أو الإصابات بمرض بعد الولادة مباشرة. ويشير ارتفاع معدل الوفيات النفاسية إلى الظروف الاجتماعية الاقتصادية غير المستقرة، وتدني مستوى المعلومات والدراسة، ودينامية الأسرة المصحوبة بالعنف المنـزلي، وصعوبة الوصول إلى الخدمات الصحية الجيدة النوعية.</w:t>
      </w:r>
    </w:p>
    <w:p w:rsidR="00136676" w:rsidRDefault="00136676" w:rsidP="00694BFC">
      <w:pPr>
        <w:pStyle w:val="SingleTxt"/>
        <w:rPr>
          <w:rFonts w:hint="cs"/>
          <w:rtl/>
        </w:rPr>
      </w:pPr>
      <w:r>
        <w:rPr>
          <w:rFonts w:hint="cs"/>
          <w:rtl/>
          <w:lang w:bidi="ar-EG"/>
        </w:rPr>
        <w:tab/>
        <w:t>وقد يكون ثبات معدلات الوفيات النفاسية منذ عام 2000 مرتبطا بنوعية أفضل من رعاية التوليد وبتنظيم الأسرة. ومع ذلك، تبين الأرقام في البرازيل، وهي 74.5 وفاة لكل 000 100 ولادة حية (مع مراعاة عامل تصحيح قدره 1.4) أن الحالة لا تزال غير مقبولة، حيث أن معدل الوفيات النفاسية في البلدان المتقدمة النم</w:t>
      </w:r>
      <w:r w:rsidR="00694BFC">
        <w:rPr>
          <w:rFonts w:hint="cs"/>
          <w:rtl/>
          <w:lang w:bidi="ar-EG"/>
        </w:rPr>
        <w:t>و يتراوح بين 20.6 حالة وفاة لكل</w:t>
      </w:r>
      <w:r w:rsidR="00694BFC">
        <w:rPr>
          <w:rFonts w:hint="eastAsia"/>
          <w:rtl/>
          <w:lang w:bidi="ar-EG"/>
        </w:rPr>
        <w:t> </w:t>
      </w:r>
      <w:r>
        <w:rPr>
          <w:rFonts w:hint="cs"/>
          <w:rtl/>
          <w:lang w:bidi="ar-EG"/>
        </w:rPr>
        <w:t xml:space="preserve">000 100 ولادة حية (المصدر: </w:t>
      </w:r>
      <w:r w:rsidR="00694BFC" w:rsidRPr="00694BFC">
        <w:rPr>
          <w:lang w:bidi="ar-EG"/>
        </w:rPr>
        <w:t>Saúde Brasília 1005 – Uma análise de situação de</w:t>
      </w:r>
      <w:r w:rsidR="00694BFC">
        <w:rPr>
          <w:lang w:bidi="ar-EG"/>
        </w:rPr>
        <w:t> </w:t>
      </w:r>
      <w:r w:rsidR="00694BFC" w:rsidRPr="00694BFC">
        <w:rPr>
          <w:lang w:bidi="ar-EG"/>
        </w:rPr>
        <w:t>saúde – Secretaria de Vigilância em Saúde/MS, Brasil</w:t>
      </w:r>
      <w:r w:rsidR="00694BFC">
        <w:rPr>
          <w:rFonts w:hint="cs"/>
          <w:rtl/>
          <w:lang w:bidi="ar-EG"/>
        </w:rPr>
        <w:t>).</w:t>
      </w:r>
    </w:p>
    <w:p w:rsidR="00694BFC" w:rsidRDefault="00694BFC" w:rsidP="00276DB2">
      <w:pPr>
        <w:pStyle w:val="SingleTxt"/>
        <w:rPr>
          <w:rFonts w:hint="cs"/>
          <w:rtl/>
          <w:lang w:bidi="ar-EG"/>
        </w:rPr>
      </w:pPr>
      <w:r>
        <w:rPr>
          <w:rFonts w:hint="cs"/>
          <w:rtl/>
          <w:lang w:bidi="ar-EG"/>
        </w:rPr>
        <w:tab/>
        <w:t>ونتيجة للإجهاض، حدثت 115 حالة وفاة عام 2002 و 152 حالة عام 2003 و 156 حالة عام 2004، مما يجعل الإجهاض السبب الرابع للوفيات النفاسية في البرازيل. وفي أواخر عام 2002 كانت هناك 82 وحدة بالمستشفيات مجهزة لتقديم الرعاية إلى النساء من ضحايا الاغتصاب. وتركزت هذه الوحدات في العواصم والمناطق المتروبولية في الجنوب والجنوب الشرقي؛ وأجريت في 42 وحدة من هذه الوحدات عمليات إجهاض يسمح بها القانون. وفي عام 2003 وُضع هدف لزيادة عدد الخدمات التي تقدم الرعاية إلى النساء في حالات العنف بنسبة 30 في المائة. وتحقيقا لهذا الهدف أنفقت وزارة الصحة 1.552 مليون ريال برازيلي بين عامي 2004 و 2005 على إنشاء 41 شبكة جديدة للرعاية المتكاملة للنساء والمراهقات في حالات العنف المنـزلي والجنسي في البلديات التي توج</w:t>
      </w:r>
      <w:r w:rsidR="00276DB2">
        <w:rPr>
          <w:rFonts w:hint="cs"/>
          <w:rtl/>
          <w:lang w:bidi="ar-EG"/>
        </w:rPr>
        <w:t>د</w:t>
      </w:r>
      <w:r>
        <w:rPr>
          <w:rFonts w:hint="cs"/>
          <w:rtl/>
          <w:lang w:bidi="ar-EG"/>
        </w:rPr>
        <w:t xml:space="preserve"> بها أسوأ مؤشرات للعنف. وتوجد الآن 142 خدمة عاملة في جميع مناطق البلد. وبالتالي تفوق البرازيل الهدف المحدد، حيث أن عدد الخدمات زاد بنسبة 48 في المائة.</w:t>
      </w:r>
    </w:p>
    <w:p w:rsidR="00694BFC" w:rsidRDefault="00694BFC" w:rsidP="00276DB2">
      <w:pPr>
        <w:pStyle w:val="SingleTxt"/>
        <w:rPr>
          <w:rFonts w:hint="cs"/>
          <w:rtl/>
          <w:lang w:bidi="ar-EG"/>
        </w:rPr>
      </w:pPr>
      <w:r>
        <w:rPr>
          <w:rFonts w:hint="cs"/>
          <w:rtl/>
          <w:lang w:bidi="ar-EG"/>
        </w:rPr>
        <w:tab/>
        <w:t>وعملا على تخفيض الوفيات النفاسية، تنفذ وزارة الصحة إجراءات للتأهيل بغية الحصول على رعاية التوليد وتنظيم الأسرة وتوفير الرعاية للنساء في حالا</w:t>
      </w:r>
      <w:r w:rsidR="00276DB2">
        <w:rPr>
          <w:rFonts w:hint="cs"/>
          <w:rtl/>
          <w:lang w:bidi="ar-EG"/>
        </w:rPr>
        <w:t>ت</w:t>
      </w:r>
      <w:r>
        <w:rPr>
          <w:rFonts w:hint="cs"/>
          <w:rtl/>
          <w:lang w:bidi="ar-EG"/>
        </w:rPr>
        <w:t xml:space="preserve"> العنف. وأثناء تولي الحكومة الحالية، تنقح الوزارة الدليل المعني بمنع وعلاج الأضرار الناتجة عن العنف ضد النساء والمراهقات، كما تعد دليلين يتناولان منع الحمل في حالات الطوارئ والجوانب القانونية لتقديم الرعاية إلى ضحايا العنف الجنسي.</w:t>
      </w:r>
    </w:p>
    <w:p w:rsidR="00694BFC" w:rsidRDefault="00694BFC" w:rsidP="00694BFC">
      <w:pPr>
        <w:pStyle w:val="SingleTxt"/>
        <w:rPr>
          <w:rFonts w:hint="cs"/>
          <w:rtl/>
          <w:lang w:bidi="ar-EG"/>
        </w:rPr>
      </w:pPr>
      <w:r>
        <w:rPr>
          <w:rFonts w:hint="cs"/>
          <w:rtl/>
          <w:lang w:bidi="ar-EG"/>
        </w:rPr>
        <w:tab/>
        <w:t>وتعد وزارة الصحة، بالمشاركة مع الأمانة الخاصة لسياسات المرأة والأمانة الوطنية للأمن العام التابعة لوزارة العدل، مصفوفة تعليمية من أجل إنشاء شبكات، وتتكون هذه المصفوفة من مجموعة من المعلومات التي تدور حول الصك</w:t>
      </w:r>
      <w:r w:rsidR="00364652">
        <w:rPr>
          <w:rFonts w:hint="cs"/>
          <w:rtl/>
          <w:lang w:bidi="ar-EG"/>
        </w:rPr>
        <w:t>وك النظرية والتحسين التقني، كما</w:t>
      </w:r>
      <w:r w:rsidR="00364652">
        <w:rPr>
          <w:rFonts w:hint="eastAsia"/>
          <w:rtl/>
          <w:lang w:bidi="ar-EG"/>
        </w:rPr>
        <w:t> </w:t>
      </w:r>
      <w:r>
        <w:rPr>
          <w:rFonts w:hint="cs"/>
          <w:rtl/>
          <w:lang w:bidi="ar-EG"/>
        </w:rPr>
        <w:t>تعد الصورة والكفاءة المهنية لتقديم الرعاية المتكاملة إلى النساء والمراهقات في حالات العنف المنـزلي والجنسي. وتتولى الوزارة أيضا صياغة معايير تقنية لتقديم الرعاية الإنسانية في حالات الإسقاط، فضلا عن توعية 787 1 من المهنيين الصحيين بالمراكز الرئيسية لرعاية الأمومة في البلد.</w:t>
      </w:r>
    </w:p>
    <w:p w:rsidR="00694BFC" w:rsidRDefault="00694BFC" w:rsidP="00694BFC">
      <w:pPr>
        <w:pStyle w:val="SingleTxt"/>
        <w:rPr>
          <w:rFonts w:hint="cs"/>
          <w:rtl/>
          <w:lang w:bidi="ar-EG"/>
        </w:rPr>
      </w:pPr>
      <w:r>
        <w:rPr>
          <w:rFonts w:hint="cs"/>
          <w:rtl/>
          <w:lang w:bidi="ar-EG"/>
        </w:rPr>
        <w:tab/>
        <w:t>وفي العام الحالي تمول وزارة الصحة بحثا يستهدف رسم صورة للرعاية المقدمة إلى النساء في حالات العنف، بغية جمع مدخلات من أجل صياغة استراتيجيات لتعزيز تنفيذ تلك الشبكات.</w:t>
      </w:r>
    </w:p>
    <w:p w:rsidR="00694BFC" w:rsidRDefault="00694BFC" w:rsidP="00694BFC">
      <w:pPr>
        <w:pStyle w:val="SingleTxt"/>
        <w:rPr>
          <w:rFonts w:hint="cs"/>
          <w:rtl/>
          <w:lang w:bidi="ar-EG"/>
        </w:rPr>
      </w:pPr>
      <w:r>
        <w:rPr>
          <w:rFonts w:hint="cs"/>
          <w:rtl/>
          <w:lang w:bidi="ar-EG"/>
        </w:rPr>
        <w:tab/>
        <w:t xml:space="preserve">ورُسمت استراتيجية أخرى تستهدف إنشاء شبكات للرعاية المتكاملة للنساء والمراهقات في حالات العنف المنـزلي والجنسي، وكانت الاستراتيجية تعزيز عقد حلقات دراسية إقليمية موسعة تهدف إلى التعرف على التقدم المحرز والصعوبات التي واجهها الإداريون والخدمات الصحية المرجعية التي تقدم الرعاية في حالات العنف المنـزلي والمضاعفات </w:t>
      </w:r>
      <w:r w:rsidR="00D37A14">
        <w:rPr>
          <w:rFonts w:hint="cs"/>
          <w:rtl/>
          <w:lang w:bidi="ar-EG"/>
        </w:rPr>
        <w:t xml:space="preserve">الناجمة عن العنف الجنسي. </w:t>
      </w:r>
      <w:r w:rsidR="00276DB2">
        <w:rPr>
          <w:rFonts w:hint="cs"/>
          <w:rtl/>
          <w:lang w:bidi="ar-EG"/>
        </w:rPr>
        <w:t>و</w:t>
      </w:r>
      <w:r w:rsidR="00D37A14">
        <w:rPr>
          <w:rFonts w:hint="cs"/>
          <w:rtl/>
          <w:lang w:bidi="ar-EG"/>
        </w:rPr>
        <w:t>توخت هذه المبادرة التنسيق بين الإداريين على مستويات الحكومة الثلاثة والمستشفيات المرجعية من أجل تقديم الرعاية المتكاملة إلى النساء والمراهقات في حالات العنف الجنسي، وذلك لكفالة توفير الرعاية وتحضير وصرف العقاقير المضادة للفيروسات الرجعية والأمصال ووسائل منع الحمل في حالات الطوارئ، فضلا عن الإجراءات المنصوص عليها في التشريع. وكمبادرة مبتكرة، نظمت وزارة الصحة الإبلاغ الإجباري عن حالات العنف.</w:t>
      </w:r>
    </w:p>
    <w:p w:rsidR="00D37A14" w:rsidRDefault="00D37A14" w:rsidP="00694BFC">
      <w:pPr>
        <w:pStyle w:val="SingleTxt"/>
        <w:rPr>
          <w:rFonts w:hint="cs"/>
          <w:rtl/>
          <w:lang w:bidi="ar-EG"/>
        </w:rPr>
      </w:pPr>
      <w:r>
        <w:rPr>
          <w:rFonts w:hint="cs"/>
          <w:rtl/>
          <w:lang w:bidi="ar-EG"/>
        </w:rPr>
        <w:tab/>
        <w:t>وحرصا على تحسين نوعية الرعاية في فترة ما قبل الولادة، يجري من جديد تدعيم برنامج إضفاء الصبغة الإنسانية على عمليات الوضع والولادة. وبين عامي 2003 و 2005 أضيفت 123 1 بلدية إلى البرنامج مما جعل المجموع 105 5 بلدية. وفي عام 2002 سجلت 023 485 امرأة حامل وأنهت 346 26 امرأة منهن جميع الإجراءات. وفي عام 2005 ارتفع عدد الحوامل المسجلات إلى 176 999 1 امرأة حامل أكملت 716 310 منهن جميع الإجراءات.</w:t>
      </w:r>
    </w:p>
    <w:p w:rsidR="00D37A14" w:rsidRDefault="00D37A14" w:rsidP="00276DB2">
      <w:pPr>
        <w:pStyle w:val="SingleTxt"/>
        <w:rPr>
          <w:rFonts w:hint="cs"/>
          <w:rtl/>
          <w:lang w:bidi="ar-EG"/>
        </w:rPr>
      </w:pPr>
      <w:r>
        <w:rPr>
          <w:rFonts w:hint="cs"/>
          <w:rtl/>
          <w:lang w:bidi="ar-EG"/>
        </w:rPr>
        <w:tab/>
        <w:t xml:space="preserve">وعملا على تغيير معايير تقديم الرعاية عند الولادة، عقدت وزارة الصحة حلقتين دراسيتين على الصعيد الوطني و 29 حلقة دراسية على صعيد الولايات عن إضفاء الصبغة الإنسانية على رعاية التوليد والمواليد بناء على الدلائل العلمية. وحضر هذه الحلقات الدراسية 787 1 مهنيا </w:t>
      </w:r>
      <w:r w:rsidR="00276DB2">
        <w:rPr>
          <w:rFonts w:hint="cs"/>
          <w:rtl/>
          <w:lang w:bidi="ar-EG"/>
        </w:rPr>
        <w:t xml:space="preserve">يضمون </w:t>
      </w:r>
      <w:r>
        <w:rPr>
          <w:rFonts w:hint="cs"/>
          <w:rtl/>
          <w:lang w:bidi="ar-EG"/>
        </w:rPr>
        <w:t>مديرين ورؤساء إدارات التوليد وعلوم المواليد والتمريض عند التوليد في أقسام الولادة الرئيسية البالغ عددها 439 في جميع ولايات البرازيل.</w:t>
      </w:r>
    </w:p>
    <w:p w:rsidR="00D37A14" w:rsidRDefault="00D37A14" w:rsidP="00276DB2">
      <w:pPr>
        <w:pStyle w:val="SingleTxt"/>
        <w:rPr>
          <w:rFonts w:hint="cs"/>
          <w:rtl/>
          <w:lang w:bidi="ar-EG"/>
        </w:rPr>
      </w:pPr>
      <w:r>
        <w:rPr>
          <w:rFonts w:hint="cs"/>
          <w:rtl/>
          <w:lang w:bidi="ar-EG"/>
        </w:rPr>
        <w:tab/>
        <w:t>وأثناء الفترة الأولى لولاية الحكومة، زادت وزارة الصحة المبالغ المنصرفة من الخدمات الصحية الموحدة من أجل الولادات الطبيعية (من 205 ريالات ب</w:t>
      </w:r>
      <w:r w:rsidR="007B2655">
        <w:rPr>
          <w:rFonts w:hint="cs"/>
          <w:rtl/>
          <w:lang w:bidi="ar-EG"/>
        </w:rPr>
        <w:t>رازيلية عام 2002 إلى 291.15 ريالا عام 2004)، ومن أجل عمليات القيصرية (من 337 ريالا برازيلي</w:t>
      </w:r>
      <w:r w:rsidR="00276DB2">
        <w:rPr>
          <w:rFonts w:hint="cs"/>
          <w:rtl/>
          <w:lang w:bidi="ar-EG"/>
        </w:rPr>
        <w:t>ا</w:t>
      </w:r>
      <w:r w:rsidR="007B2655">
        <w:rPr>
          <w:rFonts w:hint="cs"/>
          <w:rtl/>
          <w:lang w:bidi="ar-EG"/>
        </w:rPr>
        <w:t xml:space="preserve"> عام 2002 إلى 402.83 ريال عام 2004)، ومن أجل تصوير الثدي بالأشعة السينية (من 30.12 ريال برازيلي عام 2002 إلى 36.10 ريال عام 2004).</w:t>
      </w:r>
    </w:p>
    <w:p w:rsidR="007B2655" w:rsidRDefault="006375AA" w:rsidP="006375AA">
      <w:pPr>
        <w:pStyle w:val="SingleTxt"/>
        <w:rPr>
          <w:rFonts w:hint="cs"/>
          <w:rtl/>
          <w:lang w:bidi="ar-EG"/>
        </w:rPr>
      </w:pPr>
      <w:r>
        <w:rPr>
          <w:rFonts w:hint="cs"/>
          <w:rtl/>
          <w:lang w:bidi="ar-EG"/>
        </w:rPr>
        <w:tab/>
        <w:t>ونظمت الحكومة أيضا قانون المُرافق</w:t>
      </w:r>
      <w:r w:rsidR="007B2655">
        <w:rPr>
          <w:rFonts w:hint="cs"/>
          <w:rtl/>
          <w:lang w:bidi="ar-EG"/>
        </w:rPr>
        <w:t xml:space="preserve">، الذي يقرر أجرا يوميا </w:t>
      </w:r>
      <w:r>
        <w:rPr>
          <w:rFonts w:hint="cs"/>
          <w:rtl/>
          <w:lang w:bidi="ar-EG"/>
        </w:rPr>
        <w:t>قدره</w:t>
      </w:r>
      <w:r w:rsidR="007B2655">
        <w:rPr>
          <w:rFonts w:hint="cs"/>
          <w:rtl/>
          <w:lang w:bidi="ar-EG"/>
        </w:rPr>
        <w:t xml:space="preserve"> ستة ريالات برازيلية لم</w:t>
      </w:r>
      <w:r>
        <w:rPr>
          <w:rFonts w:hint="cs"/>
          <w:rtl/>
          <w:lang w:bidi="ar-EG"/>
        </w:rPr>
        <w:t>ُ</w:t>
      </w:r>
      <w:r w:rsidR="007B2655">
        <w:rPr>
          <w:rFonts w:hint="cs"/>
          <w:rtl/>
          <w:lang w:bidi="ar-EG"/>
        </w:rPr>
        <w:t>رافق ويحدد موعدا نهائيا لا يتجاوز ستة أشهر لكي تتكيف المستشفيات مع هذا القانون بحيث تمتثل لهذا التدبير حرصا على صبغ تقديم الرعاية بصبغة إنسانية.</w:t>
      </w:r>
    </w:p>
    <w:p w:rsidR="007B2655" w:rsidRDefault="007B2655" w:rsidP="00694BFC">
      <w:pPr>
        <w:pStyle w:val="SingleTxt"/>
        <w:rPr>
          <w:rFonts w:hint="cs"/>
          <w:rtl/>
          <w:lang w:bidi="ar-EG"/>
        </w:rPr>
      </w:pPr>
      <w:r>
        <w:rPr>
          <w:rFonts w:hint="cs"/>
          <w:rtl/>
          <w:lang w:bidi="ar-EG"/>
        </w:rPr>
        <w:tab/>
        <w:t xml:space="preserve">وتدعم وزارة الصحة تدريب 370 </w:t>
      </w:r>
      <w:r>
        <w:rPr>
          <w:lang w:bidi="ar-EG"/>
        </w:rPr>
        <w:t>Doulas</w:t>
      </w:r>
      <w:r>
        <w:rPr>
          <w:rFonts w:hint="cs"/>
          <w:rtl/>
          <w:lang w:bidi="ar-EG"/>
        </w:rPr>
        <w:t xml:space="preserve"> </w:t>
      </w:r>
      <w:r w:rsidR="006375AA">
        <w:rPr>
          <w:rFonts w:hint="cs"/>
          <w:rtl/>
          <w:lang w:bidi="ar-EG"/>
        </w:rPr>
        <w:t xml:space="preserve">من </w:t>
      </w:r>
      <w:r>
        <w:rPr>
          <w:rFonts w:hint="cs"/>
          <w:rtl/>
          <w:lang w:bidi="ar-EG"/>
        </w:rPr>
        <w:t>المجتمع المحلي، وهن من نساء المجتمع المحلي اللاتي يصاحبن المتمخضات ويقمن بأنشطة مساعدة أثناء الولادة في 13 ولاية. وتقدم الوزارة أيضا دعما تقنيا وماليا إلى مدارس التمريض في جميع الولايات لكي تقدم 34 دورة دراسية في تخصص التوليد.</w:t>
      </w:r>
    </w:p>
    <w:p w:rsidR="007B2655" w:rsidRDefault="007B2655" w:rsidP="00694BFC">
      <w:pPr>
        <w:pStyle w:val="SingleTxt"/>
        <w:rPr>
          <w:rFonts w:hint="cs"/>
          <w:rtl/>
          <w:lang w:bidi="ar-EG"/>
        </w:rPr>
      </w:pPr>
      <w:r>
        <w:rPr>
          <w:rFonts w:hint="cs"/>
          <w:rtl/>
          <w:lang w:bidi="ar-EG"/>
        </w:rPr>
        <w:tab/>
        <w:t>وعملا على تعزيز نوعية الرعاية المقدمة إلى الولادة في المنـزل، وفرت أيضا وزارة الصحة الدعم التقني والمالي لتدريب 85 من عناصر المهنيين الصحيين على العمل كمدرسين، و 904 قابلة تقليدية في ولايات إيكر وأمازوناس وأمابا وبارا وماراناو وألاغوس وبارايبا وغوياس وميناس غيراس وماتو غروسو دو سول وماتو غروسو (مقاطعة زافانتي الصحية للسكان الأصليين). وعقدت أيضا ثلاثة برامج لإعداد القابلات الميسرات للوقاية من الأمراض المنقولة عن طريق الاتصال الجنسي/فيروس نقص المناعة البشرية/الإيدز وفيروس التهاب الكبد، فضلا عن إعداد المهنيين الصحيين والقابلات التقليديات لمعالجة الصحة الجنسية والإنجابية في جوروا العليا، وفي ولاية إيكر، وفي ماميراوا وأمانا في ولاية أمازوناس.</w:t>
      </w:r>
    </w:p>
    <w:p w:rsidR="007B2655" w:rsidRDefault="007B2655" w:rsidP="00694BFC">
      <w:pPr>
        <w:pStyle w:val="SingleTxt"/>
        <w:rPr>
          <w:rFonts w:hint="cs"/>
          <w:rtl/>
          <w:lang w:bidi="ar-EG"/>
        </w:rPr>
      </w:pPr>
      <w:r>
        <w:rPr>
          <w:rFonts w:hint="cs"/>
          <w:rtl/>
          <w:lang w:bidi="ar-EG"/>
        </w:rPr>
        <w:tab/>
        <w:t>وشنت وزارة الصحة أيضا حملة وطنية لتشجيع الولادة الطبيعية</w:t>
      </w:r>
      <w:r w:rsidR="00364652">
        <w:rPr>
          <w:rFonts w:hint="cs"/>
          <w:rtl/>
          <w:lang w:bidi="ar-EG"/>
        </w:rPr>
        <w:t xml:space="preserve"> والإقلال من العمليات القيصرية غير الضرورية. ولهذه الحملة سمة مبتكرة، وهي إشراك القطاع الخاص الذي يجري أكبر عدد من العمليات القيصرية من خلال الوكالة الوطنية للصحة التكميلية.</w:t>
      </w:r>
    </w:p>
    <w:p w:rsidR="00364652" w:rsidRDefault="00364652" w:rsidP="00380618">
      <w:pPr>
        <w:pStyle w:val="SingleTxt"/>
        <w:rPr>
          <w:rFonts w:hint="cs"/>
          <w:rtl/>
          <w:lang w:bidi="ar-EG"/>
        </w:rPr>
      </w:pPr>
      <w:r>
        <w:rPr>
          <w:rFonts w:hint="cs"/>
          <w:rtl/>
          <w:lang w:bidi="ar-EG"/>
        </w:rPr>
        <w:tab/>
        <w:t>وفي عام 2006 نشرت وزارة الصحة دراسة عن وفيات النساء بين سن 10</w:t>
      </w:r>
      <w:r>
        <w:rPr>
          <w:rFonts w:hint="eastAsia"/>
          <w:rtl/>
          <w:lang w:bidi="ar-EG"/>
        </w:rPr>
        <w:t> </w:t>
      </w:r>
      <w:r>
        <w:rPr>
          <w:rFonts w:hint="cs"/>
          <w:rtl/>
          <w:lang w:bidi="ar-EG"/>
        </w:rPr>
        <w:t>سنوات و 49 سنة، مع التركيز على الوفيات النفاسية. وأجريت هذه الدراسة بتنسيق من الأستاذ المرموق روي لاورنتي ومعاونيه، وكانت لها أهمية كبرى في تعريف الاستراتيجيات والإجراءات في إطار السياسة الوطنية المعنية بالرعاية المتكاملة لصحة المرأة. وقدم</w:t>
      </w:r>
      <w:r w:rsidR="00380618">
        <w:rPr>
          <w:rFonts w:hint="cs"/>
          <w:rtl/>
          <w:lang w:bidi="ar-EG"/>
        </w:rPr>
        <w:t>ت</w:t>
      </w:r>
      <w:r>
        <w:rPr>
          <w:rFonts w:hint="cs"/>
          <w:rtl/>
          <w:lang w:bidi="ar-EG"/>
        </w:rPr>
        <w:t xml:space="preserve"> الوزارة أيضا الدعم المالي لإجراء 38 دراسة عن الوفيات النفاسية ووفيات المواليد. وزادت مخصصات الطرائق العكسية لمنع الحمل لكي تفي باحتياجات 235 5 بلدية، مما</w:t>
      </w:r>
      <w:r>
        <w:rPr>
          <w:rFonts w:hint="eastAsia"/>
          <w:rtl/>
          <w:lang w:bidi="ar-EG"/>
        </w:rPr>
        <w:t> </w:t>
      </w:r>
      <w:r w:rsidR="00380618">
        <w:rPr>
          <w:rFonts w:hint="cs"/>
          <w:rtl/>
          <w:lang w:bidi="ar-EG"/>
        </w:rPr>
        <w:t>ا</w:t>
      </w:r>
      <w:r>
        <w:rPr>
          <w:rFonts w:hint="cs"/>
          <w:rtl/>
          <w:lang w:bidi="ar-EG"/>
        </w:rPr>
        <w:t>ستدع</w:t>
      </w:r>
      <w:r w:rsidR="00380618">
        <w:rPr>
          <w:rFonts w:hint="cs"/>
          <w:rtl/>
          <w:lang w:bidi="ar-EG"/>
        </w:rPr>
        <w:t>ى</w:t>
      </w:r>
      <w:r>
        <w:rPr>
          <w:rFonts w:hint="cs"/>
          <w:rtl/>
          <w:lang w:bidi="ar-EG"/>
        </w:rPr>
        <w:t xml:space="preserve"> إنفاق 27 مليون ريال برازيلي. وقد أنفق مبلغ 7.8 مليون ريال برازيلي عام 2002.</w:t>
      </w:r>
    </w:p>
    <w:p w:rsidR="00364652" w:rsidRDefault="00364652" w:rsidP="00380618">
      <w:pPr>
        <w:pStyle w:val="SingleTxt"/>
        <w:rPr>
          <w:rFonts w:hint="cs"/>
          <w:rtl/>
          <w:lang w:bidi="ar-EG"/>
        </w:rPr>
      </w:pPr>
      <w:r>
        <w:rPr>
          <w:rFonts w:hint="cs"/>
          <w:rtl/>
          <w:lang w:bidi="ar-EG"/>
        </w:rPr>
        <w:tab/>
        <w:t>وأجازت وزارة الصحة بين عامي 2003 و 2005 خدمات جديدة عددها 418</w:t>
      </w:r>
      <w:r>
        <w:rPr>
          <w:rFonts w:hint="eastAsia"/>
          <w:rtl/>
          <w:lang w:bidi="ar-EG"/>
        </w:rPr>
        <w:t> </w:t>
      </w:r>
      <w:r>
        <w:rPr>
          <w:rFonts w:hint="cs"/>
          <w:rtl/>
          <w:lang w:bidi="ar-EG"/>
        </w:rPr>
        <w:t>خدمة لسد قناتي فالوب، ف</w:t>
      </w:r>
      <w:r w:rsidR="00380618">
        <w:rPr>
          <w:rFonts w:hint="cs"/>
          <w:rtl/>
          <w:lang w:bidi="ar-EG"/>
        </w:rPr>
        <w:t>أ</w:t>
      </w:r>
      <w:r>
        <w:rPr>
          <w:rFonts w:hint="cs"/>
          <w:rtl/>
          <w:lang w:bidi="ar-EG"/>
        </w:rPr>
        <w:t>صبح عدد الخدمات المصرح بها 686 خدمة، مما جعلها تتعدى هدف الـ 50 في المائة،</w:t>
      </w:r>
      <w:r w:rsidR="00380618">
        <w:rPr>
          <w:rFonts w:hint="cs"/>
          <w:rtl/>
          <w:lang w:bidi="ar-EG"/>
        </w:rPr>
        <w:t xml:space="preserve"> الذي </w:t>
      </w:r>
      <w:r>
        <w:rPr>
          <w:rFonts w:hint="cs"/>
          <w:rtl/>
          <w:lang w:bidi="ar-EG"/>
        </w:rPr>
        <w:t>كان 129 خدمة.</w:t>
      </w:r>
    </w:p>
    <w:p w:rsidR="00364652" w:rsidRPr="00364652" w:rsidRDefault="00364652" w:rsidP="00364652">
      <w:pPr>
        <w:pStyle w:val="SingleTxt"/>
        <w:spacing w:after="0" w:line="120" w:lineRule="exact"/>
        <w:rPr>
          <w:rFonts w:hint="cs"/>
          <w:sz w:val="10"/>
          <w:rtl/>
          <w:lang w:bidi="ar-EG"/>
        </w:rPr>
      </w:pPr>
    </w:p>
    <w:p w:rsidR="00C87B32" w:rsidRDefault="00C87B32" w:rsidP="00364652">
      <w:pPr>
        <w:pStyle w:val="SingleTxt"/>
        <w:rPr>
          <w:rFonts w:hint="cs"/>
          <w:b/>
          <w:bCs/>
          <w:rtl/>
        </w:rPr>
      </w:pPr>
      <w:r w:rsidRPr="00364652">
        <w:rPr>
          <w:b/>
          <w:bCs/>
          <w:rtl/>
        </w:rPr>
        <w:t>2</w:t>
      </w:r>
      <w:r w:rsidR="00364652" w:rsidRPr="00364652">
        <w:rPr>
          <w:rFonts w:hint="cs"/>
          <w:b/>
          <w:bCs/>
          <w:rtl/>
        </w:rPr>
        <w:t>4</w:t>
      </w:r>
      <w:r w:rsidRPr="00364652">
        <w:rPr>
          <w:rFonts w:hint="cs"/>
          <w:b/>
          <w:bCs/>
          <w:rtl/>
        </w:rPr>
        <w:t xml:space="preserve"> </w:t>
      </w:r>
      <w:r w:rsidRPr="00364652">
        <w:rPr>
          <w:b/>
          <w:bCs/>
          <w:rtl/>
        </w:rPr>
        <w:t>-</w:t>
      </w:r>
      <w:r w:rsidRPr="00364652">
        <w:rPr>
          <w:rFonts w:hint="cs"/>
          <w:b/>
          <w:bCs/>
          <w:rtl/>
        </w:rPr>
        <w:tab/>
      </w:r>
      <w:r w:rsidRPr="00364652">
        <w:rPr>
          <w:b/>
          <w:bCs/>
          <w:rtl/>
        </w:rPr>
        <w:t>أشار المقرر الخاص المعني بالحق في التعليم (</w:t>
      </w:r>
      <w:r w:rsidRPr="00364652">
        <w:rPr>
          <w:b/>
          <w:bCs/>
        </w:rPr>
        <w:t>E/CN.4/2007/45</w:t>
      </w:r>
      <w:r w:rsidRPr="00364652">
        <w:rPr>
          <w:b/>
          <w:bCs/>
          <w:rtl/>
        </w:rPr>
        <w:t>)</w:t>
      </w:r>
      <w:r w:rsidRPr="00364652">
        <w:rPr>
          <w:b/>
          <w:bCs/>
        </w:rPr>
        <w:t xml:space="preserve"> </w:t>
      </w:r>
      <w:r w:rsidRPr="00364652">
        <w:rPr>
          <w:b/>
          <w:bCs/>
          <w:rtl/>
        </w:rPr>
        <w:t>إلى أن عدد الولادات في البرازيل بالنسبة للفتيات اللواتي تتراوح أعمارهن بين 15 و 19 سنة يبلغ ما بين 50</w:t>
      </w:r>
      <w:r w:rsidRPr="00364652">
        <w:rPr>
          <w:rFonts w:hint="cs"/>
          <w:b/>
          <w:bCs/>
          <w:rtl/>
        </w:rPr>
        <w:t> </w:t>
      </w:r>
      <w:r w:rsidRPr="00364652">
        <w:rPr>
          <w:b/>
          <w:bCs/>
          <w:rtl/>
        </w:rPr>
        <w:t>و</w:t>
      </w:r>
      <w:r w:rsidRPr="00364652">
        <w:rPr>
          <w:rFonts w:hint="cs"/>
          <w:b/>
          <w:bCs/>
          <w:rtl/>
        </w:rPr>
        <w:t> </w:t>
      </w:r>
      <w:r w:rsidRPr="00364652">
        <w:rPr>
          <w:b/>
          <w:bCs/>
          <w:rtl/>
        </w:rPr>
        <w:t>100 ولادة لكل 000 1 فتاة. يرجى تقديم معلومات عن التدابير التي تتخذها الحكومة لمنع الحمل غير المرغوب فيه لدى المراهقات، وعن أثر تلك التدابير على مر الزمن.</w:t>
      </w:r>
    </w:p>
    <w:p w:rsidR="00364652" w:rsidRDefault="00364652" w:rsidP="00364652">
      <w:pPr>
        <w:pStyle w:val="SingleTxt"/>
        <w:rPr>
          <w:rFonts w:hint="cs"/>
          <w:rtl/>
        </w:rPr>
      </w:pPr>
      <w:r>
        <w:rPr>
          <w:rFonts w:hint="cs"/>
          <w:rtl/>
        </w:rPr>
        <w:tab/>
        <w:t xml:space="preserve">جميع التدابير المتخذة لتشجيع تنظيم تخطيط الإنجاب عند تقديم الخدمات تراعي سمات المراهقين. وبالإضافة إلى هذه التدابير، جرى في آب/أغسطس 2003 البدء في برنامج الصحة والوقاية في المدارس. واشتركت في إعداد هذا البرنامج وزارة الصحة ووزارة التعليم، وهو يستهدف الإقلال من تعرض المراهقين للأمراض التي تنتقل عن طريق الاتصال الجنسي، والإصابة بفيروس نقص المناعة البشرية، والحمل غير المطلوب، مع الاهتمام بتعزيز الصحة من خلال إجراءات الوقاية التعليمية </w:t>
      </w:r>
      <w:r w:rsidR="00706E3F">
        <w:rPr>
          <w:rFonts w:hint="cs"/>
          <w:rtl/>
        </w:rPr>
        <w:t>والإمكانية الأكبر للحصول على وسائل منع الحمل الذكرية.</w:t>
      </w:r>
    </w:p>
    <w:p w:rsidR="00706E3F" w:rsidRPr="00364652" w:rsidRDefault="00706E3F" w:rsidP="00706E3F">
      <w:pPr>
        <w:pStyle w:val="SingleTxt"/>
        <w:rPr>
          <w:rFonts w:hint="cs"/>
          <w:rtl/>
        </w:rPr>
      </w:pPr>
      <w:r>
        <w:rPr>
          <w:rFonts w:hint="cs"/>
          <w:rtl/>
        </w:rPr>
        <w:tab/>
        <w:t>ويعتزم البرنامج تدعيم القدرة على البناء والتدريب الجاري بالنسبة لمدرسي المدارس الأولية والثانوية فيما يتعلق بأنشطة الوقاية من الإصابة بالأمراض التي تنتقل عن طريق</w:t>
      </w:r>
      <w:r>
        <w:rPr>
          <w:rFonts w:hint="eastAsia"/>
          <w:rtl/>
        </w:rPr>
        <w:t> </w:t>
      </w:r>
      <w:r>
        <w:rPr>
          <w:rFonts w:hint="cs"/>
          <w:rtl/>
        </w:rPr>
        <w:t>الاتصال الجنسي/فيروس نقص المناعة البشرية/الإيدز والحمل المبكر، بما في ذلك صرف 52 ميليغرام من وسائل منع الحمل الذكرية للمراهقين النشطين جنسيا البالغين من العمر 15-19 سنة والمقيدين في المدارس الحكومية الاعتيادية. وفي عام 2004 جرى تكييف البرنامج وتعديله وإعادة توجيهه صوب الشباب ممن تبلغ أعمارهم 13-24 سنة في المدارس الأولية والثانوية. وتجدر الإشارة إلى أن عدد الحوامل من المراهقات أخذ في التناقص منذ عام 2000.</w:t>
      </w:r>
    </w:p>
    <w:p w:rsidR="00C87B32" w:rsidRPr="00706E3F" w:rsidRDefault="00C87B32" w:rsidP="00C87B32">
      <w:pPr>
        <w:pStyle w:val="SingleTxt"/>
        <w:spacing w:after="0" w:line="120" w:lineRule="exact"/>
        <w:rPr>
          <w:rFonts w:hint="cs"/>
          <w:b/>
          <w:sz w:val="10"/>
          <w:rtl/>
        </w:rPr>
      </w:pPr>
    </w:p>
    <w:p w:rsidR="00C87B32" w:rsidRPr="005E297F" w:rsidRDefault="00C87B32" w:rsidP="00C87B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sidRPr="005E297F">
        <w:tab/>
      </w:r>
      <w:r w:rsidRPr="005E297F">
        <w:tab/>
      </w:r>
      <w:r w:rsidRPr="005E297F">
        <w:rPr>
          <w:rtl/>
        </w:rPr>
        <w:t>المرأة الريفية</w:t>
      </w:r>
    </w:p>
    <w:p w:rsidR="00C87B32" w:rsidRDefault="00C87B32" w:rsidP="00706E3F">
      <w:pPr>
        <w:pStyle w:val="SingleTxt"/>
        <w:rPr>
          <w:rFonts w:hint="cs"/>
          <w:b/>
          <w:bCs/>
          <w:rtl/>
        </w:rPr>
      </w:pPr>
      <w:r w:rsidRPr="00706E3F">
        <w:rPr>
          <w:rFonts w:hint="cs"/>
          <w:b/>
          <w:bCs/>
          <w:rtl/>
        </w:rPr>
        <w:t>2</w:t>
      </w:r>
      <w:r w:rsidR="00706E3F" w:rsidRPr="00706E3F">
        <w:rPr>
          <w:rFonts w:hint="cs"/>
          <w:b/>
          <w:bCs/>
          <w:rtl/>
        </w:rPr>
        <w:t>5</w:t>
      </w:r>
      <w:r w:rsidRPr="00706E3F">
        <w:rPr>
          <w:rFonts w:hint="cs"/>
          <w:b/>
          <w:bCs/>
          <w:rtl/>
        </w:rPr>
        <w:t xml:space="preserve"> -</w:t>
      </w:r>
      <w:r w:rsidRPr="00706E3F">
        <w:rPr>
          <w:rFonts w:hint="cs"/>
          <w:b/>
          <w:bCs/>
          <w:rtl/>
        </w:rPr>
        <w:tab/>
      </w:r>
      <w:r w:rsidRPr="00706E3F">
        <w:rPr>
          <w:b/>
          <w:bCs/>
          <w:rtl/>
        </w:rPr>
        <w:t>ذكر في التقرير</w:t>
      </w:r>
      <w:r w:rsidR="00706E3F" w:rsidRPr="00706E3F">
        <w:rPr>
          <w:rFonts w:hint="cs"/>
          <w:b/>
          <w:bCs/>
          <w:rtl/>
        </w:rPr>
        <w:t xml:space="preserve"> (صفحة 83)</w:t>
      </w:r>
      <w:r w:rsidRPr="00706E3F">
        <w:rPr>
          <w:b/>
          <w:bCs/>
          <w:rtl/>
        </w:rPr>
        <w:t xml:space="preserve"> أن </w:t>
      </w:r>
      <w:r w:rsidR="00706E3F" w:rsidRPr="00706E3F">
        <w:rPr>
          <w:rFonts w:hint="cs"/>
          <w:b/>
          <w:bCs/>
          <w:rtl/>
        </w:rPr>
        <w:t>”</w:t>
      </w:r>
      <w:r w:rsidRPr="00706E3F">
        <w:rPr>
          <w:b/>
          <w:bCs/>
          <w:rtl/>
        </w:rPr>
        <w:t xml:space="preserve">الحكومة الاتحادية أعلنت، في إطار الخطة الوطنية </w:t>
      </w:r>
      <w:r w:rsidRPr="00706E3F">
        <w:rPr>
          <w:rFonts w:hint="cs"/>
          <w:b/>
          <w:bCs/>
          <w:rtl/>
        </w:rPr>
        <w:t>ل</w:t>
      </w:r>
      <w:r w:rsidRPr="00706E3F">
        <w:rPr>
          <w:b/>
          <w:bCs/>
          <w:rtl/>
        </w:rPr>
        <w:t xml:space="preserve">لسياسات </w:t>
      </w:r>
      <w:r w:rsidRPr="00706E3F">
        <w:rPr>
          <w:rFonts w:hint="cs"/>
          <w:b/>
          <w:bCs/>
          <w:rtl/>
        </w:rPr>
        <w:t>الخاصة ب</w:t>
      </w:r>
      <w:r w:rsidRPr="00706E3F">
        <w:rPr>
          <w:b/>
          <w:bCs/>
          <w:rtl/>
        </w:rPr>
        <w:t>المرأة</w:t>
      </w:r>
      <w:r w:rsidR="00706E3F" w:rsidRPr="00706E3F">
        <w:rPr>
          <w:rFonts w:hint="cs"/>
          <w:b/>
          <w:bCs/>
          <w:rtl/>
        </w:rPr>
        <w:t xml:space="preserve"> صفحة 44</w:t>
      </w:r>
      <w:r w:rsidRPr="00706E3F">
        <w:rPr>
          <w:b/>
          <w:bCs/>
          <w:rtl/>
        </w:rPr>
        <w:t>، عن هدف منح 000 400 صك ملكية مشتركة للأراضي، في حالات الأراضي التي يملكها زوجان، لجميع الأسر المستفيدة من الإصلاح الزراعي بين عامي 2004 و 2007</w:t>
      </w:r>
      <w:r w:rsidR="00706E3F" w:rsidRPr="00706E3F">
        <w:rPr>
          <w:rFonts w:hint="cs"/>
          <w:b/>
          <w:bCs/>
          <w:rtl/>
        </w:rPr>
        <w:t>“</w:t>
      </w:r>
      <w:r w:rsidRPr="00706E3F">
        <w:rPr>
          <w:b/>
          <w:bCs/>
          <w:rtl/>
        </w:rPr>
        <w:t xml:space="preserve">. </w:t>
      </w:r>
      <w:r w:rsidRPr="00706E3F">
        <w:rPr>
          <w:rFonts w:hint="cs"/>
          <w:b/>
          <w:bCs/>
          <w:rtl/>
        </w:rPr>
        <w:t>ف</w:t>
      </w:r>
      <w:r w:rsidRPr="00706E3F">
        <w:rPr>
          <w:b/>
          <w:bCs/>
          <w:rtl/>
        </w:rPr>
        <w:t>ما هو عدد صكوك الملكية المشتركة التي منحت إلى حد الآن؟</w:t>
      </w:r>
      <w:r w:rsidRPr="00706E3F">
        <w:rPr>
          <w:b/>
          <w:bCs/>
        </w:rPr>
        <w:t xml:space="preserve"> </w:t>
      </w:r>
    </w:p>
    <w:p w:rsidR="00706E3F" w:rsidRDefault="00706E3F" w:rsidP="00706E3F">
      <w:pPr>
        <w:pStyle w:val="SingleTxt"/>
        <w:rPr>
          <w:rFonts w:hint="cs"/>
          <w:rtl/>
        </w:rPr>
      </w:pPr>
      <w:r>
        <w:rPr>
          <w:rFonts w:hint="cs"/>
          <w:rtl/>
        </w:rPr>
        <w:tab/>
        <w:t>يوضح الجدول أدناه بيانات عن الخطة الوطنية للسياسات الخاصة بالمرأة فيما يتعلق بحالات التنازل عن صكوك ملكية الأراضي لقطع الأراضي التي يملكها زوجان للأسر المستفيدة من الإصلاح الزراعي بين عامي 2004 و 2007:</w:t>
      </w:r>
    </w:p>
    <w:tbl>
      <w:tblPr>
        <w:bidiVisual/>
        <w:tblW w:w="7320" w:type="dxa"/>
        <w:tblInd w:w="1267" w:type="dxa"/>
        <w:tblLayout w:type="fixed"/>
        <w:tblCellMar>
          <w:left w:w="0" w:type="dxa"/>
          <w:right w:w="0" w:type="dxa"/>
        </w:tblCellMar>
        <w:tblLook w:val="0000" w:firstRow="0" w:lastRow="0" w:firstColumn="0" w:lastColumn="0" w:noHBand="0" w:noVBand="0"/>
      </w:tblPr>
      <w:tblGrid>
        <w:gridCol w:w="1167"/>
        <w:gridCol w:w="1230"/>
        <w:gridCol w:w="1231"/>
        <w:gridCol w:w="1230"/>
        <w:gridCol w:w="1231"/>
        <w:gridCol w:w="1231"/>
      </w:tblGrid>
      <w:tr w:rsidR="00F31F6C" w:rsidRPr="000C424C">
        <w:tblPrEx>
          <w:tblCellMar>
            <w:top w:w="0" w:type="dxa"/>
            <w:bottom w:w="0" w:type="dxa"/>
          </w:tblCellMar>
        </w:tblPrEx>
        <w:trPr>
          <w:cantSplit/>
          <w:tblHeader/>
        </w:trPr>
        <w:tc>
          <w:tcPr>
            <w:tcW w:w="7320" w:type="dxa"/>
            <w:gridSpan w:val="6"/>
            <w:tcBorders>
              <w:top w:val="single" w:sz="4" w:space="0" w:color="auto"/>
              <w:bottom w:val="single" w:sz="4" w:space="0" w:color="auto"/>
            </w:tcBorders>
            <w:shd w:val="clear" w:color="auto" w:fill="auto"/>
            <w:vAlign w:val="bottom"/>
          </w:tcPr>
          <w:p w:rsidR="00F31F6C" w:rsidRPr="00D37B3F" w:rsidRDefault="00F31F6C" w:rsidP="005A2E28">
            <w:pPr>
              <w:tabs>
                <w:tab w:val="left" w:pos="288"/>
                <w:tab w:val="left" w:pos="576"/>
                <w:tab w:val="left" w:pos="864"/>
                <w:tab w:val="left" w:pos="1152"/>
              </w:tabs>
              <w:spacing w:before="80" w:after="80" w:line="240" w:lineRule="exact"/>
              <w:ind w:right="144"/>
              <w:jc w:val="center"/>
              <w:rPr>
                <w:rFonts w:hint="cs"/>
                <w:b/>
                <w:bCs/>
                <w:sz w:val="16"/>
                <w:szCs w:val="24"/>
                <w:rtl/>
                <w:lang w:bidi="ar-EG"/>
              </w:rPr>
            </w:pPr>
            <w:r>
              <w:rPr>
                <w:rFonts w:hint="cs"/>
                <w:b/>
                <w:bCs/>
                <w:sz w:val="18"/>
                <w:szCs w:val="26"/>
                <w:rtl/>
                <w:lang w:bidi="ar-EG"/>
              </w:rPr>
              <w:t>من تقرر حصولهم على صك ملكية حسب الجنس، 2003-2006</w:t>
            </w:r>
          </w:p>
        </w:tc>
      </w:tr>
      <w:tr w:rsidR="00F31F6C" w:rsidRPr="000C424C">
        <w:tblPrEx>
          <w:tblCellMar>
            <w:top w:w="0" w:type="dxa"/>
            <w:bottom w:w="0" w:type="dxa"/>
          </w:tblCellMar>
        </w:tblPrEx>
        <w:trPr>
          <w:cantSplit/>
          <w:tblHeader/>
        </w:trPr>
        <w:tc>
          <w:tcPr>
            <w:tcW w:w="1167" w:type="dxa"/>
            <w:tcBorders>
              <w:top w:val="single" w:sz="4" w:space="0" w:color="auto"/>
              <w:bottom w:val="single" w:sz="12" w:space="0" w:color="auto"/>
            </w:tcBorders>
            <w:shd w:val="clear" w:color="auto" w:fill="auto"/>
            <w:vAlign w:val="bottom"/>
          </w:tcPr>
          <w:p w:rsidR="00F31F6C" w:rsidRPr="000C424C" w:rsidRDefault="00F31F6C" w:rsidP="00F31F6C">
            <w:pPr>
              <w:tabs>
                <w:tab w:val="left" w:pos="288"/>
                <w:tab w:val="left" w:pos="576"/>
                <w:tab w:val="left" w:pos="864"/>
                <w:tab w:val="left" w:pos="1152"/>
              </w:tabs>
              <w:spacing w:before="40" w:after="80" w:line="240" w:lineRule="exact"/>
              <w:ind w:right="40"/>
              <w:jc w:val="center"/>
              <w:rPr>
                <w:rFonts w:hint="cs"/>
                <w:i/>
                <w:iCs/>
                <w:sz w:val="16"/>
                <w:szCs w:val="24"/>
                <w:rtl/>
                <w:lang w:bidi="ar-EG"/>
              </w:rPr>
            </w:pPr>
            <w:r>
              <w:rPr>
                <w:rFonts w:hint="cs"/>
                <w:i/>
                <w:iCs/>
                <w:sz w:val="16"/>
                <w:szCs w:val="24"/>
                <w:rtl/>
                <w:lang w:bidi="ar-EG"/>
              </w:rPr>
              <w:t>الجنس</w:t>
            </w:r>
          </w:p>
        </w:tc>
        <w:tc>
          <w:tcPr>
            <w:tcW w:w="1230" w:type="dxa"/>
            <w:tcBorders>
              <w:top w:val="single" w:sz="4" w:space="0" w:color="auto"/>
              <w:bottom w:val="single" w:sz="12" w:space="0" w:color="auto"/>
            </w:tcBorders>
            <w:shd w:val="clear" w:color="auto" w:fill="auto"/>
            <w:vAlign w:val="bottom"/>
          </w:tcPr>
          <w:p w:rsidR="00F31F6C" w:rsidRPr="000C424C" w:rsidRDefault="00F31F6C" w:rsidP="00F31F6C">
            <w:pPr>
              <w:tabs>
                <w:tab w:val="left" w:pos="288"/>
                <w:tab w:val="left" w:pos="576"/>
                <w:tab w:val="left" w:pos="864"/>
                <w:tab w:val="left" w:pos="1152"/>
              </w:tabs>
              <w:spacing w:before="40" w:after="80" w:line="240" w:lineRule="exact"/>
              <w:jc w:val="center"/>
              <w:rPr>
                <w:rFonts w:hint="cs"/>
                <w:i/>
                <w:iCs/>
                <w:sz w:val="16"/>
                <w:szCs w:val="24"/>
                <w:rtl/>
                <w:lang w:bidi="ar-EG"/>
              </w:rPr>
            </w:pPr>
            <w:r>
              <w:rPr>
                <w:rFonts w:hint="cs"/>
                <w:i/>
                <w:iCs/>
                <w:sz w:val="16"/>
                <w:szCs w:val="24"/>
                <w:rtl/>
                <w:lang w:bidi="ar-EG"/>
              </w:rPr>
              <w:t>2003</w:t>
            </w:r>
          </w:p>
        </w:tc>
        <w:tc>
          <w:tcPr>
            <w:tcW w:w="1231" w:type="dxa"/>
            <w:tcBorders>
              <w:top w:val="single" w:sz="4" w:space="0" w:color="auto"/>
              <w:bottom w:val="single" w:sz="12" w:space="0" w:color="auto"/>
            </w:tcBorders>
            <w:shd w:val="clear" w:color="auto" w:fill="auto"/>
            <w:vAlign w:val="bottom"/>
          </w:tcPr>
          <w:p w:rsidR="00F31F6C" w:rsidRPr="000C424C" w:rsidRDefault="00F31F6C" w:rsidP="00F31F6C">
            <w:pPr>
              <w:tabs>
                <w:tab w:val="left" w:pos="288"/>
                <w:tab w:val="left" w:pos="576"/>
                <w:tab w:val="left" w:pos="864"/>
                <w:tab w:val="left" w:pos="1152"/>
              </w:tabs>
              <w:spacing w:before="40" w:after="80" w:line="240" w:lineRule="exact"/>
              <w:jc w:val="center"/>
              <w:rPr>
                <w:rFonts w:hint="cs"/>
                <w:i/>
                <w:iCs/>
                <w:sz w:val="16"/>
                <w:szCs w:val="24"/>
                <w:rtl/>
                <w:lang w:bidi="ar-EG"/>
              </w:rPr>
            </w:pPr>
            <w:r>
              <w:rPr>
                <w:rFonts w:hint="cs"/>
                <w:i/>
                <w:iCs/>
                <w:sz w:val="16"/>
                <w:szCs w:val="24"/>
                <w:rtl/>
                <w:lang w:bidi="ar-EG"/>
              </w:rPr>
              <w:t>2004</w:t>
            </w:r>
          </w:p>
        </w:tc>
        <w:tc>
          <w:tcPr>
            <w:tcW w:w="1230" w:type="dxa"/>
            <w:tcBorders>
              <w:top w:val="single" w:sz="4" w:space="0" w:color="auto"/>
              <w:bottom w:val="single" w:sz="12" w:space="0" w:color="auto"/>
            </w:tcBorders>
            <w:shd w:val="clear" w:color="auto" w:fill="auto"/>
            <w:vAlign w:val="bottom"/>
          </w:tcPr>
          <w:p w:rsidR="00F31F6C" w:rsidRPr="000C424C" w:rsidRDefault="00F31F6C" w:rsidP="00F31F6C">
            <w:pPr>
              <w:tabs>
                <w:tab w:val="left" w:pos="288"/>
                <w:tab w:val="left" w:pos="576"/>
                <w:tab w:val="left" w:pos="864"/>
                <w:tab w:val="left" w:pos="1152"/>
              </w:tabs>
              <w:spacing w:before="40" w:after="80" w:line="240" w:lineRule="exact"/>
              <w:jc w:val="center"/>
              <w:rPr>
                <w:rFonts w:hint="cs"/>
                <w:i/>
                <w:iCs/>
                <w:sz w:val="16"/>
                <w:szCs w:val="24"/>
                <w:rtl/>
                <w:lang w:bidi="ar-EG"/>
              </w:rPr>
            </w:pPr>
            <w:r>
              <w:rPr>
                <w:rFonts w:hint="cs"/>
                <w:i/>
                <w:iCs/>
                <w:sz w:val="16"/>
                <w:szCs w:val="24"/>
                <w:rtl/>
                <w:lang w:bidi="ar-EG"/>
              </w:rPr>
              <w:t>2005</w:t>
            </w:r>
          </w:p>
        </w:tc>
        <w:tc>
          <w:tcPr>
            <w:tcW w:w="1231" w:type="dxa"/>
            <w:tcBorders>
              <w:top w:val="single" w:sz="4" w:space="0" w:color="auto"/>
              <w:bottom w:val="single" w:sz="12" w:space="0" w:color="auto"/>
            </w:tcBorders>
            <w:shd w:val="clear" w:color="auto" w:fill="auto"/>
            <w:vAlign w:val="bottom"/>
          </w:tcPr>
          <w:p w:rsidR="00F31F6C" w:rsidRPr="000C424C" w:rsidRDefault="00F31F6C" w:rsidP="00F31F6C">
            <w:pPr>
              <w:tabs>
                <w:tab w:val="left" w:pos="288"/>
                <w:tab w:val="left" w:pos="576"/>
                <w:tab w:val="left" w:pos="864"/>
                <w:tab w:val="left" w:pos="1152"/>
              </w:tabs>
              <w:spacing w:before="40" w:after="80" w:line="240" w:lineRule="exact"/>
              <w:jc w:val="center"/>
              <w:rPr>
                <w:rFonts w:hint="cs"/>
                <w:i/>
                <w:iCs/>
                <w:sz w:val="16"/>
                <w:szCs w:val="24"/>
                <w:rtl/>
                <w:lang w:bidi="ar-EG"/>
              </w:rPr>
            </w:pPr>
            <w:r>
              <w:rPr>
                <w:rFonts w:hint="cs"/>
                <w:i/>
                <w:iCs/>
                <w:sz w:val="16"/>
                <w:szCs w:val="24"/>
                <w:rtl/>
                <w:lang w:bidi="ar-EG"/>
              </w:rPr>
              <w:t>2006</w:t>
            </w:r>
          </w:p>
        </w:tc>
        <w:tc>
          <w:tcPr>
            <w:tcW w:w="1231" w:type="dxa"/>
            <w:tcBorders>
              <w:top w:val="single" w:sz="4" w:space="0" w:color="auto"/>
              <w:bottom w:val="single" w:sz="12" w:space="0" w:color="auto"/>
            </w:tcBorders>
            <w:shd w:val="clear" w:color="auto" w:fill="auto"/>
            <w:vAlign w:val="bottom"/>
          </w:tcPr>
          <w:p w:rsidR="00F31F6C" w:rsidRPr="000C424C" w:rsidRDefault="00F31F6C" w:rsidP="00F31F6C">
            <w:pPr>
              <w:tabs>
                <w:tab w:val="left" w:pos="288"/>
                <w:tab w:val="left" w:pos="576"/>
                <w:tab w:val="left" w:pos="864"/>
                <w:tab w:val="left" w:pos="1152"/>
              </w:tabs>
              <w:spacing w:before="40" w:after="80" w:line="240" w:lineRule="exact"/>
              <w:jc w:val="center"/>
              <w:rPr>
                <w:rFonts w:hint="cs"/>
                <w:i/>
                <w:iCs/>
                <w:sz w:val="16"/>
                <w:szCs w:val="24"/>
                <w:rtl/>
                <w:lang w:bidi="ar-EG"/>
              </w:rPr>
            </w:pPr>
            <w:r>
              <w:rPr>
                <w:rFonts w:hint="cs"/>
                <w:i/>
                <w:iCs/>
                <w:sz w:val="16"/>
                <w:szCs w:val="24"/>
                <w:rtl/>
                <w:lang w:bidi="ar-EG"/>
              </w:rPr>
              <w:t>الإجمالي</w:t>
            </w:r>
          </w:p>
        </w:tc>
      </w:tr>
      <w:tr w:rsidR="00F31F6C" w:rsidRPr="000C424C">
        <w:tblPrEx>
          <w:tblCellMar>
            <w:top w:w="0" w:type="dxa"/>
            <w:bottom w:w="0" w:type="dxa"/>
          </w:tblCellMar>
        </w:tblPrEx>
        <w:trPr>
          <w:cantSplit/>
          <w:trHeight w:hRule="exact" w:val="115"/>
          <w:tblHeader/>
        </w:trPr>
        <w:tc>
          <w:tcPr>
            <w:tcW w:w="1167" w:type="dxa"/>
            <w:tcBorders>
              <w:top w:val="single" w:sz="12" w:space="0" w:color="auto"/>
            </w:tcBorders>
            <w:shd w:val="clear" w:color="auto" w:fill="auto"/>
            <w:vAlign w:val="bottom"/>
          </w:tcPr>
          <w:p w:rsidR="00F31F6C" w:rsidRPr="000C424C" w:rsidRDefault="00F31F6C" w:rsidP="00F31F6C">
            <w:pPr>
              <w:tabs>
                <w:tab w:val="left" w:pos="288"/>
                <w:tab w:val="left" w:pos="576"/>
                <w:tab w:val="left" w:pos="864"/>
                <w:tab w:val="left" w:pos="1152"/>
              </w:tabs>
              <w:spacing w:before="40" w:after="80" w:line="240" w:lineRule="exact"/>
              <w:ind w:right="40"/>
              <w:jc w:val="center"/>
              <w:rPr>
                <w:rFonts w:hint="cs"/>
                <w:sz w:val="16"/>
                <w:szCs w:val="24"/>
                <w:rtl/>
                <w:lang w:bidi="ar-EG"/>
              </w:rPr>
            </w:pPr>
          </w:p>
        </w:tc>
        <w:tc>
          <w:tcPr>
            <w:tcW w:w="1230" w:type="dxa"/>
            <w:tcBorders>
              <w:top w:val="single" w:sz="12" w:space="0" w:color="auto"/>
            </w:tcBorders>
            <w:shd w:val="clear" w:color="auto" w:fill="auto"/>
            <w:vAlign w:val="bottom"/>
          </w:tcPr>
          <w:p w:rsidR="00F31F6C" w:rsidRPr="000C424C" w:rsidRDefault="00F31F6C" w:rsidP="00F31F6C">
            <w:pPr>
              <w:tabs>
                <w:tab w:val="left" w:pos="288"/>
                <w:tab w:val="left" w:pos="576"/>
                <w:tab w:val="left" w:pos="864"/>
                <w:tab w:val="left" w:pos="1152"/>
              </w:tabs>
              <w:spacing w:before="40" w:after="80" w:line="240" w:lineRule="exact"/>
              <w:ind w:right="144"/>
              <w:jc w:val="center"/>
              <w:rPr>
                <w:rFonts w:hint="cs"/>
                <w:sz w:val="16"/>
                <w:szCs w:val="24"/>
                <w:rtl/>
                <w:lang w:bidi="ar-EG"/>
              </w:rPr>
            </w:pPr>
          </w:p>
        </w:tc>
        <w:tc>
          <w:tcPr>
            <w:tcW w:w="1231" w:type="dxa"/>
            <w:tcBorders>
              <w:top w:val="single" w:sz="12" w:space="0" w:color="auto"/>
            </w:tcBorders>
            <w:shd w:val="clear" w:color="auto" w:fill="auto"/>
            <w:vAlign w:val="bottom"/>
          </w:tcPr>
          <w:p w:rsidR="00F31F6C" w:rsidRPr="000C424C" w:rsidRDefault="00F31F6C" w:rsidP="00F31F6C">
            <w:pPr>
              <w:tabs>
                <w:tab w:val="left" w:pos="288"/>
                <w:tab w:val="left" w:pos="576"/>
                <w:tab w:val="left" w:pos="864"/>
                <w:tab w:val="left" w:pos="1152"/>
              </w:tabs>
              <w:spacing w:before="40" w:after="80" w:line="240" w:lineRule="exact"/>
              <w:ind w:right="144"/>
              <w:jc w:val="center"/>
              <w:rPr>
                <w:rFonts w:hint="cs"/>
                <w:sz w:val="16"/>
                <w:szCs w:val="24"/>
                <w:rtl/>
                <w:lang w:bidi="ar-EG"/>
              </w:rPr>
            </w:pPr>
          </w:p>
        </w:tc>
        <w:tc>
          <w:tcPr>
            <w:tcW w:w="1230" w:type="dxa"/>
            <w:tcBorders>
              <w:top w:val="single" w:sz="12" w:space="0" w:color="auto"/>
            </w:tcBorders>
            <w:shd w:val="clear" w:color="auto" w:fill="auto"/>
            <w:vAlign w:val="bottom"/>
          </w:tcPr>
          <w:p w:rsidR="00F31F6C" w:rsidRPr="000C424C" w:rsidRDefault="00F31F6C" w:rsidP="00F31F6C">
            <w:pPr>
              <w:tabs>
                <w:tab w:val="left" w:pos="288"/>
                <w:tab w:val="left" w:pos="576"/>
                <w:tab w:val="left" w:pos="864"/>
                <w:tab w:val="left" w:pos="1152"/>
              </w:tabs>
              <w:spacing w:before="40" w:after="80" w:line="240" w:lineRule="exact"/>
              <w:ind w:right="144"/>
              <w:jc w:val="center"/>
              <w:rPr>
                <w:rFonts w:hint="cs"/>
                <w:sz w:val="16"/>
                <w:szCs w:val="24"/>
                <w:rtl/>
                <w:lang w:bidi="ar-EG"/>
              </w:rPr>
            </w:pPr>
          </w:p>
        </w:tc>
        <w:tc>
          <w:tcPr>
            <w:tcW w:w="1231" w:type="dxa"/>
            <w:tcBorders>
              <w:top w:val="single" w:sz="12" w:space="0" w:color="auto"/>
            </w:tcBorders>
            <w:shd w:val="clear" w:color="auto" w:fill="auto"/>
            <w:vAlign w:val="bottom"/>
          </w:tcPr>
          <w:p w:rsidR="00F31F6C" w:rsidRPr="000C424C" w:rsidRDefault="00F31F6C" w:rsidP="00F31F6C">
            <w:pPr>
              <w:tabs>
                <w:tab w:val="left" w:pos="288"/>
                <w:tab w:val="left" w:pos="576"/>
                <w:tab w:val="left" w:pos="864"/>
                <w:tab w:val="left" w:pos="1152"/>
              </w:tabs>
              <w:spacing w:before="40" w:after="80" w:line="240" w:lineRule="exact"/>
              <w:ind w:right="144"/>
              <w:jc w:val="center"/>
              <w:rPr>
                <w:rFonts w:hint="cs"/>
                <w:sz w:val="16"/>
                <w:szCs w:val="24"/>
                <w:rtl/>
                <w:lang w:bidi="ar-EG"/>
              </w:rPr>
            </w:pPr>
          </w:p>
        </w:tc>
        <w:tc>
          <w:tcPr>
            <w:tcW w:w="1231" w:type="dxa"/>
            <w:tcBorders>
              <w:top w:val="single" w:sz="12" w:space="0" w:color="auto"/>
            </w:tcBorders>
            <w:shd w:val="clear" w:color="auto" w:fill="auto"/>
            <w:vAlign w:val="bottom"/>
          </w:tcPr>
          <w:p w:rsidR="00F31F6C" w:rsidRPr="000C424C" w:rsidRDefault="00F31F6C" w:rsidP="00F31F6C">
            <w:pPr>
              <w:tabs>
                <w:tab w:val="left" w:pos="288"/>
                <w:tab w:val="left" w:pos="576"/>
                <w:tab w:val="left" w:pos="864"/>
                <w:tab w:val="left" w:pos="1152"/>
              </w:tabs>
              <w:spacing w:before="40" w:after="80" w:line="240" w:lineRule="exact"/>
              <w:ind w:right="144"/>
              <w:jc w:val="center"/>
              <w:rPr>
                <w:rFonts w:hint="cs"/>
                <w:sz w:val="16"/>
                <w:szCs w:val="24"/>
                <w:rtl/>
                <w:lang w:bidi="ar-EG"/>
              </w:rPr>
            </w:pPr>
          </w:p>
        </w:tc>
      </w:tr>
      <w:tr w:rsidR="00F31F6C" w:rsidRPr="00D37B3F">
        <w:tblPrEx>
          <w:tblCellMar>
            <w:top w:w="0" w:type="dxa"/>
            <w:bottom w:w="0" w:type="dxa"/>
          </w:tblCellMar>
        </w:tblPrEx>
        <w:trPr>
          <w:cantSplit/>
        </w:trPr>
        <w:tc>
          <w:tcPr>
            <w:tcW w:w="1167" w:type="dxa"/>
            <w:shd w:val="clear" w:color="auto" w:fill="auto"/>
            <w:vAlign w:val="bottom"/>
          </w:tcPr>
          <w:p w:rsidR="00F31F6C" w:rsidRPr="00D37B3F" w:rsidRDefault="00F31F6C" w:rsidP="00F31F6C">
            <w:pPr>
              <w:tabs>
                <w:tab w:val="left" w:pos="288"/>
                <w:tab w:val="left" w:pos="576"/>
                <w:tab w:val="left" w:pos="864"/>
                <w:tab w:val="left" w:pos="1152"/>
              </w:tabs>
              <w:spacing w:before="40" w:after="60" w:line="280" w:lineRule="exact"/>
              <w:ind w:right="40"/>
              <w:jc w:val="center"/>
              <w:rPr>
                <w:rFonts w:hint="cs"/>
                <w:sz w:val="16"/>
                <w:szCs w:val="24"/>
                <w:rtl/>
                <w:lang w:bidi="ar-EG"/>
              </w:rPr>
            </w:pPr>
            <w:r>
              <w:rPr>
                <w:rFonts w:hint="cs"/>
                <w:sz w:val="16"/>
                <w:szCs w:val="24"/>
                <w:rtl/>
                <w:lang w:bidi="ar-EG"/>
              </w:rPr>
              <w:t>نساء</w:t>
            </w:r>
          </w:p>
        </w:tc>
        <w:tc>
          <w:tcPr>
            <w:tcW w:w="1230" w:type="dxa"/>
            <w:shd w:val="clear" w:color="auto" w:fill="auto"/>
            <w:vAlign w:val="bottom"/>
          </w:tcPr>
          <w:p w:rsidR="00F31F6C" w:rsidRPr="00D37B3F" w:rsidRDefault="00F31F6C" w:rsidP="00F31F6C">
            <w:pPr>
              <w:spacing w:before="40" w:after="60" w:line="280" w:lineRule="exact"/>
              <w:jc w:val="center"/>
              <w:rPr>
                <w:rFonts w:eastAsia="Arial Unicode MS" w:hint="cs"/>
                <w:sz w:val="24"/>
                <w:szCs w:val="24"/>
              </w:rPr>
            </w:pPr>
            <w:r>
              <w:rPr>
                <w:rFonts w:hint="cs"/>
                <w:sz w:val="24"/>
                <w:szCs w:val="24"/>
                <w:rtl/>
              </w:rPr>
              <w:t>979</w:t>
            </w:r>
          </w:p>
        </w:tc>
        <w:tc>
          <w:tcPr>
            <w:tcW w:w="1231" w:type="dxa"/>
            <w:shd w:val="clear" w:color="auto" w:fill="auto"/>
            <w:vAlign w:val="bottom"/>
          </w:tcPr>
          <w:p w:rsidR="00F31F6C" w:rsidRPr="00D37B3F" w:rsidRDefault="00F31F6C" w:rsidP="00F31F6C">
            <w:pPr>
              <w:spacing w:before="40" w:after="60" w:line="280" w:lineRule="exact"/>
              <w:jc w:val="center"/>
              <w:rPr>
                <w:rFonts w:eastAsia="Arial Unicode MS" w:hint="cs"/>
                <w:sz w:val="24"/>
                <w:szCs w:val="24"/>
              </w:rPr>
            </w:pPr>
            <w:r>
              <w:rPr>
                <w:rFonts w:hint="cs"/>
                <w:sz w:val="24"/>
                <w:szCs w:val="24"/>
                <w:rtl/>
              </w:rPr>
              <w:t>37</w:t>
            </w:r>
          </w:p>
        </w:tc>
        <w:tc>
          <w:tcPr>
            <w:tcW w:w="1230" w:type="dxa"/>
            <w:shd w:val="clear" w:color="auto" w:fill="auto"/>
            <w:vAlign w:val="bottom"/>
          </w:tcPr>
          <w:p w:rsidR="00F31F6C" w:rsidRPr="00D37B3F" w:rsidRDefault="00F31F6C" w:rsidP="00F31F6C">
            <w:pPr>
              <w:spacing w:before="40" w:after="60" w:line="280" w:lineRule="exact"/>
              <w:jc w:val="center"/>
              <w:rPr>
                <w:rFonts w:eastAsia="Arial Unicode MS" w:hint="cs"/>
                <w:sz w:val="24"/>
                <w:szCs w:val="24"/>
              </w:rPr>
            </w:pPr>
            <w:r>
              <w:rPr>
                <w:rFonts w:hint="cs"/>
                <w:sz w:val="24"/>
                <w:szCs w:val="24"/>
                <w:rtl/>
              </w:rPr>
              <w:t>280</w:t>
            </w:r>
          </w:p>
        </w:tc>
        <w:tc>
          <w:tcPr>
            <w:tcW w:w="1231" w:type="dxa"/>
            <w:shd w:val="clear" w:color="auto" w:fill="auto"/>
            <w:vAlign w:val="bottom"/>
          </w:tcPr>
          <w:p w:rsidR="00F31F6C" w:rsidRPr="00D37B3F" w:rsidRDefault="00F31F6C" w:rsidP="00F31F6C">
            <w:pPr>
              <w:spacing w:before="40" w:after="60" w:line="280" w:lineRule="exact"/>
              <w:jc w:val="center"/>
              <w:rPr>
                <w:rFonts w:eastAsia="Arial Unicode MS" w:hint="cs"/>
                <w:sz w:val="24"/>
                <w:szCs w:val="24"/>
              </w:rPr>
            </w:pPr>
            <w:r>
              <w:rPr>
                <w:rFonts w:hint="cs"/>
                <w:sz w:val="24"/>
                <w:szCs w:val="24"/>
                <w:rtl/>
              </w:rPr>
              <w:t>328 4</w:t>
            </w:r>
          </w:p>
        </w:tc>
        <w:tc>
          <w:tcPr>
            <w:tcW w:w="1231" w:type="dxa"/>
            <w:shd w:val="clear" w:color="auto" w:fill="auto"/>
            <w:vAlign w:val="bottom"/>
          </w:tcPr>
          <w:p w:rsidR="00F31F6C" w:rsidRPr="00D37B3F" w:rsidRDefault="00F31F6C" w:rsidP="00F31F6C">
            <w:pPr>
              <w:spacing w:before="40" w:after="60" w:line="280" w:lineRule="exact"/>
              <w:jc w:val="center"/>
              <w:rPr>
                <w:rFonts w:eastAsia="Arial Unicode MS" w:hint="cs"/>
                <w:sz w:val="24"/>
                <w:szCs w:val="24"/>
              </w:rPr>
            </w:pPr>
            <w:r>
              <w:rPr>
                <w:rFonts w:hint="cs"/>
                <w:sz w:val="24"/>
                <w:szCs w:val="24"/>
                <w:rtl/>
              </w:rPr>
              <w:t>624 5</w:t>
            </w:r>
          </w:p>
        </w:tc>
      </w:tr>
      <w:tr w:rsidR="00F31F6C" w:rsidRPr="00D37B3F">
        <w:tblPrEx>
          <w:tblCellMar>
            <w:top w:w="0" w:type="dxa"/>
            <w:bottom w:w="0" w:type="dxa"/>
          </w:tblCellMar>
        </w:tblPrEx>
        <w:trPr>
          <w:cantSplit/>
        </w:trPr>
        <w:tc>
          <w:tcPr>
            <w:tcW w:w="1167" w:type="dxa"/>
            <w:tcBorders>
              <w:bottom w:val="single" w:sz="12" w:space="0" w:color="auto"/>
            </w:tcBorders>
            <w:shd w:val="clear" w:color="auto" w:fill="auto"/>
            <w:vAlign w:val="bottom"/>
          </w:tcPr>
          <w:p w:rsidR="00F31F6C" w:rsidRPr="00D37B3F" w:rsidRDefault="00F31F6C" w:rsidP="00F31F6C">
            <w:pPr>
              <w:tabs>
                <w:tab w:val="left" w:pos="288"/>
                <w:tab w:val="left" w:pos="576"/>
                <w:tab w:val="left" w:pos="864"/>
                <w:tab w:val="left" w:pos="1152"/>
              </w:tabs>
              <w:spacing w:before="40" w:after="60" w:line="280" w:lineRule="exact"/>
              <w:ind w:right="40"/>
              <w:jc w:val="center"/>
              <w:rPr>
                <w:rFonts w:hint="cs"/>
                <w:sz w:val="16"/>
                <w:szCs w:val="24"/>
                <w:rtl/>
                <w:lang w:bidi="ar-EG"/>
              </w:rPr>
            </w:pPr>
            <w:r>
              <w:rPr>
                <w:rFonts w:hint="cs"/>
                <w:sz w:val="16"/>
                <w:szCs w:val="24"/>
                <w:rtl/>
                <w:lang w:bidi="ar-EG"/>
              </w:rPr>
              <w:t>رجال</w:t>
            </w:r>
          </w:p>
        </w:tc>
        <w:tc>
          <w:tcPr>
            <w:tcW w:w="1230" w:type="dxa"/>
            <w:tcBorders>
              <w:bottom w:val="single" w:sz="12" w:space="0" w:color="auto"/>
            </w:tcBorders>
            <w:shd w:val="clear" w:color="auto" w:fill="auto"/>
            <w:vAlign w:val="bottom"/>
          </w:tcPr>
          <w:p w:rsidR="00F31F6C" w:rsidRPr="00D37B3F" w:rsidRDefault="00F31F6C" w:rsidP="00F31F6C">
            <w:pPr>
              <w:spacing w:before="40" w:after="60" w:line="280" w:lineRule="exact"/>
              <w:jc w:val="center"/>
              <w:rPr>
                <w:rFonts w:eastAsia="Arial Unicode MS" w:hint="cs"/>
                <w:sz w:val="24"/>
                <w:szCs w:val="24"/>
              </w:rPr>
            </w:pPr>
            <w:r>
              <w:rPr>
                <w:rFonts w:hint="cs"/>
                <w:sz w:val="24"/>
                <w:szCs w:val="24"/>
                <w:rtl/>
              </w:rPr>
              <w:t>079 1</w:t>
            </w:r>
          </w:p>
        </w:tc>
        <w:tc>
          <w:tcPr>
            <w:tcW w:w="1231" w:type="dxa"/>
            <w:tcBorders>
              <w:bottom w:val="single" w:sz="12" w:space="0" w:color="auto"/>
            </w:tcBorders>
            <w:shd w:val="clear" w:color="auto" w:fill="auto"/>
            <w:vAlign w:val="bottom"/>
          </w:tcPr>
          <w:p w:rsidR="00F31F6C" w:rsidRPr="00D37B3F" w:rsidRDefault="00F31F6C" w:rsidP="00F31F6C">
            <w:pPr>
              <w:spacing w:before="40" w:after="60" w:line="280" w:lineRule="exact"/>
              <w:jc w:val="center"/>
              <w:rPr>
                <w:rFonts w:eastAsia="Arial Unicode MS" w:hint="cs"/>
                <w:sz w:val="24"/>
                <w:szCs w:val="24"/>
              </w:rPr>
            </w:pPr>
            <w:r>
              <w:rPr>
                <w:rFonts w:hint="cs"/>
                <w:sz w:val="24"/>
                <w:szCs w:val="24"/>
                <w:rtl/>
              </w:rPr>
              <w:t>42</w:t>
            </w:r>
          </w:p>
        </w:tc>
        <w:tc>
          <w:tcPr>
            <w:tcW w:w="1230" w:type="dxa"/>
            <w:tcBorders>
              <w:bottom w:val="single" w:sz="12" w:space="0" w:color="auto"/>
            </w:tcBorders>
            <w:shd w:val="clear" w:color="auto" w:fill="auto"/>
            <w:vAlign w:val="bottom"/>
          </w:tcPr>
          <w:p w:rsidR="00F31F6C" w:rsidRPr="00D37B3F" w:rsidRDefault="00F31F6C" w:rsidP="00F31F6C">
            <w:pPr>
              <w:spacing w:before="40" w:after="60" w:line="280" w:lineRule="exact"/>
              <w:jc w:val="center"/>
              <w:rPr>
                <w:rFonts w:eastAsia="Arial Unicode MS" w:hint="cs"/>
                <w:sz w:val="24"/>
                <w:szCs w:val="24"/>
              </w:rPr>
            </w:pPr>
            <w:r>
              <w:rPr>
                <w:rFonts w:hint="cs"/>
                <w:sz w:val="24"/>
                <w:szCs w:val="24"/>
                <w:rtl/>
              </w:rPr>
              <w:t>360</w:t>
            </w:r>
          </w:p>
        </w:tc>
        <w:tc>
          <w:tcPr>
            <w:tcW w:w="1231" w:type="dxa"/>
            <w:tcBorders>
              <w:bottom w:val="single" w:sz="12" w:space="0" w:color="auto"/>
            </w:tcBorders>
            <w:shd w:val="clear" w:color="auto" w:fill="auto"/>
            <w:vAlign w:val="bottom"/>
          </w:tcPr>
          <w:p w:rsidR="00F31F6C" w:rsidRPr="00D37B3F" w:rsidRDefault="00F31F6C" w:rsidP="00F31F6C">
            <w:pPr>
              <w:spacing w:before="40" w:after="60" w:line="280" w:lineRule="exact"/>
              <w:jc w:val="center"/>
              <w:rPr>
                <w:rFonts w:eastAsia="Arial Unicode MS" w:hint="cs"/>
                <w:sz w:val="24"/>
                <w:szCs w:val="24"/>
              </w:rPr>
            </w:pPr>
            <w:r>
              <w:rPr>
                <w:rFonts w:hint="cs"/>
                <w:sz w:val="24"/>
                <w:szCs w:val="24"/>
                <w:rtl/>
              </w:rPr>
              <w:t>997 4</w:t>
            </w:r>
          </w:p>
        </w:tc>
        <w:tc>
          <w:tcPr>
            <w:tcW w:w="1231" w:type="dxa"/>
            <w:tcBorders>
              <w:bottom w:val="single" w:sz="12" w:space="0" w:color="auto"/>
            </w:tcBorders>
            <w:shd w:val="clear" w:color="auto" w:fill="auto"/>
            <w:vAlign w:val="bottom"/>
          </w:tcPr>
          <w:p w:rsidR="00F31F6C" w:rsidRPr="00D37B3F" w:rsidRDefault="00F31F6C" w:rsidP="00F31F6C">
            <w:pPr>
              <w:spacing w:before="40" w:after="60" w:line="280" w:lineRule="exact"/>
              <w:jc w:val="center"/>
              <w:rPr>
                <w:rFonts w:eastAsia="Arial Unicode MS" w:hint="cs"/>
                <w:sz w:val="24"/>
                <w:szCs w:val="24"/>
              </w:rPr>
            </w:pPr>
            <w:r>
              <w:rPr>
                <w:rFonts w:hint="cs"/>
                <w:sz w:val="24"/>
                <w:szCs w:val="24"/>
                <w:rtl/>
              </w:rPr>
              <w:t>479 6</w:t>
            </w:r>
          </w:p>
        </w:tc>
      </w:tr>
    </w:tbl>
    <w:p w:rsidR="00DC6FE6" w:rsidRPr="00DC6FE6" w:rsidRDefault="00DC6FE6" w:rsidP="00DC6FE6">
      <w:pPr>
        <w:pStyle w:val="SingleTxt"/>
        <w:spacing w:after="0" w:line="120" w:lineRule="exact"/>
        <w:rPr>
          <w:rFonts w:hint="cs"/>
          <w:sz w:val="10"/>
          <w:rtl/>
        </w:rPr>
      </w:pPr>
    </w:p>
    <w:p w:rsidR="00DC6FE6" w:rsidRPr="00772F28" w:rsidRDefault="00DC6FE6" w:rsidP="00DC6FE6">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lang w:bidi="ar-EG"/>
        </w:rPr>
      </w:pPr>
      <w:r>
        <w:rPr>
          <w:rFonts w:hint="cs"/>
          <w:rtl/>
        </w:rPr>
        <w:tab/>
      </w:r>
      <w:r w:rsidRPr="00AC350D">
        <w:rPr>
          <w:rFonts w:hint="cs"/>
          <w:i/>
          <w:iCs/>
          <w:rtl/>
        </w:rPr>
        <w:t>المصدر</w:t>
      </w:r>
      <w:r>
        <w:rPr>
          <w:rFonts w:hint="cs"/>
          <w:rtl/>
        </w:rPr>
        <w:t>:</w:t>
      </w:r>
      <w:r>
        <w:rPr>
          <w:rFonts w:hint="cs"/>
          <w:rtl/>
        </w:rPr>
        <w:tab/>
        <w:t>وزارة الإصلاح الزراعي</w:t>
      </w:r>
      <w:r>
        <w:rPr>
          <w:rFonts w:hint="cs"/>
          <w:rtl/>
          <w:lang w:bidi="ar-EG"/>
        </w:rPr>
        <w:t>.</w:t>
      </w:r>
    </w:p>
    <w:p w:rsidR="00DC6FE6" w:rsidRPr="00DC6FE6" w:rsidRDefault="00DC6FE6" w:rsidP="00DC6FE6">
      <w:pPr>
        <w:pStyle w:val="SingleTxt"/>
        <w:spacing w:after="0" w:line="120" w:lineRule="exact"/>
        <w:rPr>
          <w:rFonts w:hint="cs"/>
          <w:sz w:val="10"/>
          <w:rtl/>
          <w:lang w:bidi="ar-EG"/>
        </w:rPr>
      </w:pPr>
    </w:p>
    <w:p w:rsidR="00DC6FE6" w:rsidRPr="00DC6FE6" w:rsidRDefault="00DC6FE6" w:rsidP="00DC6FE6">
      <w:pPr>
        <w:pStyle w:val="SingleTxt"/>
        <w:spacing w:after="0" w:line="120" w:lineRule="exact"/>
        <w:rPr>
          <w:rFonts w:hint="cs"/>
          <w:sz w:val="10"/>
          <w:rtl/>
          <w:lang w:bidi="ar-EG"/>
        </w:rPr>
      </w:pPr>
    </w:p>
    <w:p w:rsidR="00706E3F" w:rsidRDefault="00DC6FE6" w:rsidP="009B12F2">
      <w:pPr>
        <w:pStyle w:val="SingleTxt"/>
        <w:rPr>
          <w:rFonts w:hint="cs"/>
          <w:rtl/>
          <w:lang w:bidi="ar-EG"/>
        </w:rPr>
      </w:pPr>
      <w:r>
        <w:rPr>
          <w:rFonts w:hint="cs"/>
          <w:rtl/>
          <w:lang w:bidi="ar-EG"/>
        </w:rPr>
        <w:tab/>
        <w:t>ومن المهم التأكيد على أنه جرى تنفيذ 95 في المائة من الاستيطان المستهدف بحلول عام 2007 لـ 000 400 أسرة في ظل البرنامج الوطني للإصلاح الزراعي، إذ انتفعت بالفعل 000 385 أسرة. ويرجي إصدار صكوك ملكية الأراضي في فترة لاحقة بعد الفترة المرجعية حيث يجب أولا أن تقام البنية التحتية في المستوطنات وتدعيم الإنتاج قبل أن يمكن منح صكوك الملكية أو استخدام صكوك الامتياز.</w:t>
      </w:r>
    </w:p>
    <w:p w:rsidR="00DC6FE6" w:rsidRDefault="00DC6FE6" w:rsidP="00DC6FE6">
      <w:pPr>
        <w:pStyle w:val="SingleTxt"/>
        <w:rPr>
          <w:rFonts w:hint="cs"/>
          <w:rtl/>
          <w:lang w:bidi="ar-EG"/>
        </w:rPr>
      </w:pPr>
      <w:r>
        <w:rPr>
          <w:rFonts w:hint="cs"/>
          <w:rtl/>
          <w:lang w:bidi="ar-EG"/>
        </w:rPr>
        <w:tab/>
        <w:t>ومن المهم أيضا الإشارة إلى أن التدابير الجديدة اتخذت لتوسيع نطاق وصول المرأة إلى البرنامج الوطني للإصلاح الزراعي وتأهيلها لهذا الوصول. وبناء على رقم 38 من التعليمات المعيارية، اعتزم معهد التوطين والإصلاح الزراعي توسيع نطاق حق المرأة في الوصول إلى البرنامج الوطني للإصلاح الزراعي من خلال التدابير التالية:</w:t>
      </w:r>
    </w:p>
    <w:p w:rsidR="00DC6FE6" w:rsidRDefault="00DC6FE6" w:rsidP="00DC6FE6">
      <w:pPr>
        <w:pStyle w:val="SingleTxt"/>
        <w:rPr>
          <w:rFonts w:hint="cs"/>
          <w:rtl/>
          <w:lang w:bidi="ar-EG"/>
        </w:rPr>
      </w:pPr>
      <w:r>
        <w:rPr>
          <w:rFonts w:hint="cs"/>
          <w:rtl/>
          <w:lang w:bidi="ar-EG"/>
        </w:rPr>
        <w:tab/>
        <w:t>1 -</w:t>
      </w:r>
      <w:r>
        <w:rPr>
          <w:rFonts w:hint="cs"/>
          <w:rtl/>
          <w:lang w:bidi="ar-EG"/>
        </w:rPr>
        <w:tab/>
        <w:t>إجراء تغيير في الإجراءات والصكوك المتعلقة بما يلي: تسجيل مقدمي الطلبات، وتنفيذ مشاريع الإصلاح الزراعي، وسجل الأسر في مناطق تنظيم الأراضي ومنح صكوك الملكية؛ وشهادة تسجيل الأملاك الريفية، بحيث يلزم إدراج كل من النساء والرجال، بغض النظر عن حالتهم المدنية؛</w:t>
      </w:r>
    </w:p>
    <w:p w:rsidR="007B700C" w:rsidRDefault="007B700C" w:rsidP="00DC6FE6">
      <w:pPr>
        <w:pStyle w:val="SingleTxt"/>
        <w:rPr>
          <w:rFonts w:hint="cs"/>
          <w:rtl/>
          <w:lang w:bidi="ar-EG"/>
        </w:rPr>
      </w:pPr>
      <w:r>
        <w:rPr>
          <w:rFonts w:hint="cs"/>
          <w:rtl/>
          <w:lang w:bidi="ar-EG"/>
        </w:rPr>
        <w:tab/>
        <w:t>2 -</w:t>
      </w:r>
      <w:r>
        <w:rPr>
          <w:rFonts w:hint="cs"/>
          <w:rtl/>
          <w:lang w:bidi="ar-EG"/>
        </w:rPr>
        <w:tab/>
        <w:t>الإلزام بإعلان أو بإثبات الحالة المدنية. والأسرة المقدمة لطلب التي لا تعلن عن الحالة المدنية أو تقدم إعلانا كاذبا عنها تحرم من المشاركة في البرنامج الوطني للإصلاح الزراعي؛</w:t>
      </w:r>
    </w:p>
    <w:p w:rsidR="007B700C" w:rsidRDefault="007B700C" w:rsidP="007B700C">
      <w:pPr>
        <w:pStyle w:val="SingleTxt"/>
        <w:rPr>
          <w:rFonts w:hint="cs"/>
          <w:rtl/>
          <w:lang w:bidi="ar-EG"/>
        </w:rPr>
      </w:pPr>
      <w:r>
        <w:rPr>
          <w:rFonts w:hint="cs"/>
          <w:rtl/>
          <w:lang w:bidi="ar-EG"/>
        </w:rPr>
        <w:tab/>
        <w:t>3 -</w:t>
      </w:r>
      <w:r>
        <w:rPr>
          <w:rFonts w:hint="cs"/>
          <w:rtl/>
          <w:lang w:bidi="ar-EG"/>
        </w:rPr>
        <w:tab/>
        <w:t>إدراج معيار تكميلي جديد يولي الأفضلية للأسر التي ترأسها امرأة في تصنيف الأسر التي تنتفع من الإصلاح الزراعي؛</w:t>
      </w:r>
    </w:p>
    <w:p w:rsidR="007B700C" w:rsidRDefault="007B700C" w:rsidP="007B700C">
      <w:pPr>
        <w:pStyle w:val="SingleTxt"/>
        <w:rPr>
          <w:rFonts w:hint="cs"/>
          <w:rtl/>
          <w:lang w:bidi="ar-EG"/>
        </w:rPr>
      </w:pPr>
      <w:r>
        <w:rPr>
          <w:rFonts w:hint="cs"/>
          <w:rtl/>
          <w:lang w:bidi="ar-EG"/>
        </w:rPr>
        <w:tab/>
        <w:t>4 -</w:t>
      </w:r>
      <w:r>
        <w:rPr>
          <w:rFonts w:hint="cs"/>
          <w:rtl/>
          <w:lang w:bidi="ar-EG"/>
        </w:rPr>
        <w:tab/>
        <w:t>العمل بشهادة المرأة المستفيدة من الإصلاح الزراعي بغية تيسير مطالبتها بحقوقها أمام الوكالات الحكومية؛</w:t>
      </w:r>
    </w:p>
    <w:p w:rsidR="007B700C" w:rsidRDefault="007B700C" w:rsidP="007B700C">
      <w:pPr>
        <w:pStyle w:val="SingleTxt"/>
        <w:rPr>
          <w:rFonts w:hint="cs"/>
          <w:rtl/>
          <w:lang w:bidi="ar-EG"/>
        </w:rPr>
      </w:pPr>
      <w:r>
        <w:rPr>
          <w:rFonts w:hint="cs"/>
          <w:rtl/>
          <w:lang w:bidi="ar-EG"/>
        </w:rPr>
        <w:tab/>
        <w:t>5 -</w:t>
      </w:r>
      <w:r>
        <w:rPr>
          <w:rFonts w:hint="cs"/>
          <w:rtl/>
          <w:lang w:bidi="ar-EG"/>
        </w:rPr>
        <w:tab/>
        <w:t>دعم المرأة في أنشطة التنمية الريفية، بغية تعزيز إدماجها الاقتصادي من خلال السياسات العامة، مما يكفل مشاركتها في صنع القرارات المتعلقة بالمستوطنات، ويتضمن ذلك تعريف أسلوب بناء البيت الريفي وطرائق الائتمان لنساء المستوطنات.</w:t>
      </w:r>
    </w:p>
    <w:p w:rsidR="007B700C" w:rsidRPr="007B700C" w:rsidRDefault="007B700C" w:rsidP="007B700C">
      <w:pPr>
        <w:pStyle w:val="SingleTxt"/>
        <w:spacing w:after="0" w:line="120" w:lineRule="exact"/>
        <w:rPr>
          <w:rFonts w:hint="cs"/>
          <w:sz w:val="10"/>
          <w:rtl/>
          <w:lang w:bidi="ar-EG"/>
        </w:rPr>
      </w:pPr>
    </w:p>
    <w:p w:rsidR="00C87B32" w:rsidRDefault="00C87B32" w:rsidP="007B700C">
      <w:pPr>
        <w:pStyle w:val="SingleTxt"/>
        <w:rPr>
          <w:rFonts w:hint="cs"/>
          <w:b/>
          <w:bCs/>
          <w:rtl/>
        </w:rPr>
      </w:pPr>
      <w:r w:rsidRPr="007B700C">
        <w:rPr>
          <w:b/>
          <w:bCs/>
          <w:rtl/>
        </w:rPr>
        <w:t>2</w:t>
      </w:r>
      <w:r w:rsidR="007B700C" w:rsidRPr="007B700C">
        <w:rPr>
          <w:rFonts w:hint="cs"/>
          <w:b/>
          <w:bCs/>
          <w:rtl/>
        </w:rPr>
        <w:t>6</w:t>
      </w:r>
      <w:r w:rsidRPr="007B700C">
        <w:rPr>
          <w:rFonts w:hint="cs"/>
          <w:b/>
          <w:bCs/>
          <w:rtl/>
        </w:rPr>
        <w:t xml:space="preserve"> </w:t>
      </w:r>
      <w:r w:rsidRPr="007B700C">
        <w:rPr>
          <w:b/>
          <w:bCs/>
          <w:rtl/>
        </w:rPr>
        <w:t>-</w:t>
      </w:r>
      <w:r w:rsidRPr="007B700C">
        <w:rPr>
          <w:rFonts w:hint="cs"/>
          <w:b/>
          <w:bCs/>
          <w:rtl/>
        </w:rPr>
        <w:tab/>
      </w:r>
      <w:r w:rsidRPr="007B700C">
        <w:rPr>
          <w:b/>
          <w:bCs/>
          <w:rtl/>
        </w:rPr>
        <w:t>ذكر في التقرير</w:t>
      </w:r>
      <w:r w:rsidR="007B700C" w:rsidRPr="007B700C">
        <w:rPr>
          <w:rFonts w:hint="cs"/>
          <w:b/>
          <w:bCs/>
          <w:rtl/>
        </w:rPr>
        <w:t xml:space="preserve"> (صفحة 82)</w:t>
      </w:r>
      <w:r w:rsidRPr="007B700C">
        <w:rPr>
          <w:b/>
          <w:bCs/>
          <w:rtl/>
        </w:rPr>
        <w:t xml:space="preserve"> أن </w:t>
      </w:r>
      <w:r w:rsidR="007B700C" w:rsidRPr="007B700C">
        <w:rPr>
          <w:rFonts w:hint="cs"/>
          <w:b/>
          <w:bCs/>
          <w:rtl/>
        </w:rPr>
        <w:t>”</w:t>
      </w:r>
      <w:r w:rsidRPr="007B700C">
        <w:rPr>
          <w:b/>
          <w:bCs/>
          <w:rtl/>
        </w:rPr>
        <w:t>البيانات الواردة في البحث الذي أجرته حركة سانتا كات</w:t>
      </w:r>
      <w:r w:rsidRPr="007B700C">
        <w:rPr>
          <w:rFonts w:hint="cs"/>
          <w:b/>
          <w:bCs/>
          <w:rtl/>
        </w:rPr>
        <w:t>ا</w:t>
      </w:r>
      <w:r w:rsidRPr="007B700C">
        <w:rPr>
          <w:b/>
          <w:bCs/>
          <w:rtl/>
        </w:rPr>
        <w:t xml:space="preserve">رينا النسائية الزراعية (2002) بشأن </w:t>
      </w:r>
      <w:r w:rsidRPr="007B700C">
        <w:rPr>
          <w:rFonts w:hint="cs"/>
          <w:b/>
          <w:bCs/>
          <w:rtl/>
        </w:rPr>
        <w:t xml:space="preserve">مختلف </w:t>
      </w:r>
      <w:r w:rsidRPr="007B700C">
        <w:rPr>
          <w:b/>
          <w:bCs/>
          <w:rtl/>
        </w:rPr>
        <w:t>أشكال العنف التي تعاني منه المرأة الريفية تشير إلى أن 10 من بين كل 100 امرأة يعانين من اعتداء أزواجهن عليهن</w:t>
      </w:r>
      <w:r w:rsidR="007B700C" w:rsidRPr="007B700C">
        <w:rPr>
          <w:rFonts w:hint="cs"/>
          <w:b/>
          <w:bCs/>
          <w:rtl/>
        </w:rPr>
        <w:t>“</w:t>
      </w:r>
      <w:r w:rsidRPr="007B700C">
        <w:rPr>
          <w:b/>
          <w:bCs/>
          <w:rtl/>
        </w:rPr>
        <w:t>.</w:t>
      </w:r>
      <w:r w:rsidRPr="007B700C">
        <w:rPr>
          <w:b/>
          <w:bCs/>
        </w:rPr>
        <w:t xml:space="preserve"> </w:t>
      </w:r>
      <w:r w:rsidRPr="007B700C">
        <w:rPr>
          <w:b/>
          <w:bCs/>
          <w:rtl/>
        </w:rPr>
        <w:t>يرجى تقديم معلومات عن التدابير المتخذة لمنع العنف ضد المرأة الريفية والقضاء عليه.</w:t>
      </w:r>
    </w:p>
    <w:p w:rsidR="007B700C" w:rsidRDefault="007B700C" w:rsidP="007B700C">
      <w:pPr>
        <w:pStyle w:val="SingleTxt"/>
        <w:rPr>
          <w:rFonts w:hint="cs"/>
          <w:rtl/>
        </w:rPr>
      </w:pPr>
      <w:r>
        <w:rPr>
          <w:rFonts w:hint="cs"/>
          <w:rtl/>
        </w:rPr>
        <w:tab/>
        <w:t>لم تتخذ بعد تدابير محددة لمنع العنف ضد المرأة الريفية والقضاء عليه. وتُتخذ الإجراءات في هذا الصدد في إطار التدابير الإجمالية لردع ا</w:t>
      </w:r>
      <w:r w:rsidR="00C56A9E">
        <w:rPr>
          <w:rFonts w:hint="cs"/>
          <w:rtl/>
        </w:rPr>
        <w:t>لعنف ضد المرأة، مثل قانون ماريا</w:t>
      </w:r>
      <w:r w:rsidR="00C56A9E">
        <w:rPr>
          <w:rFonts w:hint="eastAsia"/>
          <w:rtl/>
        </w:rPr>
        <w:t> </w:t>
      </w:r>
      <w:r>
        <w:rPr>
          <w:rFonts w:hint="cs"/>
          <w:rtl/>
        </w:rPr>
        <w:t>دا بينها. وتنبغي الإشارة إلى أن مسألة العنف ضد المرأة تعالج أيضا في مختلف الحلقات الدراسية والحملات التي تشنها النساء العاملات الريفيات.</w:t>
      </w:r>
    </w:p>
    <w:p w:rsidR="007B700C" w:rsidRPr="007B700C" w:rsidRDefault="007B700C" w:rsidP="007B700C">
      <w:pPr>
        <w:pStyle w:val="SingleTxt"/>
        <w:spacing w:after="0" w:line="120" w:lineRule="exact"/>
        <w:rPr>
          <w:rFonts w:hint="cs"/>
          <w:sz w:val="10"/>
          <w:rtl/>
        </w:rPr>
      </w:pPr>
    </w:p>
    <w:p w:rsidR="00C87B32" w:rsidRDefault="00C87B32" w:rsidP="007B700C">
      <w:pPr>
        <w:pStyle w:val="SingleTxt"/>
        <w:rPr>
          <w:rFonts w:hint="cs"/>
          <w:b/>
          <w:bCs/>
          <w:rtl/>
        </w:rPr>
      </w:pPr>
      <w:r w:rsidRPr="00C56A9E">
        <w:rPr>
          <w:b/>
          <w:bCs/>
          <w:rtl/>
        </w:rPr>
        <w:t>2</w:t>
      </w:r>
      <w:r w:rsidR="007B700C" w:rsidRPr="00C56A9E">
        <w:rPr>
          <w:rFonts w:hint="cs"/>
          <w:b/>
          <w:bCs/>
          <w:rtl/>
        </w:rPr>
        <w:t>7</w:t>
      </w:r>
      <w:r w:rsidRPr="00C56A9E">
        <w:rPr>
          <w:rFonts w:hint="cs"/>
          <w:b/>
          <w:bCs/>
          <w:rtl/>
        </w:rPr>
        <w:t xml:space="preserve"> </w:t>
      </w:r>
      <w:r w:rsidRPr="00C56A9E">
        <w:rPr>
          <w:b/>
          <w:bCs/>
          <w:rtl/>
        </w:rPr>
        <w:t>-</w:t>
      </w:r>
      <w:r w:rsidRPr="00C56A9E">
        <w:rPr>
          <w:rFonts w:hint="cs"/>
          <w:b/>
          <w:bCs/>
          <w:rtl/>
        </w:rPr>
        <w:tab/>
      </w:r>
      <w:r w:rsidRPr="00C56A9E">
        <w:rPr>
          <w:b/>
          <w:bCs/>
          <w:rtl/>
        </w:rPr>
        <w:t>يشير التقرير</w:t>
      </w:r>
      <w:r w:rsidR="007B700C" w:rsidRPr="00C56A9E">
        <w:rPr>
          <w:rFonts w:hint="cs"/>
          <w:b/>
          <w:bCs/>
          <w:rtl/>
        </w:rPr>
        <w:t xml:space="preserve"> (صفحة 80)</w:t>
      </w:r>
      <w:r w:rsidRPr="00C56A9E">
        <w:rPr>
          <w:b/>
          <w:bCs/>
          <w:rtl/>
        </w:rPr>
        <w:t xml:space="preserve"> إلى انعدام التكافؤ بدرجة كبيرة بين دخل النساء الريفيات البيض والسود، حيث تكسب النساء الريفيات السود 56 في المائة مما تكسبه النساء </w:t>
      </w:r>
      <w:r w:rsidR="00C56A9E" w:rsidRPr="00C56A9E">
        <w:rPr>
          <w:rFonts w:hint="cs"/>
          <w:b/>
          <w:bCs/>
          <w:rtl/>
        </w:rPr>
        <w:t xml:space="preserve">العاملات </w:t>
      </w:r>
      <w:r w:rsidRPr="00C56A9E">
        <w:rPr>
          <w:b/>
          <w:bCs/>
          <w:rtl/>
        </w:rPr>
        <w:t>الريفيات البيض</w:t>
      </w:r>
      <w:r w:rsidRPr="00C56A9E">
        <w:rPr>
          <w:rFonts w:hint="cs"/>
          <w:b/>
          <w:bCs/>
          <w:rtl/>
        </w:rPr>
        <w:t xml:space="preserve">. </w:t>
      </w:r>
      <w:r w:rsidRPr="00C56A9E">
        <w:rPr>
          <w:b/>
          <w:bCs/>
          <w:rtl/>
        </w:rPr>
        <w:t>فما هي التدابير التي يجرى اتخاذها لمعالجة التمييز المتعلق بالدخل ضد النساء الريفيات السود، وما هو أثر هذه التدابير على مر الزمن</w:t>
      </w:r>
      <w:r w:rsidRPr="00C56A9E">
        <w:rPr>
          <w:rFonts w:hint="cs"/>
          <w:b/>
          <w:bCs/>
          <w:rtl/>
        </w:rPr>
        <w:t>؟</w:t>
      </w:r>
    </w:p>
    <w:p w:rsidR="00C56A9E" w:rsidRDefault="00C56A9E" w:rsidP="00C56A9E">
      <w:pPr>
        <w:pStyle w:val="SingleTxt"/>
        <w:rPr>
          <w:rFonts w:hint="cs"/>
          <w:rtl/>
        </w:rPr>
      </w:pPr>
      <w:r>
        <w:rPr>
          <w:rFonts w:hint="cs"/>
          <w:rtl/>
        </w:rPr>
        <w:tab/>
        <w:t xml:space="preserve">فيما يتعلق بالتدابير التي يجري اتخاذها للقضاء على التفاوتات في دخل النساء السود الريفيات، نفذت وزارة الإصلاح الزراعي مبادرة معينة في إطار المشروع المعني بالتنمية الإثنية لنساء </w:t>
      </w:r>
      <w:r w:rsidRPr="00D00DA3">
        <w:rPr>
          <w:rFonts w:hint="cs"/>
          <w:i/>
          <w:iCs/>
          <w:rtl/>
        </w:rPr>
        <w:t>كويلومبولا</w:t>
      </w:r>
      <w:r>
        <w:rPr>
          <w:rFonts w:hint="cs"/>
          <w:rtl/>
        </w:rPr>
        <w:t xml:space="preserve"> بالشراكة مع إدارة التنمية الدولية وصندوق الأمم المتحدة الإنمائي للمرأة. وتستهدف هذه الإجراءات كفاية البرامج، والأعمال الإيجابية، وتخصيص الموارد المتاحة، فضلا عن صياغة السياسات العامة مع التركيز على المساعدة التقنية والإرشاد الريفي، والتنمية، والتسويق.</w:t>
      </w:r>
    </w:p>
    <w:p w:rsidR="00C56A9E" w:rsidRDefault="00C56A9E" w:rsidP="00A87D33">
      <w:pPr>
        <w:pStyle w:val="SingleTxt"/>
        <w:rPr>
          <w:rFonts w:hint="cs"/>
          <w:rtl/>
        </w:rPr>
      </w:pPr>
      <w:r>
        <w:rPr>
          <w:rFonts w:hint="cs"/>
          <w:rtl/>
        </w:rPr>
        <w:tab/>
        <w:t>وجرى اختيار 21 مجتمعا محليا في إطار المشروع في 14 ولاية (أمابا، وبارا، وألاغوس، ومارانهاو، وبرنامبوكو، وبياوي، وسيرغيبي، وغوياس، وماتو غروسو دو سول، وماتو غروسو، و</w:t>
      </w:r>
      <w:r w:rsidR="00A87D33">
        <w:rPr>
          <w:rFonts w:hint="cs"/>
          <w:rtl/>
        </w:rPr>
        <w:t>ا</w:t>
      </w:r>
      <w:r>
        <w:rPr>
          <w:rFonts w:hint="cs"/>
          <w:rtl/>
        </w:rPr>
        <w:t xml:space="preserve">سبيريتو سانتو، وساو بالو، وريو غراندي دو سول، وسانتا كاتارينا). حيث أن تلك المجتمعات لديها منظمات نسائية تنتفع من تنظيم الأرض عن طريق وزارة التنمية الزراعية/المعهد الوطني للتوطين والإصلاح الزراعي وكانت منتفعة ببرنامج القضاء الكامل على الجوع في مجتمعات </w:t>
      </w:r>
      <w:r w:rsidRPr="00605762">
        <w:rPr>
          <w:rFonts w:hint="cs"/>
          <w:i/>
          <w:iCs/>
          <w:rtl/>
        </w:rPr>
        <w:t>كويلومبولا</w:t>
      </w:r>
      <w:r>
        <w:rPr>
          <w:rFonts w:hint="cs"/>
          <w:rtl/>
        </w:rPr>
        <w:t xml:space="preserve"> المحلية.</w:t>
      </w:r>
    </w:p>
    <w:p w:rsidR="00C56A9E" w:rsidRDefault="00C56A9E" w:rsidP="00C56A9E">
      <w:pPr>
        <w:pStyle w:val="SingleTxt"/>
        <w:rPr>
          <w:rFonts w:hint="cs"/>
          <w:rtl/>
        </w:rPr>
      </w:pPr>
      <w:r>
        <w:rPr>
          <w:rFonts w:hint="cs"/>
          <w:rtl/>
        </w:rPr>
        <w:tab/>
        <w:t xml:space="preserve">وفي إطار هذا المشروع، تجري الأنشطة التالية: حلقة عمل لتوجيه وتدريب نساء كويلومبولا فيما يتعلق بتقديم المشاريع، ومؤتمران وطنيان معنيان بنساء </w:t>
      </w:r>
      <w:r w:rsidRPr="00605762">
        <w:rPr>
          <w:rFonts w:hint="cs"/>
          <w:i/>
          <w:iCs/>
          <w:rtl/>
        </w:rPr>
        <w:t>كويلومبولا</w:t>
      </w:r>
      <w:r>
        <w:rPr>
          <w:rFonts w:hint="cs"/>
          <w:rtl/>
        </w:rPr>
        <w:t xml:space="preserve">: نوع الجنس والسياسات العامة المعنية بالتنمية الإثنية (آذار/مارس وحزيران/يونيه 2005)، بهدف تقييم حالتهن، وتدريبهن، والتخطيط لأعمال تستهدف تقديم المساعدات التقنية وتسويق منتجات نساء </w:t>
      </w:r>
      <w:r w:rsidRPr="00605762">
        <w:rPr>
          <w:rFonts w:hint="cs"/>
          <w:i/>
          <w:iCs/>
          <w:rtl/>
        </w:rPr>
        <w:t>كويلومبولا</w:t>
      </w:r>
      <w:r>
        <w:rPr>
          <w:rFonts w:hint="cs"/>
          <w:rtl/>
        </w:rPr>
        <w:t>.</w:t>
      </w:r>
    </w:p>
    <w:p w:rsidR="00C56A9E" w:rsidRDefault="00C56A9E" w:rsidP="00C56A9E">
      <w:pPr>
        <w:pStyle w:val="SingleTxt"/>
        <w:rPr>
          <w:rFonts w:hint="cs"/>
          <w:rtl/>
          <w:lang w:bidi="ar-EG"/>
        </w:rPr>
      </w:pPr>
      <w:r>
        <w:rPr>
          <w:rFonts w:hint="cs"/>
          <w:rtl/>
        </w:rPr>
        <w:tab/>
        <w:t xml:space="preserve">وعملا على تعزيز المشاركة الاجتماعية والرقابة من جانب مجموعات </w:t>
      </w:r>
      <w:r w:rsidRPr="00204C6F">
        <w:rPr>
          <w:rFonts w:hint="cs"/>
          <w:i/>
          <w:iCs/>
          <w:rtl/>
        </w:rPr>
        <w:t>كويلومبولا</w:t>
      </w:r>
      <w:r>
        <w:rPr>
          <w:rFonts w:hint="cs"/>
          <w:rtl/>
        </w:rPr>
        <w:t xml:space="preserve"> السكانية، تشكلت لجنة دائمة معنية بنوع الجنس والعنصر والأصل العرقي (</w:t>
      </w:r>
      <w:r w:rsidR="00204C6F">
        <w:t>PPIGRE</w:t>
      </w:r>
      <w:r w:rsidR="00204C6F">
        <w:rPr>
          <w:rFonts w:hint="cs"/>
          <w:rtl/>
          <w:lang w:bidi="ar-EG"/>
        </w:rPr>
        <w:t>/وزارة التنمية الزراعية) في المجلس الوطني للتنمية الريفية المستدامة. وتتكون هذه اللجنة من ممثلين من وزارة التنمية الزراعية، وهيئات حكومية أخرى، وكيانات للمجتمع المدني المنظم. وعلى أساس طلبات محددة من هذه المجموعات السكانية، تسعى اللجنة إلى توجيه وزارة التنمية الزراعية فيما يتعلق بإعداد السياسات العامة وتنفيذها وتقييمها.</w:t>
      </w:r>
    </w:p>
    <w:p w:rsidR="00204C6F" w:rsidRDefault="00204C6F" w:rsidP="00C56A9E">
      <w:pPr>
        <w:pStyle w:val="SingleTxt"/>
        <w:rPr>
          <w:rFonts w:hint="cs"/>
          <w:rtl/>
          <w:lang w:bidi="ar-EG"/>
        </w:rPr>
      </w:pPr>
      <w:r>
        <w:rPr>
          <w:rFonts w:hint="cs"/>
          <w:rtl/>
          <w:lang w:bidi="ar-EG"/>
        </w:rPr>
        <w:tab/>
        <w:t xml:space="preserve">وفي عامي 2004 و 2005، تلقت الدعم خمسة مشاريع قدمتها مجموعات إنتاجية من نساء </w:t>
      </w:r>
      <w:r w:rsidRPr="00204C6F">
        <w:rPr>
          <w:rFonts w:hint="cs"/>
          <w:i/>
          <w:iCs/>
          <w:rtl/>
          <w:lang w:bidi="ar-EG"/>
        </w:rPr>
        <w:t>كويلومبولا</w:t>
      </w:r>
      <w:r>
        <w:rPr>
          <w:rFonts w:hint="cs"/>
          <w:rtl/>
          <w:lang w:bidi="ar-EG"/>
        </w:rPr>
        <w:t xml:space="preserve"> من مختلف مناطق البلد. وتشكل هذه المبادرات جهدا يرمي إلى إنشاء شبكة للإنتاج والتسويق تستهدف كفالة الأمن الغذائي وإدارة الأراضي التقليدية والاستقلال الذاتي لنساء </w:t>
      </w:r>
      <w:r w:rsidRPr="00204C6F">
        <w:rPr>
          <w:rFonts w:hint="cs"/>
          <w:i/>
          <w:iCs/>
          <w:rtl/>
          <w:lang w:bidi="ar-EG"/>
        </w:rPr>
        <w:t>كويلومبلولا</w:t>
      </w:r>
      <w:r>
        <w:rPr>
          <w:rFonts w:hint="cs"/>
          <w:rtl/>
          <w:lang w:bidi="ar-EG"/>
        </w:rPr>
        <w:t xml:space="preserve">. وحصلت هذه المشاريع على منحة قدرها722.50 617 ريال برازيلي جرى تحويل </w:t>
      </w:r>
      <w:r w:rsidR="00FD5BEF">
        <w:rPr>
          <w:rFonts w:hint="cs"/>
          <w:rtl/>
          <w:lang w:bidi="ar-EG"/>
        </w:rPr>
        <w:t>744 209 ريالا برازيليا منها عام 2004 و 798.50 307 ريال برازيلي عام 2005.</w:t>
      </w:r>
    </w:p>
    <w:p w:rsidR="00FD5BEF" w:rsidRDefault="00FD5BEF" w:rsidP="00C56A9E">
      <w:pPr>
        <w:pStyle w:val="SingleTxt"/>
        <w:rPr>
          <w:rFonts w:hint="cs"/>
          <w:rtl/>
          <w:lang w:bidi="ar-EG"/>
        </w:rPr>
      </w:pPr>
      <w:r>
        <w:rPr>
          <w:rFonts w:hint="cs"/>
          <w:rtl/>
          <w:lang w:bidi="ar-EG"/>
        </w:rPr>
        <w:tab/>
        <w:t xml:space="preserve">وفيما يلي ما تتضمنه الأعمال التي نُفذت في إطار المشاريع المذكورة أعلاه: تعزيز قدر أكبر من إدماج المرأة في الاقتصاد المحلي، عن طريق توسيع نطاق فرص العمل؛ وتوطيد أنشطة الاستخلاص الزراعي، وتشجيع التعاونيات، وتنمية الصناعات الزراعية، وتربية الحيوانات الصغيرة وتربية الأسماك بناء على مختلف الممارسات المحلية لمجتمعات </w:t>
      </w:r>
      <w:r w:rsidRPr="00605762">
        <w:rPr>
          <w:rFonts w:hint="cs"/>
          <w:i/>
          <w:iCs/>
          <w:rtl/>
          <w:lang w:bidi="ar-EG"/>
        </w:rPr>
        <w:t>كويلومبولا</w:t>
      </w:r>
      <w:r>
        <w:rPr>
          <w:rFonts w:hint="cs"/>
          <w:rtl/>
          <w:lang w:bidi="ar-EG"/>
        </w:rPr>
        <w:t xml:space="preserve">؛ وتدعيم مشاركة الشباب؛ وتعزيز التنمية المستدامة للمجتمعات المحلية المستفيدة عن طريق إشراكها في السياحة الإيكولوجية المحلية من خلال إقامة أنشطة تتعلق بهذا القطاع؛ وتحديد فرص العمل وإدرار الدخل بناء على الإدارة المستدامة للموارد الطبيعية لمجتمعات </w:t>
      </w:r>
      <w:r w:rsidRPr="00605762">
        <w:rPr>
          <w:rFonts w:hint="cs"/>
          <w:i/>
          <w:iCs/>
          <w:rtl/>
          <w:lang w:bidi="ar-EG"/>
        </w:rPr>
        <w:t>كويلومبولا</w:t>
      </w:r>
      <w:r>
        <w:rPr>
          <w:rFonts w:hint="cs"/>
          <w:rtl/>
          <w:lang w:bidi="ar-EG"/>
        </w:rPr>
        <w:t xml:space="preserve"> المحلية؛ والتدريب وبناء القدرات في مجالي إيكولوجيا الزراعة والأمن الغذائي.</w:t>
      </w:r>
    </w:p>
    <w:p w:rsidR="00FD5BEF" w:rsidRDefault="00FD5BEF" w:rsidP="0071416A">
      <w:pPr>
        <w:pStyle w:val="SingleTxt"/>
        <w:rPr>
          <w:rFonts w:hint="cs"/>
          <w:rtl/>
          <w:lang w:bidi="ar-EG"/>
        </w:rPr>
      </w:pPr>
      <w:r>
        <w:rPr>
          <w:rFonts w:hint="cs"/>
          <w:rtl/>
          <w:lang w:bidi="ar-EG"/>
        </w:rPr>
        <w:tab/>
        <w:t>وبناء على مبادرة من وزارة التنمية الزراعية عام 2004، عقد في برازيليا، العاصمة الاتحادية</w:t>
      </w:r>
      <w:r w:rsidR="00A87D33">
        <w:rPr>
          <w:rFonts w:hint="cs"/>
          <w:rtl/>
          <w:lang w:bidi="ar-EG"/>
        </w:rPr>
        <w:t>،</w:t>
      </w:r>
      <w:r>
        <w:rPr>
          <w:rFonts w:hint="cs"/>
          <w:rtl/>
          <w:lang w:bidi="ar-EG"/>
        </w:rPr>
        <w:t xml:space="preserve"> أول معرض وطني للزراعة الأسرية والإصلاح الزراعي. وفي ذلك الوقت أجريت دراسة استقصائية للأنشطة الإنتاجية لمجتمعات </w:t>
      </w:r>
      <w:r w:rsidRPr="00605762">
        <w:rPr>
          <w:rFonts w:hint="cs"/>
          <w:i/>
          <w:iCs/>
          <w:rtl/>
          <w:lang w:bidi="ar-EG"/>
        </w:rPr>
        <w:t>كويلومبولا</w:t>
      </w:r>
      <w:r>
        <w:rPr>
          <w:rFonts w:hint="cs"/>
          <w:rtl/>
          <w:lang w:bidi="ar-EG"/>
        </w:rPr>
        <w:t xml:space="preserve"> المحلية، مع الاهتمام بمنتجات الصناعات اليدوية. وشاركت في هذا المعرض عشرة مجتمعات محلية. أما المع</w:t>
      </w:r>
      <w:r w:rsidR="00605762">
        <w:rPr>
          <w:rFonts w:hint="cs"/>
          <w:rtl/>
          <w:lang w:bidi="ar-EG"/>
        </w:rPr>
        <w:t xml:space="preserve">رض الوطني الثاني للزراعة الأسرية والإصلاح الزراعي (وزارة التنمية الزراعية/2995) فشارك فيه 19 مجتمعا من مجتمعات </w:t>
      </w:r>
      <w:r w:rsidR="00605762" w:rsidRPr="00605762">
        <w:rPr>
          <w:rFonts w:hint="cs"/>
          <w:i/>
          <w:iCs/>
          <w:rtl/>
          <w:lang w:bidi="ar-EG"/>
        </w:rPr>
        <w:t>كويلومبولا</w:t>
      </w:r>
      <w:r w:rsidR="00605762">
        <w:rPr>
          <w:rFonts w:hint="cs"/>
          <w:rtl/>
          <w:lang w:bidi="ar-EG"/>
        </w:rPr>
        <w:t xml:space="preserve"> المحلية من تسع ولايات.</w:t>
      </w:r>
    </w:p>
    <w:p w:rsidR="00605762" w:rsidRDefault="00605762" w:rsidP="0071416A">
      <w:pPr>
        <w:pStyle w:val="SingleTxt"/>
        <w:rPr>
          <w:rFonts w:hint="cs"/>
          <w:rtl/>
          <w:lang w:bidi="ar-EG"/>
        </w:rPr>
      </w:pPr>
      <w:r>
        <w:rPr>
          <w:rFonts w:hint="cs"/>
          <w:rtl/>
          <w:lang w:bidi="ar-EG"/>
        </w:rPr>
        <w:tab/>
        <w:t>وسمحت هذه المبادرات بتبادل قوي، ليس بين مجتمعات كويلومبولا فحسب</w:t>
      </w:r>
      <w:r w:rsidR="00A87D33">
        <w:rPr>
          <w:rFonts w:hint="cs"/>
          <w:rtl/>
          <w:lang w:bidi="ar-EG"/>
        </w:rPr>
        <w:t>،</w:t>
      </w:r>
      <w:r>
        <w:rPr>
          <w:rFonts w:hint="cs"/>
          <w:rtl/>
          <w:lang w:bidi="ar-EG"/>
        </w:rPr>
        <w:t xml:space="preserve"> بل بين المشاركين الآخرين. وفضلا عن ذلك، قاربت المبادرة بين الجمهور ومختلف السياسات </w:t>
      </w:r>
      <w:r w:rsidR="008F593A">
        <w:rPr>
          <w:rFonts w:hint="cs"/>
          <w:rtl/>
          <w:lang w:bidi="ar-EG"/>
        </w:rPr>
        <w:t>التي تنفذها الحكومة الاتحادية. وأنفق مبلغ 100</w:t>
      </w:r>
      <w:r w:rsidR="005F63AC">
        <w:rPr>
          <w:rFonts w:hint="eastAsia"/>
          <w:rtl/>
          <w:lang w:bidi="ar-EG"/>
        </w:rPr>
        <w:t> 142</w:t>
      </w:r>
      <w:r w:rsidR="005F63AC">
        <w:rPr>
          <w:rFonts w:hint="cs"/>
          <w:rtl/>
          <w:lang w:bidi="ar-EG"/>
        </w:rPr>
        <w:t xml:space="preserve"> ريال برازيلي بغية كفالة مشاركة النساء في تلك الأحداث.</w:t>
      </w:r>
    </w:p>
    <w:p w:rsidR="005F63AC" w:rsidRDefault="005F63AC" w:rsidP="0071416A">
      <w:pPr>
        <w:pStyle w:val="SingleTxt"/>
        <w:rPr>
          <w:rFonts w:hint="cs"/>
          <w:rtl/>
          <w:lang w:bidi="ar-EG"/>
        </w:rPr>
      </w:pPr>
      <w:r>
        <w:rPr>
          <w:rFonts w:hint="cs"/>
          <w:rtl/>
          <w:lang w:bidi="ar-EG"/>
        </w:rPr>
        <w:tab/>
        <w:t xml:space="preserve">واستجابة لمطالبات النساء بالتوثيق - تولت عام 2004 وزارة التنمية الزراعية، بالاشتراك مع الأمانة الخاصة لسياسات المرأة، إنشاء برنامج وطني لتوثيق </w:t>
      </w:r>
      <w:r w:rsidR="00DD3DDC">
        <w:rPr>
          <w:rFonts w:hint="cs"/>
          <w:rtl/>
          <w:lang w:bidi="ar-EG"/>
        </w:rPr>
        <w:t>النساء العاملات الريفيات. ويُنفذ هذا البرنامج حاليا بالاشتراك مع المعهد الوطني للتوطين والإصلاح الزراعي والمكاتب الاتحادية التابعة لوزارة التنمية الزراعية في جميع أنحاء البلد. والغرض من البرنامج الإصدار المجاني لوثائق مثل بطاقة الهوية، وبطاقة الرقم الضريبي، وكتيب العاملين، وشهادة الميلاد، وإثبات التسجيل لدى الضمان الاجتماعي.</w:t>
      </w:r>
    </w:p>
    <w:p w:rsidR="00DD3DDC" w:rsidRDefault="00DD3DDC" w:rsidP="0071416A">
      <w:pPr>
        <w:pStyle w:val="SingleTxt"/>
        <w:rPr>
          <w:rFonts w:hint="cs"/>
          <w:rtl/>
          <w:lang w:bidi="ar-EG"/>
        </w:rPr>
      </w:pPr>
      <w:r>
        <w:rPr>
          <w:rFonts w:hint="cs"/>
          <w:rtl/>
          <w:lang w:bidi="ar-EG"/>
        </w:rPr>
        <w:tab/>
        <w:t>وفي عام 2004 أعطيت الأولوية للمجموعات السكانية المستهدفة والمتضمنة في سياسات وزارة التنمية الزراعية/المعهد الوطني للتوطين والإصلاح الزراعي، وذلك على نحو مركزي. وتركزت الإجراءات على كل منطقة في البلد، وعلى الولايات الأكثر احتياجا، وفيما بين الولايات، وفي المناطق التي يزداد فيها الاستيطان الريفي. وفي الطور الأول، أعطيت الأولوية للولايات ذات الاحتياج الأكبر، وللأقاليم الواقعة في نطاق تدخل وزارة التنمية الزراعية/المعهد الوطني للتوطين والإصلاح الزراعي. وأُصدرت 804 64 وثيقة في 23 ولاية (باستثناء إيكر، وريو غراندي دو سول، وريو دي جانيرو، وريو غراندي دو نورتي).</w:t>
      </w:r>
    </w:p>
    <w:p w:rsidR="00DD3DDC" w:rsidRPr="008F593A" w:rsidRDefault="00DD3DDC" w:rsidP="0071416A">
      <w:pPr>
        <w:pStyle w:val="SingleTxt"/>
        <w:rPr>
          <w:rFonts w:hint="cs"/>
          <w:rtl/>
          <w:lang w:bidi="ar-EG"/>
        </w:rPr>
      </w:pPr>
      <w:r>
        <w:rPr>
          <w:rFonts w:hint="cs"/>
          <w:rtl/>
          <w:lang w:bidi="ar-EG"/>
        </w:rPr>
        <w:tab/>
        <w:t xml:space="preserve">وفي عام 2005 تضمن البرنامج الوطني لتوثيق النساء العاملات الريفيات مجتمعات </w:t>
      </w:r>
      <w:r w:rsidRPr="00DD3DDC">
        <w:rPr>
          <w:rFonts w:hint="cs"/>
          <w:i/>
          <w:iCs/>
          <w:rtl/>
          <w:lang w:bidi="ar-EG"/>
        </w:rPr>
        <w:t>كويلومبولا</w:t>
      </w:r>
      <w:r>
        <w:rPr>
          <w:rFonts w:hint="cs"/>
          <w:rtl/>
          <w:lang w:bidi="ar-EG"/>
        </w:rPr>
        <w:t xml:space="preserve"> المحلية وفي عام 2005 انتفع 64 مجتمعا محليا في تسع ولايات من إصدار حوالي 825 13 وثيقة لنساء </w:t>
      </w:r>
      <w:r w:rsidRPr="00DD3DDC">
        <w:rPr>
          <w:rFonts w:hint="cs"/>
          <w:i/>
          <w:iCs/>
          <w:rtl/>
          <w:lang w:bidi="ar-EG"/>
        </w:rPr>
        <w:t>كويلومبولا</w:t>
      </w:r>
      <w:r>
        <w:rPr>
          <w:rFonts w:hint="cs"/>
          <w:rtl/>
          <w:lang w:bidi="ar-EG"/>
        </w:rPr>
        <w:t xml:space="preserve">. </w:t>
      </w:r>
    </w:p>
    <w:p w:rsidR="00C87B32" w:rsidRPr="009D296A" w:rsidRDefault="00C87B32" w:rsidP="00C87B32">
      <w:pPr>
        <w:pStyle w:val="SingleTxt"/>
        <w:spacing w:after="0" w:line="120" w:lineRule="exact"/>
        <w:rPr>
          <w:rFonts w:hint="cs"/>
          <w:bCs/>
          <w:sz w:val="10"/>
        </w:rPr>
      </w:pPr>
    </w:p>
    <w:p w:rsidR="00C87B32" w:rsidRPr="005E297F" w:rsidRDefault="00C87B32" w:rsidP="00C87B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sidRPr="005E297F">
        <w:tab/>
      </w:r>
      <w:r w:rsidRPr="005E297F">
        <w:tab/>
      </w:r>
      <w:r w:rsidRPr="005E297F">
        <w:rPr>
          <w:rtl/>
        </w:rPr>
        <w:t>الزواج والعلاقات الأسرية</w:t>
      </w:r>
    </w:p>
    <w:p w:rsidR="00C87B32" w:rsidRDefault="00C87B32" w:rsidP="005A2E28">
      <w:pPr>
        <w:pStyle w:val="SingleTxt"/>
        <w:rPr>
          <w:rFonts w:hint="cs"/>
          <w:b/>
          <w:bCs/>
          <w:rtl/>
        </w:rPr>
      </w:pPr>
      <w:r w:rsidRPr="005A2E28">
        <w:rPr>
          <w:rFonts w:hint="cs"/>
          <w:b/>
          <w:bCs/>
          <w:rtl/>
        </w:rPr>
        <w:t>2</w:t>
      </w:r>
      <w:r w:rsidR="00DD3DDC" w:rsidRPr="005A2E28">
        <w:rPr>
          <w:rFonts w:hint="cs"/>
          <w:b/>
          <w:bCs/>
          <w:rtl/>
        </w:rPr>
        <w:t>8</w:t>
      </w:r>
      <w:r w:rsidRPr="005A2E28">
        <w:rPr>
          <w:rFonts w:hint="cs"/>
          <w:b/>
          <w:bCs/>
          <w:rtl/>
        </w:rPr>
        <w:t xml:space="preserve"> </w:t>
      </w:r>
      <w:r w:rsidRPr="005A2E28">
        <w:rPr>
          <w:b/>
          <w:bCs/>
          <w:rtl/>
        </w:rPr>
        <w:t>-</w:t>
      </w:r>
      <w:r w:rsidRPr="005A2E28">
        <w:rPr>
          <w:rFonts w:hint="cs"/>
          <w:b/>
          <w:bCs/>
          <w:rtl/>
        </w:rPr>
        <w:tab/>
      </w:r>
      <w:r w:rsidRPr="005A2E28">
        <w:rPr>
          <w:b/>
          <w:bCs/>
          <w:rtl/>
        </w:rPr>
        <w:t>كما ورد في التقرير</w:t>
      </w:r>
      <w:r w:rsidR="00DD3DDC" w:rsidRPr="005A2E28">
        <w:rPr>
          <w:rFonts w:hint="cs"/>
          <w:b/>
          <w:bCs/>
          <w:rtl/>
        </w:rPr>
        <w:t xml:space="preserve"> (صفحة 88)</w:t>
      </w:r>
      <w:r w:rsidRPr="005A2E28">
        <w:rPr>
          <w:b/>
          <w:bCs/>
          <w:rtl/>
        </w:rPr>
        <w:t xml:space="preserve">، لا يزال ثمة أحكام تمييزية في القانون المدني </w:t>
      </w:r>
      <w:r w:rsidR="00DD3DDC" w:rsidRPr="005A2E28">
        <w:rPr>
          <w:rFonts w:hint="cs"/>
          <w:b/>
          <w:bCs/>
          <w:rtl/>
        </w:rPr>
        <w:t>في مجالي الزواج و</w:t>
      </w:r>
      <w:r w:rsidRPr="005A2E28">
        <w:rPr>
          <w:rFonts w:hint="cs"/>
          <w:b/>
          <w:bCs/>
          <w:rtl/>
        </w:rPr>
        <w:t xml:space="preserve">العلاقات </w:t>
      </w:r>
      <w:r w:rsidRPr="005A2E28">
        <w:rPr>
          <w:b/>
          <w:bCs/>
          <w:rtl/>
        </w:rPr>
        <w:t xml:space="preserve">الأسرية، </w:t>
      </w:r>
      <w:r w:rsidR="005A2E28" w:rsidRPr="005A2E28">
        <w:rPr>
          <w:rFonts w:hint="cs"/>
          <w:b/>
          <w:bCs/>
          <w:rtl/>
        </w:rPr>
        <w:t>”</w:t>
      </w:r>
      <w:r w:rsidRPr="005A2E28">
        <w:rPr>
          <w:b/>
          <w:bCs/>
          <w:rtl/>
        </w:rPr>
        <w:t>و</w:t>
      </w:r>
      <w:r w:rsidRPr="005A2E28">
        <w:rPr>
          <w:rFonts w:hint="cs"/>
          <w:b/>
          <w:bCs/>
          <w:rtl/>
        </w:rPr>
        <w:t>ي</w:t>
      </w:r>
      <w:r w:rsidRPr="005A2E28">
        <w:rPr>
          <w:b/>
          <w:bCs/>
          <w:rtl/>
        </w:rPr>
        <w:t xml:space="preserve">تناول </w:t>
      </w:r>
      <w:r w:rsidRPr="005A2E28">
        <w:rPr>
          <w:rFonts w:hint="cs"/>
          <w:b/>
          <w:bCs/>
          <w:rtl/>
        </w:rPr>
        <w:t>أ</w:t>
      </w:r>
      <w:r w:rsidRPr="005A2E28">
        <w:rPr>
          <w:b/>
          <w:bCs/>
          <w:rtl/>
        </w:rPr>
        <w:t>حد تلك الأحكام العمر القانوني للزواج و</w:t>
      </w:r>
      <w:r w:rsidRPr="005A2E28">
        <w:rPr>
          <w:rFonts w:hint="cs"/>
          <w:b/>
          <w:bCs/>
          <w:rtl/>
        </w:rPr>
        <w:t>ي</w:t>
      </w:r>
      <w:r w:rsidRPr="005A2E28">
        <w:rPr>
          <w:b/>
          <w:bCs/>
          <w:rtl/>
        </w:rPr>
        <w:t>حدد عمرين مختلفين لكل من الرجل والمرأة؛ و</w:t>
      </w:r>
      <w:r w:rsidRPr="005A2E28">
        <w:rPr>
          <w:rFonts w:hint="cs"/>
          <w:b/>
          <w:bCs/>
          <w:rtl/>
        </w:rPr>
        <w:t>حكم آخر</w:t>
      </w:r>
      <w:r w:rsidRPr="005A2E28">
        <w:rPr>
          <w:b/>
          <w:bCs/>
          <w:rtl/>
        </w:rPr>
        <w:t xml:space="preserve"> لا </w:t>
      </w:r>
      <w:r w:rsidRPr="005A2E28">
        <w:rPr>
          <w:rFonts w:hint="cs"/>
          <w:b/>
          <w:bCs/>
          <w:rtl/>
        </w:rPr>
        <w:t>يتيح</w:t>
      </w:r>
      <w:r w:rsidRPr="005A2E28">
        <w:rPr>
          <w:b/>
          <w:bCs/>
          <w:rtl/>
        </w:rPr>
        <w:t xml:space="preserve"> </w:t>
      </w:r>
      <w:r w:rsidRPr="005A2E28">
        <w:rPr>
          <w:rFonts w:hint="cs"/>
          <w:b/>
          <w:bCs/>
          <w:rtl/>
        </w:rPr>
        <w:t xml:space="preserve">إلا للنساء </w:t>
      </w:r>
      <w:r w:rsidRPr="005A2E28">
        <w:rPr>
          <w:b/>
          <w:bCs/>
          <w:rtl/>
        </w:rPr>
        <w:t>المتزوجات إمكان</w:t>
      </w:r>
      <w:r w:rsidRPr="005A2E28">
        <w:rPr>
          <w:rFonts w:hint="cs"/>
          <w:b/>
          <w:bCs/>
          <w:rtl/>
        </w:rPr>
        <w:t>ية</w:t>
      </w:r>
      <w:r w:rsidRPr="005A2E28">
        <w:rPr>
          <w:b/>
          <w:bCs/>
          <w:rtl/>
        </w:rPr>
        <w:t xml:space="preserve"> رفض الحماية؛ وثالث </w:t>
      </w:r>
      <w:r w:rsidRPr="005A2E28">
        <w:rPr>
          <w:rFonts w:hint="cs"/>
          <w:b/>
          <w:bCs/>
          <w:rtl/>
        </w:rPr>
        <w:t>ي</w:t>
      </w:r>
      <w:r w:rsidRPr="005A2E28">
        <w:rPr>
          <w:b/>
          <w:bCs/>
          <w:rtl/>
        </w:rPr>
        <w:t>فرض قيودا على زواج المرأة</w:t>
      </w:r>
      <w:r w:rsidR="005A2E28" w:rsidRPr="005A2E28">
        <w:rPr>
          <w:rFonts w:hint="cs"/>
          <w:b/>
          <w:bCs/>
          <w:rtl/>
        </w:rPr>
        <w:t>“</w:t>
      </w:r>
      <w:r w:rsidRPr="005A2E28">
        <w:rPr>
          <w:b/>
          <w:bCs/>
          <w:rtl/>
        </w:rPr>
        <w:t>.</w:t>
      </w:r>
      <w:r w:rsidRPr="005A2E28">
        <w:rPr>
          <w:b/>
          <w:bCs/>
        </w:rPr>
        <w:t xml:space="preserve"> </w:t>
      </w:r>
      <w:r w:rsidRPr="005A2E28">
        <w:rPr>
          <w:b/>
          <w:bCs/>
          <w:rtl/>
        </w:rPr>
        <w:t>وإذ يلاح</w:t>
      </w:r>
      <w:r w:rsidRPr="005A2E28">
        <w:rPr>
          <w:rFonts w:hint="cs"/>
          <w:b/>
          <w:bCs/>
          <w:rtl/>
        </w:rPr>
        <w:t>َ</w:t>
      </w:r>
      <w:r w:rsidRPr="005A2E28">
        <w:rPr>
          <w:b/>
          <w:bCs/>
          <w:rtl/>
        </w:rPr>
        <w:t xml:space="preserve">ظ أن الحكومة أقرت بضرورة إلغاء </w:t>
      </w:r>
      <w:r w:rsidRPr="005A2E28">
        <w:rPr>
          <w:rFonts w:hint="cs"/>
          <w:b/>
          <w:bCs/>
          <w:rtl/>
        </w:rPr>
        <w:t>هذه</w:t>
      </w:r>
      <w:r w:rsidRPr="005A2E28">
        <w:rPr>
          <w:b/>
          <w:bCs/>
          <w:rtl/>
        </w:rPr>
        <w:t xml:space="preserve"> الأحكام، يرجى تقديم معلومات مستكملة عن </w:t>
      </w:r>
      <w:r w:rsidR="005A2E28" w:rsidRPr="005A2E28">
        <w:rPr>
          <w:rFonts w:hint="cs"/>
          <w:b/>
          <w:bCs/>
          <w:rtl/>
        </w:rPr>
        <w:t>التطورات</w:t>
      </w:r>
      <w:r w:rsidRPr="005A2E28">
        <w:rPr>
          <w:b/>
          <w:bCs/>
          <w:rtl/>
        </w:rPr>
        <w:t xml:space="preserve"> التي تصب في اتجاه إلغائها من القانون المدني.</w:t>
      </w:r>
    </w:p>
    <w:p w:rsidR="005A2E28" w:rsidRDefault="005A2E28" w:rsidP="005A2E28">
      <w:pPr>
        <w:pStyle w:val="SingleTxt"/>
        <w:rPr>
          <w:rFonts w:hint="cs"/>
          <w:rtl/>
        </w:rPr>
      </w:pPr>
      <w:r>
        <w:rPr>
          <w:rFonts w:hint="cs"/>
          <w:rtl/>
        </w:rPr>
        <w:tab/>
        <w:t xml:space="preserve">نعتقد أن الإجابة السابقة كانت غير دقيقة، حيث أن الفصل المعني بالأهلية للزواج - وبخاصة المادة 1517 منه - في القانون المدني الذي دخل حيز النفاذ عام 2003 ينص على أنه </w:t>
      </w:r>
      <w:r>
        <w:rPr>
          <w:rFonts w:hint="eastAsia"/>
          <w:rtl/>
        </w:rPr>
        <w:t>”يجوز للرجل والمرأة البالغين من العمر 16 سنة أن يتزوجا، بشرط الحصول على تصريح من الوالدين أو من ممثليهما القانونيين قبل أن يصلا إلى سن الأغلبية</w:t>
      </w:r>
      <w:r>
        <w:rPr>
          <w:rFonts w:hint="cs"/>
          <w:rtl/>
        </w:rPr>
        <w:t>“.</w:t>
      </w:r>
    </w:p>
    <w:p w:rsidR="005A2E28" w:rsidRDefault="005A2E28" w:rsidP="005A2E28">
      <w:pPr>
        <w:pStyle w:val="SingleTxt"/>
        <w:rPr>
          <w:rFonts w:hint="cs"/>
          <w:rtl/>
        </w:rPr>
      </w:pPr>
      <w:r>
        <w:rPr>
          <w:rFonts w:hint="cs"/>
          <w:rtl/>
        </w:rPr>
        <w:tab/>
        <w:t>وفي هذا الصدد تجدر الإشارة إلى التقدم المحرز مؤخرا عن طريق إقرار القانون 11441 المؤرخ 4 كانون الثاني/يناير 2007 الذي يعدل أحكام القانون 5869 المؤرخ كانون الثاني/يناير 1973 (قانون الإجراءات المدنية)، ويسمح بالجرد، والتقسيم، والانفصال المتفق عليه والطلاق من خلال إجراءات إدارية.</w:t>
      </w:r>
    </w:p>
    <w:p w:rsidR="005A2E28" w:rsidRPr="005A2E28" w:rsidRDefault="005A2E28" w:rsidP="005A2E28">
      <w:pPr>
        <w:pStyle w:val="SingleTxt"/>
        <w:spacing w:after="0" w:line="120" w:lineRule="exact"/>
        <w:rPr>
          <w:rFonts w:hint="cs"/>
          <w:sz w:val="10"/>
          <w:rtl/>
        </w:rPr>
      </w:pPr>
    </w:p>
    <w:p w:rsidR="00C87B32" w:rsidRPr="005E297F" w:rsidRDefault="00C87B32" w:rsidP="00C87B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sidRPr="005E297F">
        <w:tab/>
      </w:r>
      <w:r w:rsidRPr="005E297F">
        <w:tab/>
      </w:r>
      <w:r w:rsidRPr="005E297F">
        <w:rPr>
          <w:rtl/>
        </w:rPr>
        <w:t>البروتوكول الاختياري</w:t>
      </w:r>
    </w:p>
    <w:p w:rsidR="008A27CD" w:rsidRDefault="005A2E28" w:rsidP="00C87B32">
      <w:pPr>
        <w:pStyle w:val="SingleTxt"/>
        <w:rPr>
          <w:rFonts w:hint="cs"/>
          <w:b/>
          <w:bCs/>
          <w:rtl/>
        </w:rPr>
      </w:pPr>
      <w:r w:rsidRPr="005A2E28">
        <w:rPr>
          <w:rFonts w:hint="cs"/>
          <w:b/>
          <w:bCs/>
          <w:rtl/>
        </w:rPr>
        <w:t>29</w:t>
      </w:r>
      <w:r w:rsidR="00C87B32" w:rsidRPr="005A2E28">
        <w:rPr>
          <w:rFonts w:hint="cs"/>
          <w:b/>
          <w:bCs/>
          <w:rtl/>
        </w:rPr>
        <w:t xml:space="preserve"> </w:t>
      </w:r>
      <w:r w:rsidR="00C87B32" w:rsidRPr="005A2E28">
        <w:rPr>
          <w:b/>
          <w:bCs/>
          <w:rtl/>
        </w:rPr>
        <w:t>-</w:t>
      </w:r>
      <w:r w:rsidR="00C87B32" w:rsidRPr="005A2E28">
        <w:rPr>
          <w:rFonts w:hint="cs"/>
          <w:b/>
          <w:bCs/>
          <w:rtl/>
        </w:rPr>
        <w:tab/>
      </w:r>
      <w:r w:rsidR="00C87B32" w:rsidRPr="005A2E28">
        <w:rPr>
          <w:b/>
          <w:bCs/>
          <w:rtl/>
        </w:rPr>
        <w:t>يرجى وصف التدابير التي تخطط لها الحكومة أو تبحثها للتعريف بالبروتوكول الاختياري والحض على إعماله.</w:t>
      </w:r>
    </w:p>
    <w:p w:rsidR="005A2E28" w:rsidRDefault="005A2E28" w:rsidP="005A2E28">
      <w:pPr>
        <w:pStyle w:val="SingleTxt"/>
        <w:rPr>
          <w:rFonts w:hint="cs"/>
          <w:rtl/>
        </w:rPr>
      </w:pPr>
      <w:r>
        <w:rPr>
          <w:rFonts w:hint="cs"/>
          <w:rtl/>
        </w:rPr>
        <w:tab/>
        <w:t>تعي الأمانة الخاصة لسياسات المرأة بوجه عام أهمية إدراج الاتفاقات والمعاهدات الدولية التي وقَّعت عليها البرازيل بشأن حقوق المرأة، مثل اتفاقية القضاء على جميع أشكال التمييز ضد المرأة وبروتوكولها الاختياري في برامجها التدريبية.</w:t>
      </w:r>
    </w:p>
    <w:p w:rsidR="005A2E28" w:rsidRDefault="005A2E28" w:rsidP="005A2E28">
      <w:pPr>
        <w:pStyle w:val="SingleTxt"/>
        <w:rPr>
          <w:rFonts w:hint="cs"/>
          <w:rtl/>
        </w:rPr>
      </w:pPr>
      <w:r>
        <w:rPr>
          <w:rFonts w:hint="cs"/>
          <w:rtl/>
        </w:rPr>
        <w:tab/>
        <w:t xml:space="preserve">وينبغي استرعاء الانتباه إلى النشرة الإلكترونية المعنونة </w:t>
      </w:r>
      <w:r>
        <w:rPr>
          <w:rFonts w:hint="eastAsia"/>
          <w:rtl/>
        </w:rPr>
        <w:t>”الصكوك الدولية لحقوق المرأة</w:t>
      </w:r>
      <w:r>
        <w:rPr>
          <w:rFonts w:hint="cs"/>
          <w:rtl/>
        </w:rPr>
        <w:t xml:space="preserve">“ التي تجمع الصكوك الدولية الرئيسية المعنية بحقوق المرأة، وقد وقعت البرازيل عليها جميعا، وهي: اتفاقية القضاء على جميع أشكال التمييز ضد المرأة وبروتوكولها </w:t>
      </w:r>
      <w:r w:rsidR="00662B5C">
        <w:rPr>
          <w:rFonts w:hint="cs"/>
          <w:rtl/>
        </w:rPr>
        <w:t>الاختياري، واتفاقية بيليم دو بارا، وإعلان القاهرة، وإعلان بيجين، مع ت</w:t>
      </w:r>
      <w:r w:rsidR="00A87D33">
        <w:rPr>
          <w:rFonts w:hint="cs"/>
          <w:rtl/>
        </w:rPr>
        <w:t>ع</w:t>
      </w:r>
      <w:r w:rsidR="00662B5C">
        <w:rPr>
          <w:rFonts w:hint="cs"/>
          <w:rtl/>
        </w:rPr>
        <w:t>ليقات موجزة من جانب المتخصصات ليلى لينهارس، وماريا لويزا فيوتي، وسيلفيا بيمنتل، وتانيا باتريوتا.</w:t>
      </w:r>
    </w:p>
    <w:p w:rsidR="00662B5C" w:rsidRPr="00662B5C" w:rsidRDefault="00662B5C" w:rsidP="00662B5C">
      <w:pPr>
        <w:pStyle w:val="SingleTxt"/>
      </w:pPr>
      <w:hyperlink r:id="rId14" w:history="1">
        <w:r w:rsidRPr="00662B5C">
          <w:rPr>
            <w:rStyle w:val="Hyperlink"/>
          </w:rPr>
          <w:t>http://200.130.7.5/spmu/docs/</w:t>
        </w:r>
        <w:r w:rsidRPr="00662B5C">
          <w:rPr>
            <w:rStyle w:val="Hyperlink"/>
          </w:rPr>
          <w:t>i</w:t>
        </w:r>
        <w:r w:rsidRPr="00662B5C">
          <w:rPr>
            <w:rStyle w:val="Hyperlink"/>
          </w:rPr>
          <w:t>nst_int.pdf</w:t>
        </w:r>
      </w:hyperlink>
      <w:r w:rsidRPr="00662B5C">
        <w:t xml:space="preserve"> </w:t>
      </w:r>
    </w:p>
    <w:p w:rsidR="00662B5C" w:rsidRDefault="00662B5C" w:rsidP="00662B5C">
      <w:pPr>
        <w:pStyle w:val="SingleTxt"/>
        <w:rPr>
          <w:rFonts w:hint="cs"/>
          <w:rtl/>
          <w:lang w:bidi="ar-EG"/>
        </w:rPr>
      </w:pPr>
      <w:r>
        <w:rPr>
          <w:rFonts w:hint="cs"/>
          <w:rtl/>
          <w:lang w:bidi="ar-EG"/>
        </w:rPr>
        <w:tab/>
        <w:t>نشرت الأمانة عام 2006 النص الكامل لقانون ماريا دا بينها، الذي يحظر أي انتهاكات ضد المرأة، وقدمت ابتكاراته الرئيسية. وتنبغي الإشارة إلى أن هذا القانون يفي بتوصية اللجنة المعنية بالقضاء على التمييز ضد المرأة.</w:t>
      </w:r>
    </w:p>
    <w:p w:rsidR="00662B5C" w:rsidRPr="00662B5C" w:rsidRDefault="00662B5C" w:rsidP="00662B5C">
      <w:pPr>
        <w:pStyle w:val="SingleTxt"/>
      </w:pPr>
      <w:hyperlink r:id="rId15" w:history="1">
        <w:r w:rsidRPr="00662B5C">
          <w:rPr>
            <w:rStyle w:val="Hyperlink"/>
          </w:rPr>
          <w:t>http://200.13</w:t>
        </w:r>
        <w:r w:rsidRPr="00662B5C">
          <w:rPr>
            <w:rStyle w:val="Hyperlink"/>
          </w:rPr>
          <w:t>0</w:t>
        </w:r>
        <w:r w:rsidRPr="00662B5C">
          <w:rPr>
            <w:rStyle w:val="Hyperlink"/>
          </w:rPr>
          <w:t>.7.5/</w:t>
        </w:r>
        <w:r w:rsidRPr="00662B5C">
          <w:rPr>
            <w:rStyle w:val="Hyperlink"/>
          </w:rPr>
          <w:t>s</w:t>
        </w:r>
        <w:r w:rsidRPr="00662B5C">
          <w:rPr>
            <w:rStyle w:val="Hyperlink"/>
          </w:rPr>
          <w:t>pmu/do</w:t>
        </w:r>
        <w:r w:rsidRPr="00662B5C">
          <w:rPr>
            <w:rStyle w:val="Hyperlink"/>
          </w:rPr>
          <w:t>c</w:t>
        </w:r>
        <w:r w:rsidRPr="00662B5C">
          <w:rPr>
            <w:rStyle w:val="Hyperlink"/>
          </w:rPr>
          <w:t>s/leimariadapenha_1.pdf</w:t>
        </w:r>
      </w:hyperlink>
      <w:r w:rsidRPr="00662B5C">
        <w:t xml:space="preserve"> </w:t>
      </w:r>
    </w:p>
    <w:p w:rsidR="00662B5C" w:rsidRDefault="00662B5C" w:rsidP="00662B5C">
      <w:pPr>
        <w:pStyle w:val="SingleTxt"/>
        <w:rPr>
          <w:rFonts w:hint="cs"/>
          <w:rtl/>
          <w:lang w:bidi="ar-EG"/>
        </w:rPr>
      </w:pPr>
      <w:r>
        <w:rPr>
          <w:rFonts w:hint="cs"/>
          <w:rtl/>
          <w:lang w:bidi="ar-EG"/>
        </w:rPr>
        <w:tab/>
        <w:t xml:space="preserve">تدعم الأمانة الخاصة لسياسات المرأة توزيع منشورات لتعزيز القانون الجديد، مثل الدليل المعنون </w:t>
      </w:r>
      <w:r>
        <w:rPr>
          <w:rFonts w:hint="eastAsia"/>
          <w:rtl/>
          <w:lang w:bidi="ar-EG"/>
        </w:rPr>
        <w:t xml:space="preserve">”تعليمات بشأن تناول قضايا العنف </w:t>
      </w:r>
      <w:r>
        <w:rPr>
          <w:rFonts w:hint="cs"/>
          <w:rtl/>
          <w:lang w:bidi="ar-EG"/>
        </w:rPr>
        <w:t>المنـزلي</w:t>
      </w:r>
      <w:r>
        <w:rPr>
          <w:rFonts w:hint="eastAsia"/>
          <w:rtl/>
          <w:lang w:bidi="ar-EG"/>
        </w:rPr>
        <w:t xml:space="preserve"> </w:t>
      </w:r>
      <w:r>
        <w:rPr>
          <w:rFonts w:hint="cs"/>
          <w:rtl/>
          <w:lang w:bidi="ar-EG"/>
        </w:rPr>
        <w:t>ضد المرأة، بناء على القانون 11340/2006</w:t>
      </w:r>
      <w:r w:rsidR="003544EA">
        <w:rPr>
          <w:rFonts w:hint="eastAsia"/>
          <w:rtl/>
          <w:lang w:bidi="ar-EG"/>
        </w:rPr>
        <w:t>“، وهو دليل أعد</w:t>
      </w:r>
      <w:r>
        <w:rPr>
          <w:rFonts w:hint="eastAsia"/>
          <w:rtl/>
          <w:lang w:bidi="ar-EG"/>
        </w:rPr>
        <w:t>ه إيومارا بيزيرا غوميز، رئيس الشرطة، بشرطة بارايبا المدنية، عن إنفاذ مهني</w:t>
      </w:r>
      <w:r>
        <w:rPr>
          <w:rFonts w:hint="cs"/>
          <w:rtl/>
          <w:lang w:bidi="ar-EG"/>
        </w:rPr>
        <w:t>ي</w:t>
      </w:r>
      <w:r>
        <w:rPr>
          <w:rFonts w:hint="eastAsia"/>
          <w:rtl/>
          <w:lang w:bidi="ar-EG"/>
        </w:rPr>
        <w:t xml:space="preserve"> مركز الشرطة قانون ماريا دا بينها.</w:t>
      </w:r>
    </w:p>
    <w:p w:rsidR="00662B5C" w:rsidRPr="00662B5C" w:rsidRDefault="00662B5C" w:rsidP="00662B5C">
      <w:pPr>
        <w:pStyle w:val="SingleTxt"/>
        <w:rPr>
          <w:rStyle w:val="link-external"/>
        </w:rPr>
      </w:pPr>
      <w:hyperlink r:id="rId16" w:tgtFrame="_blank" w:history="1">
        <w:r w:rsidRPr="00662B5C">
          <w:rPr>
            <w:rStyle w:val="Hyperlink"/>
          </w:rPr>
          <w:t>http://200.130.7.5/spmu/doc</w:t>
        </w:r>
        <w:r w:rsidRPr="00662B5C">
          <w:rPr>
            <w:rStyle w:val="Hyperlink"/>
          </w:rPr>
          <w:t>s</w:t>
        </w:r>
        <w:r w:rsidRPr="00662B5C">
          <w:rPr>
            <w:rStyle w:val="Hyperlink"/>
          </w:rPr>
          <w:t>/Atendimento-Lei11340_paraiba.pdf</w:t>
        </w:r>
      </w:hyperlink>
    </w:p>
    <w:p w:rsidR="00662B5C" w:rsidRDefault="00662B5C" w:rsidP="00662B5C">
      <w:pPr>
        <w:pStyle w:val="SingleTxt"/>
        <w:rPr>
          <w:rFonts w:hint="cs"/>
          <w:rtl/>
          <w:lang w:bidi="ar-EG"/>
        </w:rPr>
      </w:pPr>
      <w:r>
        <w:rPr>
          <w:rFonts w:hint="cs"/>
          <w:rtl/>
          <w:lang w:bidi="ar-EG"/>
        </w:rPr>
        <w:tab/>
        <w:t xml:space="preserve">وتدعم الأمانة أيضا تعزيز </w:t>
      </w:r>
      <w:r>
        <w:rPr>
          <w:rFonts w:hint="eastAsia"/>
          <w:rtl/>
          <w:lang w:bidi="ar-EG"/>
        </w:rPr>
        <w:t>”دليل التدريب المتعدد التخصصات</w:t>
      </w:r>
      <w:r>
        <w:rPr>
          <w:rFonts w:hint="cs"/>
          <w:rtl/>
          <w:lang w:bidi="ar-EG"/>
        </w:rPr>
        <w:t xml:space="preserve">“، الذي نشره السلك القضائي في محكمة العدل في ماتو غروسو، وأُعِد بغرض المساعدة على تقديم التدريب المتعدد التخصصات إلى الوكلاء العامين المشاركين في تنفيذ القانون 11340/2006، وهو قانون ماريا دا بينها. ويحتوي الدليل على نصوص مذهبية تساعد على تفهم أهمية هذا القانون بالنسبة لنظام حماية حقوق الإنسان للمرأة على الجبهة الداخلية، بناء على دستور </w:t>
      </w:r>
      <w:r w:rsidR="00DA2010">
        <w:rPr>
          <w:rFonts w:hint="cs"/>
          <w:rtl/>
          <w:lang w:bidi="ar-EG"/>
        </w:rPr>
        <w:t>الجمهورية؛ وعلى الجبهة الدولية، بموجب المعاهدات والاتفاقيات الدولية التي صدقت عليها البرازيل.</w:t>
      </w:r>
    </w:p>
    <w:p w:rsidR="00DA2010" w:rsidRPr="00DA2010" w:rsidRDefault="00DA2010" w:rsidP="00DA2010">
      <w:pPr>
        <w:pStyle w:val="SingleTxt"/>
        <w:spacing w:line="240" w:lineRule="exact"/>
        <w:rPr>
          <w:rFonts w:hint="cs"/>
          <w:w w:val="100"/>
          <w:rtl/>
        </w:rPr>
      </w:pPr>
      <w:hyperlink r:id="rId17" w:history="1">
        <w:r w:rsidRPr="00DA2010">
          <w:rPr>
            <w:rStyle w:val="Hyperlink"/>
            <w:w w:val="100"/>
          </w:rPr>
          <w:t>http://www.presidencia.gov.br/estrutura_presidencia/sepm/publicacoes/publi_capacitacao_maria_penha_ms</w:t>
        </w:r>
      </w:hyperlink>
    </w:p>
    <w:p w:rsidR="00DA2010" w:rsidRPr="00DA2010" w:rsidRDefault="00DA2010" w:rsidP="00DA2010">
      <w:pPr>
        <w:pStyle w:val="SingleTxt"/>
        <w:spacing w:after="0" w:line="240" w:lineRule="auto"/>
        <w:rPr>
          <w:rFonts w:hint="cs"/>
          <w:rtl/>
          <w:lang w:bidi="ar-EG"/>
        </w:rPr>
      </w:pPr>
      <w:r>
        <w:rPr>
          <w:rFonts w:hint="cs"/>
          <w:noProof/>
          <w:w w:val="100"/>
          <w:rtl/>
        </w:rPr>
        <w:pict>
          <v:line id="_x0000_s1028" style="position:absolute;left:0;text-align:left;z-index:2" from="206.6pt,24pt" to="278.6pt,24pt" strokeweight=".25pt">
            <w10:wrap anchorx="page"/>
          </v:line>
        </w:pict>
      </w:r>
    </w:p>
    <w:p w:rsidR="004751CF" w:rsidRPr="00A1286C" w:rsidRDefault="004751CF" w:rsidP="00A1286C">
      <w:pPr>
        <w:pStyle w:val="SingleTxt"/>
        <w:rPr>
          <w:rFonts w:hint="cs"/>
          <w:rtl/>
        </w:rPr>
      </w:pPr>
    </w:p>
    <w:sectPr w:rsidR="004751CF" w:rsidRPr="00A1286C" w:rsidSect="009E58BC">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5-21T21:22:00Z" w:initials="Start">
    <w:p w:rsidR="002E6F3A" w:rsidRDefault="002E6F3A">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NO&gt;&gt;N0733247A&lt;&lt;ODS JOB NO</w:t>
      </w:r>
      <w:r>
        <w:rPr>
          <w:rtl/>
        </w:rPr>
        <w:t>&gt;&gt;</w:t>
      </w:r>
    </w:p>
    <w:p w:rsidR="002E6F3A" w:rsidRDefault="002E6F3A">
      <w:pPr>
        <w:pStyle w:val="CommentText"/>
        <w:rPr>
          <w:rtl/>
        </w:rPr>
      </w:pPr>
      <w:r>
        <w:rPr>
          <w:rtl/>
        </w:rPr>
        <w:t>&lt;&lt;</w:t>
      </w:r>
      <w:r>
        <w:t>ODS DOC SYMBOL1&gt;&gt;CEDAW/C/BRA/Q/6/Add.1&lt;&lt;ODS DOC SYMBOL1</w:t>
      </w:r>
      <w:r>
        <w:rPr>
          <w:rtl/>
        </w:rPr>
        <w:t>&gt;&gt;</w:t>
      </w:r>
    </w:p>
    <w:p w:rsidR="002E6F3A" w:rsidRDefault="002E6F3A">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3A" w:rsidRDefault="002E6F3A">
      <w:r>
        <w:separator/>
      </w:r>
    </w:p>
  </w:endnote>
  <w:endnote w:type="continuationSeparator" w:id="0">
    <w:p w:rsidR="002E6F3A" w:rsidRDefault="002E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E6F3A">
      <w:tblPrEx>
        <w:tblCellMar>
          <w:top w:w="0" w:type="dxa"/>
          <w:bottom w:w="0" w:type="dxa"/>
        </w:tblCellMar>
      </w:tblPrEx>
      <w:tc>
        <w:tcPr>
          <w:tcW w:w="5033" w:type="dxa"/>
          <w:shd w:val="clear" w:color="auto" w:fill="auto"/>
        </w:tcPr>
        <w:p w:rsidR="002E6F3A" w:rsidRPr="009E58BC" w:rsidRDefault="002E6F3A" w:rsidP="009E58BC">
          <w:pPr>
            <w:pStyle w:val="Footer"/>
            <w:jc w:val="right"/>
            <w:rPr>
              <w:w w:val="103"/>
            </w:rPr>
          </w:pPr>
          <w:r>
            <w:rPr>
              <w:w w:val="103"/>
            </w:rPr>
            <w:fldChar w:fldCharType="begin"/>
          </w:r>
          <w:r>
            <w:rPr>
              <w:w w:val="103"/>
            </w:rPr>
            <w:instrText xml:space="preserve"> PAGE  \* MERGEFORMAT </w:instrText>
          </w:r>
          <w:r>
            <w:rPr>
              <w:w w:val="103"/>
            </w:rPr>
            <w:fldChar w:fldCharType="separate"/>
          </w:r>
          <w:r w:rsidR="00B738B2">
            <w:rPr>
              <w:w w:val="103"/>
            </w:rPr>
            <w:t>42</w:t>
          </w:r>
          <w:r>
            <w:rPr>
              <w:w w:val="103"/>
            </w:rPr>
            <w:fldChar w:fldCharType="end"/>
          </w:r>
        </w:p>
      </w:tc>
      <w:tc>
        <w:tcPr>
          <w:tcW w:w="5033" w:type="dxa"/>
          <w:shd w:val="clear" w:color="auto" w:fill="auto"/>
        </w:tcPr>
        <w:p w:rsidR="002E6F3A" w:rsidRPr="009E58BC" w:rsidRDefault="002E6F3A" w:rsidP="009E58B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07-33247</w:t>
          </w:r>
          <w:r>
            <w:rPr>
              <w:b w:val="0"/>
              <w:w w:val="103"/>
            </w:rPr>
            <w:fldChar w:fldCharType="end"/>
          </w:r>
        </w:p>
      </w:tc>
    </w:tr>
  </w:tbl>
  <w:p w:rsidR="002E6F3A" w:rsidRPr="009E58BC" w:rsidRDefault="002E6F3A" w:rsidP="009E5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E6F3A">
      <w:tblPrEx>
        <w:tblCellMar>
          <w:top w:w="0" w:type="dxa"/>
          <w:bottom w:w="0" w:type="dxa"/>
        </w:tblCellMar>
      </w:tblPrEx>
      <w:tc>
        <w:tcPr>
          <w:tcW w:w="5033" w:type="dxa"/>
          <w:shd w:val="clear" w:color="auto" w:fill="auto"/>
        </w:tcPr>
        <w:p w:rsidR="002E6F3A" w:rsidRPr="009E58BC" w:rsidRDefault="002E6F3A" w:rsidP="009E58BC">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07-33247</w:t>
          </w:r>
          <w:r>
            <w:rPr>
              <w:b w:val="0"/>
              <w:w w:val="103"/>
            </w:rPr>
            <w:fldChar w:fldCharType="end"/>
          </w:r>
        </w:p>
      </w:tc>
      <w:tc>
        <w:tcPr>
          <w:tcW w:w="5033" w:type="dxa"/>
          <w:shd w:val="clear" w:color="auto" w:fill="auto"/>
        </w:tcPr>
        <w:p w:rsidR="002E6F3A" w:rsidRPr="009E58BC" w:rsidRDefault="002E6F3A" w:rsidP="009E58BC">
          <w:pPr>
            <w:pStyle w:val="Footer"/>
            <w:rPr>
              <w:w w:val="103"/>
            </w:rPr>
          </w:pPr>
          <w:r>
            <w:rPr>
              <w:w w:val="103"/>
            </w:rPr>
            <w:fldChar w:fldCharType="begin"/>
          </w:r>
          <w:r>
            <w:rPr>
              <w:w w:val="103"/>
            </w:rPr>
            <w:instrText xml:space="preserve"> PAGE  \* MERGEFORMAT </w:instrText>
          </w:r>
          <w:r>
            <w:rPr>
              <w:w w:val="103"/>
            </w:rPr>
            <w:fldChar w:fldCharType="separate"/>
          </w:r>
          <w:r w:rsidR="00B738B2">
            <w:rPr>
              <w:w w:val="103"/>
            </w:rPr>
            <w:t>41</w:t>
          </w:r>
          <w:r>
            <w:rPr>
              <w:w w:val="103"/>
            </w:rPr>
            <w:fldChar w:fldCharType="end"/>
          </w:r>
        </w:p>
      </w:tc>
    </w:tr>
  </w:tbl>
  <w:p w:rsidR="002E6F3A" w:rsidRPr="009E58BC" w:rsidRDefault="002E6F3A" w:rsidP="009E58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3A" w:rsidRDefault="002E6F3A">
    <w:pPr>
      <w:pStyle w:val="Footer"/>
    </w:pPr>
  </w:p>
  <w:p w:rsidR="002E6F3A" w:rsidRDefault="002E6F3A" w:rsidP="00E15EC5">
    <w:pPr>
      <w:pStyle w:val="Footer"/>
      <w:jc w:val="right"/>
      <w:rPr>
        <w:rFonts w:cs="Times New Roman"/>
        <w:b w:val="0"/>
        <w:w w:val="103"/>
        <w:sz w:val="20"/>
      </w:rPr>
    </w:pPr>
    <w:r>
      <w:rPr>
        <w:rFonts w:cs="Times New Roman"/>
        <w:b w:val="0"/>
        <w:w w:val="103"/>
        <w:sz w:val="20"/>
      </w:rPr>
      <w:t xml:space="preserve">010607    010607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07-33247 (A)</w:t>
    </w:r>
    <w:r>
      <w:rPr>
        <w:rFonts w:cs="Times New Roman"/>
        <w:b w:val="0"/>
        <w:w w:val="103"/>
        <w:sz w:val="20"/>
      </w:rPr>
      <w:fldChar w:fldCharType="end"/>
    </w:r>
  </w:p>
  <w:p w:rsidR="002E6F3A" w:rsidRPr="009E58BC" w:rsidRDefault="002E6F3A" w:rsidP="009E58BC">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*0733247*</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3A" w:rsidRDefault="002E6F3A">
      <w:r>
        <w:separator/>
      </w:r>
    </w:p>
  </w:footnote>
  <w:footnote w:type="continuationSeparator" w:id="0">
    <w:p w:rsidR="002E6F3A" w:rsidRDefault="002E6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7"/>
      <w:gridCol w:w="4953"/>
    </w:tblGrid>
    <w:tr w:rsidR="002E6F3A" w:rsidRPr="0056145F">
      <w:tblPrEx>
        <w:tblCellMar>
          <w:top w:w="0" w:type="dxa"/>
          <w:bottom w:w="0" w:type="dxa"/>
        </w:tblCellMar>
      </w:tblPrEx>
      <w:trPr>
        <w:trHeight w:hRule="exact" w:val="864"/>
        <w:jc w:val="center"/>
      </w:trPr>
      <w:tc>
        <w:tcPr>
          <w:tcW w:w="5033" w:type="dxa"/>
          <w:shd w:val="clear" w:color="auto" w:fill="auto"/>
          <w:vAlign w:val="bottom"/>
        </w:tcPr>
        <w:p w:rsidR="002E6F3A" w:rsidRDefault="002E6F3A" w:rsidP="009E58BC">
          <w:pPr>
            <w:pStyle w:val="Header"/>
            <w:bidi/>
            <w:jc w:val="right"/>
          </w:pPr>
        </w:p>
      </w:tc>
      <w:tc>
        <w:tcPr>
          <w:tcW w:w="5033" w:type="dxa"/>
          <w:shd w:val="clear" w:color="auto" w:fill="auto"/>
          <w:vAlign w:val="bottom"/>
        </w:tcPr>
        <w:p w:rsidR="002E6F3A" w:rsidRPr="0056145F" w:rsidRDefault="002E6F3A" w:rsidP="009E58BC">
          <w:pPr>
            <w:pStyle w:val="Header"/>
            <w:spacing w:after="80"/>
            <w:jc w:val="right"/>
            <w:rPr>
              <w:w w:val="103"/>
              <w:lang w:val="es-ES"/>
            </w:rPr>
          </w:pPr>
          <w:r>
            <w:rPr>
              <w:w w:val="103"/>
            </w:rPr>
            <w:fldChar w:fldCharType="begin"/>
          </w:r>
          <w:r w:rsidRPr="0056145F">
            <w:rPr>
              <w:w w:val="103"/>
              <w:lang w:val="es-ES"/>
            </w:rPr>
            <w:instrText xml:space="preserve"> DOCVARIABLE "sss1" \* MERGEFORMAT </w:instrText>
          </w:r>
          <w:r>
            <w:rPr>
              <w:w w:val="103"/>
            </w:rPr>
            <w:fldChar w:fldCharType="separate"/>
          </w:r>
          <w:r>
            <w:rPr>
              <w:w w:val="103"/>
              <w:lang w:val="es-ES"/>
            </w:rPr>
            <w:t>CEDAW/C/BRA/Q/6/Add.1</w:t>
          </w:r>
          <w:r>
            <w:rPr>
              <w:w w:val="103"/>
            </w:rPr>
            <w:fldChar w:fldCharType="end"/>
          </w:r>
        </w:p>
      </w:tc>
    </w:tr>
  </w:tbl>
  <w:p w:rsidR="002E6F3A" w:rsidRPr="0056145F" w:rsidRDefault="002E6F3A" w:rsidP="009E58BC">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3"/>
      <w:gridCol w:w="4897"/>
    </w:tblGrid>
    <w:tr w:rsidR="002E6F3A" w:rsidRPr="0056145F">
      <w:tblPrEx>
        <w:tblCellMar>
          <w:top w:w="0" w:type="dxa"/>
          <w:bottom w:w="0" w:type="dxa"/>
        </w:tblCellMar>
      </w:tblPrEx>
      <w:trPr>
        <w:trHeight w:hRule="exact" w:val="864"/>
        <w:jc w:val="center"/>
      </w:trPr>
      <w:tc>
        <w:tcPr>
          <w:tcW w:w="5033" w:type="dxa"/>
          <w:shd w:val="clear" w:color="auto" w:fill="auto"/>
          <w:vAlign w:val="bottom"/>
        </w:tcPr>
        <w:p w:rsidR="002E6F3A" w:rsidRPr="0056145F" w:rsidRDefault="002E6F3A" w:rsidP="009E58BC">
          <w:pPr>
            <w:pStyle w:val="Header"/>
            <w:bidi/>
            <w:spacing w:after="80"/>
            <w:jc w:val="right"/>
            <w:rPr>
              <w:w w:val="103"/>
              <w:lang w:val="es-ES"/>
            </w:rPr>
          </w:pPr>
          <w:r>
            <w:rPr>
              <w:w w:val="103"/>
              <w:rtl/>
            </w:rPr>
            <w:fldChar w:fldCharType="begin"/>
          </w:r>
          <w:r>
            <w:rPr>
              <w:w w:val="103"/>
              <w:rtl/>
            </w:rPr>
            <w:instrText xml:space="preserve"> </w:instrText>
          </w:r>
          <w:r w:rsidRPr="0056145F">
            <w:rPr>
              <w:w w:val="103"/>
              <w:lang w:val="es-ES"/>
            </w:rPr>
            <w:instrText>DOCVARIABLE "sss1" \* MERGEFORMAT</w:instrText>
          </w:r>
          <w:r>
            <w:rPr>
              <w:w w:val="103"/>
              <w:rtl/>
            </w:rPr>
            <w:instrText xml:space="preserve"> </w:instrText>
          </w:r>
          <w:r>
            <w:rPr>
              <w:w w:val="103"/>
              <w:rtl/>
            </w:rPr>
            <w:fldChar w:fldCharType="separate"/>
          </w:r>
          <w:r w:rsidRPr="002E6F3A">
            <w:rPr>
              <w:w w:val="103"/>
              <w:lang w:val="es-ES"/>
            </w:rPr>
            <w:t>CEDAW/C/BRA/Q/6/Add.1</w:t>
          </w:r>
          <w:r>
            <w:rPr>
              <w:w w:val="103"/>
              <w:rtl/>
            </w:rPr>
            <w:fldChar w:fldCharType="end"/>
          </w:r>
        </w:p>
      </w:tc>
      <w:tc>
        <w:tcPr>
          <w:tcW w:w="5033" w:type="dxa"/>
          <w:shd w:val="clear" w:color="auto" w:fill="auto"/>
          <w:vAlign w:val="bottom"/>
        </w:tcPr>
        <w:p w:rsidR="002E6F3A" w:rsidRPr="0056145F" w:rsidRDefault="002E6F3A" w:rsidP="009E58BC">
          <w:pPr>
            <w:pStyle w:val="Header"/>
            <w:rPr>
              <w:lang w:val="es-ES"/>
            </w:rPr>
          </w:pPr>
        </w:p>
      </w:tc>
    </w:tr>
  </w:tbl>
  <w:p w:rsidR="002E6F3A" w:rsidRPr="0056145F" w:rsidRDefault="002E6F3A" w:rsidP="009E58BC">
    <w:pPr>
      <w:pStyle w:val="Head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E6F3A">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E6F3A" w:rsidRDefault="002E6F3A" w:rsidP="009E58BC">
          <w:pPr>
            <w:pStyle w:val="Header"/>
            <w:spacing w:after="120"/>
          </w:pPr>
        </w:p>
      </w:tc>
      <w:tc>
        <w:tcPr>
          <w:tcW w:w="1786" w:type="dxa"/>
          <w:tcBorders>
            <w:bottom w:val="single" w:sz="4" w:space="0" w:color="auto"/>
          </w:tcBorders>
          <w:shd w:val="clear" w:color="auto" w:fill="auto"/>
          <w:vAlign w:val="bottom"/>
        </w:tcPr>
        <w:p w:rsidR="002E6F3A" w:rsidRPr="009E58BC" w:rsidRDefault="002E6F3A" w:rsidP="009E58B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E6F3A" w:rsidRDefault="002E6F3A" w:rsidP="009E58BC">
          <w:pPr>
            <w:pStyle w:val="Header"/>
            <w:spacing w:after="120"/>
          </w:pPr>
        </w:p>
      </w:tc>
      <w:tc>
        <w:tcPr>
          <w:tcW w:w="6523" w:type="dxa"/>
          <w:gridSpan w:val="3"/>
          <w:tcBorders>
            <w:bottom w:val="single" w:sz="4" w:space="0" w:color="auto"/>
          </w:tcBorders>
          <w:shd w:val="clear" w:color="auto" w:fill="auto"/>
          <w:vAlign w:val="bottom"/>
        </w:tcPr>
        <w:p w:rsidR="002E6F3A" w:rsidRPr="009E58BC" w:rsidRDefault="002E6F3A" w:rsidP="009E58BC">
          <w:pPr>
            <w:spacing w:line="380" w:lineRule="exact"/>
            <w:jc w:val="right"/>
          </w:pPr>
          <w:r>
            <w:rPr>
              <w:sz w:val="40"/>
            </w:rPr>
            <w:t>CEDAW</w:t>
          </w:r>
          <w:r>
            <w:t>/C/BRA/Q/6/Add.1</w:t>
          </w:r>
        </w:p>
      </w:tc>
    </w:tr>
    <w:tr w:rsidR="002E6F3A" w:rsidRPr="009E58BC">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E6F3A" w:rsidRDefault="002E6F3A" w:rsidP="009E58BC">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E6F3A" w:rsidRPr="009E58BC" w:rsidRDefault="002E6F3A" w:rsidP="009E58BC">
          <w:pPr>
            <w:pStyle w:val="Header"/>
            <w:spacing w:before="109"/>
            <w:jc w:val="right"/>
          </w:pPr>
        </w:p>
      </w:tc>
      <w:tc>
        <w:tcPr>
          <w:tcW w:w="5227" w:type="dxa"/>
          <w:gridSpan w:val="3"/>
          <w:tcBorders>
            <w:top w:val="single" w:sz="4" w:space="0" w:color="auto"/>
            <w:bottom w:val="single" w:sz="12" w:space="0" w:color="auto"/>
          </w:tcBorders>
          <w:shd w:val="clear" w:color="auto" w:fill="auto"/>
        </w:tcPr>
        <w:p w:rsidR="002E6F3A" w:rsidRPr="009E58BC" w:rsidRDefault="002E6F3A" w:rsidP="009E58BC">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2E6F3A" w:rsidRPr="009E58BC" w:rsidRDefault="002E6F3A" w:rsidP="009E58BC">
          <w:pPr>
            <w:pStyle w:val="Header"/>
            <w:spacing w:before="109"/>
          </w:pPr>
        </w:p>
      </w:tc>
      <w:tc>
        <w:tcPr>
          <w:tcW w:w="3100" w:type="dxa"/>
          <w:gridSpan w:val="2"/>
          <w:tcBorders>
            <w:top w:val="single" w:sz="4" w:space="0" w:color="auto"/>
            <w:bottom w:val="single" w:sz="12" w:space="0" w:color="auto"/>
          </w:tcBorders>
          <w:shd w:val="clear" w:color="auto" w:fill="auto"/>
        </w:tcPr>
        <w:p w:rsidR="002E6F3A" w:rsidRDefault="002E6F3A" w:rsidP="009E58BC">
          <w:pPr>
            <w:bidi w:val="0"/>
            <w:spacing w:before="240" w:line="240" w:lineRule="exact"/>
          </w:pPr>
          <w:r>
            <w:t>Distr.: General</w:t>
          </w:r>
        </w:p>
        <w:p w:rsidR="002E6F3A" w:rsidRDefault="002E6F3A" w:rsidP="009E58BC">
          <w:pPr>
            <w:bidi w:val="0"/>
            <w:spacing w:line="240" w:lineRule="exact"/>
            <w:jc w:val="left"/>
          </w:pPr>
          <w:r>
            <w:t>4 May 2007</w:t>
          </w:r>
        </w:p>
        <w:p w:rsidR="002E6F3A" w:rsidRDefault="002E6F3A" w:rsidP="009E58BC">
          <w:pPr>
            <w:bidi w:val="0"/>
            <w:spacing w:line="240" w:lineRule="exact"/>
            <w:jc w:val="left"/>
          </w:pPr>
          <w:r>
            <w:t>Arabic</w:t>
          </w:r>
        </w:p>
        <w:p w:rsidR="002E6F3A" w:rsidRPr="009E58BC" w:rsidRDefault="002E6F3A" w:rsidP="009E58BC">
          <w:pPr>
            <w:bidi w:val="0"/>
            <w:spacing w:line="240" w:lineRule="exact"/>
            <w:jc w:val="left"/>
          </w:pPr>
          <w:r>
            <w:t>Original: English</w:t>
          </w:r>
        </w:p>
      </w:tc>
    </w:tr>
  </w:tbl>
  <w:p w:rsidR="002E6F3A" w:rsidRPr="009E58BC" w:rsidRDefault="002E6F3A" w:rsidP="009E58B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3247*"/>
    <w:docVar w:name="CreationDt" w:val="05/21/2007 09:22 PM"/>
    <w:docVar w:name="DocCategory" w:val="Doc"/>
    <w:docVar w:name="DocType" w:val="Final"/>
    <w:docVar w:name="FooterJN" w:val="07-33247"/>
    <w:docVar w:name="jobn" w:val="07-33247 (A)"/>
    <w:docVar w:name="jobnDT" w:val="07-33247 (A)   210507"/>
    <w:docVar w:name="jobnDTDT" w:val="07-33247 (A)   210507   210507"/>
    <w:docVar w:name="JobNo" w:val="0733247A"/>
    <w:docVar w:name="OandT" w:val=" "/>
    <w:docVar w:name="sss1" w:val="CEDAW/C/BRA/Q/6/Add.1"/>
    <w:docVar w:name="sss2" w:val="-"/>
    <w:docVar w:name="Symbol1" w:val="CEDAW/C/BRA/Q/6/Add.1"/>
    <w:docVar w:name="Symbol2" w:val="-"/>
  </w:docVars>
  <w:rsids>
    <w:rsidRoot w:val="00B1385D"/>
    <w:rsid w:val="00032E98"/>
    <w:rsid w:val="00042425"/>
    <w:rsid w:val="0005138C"/>
    <w:rsid w:val="00065F0E"/>
    <w:rsid w:val="0006648F"/>
    <w:rsid w:val="00070C1C"/>
    <w:rsid w:val="0008246B"/>
    <w:rsid w:val="00085796"/>
    <w:rsid w:val="00087310"/>
    <w:rsid w:val="0009732C"/>
    <w:rsid w:val="000C19ED"/>
    <w:rsid w:val="000C424C"/>
    <w:rsid w:val="000D0047"/>
    <w:rsid w:val="000D2CEC"/>
    <w:rsid w:val="00101EE8"/>
    <w:rsid w:val="00111A40"/>
    <w:rsid w:val="00113349"/>
    <w:rsid w:val="00136676"/>
    <w:rsid w:val="00136E8E"/>
    <w:rsid w:val="001502DC"/>
    <w:rsid w:val="001519A9"/>
    <w:rsid w:val="00166284"/>
    <w:rsid w:val="001737F8"/>
    <w:rsid w:val="00181CD3"/>
    <w:rsid w:val="00187870"/>
    <w:rsid w:val="001955C5"/>
    <w:rsid w:val="001B09BB"/>
    <w:rsid w:val="001B3B29"/>
    <w:rsid w:val="001B75F7"/>
    <w:rsid w:val="001D60B1"/>
    <w:rsid w:val="001E5562"/>
    <w:rsid w:val="001F6786"/>
    <w:rsid w:val="00204C6F"/>
    <w:rsid w:val="0022082C"/>
    <w:rsid w:val="00222A1F"/>
    <w:rsid w:val="002416C5"/>
    <w:rsid w:val="00246F5D"/>
    <w:rsid w:val="00266611"/>
    <w:rsid w:val="00266F59"/>
    <w:rsid w:val="00272B6C"/>
    <w:rsid w:val="00276DB2"/>
    <w:rsid w:val="00290F2F"/>
    <w:rsid w:val="00293515"/>
    <w:rsid w:val="002937DA"/>
    <w:rsid w:val="00295B05"/>
    <w:rsid w:val="002A09C6"/>
    <w:rsid w:val="002C2AF2"/>
    <w:rsid w:val="002C4E1B"/>
    <w:rsid w:val="002E69CA"/>
    <w:rsid w:val="002E6F3A"/>
    <w:rsid w:val="00310465"/>
    <w:rsid w:val="00312162"/>
    <w:rsid w:val="00335D5A"/>
    <w:rsid w:val="003501D5"/>
    <w:rsid w:val="003544EA"/>
    <w:rsid w:val="00364652"/>
    <w:rsid w:val="00371AC4"/>
    <w:rsid w:val="00380618"/>
    <w:rsid w:val="00383CA8"/>
    <w:rsid w:val="00383DEC"/>
    <w:rsid w:val="0039215A"/>
    <w:rsid w:val="003A65ED"/>
    <w:rsid w:val="003B4260"/>
    <w:rsid w:val="003D4612"/>
    <w:rsid w:val="003D7C46"/>
    <w:rsid w:val="003E64C9"/>
    <w:rsid w:val="003F4B8C"/>
    <w:rsid w:val="00401BDF"/>
    <w:rsid w:val="00410898"/>
    <w:rsid w:val="00411BBD"/>
    <w:rsid w:val="00411FDE"/>
    <w:rsid w:val="00415922"/>
    <w:rsid w:val="00423007"/>
    <w:rsid w:val="00423BD7"/>
    <w:rsid w:val="0042757D"/>
    <w:rsid w:val="004307B6"/>
    <w:rsid w:val="00437C14"/>
    <w:rsid w:val="004415BB"/>
    <w:rsid w:val="004440A7"/>
    <w:rsid w:val="004445F9"/>
    <w:rsid w:val="004527C9"/>
    <w:rsid w:val="00453069"/>
    <w:rsid w:val="004751CF"/>
    <w:rsid w:val="004773DA"/>
    <w:rsid w:val="00483F5B"/>
    <w:rsid w:val="00490874"/>
    <w:rsid w:val="00494EE2"/>
    <w:rsid w:val="00496E83"/>
    <w:rsid w:val="004A2886"/>
    <w:rsid w:val="004B14A0"/>
    <w:rsid w:val="004D7433"/>
    <w:rsid w:val="004E443B"/>
    <w:rsid w:val="004F1402"/>
    <w:rsid w:val="004F156E"/>
    <w:rsid w:val="0050659B"/>
    <w:rsid w:val="00524A2E"/>
    <w:rsid w:val="005279DE"/>
    <w:rsid w:val="00534772"/>
    <w:rsid w:val="00537FCD"/>
    <w:rsid w:val="00545F76"/>
    <w:rsid w:val="005545BB"/>
    <w:rsid w:val="00556651"/>
    <w:rsid w:val="00556882"/>
    <w:rsid w:val="0056145F"/>
    <w:rsid w:val="00561E43"/>
    <w:rsid w:val="0057138D"/>
    <w:rsid w:val="005838F5"/>
    <w:rsid w:val="00591B45"/>
    <w:rsid w:val="005A0F73"/>
    <w:rsid w:val="005A2E28"/>
    <w:rsid w:val="005A2EA3"/>
    <w:rsid w:val="005B33B1"/>
    <w:rsid w:val="005C2ECE"/>
    <w:rsid w:val="005F63AC"/>
    <w:rsid w:val="00602DD9"/>
    <w:rsid w:val="00605762"/>
    <w:rsid w:val="00606881"/>
    <w:rsid w:val="00616E82"/>
    <w:rsid w:val="00617DF6"/>
    <w:rsid w:val="00621353"/>
    <w:rsid w:val="006218A3"/>
    <w:rsid w:val="006375AA"/>
    <w:rsid w:val="006464B5"/>
    <w:rsid w:val="00646E26"/>
    <w:rsid w:val="00652B30"/>
    <w:rsid w:val="006564CE"/>
    <w:rsid w:val="0065740E"/>
    <w:rsid w:val="00662B5C"/>
    <w:rsid w:val="00663F64"/>
    <w:rsid w:val="006657FD"/>
    <w:rsid w:val="00690AAF"/>
    <w:rsid w:val="00694BFC"/>
    <w:rsid w:val="00696B7A"/>
    <w:rsid w:val="006A202E"/>
    <w:rsid w:val="006A279D"/>
    <w:rsid w:val="006C38EE"/>
    <w:rsid w:val="006E21B1"/>
    <w:rsid w:val="006E3E1F"/>
    <w:rsid w:val="00706E3F"/>
    <w:rsid w:val="0071416A"/>
    <w:rsid w:val="0071531E"/>
    <w:rsid w:val="0071645B"/>
    <w:rsid w:val="00716E9D"/>
    <w:rsid w:val="00730930"/>
    <w:rsid w:val="00747B9E"/>
    <w:rsid w:val="007524BE"/>
    <w:rsid w:val="007525FA"/>
    <w:rsid w:val="00772F28"/>
    <w:rsid w:val="00774FF0"/>
    <w:rsid w:val="0079046D"/>
    <w:rsid w:val="00790A93"/>
    <w:rsid w:val="0079753A"/>
    <w:rsid w:val="007A6DD9"/>
    <w:rsid w:val="007B2655"/>
    <w:rsid w:val="007B700C"/>
    <w:rsid w:val="007C0597"/>
    <w:rsid w:val="007D60E0"/>
    <w:rsid w:val="007E32B9"/>
    <w:rsid w:val="007E3CEF"/>
    <w:rsid w:val="007F08AC"/>
    <w:rsid w:val="00803B44"/>
    <w:rsid w:val="0081284F"/>
    <w:rsid w:val="00814843"/>
    <w:rsid w:val="008149C2"/>
    <w:rsid w:val="008170DE"/>
    <w:rsid w:val="00830E32"/>
    <w:rsid w:val="0085526B"/>
    <w:rsid w:val="00855776"/>
    <w:rsid w:val="00873A11"/>
    <w:rsid w:val="00873AF9"/>
    <w:rsid w:val="00895DD0"/>
    <w:rsid w:val="008A27CD"/>
    <w:rsid w:val="008B5800"/>
    <w:rsid w:val="008C107C"/>
    <w:rsid w:val="008C7987"/>
    <w:rsid w:val="008D1C04"/>
    <w:rsid w:val="008F04A0"/>
    <w:rsid w:val="008F593A"/>
    <w:rsid w:val="008F64A7"/>
    <w:rsid w:val="0090012B"/>
    <w:rsid w:val="009010D4"/>
    <w:rsid w:val="0090351F"/>
    <w:rsid w:val="00935DDC"/>
    <w:rsid w:val="00937608"/>
    <w:rsid w:val="00970BAD"/>
    <w:rsid w:val="00975A10"/>
    <w:rsid w:val="009768D1"/>
    <w:rsid w:val="009829B7"/>
    <w:rsid w:val="00984753"/>
    <w:rsid w:val="0099017D"/>
    <w:rsid w:val="009927C0"/>
    <w:rsid w:val="009961E6"/>
    <w:rsid w:val="009977B1"/>
    <w:rsid w:val="00997E49"/>
    <w:rsid w:val="009A2D02"/>
    <w:rsid w:val="009B12F2"/>
    <w:rsid w:val="009B1571"/>
    <w:rsid w:val="009C0017"/>
    <w:rsid w:val="009C1351"/>
    <w:rsid w:val="009C15F4"/>
    <w:rsid w:val="009D0E7A"/>
    <w:rsid w:val="009D62A3"/>
    <w:rsid w:val="009E2A1F"/>
    <w:rsid w:val="009E58BC"/>
    <w:rsid w:val="009F6283"/>
    <w:rsid w:val="009F6BA9"/>
    <w:rsid w:val="00A1286C"/>
    <w:rsid w:val="00A37C4B"/>
    <w:rsid w:val="00A66F66"/>
    <w:rsid w:val="00A71AE5"/>
    <w:rsid w:val="00A74C98"/>
    <w:rsid w:val="00A86AC0"/>
    <w:rsid w:val="00A87D33"/>
    <w:rsid w:val="00A918F6"/>
    <w:rsid w:val="00AA0133"/>
    <w:rsid w:val="00AA1E16"/>
    <w:rsid w:val="00AA602E"/>
    <w:rsid w:val="00AC002C"/>
    <w:rsid w:val="00AC350D"/>
    <w:rsid w:val="00AC3803"/>
    <w:rsid w:val="00AC4906"/>
    <w:rsid w:val="00AC6CDD"/>
    <w:rsid w:val="00AD38D0"/>
    <w:rsid w:val="00AE108C"/>
    <w:rsid w:val="00AF1A53"/>
    <w:rsid w:val="00AF7AC7"/>
    <w:rsid w:val="00B03BF7"/>
    <w:rsid w:val="00B05ADC"/>
    <w:rsid w:val="00B1385D"/>
    <w:rsid w:val="00B738B2"/>
    <w:rsid w:val="00B82335"/>
    <w:rsid w:val="00B917F2"/>
    <w:rsid w:val="00B9542C"/>
    <w:rsid w:val="00B95560"/>
    <w:rsid w:val="00BA7FAB"/>
    <w:rsid w:val="00BB33EB"/>
    <w:rsid w:val="00BC2F4C"/>
    <w:rsid w:val="00BC37D0"/>
    <w:rsid w:val="00BC4A05"/>
    <w:rsid w:val="00BE54A7"/>
    <w:rsid w:val="00BF0B15"/>
    <w:rsid w:val="00C12CBB"/>
    <w:rsid w:val="00C25A2D"/>
    <w:rsid w:val="00C260F8"/>
    <w:rsid w:val="00C43FBE"/>
    <w:rsid w:val="00C449C6"/>
    <w:rsid w:val="00C564B0"/>
    <w:rsid w:val="00C56A9E"/>
    <w:rsid w:val="00C61B97"/>
    <w:rsid w:val="00C66309"/>
    <w:rsid w:val="00C814A5"/>
    <w:rsid w:val="00C87B32"/>
    <w:rsid w:val="00C96573"/>
    <w:rsid w:val="00CB27B4"/>
    <w:rsid w:val="00CD0BB8"/>
    <w:rsid w:val="00CD3849"/>
    <w:rsid w:val="00CF7384"/>
    <w:rsid w:val="00D00DA3"/>
    <w:rsid w:val="00D2343D"/>
    <w:rsid w:val="00D30EAE"/>
    <w:rsid w:val="00D318F1"/>
    <w:rsid w:val="00D37A14"/>
    <w:rsid w:val="00D37B3F"/>
    <w:rsid w:val="00D40B0E"/>
    <w:rsid w:val="00D51B78"/>
    <w:rsid w:val="00D65187"/>
    <w:rsid w:val="00D67682"/>
    <w:rsid w:val="00D67E8E"/>
    <w:rsid w:val="00D762D2"/>
    <w:rsid w:val="00D80F26"/>
    <w:rsid w:val="00DA2010"/>
    <w:rsid w:val="00DA66B7"/>
    <w:rsid w:val="00DB0865"/>
    <w:rsid w:val="00DC4AFC"/>
    <w:rsid w:val="00DC6FE6"/>
    <w:rsid w:val="00DD3DDC"/>
    <w:rsid w:val="00DE5433"/>
    <w:rsid w:val="00DF09D3"/>
    <w:rsid w:val="00DF2952"/>
    <w:rsid w:val="00DF5F38"/>
    <w:rsid w:val="00E12A00"/>
    <w:rsid w:val="00E15EC5"/>
    <w:rsid w:val="00E23336"/>
    <w:rsid w:val="00E3164E"/>
    <w:rsid w:val="00E31661"/>
    <w:rsid w:val="00E32B52"/>
    <w:rsid w:val="00E354AB"/>
    <w:rsid w:val="00E40790"/>
    <w:rsid w:val="00E47EB8"/>
    <w:rsid w:val="00E505DA"/>
    <w:rsid w:val="00E62964"/>
    <w:rsid w:val="00E642B5"/>
    <w:rsid w:val="00E700A3"/>
    <w:rsid w:val="00E70930"/>
    <w:rsid w:val="00E750E1"/>
    <w:rsid w:val="00E9114A"/>
    <w:rsid w:val="00E93652"/>
    <w:rsid w:val="00EA489C"/>
    <w:rsid w:val="00EB0CA7"/>
    <w:rsid w:val="00EB4992"/>
    <w:rsid w:val="00EF2E52"/>
    <w:rsid w:val="00EF748D"/>
    <w:rsid w:val="00F016DB"/>
    <w:rsid w:val="00F124C6"/>
    <w:rsid w:val="00F16EF3"/>
    <w:rsid w:val="00F2145B"/>
    <w:rsid w:val="00F31625"/>
    <w:rsid w:val="00F31F6C"/>
    <w:rsid w:val="00F32E4A"/>
    <w:rsid w:val="00F34A0A"/>
    <w:rsid w:val="00F36D8C"/>
    <w:rsid w:val="00F469C9"/>
    <w:rsid w:val="00F47B96"/>
    <w:rsid w:val="00F579DB"/>
    <w:rsid w:val="00F81A18"/>
    <w:rsid w:val="00F92183"/>
    <w:rsid w:val="00F93545"/>
    <w:rsid w:val="00F96FBA"/>
    <w:rsid w:val="00FA6D61"/>
    <w:rsid w:val="00FB4E06"/>
    <w:rsid w:val="00FB7464"/>
    <w:rsid w:val="00FC25CF"/>
    <w:rsid w:val="00FC3483"/>
    <w:rsid w:val="00FC4D68"/>
    <w:rsid w:val="00FD2ADA"/>
    <w:rsid w:val="00FD5BEF"/>
    <w:rsid w:val="00FF55C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E58BC"/>
    <w:rPr>
      <w:szCs w:val="20"/>
    </w:rPr>
  </w:style>
  <w:style w:type="paragraph" w:styleId="CommentSubject">
    <w:name w:val="annotation subject"/>
    <w:basedOn w:val="CommentText"/>
    <w:next w:val="CommentText"/>
    <w:semiHidden/>
    <w:rsid w:val="009E58BC"/>
    <w:rPr>
      <w:b/>
      <w:bCs/>
    </w:rPr>
  </w:style>
  <w:style w:type="character" w:styleId="Hyperlink">
    <w:name w:val="Hyperlink"/>
    <w:rsid w:val="00975A10"/>
    <w:rPr>
      <w:color w:val="0000FF"/>
      <w:u w:val="none"/>
    </w:rPr>
  </w:style>
  <w:style w:type="paragraph" w:styleId="BodyText">
    <w:name w:val="Body Text"/>
    <w:basedOn w:val="Normal"/>
    <w:rsid w:val="00662B5C"/>
    <w:pPr>
      <w:bidi w:val="0"/>
      <w:spacing w:after="120" w:line="240" w:lineRule="auto"/>
      <w:jc w:val="left"/>
    </w:pPr>
    <w:rPr>
      <w:rFonts w:cs="Times New Roman"/>
      <w:w w:val="100"/>
      <w:kern w:val="0"/>
      <w:sz w:val="24"/>
      <w:szCs w:val="24"/>
      <w:lang w:val="pt-BR" w:eastAsia="pt-BR"/>
    </w:rPr>
  </w:style>
  <w:style w:type="character" w:customStyle="1" w:styleId="link-external">
    <w:name w:val="link-external"/>
    <w:basedOn w:val="DefaultParagraphFont"/>
    <w:rsid w:val="00662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cc.org.br/mulher/index.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www.presidencia.gov.br/estrutura_presidencia/sepm/publicacoes/publi_capacitacao_maria_penha_ms" TargetMode="External"/><Relationship Id="rId2" Type="http://schemas.openxmlformats.org/officeDocument/2006/relationships/settings" Target="settings.xml"/><Relationship Id="rId16" Type="http://schemas.openxmlformats.org/officeDocument/2006/relationships/hyperlink" Target="http://200.130.7.5/spmu/docs/Atendimento-Lei11340_paraiba.pdf"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200.130.7.5/spmu/docs/leimariadapenha_1.pdf"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200.130.7.5/spmu/docs/inst_in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12330</Words>
  <Characters>70282</Characters>
  <Application>Microsoft Office Word</Application>
  <DocSecurity>4</DocSecurity>
  <Lines>585</Lines>
  <Paragraphs>164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82448</CharactersWithSpaces>
  <SharedDoc>false</SharedDoc>
  <HLinks>
    <vt:vector size="30" baseType="variant">
      <vt:variant>
        <vt:i4>6815822</vt:i4>
      </vt:variant>
      <vt:variant>
        <vt:i4>12</vt:i4>
      </vt:variant>
      <vt:variant>
        <vt:i4>0</vt:i4>
      </vt:variant>
      <vt:variant>
        <vt:i4>5</vt:i4>
      </vt:variant>
      <vt:variant>
        <vt:lpwstr>http://www.presidencia.gov.br/estrutura_presidencia/sepm/publicacoes/publi_capacitacao_maria_penha_ms</vt:lpwstr>
      </vt:variant>
      <vt:variant>
        <vt:lpwstr/>
      </vt:variant>
      <vt:variant>
        <vt:i4>8126532</vt:i4>
      </vt:variant>
      <vt:variant>
        <vt:i4>9</vt:i4>
      </vt:variant>
      <vt:variant>
        <vt:i4>0</vt:i4>
      </vt:variant>
      <vt:variant>
        <vt:i4>5</vt:i4>
      </vt:variant>
      <vt:variant>
        <vt:lpwstr>http://200.130.7.5/spmu/docs/Atendimento-Lei11340_paraiba.pdf</vt:lpwstr>
      </vt:variant>
      <vt:variant>
        <vt:lpwstr/>
      </vt:variant>
      <vt:variant>
        <vt:i4>3539012</vt:i4>
      </vt:variant>
      <vt:variant>
        <vt:i4>6</vt:i4>
      </vt:variant>
      <vt:variant>
        <vt:i4>0</vt:i4>
      </vt:variant>
      <vt:variant>
        <vt:i4>5</vt:i4>
      </vt:variant>
      <vt:variant>
        <vt:lpwstr>http://200.130.7.5/spmu/docs/leimariadapenha_1.pdf</vt:lpwstr>
      </vt:variant>
      <vt:variant>
        <vt:lpwstr/>
      </vt:variant>
      <vt:variant>
        <vt:i4>6684753</vt:i4>
      </vt:variant>
      <vt:variant>
        <vt:i4>3</vt:i4>
      </vt:variant>
      <vt:variant>
        <vt:i4>0</vt:i4>
      </vt:variant>
      <vt:variant>
        <vt:i4>5</vt:i4>
      </vt:variant>
      <vt:variant>
        <vt:lpwstr>http://200.130.7.5/spmu/docs/inst_int.pdf</vt:lpwstr>
      </vt:variant>
      <vt:variant>
        <vt:lpwstr/>
      </vt:variant>
      <vt:variant>
        <vt:i4>7602219</vt:i4>
      </vt:variant>
      <vt:variant>
        <vt:i4>0</vt:i4>
      </vt:variant>
      <vt:variant>
        <vt:i4>0</vt:i4>
      </vt:variant>
      <vt:variant>
        <vt:i4>5</vt:i4>
      </vt:variant>
      <vt:variant>
        <vt:lpwstr>http://www,fcc.org.br/mulher/index.html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ASR</dc:creator>
  <cp:keywords/>
  <dc:description/>
  <cp:lastModifiedBy>IMTU</cp:lastModifiedBy>
  <cp:revision>11</cp:revision>
  <cp:lastPrinted>2007-06-01T08:34:00Z</cp:lastPrinted>
  <dcterms:created xsi:type="dcterms:W3CDTF">2007-06-01T08:23:00Z</dcterms:created>
  <dcterms:modified xsi:type="dcterms:W3CDTF">2007-06-01T08:50:00Z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0733247</vt:lpwstr>
  </property>
  <property fmtid="{D5CDD505-2E9C-101B-9397-08002B2CF9AE}" pid="3" name="Symbol1">
    <vt:lpwstr>CEDAW/C/BRA/Q/6/Add.1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