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3D5678">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rFonts w:hint="cs"/>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2E1CAE" w:rsidP="00225206">
            <w:pPr>
              <w:bidi w:val="0"/>
              <w:spacing w:after="20"/>
              <w:jc w:val="left"/>
              <w:rPr>
                <w:szCs w:val="20"/>
              </w:rPr>
            </w:pPr>
            <w:r w:rsidRPr="002E1CAE">
              <w:rPr>
                <w:sz w:val="40"/>
                <w:szCs w:val="20"/>
              </w:rPr>
              <w:t>CAT</w:t>
            </w:r>
            <w:r>
              <w:rPr>
                <w:szCs w:val="20"/>
              </w:rPr>
              <w:t>/C/65/D/784/2016</w:t>
            </w:r>
          </w:p>
        </w:tc>
      </w:tr>
      <w:tr w:rsidR="00DC1D29" w:rsidRPr="00DB7679" w:rsidTr="003D5678">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DC1D29" w:rsidRDefault="00225206" w:rsidP="00225206">
            <w:pPr>
              <w:bidi w:val="0"/>
              <w:spacing w:after="20"/>
              <w:jc w:val="left"/>
              <w:rPr>
                <w:szCs w:val="20"/>
              </w:rPr>
            </w:pPr>
            <w:r>
              <w:rPr>
                <w:szCs w:val="20"/>
              </w:rPr>
              <w:t xml:space="preserve">Distr.: </w:t>
            </w:r>
          </w:p>
          <w:p w:rsidR="00225206" w:rsidRDefault="00225206" w:rsidP="00225206">
            <w:pPr>
              <w:bidi w:val="0"/>
              <w:jc w:val="left"/>
              <w:rPr>
                <w:szCs w:val="20"/>
              </w:rPr>
            </w:pPr>
          </w:p>
          <w:p w:rsidR="00225206" w:rsidRDefault="00225206" w:rsidP="00225206">
            <w:pPr>
              <w:bidi w:val="0"/>
              <w:jc w:val="left"/>
              <w:rPr>
                <w:szCs w:val="20"/>
              </w:rPr>
            </w:pPr>
            <w:r>
              <w:rPr>
                <w:szCs w:val="20"/>
              </w:rPr>
              <w:t>Arabic</w:t>
            </w:r>
          </w:p>
          <w:p w:rsidR="00225206" w:rsidRPr="00243C8A" w:rsidRDefault="00225206" w:rsidP="00225206">
            <w:pPr>
              <w:bidi w:val="0"/>
              <w:jc w:val="left"/>
              <w:rPr>
                <w:szCs w:val="20"/>
              </w:rPr>
            </w:pPr>
            <w:r>
              <w:rPr>
                <w:szCs w:val="20"/>
              </w:rPr>
              <w:t xml:space="preserve">Original: </w:t>
            </w:r>
          </w:p>
        </w:tc>
      </w:tr>
      <w:tr w:rsidR="006B3E27" w:rsidRPr="00DB7679" w:rsidTr="005A3015">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rPr>
              <w:drawing>
                <wp:anchor distT="0" distB="0" distL="114300" distR="114300" simplePos="0" relativeHeight="251658240"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2E6B7C" w:rsidRPr="002E6B7C" w:rsidRDefault="002E6B7C" w:rsidP="002E6B7C">
            <w:pPr>
              <w:bidi w:val="0"/>
              <w:spacing w:before="240"/>
              <w:jc w:val="left"/>
              <w:rPr>
                <w:rFonts w:cs="Times New Roman"/>
                <w:szCs w:val="20"/>
                <w:lang w:val="en-GB"/>
              </w:rPr>
            </w:pPr>
            <w:r w:rsidRPr="002E6B7C">
              <w:rPr>
                <w:rFonts w:cs="Times New Roman"/>
                <w:szCs w:val="20"/>
                <w:lang w:val="en-GB"/>
              </w:rPr>
              <w:t>Distr.: General</w:t>
            </w:r>
          </w:p>
          <w:p w:rsidR="002E6B7C" w:rsidRPr="002E6B7C" w:rsidRDefault="002E6B7C" w:rsidP="002E6B7C">
            <w:pPr>
              <w:bidi w:val="0"/>
              <w:jc w:val="left"/>
              <w:rPr>
                <w:rFonts w:cs="Times New Roman"/>
                <w:szCs w:val="20"/>
                <w:lang w:val="en-GB"/>
              </w:rPr>
            </w:pPr>
            <w:r w:rsidRPr="002E6B7C">
              <w:rPr>
                <w:rFonts w:cs="Times New Roman"/>
                <w:szCs w:val="20"/>
                <w:lang w:val="en-GB"/>
              </w:rPr>
              <w:t>5 April 2019</w:t>
            </w:r>
          </w:p>
          <w:p w:rsidR="002E6B7C" w:rsidRPr="002E6B7C" w:rsidRDefault="002E6B7C" w:rsidP="002E6B7C">
            <w:pPr>
              <w:bidi w:val="0"/>
              <w:jc w:val="left"/>
              <w:rPr>
                <w:rFonts w:cs="Times New Roman"/>
                <w:szCs w:val="20"/>
                <w:lang w:val="en-GB"/>
              </w:rPr>
            </w:pPr>
            <w:r>
              <w:rPr>
                <w:rFonts w:cs="Times New Roman"/>
                <w:szCs w:val="20"/>
                <w:lang w:val="en-GB"/>
              </w:rPr>
              <w:t>Arabic</w:t>
            </w:r>
          </w:p>
          <w:p w:rsidR="006B3E27" w:rsidRPr="008B4BC6" w:rsidRDefault="002E6B7C" w:rsidP="002E6B7C">
            <w:pPr>
              <w:bidi w:val="0"/>
              <w:jc w:val="left"/>
            </w:pPr>
            <w:r w:rsidRPr="002E6B7C">
              <w:rPr>
                <w:rFonts w:cs="Times New Roman"/>
                <w:szCs w:val="20"/>
                <w:lang w:val="en-GB"/>
              </w:rPr>
              <w:t>Original: English</w:t>
            </w:r>
          </w:p>
        </w:tc>
      </w:tr>
    </w:tbl>
    <w:p w:rsidR="00093A3C" w:rsidRPr="00093A3C" w:rsidRDefault="00093A3C" w:rsidP="00093A3C">
      <w:pPr>
        <w:pStyle w:val="SingleTxtGA"/>
        <w:spacing w:before="120"/>
        <w:ind w:left="0"/>
        <w:rPr>
          <w:rFonts w:hint="cs"/>
          <w:b/>
          <w:bCs/>
          <w:sz w:val="26"/>
          <w:szCs w:val="36"/>
          <w:rtl/>
        </w:rPr>
      </w:pPr>
      <w:r w:rsidRPr="00093A3C">
        <w:rPr>
          <w:b/>
          <w:bCs/>
          <w:sz w:val="26"/>
          <w:szCs w:val="36"/>
          <w:rtl/>
        </w:rPr>
        <w:t>لجنة مناهضة التعذيب</w:t>
      </w:r>
    </w:p>
    <w:p w:rsidR="00093A3C" w:rsidRDefault="00093A3C" w:rsidP="00093A3C">
      <w:pPr>
        <w:pStyle w:val="HChGA"/>
        <w:rPr>
          <w:rFonts w:hint="cs"/>
          <w:rtl/>
        </w:rPr>
      </w:pPr>
      <w:r>
        <w:rPr>
          <w:rtl/>
        </w:rPr>
        <w:tab/>
      </w:r>
      <w:r>
        <w:rPr>
          <w:rtl/>
        </w:rPr>
        <w:tab/>
        <w:t>قرار اتخذته اللجنة بموجب المادة ٢٢ من الاتفاقية، بشأن البلاغ رقم</w:t>
      </w:r>
      <w:r>
        <w:rPr>
          <w:rFonts w:hint="cs"/>
          <w:rtl/>
        </w:rPr>
        <w:t> </w:t>
      </w:r>
      <w:r>
        <w:rPr>
          <w:rtl/>
        </w:rPr>
        <w:t>٧٨٤/٢٠١٦</w:t>
      </w:r>
      <w:r w:rsidRPr="00093A3C">
        <w:rPr>
          <w:rStyle w:val="FootnoteReference"/>
          <w:sz w:val="20"/>
          <w:vertAlign w:val="baseline"/>
          <w:rtl/>
        </w:rPr>
        <w:footnoteReference w:customMarkFollows="1" w:id="1"/>
        <w:t>*</w:t>
      </w:r>
      <w:r>
        <w:rPr>
          <w:rFonts w:hint="cs"/>
          <w:rtl/>
        </w:rPr>
        <w:t xml:space="preserve"> </w:t>
      </w:r>
      <w:r w:rsidRPr="00093A3C">
        <w:rPr>
          <w:rStyle w:val="FootnoteReference"/>
          <w:sz w:val="20"/>
          <w:vertAlign w:val="baseline"/>
          <w:rtl/>
        </w:rPr>
        <w:footnoteReference w:customMarkFollows="1" w:id="2"/>
        <w:t>**</w:t>
      </w:r>
      <w:r>
        <w:rPr>
          <w:rFonts w:hint="cs"/>
          <w:rtl/>
        </w:rPr>
        <w:t xml:space="preserve"> </w:t>
      </w:r>
      <w:r w:rsidRPr="00093A3C">
        <w:rPr>
          <w:rStyle w:val="FootnoteReference"/>
          <w:sz w:val="20"/>
          <w:vertAlign w:val="baseline"/>
          <w:rtl/>
        </w:rPr>
        <w:footnoteReference w:customMarkFollows="1" w:id="3"/>
        <w:t>***</w:t>
      </w:r>
    </w:p>
    <w:p w:rsidR="00093A3C" w:rsidRDefault="00093A3C" w:rsidP="00093A3C">
      <w:pPr>
        <w:pStyle w:val="SingleTxtGA"/>
        <w:tabs>
          <w:tab w:val="clear" w:pos="2608"/>
          <w:tab w:val="clear" w:pos="3289"/>
          <w:tab w:val="clear" w:pos="3969"/>
        </w:tabs>
        <w:ind w:left="4649" w:hanging="2721"/>
        <w:rPr>
          <w:rtl/>
        </w:rPr>
      </w:pPr>
      <w:r w:rsidRPr="00825C77">
        <w:rPr>
          <w:i/>
          <w:iCs/>
          <w:rtl/>
        </w:rPr>
        <w:t>البلاغ مقدم من:</w:t>
      </w:r>
      <w:r>
        <w:rPr>
          <w:rtl/>
        </w:rPr>
        <w:tab/>
        <w:t xml:space="preserve">ف. ك. أ. (يمثلها المحامي زهير </w:t>
      </w:r>
      <w:proofErr w:type="spellStart"/>
      <w:r>
        <w:rPr>
          <w:rtl/>
        </w:rPr>
        <w:t>سناسني</w:t>
      </w:r>
      <w:proofErr w:type="spellEnd"/>
      <w:r>
        <w:rPr>
          <w:rtl/>
        </w:rPr>
        <w:t>)</w:t>
      </w:r>
    </w:p>
    <w:p w:rsidR="00093A3C" w:rsidRDefault="00093A3C" w:rsidP="00093A3C">
      <w:pPr>
        <w:pStyle w:val="SingleTxtGA"/>
        <w:tabs>
          <w:tab w:val="clear" w:pos="2608"/>
          <w:tab w:val="clear" w:pos="3289"/>
          <w:tab w:val="clear" w:pos="3969"/>
        </w:tabs>
        <w:ind w:left="4649" w:hanging="2721"/>
        <w:rPr>
          <w:rtl/>
        </w:rPr>
      </w:pPr>
      <w:r w:rsidRPr="00825C77">
        <w:rPr>
          <w:i/>
          <w:iCs/>
          <w:rtl/>
        </w:rPr>
        <w:t>الشخص المدعى أنه ضحية:</w:t>
      </w:r>
      <w:r>
        <w:rPr>
          <w:rtl/>
        </w:rPr>
        <w:tab/>
        <w:t>صاحبة الشكوى</w:t>
      </w:r>
    </w:p>
    <w:p w:rsidR="00093A3C" w:rsidRDefault="00093A3C" w:rsidP="00093A3C">
      <w:pPr>
        <w:pStyle w:val="SingleTxtGA"/>
        <w:tabs>
          <w:tab w:val="clear" w:pos="2608"/>
          <w:tab w:val="clear" w:pos="3289"/>
          <w:tab w:val="clear" w:pos="3969"/>
        </w:tabs>
        <w:ind w:left="4649" w:hanging="2721"/>
        <w:rPr>
          <w:rtl/>
        </w:rPr>
      </w:pPr>
      <w:r w:rsidRPr="00825C77">
        <w:rPr>
          <w:i/>
          <w:iCs/>
          <w:rtl/>
        </w:rPr>
        <w:t>الدولة الطرف:</w:t>
      </w:r>
      <w:r>
        <w:rPr>
          <w:rtl/>
        </w:rPr>
        <w:tab/>
        <w:t>كندا</w:t>
      </w:r>
    </w:p>
    <w:p w:rsidR="00093A3C" w:rsidRDefault="00093A3C" w:rsidP="00093A3C">
      <w:pPr>
        <w:pStyle w:val="SingleTxtGA"/>
        <w:tabs>
          <w:tab w:val="clear" w:pos="2608"/>
          <w:tab w:val="clear" w:pos="3289"/>
          <w:tab w:val="clear" w:pos="3969"/>
        </w:tabs>
        <w:ind w:left="4649" w:hanging="2721"/>
        <w:rPr>
          <w:rtl/>
        </w:rPr>
      </w:pPr>
      <w:r w:rsidRPr="00825C77">
        <w:rPr>
          <w:i/>
          <w:iCs/>
          <w:rtl/>
        </w:rPr>
        <w:t>تاريخ تقديم الشكوى:</w:t>
      </w:r>
      <w:r>
        <w:rPr>
          <w:rtl/>
        </w:rPr>
        <w:t xml:space="preserve"> </w:t>
      </w:r>
      <w:r>
        <w:rPr>
          <w:rtl/>
        </w:rPr>
        <w:tab/>
      </w:r>
      <w:r w:rsidRPr="00093A3C">
        <w:rPr>
          <w:spacing w:val="-4"/>
          <w:rtl/>
        </w:rPr>
        <w:t>٧ تشرين الثاني/نوفمبر ٢٠١٦ (تاريخ تقديم الرسالة</w:t>
      </w:r>
      <w:r>
        <w:rPr>
          <w:rtl/>
        </w:rPr>
        <w:t xml:space="preserve"> الأولى)</w:t>
      </w:r>
    </w:p>
    <w:p w:rsidR="00093A3C" w:rsidRDefault="00093A3C" w:rsidP="00093A3C">
      <w:pPr>
        <w:pStyle w:val="SingleTxtGA"/>
        <w:tabs>
          <w:tab w:val="clear" w:pos="2608"/>
          <w:tab w:val="clear" w:pos="3289"/>
          <w:tab w:val="clear" w:pos="3969"/>
        </w:tabs>
        <w:ind w:left="4649" w:hanging="2721"/>
        <w:rPr>
          <w:rtl/>
        </w:rPr>
      </w:pPr>
      <w:r w:rsidRPr="00825C77">
        <w:rPr>
          <w:i/>
          <w:iCs/>
          <w:rtl/>
        </w:rPr>
        <w:t>تاريخ صدور هذا القرار:</w:t>
      </w:r>
      <w:r>
        <w:rPr>
          <w:rtl/>
        </w:rPr>
        <w:tab/>
        <w:t>١٥ تشرين الثاني/نوفمبر ٢٠١٨</w:t>
      </w:r>
    </w:p>
    <w:p w:rsidR="00093A3C" w:rsidRDefault="00093A3C" w:rsidP="00093A3C">
      <w:pPr>
        <w:pStyle w:val="SingleTxtGA"/>
        <w:tabs>
          <w:tab w:val="clear" w:pos="2608"/>
          <w:tab w:val="clear" w:pos="3289"/>
          <w:tab w:val="clear" w:pos="3969"/>
        </w:tabs>
        <w:ind w:left="4649" w:hanging="2721"/>
        <w:rPr>
          <w:rtl/>
        </w:rPr>
      </w:pPr>
      <w:r w:rsidRPr="00825C77">
        <w:rPr>
          <w:i/>
          <w:iCs/>
          <w:rtl/>
        </w:rPr>
        <w:t>الموضوع:</w:t>
      </w:r>
      <w:r>
        <w:rPr>
          <w:rtl/>
        </w:rPr>
        <w:tab/>
        <w:t>ترحيل صاحبة الشكوى إلى باكستان</w:t>
      </w:r>
    </w:p>
    <w:p w:rsidR="00093A3C" w:rsidRDefault="00093A3C" w:rsidP="00093A3C">
      <w:pPr>
        <w:pStyle w:val="SingleTxtGA"/>
        <w:tabs>
          <w:tab w:val="clear" w:pos="2608"/>
          <w:tab w:val="clear" w:pos="3289"/>
          <w:tab w:val="clear" w:pos="3969"/>
        </w:tabs>
        <w:ind w:left="4649" w:hanging="2721"/>
        <w:rPr>
          <w:rtl/>
        </w:rPr>
      </w:pPr>
      <w:r w:rsidRPr="00825C77">
        <w:rPr>
          <w:i/>
          <w:iCs/>
          <w:rtl/>
        </w:rPr>
        <w:t>المسائل الإجرائية:</w:t>
      </w:r>
      <w:r>
        <w:rPr>
          <w:rtl/>
        </w:rPr>
        <w:t xml:space="preserve"> </w:t>
      </w:r>
      <w:r>
        <w:rPr>
          <w:rtl/>
        </w:rPr>
        <w:tab/>
        <w:t xml:space="preserve">عدم إثبات الادعاءات بأدلة كافية؛ وعدم استنفاد </w:t>
      </w:r>
      <w:r w:rsidRPr="00093A3C">
        <w:rPr>
          <w:spacing w:val="-6"/>
          <w:rtl/>
        </w:rPr>
        <w:t>سبل الانتصاف المحلية؛ والتعارض مع أحكام الاتفاقية</w:t>
      </w:r>
    </w:p>
    <w:p w:rsidR="00093A3C" w:rsidRDefault="00093A3C" w:rsidP="00093A3C">
      <w:pPr>
        <w:pStyle w:val="SingleTxtGA"/>
        <w:tabs>
          <w:tab w:val="clear" w:pos="2608"/>
          <w:tab w:val="clear" w:pos="3289"/>
          <w:tab w:val="clear" w:pos="3969"/>
        </w:tabs>
        <w:ind w:left="4649" w:hanging="2721"/>
        <w:rPr>
          <w:rtl/>
        </w:rPr>
      </w:pPr>
      <w:r w:rsidRPr="00825C77">
        <w:rPr>
          <w:i/>
          <w:iCs/>
          <w:rtl/>
        </w:rPr>
        <w:t>المسائل الموضوعية:</w:t>
      </w:r>
      <w:r>
        <w:rPr>
          <w:rtl/>
        </w:rPr>
        <w:tab/>
        <w:t>خطر التعرض للتعذيب في حالة الترحيل إلى البلد الأصلي</w:t>
      </w:r>
    </w:p>
    <w:p w:rsidR="00093A3C" w:rsidRDefault="00093A3C" w:rsidP="00093A3C">
      <w:pPr>
        <w:pStyle w:val="SingleTxtGA"/>
        <w:tabs>
          <w:tab w:val="clear" w:pos="2608"/>
          <w:tab w:val="clear" w:pos="3289"/>
          <w:tab w:val="clear" w:pos="3969"/>
        </w:tabs>
        <w:ind w:left="4649" w:hanging="2721"/>
        <w:rPr>
          <w:rtl/>
        </w:rPr>
      </w:pPr>
      <w:r w:rsidRPr="00825C77">
        <w:rPr>
          <w:i/>
          <w:iCs/>
          <w:rtl/>
        </w:rPr>
        <w:t>مادتا الاتفاقية:</w:t>
      </w:r>
      <w:r>
        <w:rPr>
          <w:rtl/>
        </w:rPr>
        <w:tab/>
        <w:t>3 و22</w:t>
      </w:r>
    </w:p>
    <w:p w:rsidR="00093A3C" w:rsidRDefault="00093A3C" w:rsidP="00093A3C">
      <w:pPr>
        <w:pStyle w:val="H23GA"/>
        <w:rPr>
          <w:rtl/>
        </w:rPr>
      </w:pPr>
      <w:r>
        <w:rPr>
          <w:rtl/>
        </w:rPr>
        <w:tab/>
      </w:r>
      <w:r>
        <w:rPr>
          <w:rtl/>
        </w:rPr>
        <w:tab/>
        <w:t>القرار المتخذ بموجب المادة 22(7) من اتفاقية مناهضة التعذيب</w:t>
      </w:r>
    </w:p>
    <w:p w:rsidR="00093A3C" w:rsidRPr="00825C77" w:rsidRDefault="00093A3C" w:rsidP="00825C77">
      <w:pPr>
        <w:pStyle w:val="SingleTxtGA"/>
        <w:rPr>
          <w:spacing w:val="-4"/>
          <w:rtl/>
        </w:rPr>
      </w:pPr>
      <w:r>
        <w:rPr>
          <w:rtl/>
        </w:rPr>
        <w:t>١-١</w:t>
      </w:r>
      <w:r>
        <w:rPr>
          <w:rtl/>
        </w:rPr>
        <w:tab/>
      </w:r>
      <w:r w:rsidRPr="00825C77">
        <w:rPr>
          <w:spacing w:val="-4"/>
          <w:rtl/>
        </w:rPr>
        <w:t>صاحبة البلاغ هي ف. ك. أ.، وهي مواطنة</w:t>
      </w:r>
      <w:r w:rsidR="004114AB" w:rsidRPr="00825C77">
        <w:rPr>
          <w:spacing w:val="-4"/>
          <w:rtl/>
        </w:rPr>
        <w:t xml:space="preserve"> </w:t>
      </w:r>
      <w:r w:rsidR="003D5678">
        <w:rPr>
          <w:rFonts w:hint="cs"/>
          <w:spacing w:val="-4"/>
          <w:rtl/>
        </w:rPr>
        <w:t>ب</w:t>
      </w:r>
      <w:r w:rsidRPr="00825C77">
        <w:rPr>
          <w:spacing w:val="-4"/>
          <w:rtl/>
        </w:rPr>
        <w:t>اكستانية مولودة في باكستان في 3 حزيران/</w:t>
      </w:r>
      <w:r w:rsidR="00825C77">
        <w:rPr>
          <w:rFonts w:hint="cs"/>
          <w:rtl/>
        </w:rPr>
        <w:t xml:space="preserve"> </w:t>
      </w:r>
      <w:proofErr w:type="gramStart"/>
      <w:r w:rsidRPr="00825C77">
        <w:rPr>
          <w:spacing w:val="-4"/>
          <w:rtl/>
        </w:rPr>
        <w:t>يونيه</w:t>
      </w:r>
      <w:proofErr w:type="gramEnd"/>
      <w:r w:rsidRPr="00825C77">
        <w:rPr>
          <w:spacing w:val="-4"/>
          <w:rtl/>
        </w:rPr>
        <w:t xml:space="preserve"> 1985. وصاحبة الشكوى معرضة للإبعاد القسري من كندا إلى باكستان، بعد رفض طلبها</w:t>
      </w:r>
      <w:r>
        <w:rPr>
          <w:rtl/>
        </w:rPr>
        <w:t xml:space="preserve"> </w:t>
      </w:r>
      <w:r w:rsidRPr="00825C77">
        <w:rPr>
          <w:spacing w:val="-4"/>
          <w:rtl/>
        </w:rPr>
        <w:lastRenderedPageBreak/>
        <w:t xml:space="preserve">إجراء مراجعة قضائية للقرار السلبي الصادر عن شعبة حماية اللاجئين بشأن طلب اللجوء الذي قدمته. وقد طلبت اتخاذ تدابير مؤقتة لوقف ترحيلها إلى باكستان، بالنظر إلى أن ترحيلها القسري إلى باكستان سيشكل انتهاكاً من جانب كندا للمادتين ٣ و٢٢ من اتفاقية مناهضة التعذيب. </w:t>
      </w:r>
    </w:p>
    <w:p w:rsidR="00093A3C" w:rsidRDefault="00093A3C" w:rsidP="008D6513">
      <w:pPr>
        <w:pStyle w:val="SingleTxtGA"/>
        <w:spacing w:line="370" w:lineRule="exact"/>
        <w:rPr>
          <w:rtl/>
        </w:rPr>
      </w:pPr>
      <w:r>
        <w:rPr>
          <w:rtl/>
        </w:rPr>
        <w:t>١-٢</w:t>
      </w:r>
      <w:r>
        <w:rPr>
          <w:rtl/>
        </w:rPr>
        <w:tab/>
        <w:t xml:space="preserve">وفي 23 تشرين الثاني/نوفمبر 2016، طلبت اللجنة عملاً بالمادة 114 من نظامها الداخلي، عن طريق مقررها المعني بالشكاوى الجديدة والتدابير المؤقتة، إلى الدولة الطرف عدم طرد صاحبة الشكوى ريثما يُنظر في شكواها. وفي ١٨ أيار/مايو ٢٠١٧، طلبت الدولة الطرف إلى اللجنة سحب طلبها المتعلق باتخاذ تدابير مؤقتة. وفي ٢٤ تموز/يوليه ٢٠١٧، قررت اللجنة، عن طريق مقررها المعني بالشكاوى الجديدة والتدابير المؤقتة، رفض طلب الدولة الطرف سحب طلب اتخاذ تدابير </w:t>
      </w:r>
      <w:proofErr w:type="gramStart"/>
      <w:r>
        <w:rPr>
          <w:rtl/>
        </w:rPr>
        <w:t>مؤقتة</w:t>
      </w:r>
      <w:r>
        <w:rPr>
          <w:vertAlign w:val="superscript"/>
          <w:rtl/>
        </w:rPr>
        <w:t>(</w:t>
      </w:r>
      <w:proofErr w:type="gramEnd"/>
      <w:r>
        <w:rPr>
          <w:rStyle w:val="FootnoteReference"/>
          <w:rtl/>
        </w:rPr>
        <w:footnoteReference w:id="4"/>
      </w:r>
      <w:r>
        <w:rPr>
          <w:vertAlign w:val="superscript"/>
          <w:rtl/>
        </w:rPr>
        <w:t>)</w:t>
      </w:r>
      <w:r>
        <w:rPr>
          <w:rtl/>
        </w:rPr>
        <w:t>.</w:t>
      </w:r>
      <w:r w:rsidR="004114AB">
        <w:rPr>
          <w:rtl/>
        </w:rPr>
        <w:t xml:space="preserve"> </w:t>
      </w:r>
      <w:r>
        <w:rPr>
          <w:rtl/>
        </w:rPr>
        <w:t xml:space="preserve">ويمثل صاحبة الشكوى محام، هو السيد زهير </w:t>
      </w:r>
      <w:proofErr w:type="spellStart"/>
      <w:r>
        <w:rPr>
          <w:rtl/>
        </w:rPr>
        <w:t>سناسني</w:t>
      </w:r>
      <w:proofErr w:type="spellEnd"/>
      <w:r>
        <w:rPr>
          <w:rtl/>
        </w:rPr>
        <w:t>.</w:t>
      </w:r>
    </w:p>
    <w:p w:rsidR="00093A3C" w:rsidRDefault="00093A3C" w:rsidP="008D6513">
      <w:pPr>
        <w:pStyle w:val="H23GA"/>
        <w:spacing w:line="370" w:lineRule="exact"/>
        <w:rPr>
          <w:rtl/>
        </w:rPr>
      </w:pPr>
      <w:r>
        <w:rPr>
          <w:rtl/>
        </w:rPr>
        <w:tab/>
      </w:r>
      <w:r>
        <w:rPr>
          <w:rtl/>
        </w:rPr>
        <w:tab/>
      </w:r>
      <w:dir w:val="rtl">
        <w:r>
          <w:rPr>
            <w:rFonts w:hint="cs"/>
            <w:rtl/>
          </w:rPr>
          <w:t>الوقائع</w:t>
        </w:r>
        <w:r>
          <w:rPr>
            <w:rtl/>
          </w:rPr>
          <w:t xml:space="preserve"> </w:t>
        </w:r>
        <w:r>
          <w:rPr>
            <w:rFonts w:hint="cs"/>
            <w:rtl/>
          </w:rPr>
          <w:t>كما</w:t>
        </w:r>
        <w:r>
          <w:rPr>
            <w:rtl/>
          </w:rPr>
          <w:t xml:space="preserve"> </w:t>
        </w:r>
        <w:r>
          <w:rPr>
            <w:rFonts w:hint="cs"/>
            <w:rtl/>
          </w:rPr>
          <w:t>عرضتها</w:t>
        </w:r>
        <w:r>
          <w:rPr>
            <w:rtl/>
          </w:rPr>
          <w:t xml:space="preserve"> </w:t>
        </w:r>
        <w:r>
          <w:rPr>
            <w:rFonts w:hint="cs"/>
            <w:rtl/>
          </w:rPr>
          <w:t>صاحبة</w:t>
        </w:r>
        <w:r>
          <w:rPr>
            <w:rtl/>
          </w:rPr>
          <w:t xml:space="preserve"> </w:t>
        </w:r>
        <w:r>
          <w:rPr>
            <w:rFonts w:hint="cs"/>
            <w:rtl/>
          </w:rPr>
          <w:t>الشكوى</w:t>
        </w:r>
      </w:dir>
    </w:p>
    <w:p w:rsidR="00093A3C" w:rsidRDefault="00093A3C" w:rsidP="008D6513">
      <w:pPr>
        <w:pStyle w:val="SingleTxtGA"/>
        <w:spacing w:line="370" w:lineRule="exact"/>
        <w:rPr>
          <w:rtl/>
        </w:rPr>
      </w:pPr>
      <w:r>
        <w:rPr>
          <w:rtl/>
        </w:rPr>
        <w:t>٢-١</w:t>
      </w:r>
      <w:r>
        <w:rPr>
          <w:rtl/>
        </w:rPr>
        <w:tab/>
        <w:t xml:space="preserve">في كانون الثاني/يناير ٢٠٠٩، انضمت صاحبة الشكوى، بعد إتمام دراستها، إلى الفرع المحلي لصحيفة </w:t>
      </w:r>
      <w:r>
        <w:t>Sunday</w:t>
      </w:r>
      <w:r w:rsidR="00825C77">
        <w:t> </w:t>
      </w:r>
      <w:r>
        <w:t>Times</w:t>
      </w:r>
      <w:r w:rsidR="004114AB">
        <w:rPr>
          <w:rtl/>
        </w:rPr>
        <w:t xml:space="preserve"> </w:t>
      </w:r>
      <w:r w:rsidR="00A41DFF">
        <w:rPr>
          <w:rtl/>
        </w:rPr>
        <w:t>ال</w:t>
      </w:r>
      <w:r w:rsidR="00A41DFF">
        <w:rPr>
          <w:rFonts w:hint="cs"/>
          <w:rtl/>
        </w:rPr>
        <w:t>إ</w:t>
      </w:r>
      <w:r>
        <w:rPr>
          <w:rtl/>
        </w:rPr>
        <w:t xml:space="preserve">نكليزية في </w:t>
      </w:r>
      <w:proofErr w:type="gramStart"/>
      <w:r>
        <w:rPr>
          <w:rtl/>
        </w:rPr>
        <w:t>لاهور</w:t>
      </w:r>
      <w:r>
        <w:rPr>
          <w:vertAlign w:val="superscript"/>
          <w:rtl/>
        </w:rPr>
        <w:t>(</w:t>
      </w:r>
      <w:proofErr w:type="gramEnd"/>
      <w:r>
        <w:rPr>
          <w:rStyle w:val="FootnoteReference"/>
          <w:rtl/>
        </w:rPr>
        <w:footnoteReference w:id="5"/>
      </w:r>
      <w:r>
        <w:rPr>
          <w:vertAlign w:val="superscript"/>
          <w:rtl/>
        </w:rPr>
        <w:t>)</w:t>
      </w:r>
      <w:r>
        <w:rPr>
          <w:rtl/>
        </w:rPr>
        <w:t>.</w:t>
      </w:r>
      <w:r w:rsidR="004114AB">
        <w:rPr>
          <w:rtl/>
        </w:rPr>
        <w:t xml:space="preserve"> </w:t>
      </w:r>
      <w:r>
        <w:rPr>
          <w:rtl/>
        </w:rPr>
        <w:t xml:space="preserve">وعملت في الصحيفة كمحررة مساعدة. وشملت مسؤولياتها إعداد التقارير والتحرير </w:t>
      </w:r>
      <w:proofErr w:type="gramStart"/>
      <w:r>
        <w:rPr>
          <w:rtl/>
        </w:rPr>
        <w:t>والكتابة</w:t>
      </w:r>
      <w:r>
        <w:rPr>
          <w:vertAlign w:val="superscript"/>
          <w:rtl/>
        </w:rPr>
        <w:t>(</w:t>
      </w:r>
      <w:proofErr w:type="gramEnd"/>
      <w:r>
        <w:rPr>
          <w:rStyle w:val="FootnoteReference"/>
          <w:rtl/>
        </w:rPr>
        <w:footnoteReference w:id="6"/>
      </w:r>
      <w:r>
        <w:rPr>
          <w:vertAlign w:val="superscript"/>
          <w:rtl/>
        </w:rPr>
        <w:t>)</w:t>
      </w:r>
      <w:r>
        <w:rPr>
          <w:rtl/>
        </w:rPr>
        <w:t>.</w:t>
      </w:r>
      <w:r w:rsidR="004114AB">
        <w:rPr>
          <w:rtl/>
        </w:rPr>
        <w:t xml:space="preserve"> </w:t>
      </w:r>
      <w:r>
        <w:rPr>
          <w:rtl/>
        </w:rPr>
        <w:t xml:space="preserve">واختصت بالمقالات المتعلقة بمواضيع من </w:t>
      </w:r>
      <w:r w:rsidRPr="00A41DFF">
        <w:rPr>
          <w:spacing w:val="-4"/>
          <w:rtl/>
        </w:rPr>
        <w:t>قبيل الأزياء النسائية، مع تزويد المقالات بصور لموديلات "الأزياء الغربية". وتؤكد صاحبة الشكوى أن الصحيفة اشتهرت بأنها جريئة وحرة جداً، بالنظر إلى الأفكار المحافظة جداً للمتطرفين ولأفراد حركة طالبان في باكستان بشأن</w:t>
      </w:r>
      <w:r>
        <w:rPr>
          <w:rtl/>
        </w:rPr>
        <w:t xml:space="preserve"> وضع المرأة ودورها في المجتمع. </w:t>
      </w:r>
    </w:p>
    <w:p w:rsidR="00093A3C" w:rsidRPr="00F93281" w:rsidRDefault="00093A3C" w:rsidP="008D6513">
      <w:pPr>
        <w:pStyle w:val="SingleTxtGA"/>
        <w:spacing w:line="370" w:lineRule="exact"/>
        <w:rPr>
          <w:spacing w:val="-2"/>
          <w:rtl/>
        </w:rPr>
      </w:pPr>
      <w:r>
        <w:rPr>
          <w:rtl/>
        </w:rPr>
        <w:t>٢-٢</w:t>
      </w:r>
      <w:r w:rsidR="00A41DFF">
        <w:rPr>
          <w:rtl/>
        </w:rPr>
        <w:tab/>
      </w:r>
      <w:r w:rsidRPr="00F93281">
        <w:rPr>
          <w:spacing w:val="-2"/>
          <w:rtl/>
        </w:rPr>
        <w:t>وبسبب مساهمة صاحبة الشكوى في هذه المقالات</w:t>
      </w:r>
      <w:r w:rsidR="004114AB" w:rsidRPr="00F93281">
        <w:rPr>
          <w:spacing w:val="-2"/>
          <w:rtl/>
        </w:rPr>
        <w:t>،</w:t>
      </w:r>
      <w:r w:rsidRPr="00F93281">
        <w:rPr>
          <w:spacing w:val="-2"/>
          <w:rtl/>
        </w:rPr>
        <w:t xml:space="preserve"> وغالباً بسبب اختيارها لتمثيل الصحيفة في بعض المناسبات لغرض تحسين سمعة الجريدة، أصبحت هدفاً لحركة طالبان وغيرها من </w:t>
      </w:r>
      <w:proofErr w:type="gramStart"/>
      <w:r w:rsidRPr="00F93281">
        <w:rPr>
          <w:spacing w:val="-2"/>
          <w:rtl/>
        </w:rPr>
        <w:t>المتطرفين</w:t>
      </w:r>
      <w:r w:rsidRPr="00F93281">
        <w:rPr>
          <w:spacing w:val="-2"/>
          <w:vertAlign w:val="superscript"/>
          <w:rtl/>
        </w:rPr>
        <w:t>(</w:t>
      </w:r>
      <w:proofErr w:type="gramEnd"/>
      <w:r w:rsidRPr="00F93281">
        <w:rPr>
          <w:rStyle w:val="FootnoteReference"/>
          <w:spacing w:val="-2"/>
          <w:rtl/>
        </w:rPr>
        <w:footnoteReference w:id="7"/>
      </w:r>
      <w:r w:rsidRPr="00F93281">
        <w:rPr>
          <w:spacing w:val="-2"/>
          <w:vertAlign w:val="superscript"/>
          <w:rtl/>
        </w:rPr>
        <w:t>)</w:t>
      </w:r>
      <w:r w:rsidRPr="00F93281">
        <w:rPr>
          <w:spacing w:val="-2"/>
          <w:rtl/>
        </w:rPr>
        <w:t>.</w:t>
      </w:r>
      <w:r w:rsidR="004114AB" w:rsidRPr="00F93281">
        <w:rPr>
          <w:spacing w:val="-2"/>
          <w:rtl/>
        </w:rPr>
        <w:t xml:space="preserve"> </w:t>
      </w:r>
      <w:r w:rsidRPr="00F93281">
        <w:rPr>
          <w:spacing w:val="-2"/>
          <w:rtl/>
        </w:rPr>
        <w:t xml:space="preserve">وعلى الرغم من أن التهديدات لم تكن تستهدفها شخصياً في البداية، فقد تلقى هذه التهديدات متعاونون آخرون، منهم رئيستها في العمل معصومة مالحي. وطلبت إدارة الصحيفة من الموظفات ارتداء "ملابس شرقية" وتغطية وجوههن عند الذهاب إلى المكتب والعودة منه، وكان يصاحبهن حراس في كل مكان يذهبن </w:t>
      </w:r>
      <w:proofErr w:type="gramStart"/>
      <w:r w:rsidRPr="00F93281">
        <w:rPr>
          <w:spacing w:val="-2"/>
          <w:rtl/>
        </w:rPr>
        <w:t>إليه</w:t>
      </w:r>
      <w:r w:rsidRPr="00F93281">
        <w:rPr>
          <w:spacing w:val="-2"/>
          <w:vertAlign w:val="superscript"/>
          <w:rtl/>
        </w:rPr>
        <w:t>(</w:t>
      </w:r>
      <w:proofErr w:type="gramEnd"/>
      <w:r w:rsidRPr="00F93281">
        <w:rPr>
          <w:rStyle w:val="FootnoteReference"/>
          <w:spacing w:val="-2"/>
          <w:rtl/>
        </w:rPr>
        <w:footnoteReference w:id="8"/>
      </w:r>
      <w:r w:rsidRPr="00F93281">
        <w:rPr>
          <w:spacing w:val="-2"/>
          <w:vertAlign w:val="superscript"/>
          <w:rtl/>
        </w:rPr>
        <w:t>)</w:t>
      </w:r>
      <w:r w:rsidRPr="00F93281">
        <w:rPr>
          <w:spacing w:val="-2"/>
          <w:rtl/>
        </w:rPr>
        <w:t>.</w:t>
      </w:r>
      <w:r w:rsidR="004114AB" w:rsidRPr="00F93281">
        <w:rPr>
          <w:spacing w:val="-2"/>
          <w:rtl/>
        </w:rPr>
        <w:t xml:space="preserve"> </w:t>
      </w:r>
    </w:p>
    <w:p w:rsidR="00093A3C" w:rsidRPr="008D6513" w:rsidRDefault="00093A3C" w:rsidP="008D6513">
      <w:pPr>
        <w:pStyle w:val="SingleTxtGA"/>
        <w:spacing w:line="370" w:lineRule="exact"/>
        <w:rPr>
          <w:spacing w:val="-4"/>
          <w:rtl/>
        </w:rPr>
      </w:pPr>
      <w:r w:rsidRPr="008D6513">
        <w:rPr>
          <w:spacing w:val="-4"/>
          <w:rtl/>
        </w:rPr>
        <w:t>٢-٣</w:t>
      </w:r>
      <w:r w:rsidR="00A41DFF" w:rsidRPr="008D6513">
        <w:rPr>
          <w:spacing w:val="-4"/>
          <w:rtl/>
        </w:rPr>
        <w:tab/>
      </w:r>
      <w:r w:rsidRPr="00F93281">
        <w:rPr>
          <w:spacing w:val="-2"/>
          <w:rtl/>
        </w:rPr>
        <w:t>وفي آب/أغسطس ٢٠٠٩ بدأت صاحبة الشكوى تتلقى تهديدات شخصية. ففي البداية، جرى شق إطارات سيارتها. وبعد ذلك تلقى سائق سيارتها ظرفاً به صور لها مشوهة بقلم أحمر. وتضمن الظرف أيض</w:t>
      </w:r>
      <w:r w:rsidR="007C55C2" w:rsidRPr="00F93281">
        <w:rPr>
          <w:spacing w:val="-2"/>
          <w:rtl/>
        </w:rPr>
        <w:t xml:space="preserve">اً </w:t>
      </w:r>
      <w:r w:rsidRPr="00F93281">
        <w:rPr>
          <w:spacing w:val="-2"/>
          <w:rtl/>
        </w:rPr>
        <w:t>تهديدات بالاعتداء عليها بالأحماض وتحذيرات بأنها لن تستطيع الاختباء في جميع الأوقات. وتلقت الصحيفة أيضاً في أحيان كثيرة أنواعاً مختلفة من التهديدات. وفي نهاية آب/أغسطس ٢٠٠٩، نشرت الصحيفة مقالاً بشأن مناسبة نظمتها مؤسسة خيرية</w:t>
      </w:r>
      <w:r w:rsidR="00AF4A56" w:rsidRPr="00F93281">
        <w:rPr>
          <w:rFonts w:hint="cs"/>
          <w:spacing w:val="-2"/>
          <w:rtl/>
        </w:rPr>
        <w:t xml:space="preserve"> </w:t>
      </w:r>
      <w:r w:rsidRPr="00F93281">
        <w:rPr>
          <w:spacing w:val="-2"/>
          <w:rtl/>
        </w:rPr>
        <w:t>كان رئيسها</w:t>
      </w:r>
      <w:r w:rsidRPr="008D6513">
        <w:rPr>
          <w:spacing w:val="-4"/>
          <w:rtl/>
        </w:rPr>
        <w:t xml:space="preserve"> سياسياً تقدمياً تكرهه طالبان وتطارده. وقد تضمن المقال</w:t>
      </w:r>
      <w:r w:rsidR="004114AB" w:rsidRPr="008D6513">
        <w:rPr>
          <w:spacing w:val="-4"/>
          <w:rtl/>
        </w:rPr>
        <w:t xml:space="preserve"> </w:t>
      </w:r>
      <w:r w:rsidRPr="008D6513">
        <w:rPr>
          <w:spacing w:val="-4"/>
          <w:rtl/>
        </w:rPr>
        <w:t>صورتها مع ذلك السياسي</w:t>
      </w:r>
      <w:r w:rsidR="004114AB" w:rsidRPr="008D6513">
        <w:rPr>
          <w:spacing w:val="-4"/>
          <w:rtl/>
        </w:rPr>
        <w:t>.</w:t>
      </w:r>
      <w:r w:rsidRPr="008D6513">
        <w:rPr>
          <w:spacing w:val="-4"/>
          <w:rtl/>
        </w:rPr>
        <w:t xml:space="preserve"> وبعد نشر</w:t>
      </w:r>
      <w:r w:rsidR="004114AB" w:rsidRPr="008D6513">
        <w:rPr>
          <w:spacing w:val="-4"/>
          <w:rtl/>
        </w:rPr>
        <w:t xml:space="preserve"> </w:t>
      </w:r>
      <w:r w:rsidRPr="008D6513">
        <w:rPr>
          <w:spacing w:val="-4"/>
          <w:rtl/>
        </w:rPr>
        <w:t>ذلك المقال</w:t>
      </w:r>
      <w:r w:rsidR="004114AB" w:rsidRPr="008D6513">
        <w:rPr>
          <w:spacing w:val="-4"/>
          <w:rtl/>
        </w:rPr>
        <w:t>،</w:t>
      </w:r>
      <w:r w:rsidRPr="008D6513">
        <w:rPr>
          <w:spacing w:val="-4"/>
          <w:rtl/>
        </w:rPr>
        <w:t xml:space="preserve"> تلقت مزيداً من التهديدات عبر الرسائل النصية والمكالمات الهاتفية على هاتفها الشخصي المحمول. واضطُرت إلى تغيير رقم هاتفها مرتين، ولكن دون جدوى. وهُددت مرة أخرى بتشويه وجهها أو بالاعتداء عليها بالأحماض لأنها "تكشف وجهها بوقاحة للرجال".</w:t>
      </w:r>
    </w:p>
    <w:p w:rsidR="00093A3C" w:rsidRDefault="00093A3C" w:rsidP="00A41DFF">
      <w:pPr>
        <w:pStyle w:val="SingleTxtGA"/>
        <w:rPr>
          <w:rtl/>
        </w:rPr>
      </w:pPr>
      <w:r>
        <w:rPr>
          <w:rtl/>
        </w:rPr>
        <w:lastRenderedPageBreak/>
        <w:t>٢-٤</w:t>
      </w:r>
      <w:r w:rsidR="00A41DFF">
        <w:rPr>
          <w:rtl/>
        </w:rPr>
        <w:tab/>
      </w:r>
      <w:r>
        <w:rPr>
          <w:rtl/>
        </w:rPr>
        <w:t xml:space="preserve">وفي كانون الثاني/يناير ٢٠١٠، زادت التهديدات الموجهة إليها بعد أن نشرت المجلة صورة </w:t>
      </w:r>
      <w:proofErr w:type="gramStart"/>
      <w:r>
        <w:rPr>
          <w:rtl/>
        </w:rPr>
        <w:t>فاضحة</w:t>
      </w:r>
      <w:r>
        <w:rPr>
          <w:vertAlign w:val="superscript"/>
          <w:rtl/>
        </w:rPr>
        <w:t>(</w:t>
      </w:r>
      <w:proofErr w:type="gramEnd"/>
      <w:r>
        <w:rPr>
          <w:rStyle w:val="FootnoteReference"/>
          <w:rtl/>
        </w:rPr>
        <w:footnoteReference w:id="9"/>
      </w:r>
      <w:r>
        <w:rPr>
          <w:vertAlign w:val="superscript"/>
          <w:rtl/>
        </w:rPr>
        <w:t>)</w:t>
      </w:r>
      <w:r w:rsidR="004114AB">
        <w:rPr>
          <w:rtl/>
        </w:rPr>
        <w:t xml:space="preserve"> </w:t>
      </w:r>
      <w:r>
        <w:rPr>
          <w:rtl/>
        </w:rPr>
        <w:t xml:space="preserve">لعارضة أزياء التُقطت لها أثناء أسبوع عرض الأزياء في كراتشي. وتعرضت عدة مرات للمطاردة من قِبل رجال غامضين يركبون دراجات، وفي ذات مرة، أثناء توقفها عند إشارة مرور وهي في سيارة يقودها أحد حراس الجريدة، طرق شخص زجاج السيارة بقوة وصرخ فيها لكي تخرج من السيارة. وقررت صاحبة الشكوى مغادرة البلد لأن والديها بدءا يتلقيان أيضاً تهديدات في نهاية عام 2009. </w:t>
      </w:r>
    </w:p>
    <w:p w:rsidR="00093A3C" w:rsidRDefault="00093A3C" w:rsidP="00A44C89">
      <w:pPr>
        <w:pStyle w:val="SingleTxtGA"/>
        <w:rPr>
          <w:rtl/>
        </w:rPr>
      </w:pPr>
      <w:r>
        <w:rPr>
          <w:rtl/>
        </w:rPr>
        <w:t>٢-٥</w:t>
      </w:r>
      <w:r w:rsidR="00A44C89">
        <w:rPr>
          <w:rtl/>
        </w:rPr>
        <w:tab/>
      </w:r>
      <w:r w:rsidRPr="008D6513">
        <w:rPr>
          <w:spacing w:val="-2"/>
          <w:rtl/>
        </w:rPr>
        <w:t>وفي ٢٢ حزيران/</w:t>
      </w:r>
      <w:proofErr w:type="gramStart"/>
      <w:r w:rsidRPr="008D6513">
        <w:rPr>
          <w:spacing w:val="-2"/>
          <w:rtl/>
        </w:rPr>
        <w:t>يونيه</w:t>
      </w:r>
      <w:proofErr w:type="gramEnd"/>
      <w:r w:rsidRPr="008D6513">
        <w:rPr>
          <w:spacing w:val="-2"/>
          <w:rtl/>
        </w:rPr>
        <w:t xml:space="preserve"> ٢٠١٠، وصلت إلى كندا بتأشيرة دراسة. وبعد مغادرتها باكستان، </w:t>
      </w:r>
      <w:r w:rsidRPr="00F93281">
        <w:rPr>
          <w:spacing w:val="-4"/>
          <w:rtl/>
        </w:rPr>
        <w:t>كان والداها يتلقيان من وقت لآخر مكالمات هاتفية تستفسر عن مكان اختفائها. واضطُر والداها</w:t>
      </w:r>
      <w:r w:rsidRPr="008D6513">
        <w:rPr>
          <w:spacing w:val="-2"/>
          <w:rtl/>
        </w:rPr>
        <w:t xml:space="preserve"> </w:t>
      </w:r>
      <w:r w:rsidRPr="00F93281">
        <w:rPr>
          <w:spacing w:val="-4"/>
          <w:rtl/>
        </w:rPr>
        <w:t xml:space="preserve">إلى الانتقال إلى دبي لفترة من الوقت لخوفهما على </w:t>
      </w:r>
      <w:proofErr w:type="gramStart"/>
      <w:r w:rsidRPr="00F93281">
        <w:rPr>
          <w:spacing w:val="-4"/>
          <w:rtl/>
        </w:rPr>
        <w:t>حياتهما</w:t>
      </w:r>
      <w:r w:rsidRPr="00F93281">
        <w:rPr>
          <w:spacing w:val="-4"/>
          <w:vertAlign w:val="superscript"/>
          <w:rtl/>
        </w:rPr>
        <w:t>(</w:t>
      </w:r>
      <w:proofErr w:type="gramEnd"/>
      <w:r w:rsidRPr="00F93281">
        <w:rPr>
          <w:rStyle w:val="FootnoteReference"/>
          <w:spacing w:val="-4"/>
          <w:rtl/>
        </w:rPr>
        <w:footnoteReference w:id="10"/>
      </w:r>
      <w:r w:rsidRPr="00F93281">
        <w:rPr>
          <w:spacing w:val="-4"/>
          <w:vertAlign w:val="superscript"/>
          <w:rtl/>
        </w:rPr>
        <w:t>)</w:t>
      </w:r>
      <w:r w:rsidRPr="00F93281">
        <w:rPr>
          <w:spacing w:val="-4"/>
          <w:rtl/>
        </w:rPr>
        <w:t>.</w:t>
      </w:r>
      <w:r w:rsidR="004114AB" w:rsidRPr="00F93281">
        <w:rPr>
          <w:spacing w:val="-4"/>
          <w:rtl/>
        </w:rPr>
        <w:t xml:space="preserve"> </w:t>
      </w:r>
      <w:r w:rsidRPr="00F93281">
        <w:rPr>
          <w:spacing w:val="-4"/>
          <w:rtl/>
        </w:rPr>
        <w:t>وبعد ذلك، اضطُر والداها إلى التنقل</w:t>
      </w:r>
      <w:r>
        <w:rPr>
          <w:rtl/>
        </w:rPr>
        <w:t xml:space="preserve"> من وقت إلى آخر لتجنب التهديدات.</w:t>
      </w:r>
    </w:p>
    <w:p w:rsidR="00093A3C" w:rsidRDefault="00093A3C" w:rsidP="008D6513">
      <w:pPr>
        <w:pStyle w:val="SingleTxtGA"/>
        <w:rPr>
          <w:rtl/>
        </w:rPr>
      </w:pPr>
      <w:r>
        <w:rPr>
          <w:rtl/>
        </w:rPr>
        <w:t>٢-٦</w:t>
      </w:r>
      <w:r w:rsidR="00A44C89">
        <w:rPr>
          <w:rtl/>
        </w:rPr>
        <w:tab/>
      </w:r>
      <w:r w:rsidRPr="008D6513">
        <w:rPr>
          <w:spacing w:val="-2"/>
          <w:rtl/>
        </w:rPr>
        <w:t xml:space="preserve">وفي ١٧ آب/أغسطس ٢٠١٢، طلبت اللجوء بعد انتهاء صلاحية تأشيرتها. وفي 30 آذار/مارس 2016، رفضت شعبة حماية اللاجئين التابعة لمجلس الهجرة واللاجئين في كندا طلب حصولها على حماية </w:t>
      </w:r>
      <w:proofErr w:type="gramStart"/>
      <w:r w:rsidRPr="008D6513">
        <w:rPr>
          <w:spacing w:val="-2"/>
          <w:rtl/>
        </w:rPr>
        <w:t>اللاجئين</w:t>
      </w:r>
      <w:r w:rsidRPr="008D6513">
        <w:rPr>
          <w:spacing w:val="-2"/>
          <w:vertAlign w:val="superscript"/>
          <w:rtl/>
        </w:rPr>
        <w:t>(</w:t>
      </w:r>
      <w:proofErr w:type="gramEnd"/>
      <w:r w:rsidRPr="008D6513">
        <w:rPr>
          <w:rStyle w:val="FootnoteReference"/>
          <w:spacing w:val="-2"/>
          <w:rtl/>
        </w:rPr>
        <w:footnoteReference w:id="11"/>
      </w:r>
      <w:r w:rsidRPr="008D6513">
        <w:rPr>
          <w:spacing w:val="-2"/>
          <w:vertAlign w:val="superscript"/>
          <w:rtl/>
        </w:rPr>
        <w:t>)</w:t>
      </w:r>
      <w:r w:rsidRPr="008D6513">
        <w:rPr>
          <w:spacing w:val="-2"/>
          <w:rtl/>
        </w:rPr>
        <w:t>.</w:t>
      </w:r>
      <w:r w:rsidR="004114AB" w:rsidRPr="008D6513">
        <w:rPr>
          <w:spacing w:val="-2"/>
          <w:rtl/>
        </w:rPr>
        <w:t xml:space="preserve"> </w:t>
      </w:r>
      <w:r w:rsidRPr="008D6513">
        <w:rPr>
          <w:spacing w:val="-2"/>
          <w:rtl/>
        </w:rPr>
        <w:t xml:space="preserve">ولم تطعن الشعبة في أن صاحبة الشكوى عملت كصحفية في جريدة </w:t>
      </w:r>
      <w:r w:rsidRPr="008D6513">
        <w:rPr>
          <w:spacing w:val="-2"/>
        </w:rPr>
        <w:t>Sunday</w:t>
      </w:r>
      <w:r w:rsidR="00A41DFF" w:rsidRPr="008D6513">
        <w:rPr>
          <w:spacing w:val="-2"/>
        </w:rPr>
        <w:t> </w:t>
      </w:r>
      <w:r w:rsidRPr="008D6513">
        <w:rPr>
          <w:spacing w:val="-2"/>
        </w:rPr>
        <w:t>Times</w:t>
      </w:r>
      <w:r w:rsidRPr="008D6513">
        <w:rPr>
          <w:spacing w:val="-2"/>
          <w:rtl/>
        </w:rPr>
        <w:t>، ولكن رأت الشعبة أن صاحبة الشكوى تفتقر إلى المصداقية، لأن سلوكها يتنافى</w:t>
      </w:r>
      <w:r>
        <w:rPr>
          <w:rtl/>
        </w:rPr>
        <w:t xml:space="preserve"> مع خوفها المزعوم، ولأنها لم تطلب الحماية من السلطات المحلية. وأشارت الشعبة إلى أن</w:t>
      </w:r>
      <w:r w:rsidR="008D6513">
        <w:rPr>
          <w:rFonts w:hint="cs"/>
          <w:rtl/>
        </w:rPr>
        <w:t> </w:t>
      </w:r>
      <w:r>
        <w:rPr>
          <w:rtl/>
        </w:rPr>
        <w:t>صاحبة الشكوى غيرت في وقت لاحق الرواية الأولية للوقائع التي قدمتها في ١٨ أيلول/</w:t>
      </w:r>
      <w:r w:rsidR="008D6513">
        <w:rPr>
          <w:rFonts w:hint="cs"/>
          <w:rtl/>
        </w:rPr>
        <w:t xml:space="preserve"> </w:t>
      </w:r>
      <w:r w:rsidRPr="008D6513">
        <w:rPr>
          <w:spacing w:val="-4"/>
          <w:rtl/>
        </w:rPr>
        <w:t>سبتمبر ٢٠١٢</w:t>
      </w:r>
      <w:r w:rsidRPr="008D6513">
        <w:rPr>
          <w:spacing w:val="-4"/>
          <w:vertAlign w:val="superscript"/>
          <w:rtl/>
        </w:rPr>
        <w:t>(</w:t>
      </w:r>
      <w:r w:rsidRPr="008D6513">
        <w:rPr>
          <w:rStyle w:val="FootnoteReference"/>
          <w:spacing w:val="-4"/>
          <w:rtl/>
        </w:rPr>
        <w:footnoteReference w:id="12"/>
      </w:r>
      <w:r w:rsidRPr="008D6513">
        <w:rPr>
          <w:spacing w:val="-4"/>
          <w:vertAlign w:val="superscript"/>
          <w:rtl/>
        </w:rPr>
        <w:t>)</w:t>
      </w:r>
      <w:r w:rsidRPr="008D6513">
        <w:rPr>
          <w:spacing w:val="-4"/>
          <w:rtl/>
        </w:rPr>
        <w:t>.</w:t>
      </w:r>
      <w:r w:rsidR="004114AB" w:rsidRPr="008D6513">
        <w:rPr>
          <w:spacing w:val="-4"/>
          <w:rtl/>
        </w:rPr>
        <w:t xml:space="preserve"> </w:t>
      </w:r>
      <w:r w:rsidRPr="008D6513">
        <w:rPr>
          <w:spacing w:val="-4"/>
          <w:rtl/>
        </w:rPr>
        <w:t>وأشارت الشعبة أيضاً إلى أن تفسيرها لعدم إبلاغها السلطات بهذه المعلومات</w:t>
      </w:r>
      <w:r>
        <w:rPr>
          <w:rtl/>
        </w:rPr>
        <w:t xml:space="preserve"> في </w:t>
      </w:r>
      <w:r w:rsidRPr="00CA4839">
        <w:rPr>
          <w:spacing w:val="-4"/>
          <w:rtl/>
        </w:rPr>
        <w:t>وقت مبكر، وهو أنها كانت تشعر بأنها واقعة تحت ضغط، لا يتسم بالمصداقية، إذ إنها كتبت بيانها</w:t>
      </w:r>
      <w:r>
        <w:rPr>
          <w:rtl/>
        </w:rPr>
        <w:t xml:space="preserve"> </w:t>
      </w:r>
      <w:r w:rsidRPr="00CA4839">
        <w:rPr>
          <w:spacing w:val="-4"/>
          <w:rtl/>
        </w:rPr>
        <w:t>الأول في كندا في جو خالٍ من أي تهديدات أخرى. ورأت الشعبة أن سلوكها يفتقر إلى الاتساق</w:t>
      </w:r>
      <w:r>
        <w:rPr>
          <w:rtl/>
        </w:rPr>
        <w:t xml:space="preserve">، </w:t>
      </w:r>
      <w:r w:rsidRPr="00CA4839">
        <w:rPr>
          <w:spacing w:val="-4"/>
          <w:rtl/>
        </w:rPr>
        <w:t>حيث اتخذت قرار مغادرة باكستان في نهاية عام ٢٠٠٩، ولكنها لم تغادر البلد إلا</w:t>
      </w:r>
      <w:r w:rsidR="008D6513" w:rsidRPr="00CA4839">
        <w:rPr>
          <w:rFonts w:hint="cs"/>
          <w:spacing w:val="-4"/>
          <w:rtl/>
        </w:rPr>
        <w:t> </w:t>
      </w:r>
      <w:r w:rsidRPr="00CA4839">
        <w:rPr>
          <w:spacing w:val="-4"/>
          <w:rtl/>
        </w:rPr>
        <w:t>في حزيران/</w:t>
      </w:r>
      <w:r w:rsidR="00CA4839">
        <w:rPr>
          <w:rFonts w:hint="cs"/>
          <w:rtl/>
        </w:rPr>
        <w:t xml:space="preserve">          </w:t>
      </w:r>
      <w:proofErr w:type="gramStart"/>
      <w:r>
        <w:rPr>
          <w:rtl/>
        </w:rPr>
        <w:t>يونيه</w:t>
      </w:r>
      <w:proofErr w:type="gramEnd"/>
      <w:r>
        <w:rPr>
          <w:rtl/>
        </w:rPr>
        <w:t xml:space="preserve"> ٢٠١٠. وفيما يتعلق بالأدلة المقدمة، ذكرت الشعبة أن الإفادات المقدمة من زملائها السابقين، التي تؤكد المشاكل التي تدعي أنها تواجهها، </w:t>
      </w:r>
      <w:proofErr w:type="gramStart"/>
      <w:r>
        <w:rPr>
          <w:rtl/>
        </w:rPr>
        <w:t>متماثلة</w:t>
      </w:r>
      <w:r>
        <w:rPr>
          <w:vertAlign w:val="superscript"/>
          <w:rtl/>
        </w:rPr>
        <w:t>(</w:t>
      </w:r>
      <w:proofErr w:type="gramEnd"/>
      <w:r>
        <w:rPr>
          <w:rStyle w:val="FootnoteReference"/>
          <w:rtl/>
        </w:rPr>
        <w:footnoteReference w:id="13"/>
      </w:r>
      <w:r>
        <w:rPr>
          <w:vertAlign w:val="superscript"/>
          <w:rtl/>
        </w:rPr>
        <w:t>)</w:t>
      </w:r>
      <w:r>
        <w:rPr>
          <w:rtl/>
        </w:rPr>
        <w:t>،</w:t>
      </w:r>
      <w:r w:rsidR="004114AB">
        <w:rPr>
          <w:rtl/>
        </w:rPr>
        <w:t xml:space="preserve"> </w:t>
      </w:r>
      <w:r>
        <w:rPr>
          <w:rtl/>
        </w:rPr>
        <w:t xml:space="preserve">ونظراً إلى أن صاحبة </w:t>
      </w:r>
      <w:r w:rsidRPr="00CA4839">
        <w:rPr>
          <w:spacing w:val="-4"/>
          <w:rtl/>
        </w:rPr>
        <w:t>الشكوى لم توضح سبب هذا التماثل، رفضت الشعبة منح تلك الوثائق قيمة ثبوتية. ورأت الشعبة أيضاً</w:t>
      </w:r>
      <w:r>
        <w:rPr>
          <w:rtl/>
        </w:rPr>
        <w:t xml:space="preserve"> أنه ليس من المعقول أن يظل والداها يتلقيان تهديدات، إذ إنها غادرت باكستان قبل عدة سنوات. وأخيراً، رأت الشعبة أن صاحبة الشكوى تفتقر إلى المصداقية بالنظر إلى أنها لم تسع إلى طلب الحماية من السلطات في بلدها، ولأن ادعاءها أن "رئيسها الرفيع المنصب" كان أقدر على حمايتها من الشرطة لا يمكن اعتباره مبرراً كافياً.</w:t>
      </w:r>
    </w:p>
    <w:p w:rsidR="00093A3C" w:rsidRDefault="00093A3C" w:rsidP="0036005B">
      <w:pPr>
        <w:pStyle w:val="SingleTxtGA"/>
        <w:spacing w:line="374" w:lineRule="exact"/>
        <w:rPr>
          <w:rtl/>
        </w:rPr>
      </w:pPr>
      <w:r>
        <w:rPr>
          <w:rtl/>
        </w:rPr>
        <w:lastRenderedPageBreak/>
        <w:t>٢-٧</w:t>
      </w:r>
      <w:r w:rsidR="00A41DFF">
        <w:tab/>
      </w:r>
      <w:r>
        <w:rPr>
          <w:rtl/>
        </w:rPr>
        <w:t xml:space="preserve">وطلبت صاحبة الشكوى إلى المحكمة الاتحادية إجراء مراجعة قضائية للقرار الصادر عن شعبة حماية اللاجئين، ورُفض طلبها في ٢٥ آب/أغسطس ٢٠١٦. وهي تدعي أنها استنفدت جميع سبل الانتصاف المحلية المتاحة، إذ إن وقف الترحيل الذي يمكن أن تمنحه المحكمة الاتحادية لا يشكل سبيل انتصاف </w:t>
      </w:r>
      <w:proofErr w:type="gramStart"/>
      <w:r>
        <w:rPr>
          <w:rtl/>
        </w:rPr>
        <w:t>فعالاً</w:t>
      </w:r>
      <w:r>
        <w:rPr>
          <w:vertAlign w:val="superscript"/>
          <w:rtl/>
        </w:rPr>
        <w:t>(</w:t>
      </w:r>
      <w:proofErr w:type="gramEnd"/>
      <w:r>
        <w:rPr>
          <w:rStyle w:val="FootnoteReference"/>
          <w:rtl/>
        </w:rPr>
        <w:footnoteReference w:id="14"/>
      </w:r>
      <w:r>
        <w:rPr>
          <w:vertAlign w:val="superscript"/>
          <w:rtl/>
        </w:rPr>
        <w:t>)</w:t>
      </w:r>
      <w:r>
        <w:rPr>
          <w:rtl/>
        </w:rPr>
        <w:t>.</w:t>
      </w:r>
      <w:r w:rsidR="004114AB">
        <w:rPr>
          <w:rtl/>
        </w:rPr>
        <w:t xml:space="preserve"> </w:t>
      </w:r>
    </w:p>
    <w:p w:rsidR="00093A3C" w:rsidRDefault="00093A3C" w:rsidP="0036005B">
      <w:pPr>
        <w:pStyle w:val="H23GA"/>
        <w:spacing w:line="374" w:lineRule="exact"/>
        <w:rPr>
          <w:rtl/>
        </w:rPr>
      </w:pPr>
      <w:r>
        <w:rPr>
          <w:rtl/>
        </w:rPr>
        <w:tab/>
      </w:r>
      <w:r>
        <w:rPr>
          <w:rtl/>
        </w:rPr>
        <w:tab/>
        <w:t>الشكوى</w:t>
      </w:r>
    </w:p>
    <w:p w:rsidR="00093A3C" w:rsidRDefault="00093A3C" w:rsidP="0036005B">
      <w:pPr>
        <w:pStyle w:val="SingleTxtGA"/>
        <w:spacing w:line="374" w:lineRule="exact"/>
        <w:rPr>
          <w:rtl/>
        </w:rPr>
      </w:pPr>
      <w:r>
        <w:rPr>
          <w:rtl/>
        </w:rPr>
        <w:t>٣-١</w:t>
      </w:r>
      <w:r w:rsidR="00A41DFF">
        <w:rPr>
          <w:rtl/>
        </w:rPr>
        <w:tab/>
      </w:r>
      <w:r>
        <w:rPr>
          <w:rtl/>
        </w:rPr>
        <w:t xml:space="preserve">تدعي صاحبة الشكوى أن إقدام كندا على ترحيلها إلى باكستان سينتهك حقوقها بموجب المادة 3 من الاتفاقية. وهي تخشى التعرض للتعذيب أو المعاملة القاسية أو اللاإنسانية أو المهينة على يد طالبان، بسبب عملها كصحفية بالإضافة إلى كونها امرأة متحررة. فقد تلقت أثناء وجودها في باكستان تهديدات بالاعتداء عليها بالأحماض أو بالقتل في نهاية المطاف. </w:t>
      </w:r>
    </w:p>
    <w:p w:rsidR="00093A3C" w:rsidRDefault="00093A3C" w:rsidP="0036005B">
      <w:pPr>
        <w:pStyle w:val="SingleTxtGA"/>
        <w:spacing w:line="374" w:lineRule="exact"/>
        <w:rPr>
          <w:rtl/>
        </w:rPr>
      </w:pPr>
      <w:r>
        <w:rPr>
          <w:rtl/>
        </w:rPr>
        <w:t>٣-٢</w:t>
      </w:r>
      <w:r w:rsidR="00A41DFF" w:rsidRPr="00CA4839">
        <w:rPr>
          <w:spacing w:val="-4"/>
          <w:rtl/>
        </w:rPr>
        <w:tab/>
      </w:r>
      <w:r w:rsidRPr="00CA4839">
        <w:rPr>
          <w:spacing w:val="-4"/>
          <w:rtl/>
        </w:rPr>
        <w:t xml:space="preserve">وهي تؤكد أنها تعرضت لأشكال مختلفة من التهديد، وأنها اضطُرت إلى الاحتماء بحراس </w:t>
      </w:r>
      <w:r>
        <w:rPr>
          <w:rtl/>
        </w:rPr>
        <w:t xml:space="preserve">الصحيفة في جميع سفرياتها، وأن والديها لا يزالان يتلقيان تهديدات تستهدفها. </w:t>
      </w:r>
    </w:p>
    <w:p w:rsidR="00093A3C" w:rsidRDefault="00093A3C" w:rsidP="0036005B">
      <w:pPr>
        <w:pStyle w:val="H23GA"/>
        <w:spacing w:line="374" w:lineRule="exact"/>
        <w:rPr>
          <w:rtl/>
        </w:rPr>
      </w:pPr>
      <w:r>
        <w:rPr>
          <w:rtl/>
        </w:rPr>
        <w:tab/>
      </w:r>
      <w:r>
        <w:rPr>
          <w:rtl/>
        </w:rPr>
        <w:tab/>
        <w:t>ملاحظات الدولة الطرف على مقبولية البلاغ وأسسه الموضوعية</w:t>
      </w:r>
    </w:p>
    <w:p w:rsidR="00093A3C" w:rsidRDefault="00093A3C" w:rsidP="0036005B">
      <w:pPr>
        <w:pStyle w:val="SingleTxtGA"/>
        <w:spacing w:line="374" w:lineRule="exact"/>
        <w:rPr>
          <w:rtl/>
        </w:rPr>
      </w:pPr>
      <w:r>
        <w:rPr>
          <w:rtl/>
        </w:rPr>
        <w:t>٤-1</w:t>
      </w:r>
      <w:r w:rsidR="00A41DFF">
        <w:rPr>
          <w:rtl/>
        </w:rPr>
        <w:tab/>
      </w:r>
      <w:r w:rsidRPr="00CA4839">
        <w:rPr>
          <w:spacing w:val="-4"/>
          <w:rtl/>
        </w:rPr>
        <w:t>في 18 أيار/مايو 2017، قدمت الدولة الطرف ملاحظاتها بشأن مقبولية البلاغ وأسسه</w:t>
      </w:r>
      <w:r>
        <w:rPr>
          <w:rtl/>
        </w:rPr>
        <w:t xml:space="preserve"> الموضوعية، بما في ذلك طلب إلغاء التدابير المؤقتة. </w:t>
      </w:r>
    </w:p>
    <w:p w:rsidR="00093A3C" w:rsidRDefault="00093A3C" w:rsidP="0036005B">
      <w:pPr>
        <w:pStyle w:val="SingleTxtGA"/>
        <w:spacing w:line="374" w:lineRule="exact"/>
        <w:rPr>
          <w:rtl/>
        </w:rPr>
      </w:pPr>
      <w:r>
        <w:rPr>
          <w:rtl/>
        </w:rPr>
        <w:t>٤-٢</w:t>
      </w:r>
      <w:r w:rsidR="00A41DFF">
        <w:rPr>
          <w:rtl/>
        </w:rPr>
        <w:tab/>
      </w:r>
      <w:r w:rsidRPr="00CA4839">
        <w:rPr>
          <w:spacing w:val="-4"/>
          <w:rtl/>
        </w:rPr>
        <w:t>وتؤكد الدولة الطرف أن البلاغ غير مقبول لسببين. أولاً، ترى الدولة الطرف أن صاحبة الشكوى لم تستنفد سبل الانتصاف المحلية، حيث لم تطلب الحصول على الإقامة الدائمة لأسباب إنسانية ولدواعي الرأفة. وتؤكد الدولة الطرف أن صاحبة الشكوى، لو كانت طلبت الإقامة الدائمة</w:t>
      </w:r>
      <w:r>
        <w:rPr>
          <w:rtl/>
        </w:rPr>
        <w:t xml:space="preserve"> من خارج كندا لسُمح لها بالبقاء في كندا بصورة دائمة وفقاً للتقييم الذي تجريه دائرة المواطنة والهجرة في </w:t>
      </w:r>
      <w:proofErr w:type="gramStart"/>
      <w:r>
        <w:rPr>
          <w:rtl/>
        </w:rPr>
        <w:t>كندا</w:t>
      </w:r>
      <w:r>
        <w:rPr>
          <w:vertAlign w:val="superscript"/>
          <w:rtl/>
        </w:rPr>
        <w:t>(</w:t>
      </w:r>
      <w:proofErr w:type="gramEnd"/>
      <w:r>
        <w:rPr>
          <w:rStyle w:val="FootnoteReference"/>
          <w:rtl/>
        </w:rPr>
        <w:footnoteReference w:id="15"/>
      </w:r>
      <w:r>
        <w:rPr>
          <w:vertAlign w:val="superscript"/>
          <w:rtl/>
        </w:rPr>
        <w:t>)</w:t>
      </w:r>
      <w:r>
        <w:rPr>
          <w:rtl/>
        </w:rPr>
        <w:t>.</w:t>
      </w:r>
      <w:r w:rsidR="004114AB">
        <w:rPr>
          <w:rtl/>
        </w:rPr>
        <w:t xml:space="preserve"> </w:t>
      </w:r>
      <w:r>
        <w:rPr>
          <w:rtl/>
        </w:rPr>
        <w:t>وتذكِّر الدولة الطرف بأن إدارة الهجرة واللاجئين والمواطنة في كندا تلقت في</w:t>
      </w:r>
      <w:r w:rsidR="00CA4839">
        <w:rPr>
          <w:rFonts w:hint="cs"/>
          <w:rtl/>
        </w:rPr>
        <w:t> </w:t>
      </w:r>
      <w:r>
        <w:rPr>
          <w:rtl/>
        </w:rPr>
        <w:t xml:space="preserve">٢٧ كانون الثاني/يناير ٢٠١٧ طلب صاحبة الشكوى الحصول على الإقامة الدائمة لأسباب إنسانية. غير أن طلبها رُفض في ١٣ شباط/فبراير ٢٠١٧، عملاً </w:t>
      </w:r>
      <w:r w:rsidR="00A41DFF">
        <w:rPr>
          <w:rtl/>
        </w:rPr>
        <w:t>بأحكام المادة ٢٥</w:t>
      </w:r>
      <w:r>
        <w:rPr>
          <w:rtl/>
        </w:rPr>
        <w:t xml:space="preserve">(1-2) من قانون الهجرة وحماية اللاجئين، حيث لا يجوز للشخص أن يطلب إقامة دائمة لأسباب إنسانية ولدواعي الرأفة في غضون ١٢ شهراً من قرار الرفض الصادر عن شعبة حماية اللاجئين. وبما أن الشعبة رفضت في ٣٠ آذار/مارس ٢٠١٦ طلبها المتعلق باللجوء، وأن المحكمة الاتحادية رفضت </w:t>
      </w:r>
      <w:r w:rsidRPr="0036005B">
        <w:rPr>
          <w:spacing w:val="-5"/>
          <w:rtl/>
        </w:rPr>
        <w:t>في ٢٥ آب/أغسطس ٢٠١٦ طلبها المتعلق بإجراء مراجعة قضائية لقرار الرفض الذي اتخذته الشعبة،</w:t>
      </w:r>
      <w:r>
        <w:rPr>
          <w:rtl/>
        </w:rPr>
        <w:t xml:space="preserve"> لا يحق لصاحبة الشكوى أن تطلب الإقامة الدائمة. وأخطرت إدارة الهجرة واللاجئين والمواطنة في كندا صاحبة الشكوى بقرار الرفض عن طريق البريد الإلكتروني في ٢٨ شباط/فبراير ٢٠١٧. وتدفع الدولة الطرف بأن ١٢ شهراً قد انقضت منذ أن رُفض طلب صاحبة الشكوى، ولذلك يجوز لها تقديم طلب جديد إلى الإدارة للحصول على إقامة دائمة لأسباب إنسانية ولدواعي الرأفة. ومع ذلك، تلاحظ الدولة الطرف أن صاحبة الشكوى لم تفعل ذلك.</w:t>
      </w:r>
    </w:p>
    <w:p w:rsidR="00093A3C" w:rsidRDefault="00093A3C" w:rsidP="003F03CB">
      <w:pPr>
        <w:pStyle w:val="SingleTxtGA"/>
        <w:rPr>
          <w:rtl/>
        </w:rPr>
      </w:pPr>
      <w:r>
        <w:rPr>
          <w:rtl/>
        </w:rPr>
        <w:lastRenderedPageBreak/>
        <w:t>٤-٣</w:t>
      </w:r>
      <w:r w:rsidR="003F03CB">
        <w:rPr>
          <w:rtl/>
        </w:rPr>
        <w:tab/>
      </w:r>
      <w:r>
        <w:rPr>
          <w:rtl/>
        </w:rPr>
        <w:t xml:space="preserve">وثانياً، ترى الدولة الطرف أن صاحبة الشكوى لم تطلب إجراء تقييم للمخاطر قبل الترحيل. وتذكِّر الدولة الطرف بأن الأشخاص الموجودين في كندا، بخلاف الأشخاص المشمولين بالحماية أو الأشخاص المعترف بهم "كلاجئين بموجب الاتفاقية" من قِبل بلد آخر قد يُرحلون إليه، يجوز لهم أن يطلبوا إجراء هذا التقييم إن كانوا خاضعين لأمر إبعاد قابل </w:t>
      </w:r>
      <w:proofErr w:type="gramStart"/>
      <w:r>
        <w:rPr>
          <w:rtl/>
        </w:rPr>
        <w:t>للإنفاذ</w:t>
      </w:r>
      <w:r w:rsidR="009535E8">
        <w:rPr>
          <w:vertAlign w:val="superscript"/>
          <w:rtl/>
        </w:rPr>
        <w:t>(</w:t>
      </w:r>
      <w:proofErr w:type="gramEnd"/>
      <w:r w:rsidR="009535E8">
        <w:rPr>
          <w:rStyle w:val="FootnoteReference"/>
          <w:rtl/>
        </w:rPr>
        <w:footnoteReference w:id="16"/>
      </w:r>
      <w:r w:rsidR="009535E8">
        <w:rPr>
          <w:vertAlign w:val="superscript"/>
          <w:rtl/>
        </w:rPr>
        <w:t>)</w:t>
      </w:r>
      <w:r>
        <w:rPr>
          <w:rtl/>
        </w:rPr>
        <w:t>.</w:t>
      </w:r>
      <w:r w:rsidR="004114AB">
        <w:rPr>
          <w:rtl/>
        </w:rPr>
        <w:t xml:space="preserve"> </w:t>
      </w:r>
      <w:r>
        <w:rPr>
          <w:rtl/>
        </w:rPr>
        <w:t xml:space="preserve">ويجوز لأي شخص أن يقدم طلباً للحصول على الحماية إلى الوزير في غضون ١٥ يوماً من إخطاره بقرار </w:t>
      </w:r>
      <w:proofErr w:type="gramStart"/>
      <w:r>
        <w:rPr>
          <w:rtl/>
        </w:rPr>
        <w:t>الإبعاد</w:t>
      </w:r>
      <w:r w:rsidR="009535E8">
        <w:rPr>
          <w:vertAlign w:val="superscript"/>
          <w:rtl/>
        </w:rPr>
        <w:t>(</w:t>
      </w:r>
      <w:proofErr w:type="gramEnd"/>
      <w:r w:rsidR="009535E8">
        <w:rPr>
          <w:rStyle w:val="FootnoteReference"/>
          <w:rtl/>
        </w:rPr>
        <w:footnoteReference w:id="17"/>
      </w:r>
      <w:r w:rsidR="009535E8">
        <w:rPr>
          <w:vertAlign w:val="superscript"/>
          <w:rtl/>
        </w:rPr>
        <w:t>)</w:t>
      </w:r>
      <w:r>
        <w:rPr>
          <w:rtl/>
        </w:rPr>
        <w:t>.</w:t>
      </w:r>
      <w:r w:rsidR="004114AB">
        <w:rPr>
          <w:rtl/>
        </w:rPr>
        <w:t xml:space="preserve"> </w:t>
      </w:r>
      <w:r>
        <w:rPr>
          <w:rtl/>
        </w:rPr>
        <w:t xml:space="preserve">وتذكِّر الدولة الطرف بأن التقييم تجريه مجموعة من الموظفين المتخصصين والمستقلين والمحايدين التابعين لدائرة المواطنة والهجرة في </w:t>
      </w:r>
      <w:proofErr w:type="gramStart"/>
      <w:r>
        <w:rPr>
          <w:rtl/>
        </w:rPr>
        <w:t>كندا</w:t>
      </w:r>
      <w:r w:rsidR="009535E8">
        <w:rPr>
          <w:vertAlign w:val="superscript"/>
          <w:rtl/>
        </w:rPr>
        <w:t>(</w:t>
      </w:r>
      <w:proofErr w:type="gramEnd"/>
      <w:r w:rsidR="009535E8">
        <w:rPr>
          <w:rStyle w:val="FootnoteReference"/>
          <w:rtl/>
        </w:rPr>
        <w:footnoteReference w:id="18"/>
      </w:r>
      <w:r w:rsidR="009535E8">
        <w:rPr>
          <w:vertAlign w:val="superscript"/>
          <w:rtl/>
        </w:rPr>
        <w:t>)</w:t>
      </w:r>
      <w:r>
        <w:rPr>
          <w:rtl/>
        </w:rPr>
        <w:t>.</w:t>
      </w:r>
      <w:r w:rsidR="004114AB">
        <w:rPr>
          <w:rtl/>
        </w:rPr>
        <w:t xml:space="preserve"> </w:t>
      </w:r>
      <w:r>
        <w:rPr>
          <w:rtl/>
        </w:rPr>
        <w:t xml:space="preserve">ويقرر الموظفون الذين يجرون التقييم ما إذا كان إبعاد مقدم الطلب سيعرضه لخطر الاضطهاد على النحو المنصوص عليه في </w:t>
      </w:r>
      <w:r w:rsidRPr="00F93281">
        <w:rPr>
          <w:spacing w:val="-2"/>
          <w:rtl/>
        </w:rPr>
        <w:t>الاتفاقية الخاصة بوضع اللاجئين، أو لخطر التعذيب، أو لخطر الموت أو التعرض للمعاملة القاسية</w:t>
      </w:r>
      <w:r>
        <w:rPr>
          <w:rtl/>
        </w:rPr>
        <w:t xml:space="preserve"> أو اللاإنسانية أو المهينة في حالة إعادته إلى بلده </w:t>
      </w:r>
      <w:proofErr w:type="gramStart"/>
      <w:r>
        <w:rPr>
          <w:rtl/>
        </w:rPr>
        <w:t>الأصلي</w:t>
      </w:r>
      <w:r w:rsidR="009535E8">
        <w:rPr>
          <w:vertAlign w:val="superscript"/>
          <w:rtl/>
        </w:rPr>
        <w:t>(</w:t>
      </w:r>
      <w:proofErr w:type="gramEnd"/>
      <w:r w:rsidR="009535E8">
        <w:rPr>
          <w:rStyle w:val="FootnoteReference"/>
          <w:rtl/>
        </w:rPr>
        <w:footnoteReference w:id="19"/>
      </w:r>
      <w:r w:rsidR="009535E8">
        <w:rPr>
          <w:vertAlign w:val="superscript"/>
          <w:rtl/>
        </w:rPr>
        <w:t>)</w:t>
      </w:r>
      <w:r>
        <w:rPr>
          <w:rtl/>
        </w:rPr>
        <w:t>.</w:t>
      </w:r>
      <w:r w:rsidR="004114AB">
        <w:rPr>
          <w:rtl/>
        </w:rPr>
        <w:t xml:space="preserve"> </w:t>
      </w:r>
      <w:r>
        <w:rPr>
          <w:rtl/>
        </w:rPr>
        <w:t xml:space="preserve">ويقرر الموظفون، من واقع نتائج التقييم، ما إذا كان مقدم الطلب يُعد لاجئاً بموجب الاتفاقية أو شخصاً بحاجة للحماية. </w:t>
      </w:r>
      <w:r w:rsidRPr="0036005B">
        <w:rPr>
          <w:spacing w:val="-2"/>
          <w:rtl/>
        </w:rPr>
        <w:t>وتؤكد الدولة الطرف أن صاحبة الشكوى كان يحق لها أن تطلب، منذ</w:t>
      </w:r>
      <w:r w:rsidR="004114AB" w:rsidRPr="0036005B">
        <w:rPr>
          <w:spacing w:val="-2"/>
          <w:rtl/>
        </w:rPr>
        <w:t xml:space="preserve"> </w:t>
      </w:r>
      <w:r w:rsidRPr="0036005B">
        <w:rPr>
          <w:spacing w:val="-2"/>
          <w:rtl/>
        </w:rPr>
        <w:t>٢٩ آذار/مارس ٢٠١٧،</w:t>
      </w:r>
      <w:r>
        <w:rPr>
          <w:rtl/>
        </w:rPr>
        <w:t xml:space="preserve"> إجراء تقييم للمخاطر قبل الترحيل، ولكنها لم تفعل ذلك. وتدفع الدولة الطرف أيضاً بأنه إذا وافقت اللجنة على إلغاء التدابير المؤقتة، على النحو الذي طلبته كندا، يمكن للوكالة الكندية لخدمات الحدود أن تبدأ إجراءات إخطار صاحبة الشكوى بأهليتها لطلب إجراء التقييم. وتشير الدولة الطرف إلى أنه لو كانت صاحبة الشكوى طلبت إجراء تقييم لأُوقف أمر إبعادها. ومع ذلك، تلاحظ الدولة الطرف أنه، وفقاً للمادة ١١٣ من قانون الهجرة وحماية اللاجئين، لا يجوز لطالب اللجوء الذي رُفض طلبه أن يقدم، في سياق طلب إجراء التقييم، إلا أدلة جديدة تكون قد ظهرت بعد الرفض أو لم تكن متاحة آنذاك لأسباب معقولة، أو كانت متاحة ولكن لم يكن من </w:t>
      </w:r>
      <w:r w:rsidRPr="00F93281">
        <w:rPr>
          <w:spacing w:val="-2"/>
          <w:rtl/>
        </w:rPr>
        <w:t>المعقول توقع أن يتمكن الشخص من تقديمها في تلك الظروف، في وقت الرفض. ولذلك، يُطلب</w:t>
      </w:r>
      <w:r>
        <w:rPr>
          <w:rtl/>
        </w:rPr>
        <w:t xml:space="preserve"> </w:t>
      </w:r>
      <w:r w:rsidRPr="00F93281">
        <w:rPr>
          <w:spacing w:val="-4"/>
          <w:rtl/>
        </w:rPr>
        <w:t>من صاحبة الشكوى أن تقدم للموظفين المكلفين بالتقييم دليلاً جديداً على وجود خطر شخصي.</w:t>
      </w:r>
      <w:r>
        <w:rPr>
          <w:rtl/>
        </w:rPr>
        <w:t xml:space="preserve"> </w:t>
      </w:r>
      <w:r w:rsidRPr="00F93281">
        <w:rPr>
          <w:spacing w:val="-4"/>
          <w:rtl/>
        </w:rPr>
        <w:t>وتؤكد الدولة الطرف كذلك أن صاحبة الشكوى يمكنها أن تطلب إذناً لالتماس المراجعة القضائية</w:t>
      </w:r>
      <w:r>
        <w:rPr>
          <w:rtl/>
        </w:rPr>
        <w:t xml:space="preserve"> للقرار أمام المحكمة الاتحادية لكندا في حالة رفض طلب إجراء </w:t>
      </w:r>
      <w:proofErr w:type="gramStart"/>
      <w:r>
        <w:rPr>
          <w:rtl/>
        </w:rPr>
        <w:t>التقييم</w:t>
      </w:r>
      <w:r w:rsidR="009535E8">
        <w:rPr>
          <w:vertAlign w:val="superscript"/>
          <w:rtl/>
        </w:rPr>
        <w:t>(</w:t>
      </w:r>
      <w:proofErr w:type="gramEnd"/>
      <w:r w:rsidR="009535E8">
        <w:rPr>
          <w:rStyle w:val="FootnoteReference"/>
          <w:rtl/>
        </w:rPr>
        <w:footnoteReference w:id="20"/>
      </w:r>
      <w:r w:rsidR="009535E8">
        <w:rPr>
          <w:vertAlign w:val="superscript"/>
          <w:rtl/>
        </w:rPr>
        <w:t>)</w:t>
      </w:r>
      <w:r>
        <w:rPr>
          <w:rtl/>
        </w:rPr>
        <w:t>.</w:t>
      </w:r>
      <w:r w:rsidR="004114AB">
        <w:rPr>
          <w:rtl/>
        </w:rPr>
        <w:t xml:space="preserve"> </w:t>
      </w:r>
      <w:r>
        <w:rPr>
          <w:rtl/>
        </w:rPr>
        <w:t xml:space="preserve">وبالإضافة إلى ذلك، </w:t>
      </w:r>
      <w:r w:rsidRPr="00F93281">
        <w:rPr>
          <w:spacing w:val="-4"/>
          <w:rtl/>
        </w:rPr>
        <w:t xml:space="preserve">تشير الدولة الطرف إلى آراء اللجنة في قضية </w:t>
      </w:r>
      <w:proofErr w:type="spellStart"/>
      <w:r w:rsidRPr="00F93281">
        <w:rPr>
          <w:i/>
          <w:iCs/>
          <w:spacing w:val="-4"/>
          <w:rtl/>
        </w:rPr>
        <w:t>أونغ</w:t>
      </w:r>
      <w:proofErr w:type="spellEnd"/>
      <w:r w:rsidRPr="00F93281">
        <w:rPr>
          <w:i/>
          <w:iCs/>
          <w:spacing w:val="-4"/>
          <w:rtl/>
        </w:rPr>
        <w:t xml:space="preserve"> ضد كندا</w:t>
      </w:r>
      <w:r w:rsidRPr="00F93281">
        <w:rPr>
          <w:spacing w:val="-4"/>
          <w:rtl/>
        </w:rPr>
        <w:t>، التي رأت فيها أن صاحب الشكوى،</w:t>
      </w:r>
      <w:r>
        <w:rPr>
          <w:rtl/>
        </w:rPr>
        <w:t xml:space="preserve"> الذي تنظر السلطات الكندية في طلبه إجراء تقييم للمخاطر قبل الترحيل، والذي أُوقف ترحيله، </w:t>
      </w:r>
      <w:r w:rsidRPr="00F93281">
        <w:rPr>
          <w:spacing w:val="-4"/>
          <w:rtl/>
        </w:rPr>
        <w:t xml:space="preserve">لم يستنفد سبيل انتصاف كان متاحاً </w:t>
      </w:r>
      <w:proofErr w:type="gramStart"/>
      <w:r w:rsidRPr="00F93281">
        <w:rPr>
          <w:spacing w:val="-4"/>
          <w:rtl/>
        </w:rPr>
        <w:t>وفعالاً</w:t>
      </w:r>
      <w:r w:rsidR="009535E8" w:rsidRPr="00F93281">
        <w:rPr>
          <w:spacing w:val="-4"/>
          <w:vertAlign w:val="superscript"/>
          <w:rtl/>
        </w:rPr>
        <w:t>(</w:t>
      </w:r>
      <w:proofErr w:type="gramEnd"/>
      <w:r w:rsidR="009535E8" w:rsidRPr="00F93281">
        <w:rPr>
          <w:rStyle w:val="FootnoteReference"/>
          <w:spacing w:val="-4"/>
          <w:rtl/>
        </w:rPr>
        <w:footnoteReference w:id="21"/>
      </w:r>
      <w:r w:rsidR="009535E8" w:rsidRPr="00F93281">
        <w:rPr>
          <w:spacing w:val="-4"/>
          <w:vertAlign w:val="superscript"/>
          <w:rtl/>
        </w:rPr>
        <w:t>)</w:t>
      </w:r>
      <w:r w:rsidRPr="00F93281">
        <w:rPr>
          <w:spacing w:val="-4"/>
          <w:rtl/>
        </w:rPr>
        <w:t>.</w:t>
      </w:r>
      <w:r w:rsidR="004114AB" w:rsidRPr="00F93281">
        <w:rPr>
          <w:spacing w:val="-4"/>
          <w:rtl/>
        </w:rPr>
        <w:t xml:space="preserve"> </w:t>
      </w:r>
      <w:r w:rsidRPr="00F93281">
        <w:rPr>
          <w:spacing w:val="-4"/>
          <w:rtl/>
        </w:rPr>
        <w:t>وتذكِّر الدولة الطرف أيضاً بآراء اللجنة في قضية</w:t>
      </w:r>
      <w:r>
        <w:rPr>
          <w:rtl/>
        </w:rPr>
        <w:t xml:space="preserve"> </w:t>
      </w:r>
      <w:r w:rsidRPr="00F93281">
        <w:rPr>
          <w:i/>
          <w:iCs/>
          <w:rtl/>
        </w:rPr>
        <w:t>ب. م. س. ضد السويد</w:t>
      </w:r>
      <w:r>
        <w:rPr>
          <w:rtl/>
        </w:rPr>
        <w:t xml:space="preserve">، الذي رأت فيه أن البلاغ غير مقبول لعدم استنفاد سبل الانتصاف المحلية، لأن القرار المتعلق بطرد صاحبة الشكوى سقط بالتقادم، وبالتالي فهو غير قابل للإنفاذ، وأن صاحب الشكوى لم يعد مهدداً بالإبعاد إلى بلده الأصلي، وأنه لا يزال يوجد سبيل انتصاف بديل وفعال حيث يمكنه أن يقدم طلباً جديداً للجوء وأن يطعن في القرارات السلبية </w:t>
      </w:r>
      <w:r>
        <w:rPr>
          <w:rtl/>
        </w:rPr>
        <w:lastRenderedPageBreak/>
        <w:t xml:space="preserve">المتخذة في هذا </w:t>
      </w:r>
      <w:proofErr w:type="gramStart"/>
      <w:r>
        <w:rPr>
          <w:rtl/>
        </w:rPr>
        <w:t>الشأن</w:t>
      </w:r>
      <w:r w:rsidR="009535E8">
        <w:rPr>
          <w:vertAlign w:val="superscript"/>
          <w:rtl/>
        </w:rPr>
        <w:t>(</w:t>
      </w:r>
      <w:proofErr w:type="gramEnd"/>
      <w:r w:rsidR="009535E8">
        <w:rPr>
          <w:rStyle w:val="FootnoteReference"/>
          <w:rtl/>
        </w:rPr>
        <w:footnoteReference w:id="22"/>
      </w:r>
      <w:r w:rsidR="009535E8">
        <w:rPr>
          <w:vertAlign w:val="superscript"/>
          <w:rtl/>
        </w:rPr>
        <w:t>)</w:t>
      </w:r>
      <w:r>
        <w:rPr>
          <w:rtl/>
        </w:rPr>
        <w:t>.</w:t>
      </w:r>
      <w:r w:rsidR="004114AB">
        <w:rPr>
          <w:rtl/>
        </w:rPr>
        <w:t xml:space="preserve"> </w:t>
      </w:r>
      <w:r>
        <w:rPr>
          <w:rtl/>
        </w:rPr>
        <w:t xml:space="preserve">كما تذكِّر الدولة الطرف بأن </w:t>
      </w:r>
      <w:r w:rsidRPr="008F44DE">
        <w:rPr>
          <w:spacing w:val="-4"/>
          <w:rtl/>
        </w:rPr>
        <w:t xml:space="preserve">اللجنة خلصت في قضية </w:t>
      </w:r>
      <w:r w:rsidRPr="008F44DE">
        <w:rPr>
          <w:i/>
          <w:iCs/>
          <w:spacing w:val="-4"/>
          <w:rtl/>
        </w:rPr>
        <w:t>ل.</w:t>
      </w:r>
      <w:r w:rsidR="009535E8" w:rsidRPr="008F44DE">
        <w:rPr>
          <w:rFonts w:hint="cs"/>
          <w:i/>
          <w:iCs/>
          <w:spacing w:val="-4"/>
          <w:rtl/>
        </w:rPr>
        <w:t xml:space="preserve"> </w:t>
      </w:r>
      <w:r w:rsidRPr="008F44DE">
        <w:rPr>
          <w:i/>
          <w:iCs/>
          <w:spacing w:val="-4"/>
          <w:rtl/>
        </w:rPr>
        <w:t>ز.</w:t>
      </w:r>
      <w:r w:rsidR="009535E8" w:rsidRPr="008F44DE">
        <w:rPr>
          <w:rFonts w:hint="cs"/>
          <w:i/>
          <w:iCs/>
          <w:spacing w:val="-4"/>
          <w:rtl/>
        </w:rPr>
        <w:t xml:space="preserve"> </w:t>
      </w:r>
      <w:r w:rsidRPr="008F44DE">
        <w:rPr>
          <w:i/>
          <w:iCs/>
          <w:spacing w:val="-4"/>
          <w:rtl/>
        </w:rPr>
        <w:t xml:space="preserve">ب. </w:t>
      </w:r>
      <w:r w:rsidRPr="00CD7C64">
        <w:rPr>
          <w:i/>
          <w:iCs/>
          <w:rtl/>
        </w:rPr>
        <w:t>ضد كندا</w:t>
      </w:r>
      <w:r w:rsidRPr="00CD7C64">
        <w:rPr>
          <w:rtl/>
        </w:rPr>
        <w:t xml:space="preserve"> إلى أن أصحاب الشكوى لم يستنفدوا سبل الانتصاف المحلية، لأنهم لم يلتمسوا الإذن لطلب</w:t>
      </w:r>
      <w:r w:rsidRPr="00F93281">
        <w:rPr>
          <w:spacing w:val="-4"/>
          <w:rtl/>
        </w:rPr>
        <w:t xml:space="preserve"> المراجعة القضائية لأي قرار سلبي ينشأ عن تقييم المخاطر قبل الترحيل، وأن "سبل الانتصاف</w:t>
      </w:r>
      <w:r>
        <w:rPr>
          <w:rtl/>
        </w:rPr>
        <w:t xml:space="preserve"> هذه ليست مجرد شكليات"</w:t>
      </w:r>
      <w:r w:rsidR="009535E8">
        <w:rPr>
          <w:vertAlign w:val="superscript"/>
          <w:rtl/>
        </w:rPr>
        <w:t>(</w:t>
      </w:r>
      <w:r w:rsidR="009535E8">
        <w:rPr>
          <w:rStyle w:val="FootnoteReference"/>
          <w:rtl/>
        </w:rPr>
        <w:footnoteReference w:id="23"/>
      </w:r>
      <w:r w:rsidR="009535E8">
        <w:rPr>
          <w:vertAlign w:val="superscript"/>
          <w:rtl/>
        </w:rPr>
        <w:t>)</w:t>
      </w:r>
      <w:r>
        <w:rPr>
          <w:rtl/>
        </w:rPr>
        <w:t>.</w:t>
      </w:r>
      <w:r w:rsidR="004114AB">
        <w:rPr>
          <w:rtl/>
        </w:rPr>
        <w:t xml:space="preserve"> </w:t>
      </w:r>
    </w:p>
    <w:p w:rsidR="00093A3C" w:rsidRDefault="00093A3C" w:rsidP="00742B7A">
      <w:pPr>
        <w:pStyle w:val="SingleTxtGA"/>
        <w:spacing w:line="370" w:lineRule="exact"/>
        <w:rPr>
          <w:rtl/>
        </w:rPr>
      </w:pPr>
      <w:r>
        <w:rPr>
          <w:rtl/>
        </w:rPr>
        <w:t>٤-٤</w:t>
      </w:r>
      <w:r w:rsidR="003F03CB">
        <w:rPr>
          <w:rtl/>
        </w:rPr>
        <w:tab/>
      </w:r>
      <w:r w:rsidRPr="008F44DE">
        <w:rPr>
          <w:spacing w:val="-4"/>
          <w:rtl/>
        </w:rPr>
        <w:t>وتؤكد الدولة الطرف كذلك أن ادعاءات صاحبة الشكوى تتعارض مع أحكام الاتفاقية، إذ إن إساءة المعاملة التي</w:t>
      </w:r>
      <w:r>
        <w:rPr>
          <w:rtl/>
        </w:rPr>
        <w:t xml:space="preserve"> تدعي أنها تعرضت لها لا تصل إلى درجة "التعذيب" لأغراض الاتفاقية. وتعتمد الدولة الطرف على اجتهادات اللجنة التي ذهبت فيها إلى أن مسألة ما إذا كانت الدولة الطرف ملزمة بالامتناع عن طرد شخص قد يتعرض لخطر الألم أو المعاناة على يد كيان غير حكومي، دون موافقة السلطات على ذلك أو بسكوتها عنه، يقع خارج نطاق المادة ٣ من </w:t>
      </w:r>
      <w:proofErr w:type="gramStart"/>
      <w:r>
        <w:rPr>
          <w:rtl/>
        </w:rPr>
        <w:t>الاتفاقية</w:t>
      </w:r>
      <w:r w:rsidR="009535E8">
        <w:rPr>
          <w:vertAlign w:val="superscript"/>
          <w:rtl/>
        </w:rPr>
        <w:t>(</w:t>
      </w:r>
      <w:proofErr w:type="gramEnd"/>
      <w:r w:rsidR="009535E8">
        <w:rPr>
          <w:rStyle w:val="FootnoteReference"/>
          <w:rtl/>
        </w:rPr>
        <w:footnoteReference w:id="24"/>
      </w:r>
      <w:r w:rsidR="009535E8">
        <w:rPr>
          <w:vertAlign w:val="superscript"/>
          <w:rtl/>
        </w:rPr>
        <w:t>)</w:t>
      </w:r>
      <w:r>
        <w:rPr>
          <w:rtl/>
        </w:rPr>
        <w:t>.</w:t>
      </w:r>
      <w:r w:rsidR="004114AB">
        <w:rPr>
          <w:rtl/>
        </w:rPr>
        <w:t xml:space="preserve"> </w:t>
      </w:r>
      <w:r w:rsidRPr="00F93281">
        <w:rPr>
          <w:spacing w:val="-4"/>
          <w:rtl/>
        </w:rPr>
        <w:t xml:space="preserve">وتؤكد الدولة الطرف أن صاحبة الشكوى لم تبين كيف أن حكومة باكستان وافقت </w:t>
      </w:r>
      <w:r w:rsidRPr="00F93281">
        <w:rPr>
          <w:spacing w:val="-2"/>
          <w:rtl/>
        </w:rPr>
        <w:t>على ما يمكن أن تتعرض له صاحبة الشكوى من ألم ومعاناة من جانب جهات غير تابعة للدولة،</w:t>
      </w:r>
      <w:r>
        <w:rPr>
          <w:rtl/>
        </w:rPr>
        <w:t xml:space="preserve"> أو سكتت عن ذلك، ولم تبين كيف أن ادعاءاتها المتعلقة بالجماعات الإسلامية والمتطرفة تصل إلى مستوى الظروف الاستثنائية التي يمكن أن تنطبق فيها المادة ٣ من الاتفاقية أيضاً على أفعال جهات غير تابعة </w:t>
      </w:r>
      <w:proofErr w:type="gramStart"/>
      <w:r>
        <w:rPr>
          <w:rtl/>
        </w:rPr>
        <w:t>للدولة</w:t>
      </w:r>
      <w:r w:rsidR="009535E8">
        <w:rPr>
          <w:vertAlign w:val="superscript"/>
          <w:rtl/>
        </w:rPr>
        <w:t>(</w:t>
      </w:r>
      <w:proofErr w:type="gramEnd"/>
      <w:r w:rsidR="009535E8">
        <w:rPr>
          <w:rStyle w:val="FootnoteReference"/>
          <w:rtl/>
        </w:rPr>
        <w:footnoteReference w:id="25"/>
      </w:r>
      <w:r w:rsidR="009535E8">
        <w:rPr>
          <w:vertAlign w:val="superscript"/>
          <w:rtl/>
        </w:rPr>
        <w:t>)</w:t>
      </w:r>
      <w:r>
        <w:rPr>
          <w:rtl/>
        </w:rPr>
        <w:t>.</w:t>
      </w:r>
      <w:r w:rsidR="004114AB">
        <w:rPr>
          <w:rtl/>
        </w:rPr>
        <w:t xml:space="preserve"> </w:t>
      </w:r>
      <w:r>
        <w:rPr>
          <w:rtl/>
        </w:rPr>
        <w:t xml:space="preserve">وعلى العكس من ذلك، فإن صاحبة الشكوى ذكرت مراراً أنها تعرضت للتهديد والمطاردة من المتطرفين المعارضين لحكومة باكستان. </w:t>
      </w:r>
    </w:p>
    <w:p w:rsidR="00093A3C" w:rsidRPr="00F93281" w:rsidRDefault="00093A3C" w:rsidP="00742B7A">
      <w:pPr>
        <w:pStyle w:val="SingleTxtGA"/>
        <w:spacing w:line="370" w:lineRule="exact"/>
        <w:rPr>
          <w:spacing w:val="-4"/>
          <w:rtl/>
        </w:rPr>
      </w:pPr>
      <w:r>
        <w:rPr>
          <w:rtl/>
        </w:rPr>
        <w:t>٤-٥</w:t>
      </w:r>
      <w:r w:rsidR="003F03CB">
        <w:rPr>
          <w:rtl/>
        </w:rPr>
        <w:tab/>
      </w:r>
      <w:r w:rsidRPr="00F93281">
        <w:rPr>
          <w:spacing w:val="-4"/>
          <w:rtl/>
        </w:rPr>
        <w:t xml:space="preserve">وعلاوةً على ذلك، تدفع الدولة الطرف بأن صاحبة الشكوى لم تثبت بالأدلة الكافية أياً من ادعاءاتها ولم تقدم أي دليل على أنها تواجه بشكل متوقع وفعلي وشخصي خطر التعذيب على </w:t>
      </w:r>
      <w:r w:rsidRPr="00F93281">
        <w:rPr>
          <w:spacing w:val="-6"/>
          <w:rtl/>
        </w:rPr>
        <w:t>أيدي السلطات الباكستانية أو الجماعات شبه العسكرية في باكستان، وعلى أن ترحيلها إلى باكستان</w:t>
      </w:r>
      <w:r w:rsidRPr="00F93281">
        <w:rPr>
          <w:spacing w:val="-4"/>
          <w:rtl/>
        </w:rPr>
        <w:t xml:space="preserve"> سيصل إلى درجة انتهاك المادة ٣ من الاتفاقية. وتلاحظ الدولة الطرف أن صاحبة الشكوى لم</w:t>
      </w:r>
      <w:r w:rsidR="00F93281">
        <w:rPr>
          <w:rFonts w:hint="cs"/>
          <w:spacing w:val="-4"/>
          <w:rtl/>
        </w:rPr>
        <w:t> </w:t>
      </w:r>
      <w:r w:rsidRPr="00F93281">
        <w:rPr>
          <w:spacing w:val="-4"/>
          <w:rtl/>
        </w:rPr>
        <w:t xml:space="preserve">تلتمس في أي وقت من الأوقات الحماية من السلطات </w:t>
      </w:r>
      <w:proofErr w:type="gramStart"/>
      <w:r w:rsidRPr="00F93281">
        <w:rPr>
          <w:spacing w:val="-4"/>
          <w:rtl/>
        </w:rPr>
        <w:t>الباكستانية</w:t>
      </w:r>
      <w:r w:rsidR="009535E8" w:rsidRPr="00F93281">
        <w:rPr>
          <w:spacing w:val="-4"/>
          <w:vertAlign w:val="superscript"/>
          <w:rtl/>
        </w:rPr>
        <w:t>(</w:t>
      </w:r>
      <w:proofErr w:type="gramEnd"/>
      <w:r w:rsidR="009535E8" w:rsidRPr="00F93281">
        <w:rPr>
          <w:rStyle w:val="FootnoteReference"/>
          <w:spacing w:val="-4"/>
          <w:rtl/>
        </w:rPr>
        <w:footnoteReference w:id="26"/>
      </w:r>
      <w:r w:rsidR="009535E8" w:rsidRPr="00F93281">
        <w:rPr>
          <w:spacing w:val="-4"/>
          <w:vertAlign w:val="superscript"/>
          <w:rtl/>
        </w:rPr>
        <w:t>)</w:t>
      </w:r>
      <w:r w:rsidRPr="00F93281">
        <w:rPr>
          <w:spacing w:val="-4"/>
          <w:rtl/>
        </w:rPr>
        <w:t>.</w:t>
      </w:r>
      <w:r w:rsidR="004114AB" w:rsidRPr="00F93281">
        <w:rPr>
          <w:spacing w:val="-4"/>
          <w:rtl/>
        </w:rPr>
        <w:t xml:space="preserve"> </w:t>
      </w:r>
      <w:r w:rsidRPr="00F93281">
        <w:rPr>
          <w:spacing w:val="-4"/>
          <w:rtl/>
        </w:rPr>
        <w:t>وتذكِّر الدولة الطرف بأن صاحبة الشكوى بينت، في المقابلة التي أجرتها معها شعبة حماية اللاجئين، أنها لم تقدم أي شكوى، لأنها اعتبرت أن "رئيسها الرفيع المستوى" هو الأقدر على حمايتها. بيد أن الدولة الطرف تلاحظ أن</w:t>
      </w:r>
      <w:r w:rsidR="00F93281">
        <w:rPr>
          <w:rFonts w:hint="cs"/>
          <w:spacing w:val="-4"/>
          <w:rtl/>
        </w:rPr>
        <w:t> </w:t>
      </w:r>
      <w:r w:rsidRPr="00F93281">
        <w:rPr>
          <w:spacing w:val="-4"/>
          <w:rtl/>
        </w:rPr>
        <w:t>صاحبة الشكوى لم تثبت أن الشرطة لا يمكنها أن توفر لها الحماية أو أن صاحبة الشكوى لا</w:t>
      </w:r>
      <w:r w:rsidR="00F93281">
        <w:rPr>
          <w:rFonts w:hint="cs"/>
          <w:spacing w:val="-4"/>
          <w:rtl/>
        </w:rPr>
        <w:t> </w:t>
      </w:r>
      <w:r w:rsidRPr="00F93281">
        <w:rPr>
          <w:spacing w:val="-4"/>
          <w:rtl/>
        </w:rPr>
        <w:t xml:space="preserve">تستطيع الحصول على حماية الشرطة لدى عودتها إلى باكستان إذا حدثت المشاكل نفسها. </w:t>
      </w:r>
    </w:p>
    <w:p w:rsidR="00093A3C" w:rsidRDefault="00093A3C" w:rsidP="00742B7A">
      <w:pPr>
        <w:pStyle w:val="SingleTxtGA"/>
        <w:spacing w:line="370" w:lineRule="exact"/>
        <w:rPr>
          <w:rtl/>
        </w:rPr>
      </w:pPr>
      <w:r>
        <w:rPr>
          <w:rtl/>
        </w:rPr>
        <w:t>٤-٦</w:t>
      </w:r>
      <w:r w:rsidR="003F03CB">
        <w:rPr>
          <w:rtl/>
        </w:rPr>
        <w:tab/>
      </w:r>
      <w:r>
        <w:rPr>
          <w:rtl/>
        </w:rPr>
        <w:t xml:space="preserve">وعلاوةً على ذلك، تشير الدولة الطرف إلى أن جهات محلية مختصة ونزيهة نظرت في ادعاءات صاحبة الشكوى ولم تجد خطراً شخصياً محدقاً بصاحبة الشكوى إن أعيدت إلى باكستان، وأنه ليس للجنة أن ترجح الأدلة أو أن تعيد تقييم النتائج </w:t>
      </w:r>
      <w:proofErr w:type="spellStart"/>
      <w:r>
        <w:rPr>
          <w:rtl/>
        </w:rPr>
        <w:t>الوقائعية</w:t>
      </w:r>
      <w:proofErr w:type="spellEnd"/>
      <w:r>
        <w:rPr>
          <w:rtl/>
        </w:rPr>
        <w:t xml:space="preserve"> التي تخلص إليها المحاكم أو الهيئات القضائية المحلية. وتلاحظ الدولة الطرف أن صاحبة الشكوى لم تقدم أدلة تدعم أياً من ادعاءاتها، مثل نُسخ التهديدات التي تدعي أنها تلقتها عن طريق هاتفها الخلوي </w:t>
      </w:r>
      <w:r>
        <w:rPr>
          <w:rtl/>
        </w:rPr>
        <w:lastRenderedPageBreak/>
        <w:t>أو</w:t>
      </w:r>
      <w:r w:rsidR="008F44DE">
        <w:rPr>
          <w:rFonts w:hint="cs"/>
          <w:rtl/>
        </w:rPr>
        <w:t> </w:t>
      </w:r>
      <w:r>
        <w:rPr>
          <w:rtl/>
        </w:rPr>
        <w:t>إشعار منها إلى شركة الهاتف يثبت أنها غيرت رقم هاتفها. وفي ذلك السياق، خلص موظف شعبة حماية اللاجئين إلى أن سلوكها لا يتسق مع ادعاءاتها، إذ إنها قدمت معلومات جديدة في اليوم السابق مباشرةً للمقابلة التي أجرتها مع الشعبة؛ ولم تتصل إطلاقاً بالشرطة؛ ولم تقدم دليلاً على أن الشرطة لا يمكنها أن توفر لها الحماية. وعلاوةً على ذلك، لم تطلب صاحبة الشكوى اللجوء إلا بعد عامين من وصولها إلى كندا. وتدعي الدولة الطرف أن صاحبة الشكوى لم تثبت للسلطات الكندية المعنية أنها ستواجه بشكل متوقع وفعلي وشخصي خطر التعذيب إن أعيدت إلى باكستان، ومن ثم</w:t>
      </w:r>
      <w:r w:rsidR="008F44DE">
        <w:rPr>
          <w:rtl/>
        </w:rPr>
        <w:t xml:space="preserve"> فإن بلاغها يتنافى مع المادة ٢٢</w:t>
      </w:r>
      <w:r>
        <w:rPr>
          <w:rtl/>
        </w:rPr>
        <w:t xml:space="preserve">(٢) من الاتفاقية والمادة ١١٣ من النظام الداخلي للجنة. </w:t>
      </w:r>
    </w:p>
    <w:p w:rsidR="00093A3C" w:rsidRDefault="00093A3C" w:rsidP="00742B7A">
      <w:pPr>
        <w:pStyle w:val="SingleTxtGA"/>
        <w:rPr>
          <w:rtl/>
        </w:rPr>
      </w:pPr>
      <w:r>
        <w:rPr>
          <w:rtl/>
        </w:rPr>
        <w:t>٤-٧</w:t>
      </w:r>
      <w:r w:rsidR="003F03CB">
        <w:rPr>
          <w:rtl/>
        </w:rPr>
        <w:tab/>
      </w:r>
      <w:r>
        <w:rPr>
          <w:rtl/>
        </w:rPr>
        <w:t xml:space="preserve">وترفض الدولة الطرف أيضاً حجج صاحبة الشكوى أن ترحيلها القسري إلى باكستان سيشكل انتهاكاً للمادة ١٦ من الاتفاقية الدولية لحماية جميع الأشخاص من الاختفاء القسري، </w:t>
      </w:r>
      <w:r w:rsidRPr="00742B7A">
        <w:rPr>
          <w:spacing w:val="-4"/>
          <w:rtl/>
        </w:rPr>
        <w:t>وأن المراجعة القضائية ليست سبيل انتصاف فعالاً، على النحو المنصوص عليه في المادة ٢ من العهد</w:t>
      </w:r>
      <w:r>
        <w:rPr>
          <w:rtl/>
        </w:rPr>
        <w:t xml:space="preserve"> الدولي الخاص بالحقوق المدنية والسياسية، وأن الإجراءات الحالية غير كافية. وترى الدولة الطرف أن الادعاءات المذكور</w:t>
      </w:r>
      <w:r w:rsidR="007C55C2">
        <w:rPr>
          <w:rtl/>
        </w:rPr>
        <w:t>ة أعلاه لا تتسق مع المادة ٢٢</w:t>
      </w:r>
      <w:r>
        <w:rPr>
          <w:rtl/>
        </w:rPr>
        <w:t>(١) من اتفاقية مناهضة التعذيب. وتلاحظ اللجنة كذلك أن صاحبة الشكوى أمكنها الوصول إلى جميع سبل الانتصاف المتاحة للطعن في قرارات رفض طلبها المتعلق باللجوء. وتشير الدولة الطرف إلى أن صاحبة الشكوى تلتمس من اللجنة إعادة النظر في تقييم الوقائع والأدلة ومراجعة تفسير التشريعات المحلية من قِبل السلطات الكندية. وإضافةً إلى ذلك، لم تثبت صاحبة الشكوى أن المحاكم المحلية تصرفت بشكل تعسفي، أو كانت متحيزة، أو منعتها بأي حال من الأحوال من الوصول إلى العدالة. وبناءً على ذلك، لم</w:t>
      </w:r>
      <w:r w:rsidR="00742B7A">
        <w:rPr>
          <w:rFonts w:hint="cs"/>
          <w:rtl/>
        </w:rPr>
        <w:t> </w:t>
      </w:r>
      <w:r>
        <w:rPr>
          <w:rtl/>
        </w:rPr>
        <w:t>تثبت صاحبة الشكوى ادعاءها ولو بأدلة ظاهرية.</w:t>
      </w:r>
    </w:p>
    <w:p w:rsidR="00093A3C" w:rsidRDefault="00093A3C" w:rsidP="003F03CB">
      <w:pPr>
        <w:pStyle w:val="SingleTxtGA"/>
        <w:rPr>
          <w:rtl/>
        </w:rPr>
      </w:pPr>
      <w:r>
        <w:rPr>
          <w:rtl/>
        </w:rPr>
        <w:t>٤-٨</w:t>
      </w:r>
      <w:r w:rsidR="003F03CB">
        <w:rPr>
          <w:rtl/>
        </w:rPr>
        <w:tab/>
      </w:r>
      <w:r>
        <w:rPr>
          <w:rtl/>
        </w:rPr>
        <w:t>وأخيراً، ترى الدولة الطرف أن البلاغ لا يستند إلى أي أساس على الإطلاق نظراً لخلوه من أي دليل على خطر تعرض صاحبة الشكوى على نحو متوقع وحقيقي وشخصي للتعذيب في باكستان.</w:t>
      </w:r>
    </w:p>
    <w:p w:rsidR="00093A3C" w:rsidRDefault="00093A3C" w:rsidP="003F03CB">
      <w:pPr>
        <w:pStyle w:val="H23GA"/>
        <w:rPr>
          <w:rtl/>
        </w:rPr>
      </w:pPr>
      <w:r>
        <w:rPr>
          <w:rtl/>
        </w:rPr>
        <w:tab/>
      </w:r>
      <w:r>
        <w:rPr>
          <w:rtl/>
        </w:rPr>
        <w:tab/>
        <w:t xml:space="preserve">تعليقات صاحبة </w:t>
      </w:r>
      <w:r w:rsidR="003F03CB">
        <w:rPr>
          <w:rtl/>
        </w:rPr>
        <w:t>الشكوى على ملاحظات الدولة الطرف</w:t>
      </w:r>
    </w:p>
    <w:p w:rsidR="00093A3C" w:rsidRDefault="003F03CB" w:rsidP="00093A3C">
      <w:pPr>
        <w:pStyle w:val="SingleTxtGA"/>
        <w:rPr>
          <w:rtl/>
        </w:rPr>
      </w:pPr>
      <w:r>
        <w:rPr>
          <w:rtl/>
        </w:rPr>
        <w:t>٥-١</w:t>
      </w:r>
      <w:r>
        <w:rPr>
          <w:rtl/>
        </w:rPr>
        <w:tab/>
      </w:r>
      <w:r w:rsidR="00093A3C">
        <w:rPr>
          <w:rtl/>
        </w:rPr>
        <w:t>في 19 تموز/يوليه 2017، قدمت صاحبة الشكوى تعليقاتها على ملاحظات الدولة الطرف بشأن المقبولية والأسس الموضوعية.</w:t>
      </w:r>
    </w:p>
    <w:p w:rsidR="00093A3C" w:rsidRDefault="003F03CB" w:rsidP="007C55C2">
      <w:pPr>
        <w:pStyle w:val="SingleTxtGA"/>
        <w:rPr>
          <w:rtl/>
        </w:rPr>
      </w:pPr>
      <w:r>
        <w:rPr>
          <w:rtl/>
        </w:rPr>
        <w:t>٥-٢</w:t>
      </w:r>
      <w:r>
        <w:rPr>
          <w:rtl/>
        </w:rPr>
        <w:tab/>
      </w:r>
      <w:r w:rsidR="00093A3C">
        <w:rPr>
          <w:rtl/>
        </w:rPr>
        <w:t>وفيما يتعلق باستنفاد سبل الانتصاف المحلية، ترفض صاحبة الشكوى ملاحظة الدولة الطرف، وتدفع بأنها لم تقدم طلباً جديداً للحصول على إقامة دائمة لأسباب إنسانية ولدواعي الرأفة نظراً إلى طول الوقت اللازم لعملية تقديم الطلبات، الذي قد يصل إلى ستة أشهر، مع عدم توفير أي أثر إيقافي. ولذلك فهي ترى أن هذا الإجراء ليس سبيل انتصاف فعالاً لأنه لا</w:t>
      </w:r>
      <w:r w:rsidR="007C55C2">
        <w:rPr>
          <w:rFonts w:hint="cs"/>
          <w:rtl/>
        </w:rPr>
        <w:t> </w:t>
      </w:r>
      <w:r w:rsidR="00093A3C">
        <w:rPr>
          <w:rtl/>
        </w:rPr>
        <w:t>يمنع ترحيلها إلى باكستان. وتدعي صاحبة الشكوى أيضاً أنها لو كانت طلبت تقييم المخاطر قبل الترحيل لكان عليها تقديم أدلة جديدة فقط تكون قد ظهرت بعد رفض طلبها الحصول على مركز اللاجئ. وهي تدعي أنها لم تتمكن من تقديم معلومات جديدة إلى وكالة خدمات الحدود الكندية لعدم وجود مثل هذه المعلومات الجديدة لديها. وهي تدعي أيض</w:t>
      </w:r>
      <w:r w:rsidR="007C55C2">
        <w:rPr>
          <w:rtl/>
        </w:rPr>
        <w:t xml:space="preserve">اً </w:t>
      </w:r>
      <w:r w:rsidR="00093A3C">
        <w:rPr>
          <w:rtl/>
        </w:rPr>
        <w:t xml:space="preserve">أن الموظفين الذين أجروا هذه التقييمات ليسوا مستقلين أو محايدين أو مختصين بالنظر في المسائل المتعلقة بحقوق الإنسان. وبالإضافة إلى ذلك، تلاحظ صاحبة الشكوى أن المحكمة الاتحادية لكندا رأت </w:t>
      </w:r>
      <w:r w:rsidR="00093A3C">
        <w:rPr>
          <w:rtl/>
        </w:rPr>
        <w:lastRenderedPageBreak/>
        <w:t xml:space="preserve">دائماً أن مجلس الهجرة واللاجئين في كندا يتمتع بسلطة تقديرية في مسائل </w:t>
      </w:r>
      <w:proofErr w:type="gramStart"/>
      <w:r w:rsidR="00093A3C">
        <w:rPr>
          <w:rtl/>
        </w:rPr>
        <w:t>اللجوء</w:t>
      </w:r>
      <w:r w:rsidR="009535E8">
        <w:rPr>
          <w:vertAlign w:val="superscript"/>
          <w:rtl/>
        </w:rPr>
        <w:t>(</w:t>
      </w:r>
      <w:proofErr w:type="gramEnd"/>
      <w:r w:rsidR="009535E8">
        <w:rPr>
          <w:rStyle w:val="FootnoteReference"/>
          <w:rtl/>
        </w:rPr>
        <w:footnoteReference w:id="27"/>
      </w:r>
      <w:r w:rsidR="009535E8">
        <w:rPr>
          <w:vertAlign w:val="superscript"/>
          <w:rtl/>
        </w:rPr>
        <w:t>)</w:t>
      </w:r>
      <w:r w:rsidR="00093A3C">
        <w:rPr>
          <w:rtl/>
        </w:rPr>
        <w:t>.</w:t>
      </w:r>
      <w:r w:rsidR="004114AB">
        <w:rPr>
          <w:rtl/>
        </w:rPr>
        <w:t xml:space="preserve"> </w:t>
      </w:r>
      <w:r w:rsidR="00093A3C">
        <w:rPr>
          <w:rtl/>
        </w:rPr>
        <w:t>ويجوز للمحكمة الاتحادية في كندا أن ترفض قرارات مجلس الهجرة واللاجئين إذا لاحظت انتهاكاً للإجراءات أو خطأً في تطبيق القانون. ولذلك ترى صاحبة الشكوى عدم وجود أسس لإعادة النظر في قضيتها. وبناءً على ذلك، فهي ترى أنها استنفدت جميع سبل الانتصاف المحلية التي كان يمكن أن تكون فعالة.</w:t>
      </w:r>
    </w:p>
    <w:p w:rsidR="00093A3C" w:rsidRPr="003E605E" w:rsidRDefault="003F03CB" w:rsidP="00093A3C">
      <w:pPr>
        <w:pStyle w:val="SingleTxtGA"/>
        <w:rPr>
          <w:spacing w:val="-2"/>
          <w:rtl/>
        </w:rPr>
      </w:pPr>
      <w:r>
        <w:rPr>
          <w:rtl/>
        </w:rPr>
        <w:t>٥-٣</w:t>
      </w:r>
      <w:r>
        <w:rPr>
          <w:rtl/>
        </w:rPr>
        <w:tab/>
      </w:r>
      <w:r w:rsidR="00093A3C" w:rsidRPr="003E605E">
        <w:rPr>
          <w:spacing w:val="-2"/>
          <w:rtl/>
        </w:rPr>
        <w:t xml:space="preserve">وفيما يتعلق بتأكيد الدولة الطرف عدم كفاية الأدلة، تدعي صاحبة الشكوى أنها قدمت أدلة تدعم ادعاءاتها في شكل نُسخ من المقالات الصحفية وشهادات </w:t>
      </w:r>
      <w:proofErr w:type="gramStart"/>
      <w:r w:rsidR="00093A3C" w:rsidRPr="003E605E">
        <w:rPr>
          <w:spacing w:val="-2"/>
          <w:rtl/>
        </w:rPr>
        <w:t>خطية</w:t>
      </w:r>
      <w:r w:rsidR="009535E8" w:rsidRPr="003E605E">
        <w:rPr>
          <w:spacing w:val="-2"/>
          <w:vertAlign w:val="superscript"/>
          <w:rtl/>
        </w:rPr>
        <w:t>(</w:t>
      </w:r>
      <w:proofErr w:type="gramEnd"/>
      <w:r w:rsidR="009535E8" w:rsidRPr="003E605E">
        <w:rPr>
          <w:rStyle w:val="FootnoteReference"/>
          <w:spacing w:val="-2"/>
          <w:rtl/>
        </w:rPr>
        <w:footnoteReference w:id="28"/>
      </w:r>
      <w:r w:rsidR="009535E8" w:rsidRPr="003E605E">
        <w:rPr>
          <w:spacing w:val="-2"/>
          <w:vertAlign w:val="superscript"/>
          <w:rtl/>
        </w:rPr>
        <w:t>)</w:t>
      </w:r>
      <w:r w:rsidR="00093A3C" w:rsidRPr="003E605E">
        <w:rPr>
          <w:spacing w:val="-2"/>
          <w:rtl/>
        </w:rPr>
        <w:t>.</w:t>
      </w:r>
      <w:r w:rsidR="004114AB" w:rsidRPr="003E605E">
        <w:rPr>
          <w:spacing w:val="-2"/>
          <w:rtl/>
        </w:rPr>
        <w:t xml:space="preserve"> </w:t>
      </w:r>
      <w:r w:rsidR="00093A3C" w:rsidRPr="003E605E">
        <w:rPr>
          <w:spacing w:val="-2"/>
          <w:rtl/>
        </w:rPr>
        <w:t xml:space="preserve">وتؤكد صاحبة الشكوى أن ادعاءاتها لم تُبحث من قبل السلطات، وتحتج بأنها تعرضت للاضطهاد من قِبل أعضاء الجماعات الإسلامية في باكستان لما يقرب من سبع سنوات. وتوضح أن والديها اضطُروا إلى الانتقال مؤقتاً إلى دبي لخوفهم من التعرض للمضايقة والاعتداء. ونظراً إلى أن الإمارات العربية المتحدة لا تمنح الإقامة الدائمة، فقد عاد والداها إلى باكستان حيث تُوفيت أمها في عام ٢٠١٤ </w:t>
      </w:r>
      <w:r w:rsidR="00093A3C" w:rsidRPr="003E605E">
        <w:rPr>
          <w:spacing w:val="-4"/>
          <w:rtl/>
        </w:rPr>
        <w:t>بسبب المرض. وتؤكد صاحبة الشكوى أنها لم تتمكن حتى من الذهاب إلى باكستان لحضور جنازة</w:t>
      </w:r>
      <w:r w:rsidR="00093A3C" w:rsidRPr="003E605E">
        <w:rPr>
          <w:spacing w:val="-2"/>
          <w:rtl/>
        </w:rPr>
        <w:t xml:space="preserve"> </w:t>
      </w:r>
      <w:r w:rsidR="00093A3C" w:rsidRPr="003E605E">
        <w:rPr>
          <w:spacing w:val="-4"/>
          <w:rtl/>
        </w:rPr>
        <w:t>والدتها. وبوصفها صحفية وامرأة عصرية</w:t>
      </w:r>
      <w:r w:rsidR="004114AB" w:rsidRPr="003E605E">
        <w:rPr>
          <w:spacing w:val="-4"/>
          <w:rtl/>
        </w:rPr>
        <w:t>،</w:t>
      </w:r>
      <w:r w:rsidR="00093A3C" w:rsidRPr="003E605E">
        <w:rPr>
          <w:spacing w:val="-4"/>
          <w:rtl/>
        </w:rPr>
        <w:t xml:space="preserve"> فهي تخشى أن تُستهدف من جانب الجماعات الإسلامية</w:t>
      </w:r>
      <w:r w:rsidR="00093A3C" w:rsidRPr="003E605E">
        <w:rPr>
          <w:spacing w:val="-2"/>
          <w:rtl/>
        </w:rPr>
        <w:t xml:space="preserve"> وأن تتعرض للمضايقة والعنف والتهديد بالقتل إن عادت إلى باكستان، وهو ما يمكن أن يسبب لها ضرراً لا يمكن جبره.</w:t>
      </w:r>
    </w:p>
    <w:p w:rsidR="00093A3C" w:rsidRDefault="003F03CB" w:rsidP="003E605E">
      <w:pPr>
        <w:pStyle w:val="SingleTxtGA"/>
        <w:rPr>
          <w:rtl/>
        </w:rPr>
      </w:pPr>
      <w:r>
        <w:rPr>
          <w:rtl/>
        </w:rPr>
        <w:t>٥-٤</w:t>
      </w:r>
      <w:r>
        <w:rPr>
          <w:rtl/>
        </w:rPr>
        <w:tab/>
      </w:r>
      <w:r w:rsidR="00093A3C">
        <w:rPr>
          <w:rtl/>
        </w:rPr>
        <w:t>وبالإضافة إلى ذلك، ترفض صاحبة الشكوى ملاحظة الدولة الطرف أنها لم تلتمس الحماية من الشرطة في باكستان. وتدعي صاحبة الشكوى، في إفادة مشفوعة بيمين مؤرخة ٢٦ تموز/يوليه 2017</w:t>
      </w:r>
      <w:r w:rsidR="009535E8">
        <w:rPr>
          <w:vertAlign w:val="superscript"/>
          <w:rtl/>
        </w:rPr>
        <w:t>(</w:t>
      </w:r>
      <w:r w:rsidR="009535E8">
        <w:rPr>
          <w:rStyle w:val="FootnoteReference"/>
          <w:rtl/>
        </w:rPr>
        <w:footnoteReference w:id="29"/>
      </w:r>
      <w:r w:rsidR="009535E8">
        <w:rPr>
          <w:vertAlign w:val="superscript"/>
          <w:rtl/>
        </w:rPr>
        <w:t>)</w:t>
      </w:r>
      <w:r w:rsidR="00093A3C">
        <w:rPr>
          <w:rtl/>
        </w:rPr>
        <w:t>،</w:t>
      </w:r>
      <w:r w:rsidR="004114AB">
        <w:rPr>
          <w:rtl/>
        </w:rPr>
        <w:t xml:space="preserve"> </w:t>
      </w:r>
      <w:r w:rsidR="00093A3C">
        <w:rPr>
          <w:rtl/>
        </w:rPr>
        <w:t xml:space="preserve">أن الصحيفة التي كانت تعمل بها قدمت بالفعل شكاوى رسمية إلى </w:t>
      </w:r>
      <w:r w:rsidR="00093A3C" w:rsidRPr="003E605E">
        <w:rPr>
          <w:spacing w:val="-4"/>
          <w:rtl/>
        </w:rPr>
        <w:t>الشرطة، ولكن لم تقابل صاحبة الشكوى أي ضابط شرطة يمكنه أن يجري تحقيقات قبل مغادرتها</w:t>
      </w:r>
      <w:r w:rsidR="00093A3C">
        <w:rPr>
          <w:rtl/>
        </w:rPr>
        <w:t xml:space="preserve"> </w:t>
      </w:r>
      <w:r w:rsidR="00093A3C" w:rsidRPr="003E605E">
        <w:rPr>
          <w:spacing w:val="-4"/>
          <w:rtl/>
        </w:rPr>
        <w:t>إلى كندا. وتدعي صاحبة الشكوى أنها لم تتلق أي حماية عندما سعت إلى الحصول على المساعدة</w:t>
      </w:r>
      <w:r w:rsidR="00093A3C">
        <w:rPr>
          <w:rtl/>
        </w:rPr>
        <w:t xml:space="preserve"> من سلطات الدولة، رغم أن الشرطة أكدت أن الشكاوى تم استلامها والنظر فيها، ولكن لم</w:t>
      </w:r>
      <w:r w:rsidR="003E605E">
        <w:rPr>
          <w:rFonts w:hint="cs"/>
          <w:rtl/>
        </w:rPr>
        <w:t> </w:t>
      </w:r>
      <w:r w:rsidR="00093A3C">
        <w:rPr>
          <w:rtl/>
        </w:rPr>
        <w:t xml:space="preserve">تعتبر ذات خطورة كافية، حيث لم يسفر أي من هذه الحوادث عن إصابة بدنية. ومع ذلك، لا تقدم صاحبة الشكوى أي أدلة في ذلك الصدد. </w:t>
      </w:r>
    </w:p>
    <w:p w:rsidR="00093A3C" w:rsidRDefault="00093A3C" w:rsidP="009535E8">
      <w:pPr>
        <w:pStyle w:val="H23GA"/>
        <w:rPr>
          <w:rtl/>
        </w:rPr>
      </w:pPr>
      <w:r>
        <w:rPr>
          <w:rtl/>
        </w:rPr>
        <w:tab/>
      </w:r>
      <w:r>
        <w:rPr>
          <w:rtl/>
        </w:rPr>
        <w:tab/>
        <w:t>القضايا والإجراءات المعروضة على اللجنة</w:t>
      </w:r>
    </w:p>
    <w:p w:rsidR="00093A3C" w:rsidRDefault="00093A3C" w:rsidP="003F03CB">
      <w:pPr>
        <w:pStyle w:val="H4GA"/>
        <w:rPr>
          <w:rtl/>
        </w:rPr>
      </w:pPr>
      <w:r>
        <w:rPr>
          <w:rtl/>
        </w:rPr>
        <w:tab/>
      </w:r>
      <w:r>
        <w:rPr>
          <w:rtl/>
        </w:rPr>
        <w:tab/>
        <w:t>النظر في المقبولية</w:t>
      </w:r>
    </w:p>
    <w:p w:rsidR="00093A3C" w:rsidRDefault="009535E8" w:rsidP="00093A3C">
      <w:pPr>
        <w:pStyle w:val="SingleTxtGA"/>
        <w:rPr>
          <w:rtl/>
        </w:rPr>
      </w:pPr>
      <w:r>
        <w:rPr>
          <w:rtl/>
        </w:rPr>
        <w:t>٦-١</w:t>
      </w:r>
      <w:r>
        <w:rPr>
          <w:rtl/>
        </w:rPr>
        <w:tab/>
      </w:r>
      <w:r w:rsidR="00093A3C">
        <w:rPr>
          <w:rtl/>
        </w:rPr>
        <w:t xml:space="preserve">قبل النظر في أي ادعاء يرد في بلاغ ما، يجب على اللجنة أن تقرر ما إذا كان البلاغ مقبولاً أم لا بموجب المادة 22 من الاتفاقية. وقد تيقنت اللجنة، وفقاً لما </w:t>
      </w:r>
      <w:proofErr w:type="spellStart"/>
      <w:r w:rsidR="00093A3C">
        <w:rPr>
          <w:rtl/>
        </w:rPr>
        <w:t>تقتضيه</w:t>
      </w:r>
      <w:proofErr w:type="spellEnd"/>
      <w:r w:rsidR="00093A3C">
        <w:rPr>
          <w:rtl/>
        </w:rPr>
        <w:t xml:space="preserve"> الفقرة 2(أ) من المادة 5 من البروتوكول الاختياري من أن المسألة نفسها ليست قيد البحث في إطار إجراء آخر من إجراءات التحقيق الدولي أو التسوية الدولية.</w:t>
      </w:r>
    </w:p>
    <w:p w:rsidR="00093A3C" w:rsidRDefault="003F03CB" w:rsidP="00093A3C">
      <w:pPr>
        <w:pStyle w:val="SingleTxtGA"/>
        <w:rPr>
          <w:rtl/>
        </w:rPr>
      </w:pPr>
      <w:r>
        <w:rPr>
          <w:rtl/>
        </w:rPr>
        <w:t>٦-٢</w:t>
      </w:r>
      <w:r>
        <w:rPr>
          <w:rtl/>
        </w:rPr>
        <w:tab/>
      </w:r>
      <w:r w:rsidR="00093A3C">
        <w:rPr>
          <w:rtl/>
        </w:rPr>
        <w:t xml:space="preserve">وتذكِّر اللجنة بأنها، وفقاً للفقرة 5(ب) من المادة 22 من الاتفاقية، لا تنظر في أي بلاغ مُقدم من فرد من الأفراد إلا بعد أن تكون قد تأكدت من أن ذلك الفرد استنفد جميع </w:t>
      </w:r>
      <w:r w:rsidR="00093A3C">
        <w:rPr>
          <w:rtl/>
        </w:rPr>
        <w:lastRenderedPageBreak/>
        <w:t>سبل الانتصاف المحلية المتاحة. ولا ينطبق هذا الحكم إذا ثبت أن تطبيق هذه السبل استغرق أمداً طويلاً بدرجة غير معقولة، أو أنه من غير ا</w:t>
      </w:r>
      <w:r w:rsidR="009535E8">
        <w:rPr>
          <w:rtl/>
        </w:rPr>
        <w:t xml:space="preserve">لمحتمل أن يحقق إنصافاً </w:t>
      </w:r>
      <w:proofErr w:type="gramStart"/>
      <w:r w:rsidR="009535E8">
        <w:rPr>
          <w:rtl/>
        </w:rPr>
        <w:t>فعالاً</w:t>
      </w:r>
      <w:r w:rsidR="009535E8">
        <w:rPr>
          <w:vertAlign w:val="superscript"/>
          <w:rtl/>
        </w:rPr>
        <w:t>(</w:t>
      </w:r>
      <w:proofErr w:type="gramEnd"/>
      <w:r w:rsidR="009535E8">
        <w:rPr>
          <w:rStyle w:val="FootnoteReference"/>
          <w:rtl/>
        </w:rPr>
        <w:footnoteReference w:id="30"/>
      </w:r>
      <w:r w:rsidR="009535E8">
        <w:rPr>
          <w:vertAlign w:val="superscript"/>
          <w:rtl/>
        </w:rPr>
        <w:t>)</w:t>
      </w:r>
      <w:r w:rsidR="009535E8">
        <w:rPr>
          <w:rtl/>
        </w:rPr>
        <w:t>.</w:t>
      </w:r>
    </w:p>
    <w:p w:rsidR="00093A3C" w:rsidRDefault="003F03CB" w:rsidP="00093A3C">
      <w:pPr>
        <w:pStyle w:val="SingleTxtGA"/>
        <w:rPr>
          <w:rtl/>
        </w:rPr>
      </w:pPr>
      <w:r>
        <w:rPr>
          <w:rtl/>
        </w:rPr>
        <w:t>٦-٣</w:t>
      </w:r>
      <w:r>
        <w:rPr>
          <w:rtl/>
        </w:rPr>
        <w:tab/>
      </w:r>
      <w:r w:rsidR="00093A3C" w:rsidRPr="007C55C2">
        <w:rPr>
          <w:spacing w:val="-4"/>
          <w:rtl/>
        </w:rPr>
        <w:t>وتحيط اللجنة علماً بأن صاحبة الشكوى طلبت الحصول على مركز اللاجئ، وهو الطلب</w:t>
      </w:r>
      <w:r w:rsidR="00093A3C">
        <w:rPr>
          <w:rtl/>
        </w:rPr>
        <w:t xml:space="preserve"> الذي رفضته شعبة حماية اللاجئين في ٣٠ آذار/مارس ٢٠١٦، وبأنها قدمت طلباً إلى المحكمة الاتحادية لإجراء مراجعة قضائية لقرار الشعبة رفضته المحكمة في ٢٥ آب/أغسطس ٢٠١٦، </w:t>
      </w:r>
      <w:r w:rsidR="00093A3C" w:rsidRPr="00BD510B">
        <w:rPr>
          <w:spacing w:val="-4"/>
          <w:rtl/>
        </w:rPr>
        <w:t>وبأنها طلبت الحصول على الإقامة الدائمة لدواعي الرأفة في ٢٧ كانون الثاني/يناير ٢٠١٧ ورُفض</w:t>
      </w:r>
      <w:r w:rsidR="00093A3C" w:rsidRPr="007C55C2">
        <w:rPr>
          <w:spacing w:val="-4"/>
          <w:rtl/>
        </w:rPr>
        <w:t xml:space="preserve"> طلبها في ١٣ شباط/فبراير ٢٠١٧. وتحيط اللجنة علماً بحجة الدولة الطرف أن الشكوى</w:t>
      </w:r>
      <w:r w:rsidR="00093A3C">
        <w:rPr>
          <w:rtl/>
        </w:rPr>
        <w:t xml:space="preserve"> </w:t>
      </w:r>
      <w:r w:rsidR="00093A3C" w:rsidRPr="007C55C2">
        <w:rPr>
          <w:spacing w:val="-4"/>
          <w:rtl/>
        </w:rPr>
        <w:t>ينبغي اعتب</w:t>
      </w:r>
      <w:r w:rsidR="007C55C2">
        <w:rPr>
          <w:spacing w:val="-4"/>
          <w:rtl/>
        </w:rPr>
        <w:t>ارها غير مقبولة بموجب المادة ٢٢(٥)</w:t>
      </w:r>
      <w:r w:rsidR="00093A3C" w:rsidRPr="007C55C2">
        <w:rPr>
          <w:spacing w:val="-4"/>
          <w:rtl/>
        </w:rPr>
        <w:t>(ب) من الاتفاقية لأن صاحبة الشكوى لم تستنفد</w:t>
      </w:r>
      <w:r w:rsidR="00093A3C">
        <w:rPr>
          <w:rtl/>
        </w:rPr>
        <w:t xml:space="preserve"> جميع </w:t>
      </w:r>
      <w:r w:rsidR="00093A3C" w:rsidRPr="00BD510B">
        <w:rPr>
          <w:spacing w:val="-4"/>
          <w:rtl/>
        </w:rPr>
        <w:t>سبل الانتصاف المحلية المتاحة، ولا سيما طلب الإقامة الدائمة لأسباب إنسانية ولدواعي الرأفة وطلب</w:t>
      </w:r>
      <w:r w:rsidR="00093A3C">
        <w:rPr>
          <w:rtl/>
        </w:rPr>
        <w:t xml:space="preserve"> إجراء تقييم للمخاطر قبل الترحيل.</w:t>
      </w:r>
    </w:p>
    <w:p w:rsidR="00093A3C" w:rsidRDefault="003F03CB" w:rsidP="00093A3C">
      <w:pPr>
        <w:pStyle w:val="SingleTxtGA"/>
        <w:rPr>
          <w:rtl/>
        </w:rPr>
      </w:pPr>
      <w:r>
        <w:rPr>
          <w:rtl/>
        </w:rPr>
        <w:t>٦-٤</w:t>
      </w:r>
      <w:r>
        <w:rPr>
          <w:rtl/>
        </w:rPr>
        <w:tab/>
      </w:r>
      <w:r w:rsidR="00093A3C">
        <w:rPr>
          <w:rtl/>
        </w:rPr>
        <w:t xml:space="preserve">وتذكِّر اللجنة باجتهادها القانوني الذي رأت فيه أن طلب الإقامة لأسباب إنسانية </w:t>
      </w:r>
      <w:r w:rsidR="00093A3C" w:rsidRPr="00BD510B">
        <w:rPr>
          <w:spacing w:val="-4"/>
          <w:rtl/>
        </w:rPr>
        <w:t>ولدواعي الرأفة ليس سبيل انتصاف فعالاً لأغراض المقبولية بموجب المادة 22(5)(ب) من الاتفاقية،</w:t>
      </w:r>
      <w:r w:rsidR="00093A3C">
        <w:rPr>
          <w:rtl/>
        </w:rPr>
        <w:t xml:space="preserve"> نظراً إلى طابعه التقديري وغير </w:t>
      </w:r>
      <w:proofErr w:type="gramStart"/>
      <w:r w:rsidR="00093A3C">
        <w:rPr>
          <w:rtl/>
        </w:rPr>
        <w:t>القضائي</w:t>
      </w:r>
      <w:r w:rsidR="009535E8">
        <w:rPr>
          <w:vertAlign w:val="superscript"/>
          <w:rtl/>
        </w:rPr>
        <w:t>(</w:t>
      </w:r>
      <w:proofErr w:type="gramEnd"/>
      <w:r w:rsidR="009535E8">
        <w:rPr>
          <w:rStyle w:val="FootnoteReference"/>
          <w:rtl/>
        </w:rPr>
        <w:footnoteReference w:id="31"/>
      </w:r>
      <w:r w:rsidR="009535E8">
        <w:rPr>
          <w:vertAlign w:val="superscript"/>
          <w:rtl/>
        </w:rPr>
        <w:t>)</w:t>
      </w:r>
      <w:r w:rsidR="004114AB">
        <w:rPr>
          <w:rtl/>
        </w:rPr>
        <w:t xml:space="preserve"> </w:t>
      </w:r>
      <w:r w:rsidR="00093A3C">
        <w:rPr>
          <w:rtl/>
        </w:rPr>
        <w:t>ولأنه لا يوقف ترحيل صاحبة الشكوى</w:t>
      </w:r>
      <w:r w:rsidR="009535E8">
        <w:rPr>
          <w:vertAlign w:val="superscript"/>
          <w:rtl/>
        </w:rPr>
        <w:t>(</w:t>
      </w:r>
      <w:r w:rsidR="009535E8">
        <w:rPr>
          <w:rStyle w:val="FootnoteReference"/>
          <w:rtl/>
        </w:rPr>
        <w:footnoteReference w:id="32"/>
      </w:r>
      <w:r w:rsidR="009535E8">
        <w:rPr>
          <w:vertAlign w:val="superscript"/>
          <w:rtl/>
        </w:rPr>
        <w:t>)</w:t>
      </w:r>
      <w:r w:rsidR="00093A3C">
        <w:rPr>
          <w:rtl/>
        </w:rPr>
        <w:t>.</w:t>
      </w:r>
      <w:r w:rsidR="004114AB">
        <w:rPr>
          <w:rtl/>
        </w:rPr>
        <w:t xml:space="preserve"> </w:t>
      </w:r>
      <w:r w:rsidR="00093A3C">
        <w:rPr>
          <w:rtl/>
        </w:rPr>
        <w:t xml:space="preserve">وبناءً على ذلك، لا ترى اللجنة أن من الضروري، لأغراض المقبولية، أن تستنفد صاحبة الشكوى السبيل المتمثل في طلب الحصول على الإقامة الدائمة لأسباب إنسانية ولدواعي </w:t>
      </w:r>
      <w:proofErr w:type="gramStart"/>
      <w:r w:rsidR="00093A3C">
        <w:rPr>
          <w:rtl/>
        </w:rPr>
        <w:t>الرأفة</w:t>
      </w:r>
      <w:r w:rsidR="009535E8">
        <w:rPr>
          <w:vertAlign w:val="superscript"/>
          <w:rtl/>
        </w:rPr>
        <w:t>(</w:t>
      </w:r>
      <w:proofErr w:type="gramEnd"/>
      <w:r w:rsidR="009535E8">
        <w:rPr>
          <w:rStyle w:val="FootnoteReference"/>
          <w:rtl/>
        </w:rPr>
        <w:footnoteReference w:id="33"/>
      </w:r>
      <w:r w:rsidR="009535E8">
        <w:rPr>
          <w:vertAlign w:val="superscript"/>
          <w:rtl/>
        </w:rPr>
        <w:t>)</w:t>
      </w:r>
      <w:r w:rsidR="00093A3C">
        <w:rPr>
          <w:rtl/>
        </w:rPr>
        <w:t xml:space="preserve">. </w:t>
      </w:r>
    </w:p>
    <w:p w:rsidR="00093A3C" w:rsidRDefault="003F03CB" w:rsidP="00093A3C">
      <w:pPr>
        <w:pStyle w:val="SingleTxtGA"/>
        <w:rPr>
          <w:rtl/>
        </w:rPr>
      </w:pPr>
      <w:r>
        <w:rPr>
          <w:rtl/>
        </w:rPr>
        <w:t>٦-٥</w:t>
      </w:r>
      <w:r>
        <w:rPr>
          <w:rtl/>
        </w:rPr>
        <w:tab/>
      </w:r>
      <w:r w:rsidR="00093A3C">
        <w:rPr>
          <w:rtl/>
        </w:rPr>
        <w:t xml:space="preserve">وفيما يتعلق بعدم طلب صاحبة الشكوى إجراء تقييم للمخاطر قبل الترحيل، تشير اللجنة إلى ملاحظة الدولة الطرف أن وكالة خدمات الحدود الكندية تنظر في طلبات إجراء هذه التقييمات المقدمة من أشخاص في كندا يدعون أن طلبات حصولهم على مركز اللاجئ رُفضت، </w:t>
      </w:r>
      <w:r w:rsidR="00093A3C" w:rsidRPr="007C55C2">
        <w:rPr>
          <w:spacing w:val="-4"/>
          <w:rtl/>
        </w:rPr>
        <w:t>ويخضعون لقرار طرد قابل للإنفاذ، ويمكنهم تقديم أدلة جديدة تكون قد ظهرت بعد رفض طلباتهم</w:t>
      </w:r>
      <w:r w:rsidR="00093A3C">
        <w:rPr>
          <w:rtl/>
        </w:rPr>
        <w:t xml:space="preserve"> أو لم تكن متاحة في حدود المعقول أو لم يكن ممكناً في حدود المعقول تقديمها في وقت الرفض. وتلاحظ اللجنة أيضاً أن صاحبة الشكوى كان يحق لها طلب إجراء هذا التقييم منذ ٢٩ آذار/</w:t>
      </w:r>
      <w:r w:rsidR="00BD510B">
        <w:rPr>
          <w:rFonts w:hint="cs"/>
          <w:rtl/>
        </w:rPr>
        <w:t xml:space="preserve"> </w:t>
      </w:r>
      <w:r w:rsidR="00093A3C">
        <w:rPr>
          <w:rtl/>
        </w:rPr>
        <w:t xml:space="preserve">مارس ٢٠١٧ (الفقرة 4-3)، ومن ثم كان يمكنها أن تطلب إلى المحكمة الاتحادية إجراء مراجعة قضائية لأي قرار سلبي ينشأ عن التقييم، ولكنها لم تفعل ذلك. وتحيط اللجنة علماً بحجة </w:t>
      </w:r>
      <w:r w:rsidR="00093A3C" w:rsidRPr="00BD510B">
        <w:rPr>
          <w:spacing w:val="-4"/>
          <w:rtl/>
        </w:rPr>
        <w:t>صاحبة الشكوى أن سبل الانتصاف المحلية ذات الصلة لا تشكل سبيل انتصاف فعالاً في قضيتها</w:t>
      </w:r>
      <w:r w:rsidR="00093A3C">
        <w:rPr>
          <w:rtl/>
        </w:rPr>
        <w:t xml:space="preserve">، حيث لم تتمكن من تقديم دليل جديد إلى وكالة خدمات الحدود، ولأنها رأت أن عملية التقييم تفتقر إلى الاستقلالية. </w:t>
      </w:r>
    </w:p>
    <w:p w:rsidR="00093A3C" w:rsidRPr="00111C80" w:rsidRDefault="003F03CB" w:rsidP="00093A3C">
      <w:pPr>
        <w:pStyle w:val="SingleTxtGA"/>
        <w:rPr>
          <w:spacing w:val="-2"/>
          <w:rtl/>
        </w:rPr>
      </w:pPr>
      <w:r w:rsidRPr="00111C80">
        <w:rPr>
          <w:spacing w:val="-2"/>
          <w:rtl/>
        </w:rPr>
        <w:t>٦-٦</w:t>
      </w:r>
      <w:r w:rsidRPr="00111C80">
        <w:rPr>
          <w:spacing w:val="-2"/>
          <w:rtl/>
        </w:rPr>
        <w:tab/>
      </w:r>
      <w:r w:rsidR="00093A3C" w:rsidRPr="00111C80">
        <w:rPr>
          <w:spacing w:val="-2"/>
          <w:rtl/>
        </w:rPr>
        <w:t xml:space="preserve">وتلاحظ اللجنة أن صاحبة الشكوى، وفقاً للوائح قانون الهجرة وحماية اللاجئين، غير معرضة لخطر الترحيل أثناء النظر الجاري في تقييم المخاطر قبل الترحيل، لأن أمر الترحيل أُوقف </w:t>
      </w:r>
      <w:r w:rsidR="00093A3C" w:rsidRPr="00111C80">
        <w:rPr>
          <w:spacing w:val="-2"/>
          <w:rtl/>
        </w:rPr>
        <w:lastRenderedPageBreak/>
        <w:t xml:space="preserve">تنفيذه (انظر الفقرة 4-3 أعلاه). وفي هذا الصدد، تلاحظ اللجنة أن صاحبة الشكوى لم تحاول تقديم أية أدلة جديدة للوفاء باشتراطات قانون الهجرة وحماية </w:t>
      </w:r>
      <w:proofErr w:type="gramStart"/>
      <w:r w:rsidR="00093A3C" w:rsidRPr="00111C80">
        <w:rPr>
          <w:spacing w:val="-2"/>
          <w:rtl/>
        </w:rPr>
        <w:t>اللاجئين</w:t>
      </w:r>
      <w:r w:rsidR="009535E8" w:rsidRPr="00111C80">
        <w:rPr>
          <w:spacing w:val="-2"/>
          <w:vertAlign w:val="superscript"/>
          <w:rtl/>
        </w:rPr>
        <w:t>(</w:t>
      </w:r>
      <w:proofErr w:type="gramEnd"/>
      <w:r w:rsidR="009535E8" w:rsidRPr="00111C80">
        <w:rPr>
          <w:rStyle w:val="FootnoteReference"/>
          <w:spacing w:val="-2"/>
          <w:rtl/>
        </w:rPr>
        <w:footnoteReference w:id="34"/>
      </w:r>
      <w:r w:rsidR="009535E8" w:rsidRPr="00111C80">
        <w:rPr>
          <w:spacing w:val="-2"/>
          <w:vertAlign w:val="superscript"/>
          <w:rtl/>
        </w:rPr>
        <w:t>)</w:t>
      </w:r>
      <w:r w:rsidR="00093A3C" w:rsidRPr="00111C80">
        <w:rPr>
          <w:spacing w:val="-2"/>
          <w:rtl/>
        </w:rPr>
        <w:t>،</w:t>
      </w:r>
      <w:r w:rsidR="004114AB" w:rsidRPr="00111C80">
        <w:rPr>
          <w:spacing w:val="-2"/>
          <w:rtl/>
        </w:rPr>
        <w:t xml:space="preserve"> </w:t>
      </w:r>
      <w:r w:rsidR="00093A3C" w:rsidRPr="00111C80">
        <w:rPr>
          <w:spacing w:val="-2"/>
          <w:rtl/>
        </w:rPr>
        <w:t xml:space="preserve">ولم تلتمس المساعدة القانونية لغرض طلب إجراء تقييم. وتلاحظ اللجنة أيضاً أن صاحبة الشكوى لم تطعن في أنها كانت ممثلة بمحام عينته الدولة في ذلك الوقت، وتذكِّر بأن ما يرتكبه محام موكل بصفته الشخصية من خطأ أو سهو لا يمكن عادةً أن يُعزى إلى الدولة </w:t>
      </w:r>
      <w:proofErr w:type="gramStart"/>
      <w:r w:rsidR="00093A3C" w:rsidRPr="00111C80">
        <w:rPr>
          <w:spacing w:val="-2"/>
          <w:rtl/>
        </w:rPr>
        <w:t>الطرف</w:t>
      </w:r>
      <w:r w:rsidR="009535E8" w:rsidRPr="00111C80">
        <w:rPr>
          <w:spacing w:val="-2"/>
          <w:vertAlign w:val="superscript"/>
          <w:rtl/>
        </w:rPr>
        <w:t>(</w:t>
      </w:r>
      <w:proofErr w:type="gramEnd"/>
      <w:r w:rsidR="009535E8" w:rsidRPr="00111C80">
        <w:rPr>
          <w:rStyle w:val="FootnoteReference"/>
          <w:spacing w:val="-2"/>
          <w:rtl/>
        </w:rPr>
        <w:footnoteReference w:id="35"/>
      </w:r>
      <w:r w:rsidR="009535E8" w:rsidRPr="00111C80">
        <w:rPr>
          <w:spacing w:val="-2"/>
          <w:vertAlign w:val="superscript"/>
          <w:rtl/>
        </w:rPr>
        <w:t>)</w:t>
      </w:r>
      <w:r w:rsidR="00093A3C" w:rsidRPr="00111C80">
        <w:rPr>
          <w:spacing w:val="-2"/>
          <w:rtl/>
        </w:rPr>
        <w:t>.</w:t>
      </w:r>
      <w:r w:rsidR="004114AB" w:rsidRPr="00111C80">
        <w:rPr>
          <w:spacing w:val="-2"/>
          <w:rtl/>
        </w:rPr>
        <w:t xml:space="preserve"> </w:t>
      </w:r>
      <w:r w:rsidR="00093A3C" w:rsidRPr="00111C80">
        <w:rPr>
          <w:spacing w:val="-2"/>
          <w:rtl/>
        </w:rPr>
        <w:t>وتشير اللجنة كذلك إلى أن مجرد الشك في فعالية سبل الانتصاف المحلية لا يعفي صاحبة الشكوى من واجب استنفادها، وبخاصة عندما تكون سبل الانتصاف هذه متاحة بشكل معقول ولها أثر إيقافي. وبينما تحيط اللجنة علم</w:t>
      </w:r>
      <w:r w:rsidR="007C55C2">
        <w:rPr>
          <w:spacing w:val="-2"/>
          <w:rtl/>
        </w:rPr>
        <w:t xml:space="preserve">اً </w:t>
      </w:r>
      <w:r w:rsidR="00093A3C" w:rsidRPr="00111C80">
        <w:rPr>
          <w:spacing w:val="-2"/>
          <w:rtl/>
        </w:rPr>
        <w:t xml:space="preserve">بحجة صاحبة الشكوى أن طلب إجراء تقييم لا يمثل سبيل انتصاف فعالاً في قضيتها، ترى اللجنة أن صاحبة الشكوى لم تقدم عناصر كافية تبرر عدم استفادتها من فرصة طلب إجراء ذلك التقييم، وتبين أن إجراء التقييم لم يكن ليجدي نفعاً في هذه القضية. </w:t>
      </w:r>
    </w:p>
    <w:p w:rsidR="00093A3C" w:rsidRDefault="00093A3C" w:rsidP="00093A3C">
      <w:pPr>
        <w:pStyle w:val="SingleTxtGA"/>
        <w:rPr>
          <w:rtl/>
        </w:rPr>
      </w:pPr>
      <w:r>
        <w:rPr>
          <w:rtl/>
        </w:rPr>
        <w:t>٦-٧</w:t>
      </w:r>
      <w:r>
        <w:rPr>
          <w:rtl/>
        </w:rPr>
        <w:tab/>
        <w:t xml:space="preserve">وبناءً على ذلك، تقتنع اللجنة بحجة الدولة الطرف التي أشارت فيها إلى وجود سبل </w:t>
      </w:r>
      <w:r w:rsidRPr="00136019">
        <w:rPr>
          <w:spacing w:val="-4"/>
          <w:rtl/>
        </w:rPr>
        <w:t xml:space="preserve">انتصاف متاحة وفعالة في هذه القضية لم </w:t>
      </w:r>
      <w:proofErr w:type="spellStart"/>
      <w:r w:rsidRPr="00136019">
        <w:rPr>
          <w:spacing w:val="-4"/>
          <w:rtl/>
        </w:rPr>
        <w:t>تستنفدها</w:t>
      </w:r>
      <w:proofErr w:type="spellEnd"/>
      <w:r w:rsidRPr="00136019">
        <w:rPr>
          <w:spacing w:val="-4"/>
          <w:rtl/>
        </w:rPr>
        <w:t xml:space="preserve"> صاحبة </w:t>
      </w:r>
      <w:proofErr w:type="gramStart"/>
      <w:r w:rsidRPr="00136019">
        <w:rPr>
          <w:spacing w:val="-4"/>
          <w:rtl/>
        </w:rPr>
        <w:t>الشكوى</w:t>
      </w:r>
      <w:r w:rsidR="009535E8" w:rsidRPr="00136019">
        <w:rPr>
          <w:spacing w:val="-4"/>
          <w:vertAlign w:val="superscript"/>
          <w:rtl/>
        </w:rPr>
        <w:t>(</w:t>
      </w:r>
      <w:proofErr w:type="gramEnd"/>
      <w:r w:rsidR="009535E8" w:rsidRPr="00136019">
        <w:rPr>
          <w:rStyle w:val="FootnoteReference"/>
          <w:spacing w:val="-4"/>
          <w:rtl/>
        </w:rPr>
        <w:footnoteReference w:id="36"/>
      </w:r>
      <w:r w:rsidR="009535E8" w:rsidRPr="00136019">
        <w:rPr>
          <w:spacing w:val="-4"/>
          <w:vertAlign w:val="superscript"/>
          <w:rtl/>
        </w:rPr>
        <w:t>)</w:t>
      </w:r>
      <w:r w:rsidRPr="00136019">
        <w:rPr>
          <w:spacing w:val="-4"/>
          <w:rtl/>
        </w:rPr>
        <w:t>.</w:t>
      </w:r>
      <w:r w:rsidR="004114AB" w:rsidRPr="00136019">
        <w:rPr>
          <w:spacing w:val="-4"/>
          <w:rtl/>
        </w:rPr>
        <w:t xml:space="preserve"> </w:t>
      </w:r>
      <w:r w:rsidRPr="00136019">
        <w:rPr>
          <w:spacing w:val="-4"/>
          <w:rtl/>
        </w:rPr>
        <w:t>وفي ضوء هذا الاستنتاج،</w:t>
      </w:r>
      <w:r>
        <w:rPr>
          <w:rtl/>
        </w:rPr>
        <w:t xml:space="preserve"> لا ترى اللجنة أن من الضروري النظر في تأكيد الدولة الطرف أن البلاغ غير مقبول أيضاً لعدم توافقه مع أحكام الاتفاقية أو لاستناده إلى ادعاءات ظاهرة البطلان.</w:t>
      </w:r>
    </w:p>
    <w:p w:rsidR="00093A3C" w:rsidRDefault="00093A3C" w:rsidP="00093A3C">
      <w:pPr>
        <w:pStyle w:val="SingleTxtGA"/>
        <w:rPr>
          <w:rtl/>
        </w:rPr>
      </w:pPr>
      <w:r>
        <w:rPr>
          <w:rtl/>
        </w:rPr>
        <w:t>٧-</w:t>
      </w:r>
      <w:r w:rsidR="009535E8">
        <w:rPr>
          <w:rtl/>
        </w:rPr>
        <w:tab/>
      </w:r>
      <w:r>
        <w:rPr>
          <w:rtl/>
        </w:rPr>
        <w:t xml:space="preserve">وبناءً عليه، تقرر اللجنة ما يلي: </w:t>
      </w:r>
    </w:p>
    <w:p w:rsidR="00093A3C" w:rsidRDefault="009535E8" w:rsidP="00093A3C">
      <w:pPr>
        <w:pStyle w:val="SingleTxtGA"/>
        <w:rPr>
          <w:rtl/>
        </w:rPr>
      </w:pPr>
      <w:r>
        <w:rPr>
          <w:rtl/>
        </w:rPr>
        <w:tab/>
        <w:t>(أ)</w:t>
      </w:r>
      <w:r>
        <w:rPr>
          <w:rtl/>
        </w:rPr>
        <w:tab/>
      </w:r>
      <w:r w:rsidR="00093A3C">
        <w:rPr>
          <w:rtl/>
        </w:rPr>
        <w:t>عدم مقبولية البلاغ بموجب أحكام الفقرة 5(ب) من المادة 22 من الاتفاقية؛</w:t>
      </w:r>
    </w:p>
    <w:p w:rsidR="00093A3C" w:rsidRDefault="009535E8" w:rsidP="00093A3C">
      <w:pPr>
        <w:pStyle w:val="SingleTxtGA"/>
        <w:rPr>
          <w:rtl/>
        </w:rPr>
      </w:pPr>
      <w:r>
        <w:rPr>
          <w:rtl/>
        </w:rPr>
        <w:tab/>
        <w:t>(ب)</w:t>
      </w:r>
      <w:r>
        <w:rPr>
          <w:rtl/>
        </w:rPr>
        <w:tab/>
      </w:r>
      <w:r w:rsidR="00093A3C">
        <w:rPr>
          <w:rtl/>
        </w:rPr>
        <w:t>إبلاغ صاحبة الشكوى والدولة الطرف بهذا القرار.</w:t>
      </w:r>
    </w:p>
    <w:p w:rsidR="00CD7C64" w:rsidRDefault="00CD7C64" w:rsidP="00093A3C">
      <w:pPr>
        <w:pStyle w:val="SingleTxtGA"/>
        <w:rPr>
          <w:rtl/>
        </w:rPr>
      </w:pPr>
    </w:p>
    <w:p w:rsidR="002B65A2" w:rsidRDefault="002B65A2" w:rsidP="00093A3C">
      <w:pPr>
        <w:pStyle w:val="SingleTxtGA"/>
        <w:rPr>
          <w:rtl/>
        </w:rPr>
        <w:sectPr w:rsidR="002B65A2" w:rsidSect="002E1CA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pPr>
    </w:p>
    <w:p w:rsidR="002B65A2" w:rsidRDefault="002B65A2" w:rsidP="00CD7C64">
      <w:pPr>
        <w:pStyle w:val="HChGA"/>
        <w:spacing w:before="120"/>
        <w:rPr>
          <w:rtl/>
        </w:rPr>
      </w:pPr>
      <w:r>
        <w:rPr>
          <w:rFonts w:hint="cs"/>
          <w:rtl/>
        </w:rPr>
        <w:lastRenderedPageBreak/>
        <w:t>ال</w:t>
      </w:r>
      <w:r>
        <w:rPr>
          <w:rtl/>
        </w:rPr>
        <w:t>مرفق</w:t>
      </w:r>
    </w:p>
    <w:p w:rsidR="002B65A2" w:rsidRDefault="002B65A2" w:rsidP="002B65A2">
      <w:pPr>
        <w:pStyle w:val="HChGA"/>
        <w:rPr>
          <w:rtl/>
        </w:rPr>
      </w:pPr>
      <w:r>
        <w:rPr>
          <w:rtl/>
        </w:rPr>
        <w:tab/>
      </w:r>
      <w:r>
        <w:rPr>
          <w:rtl/>
        </w:rPr>
        <w:tab/>
        <w:t>رأي فردي أبداه عضو اللجنة عبد الوهاب هاني (رأي مخالف)</w:t>
      </w:r>
    </w:p>
    <w:p w:rsidR="002B65A2" w:rsidRDefault="002B65A2" w:rsidP="00CD7C64">
      <w:pPr>
        <w:pStyle w:val="SingleTxtGA"/>
        <w:jc w:val="right"/>
        <w:rPr>
          <w:rtl/>
        </w:rPr>
      </w:pPr>
      <w:r>
        <w:rPr>
          <w:rtl/>
        </w:rPr>
        <w:t>[الأصل: بالفرنسية]</w:t>
      </w:r>
    </w:p>
    <w:p w:rsidR="002B65A2" w:rsidRDefault="002B65A2" w:rsidP="000E4D10">
      <w:pPr>
        <w:pStyle w:val="SingleTxtGA"/>
        <w:spacing w:line="360" w:lineRule="exact"/>
        <w:rPr>
          <w:rtl/>
        </w:rPr>
      </w:pPr>
      <w:r>
        <w:rPr>
          <w:rtl/>
        </w:rPr>
        <w:t>١-</w:t>
      </w:r>
      <w:r>
        <w:rPr>
          <w:rtl/>
        </w:rPr>
        <w:tab/>
        <w:t xml:space="preserve">تلاحظ الدولة الطرف أن "صاحبة الشكوى لم تطلب أيضاً إجراء تقييم للمخاطر قبل الترحيل". وتذكِّر </w:t>
      </w:r>
      <w:r w:rsidR="00CD7C64">
        <w:rPr>
          <w:rtl/>
        </w:rPr>
        <w:t>بأن "الأشخاص الموجودين في كندا</w:t>
      </w:r>
      <w:r>
        <w:rPr>
          <w:rtl/>
        </w:rPr>
        <w:t xml:space="preserve">. يجوز لهم أن يطلبوا إجراء هذا التقييم إن كانوا خاضعين لأمر إبعاد قابل للإنفاذ" وأنه "يجوز لأي شخص أن يقدم طلباً للحصول على </w:t>
      </w:r>
      <w:r w:rsidRPr="00CD7C64">
        <w:rPr>
          <w:spacing w:val="-4"/>
          <w:rtl/>
        </w:rPr>
        <w:t>الحماية إلى الوزير في غضون ١٥ يوما</w:t>
      </w:r>
      <w:r w:rsidR="005F6DB1">
        <w:rPr>
          <w:rFonts w:hint="cs"/>
          <w:spacing w:val="-4"/>
          <w:rtl/>
        </w:rPr>
        <w:t>ً</w:t>
      </w:r>
      <w:r w:rsidRPr="00CD7C64">
        <w:rPr>
          <w:spacing w:val="-4"/>
          <w:rtl/>
        </w:rPr>
        <w:t xml:space="preserve"> من إخطاره بقرار الإبعاد". وتجعل الدولة الطرف طلب هذا</w:t>
      </w:r>
      <w:r>
        <w:rPr>
          <w:rtl/>
        </w:rPr>
        <w:t xml:space="preserve"> الانتصاف مشروطاً بالإخطار بقرار الترحيل، وهو ما يبدو بدوره مشروطاً بطلب الدولة الطرف إلى اللجنة إلغاء التدابير المؤقتة المتخذة (الفقرة 4-3) </w:t>
      </w:r>
      <w:r w:rsidR="00CD7C64">
        <w:rPr>
          <w:rFonts w:hint="cs"/>
          <w:rtl/>
        </w:rPr>
        <w:t>-</w:t>
      </w:r>
      <w:r>
        <w:rPr>
          <w:rtl/>
        </w:rPr>
        <w:t xml:space="preserve"> وهو طلب رفضته اللجنة.</w:t>
      </w:r>
    </w:p>
    <w:p w:rsidR="002B65A2" w:rsidRDefault="002B65A2" w:rsidP="000E4D10">
      <w:pPr>
        <w:pStyle w:val="SingleTxtGA"/>
        <w:spacing w:line="360" w:lineRule="exact"/>
        <w:rPr>
          <w:rtl/>
        </w:rPr>
      </w:pPr>
      <w:r>
        <w:rPr>
          <w:rtl/>
        </w:rPr>
        <w:t>٢-</w:t>
      </w:r>
      <w:r>
        <w:rPr>
          <w:rtl/>
        </w:rPr>
        <w:tab/>
        <w:t>ومع ذلك، لا تشير الدولة الطرف إلى أي إخطار بقرار الترحيل، بناءً على صدور أمر بالترحيل قابل للإنفاذ. واكتفت صاحبة الشكوى</w:t>
      </w:r>
      <w:r w:rsidR="00CD7C64">
        <w:rPr>
          <w:rtl/>
        </w:rPr>
        <w:t xml:space="preserve"> </w:t>
      </w:r>
      <w:r>
        <w:rPr>
          <w:rtl/>
        </w:rPr>
        <w:t xml:space="preserve">بالقول إن ترحيلها "وشيك"، دون الإشارة إلى </w:t>
      </w:r>
      <w:r w:rsidRPr="00CD7C64">
        <w:rPr>
          <w:spacing w:val="-4"/>
          <w:rtl/>
        </w:rPr>
        <w:t>موعد ترحيلها. وعدم الإخطار يجعل من المستحيل لصاحبة الشكوى أن تطلب الحماية، مما يجعل</w:t>
      </w:r>
      <w:r>
        <w:rPr>
          <w:rtl/>
        </w:rPr>
        <w:t xml:space="preserve"> سبيل الانتصاف هذا عديم المفعول.</w:t>
      </w:r>
    </w:p>
    <w:p w:rsidR="002B65A2" w:rsidRDefault="002B65A2" w:rsidP="000E4D10">
      <w:pPr>
        <w:pStyle w:val="SingleTxtGA"/>
        <w:spacing w:line="360" w:lineRule="exact"/>
        <w:rPr>
          <w:rtl/>
        </w:rPr>
      </w:pPr>
      <w:r>
        <w:rPr>
          <w:rtl/>
        </w:rPr>
        <w:t>٣-</w:t>
      </w:r>
      <w:r>
        <w:rPr>
          <w:rtl/>
        </w:rPr>
        <w:tab/>
        <w:t xml:space="preserve">وتلاحظ الدولة الطرف كذلك أن صاحبة الشكوى كان يحق لها أن تطلب إجراء تقييم </w:t>
      </w:r>
      <w:r w:rsidRPr="00CD7C64">
        <w:rPr>
          <w:rtl/>
        </w:rPr>
        <w:t>للمخاطر قبل الترحيل منذ ٣٠ آذار/مارس ٢٠١٦، وهو تاريخ رفض طلبها اللجوء، ولكنها لم</w:t>
      </w:r>
      <w:r w:rsidR="00CD7C64">
        <w:rPr>
          <w:rFonts w:hint="cs"/>
          <w:rtl/>
        </w:rPr>
        <w:t> </w:t>
      </w:r>
      <w:r w:rsidRPr="00CD7C64">
        <w:rPr>
          <w:rtl/>
        </w:rPr>
        <w:t>تستنفد</w:t>
      </w:r>
      <w:r>
        <w:rPr>
          <w:rtl/>
        </w:rPr>
        <w:t xml:space="preserve"> هذا السبيل من سبل الانتصاف. </w:t>
      </w:r>
    </w:p>
    <w:p w:rsidR="002B65A2" w:rsidRPr="00CD7C64" w:rsidRDefault="002B65A2" w:rsidP="000E4D10">
      <w:pPr>
        <w:pStyle w:val="SingleTxtGA"/>
        <w:spacing w:line="360" w:lineRule="exact"/>
        <w:rPr>
          <w:spacing w:val="-4"/>
          <w:rtl/>
        </w:rPr>
      </w:pPr>
      <w:r>
        <w:rPr>
          <w:rtl/>
        </w:rPr>
        <w:t>٤-</w:t>
      </w:r>
      <w:r>
        <w:rPr>
          <w:rtl/>
        </w:rPr>
        <w:tab/>
      </w:r>
      <w:r w:rsidRPr="000E4D10">
        <w:rPr>
          <w:rtl/>
        </w:rPr>
        <w:t>ولا تشير الدولة الطرف إلى أن صاحبة البلاغ لا يحق لها أن تطلب تقييم المخاطر قبل الترحيل إ</w:t>
      </w:r>
      <w:r w:rsidRPr="00CD7C64">
        <w:rPr>
          <w:spacing w:val="-4"/>
          <w:rtl/>
        </w:rPr>
        <w:t>لا بعد مضي ١٢ شهراً من ذلك التاريخ، وهي المدة التي يُحظر فيها على ملتمسي اللجوء الذين رُفضت طلباتهم تقديم أي طعن. وهذه المدة مفرطة الطول، بالنظر إلى حالة ضعف صاحبة الشكوى باعتبارها طالبة لجوء بدأت عملية اللجوء منذ خمس سنوات مضت ورُفض طلبها.</w:t>
      </w:r>
    </w:p>
    <w:p w:rsidR="002B65A2" w:rsidRDefault="002B65A2" w:rsidP="000E4D10">
      <w:pPr>
        <w:pStyle w:val="SingleTxtGA"/>
        <w:spacing w:line="360" w:lineRule="exact"/>
        <w:rPr>
          <w:rtl/>
        </w:rPr>
      </w:pPr>
      <w:r>
        <w:rPr>
          <w:rtl/>
        </w:rPr>
        <w:t>٥-</w:t>
      </w:r>
      <w:r>
        <w:rPr>
          <w:rtl/>
        </w:rPr>
        <w:tab/>
      </w:r>
      <w:r w:rsidRPr="000E4D10">
        <w:rPr>
          <w:spacing w:val="-2"/>
          <w:rtl/>
        </w:rPr>
        <w:t>ورغم أن قصد عملية تقييم المخاطر قبل الترحيل جدير بالثناء، فهي في الممارسة العملية آلية غير مستقلة للمراجعة التقديرية للحالات من قِبل موظفي الوزارة. فطالب اللجوء الذي رُفض</w:t>
      </w:r>
      <w:r>
        <w:rPr>
          <w:rtl/>
        </w:rPr>
        <w:t xml:space="preserve"> طُلبه لا يمكنه أن يدعم طلبه لغرض المراجعة إلا بتقديم أدلة جديدة. </w:t>
      </w:r>
    </w:p>
    <w:p w:rsidR="002B65A2" w:rsidRDefault="002B65A2" w:rsidP="000E4D10">
      <w:pPr>
        <w:pStyle w:val="SingleTxtGA"/>
        <w:spacing w:line="360" w:lineRule="exact"/>
        <w:rPr>
          <w:rtl/>
        </w:rPr>
      </w:pPr>
      <w:r>
        <w:rPr>
          <w:rtl/>
        </w:rPr>
        <w:t>٦-</w:t>
      </w:r>
      <w:r>
        <w:rPr>
          <w:rtl/>
        </w:rPr>
        <w:tab/>
      </w:r>
      <w:r w:rsidRPr="00CD7C64">
        <w:rPr>
          <w:spacing w:val="-4"/>
          <w:rtl/>
        </w:rPr>
        <w:t xml:space="preserve">واللجوء إلى تقييم المخاطر قبل الترحيل مشروط باستلام إخطار من الوزير يدعو أصحاب </w:t>
      </w:r>
      <w:r w:rsidRPr="0055432F">
        <w:rPr>
          <w:spacing w:val="-2"/>
          <w:rtl/>
        </w:rPr>
        <w:t>الشكاوى إلى الاستفادة من هذا الخيار. ومع ذلك، لا تشير الدولة الطرف إلى تقديم أي إخطار من</w:t>
      </w:r>
      <w:r w:rsidRPr="00CD7C64">
        <w:rPr>
          <w:spacing w:val="-4"/>
          <w:rtl/>
        </w:rPr>
        <w:t xml:space="preserve"> </w:t>
      </w:r>
      <w:r w:rsidRPr="000E4D10">
        <w:rPr>
          <w:spacing w:val="-4"/>
          <w:rtl/>
        </w:rPr>
        <w:t>هذا القبيل إلى صاحبة الشكوى، وبالتالي لم تثبت الدولة الطرف أن سبيل الانتصاف هذا كان متاحاً</w:t>
      </w:r>
      <w:r>
        <w:rPr>
          <w:rtl/>
        </w:rPr>
        <w:t xml:space="preserve"> لها في الواقع. </w:t>
      </w:r>
    </w:p>
    <w:p w:rsidR="002B65A2" w:rsidRDefault="002B65A2" w:rsidP="000E4D10">
      <w:pPr>
        <w:pStyle w:val="SingleTxtGA"/>
        <w:spacing w:line="360" w:lineRule="exact"/>
        <w:rPr>
          <w:rtl/>
        </w:rPr>
      </w:pPr>
      <w:r>
        <w:rPr>
          <w:rtl/>
        </w:rPr>
        <w:t>٧-</w:t>
      </w:r>
      <w:r>
        <w:rPr>
          <w:rtl/>
        </w:rPr>
        <w:tab/>
        <w:t>وتوجِّه صاحبه البلاغ الانتباه إلى انخفاض معدل استكمال تقييم المخاطر قبل الترحيل. وقد أكدت هذه الملاحظة الدولة الطرف نفسها في سياق النظر في تقريرها الدوري السابع (</w:t>
      </w:r>
      <w:r>
        <w:t>CAT/C/CAN/7</w:t>
      </w:r>
      <w:r>
        <w:rPr>
          <w:rtl/>
        </w:rPr>
        <w:t xml:space="preserve">)، عندما ذكرت أن معدل قبول طلبات تقييم المخاطر قبل الترحيل، التي قُدمت في خلال السنوات الخمس الماضية، بلغ 5.2 في </w:t>
      </w:r>
      <w:proofErr w:type="gramStart"/>
      <w:r>
        <w:rPr>
          <w:rtl/>
        </w:rPr>
        <w:t>المائة</w:t>
      </w:r>
      <w:r>
        <w:rPr>
          <w:vertAlign w:val="superscript"/>
          <w:rtl/>
        </w:rPr>
        <w:t>(</w:t>
      </w:r>
      <w:proofErr w:type="gramEnd"/>
      <w:r>
        <w:rPr>
          <w:rStyle w:val="FootnoteReference"/>
          <w:rtl/>
        </w:rPr>
        <w:footnoteReference w:id="37"/>
      </w:r>
      <w:r>
        <w:rPr>
          <w:vertAlign w:val="superscript"/>
          <w:rtl/>
        </w:rPr>
        <w:t>)</w:t>
      </w:r>
      <w:r>
        <w:rPr>
          <w:rtl/>
        </w:rPr>
        <w:t>.</w:t>
      </w:r>
      <w:r w:rsidR="00CD7C64">
        <w:rPr>
          <w:rtl/>
        </w:rPr>
        <w:t xml:space="preserve"> </w:t>
      </w:r>
      <w:r>
        <w:rPr>
          <w:rtl/>
        </w:rPr>
        <w:t xml:space="preserve">وتشير الإحصاءات </w:t>
      </w:r>
      <w:proofErr w:type="gramStart"/>
      <w:r>
        <w:rPr>
          <w:rtl/>
        </w:rPr>
        <w:t>الرسمية</w:t>
      </w:r>
      <w:r>
        <w:rPr>
          <w:vertAlign w:val="superscript"/>
          <w:rtl/>
        </w:rPr>
        <w:t>(</w:t>
      </w:r>
      <w:proofErr w:type="gramEnd"/>
      <w:r>
        <w:rPr>
          <w:rStyle w:val="FootnoteReference"/>
          <w:rtl/>
        </w:rPr>
        <w:footnoteReference w:id="38"/>
      </w:r>
      <w:r>
        <w:rPr>
          <w:vertAlign w:val="superscript"/>
          <w:rtl/>
        </w:rPr>
        <w:t>)</w:t>
      </w:r>
      <w:r>
        <w:rPr>
          <w:rtl/>
        </w:rPr>
        <w:t xml:space="preserve"> </w:t>
      </w:r>
      <w:r w:rsidRPr="005F6DB1">
        <w:rPr>
          <w:spacing w:val="-4"/>
          <w:rtl/>
        </w:rPr>
        <w:lastRenderedPageBreak/>
        <w:t xml:space="preserve">إلى أن "معدل قبول طلبات تقييم المخاطر قبل الترحيل ظل منخفضاً إلى حد بعيد"، حيث تراوح </w:t>
      </w:r>
      <w:r w:rsidRPr="005F6DB1">
        <w:rPr>
          <w:spacing w:val="2"/>
          <w:rtl/>
        </w:rPr>
        <w:t>من 1.4 في المائة في عام ٢٠١٠ إلى 3,1 في المائة عام ٢٠١٤</w:t>
      </w:r>
      <w:r w:rsidRPr="005F6DB1">
        <w:rPr>
          <w:spacing w:val="2"/>
          <w:vertAlign w:val="superscript"/>
          <w:rtl/>
        </w:rPr>
        <w:t>(</w:t>
      </w:r>
      <w:r w:rsidRPr="005F6DB1">
        <w:rPr>
          <w:rStyle w:val="FootnoteReference"/>
          <w:spacing w:val="2"/>
          <w:rtl/>
        </w:rPr>
        <w:footnoteReference w:id="39"/>
      </w:r>
      <w:r w:rsidRPr="005F6DB1">
        <w:rPr>
          <w:spacing w:val="2"/>
          <w:vertAlign w:val="superscript"/>
          <w:rtl/>
        </w:rPr>
        <w:t>)</w:t>
      </w:r>
      <w:r w:rsidRPr="005F6DB1">
        <w:rPr>
          <w:spacing w:val="2"/>
          <w:rtl/>
        </w:rPr>
        <w:t>،</w:t>
      </w:r>
      <w:r w:rsidR="00CD7C64" w:rsidRPr="005F6DB1">
        <w:rPr>
          <w:spacing w:val="2"/>
          <w:rtl/>
        </w:rPr>
        <w:t xml:space="preserve"> </w:t>
      </w:r>
      <w:r w:rsidRPr="005F6DB1">
        <w:rPr>
          <w:spacing w:val="2"/>
          <w:rtl/>
        </w:rPr>
        <w:t>أي بمعدل سنوي متوسط لا</w:t>
      </w:r>
      <w:r>
        <w:rPr>
          <w:rtl/>
        </w:rPr>
        <w:t xml:space="preserve"> يزيد على ٢ في المائة.</w:t>
      </w:r>
    </w:p>
    <w:p w:rsidR="002B65A2" w:rsidRDefault="002B65A2" w:rsidP="00E401AA">
      <w:pPr>
        <w:pStyle w:val="SingleTxtGA"/>
        <w:spacing w:line="370" w:lineRule="exact"/>
        <w:rPr>
          <w:rtl/>
        </w:rPr>
      </w:pPr>
      <w:r>
        <w:rPr>
          <w:rtl/>
        </w:rPr>
        <w:t>٨-</w:t>
      </w:r>
      <w:r>
        <w:rPr>
          <w:rtl/>
        </w:rPr>
        <w:tab/>
        <w:t xml:space="preserve">وفي هذه الظروف، فإن المستوى المنخفض جداً لمعدل قبول طلبات تقييم المخاطر قبل </w:t>
      </w:r>
      <w:r w:rsidRPr="00E401AA">
        <w:rPr>
          <w:spacing w:val="-4"/>
          <w:rtl/>
        </w:rPr>
        <w:t xml:space="preserve">الترحيل له علاقة بالبحث في احتمالية الأحداث النادرة ومتغيراتها العشوائية </w:t>
      </w:r>
      <w:r w:rsidR="00CD7C64" w:rsidRPr="00E401AA">
        <w:rPr>
          <w:rFonts w:hint="cs"/>
          <w:spacing w:val="-4"/>
          <w:rtl/>
        </w:rPr>
        <w:t>-</w:t>
      </w:r>
      <w:r w:rsidRPr="00E401AA">
        <w:rPr>
          <w:spacing w:val="-4"/>
          <w:rtl/>
        </w:rPr>
        <w:t xml:space="preserve"> وفقاً لتوزيع </w:t>
      </w:r>
      <w:proofErr w:type="spellStart"/>
      <w:proofErr w:type="gramStart"/>
      <w:r w:rsidRPr="00E401AA">
        <w:rPr>
          <w:spacing w:val="-4"/>
          <w:rtl/>
        </w:rPr>
        <w:t>بواسون</w:t>
      </w:r>
      <w:proofErr w:type="spellEnd"/>
      <w:r w:rsidRPr="00E401AA">
        <w:rPr>
          <w:spacing w:val="-4"/>
          <w:vertAlign w:val="superscript"/>
          <w:rtl/>
        </w:rPr>
        <w:t>(</w:t>
      </w:r>
      <w:proofErr w:type="gramEnd"/>
      <w:r w:rsidRPr="00E401AA">
        <w:rPr>
          <w:rStyle w:val="FootnoteReference"/>
          <w:spacing w:val="-4"/>
          <w:rtl/>
        </w:rPr>
        <w:footnoteReference w:id="40"/>
      </w:r>
      <w:r w:rsidRPr="00E401AA">
        <w:rPr>
          <w:spacing w:val="-4"/>
          <w:vertAlign w:val="superscript"/>
          <w:rtl/>
        </w:rPr>
        <w:t>)</w:t>
      </w:r>
      <w:r>
        <w:rPr>
          <w:rtl/>
        </w:rPr>
        <w:t xml:space="preserve"> </w:t>
      </w:r>
      <w:r>
        <w:t>Poisson</w:t>
      </w:r>
      <w:r w:rsidR="000E4D10">
        <w:rPr>
          <w:rFonts w:hint="cs"/>
          <w:rtl/>
        </w:rPr>
        <w:t xml:space="preserve"> -</w:t>
      </w:r>
      <w:r>
        <w:rPr>
          <w:rtl/>
        </w:rPr>
        <w:t xml:space="preserve"> أوثق من العلاقة بأي سبيل انتصاف فعال ينطوي على</w:t>
      </w:r>
      <w:r w:rsidR="00CD7C64">
        <w:rPr>
          <w:rtl/>
        </w:rPr>
        <w:t xml:space="preserve"> </w:t>
      </w:r>
      <w:r>
        <w:rPr>
          <w:rtl/>
        </w:rPr>
        <w:t>احتمال معقول للانتصاف.</w:t>
      </w:r>
    </w:p>
    <w:p w:rsidR="002B65A2" w:rsidRDefault="002B65A2" w:rsidP="00E401AA">
      <w:pPr>
        <w:pStyle w:val="SingleTxtGA"/>
        <w:spacing w:line="370" w:lineRule="exact"/>
        <w:rPr>
          <w:rtl/>
        </w:rPr>
      </w:pPr>
      <w:r>
        <w:rPr>
          <w:rtl/>
        </w:rPr>
        <w:t>٩-</w:t>
      </w:r>
      <w:r>
        <w:rPr>
          <w:rtl/>
        </w:rPr>
        <w:tab/>
      </w:r>
      <w:r w:rsidRPr="00E401AA">
        <w:rPr>
          <w:spacing w:val="-4"/>
          <w:rtl/>
        </w:rPr>
        <w:t>وتؤكد الدولة الطرف كذلك أن صاحبة الشكوى يمكنها أن تطلب الإذن لالتماس المراجعة</w:t>
      </w:r>
      <w:r>
        <w:rPr>
          <w:rtl/>
        </w:rPr>
        <w:t xml:space="preserve"> </w:t>
      </w:r>
      <w:r w:rsidRPr="00E401AA">
        <w:rPr>
          <w:spacing w:val="-4"/>
          <w:rtl/>
        </w:rPr>
        <w:t xml:space="preserve">القضائية لقرار الرفض أمام المحكمة الاتحادية </w:t>
      </w:r>
      <w:proofErr w:type="gramStart"/>
      <w:r w:rsidRPr="00E401AA">
        <w:rPr>
          <w:spacing w:val="-4"/>
          <w:rtl/>
        </w:rPr>
        <w:t>لكندا</w:t>
      </w:r>
      <w:r w:rsidRPr="00E401AA">
        <w:rPr>
          <w:spacing w:val="-4"/>
          <w:vertAlign w:val="superscript"/>
          <w:rtl/>
        </w:rPr>
        <w:t>(</w:t>
      </w:r>
      <w:proofErr w:type="gramEnd"/>
      <w:r w:rsidRPr="00E401AA">
        <w:rPr>
          <w:rStyle w:val="FootnoteReference"/>
          <w:spacing w:val="-4"/>
          <w:rtl/>
        </w:rPr>
        <w:footnoteReference w:id="41"/>
      </w:r>
      <w:r w:rsidRPr="00E401AA">
        <w:rPr>
          <w:spacing w:val="-4"/>
          <w:vertAlign w:val="superscript"/>
          <w:rtl/>
        </w:rPr>
        <w:t>)</w:t>
      </w:r>
      <w:r w:rsidRPr="00E401AA">
        <w:rPr>
          <w:spacing w:val="-4"/>
          <w:rtl/>
        </w:rPr>
        <w:t>،</w:t>
      </w:r>
      <w:r w:rsidR="00CD7C64" w:rsidRPr="00E401AA">
        <w:rPr>
          <w:spacing w:val="-4"/>
          <w:rtl/>
        </w:rPr>
        <w:t xml:space="preserve"> </w:t>
      </w:r>
      <w:r w:rsidRPr="00E401AA">
        <w:rPr>
          <w:spacing w:val="-4"/>
          <w:rtl/>
        </w:rPr>
        <w:t>وهو إجراء لا يُعد استئنافاً للقرار وإنما طلباً</w:t>
      </w:r>
      <w:r>
        <w:rPr>
          <w:rtl/>
        </w:rPr>
        <w:t xml:space="preserve"> لمراجعة القرار ولعملية اتخاذه</w:t>
      </w:r>
      <w:r>
        <w:rPr>
          <w:vertAlign w:val="superscript"/>
          <w:rtl/>
        </w:rPr>
        <w:t>(</w:t>
      </w:r>
      <w:r>
        <w:rPr>
          <w:rStyle w:val="FootnoteReference"/>
          <w:rtl/>
        </w:rPr>
        <w:footnoteReference w:id="42"/>
      </w:r>
      <w:r>
        <w:rPr>
          <w:vertAlign w:val="superscript"/>
          <w:rtl/>
        </w:rPr>
        <w:t>)</w:t>
      </w:r>
      <w:r>
        <w:rPr>
          <w:rtl/>
        </w:rPr>
        <w:t>.</w:t>
      </w:r>
      <w:r w:rsidR="00CD7C64">
        <w:rPr>
          <w:rtl/>
        </w:rPr>
        <w:t xml:space="preserve"> </w:t>
      </w:r>
      <w:r>
        <w:rPr>
          <w:rtl/>
        </w:rPr>
        <w:t>وقُدمت هذه الطلبات في نسبة ثمانية في المائة فقط</w:t>
      </w:r>
      <w:r w:rsidR="00E401AA">
        <w:rPr>
          <w:rtl/>
        </w:rPr>
        <w:t xml:space="preserve"> من الحالات </w:t>
      </w:r>
      <w:r w:rsidR="00E401AA" w:rsidRPr="00E401AA">
        <w:rPr>
          <w:spacing w:val="-4"/>
          <w:rtl/>
        </w:rPr>
        <w:t>في الفترة ٢٠٠٩</w:t>
      </w:r>
      <w:r w:rsidR="00E401AA" w:rsidRPr="00E401AA">
        <w:rPr>
          <w:rFonts w:hint="cs"/>
          <w:spacing w:val="-4"/>
          <w:rtl/>
        </w:rPr>
        <w:t>-</w:t>
      </w:r>
      <w:r w:rsidRPr="00E401AA">
        <w:rPr>
          <w:spacing w:val="-4"/>
          <w:rtl/>
        </w:rPr>
        <w:t>٢٠١١ وفي نسبة ١١ في ا</w:t>
      </w:r>
      <w:r w:rsidR="00E401AA" w:rsidRPr="00E401AA">
        <w:rPr>
          <w:spacing w:val="-4"/>
          <w:rtl/>
        </w:rPr>
        <w:t>لمائة من الحالات في الفترة ٢٠١٢</w:t>
      </w:r>
      <w:r w:rsidR="00E401AA" w:rsidRPr="00E401AA">
        <w:rPr>
          <w:rFonts w:hint="cs"/>
          <w:spacing w:val="-4"/>
          <w:rtl/>
        </w:rPr>
        <w:t>-</w:t>
      </w:r>
      <w:r w:rsidRPr="00E401AA">
        <w:rPr>
          <w:spacing w:val="-4"/>
          <w:rtl/>
        </w:rPr>
        <w:t>٢٠١٤.</w:t>
      </w:r>
      <w:r w:rsidR="00CD7C64" w:rsidRPr="00E401AA">
        <w:rPr>
          <w:spacing w:val="-4"/>
          <w:rtl/>
        </w:rPr>
        <w:t xml:space="preserve"> </w:t>
      </w:r>
      <w:r w:rsidRPr="00E401AA">
        <w:rPr>
          <w:spacing w:val="-4"/>
          <w:rtl/>
        </w:rPr>
        <w:t>وكانت</w:t>
      </w:r>
      <w:r>
        <w:rPr>
          <w:rtl/>
        </w:rPr>
        <w:t xml:space="preserve"> نسبة أربعة في المائة فقط من قرارات المراجعة القضائية إيجابية خلال الفترة ٢٠٠٩</w:t>
      </w:r>
      <w:r>
        <w:rPr>
          <w:rFonts w:hint="cs"/>
          <w:rtl/>
        </w:rPr>
        <w:t>-</w:t>
      </w:r>
      <w:r>
        <w:rPr>
          <w:rtl/>
        </w:rPr>
        <w:t>٢٠١٤</w:t>
      </w:r>
      <w:r>
        <w:rPr>
          <w:vertAlign w:val="superscript"/>
          <w:rtl/>
        </w:rPr>
        <w:t>(</w:t>
      </w:r>
      <w:r>
        <w:rPr>
          <w:rStyle w:val="FootnoteReference"/>
          <w:rtl/>
        </w:rPr>
        <w:footnoteReference w:id="43"/>
      </w:r>
      <w:r>
        <w:rPr>
          <w:vertAlign w:val="superscript"/>
          <w:rtl/>
        </w:rPr>
        <w:t>)</w:t>
      </w:r>
      <w:r>
        <w:rPr>
          <w:rtl/>
        </w:rPr>
        <w:t>.</w:t>
      </w:r>
    </w:p>
    <w:p w:rsidR="002B65A2" w:rsidRDefault="002B65A2" w:rsidP="00E401AA">
      <w:pPr>
        <w:pStyle w:val="SingleTxtGA"/>
        <w:spacing w:line="370" w:lineRule="exact"/>
        <w:rPr>
          <w:rtl/>
        </w:rPr>
      </w:pPr>
      <w:r>
        <w:rPr>
          <w:rtl/>
        </w:rPr>
        <w:t>١٠-</w:t>
      </w:r>
      <w:r>
        <w:rPr>
          <w:rtl/>
        </w:rPr>
        <w:tab/>
      </w:r>
      <w:r w:rsidRPr="00E401AA">
        <w:rPr>
          <w:spacing w:val="-4"/>
          <w:rtl/>
        </w:rPr>
        <w:t xml:space="preserve">وجرى ترحيل نسبة عالية (٢٦ في المائة) من الأشخاص الذين يُحتمل أن يكونوا مؤهلين </w:t>
      </w:r>
      <w:r>
        <w:rPr>
          <w:rtl/>
        </w:rPr>
        <w:t xml:space="preserve">لإجراء تقييم المخاطر قبل الترحيل قبل انتهاء مدة الحظر المحددة </w:t>
      </w:r>
      <w:proofErr w:type="gramStart"/>
      <w:r>
        <w:rPr>
          <w:rtl/>
        </w:rPr>
        <w:t>بسنة</w:t>
      </w:r>
      <w:r>
        <w:rPr>
          <w:vertAlign w:val="superscript"/>
          <w:rtl/>
        </w:rPr>
        <w:t>(</w:t>
      </w:r>
      <w:proofErr w:type="gramEnd"/>
      <w:r>
        <w:rPr>
          <w:rStyle w:val="FootnoteReference"/>
          <w:rtl/>
        </w:rPr>
        <w:footnoteReference w:id="44"/>
      </w:r>
      <w:r>
        <w:rPr>
          <w:vertAlign w:val="superscript"/>
          <w:rtl/>
        </w:rPr>
        <w:t>)</w:t>
      </w:r>
      <w:r>
        <w:rPr>
          <w:rtl/>
        </w:rPr>
        <w:t>،</w:t>
      </w:r>
      <w:r w:rsidR="00CD7C64">
        <w:rPr>
          <w:rtl/>
        </w:rPr>
        <w:t xml:space="preserve"> </w:t>
      </w:r>
      <w:r>
        <w:rPr>
          <w:rtl/>
        </w:rPr>
        <w:t>مع ملاحظة اتجاه في هذه الفترة لتيسير عمليات الترحيل من أجل التقليل من عدد الطلبات، وبالتالي القضاء على أي أثر إيقافي محتمل</w:t>
      </w:r>
      <w:r>
        <w:rPr>
          <w:vertAlign w:val="superscript"/>
          <w:rtl/>
        </w:rPr>
        <w:t>(</w:t>
      </w:r>
      <w:r>
        <w:rPr>
          <w:rStyle w:val="FootnoteReference"/>
          <w:rtl/>
        </w:rPr>
        <w:footnoteReference w:id="45"/>
      </w:r>
      <w:r>
        <w:rPr>
          <w:vertAlign w:val="superscript"/>
          <w:rtl/>
        </w:rPr>
        <w:t>)</w:t>
      </w:r>
      <w:r>
        <w:rPr>
          <w:rtl/>
        </w:rPr>
        <w:t xml:space="preserve">. </w:t>
      </w:r>
    </w:p>
    <w:p w:rsidR="002B65A2" w:rsidRDefault="002B65A2" w:rsidP="00E401AA">
      <w:pPr>
        <w:pStyle w:val="SingleTxtGA"/>
        <w:spacing w:line="370" w:lineRule="exact"/>
        <w:rPr>
          <w:rtl/>
        </w:rPr>
      </w:pPr>
      <w:r>
        <w:rPr>
          <w:rtl/>
        </w:rPr>
        <w:t>١١-</w:t>
      </w:r>
      <w:r>
        <w:rPr>
          <w:rtl/>
        </w:rPr>
        <w:tab/>
        <w:t xml:space="preserve">ويجب أن يُفهم أن الأثر </w:t>
      </w:r>
      <w:proofErr w:type="spellStart"/>
      <w:r>
        <w:rPr>
          <w:rtl/>
        </w:rPr>
        <w:t>الإيقافي</w:t>
      </w:r>
      <w:proofErr w:type="spellEnd"/>
      <w:r>
        <w:rPr>
          <w:rtl/>
        </w:rPr>
        <w:t xml:space="preserve">، والأطر الزمنية المعقولة، تنطبق على جميع الإجراءات المتبعة في الدولة الطرف، من أجل تجنب الثغرات في الحماية. ويجب أن تُطبق على الفترة التي </w:t>
      </w:r>
      <w:r w:rsidRPr="00CD7C64">
        <w:rPr>
          <w:spacing w:val="-4"/>
          <w:rtl/>
        </w:rPr>
        <w:t>يُحظر فيها تقديم طلبات لإجراء تقييم المخاطر قبل الترحيل، وكذلك على فترات الإخطار الإضافية.</w:t>
      </w:r>
    </w:p>
    <w:p w:rsidR="002B65A2" w:rsidRDefault="002B65A2" w:rsidP="00E401AA">
      <w:pPr>
        <w:pStyle w:val="SingleTxtGA"/>
        <w:spacing w:line="370" w:lineRule="exact"/>
        <w:rPr>
          <w:rtl/>
        </w:rPr>
      </w:pPr>
      <w:r>
        <w:rPr>
          <w:rtl/>
        </w:rPr>
        <w:t>١٢-</w:t>
      </w:r>
      <w:r>
        <w:rPr>
          <w:rtl/>
        </w:rPr>
        <w:tab/>
      </w:r>
      <w:r w:rsidRPr="00E401AA">
        <w:rPr>
          <w:spacing w:val="-4"/>
          <w:rtl/>
        </w:rPr>
        <w:t>وعلى الرغم من كل الأسئلة التي طرحتها اللجنة والانتقادات التي وجهتها بشأن موضوع</w:t>
      </w:r>
      <w:r>
        <w:rPr>
          <w:rtl/>
        </w:rPr>
        <w:t xml:space="preserve"> </w:t>
      </w:r>
      <w:r w:rsidRPr="00E401AA">
        <w:rPr>
          <w:spacing w:val="-4"/>
          <w:rtl/>
        </w:rPr>
        <w:t>تقييم المخاطر قبل الترحيل، احتفظت الدولة الطرف بموقفها، وهو عدم تغيير الإجراء لكي يتوافق</w:t>
      </w:r>
      <w:r>
        <w:rPr>
          <w:rtl/>
        </w:rPr>
        <w:t xml:space="preserve"> مع أحكام الاتفاقية ومع اجتهادات </w:t>
      </w:r>
      <w:proofErr w:type="gramStart"/>
      <w:r>
        <w:rPr>
          <w:rtl/>
        </w:rPr>
        <w:t>اللجنة</w:t>
      </w:r>
      <w:r>
        <w:rPr>
          <w:vertAlign w:val="superscript"/>
          <w:rtl/>
        </w:rPr>
        <w:t>(</w:t>
      </w:r>
      <w:proofErr w:type="gramEnd"/>
      <w:r>
        <w:rPr>
          <w:rStyle w:val="FootnoteReference"/>
          <w:rtl/>
        </w:rPr>
        <w:footnoteReference w:id="46"/>
      </w:r>
      <w:r>
        <w:rPr>
          <w:vertAlign w:val="superscript"/>
          <w:rtl/>
        </w:rPr>
        <w:t>)</w:t>
      </w:r>
      <w:r>
        <w:rPr>
          <w:rtl/>
        </w:rPr>
        <w:t>.</w:t>
      </w:r>
      <w:r w:rsidR="00CD7C64">
        <w:rPr>
          <w:rtl/>
        </w:rPr>
        <w:t xml:space="preserve"> </w:t>
      </w:r>
    </w:p>
    <w:p w:rsidR="002B65A2" w:rsidRDefault="002B65A2" w:rsidP="00E401AA">
      <w:pPr>
        <w:pStyle w:val="SingleTxtGA"/>
        <w:spacing w:line="370" w:lineRule="exact"/>
        <w:rPr>
          <w:rtl/>
        </w:rPr>
      </w:pPr>
      <w:r>
        <w:rPr>
          <w:rtl/>
        </w:rPr>
        <w:t>١٣-</w:t>
      </w:r>
      <w:r>
        <w:rPr>
          <w:rtl/>
        </w:rPr>
        <w:tab/>
      </w:r>
      <w:r w:rsidRPr="00E401AA">
        <w:rPr>
          <w:spacing w:val="-4"/>
          <w:rtl/>
        </w:rPr>
        <w:t>من هذا المنطلق، فإن تقييم المخاطر قبل الترحيل لا يشكل سبيل انتصاف فعالاً ل</w:t>
      </w:r>
      <w:r w:rsidR="00714708" w:rsidRPr="00E401AA">
        <w:rPr>
          <w:spacing w:val="-4"/>
          <w:rtl/>
        </w:rPr>
        <w:t>أغراض</w:t>
      </w:r>
      <w:r w:rsidR="00714708">
        <w:rPr>
          <w:rtl/>
        </w:rPr>
        <w:t xml:space="preserve"> المقبولية، وفق</w:t>
      </w:r>
      <w:r w:rsidR="0055432F">
        <w:rPr>
          <w:rtl/>
        </w:rPr>
        <w:t xml:space="preserve">اً </w:t>
      </w:r>
      <w:r w:rsidR="00714708">
        <w:rPr>
          <w:rtl/>
        </w:rPr>
        <w:t>للمادة ٢٢(٥)</w:t>
      </w:r>
      <w:r>
        <w:rPr>
          <w:rtl/>
        </w:rPr>
        <w:t xml:space="preserve">(ب) من الاتفاقية، للأسباب التالية: أنه لم يكن متاحاً في الواقع </w:t>
      </w:r>
      <w:r w:rsidRPr="00E401AA">
        <w:rPr>
          <w:spacing w:val="-6"/>
          <w:rtl/>
        </w:rPr>
        <w:t xml:space="preserve">العملي لصاحبة الشكوى؛ وأنه ذو طابع تقديري وغير </w:t>
      </w:r>
      <w:proofErr w:type="gramStart"/>
      <w:r w:rsidRPr="00E401AA">
        <w:rPr>
          <w:spacing w:val="-6"/>
          <w:rtl/>
        </w:rPr>
        <w:t>قضائي</w:t>
      </w:r>
      <w:r w:rsidRPr="00E401AA">
        <w:rPr>
          <w:spacing w:val="-6"/>
          <w:vertAlign w:val="superscript"/>
          <w:rtl/>
        </w:rPr>
        <w:t>(</w:t>
      </w:r>
      <w:proofErr w:type="gramEnd"/>
      <w:r w:rsidRPr="00E401AA">
        <w:rPr>
          <w:rStyle w:val="FootnoteReference"/>
          <w:spacing w:val="-6"/>
          <w:rtl/>
        </w:rPr>
        <w:footnoteReference w:id="47"/>
      </w:r>
      <w:r w:rsidRPr="00E401AA">
        <w:rPr>
          <w:spacing w:val="-6"/>
          <w:vertAlign w:val="superscript"/>
          <w:rtl/>
        </w:rPr>
        <w:t>)</w:t>
      </w:r>
      <w:r w:rsidRPr="00E401AA">
        <w:rPr>
          <w:spacing w:val="-6"/>
          <w:rtl/>
        </w:rPr>
        <w:t>؛</w:t>
      </w:r>
      <w:r w:rsidR="00CD7C64" w:rsidRPr="00E401AA">
        <w:rPr>
          <w:spacing w:val="-6"/>
          <w:rtl/>
        </w:rPr>
        <w:t xml:space="preserve"> </w:t>
      </w:r>
      <w:r w:rsidRPr="00E401AA">
        <w:rPr>
          <w:spacing w:val="-6"/>
          <w:rtl/>
        </w:rPr>
        <w:t>وأنه ليس له أثر إيقافي فيما يتعلق</w:t>
      </w:r>
      <w:r>
        <w:rPr>
          <w:rtl/>
        </w:rPr>
        <w:t xml:space="preserve"> بالطرد</w:t>
      </w:r>
      <w:r>
        <w:rPr>
          <w:vertAlign w:val="superscript"/>
          <w:rtl/>
        </w:rPr>
        <w:t>(</w:t>
      </w:r>
      <w:r>
        <w:rPr>
          <w:rStyle w:val="FootnoteReference"/>
          <w:rtl/>
        </w:rPr>
        <w:footnoteReference w:id="48"/>
      </w:r>
      <w:r>
        <w:rPr>
          <w:vertAlign w:val="superscript"/>
          <w:rtl/>
        </w:rPr>
        <w:t>)</w:t>
      </w:r>
      <w:r>
        <w:rPr>
          <w:rtl/>
        </w:rPr>
        <w:t>؛</w:t>
      </w:r>
      <w:r w:rsidR="00CD7C64">
        <w:rPr>
          <w:rtl/>
        </w:rPr>
        <w:t xml:space="preserve"> </w:t>
      </w:r>
      <w:r>
        <w:rPr>
          <w:rtl/>
        </w:rPr>
        <w:t xml:space="preserve">وأن إجراءاته، بما في ذلك فترة الانتظار التي تسبق الأهلية، تتجاوز "الإطار الزمني </w:t>
      </w:r>
      <w:r>
        <w:rPr>
          <w:rtl/>
        </w:rPr>
        <w:lastRenderedPageBreak/>
        <w:t>المعقول"؛ وأن من المستبعد جداً أن تحصل صاحبة البلاغ على انتصاف فعال بهذه الوسيلة</w:t>
      </w:r>
      <w:r>
        <w:rPr>
          <w:vertAlign w:val="superscript"/>
          <w:rtl/>
        </w:rPr>
        <w:t>(</w:t>
      </w:r>
      <w:r>
        <w:rPr>
          <w:rStyle w:val="FootnoteReference"/>
          <w:rtl/>
        </w:rPr>
        <w:footnoteReference w:id="49"/>
      </w:r>
      <w:r>
        <w:rPr>
          <w:vertAlign w:val="superscript"/>
          <w:rtl/>
        </w:rPr>
        <w:t>)</w:t>
      </w:r>
      <w:r>
        <w:rPr>
          <w:rtl/>
        </w:rPr>
        <w:t>.</w:t>
      </w:r>
      <w:r w:rsidR="00CD7C64">
        <w:rPr>
          <w:rtl/>
        </w:rPr>
        <w:t xml:space="preserve"> </w:t>
      </w:r>
      <w:r w:rsidRPr="00795FE2">
        <w:rPr>
          <w:spacing w:val="-4"/>
          <w:rtl/>
        </w:rPr>
        <w:t>وباختصار، لا يتسق تقييم المخاطر قبل الترحيل مع معايير سبيل الانتصاف الفعال المحددة في التعليق</w:t>
      </w:r>
      <w:r>
        <w:rPr>
          <w:rtl/>
        </w:rPr>
        <w:t xml:space="preserve"> العام رقم 4</w:t>
      </w:r>
      <w:r>
        <w:rPr>
          <w:vertAlign w:val="superscript"/>
          <w:rtl/>
        </w:rPr>
        <w:t>(</w:t>
      </w:r>
      <w:r>
        <w:rPr>
          <w:rStyle w:val="FootnoteReference"/>
          <w:rtl/>
        </w:rPr>
        <w:footnoteReference w:id="50"/>
      </w:r>
      <w:r>
        <w:rPr>
          <w:vertAlign w:val="superscript"/>
          <w:rtl/>
        </w:rPr>
        <w:t>)</w:t>
      </w:r>
      <w:r>
        <w:rPr>
          <w:rtl/>
        </w:rPr>
        <w:t>.</w:t>
      </w:r>
    </w:p>
    <w:p w:rsidR="00093A3C" w:rsidRDefault="002B65A2" w:rsidP="002B65A2">
      <w:pPr>
        <w:pStyle w:val="SingleTxtGA"/>
        <w:rPr>
          <w:rFonts w:hint="cs"/>
          <w:rtl/>
        </w:rPr>
      </w:pPr>
      <w:r>
        <w:rPr>
          <w:rtl/>
        </w:rPr>
        <w:t>14-</w:t>
      </w:r>
      <w:r>
        <w:rPr>
          <w:rtl/>
        </w:rPr>
        <w:tab/>
        <w:t>وبناءً على ذلك، وفي ظل هذه الظروف المحددة، فإن صاحبة الشكوى استنفدت جميع سبل الانتصاف المحلية الفعالة لأغراض المقبولية وفقاً للمادة ٢٢(٥)(ب) من الاتفاقية.</w:t>
      </w:r>
    </w:p>
    <w:p w:rsidR="00093A3C" w:rsidRPr="00CD47B7" w:rsidRDefault="00CD47B7" w:rsidP="00CD47B7">
      <w:pPr>
        <w:spacing w:before="120"/>
        <w:jc w:val="center"/>
        <w:rPr>
          <w:u w:val="single"/>
          <w:rtl/>
        </w:rPr>
      </w:pPr>
      <w:r>
        <w:rPr>
          <w:u w:val="single"/>
          <w:rtl/>
        </w:rPr>
        <w:tab/>
      </w:r>
      <w:r>
        <w:rPr>
          <w:u w:val="single"/>
          <w:rtl/>
        </w:rPr>
        <w:tab/>
      </w:r>
      <w:r>
        <w:rPr>
          <w:u w:val="single"/>
          <w:rtl/>
        </w:rPr>
        <w:tab/>
      </w:r>
    </w:p>
    <w:sectPr w:rsidR="00093A3C" w:rsidRPr="00CD47B7" w:rsidSect="002B65A2">
      <w:footerReference w:type="first" r:id="rId14"/>
      <w:footnotePr>
        <w:numRestart w:val="eachSect"/>
      </w:footnotePr>
      <w:endnotePr>
        <w:numFmt w:val="decimal"/>
      </w:endnotePr>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A06" w:rsidRPr="002901D9" w:rsidRDefault="005B5A06" w:rsidP="002901D9">
      <w:pPr>
        <w:spacing w:after="60" w:line="240" w:lineRule="auto"/>
        <w:rPr>
          <w:i/>
          <w:iCs/>
        </w:rPr>
      </w:pPr>
      <w:r>
        <w:rPr>
          <w:rFonts w:hint="cs"/>
          <w:i/>
          <w:iCs/>
          <w:rtl/>
        </w:rPr>
        <w:t>الحواشي</w:t>
      </w:r>
    </w:p>
  </w:endnote>
  <w:endnote w:type="continuationSeparator" w:id="0">
    <w:p w:rsidR="005B5A06" w:rsidRDefault="005B5A0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06" w:rsidRPr="00225206" w:rsidRDefault="005B5A06" w:rsidP="00225206">
    <w:pPr>
      <w:pStyle w:val="Footer"/>
      <w:tabs>
        <w:tab w:val="right" w:pos="9598"/>
      </w:tabs>
      <w:rPr>
        <w:sz w:val="17"/>
      </w:rPr>
    </w:pPr>
    <w:r>
      <w:rPr>
        <w:sz w:val="17"/>
      </w:rPr>
      <w:t>GE.19-05767</w:t>
    </w:r>
    <w:r>
      <w:rPr>
        <w:sz w:val="17"/>
      </w:rPr>
      <w:tab/>
    </w:r>
    <w:r w:rsidRPr="00225206">
      <w:rPr>
        <w:b/>
        <w:sz w:val="18"/>
      </w:rPr>
      <w:fldChar w:fldCharType="begin"/>
    </w:r>
    <w:r w:rsidRPr="00225206">
      <w:rPr>
        <w:b/>
        <w:sz w:val="18"/>
      </w:rPr>
      <w:instrText xml:space="preserve"> PAGE  \* MERGEFORMAT </w:instrText>
    </w:r>
    <w:r w:rsidRPr="00225206">
      <w:rPr>
        <w:b/>
        <w:sz w:val="18"/>
      </w:rPr>
      <w:fldChar w:fldCharType="separate"/>
    </w:r>
    <w:r w:rsidR="008F3F0F">
      <w:rPr>
        <w:b/>
        <w:noProof/>
        <w:sz w:val="18"/>
      </w:rPr>
      <w:t>12</w:t>
    </w:r>
    <w:r w:rsidRPr="0022520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06" w:rsidRPr="00225206" w:rsidRDefault="005B5A06" w:rsidP="006959B0">
    <w:pPr>
      <w:pStyle w:val="Footer"/>
      <w:tabs>
        <w:tab w:val="right" w:pos="9599"/>
      </w:tabs>
      <w:jc w:val="left"/>
      <w:rPr>
        <w:b/>
        <w:sz w:val="18"/>
        <w:lang w:val="en-US"/>
      </w:rPr>
    </w:pPr>
    <w:r w:rsidRPr="00225206">
      <w:rPr>
        <w:b/>
        <w:sz w:val="18"/>
        <w:lang w:val="en-US"/>
      </w:rPr>
      <w:fldChar w:fldCharType="begin"/>
    </w:r>
    <w:r w:rsidRPr="00225206">
      <w:rPr>
        <w:b/>
        <w:sz w:val="18"/>
        <w:lang w:val="en-US"/>
      </w:rPr>
      <w:instrText xml:space="preserve"> PAGE  \* MERGEFORMAT </w:instrText>
    </w:r>
    <w:r w:rsidRPr="00225206">
      <w:rPr>
        <w:b/>
        <w:sz w:val="18"/>
        <w:lang w:val="en-US"/>
      </w:rPr>
      <w:fldChar w:fldCharType="separate"/>
    </w:r>
    <w:r w:rsidR="008F3F0F">
      <w:rPr>
        <w:b/>
        <w:noProof/>
        <w:sz w:val="18"/>
        <w:lang w:val="en-US"/>
      </w:rPr>
      <w:t>13</w:t>
    </w:r>
    <w:r w:rsidRPr="00225206">
      <w:rPr>
        <w:b/>
        <w:sz w:val="18"/>
        <w:lang w:val="en-US"/>
      </w:rPr>
      <w:fldChar w:fldCharType="end"/>
    </w:r>
    <w:r>
      <w:rPr>
        <w:b/>
        <w:sz w:val="18"/>
        <w:lang w:val="en-US"/>
      </w:rPr>
      <w:tab/>
    </w:r>
    <w:r>
      <w:rPr>
        <w:sz w:val="17"/>
        <w:lang w:val="en-US"/>
      </w:rPr>
      <w:t>GE.19-05767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06" w:rsidRDefault="005B5A06" w:rsidP="005A3015">
    <w:pPr>
      <w:pStyle w:val="Footer"/>
      <w:spacing w:before="360"/>
      <w:jc w:val="right"/>
      <w:rPr>
        <w:sz w:val="20"/>
        <w:szCs w:val="20"/>
      </w:rPr>
    </w:pPr>
    <w:r>
      <w:rPr>
        <w:sz w:val="20"/>
        <w:szCs w:val="20"/>
      </w:rPr>
      <w:t>GE.19-05767</w:t>
    </w:r>
    <w:r>
      <w:rPr>
        <w:noProof/>
        <w:lang w:val="en-US"/>
      </w:rPr>
      <w:drawing>
        <wp:anchor distT="0" distB="0" distL="114300" distR="114300" simplePos="0" relativeHeight="251665408" behindDoc="1" locked="1" layoutInCell="0" allowOverlap="1" wp14:anchorId="07FD43B8" wp14:editId="1A1B9C93">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5B5A06" w:rsidRPr="002E1CAE" w:rsidRDefault="005B5A06" w:rsidP="002E1CAE">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06" w:rsidRPr="002B65A2" w:rsidRDefault="005B5A06" w:rsidP="002B65A2">
    <w:pPr>
      <w:pStyle w:val="Footer"/>
      <w:tabs>
        <w:tab w:val="right" w:pos="9599"/>
      </w:tabs>
      <w:jc w:val="left"/>
      <w:rPr>
        <w:b/>
        <w:sz w:val="18"/>
        <w:lang w:val="en-US"/>
      </w:rPr>
    </w:pPr>
    <w:r w:rsidRPr="00225206">
      <w:rPr>
        <w:b/>
        <w:sz w:val="18"/>
        <w:lang w:val="en-US"/>
      </w:rPr>
      <w:fldChar w:fldCharType="begin"/>
    </w:r>
    <w:r w:rsidRPr="00225206">
      <w:rPr>
        <w:b/>
        <w:sz w:val="18"/>
        <w:lang w:val="en-US"/>
      </w:rPr>
      <w:instrText xml:space="preserve"> PAGE  \* MERGEFORMAT </w:instrText>
    </w:r>
    <w:r w:rsidRPr="00225206">
      <w:rPr>
        <w:b/>
        <w:sz w:val="18"/>
        <w:lang w:val="en-US"/>
      </w:rPr>
      <w:fldChar w:fldCharType="separate"/>
    </w:r>
    <w:r w:rsidR="008F3F0F">
      <w:rPr>
        <w:b/>
        <w:noProof/>
        <w:sz w:val="18"/>
        <w:lang w:val="en-US"/>
      </w:rPr>
      <w:t>11</w:t>
    </w:r>
    <w:r w:rsidRPr="00225206">
      <w:rPr>
        <w:b/>
        <w:sz w:val="18"/>
        <w:lang w:val="en-US"/>
      </w:rPr>
      <w:fldChar w:fldCharType="end"/>
    </w:r>
    <w:r>
      <w:rPr>
        <w:b/>
        <w:sz w:val="18"/>
        <w:lang w:val="en-US"/>
      </w:rPr>
      <w:tab/>
    </w:r>
    <w:r>
      <w:rPr>
        <w:sz w:val="17"/>
        <w:lang w:val="en-US"/>
      </w:rPr>
      <w:t>GE.19-05767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A06" w:rsidRPr="004956DC" w:rsidRDefault="005B5A06" w:rsidP="00761849">
      <w:pPr>
        <w:pStyle w:val="Footer"/>
        <w:bidi/>
        <w:spacing w:after="80" w:line="200" w:lineRule="exact"/>
        <w:ind w:left="680"/>
      </w:pPr>
      <w:r>
        <w:rPr>
          <w:rtl/>
        </w:rPr>
        <w:t>__________</w:t>
      </w:r>
    </w:p>
  </w:footnote>
  <w:footnote w:type="continuationSeparator" w:id="0">
    <w:p w:rsidR="005B5A06" w:rsidRDefault="005B5A06" w:rsidP="00656392">
      <w:pPr>
        <w:spacing w:line="240" w:lineRule="auto"/>
      </w:pPr>
      <w:r>
        <w:continuationSeparator/>
      </w:r>
    </w:p>
  </w:footnote>
  <w:footnote w:id="1">
    <w:p w:rsidR="005B5A06" w:rsidRPr="00093A3C" w:rsidRDefault="005B5A06" w:rsidP="003451DC">
      <w:pPr>
        <w:pStyle w:val="FootnoteText1"/>
        <w:rPr>
          <w:rFonts w:hint="cs"/>
        </w:rPr>
      </w:pPr>
      <w:r>
        <w:rPr>
          <w:rtl/>
        </w:rPr>
        <w:t>*</w:t>
      </w:r>
      <w:r>
        <w:rPr>
          <w:rtl/>
        </w:rPr>
        <w:tab/>
      </w:r>
      <w:r w:rsidRPr="003451DC">
        <w:rPr>
          <w:rtl/>
        </w:rPr>
        <w:t xml:space="preserve">اعتمدته اللجنة في دورتها الخامسة والستين (١٢ تشرين الثاني/نوفمبر </w:t>
      </w:r>
      <w:r>
        <w:rPr>
          <w:rFonts w:hint="cs"/>
          <w:rtl/>
        </w:rPr>
        <w:t>-</w:t>
      </w:r>
      <w:r w:rsidRPr="003451DC">
        <w:rPr>
          <w:rtl/>
        </w:rPr>
        <w:t xml:space="preserve"> ٧ كانون الأول/ديسمبر ٢٠١٨).</w:t>
      </w:r>
    </w:p>
  </w:footnote>
  <w:footnote w:id="2">
    <w:p w:rsidR="005B5A06" w:rsidRPr="00093A3C" w:rsidRDefault="005B5A06" w:rsidP="00093A3C">
      <w:pPr>
        <w:pStyle w:val="FootnoteText1"/>
        <w:rPr>
          <w:rFonts w:hint="cs"/>
        </w:rPr>
      </w:pPr>
      <w:r>
        <w:rPr>
          <w:rtl/>
        </w:rPr>
        <w:t>**</w:t>
      </w:r>
      <w:r>
        <w:rPr>
          <w:rtl/>
        </w:rPr>
        <w:tab/>
      </w:r>
      <w:r w:rsidRPr="003451DC">
        <w:rPr>
          <w:rtl/>
        </w:rPr>
        <w:t xml:space="preserve">شارك في دراسة هذا البلاغ أعضاء اللجنة التالية أسماؤهم: السعدية </w:t>
      </w:r>
      <w:proofErr w:type="spellStart"/>
      <w:r w:rsidRPr="003451DC">
        <w:rPr>
          <w:rtl/>
        </w:rPr>
        <w:t>بلمير</w:t>
      </w:r>
      <w:proofErr w:type="spellEnd"/>
      <w:r w:rsidRPr="003451DC">
        <w:rPr>
          <w:rtl/>
        </w:rPr>
        <w:t xml:space="preserve">، فيليس غاير، عبد الوهاب هاني، </w:t>
      </w:r>
      <w:r w:rsidRPr="003451DC">
        <w:rPr>
          <w:spacing w:val="-4"/>
          <w:rtl/>
        </w:rPr>
        <w:t xml:space="preserve">كلود هيلر </w:t>
      </w:r>
      <w:proofErr w:type="spellStart"/>
      <w:r w:rsidRPr="003451DC">
        <w:rPr>
          <w:spacing w:val="-4"/>
          <w:rtl/>
        </w:rPr>
        <w:t>رواسانت</w:t>
      </w:r>
      <w:proofErr w:type="spellEnd"/>
      <w:r w:rsidRPr="003451DC">
        <w:rPr>
          <w:spacing w:val="-4"/>
          <w:rtl/>
        </w:rPr>
        <w:t xml:space="preserve">، ينس </w:t>
      </w:r>
      <w:proofErr w:type="spellStart"/>
      <w:r w:rsidRPr="003451DC">
        <w:rPr>
          <w:spacing w:val="-4"/>
          <w:rtl/>
        </w:rPr>
        <w:t>مودفيغ</w:t>
      </w:r>
      <w:proofErr w:type="spellEnd"/>
      <w:r w:rsidRPr="003451DC">
        <w:rPr>
          <w:spacing w:val="-4"/>
          <w:rtl/>
        </w:rPr>
        <w:t xml:space="preserve">، أنا راسو، دييغو </w:t>
      </w:r>
      <w:proofErr w:type="spellStart"/>
      <w:r w:rsidRPr="003451DC">
        <w:rPr>
          <w:spacing w:val="-4"/>
          <w:rtl/>
        </w:rPr>
        <w:t>رودريغيز</w:t>
      </w:r>
      <w:proofErr w:type="spellEnd"/>
      <w:r>
        <w:rPr>
          <w:rFonts w:hint="cs"/>
          <w:spacing w:val="-4"/>
          <w:rtl/>
        </w:rPr>
        <w:t xml:space="preserve"> </w:t>
      </w:r>
      <w:r w:rsidRPr="003451DC">
        <w:rPr>
          <w:spacing w:val="-4"/>
          <w:rtl/>
        </w:rPr>
        <w:t>-</w:t>
      </w:r>
      <w:r>
        <w:rPr>
          <w:rFonts w:hint="cs"/>
          <w:spacing w:val="-4"/>
          <w:rtl/>
        </w:rPr>
        <w:t xml:space="preserve"> </w:t>
      </w:r>
      <w:proofErr w:type="spellStart"/>
      <w:r w:rsidRPr="003451DC">
        <w:rPr>
          <w:spacing w:val="-4"/>
          <w:rtl/>
        </w:rPr>
        <w:t>بينزون</w:t>
      </w:r>
      <w:proofErr w:type="spellEnd"/>
      <w:r>
        <w:rPr>
          <w:spacing w:val="-4"/>
          <w:rtl/>
        </w:rPr>
        <w:t>،</w:t>
      </w:r>
      <w:r w:rsidRPr="003451DC">
        <w:rPr>
          <w:spacing w:val="-4"/>
          <w:rtl/>
        </w:rPr>
        <w:t xml:space="preserve"> سيباستيان توزي، بختيار </w:t>
      </w:r>
      <w:proofErr w:type="spellStart"/>
      <w:r w:rsidRPr="003451DC">
        <w:rPr>
          <w:spacing w:val="-4"/>
          <w:rtl/>
        </w:rPr>
        <w:t>توزموخاميدوف</w:t>
      </w:r>
      <w:proofErr w:type="spellEnd"/>
      <w:r w:rsidRPr="003451DC">
        <w:rPr>
          <w:spacing w:val="-4"/>
          <w:rtl/>
        </w:rPr>
        <w:t>،</w:t>
      </w:r>
      <w:r w:rsidRPr="003451DC">
        <w:rPr>
          <w:rtl/>
        </w:rPr>
        <w:t xml:space="preserve"> هونغ </w:t>
      </w:r>
      <w:proofErr w:type="spellStart"/>
      <w:r w:rsidRPr="003451DC">
        <w:rPr>
          <w:rtl/>
        </w:rPr>
        <w:t>هونغ</w:t>
      </w:r>
      <w:proofErr w:type="spellEnd"/>
      <w:r w:rsidRPr="003451DC">
        <w:rPr>
          <w:rtl/>
        </w:rPr>
        <w:t xml:space="preserve"> </w:t>
      </w:r>
      <w:proofErr w:type="spellStart"/>
      <w:r w:rsidRPr="003451DC">
        <w:rPr>
          <w:rtl/>
        </w:rPr>
        <w:t>زانغ</w:t>
      </w:r>
      <w:proofErr w:type="spellEnd"/>
      <w:r w:rsidRPr="003451DC">
        <w:rPr>
          <w:rtl/>
        </w:rPr>
        <w:t>.</w:t>
      </w:r>
    </w:p>
  </w:footnote>
  <w:footnote w:id="3">
    <w:p w:rsidR="005B5A06" w:rsidRPr="00093A3C" w:rsidRDefault="005B5A06" w:rsidP="00093A3C">
      <w:pPr>
        <w:pStyle w:val="FootnoteText1"/>
        <w:rPr>
          <w:rFonts w:hint="cs"/>
          <w:rtl/>
        </w:rPr>
      </w:pPr>
      <w:r>
        <w:rPr>
          <w:sz w:val="20"/>
          <w:rtl/>
        </w:rPr>
        <w:t>***</w:t>
      </w:r>
      <w:r>
        <w:rPr>
          <w:sz w:val="20"/>
          <w:rtl/>
        </w:rPr>
        <w:tab/>
      </w:r>
      <w:r w:rsidRPr="003451DC">
        <w:rPr>
          <w:rtl/>
        </w:rPr>
        <w:t>يرد رأي فردي أبداه عضو اللجنة عبد الوهاب هاني (رأي مخالف) في مرفق هذا القرار.</w:t>
      </w:r>
    </w:p>
  </w:footnote>
  <w:footnote w:id="4">
    <w:p w:rsidR="005B5A06" w:rsidRPr="00093A3C" w:rsidRDefault="005B5A06" w:rsidP="00093A3C">
      <w:pPr>
        <w:pStyle w:val="FootnoteText1"/>
        <w:rPr>
          <w:rFonts w:hint="cs"/>
        </w:rPr>
      </w:pPr>
      <w:r w:rsidRPr="00093A3C">
        <w:rPr>
          <w:rtl/>
        </w:rPr>
        <w:t>(</w:t>
      </w:r>
      <w:r w:rsidRPr="00093A3C">
        <w:rPr>
          <w:rStyle w:val="FootnoteReference"/>
          <w:vertAlign w:val="baseline"/>
        </w:rPr>
        <w:footnoteRef/>
      </w:r>
      <w:r>
        <w:rPr>
          <w:sz w:val="26"/>
          <w:rtl/>
        </w:rPr>
        <w:t>)</w:t>
      </w:r>
      <w:r>
        <w:rPr>
          <w:sz w:val="26"/>
          <w:rtl/>
        </w:rPr>
        <w:tab/>
      </w:r>
      <w:r w:rsidRPr="003451DC">
        <w:rPr>
          <w:rtl/>
        </w:rPr>
        <w:t>تقيم صاحبة الشكوى حالياً في كندا. وهي تؤكد أن ترحيلها "وشيك"، دون الإشارة إلى موعد ترحيلها.</w:t>
      </w:r>
      <w:r>
        <w:rPr>
          <w:rtl/>
        </w:rPr>
        <w:t xml:space="preserve"> </w:t>
      </w:r>
    </w:p>
  </w:footnote>
  <w:footnote w:id="5">
    <w:p w:rsidR="005B5A06" w:rsidRPr="00093A3C" w:rsidRDefault="005B5A06" w:rsidP="00093A3C">
      <w:pPr>
        <w:pStyle w:val="FootnoteText1"/>
        <w:rPr>
          <w:rFonts w:hint="cs"/>
        </w:rPr>
      </w:pPr>
      <w:r w:rsidRPr="00093A3C">
        <w:rPr>
          <w:rtl/>
        </w:rPr>
        <w:t>(</w:t>
      </w:r>
      <w:r w:rsidRPr="00093A3C">
        <w:rPr>
          <w:rStyle w:val="FootnoteReference"/>
          <w:vertAlign w:val="baseline"/>
        </w:rPr>
        <w:footnoteRef/>
      </w:r>
      <w:r>
        <w:rPr>
          <w:sz w:val="26"/>
          <w:rtl/>
        </w:rPr>
        <w:t>)</w:t>
      </w:r>
      <w:r>
        <w:rPr>
          <w:sz w:val="26"/>
          <w:rtl/>
        </w:rPr>
        <w:tab/>
      </w:r>
      <w:r w:rsidRPr="003451DC">
        <w:rPr>
          <w:rtl/>
        </w:rPr>
        <w:t xml:space="preserve">كانت الصحيفة مملوكة للسيد سلمان </w:t>
      </w:r>
      <w:proofErr w:type="spellStart"/>
      <w:r w:rsidRPr="003451DC">
        <w:rPr>
          <w:rtl/>
        </w:rPr>
        <w:t>تاسير</w:t>
      </w:r>
      <w:proofErr w:type="spellEnd"/>
      <w:r w:rsidRPr="003451DC">
        <w:rPr>
          <w:rtl/>
        </w:rPr>
        <w:t>، وهو سياسي كان حاكماً لإقليم البنجاب في ذلك الوقت.</w:t>
      </w:r>
      <w:r w:rsidRPr="00093A3C">
        <w:rPr>
          <w:rtl/>
        </w:rPr>
        <w:t xml:space="preserve"> </w:t>
      </w:r>
    </w:p>
  </w:footnote>
  <w:footnote w:id="6">
    <w:p w:rsidR="005B5A06" w:rsidRPr="00093A3C" w:rsidRDefault="005B5A06" w:rsidP="00093A3C">
      <w:pPr>
        <w:pStyle w:val="FootnoteText1"/>
        <w:rPr>
          <w:rFonts w:hint="cs"/>
        </w:rPr>
      </w:pPr>
      <w:r w:rsidRPr="00093A3C">
        <w:rPr>
          <w:rtl/>
        </w:rPr>
        <w:t>(</w:t>
      </w:r>
      <w:r w:rsidRPr="00093A3C">
        <w:rPr>
          <w:rStyle w:val="FootnoteReference"/>
          <w:vertAlign w:val="baseline"/>
        </w:rPr>
        <w:footnoteRef/>
      </w:r>
      <w:r>
        <w:rPr>
          <w:sz w:val="26"/>
          <w:rtl/>
        </w:rPr>
        <w:t>)</w:t>
      </w:r>
      <w:r>
        <w:rPr>
          <w:sz w:val="26"/>
          <w:rtl/>
        </w:rPr>
        <w:tab/>
      </w:r>
      <w:r w:rsidRPr="003451DC">
        <w:rPr>
          <w:rtl/>
        </w:rPr>
        <w:t>زودت صاحبة الشكوى اللجنة بالإفادات المقدمة من رئيسها السابق.</w:t>
      </w:r>
      <w:r>
        <w:rPr>
          <w:rtl/>
        </w:rPr>
        <w:t xml:space="preserve"> </w:t>
      </w:r>
    </w:p>
  </w:footnote>
  <w:footnote w:id="7">
    <w:p w:rsidR="005B5A06" w:rsidRPr="00093A3C" w:rsidRDefault="005B5A06" w:rsidP="00093A3C">
      <w:pPr>
        <w:pStyle w:val="FootnoteText1"/>
        <w:rPr>
          <w:rFonts w:hint="cs"/>
        </w:rPr>
      </w:pPr>
      <w:r w:rsidRPr="00093A3C">
        <w:rPr>
          <w:rtl/>
        </w:rPr>
        <w:t>(</w:t>
      </w:r>
      <w:r w:rsidRPr="00093A3C">
        <w:rPr>
          <w:rStyle w:val="FootnoteReference"/>
          <w:vertAlign w:val="baseline"/>
        </w:rPr>
        <w:footnoteRef/>
      </w:r>
      <w:r>
        <w:rPr>
          <w:sz w:val="26"/>
          <w:rtl/>
        </w:rPr>
        <w:t>)</w:t>
      </w:r>
      <w:r>
        <w:rPr>
          <w:sz w:val="26"/>
          <w:rtl/>
        </w:rPr>
        <w:tab/>
      </w:r>
      <w:r w:rsidRPr="003451DC">
        <w:rPr>
          <w:rtl/>
        </w:rPr>
        <w:t>قُدمت إلى اللجنة نسخ من بعض المواد، إلى جانب صور.</w:t>
      </w:r>
      <w:r w:rsidRPr="00093A3C">
        <w:rPr>
          <w:rtl/>
        </w:rPr>
        <w:t xml:space="preserve"> </w:t>
      </w:r>
    </w:p>
  </w:footnote>
  <w:footnote w:id="8">
    <w:p w:rsidR="005B5A06" w:rsidRPr="00093A3C" w:rsidRDefault="005B5A06" w:rsidP="00093A3C">
      <w:pPr>
        <w:pStyle w:val="FootnoteText1"/>
        <w:rPr>
          <w:rFonts w:hint="cs"/>
        </w:rPr>
      </w:pPr>
      <w:r w:rsidRPr="00093A3C">
        <w:rPr>
          <w:rtl/>
        </w:rPr>
        <w:t>(</w:t>
      </w:r>
      <w:r w:rsidRPr="00093A3C">
        <w:rPr>
          <w:rStyle w:val="FootnoteReference"/>
          <w:vertAlign w:val="baseline"/>
        </w:rPr>
        <w:footnoteRef/>
      </w:r>
      <w:r>
        <w:rPr>
          <w:sz w:val="26"/>
          <w:rtl/>
        </w:rPr>
        <w:t>)</w:t>
      </w:r>
      <w:r>
        <w:rPr>
          <w:sz w:val="26"/>
          <w:rtl/>
        </w:rPr>
        <w:tab/>
      </w:r>
      <w:r w:rsidRPr="003451DC">
        <w:rPr>
          <w:rtl/>
        </w:rPr>
        <w:t>لا تقدم صاحبة الشكوى تفاصيل إضافية.</w:t>
      </w:r>
      <w:r>
        <w:rPr>
          <w:rtl/>
        </w:rPr>
        <w:t xml:space="preserve"> </w:t>
      </w:r>
    </w:p>
  </w:footnote>
  <w:footnote w:id="9">
    <w:p w:rsidR="005B5A06" w:rsidRPr="00093A3C" w:rsidRDefault="005B5A06" w:rsidP="00093A3C">
      <w:pPr>
        <w:pStyle w:val="FootnoteText1"/>
        <w:rPr>
          <w:rFonts w:hint="cs"/>
        </w:rPr>
      </w:pPr>
      <w:r w:rsidRPr="00093A3C">
        <w:rPr>
          <w:rtl/>
        </w:rPr>
        <w:t>(</w:t>
      </w:r>
      <w:r w:rsidRPr="00093A3C">
        <w:rPr>
          <w:rStyle w:val="FootnoteReference"/>
          <w:vertAlign w:val="baseline"/>
        </w:rPr>
        <w:footnoteRef/>
      </w:r>
      <w:r>
        <w:rPr>
          <w:sz w:val="26"/>
          <w:rtl/>
        </w:rPr>
        <w:t>)</w:t>
      </w:r>
      <w:r>
        <w:rPr>
          <w:sz w:val="26"/>
          <w:rtl/>
        </w:rPr>
        <w:tab/>
      </w:r>
      <w:r w:rsidRPr="003451DC">
        <w:rPr>
          <w:rtl/>
        </w:rPr>
        <w:t xml:space="preserve">لا تبين صاحبة الشكوى سبب اعتبار الصورة فاضحة. </w:t>
      </w:r>
    </w:p>
  </w:footnote>
  <w:footnote w:id="10">
    <w:p w:rsidR="005B5A06" w:rsidRPr="003451DC" w:rsidRDefault="005B5A06" w:rsidP="00093A3C">
      <w:pPr>
        <w:pStyle w:val="FootnoteText1"/>
        <w:rPr>
          <w:rFonts w:hint="cs"/>
          <w:spacing w:val="-4"/>
        </w:rPr>
      </w:pPr>
      <w:r w:rsidRPr="003451DC">
        <w:rPr>
          <w:spacing w:val="-4"/>
          <w:rtl/>
        </w:rPr>
        <w:t>(</w:t>
      </w:r>
      <w:r w:rsidRPr="003451DC">
        <w:rPr>
          <w:rStyle w:val="FootnoteReference"/>
          <w:spacing w:val="-4"/>
          <w:vertAlign w:val="baseline"/>
        </w:rPr>
        <w:footnoteRef/>
      </w:r>
      <w:r w:rsidRPr="003451DC">
        <w:rPr>
          <w:spacing w:val="-4"/>
          <w:sz w:val="26"/>
          <w:rtl/>
        </w:rPr>
        <w:t>)</w:t>
      </w:r>
      <w:r w:rsidRPr="003451DC">
        <w:rPr>
          <w:spacing w:val="-4"/>
          <w:sz w:val="26"/>
          <w:rtl/>
        </w:rPr>
        <w:tab/>
      </w:r>
      <w:r w:rsidRPr="003451DC">
        <w:rPr>
          <w:spacing w:val="-4"/>
          <w:rtl/>
        </w:rPr>
        <w:t xml:space="preserve">ترد معلومات إضافية في الإفادات المقدمة من أختها وأخيها، المؤرخة ٣ آذار/مارس ٢٠١٦، والمرفقة بالشكوى. </w:t>
      </w:r>
    </w:p>
  </w:footnote>
  <w:footnote w:id="11">
    <w:p w:rsidR="005B5A06" w:rsidRPr="00093A3C" w:rsidRDefault="005B5A06" w:rsidP="00093A3C">
      <w:pPr>
        <w:pStyle w:val="FootnoteText1"/>
        <w:rPr>
          <w:rFonts w:hint="cs"/>
        </w:rPr>
      </w:pPr>
      <w:r w:rsidRPr="00093A3C">
        <w:rPr>
          <w:rtl/>
        </w:rPr>
        <w:t>(</w:t>
      </w:r>
      <w:r w:rsidRPr="00093A3C">
        <w:rPr>
          <w:rStyle w:val="FootnoteReference"/>
          <w:vertAlign w:val="baseline"/>
        </w:rPr>
        <w:footnoteRef/>
      </w:r>
      <w:r>
        <w:rPr>
          <w:sz w:val="26"/>
          <w:rtl/>
        </w:rPr>
        <w:t>)</w:t>
      </w:r>
      <w:r>
        <w:rPr>
          <w:sz w:val="26"/>
          <w:rtl/>
        </w:rPr>
        <w:tab/>
      </w:r>
      <w:r w:rsidRPr="003451DC">
        <w:rPr>
          <w:rtl/>
        </w:rPr>
        <w:t xml:space="preserve">تُرفق بالشكوى نسخة من إشعار حضور جلسة استماع. ولكن لم تقدم صاحبة الشكوى نسخة من القرار. ولا يُقدم توضيح لسبب بطء معالجة ادعائها. ويشار إلى أن طلبها المتعلق بحماية اللاجئين أحيل إلى شعبة حماية اللاجئين في ١٧ آب/أغسطس ٢٠١٢. </w:t>
      </w:r>
    </w:p>
  </w:footnote>
  <w:footnote w:id="12">
    <w:p w:rsidR="005B5A06" w:rsidRPr="00093A3C" w:rsidRDefault="005B5A06" w:rsidP="00093A3C">
      <w:pPr>
        <w:pStyle w:val="FootnoteText1"/>
        <w:rPr>
          <w:rFonts w:hint="cs"/>
        </w:rPr>
      </w:pPr>
      <w:r w:rsidRPr="00093A3C">
        <w:rPr>
          <w:rtl/>
        </w:rPr>
        <w:t>(</w:t>
      </w:r>
      <w:r w:rsidRPr="00093A3C">
        <w:rPr>
          <w:rStyle w:val="FootnoteReference"/>
          <w:vertAlign w:val="baseline"/>
        </w:rPr>
        <w:footnoteRef/>
      </w:r>
      <w:r>
        <w:rPr>
          <w:sz w:val="26"/>
          <w:rtl/>
        </w:rPr>
        <w:t>)</w:t>
      </w:r>
      <w:r>
        <w:rPr>
          <w:sz w:val="26"/>
          <w:rtl/>
        </w:rPr>
        <w:tab/>
      </w:r>
      <w:r w:rsidRPr="003451DC">
        <w:rPr>
          <w:rtl/>
        </w:rPr>
        <w:t>وفقاً لقرار شعبة حماية اللاجئين، ذكرت صاحبة الشكوى، بالإضافة إلى ذلك، بعض العناصر السياسية التي وصفتها بأنها مهمة لبيان الخطر المحدق بالصحفيين في باكستان، ولا سيما الصحفيات.</w:t>
      </w:r>
      <w:r w:rsidRPr="00093A3C">
        <w:rPr>
          <w:rtl/>
        </w:rPr>
        <w:t xml:space="preserve"> </w:t>
      </w:r>
    </w:p>
  </w:footnote>
  <w:footnote w:id="13">
    <w:p w:rsidR="005B5A06" w:rsidRPr="00093A3C" w:rsidRDefault="005B5A06" w:rsidP="00093A3C">
      <w:pPr>
        <w:pStyle w:val="FootnoteText1"/>
        <w:rPr>
          <w:rFonts w:hint="cs"/>
        </w:rPr>
      </w:pPr>
      <w:r w:rsidRPr="00093A3C">
        <w:rPr>
          <w:rtl/>
        </w:rPr>
        <w:t>(</w:t>
      </w:r>
      <w:r w:rsidRPr="00093A3C">
        <w:rPr>
          <w:rStyle w:val="FootnoteReference"/>
          <w:vertAlign w:val="baseline"/>
        </w:rPr>
        <w:footnoteRef/>
      </w:r>
      <w:r>
        <w:rPr>
          <w:sz w:val="26"/>
          <w:rtl/>
        </w:rPr>
        <w:t>)</w:t>
      </w:r>
      <w:r>
        <w:rPr>
          <w:sz w:val="26"/>
          <w:rtl/>
        </w:rPr>
        <w:tab/>
      </w:r>
      <w:r w:rsidRPr="003451DC">
        <w:rPr>
          <w:rtl/>
        </w:rPr>
        <w:t>لم تُقدم الإفادات المعنية المشفوعة بيمين إلى اللجنة.</w:t>
      </w:r>
      <w:r w:rsidRPr="00093A3C">
        <w:rPr>
          <w:rtl/>
        </w:rPr>
        <w:t xml:space="preserve"> </w:t>
      </w:r>
    </w:p>
  </w:footnote>
  <w:footnote w:id="14">
    <w:p w:rsidR="005B5A06" w:rsidRPr="00093A3C" w:rsidRDefault="005B5A06" w:rsidP="0036005B">
      <w:pPr>
        <w:pStyle w:val="FootnoteText1"/>
        <w:spacing w:line="280" w:lineRule="exact"/>
        <w:rPr>
          <w:rFonts w:hint="cs"/>
        </w:rPr>
      </w:pPr>
      <w:r w:rsidRPr="00093A3C">
        <w:rPr>
          <w:rtl/>
        </w:rPr>
        <w:t>(</w:t>
      </w:r>
      <w:r w:rsidRPr="00093A3C">
        <w:rPr>
          <w:rStyle w:val="FootnoteReference"/>
          <w:vertAlign w:val="baseline"/>
        </w:rPr>
        <w:footnoteRef/>
      </w:r>
      <w:r>
        <w:rPr>
          <w:sz w:val="26"/>
          <w:rtl/>
        </w:rPr>
        <w:t>)</w:t>
      </w:r>
      <w:r>
        <w:rPr>
          <w:sz w:val="26"/>
          <w:rtl/>
        </w:rPr>
        <w:tab/>
      </w:r>
      <w:r w:rsidRPr="003451DC">
        <w:rPr>
          <w:rtl/>
        </w:rPr>
        <w:t>نظراً إلى أن شعبة حماية اللاجئين ذكرت أن شكواها لا تقوم على أساس موثوق، لم تتخذ المحكمة الاتحادية قراراً بشأن وقف ترحيلها.</w:t>
      </w:r>
      <w:r w:rsidRPr="00093A3C">
        <w:rPr>
          <w:rtl/>
        </w:rPr>
        <w:t xml:space="preserve"> </w:t>
      </w:r>
    </w:p>
  </w:footnote>
  <w:footnote w:id="15">
    <w:p w:rsidR="005B5A06" w:rsidRPr="00093A3C" w:rsidRDefault="005B5A06" w:rsidP="0036005B">
      <w:pPr>
        <w:pStyle w:val="FootnoteText1"/>
        <w:spacing w:line="280" w:lineRule="exact"/>
        <w:rPr>
          <w:rFonts w:hint="cs"/>
        </w:rPr>
      </w:pPr>
      <w:r w:rsidRPr="00093A3C">
        <w:rPr>
          <w:rtl/>
        </w:rPr>
        <w:t>(</w:t>
      </w:r>
      <w:r w:rsidRPr="00093A3C">
        <w:rPr>
          <w:rStyle w:val="FootnoteReference"/>
          <w:vertAlign w:val="baseline"/>
        </w:rPr>
        <w:footnoteRef/>
      </w:r>
      <w:r>
        <w:rPr>
          <w:sz w:val="26"/>
          <w:rtl/>
        </w:rPr>
        <w:t>)</w:t>
      </w:r>
      <w:r>
        <w:rPr>
          <w:sz w:val="26"/>
          <w:rtl/>
        </w:rPr>
        <w:tab/>
      </w:r>
      <w:r w:rsidRPr="003451DC">
        <w:rPr>
          <w:rtl/>
        </w:rPr>
        <w:t>نتيجة للتغييرات التشريعية التي أُدخلت على نظام اللاجئين في كندا في عام ٢٠١٠، لم تعد طلبات الإقامة لأسباب إنسانية ولدواعي الرأفة تستند إلى تقييم الخطر على الحياة أو خطر التعرض للتعذيب، وإنما قد تكون ذات صلة بقدر تعلقها باحتمال تعرض صاحب الشكوى بصورة مباشرة وشخصية لمعاناة غير عادية أو غير لازمة أو غير متناسبة في بلده الأصلي.</w:t>
      </w:r>
      <w:r w:rsidRPr="00093A3C">
        <w:rPr>
          <w:rtl/>
        </w:rPr>
        <w:t xml:space="preserve"> </w:t>
      </w:r>
    </w:p>
  </w:footnote>
  <w:footnote w:id="16">
    <w:p w:rsidR="005B5A06" w:rsidRPr="00093A3C" w:rsidRDefault="005B5A06" w:rsidP="009535E8">
      <w:pPr>
        <w:pStyle w:val="FootnoteText1"/>
        <w:rPr>
          <w:rFonts w:hint="cs"/>
        </w:rPr>
      </w:pPr>
      <w:r w:rsidRPr="00093A3C">
        <w:rPr>
          <w:rtl/>
        </w:rPr>
        <w:t>(</w:t>
      </w:r>
      <w:r w:rsidRPr="00093A3C">
        <w:rPr>
          <w:rStyle w:val="FootnoteReference"/>
          <w:vertAlign w:val="baseline"/>
        </w:rPr>
        <w:footnoteRef/>
      </w:r>
      <w:r>
        <w:rPr>
          <w:sz w:val="26"/>
          <w:rtl/>
        </w:rPr>
        <w:t>)</w:t>
      </w:r>
      <w:r>
        <w:rPr>
          <w:sz w:val="26"/>
          <w:rtl/>
        </w:rPr>
        <w:tab/>
      </w:r>
      <w:r w:rsidRPr="003451DC">
        <w:rPr>
          <w:rtl/>
        </w:rPr>
        <w:t>انظر قانون الهجرة وحماية اللاجئين، المادة 112.</w:t>
      </w:r>
      <w:r w:rsidRPr="00093A3C">
        <w:rPr>
          <w:rtl/>
        </w:rPr>
        <w:t xml:space="preserve"> </w:t>
      </w:r>
    </w:p>
  </w:footnote>
  <w:footnote w:id="17">
    <w:p w:rsidR="005B5A06" w:rsidRPr="00093A3C" w:rsidRDefault="005B5A06" w:rsidP="009535E8">
      <w:pPr>
        <w:pStyle w:val="FootnoteText1"/>
        <w:rPr>
          <w:rFonts w:hint="cs"/>
        </w:rPr>
      </w:pPr>
      <w:r w:rsidRPr="00093A3C">
        <w:rPr>
          <w:rtl/>
        </w:rPr>
        <w:t>(</w:t>
      </w:r>
      <w:r w:rsidRPr="00093A3C">
        <w:rPr>
          <w:rStyle w:val="FootnoteReference"/>
          <w:vertAlign w:val="baseline"/>
        </w:rPr>
        <w:footnoteRef/>
      </w:r>
      <w:r>
        <w:rPr>
          <w:sz w:val="26"/>
          <w:rtl/>
        </w:rPr>
        <w:t>)</w:t>
      </w:r>
      <w:r>
        <w:rPr>
          <w:sz w:val="26"/>
          <w:rtl/>
        </w:rPr>
        <w:tab/>
      </w:r>
      <w:r w:rsidRPr="003451DC">
        <w:rPr>
          <w:rtl/>
        </w:rPr>
        <w:t>المرجع نفسه.</w:t>
      </w:r>
      <w:r w:rsidRPr="00093A3C">
        <w:rPr>
          <w:rtl/>
        </w:rPr>
        <w:t xml:space="preserve"> </w:t>
      </w:r>
    </w:p>
  </w:footnote>
  <w:footnote w:id="18">
    <w:p w:rsidR="005B5A06" w:rsidRPr="00093A3C" w:rsidRDefault="005B5A06" w:rsidP="00A44C89">
      <w:pPr>
        <w:pStyle w:val="FootnoteText1"/>
        <w:rPr>
          <w:rFonts w:hint="cs"/>
        </w:rPr>
      </w:pPr>
      <w:r w:rsidRPr="00093A3C">
        <w:rPr>
          <w:rtl/>
        </w:rPr>
        <w:t>(</w:t>
      </w:r>
      <w:r w:rsidRPr="00093A3C">
        <w:rPr>
          <w:rStyle w:val="FootnoteReference"/>
          <w:vertAlign w:val="baseline"/>
        </w:rPr>
        <w:footnoteRef/>
      </w:r>
      <w:r>
        <w:rPr>
          <w:sz w:val="26"/>
          <w:rtl/>
        </w:rPr>
        <w:t>)</w:t>
      </w:r>
      <w:r>
        <w:rPr>
          <w:sz w:val="26"/>
          <w:rtl/>
        </w:rPr>
        <w:tab/>
      </w:r>
      <w:r w:rsidRPr="003451DC">
        <w:rPr>
          <w:rtl/>
        </w:rPr>
        <w:t>اعتباراً من عام ٢٠١٦، أصبحت دائرة المواطنة والهجرة في كندا تُعرف باسم دائرة الهجرة واللاجئين والمواطنة في</w:t>
      </w:r>
      <w:r>
        <w:rPr>
          <w:rFonts w:hint="cs"/>
          <w:rtl/>
        </w:rPr>
        <w:t> </w:t>
      </w:r>
      <w:r w:rsidRPr="003451DC">
        <w:rPr>
          <w:rtl/>
        </w:rPr>
        <w:t>كندا.</w:t>
      </w:r>
      <w:r w:rsidRPr="00093A3C">
        <w:rPr>
          <w:rtl/>
        </w:rPr>
        <w:t xml:space="preserve"> </w:t>
      </w:r>
    </w:p>
  </w:footnote>
  <w:footnote w:id="19">
    <w:p w:rsidR="005B5A06" w:rsidRPr="00093A3C" w:rsidRDefault="005B5A06" w:rsidP="009535E8">
      <w:pPr>
        <w:pStyle w:val="FootnoteText1"/>
        <w:rPr>
          <w:rFonts w:hint="cs"/>
        </w:rPr>
      </w:pPr>
      <w:r w:rsidRPr="00093A3C">
        <w:rPr>
          <w:rtl/>
        </w:rPr>
        <w:t>(</w:t>
      </w:r>
      <w:r w:rsidRPr="00093A3C">
        <w:rPr>
          <w:rStyle w:val="FootnoteReference"/>
          <w:vertAlign w:val="baseline"/>
        </w:rPr>
        <w:footnoteRef/>
      </w:r>
      <w:r>
        <w:rPr>
          <w:sz w:val="26"/>
          <w:rtl/>
        </w:rPr>
        <w:t>)</w:t>
      </w:r>
      <w:r>
        <w:rPr>
          <w:sz w:val="26"/>
          <w:rtl/>
        </w:rPr>
        <w:tab/>
      </w:r>
      <w:r w:rsidRPr="003451DC">
        <w:rPr>
          <w:rtl/>
        </w:rPr>
        <w:t>المرجع نفسه، المواد 96 و97 و98.</w:t>
      </w:r>
      <w:r w:rsidRPr="00093A3C">
        <w:rPr>
          <w:rtl/>
        </w:rPr>
        <w:t xml:space="preserve"> </w:t>
      </w:r>
    </w:p>
  </w:footnote>
  <w:footnote w:id="20">
    <w:p w:rsidR="005B5A06" w:rsidRPr="00093A3C" w:rsidRDefault="005B5A06" w:rsidP="009535E8">
      <w:pPr>
        <w:pStyle w:val="FootnoteText1"/>
        <w:rPr>
          <w:rFonts w:hint="cs"/>
        </w:rPr>
      </w:pPr>
      <w:r w:rsidRPr="00093A3C">
        <w:rPr>
          <w:rtl/>
        </w:rPr>
        <w:t>(</w:t>
      </w:r>
      <w:r w:rsidRPr="00093A3C">
        <w:rPr>
          <w:rStyle w:val="FootnoteReference"/>
          <w:vertAlign w:val="baseline"/>
        </w:rPr>
        <w:footnoteRef/>
      </w:r>
      <w:r>
        <w:rPr>
          <w:sz w:val="26"/>
          <w:rtl/>
        </w:rPr>
        <w:t>)</w:t>
      </w:r>
      <w:r>
        <w:rPr>
          <w:sz w:val="26"/>
          <w:rtl/>
        </w:rPr>
        <w:tab/>
      </w:r>
      <w:r w:rsidRPr="003451DC">
        <w:rPr>
          <w:rtl/>
        </w:rPr>
        <w:t>المرجع نفسه، المادة 72.</w:t>
      </w:r>
      <w:r w:rsidRPr="00093A3C">
        <w:rPr>
          <w:rtl/>
        </w:rPr>
        <w:t xml:space="preserve"> </w:t>
      </w:r>
    </w:p>
  </w:footnote>
  <w:footnote w:id="21">
    <w:p w:rsidR="005B5A06" w:rsidRPr="00093A3C" w:rsidRDefault="005B5A06" w:rsidP="00564A38">
      <w:pPr>
        <w:pStyle w:val="FootnoteText1"/>
        <w:rPr>
          <w:rFonts w:hint="cs"/>
        </w:rPr>
      </w:pPr>
      <w:r w:rsidRPr="00093A3C">
        <w:rPr>
          <w:rtl/>
        </w:rPr>
        <w:t>(</w:t>
      </w:r>
      <w:r w:rsidRPr="00093A3C">
        <w:rPr>
          <w:rStyle w:val="FootnoteReference"/>
          <w:vertAlign w:val="baseline"/>
        </w:rPr>
        <w:footnoteRef/>
      </w:r>
      <w:r>
        <w:rPr>
          <w:sz w:val="26"/>
          <w:rtl/>
        </w:rPr>
        <w:t>)</w:t>
      </w:r>
      <w:r>
        <w:rPr>
          <w:sz w:val="26"/>
          <w:rtl/>
        </w:rPr>
        <w:tab/>
      </w:r>
      <w:r w:rsidRPr="003451DC">
        <w:rPr>
          <w:rtl/>
        </w:rPr>
        <w:t xml:space="preserve">انظر قضية </w:t>
      </w:r>
      <w:proofErr w:type="spellStart"/>
      <w:r w:rsidRPr="00A44C89">
        <w:rPr>
          <w:i/>
          <w:iCs/>
          <w:rtl/>
        </w:rPr>
        <w:t>أونغ</w:t>
      </w:r>
      <w:proofErr w:type="spellEnd"/>
      <w:r w:rsidRPr="00A44C89">
        <w:rPr>
          <w:i/>
          <w:iCs/>
          <w:rtl/>
        </w:rPr>
        <w:t xml:space="preserve"> ضد كندا</w:t>
      </w:r>
      <w:r w:rsidRPr="003451DC">
        <w:rPr>
          <w:rtl/>
        </w:rPr>
        <w:t xml:space="preserve"> (</w:t>
      </w:r>
      <w:r w:rsidRPr="003451DC">
        <w:t>CAT/C/36/D/273/2005</w:t>
      </w:r>
      <w:r w:rsidRPr="003451DC">
        <w:rPr>
          <w:rtl/>
        </w:rPr>
        <w:t>)، الفقرة 6-</w:t>
      </w:r>
      <w:r w:rsidR="00564A38">
        <w:rPr>
          <w:rFonts w:hint="cs"/>
          <w:rtl/>
        </w:rPr>
        <w:t>4</w:t>
      </w:r>
      <w:r w:rsidRPr="003451DC">
        <w:rPr>
          <w:rtl/>
        </w:rPr>
        <w:t>.</w:t>
      </w:r>
      <w:r w:rsidRPr="00093A3C">
        <w:rPr>
          <w:rtl/>
        </w:rPr>
        <w:t xml:space="preserve"> </w:t>
      </w:r>
    </w:p>
  </w:footnote>
  <w:footnote w:id="22">
    <w:p w:rsidR="005B5A06" w:rsidRPr="00093A3C" w:rsidRDefault="005B5A06" w:rsidP="009535E8">
      <w:pPr>
        <w:pStyle w:val="FootnoteText1"/>
        <w:rPr>
          <w:rFonts w:hint="cs"/>
        </w:rPr>
      </w:pPr>
      <w:r w:rsidRPr="00093A3C">
        <w:rPr>
          <w:rtl/>
        </w:rPr>
        <w:t>(</w:t>
      </w:r>
      <w:r w:rsidRPr="00093A3C">
        <w:rPr>
          <w:rStyle w:val="FootnoteReference"/>
          <w:vertAlign w:val="baseline"/>
        </w:rPr>
        <w:footnoteRef/>
      </w:r>
      <w:r>
        <w:rPr>
          <w:sz w:val="26"/>
          <w:rtl/>
        </w:rPr>
        <w:t>)</w:t>
      </w:r>
      <w:r>
        <w:rPr>
          <w:sz w:val="26"/>
          <w:rtl/>
        </w:rPr>
        <w:tab/>
      </w:r>
      <w:r w:rsidRPr="001B44D9">
        <w:rPr>
          <w:rtl/>
        </w:rPr>
        <w:t xml:space="preserve">انظر قضية </w:t>
      </w:r>
      <w:r w:rsidRPr="00A44C89">
        <w:rPr>
          <w:i/>
          <w:iCs/>
          <w:rtl/>
        </w:rPr>
        <w:t>ب. م. س. ضد السويد</w:t>
      </w:r>
      <w:r w:rsidRPr="001B44D9">
        <w:rPr>
          <w:rtl/>
        </w:rPr>
        <w:t xml:space="preserve"> (</w:t>
      </w:r>
      <w:r w:rsidRPr="001B44D9">
        <w:t>CAT/C/49/D/437/1010</w:t>
      </w:r>
      <w:r>
        <w:rPr>
          <w:rtl/>
        </w:rPr>
        <w:t>)، الفقرة 6-2</w:t>
      </w:r>
      <w:r>
        <w:rPr>
          <w:rFonts w:hint="cs"/>
          <w:rtl/>
        </w:rPr>
        <w:t xml:space="preserve">. </w:t>
      </w:r>
    </w:p>
  </w:footnote>
  <w:footnote w:id="23">
    <w:p w:rsidR="005B5A06" w:rsidRPr="00093A3C" w:rsidRDefault="005B5A06" w:rsidP="009535E8">
      <w:pPr>
        <w:pStyle w:val="FootnoteText1"/>
        <w:rPr>
          <w:rFonts w:hint="cs"/>
        </w:rPr>
      </w:pPr>
      <w:r w:rsidRPr="00093A3C">
        <w:rPr>
          <w:rtl/>
        </w:rPr>
        <w:t>(</w:t>
      </w:r>
      <w:r w:rsidRPr="00093A3C">
        <w:rPr>
          <w:rStyle w:val="FootnoteReference"/>
          <w:vertAlign w:val="baseline"/>
        </w:rPr>
        <w:footnoteRef/>
      </w:r>
      <w:r>
        <w:rPr>
          <w:sz w:val="26"/>
          <w:rtl/>
        </w:rPr>
        <w:t>)</w:t>
      </w:r>
      <w:r>
        <w:rPr>
          <w:sz w:val="26"/>
          <w:rtl/>
        </w:rPr>
        <w:tab/>
      </w:r>
      <w:r w:rsidRPr="001B44D9">
        <w:rPr>
          <w:rtl/>
        </w:rPr>
        <w:t xml:space="preserve">انظر قضية </w:t>
      </w:r>
      <w:r w:rsidRPr="00A44C89">
        <w:rPr>
          <w:i/>
          <w:iCs/>
          <w:rtl/>
        </w:rPr>
        <w:t>ل.</w:t>
      </w:r>
      <w:r w:rsidRPr="00A44C89">
        <w:rPr>
          <w:rFonts w:hint="cs"/>
          <w:i/>
          <w:iCs/>
          <w:rtl/>
        </w:rPr>
        <w:t xml:space="preserve"> </w:t>
      </w:r>
      <w:r w:rsidRPr="00A44C89">
        <w:rPr>
          <w:i/>
          <w:iCs/>
          <w:rtl/>
        </w:rPr>
        <w:t>ز.</w:t>
      </w:r>
      <w:r w:rsidRPr="00A44C89">
        <w:rPr>
          <w:rFonts w:hint="cs"/>
          <w:i/>
          <w:iCs/>
          <w:rtl/>
        </w:rPr>
        <w:t xml:space="preserve"> </w:t>
      </w:r>
      <w:r w:rsidRPr="00A44C89">
        <w:rPr>
          <w:i/>
          <w:iCs/>
          <w:rtl/>
        </w:rPr>
        <w:t>ب. ضد كندا</w:t>
      </w:r>
      <w:r w:rsidRPr="001B44D9">
        <w:rPr>
          <w:rtl/>
        </w:rPr>
        <w:t xml:space="preserve"> (</w:t>
      </w:r>
      <w:r w:rsidRPr="001B44D9">
        <w:t>CAT/C/39/D/304/2006</w:t>
      </w:r>
      <w:r w:rsidRPr="001B44D9">
        <w:rPr>
          <w:rtl/>
        </w:rPr>
        <w:t>)، الفقرة 6-6.</w:t>
      </w:r>
      <w:r w:rsidRPr="00093A3C">
        <w:rPr>
          <w:rtl/>
        </w:rPr>
        <w:t xml:space="preserve"> </w:t>
      </w:r>
    </w:p>
  </w:footnote>
  <w:footnote w:id="24">
    <w:p w:rsidR="005B5A06" w:rsidRPr="00093A3C" w:rsidRDefault="005B5A06" w:rsidP="001B44D9">
      <w:pPr>
        <w:pStyle w:val="FootnoteText1"/>
        <w:rPr>
          <w:rFonts w:hint="cs"/>
        </w:rPr>
      </w:pPr>
      <w:r w:rsidRPr="00093A3C">
        <w:rPr>
          <w:rtl/>
        </w:rPr>
        <w:t>(</w:t>
      </w:r>
      <w:r w:rsidRPr="00093A3C">
        <w:rPr>
          <w:rStyle w:val="FootnoteReference"/>
          <w:vertAlign w:val="baseline"/>
        </w:rPr>
        <w:footnoteRef/>
      </w:r>
      <w:r>
        <w:rPr>
          <w:sz w:val="26"/>
          <w:rtl/>
        </w:rPr>
        <w:t>)</w:t>
      </w:r>
      <w:r>
        <w:rPr>
          <w:sz w:val="26"/>
          <w:rtl/>
        </w:rPr>
        <w:tab/>
      </w:r>
      <w:r w:rsidRPr="001B44D9">
        <w:rPr>
          <w:rtl/>
        </w:rPr>
        <w:t xml:space="preserve">انظر، على سبيل المثال، قضية </w:t>
      </w:r>
      <w:r w:rsidRPr="00A44C89">
        <w:rPr>
          <w:i/>
          <w:iCs/>
          <w:rtl/>
        </w:rPr>
        <w:t>ل.</w:t>
      </w:r>
      <w:r w:rsidRPr="00A44C89">
        <w:rPr>
          <w:rFonts w:hint="cs"/>
          <w:i/>
          <w:iCs/>
          <w:rtl/>
        </w:rPr>
        <w:t xml:space="preserve"> </w:t>
      </w:r>
      <w:r w:rsidRPr="00A44C89">
        <w:rPr>
          <w:i/>
          <w:iCs/>
          <w:rtl/>
        </w:rPr>
        <w:t>ج.</w:t>
      </w:r>
      <w:r w:rsidRPr="00A44C89">
        <w:rPr>
          <w:rFonts w:hint="cs"/>
          <w:i/>
          <w:iCs/>
          <w:rtl/>
        </w:rPr>
        <w:t xml:space="preserve"> </w:t>
      </w:r>
      <w:r w:rsidRPr="00A44C89">
        <w:rPr>
          <w:i/>
          <w:iCs/>
          <w:rtl/>
        </w:rPr>
        <w:t>ر.</w:t>
      </w:r>
      <w:r w:rsidRPr="00A44C89">
        <w:rPr>
          <w:rFonts w:hint="cs"/>
          <w:i/>
          <w:iCs/>
          <w:rtl/>
        </w:rPr>
        <w:t xml:space="preserve"> </w:t>
      </w:r>
      <w:r w:rsidRPr="00A44C89">
        <w:rPr>
          <w:i/>
          <w:iCs/>
          <w:rtl/>
        </w:rPr>
        <w:t xml:space="preserve">س. ضد السويد </w:t>
      </w:r>
      <w:r w:rsidRPr="001B44D9">
        <w:rPr>
          <w:rtl/>
        </w:rPr>
        <w:t>(</w:t>
      </w:r>
      <w:r w:rsidRPr="001B44D9">
        <w:t>CAT/C/33/D/218/2002</w:t>
      </w:r>
      <w:r w:rsidRPr="001B44D9">
        <w:rPr>
          <w:rtl/>
        </w:rPr>
        <w:t>)، الفقرة 5-2: "مسألة ما إذا كانت الدولة الطرف ملزمة بالامتناع عن طرد شخص قد يتعرض لخطر الألم أو المعاناة على يد كيان غير حكومي، دون موافقة الحكومة أو قبولها، لا تدخل في نطاق المادة ٣ من الاتفاقية، ما لم يكن الكيان غير الحكومي يحتل الإقليم الذي سيُعاد إليه صاحب الشكوى ويمارس سلطة شبه حكومية عليه".</w:t>
      </w:r>
      <w:r>
        <w:rPr>
          <w:rtl/>
        </w:rPr>
        <w:t xml:space="preserve"> </w:t>
      </w:r>
    </w:p>
  </w:footnote>
  <w:footnote w:id="25">
    <w:p w:rsidR="005B5A06" w:rsidRPr="00093A3C" w:rsidRDefault="005B5A06" w:rsidP="009535E8">
      <w:pPr>
        <w:pStyle w:val="FootnoteText1"/>
        <w:rPr>
          <w:rFonts w:hint="cs"/>
        </w:rPr>
      </w:pPr>
      <w:r w:rsidRPr="00093A3C">
        <w:rPr>
          <w:rtl/>
        </w:rPr>
        <w:t>(</w:t>
      </w:r>
      <w:r w:rsidRPr="00093A3C">
        <w:rPr>
          <w:rStyle w:val="FootnoteReference"/>
          <w:vertAlign w:val="baseline"/>
        </w:rPr>
        <w:footnoteRef/>
      </w:r>
      <w:r>
        <w:rPr>
          <w:sz w:val="26"/>
          <w:rtl/>
        </w:rPr>
        <w:t>)</w:t>
      </w:r>
      <w:r>
        <w:rPr>
          <w:sz w:val="26"/>
          <w:rtl/>
        </w:rPr>
        <w:tab/>
      </w:r>
      <w:r w:rsidRPr="001B44D9">
        <w:rPr>
          <w:rtl/>
        </w:rPr>
        <w:t xml:space="preserve">انظر </w:t>
      </w:r>
      <w:r w:rsidRPr="00A44C89">
        <w:rPr>
          <w:i/>
          <w:iCs/>
          <w:rtl/>
        </w:rPr>
        <w:t>ل.</w:t>
      </w:r>
      <w:r w:rsidRPr="00A44C89">
        <w:rPr>
          <w:rFonts w:hint="cs"/>
          <w:i/>
          <w:iCs/>
          <w:rtl/>
        </w:rPr>
        <w:t xml:space="preserve"> </w:t>
      </w:r>
      <w:r w:rsidRPr="00A44C89">
        <w:rPr>
          <w:i/>
          <w:iCs/>
          <w:rtl/>
        </w:rPr>
        <w:t>ج.</w:t>
      </w:r>
      <w:r w:rsidRPr="00A44C89">
        <w:rPr>
          <w:rFonts w:hint="cs"/>
          <w:i/>
          <w:iCs/>
          <w:rtl/>
        </w:rPr>
        <w:t xml:space="preserve"> </w:t>
      </w:r>
      <w:r w:rsidRPr="00A44C89">
        <w:rPr>
          <w:i/>
          <w:iCs/>
          <w:rtl/>
        </w:rPr>
        <w:t>ر.</w:t>
      </w:r>
      <w:r w:rsidRPr="00A44C89">
        <w:rPr>
          <w:rFonts w:hint="cs"/>
          <w:i/>
          <w:iCs/>
          <w:rtl/>
        </w:rPr>
        <w:t xml:space="preserve"> </w:t>
      </w:r>
      <w:r w:rsidRPr="00A44C89">
        <w:rPr>
          <w:i/>
          <w:iCs/>
          <w:rtl/>
        </w:rPr>
        <w:t>س. ضد السويد</w:t>
      </w:r>
      <w:r w:rsidRPr="001B44D9">
        <w:rPr>
          <w:rtl/>
        </w:rPr>
        <w:t>، الفقرة 5-2.</w:t>
      </w:r>
      <w:r w:rsidRPr="00093A3C">
        <w:rPr>
          <w:rtl/>
        </w:rPr>
        <w:t xml:space="preserve"> </w:t>
      </w:r>
    </w:p>
  </w:footnote>
  <w:footnote w:id="26">
    <w:p w:rsidR="005B5A06" w:rsidRPr="00093A3C" w:rsidRDefault="005B5A06" w:rsidP="009535E8">
      <w:pPr>
        <w:pStyle w:val="FootnoteText1"/>
        <w:rPr>
          <w:rFonts w:hint="cs"/>
        </w:rPr>
      </w:pPr>
      <w:r w:rsidRPr="00093A3C">
        <w:rPr>
          <w:rtl/>
        </w:rPr>
        <w:t>(</w:t>
      </w:r>
      <w:r w:rsidRPr="00093A3C">
        <w:rPr>
          <w:rStyle w:val="FootnoteReference"/>
          <w:vertAlign w:val="baseline"/>
        </w:rPr>
        <w:footnoteRef/>
      </w:r>
      <w:r>
        <w:rPr>
          <w:sz w:val="26"/>
          <w:rtl/>
        </w:rPr>
        <w:t>)</w:t>
      </w:r>
      <w:r>
        <w:rPr>
          <w:sz w:val="26"/>
          <w:rtl/>
        </w:rPr>
        <w:tab/>
      </w:r>
      <w:r w:rsidRPr="00EA25FF">
        <w:rPr>
          <w:rtl/>
        </w:rPr>
        <w:t xml:space="preserve">انظر، على سبيل المثال، </w:t>
      </w:r>
      <w:r w:rsidRPr="00A44C89">
        <w:rPr>
          <w:i/>
          <w:iCs/>
          <w:rtl/>
        </w:rPr>
        <w:t>ف.</w:t>
      </w:r>
      <w:r w:rsidRPr="00A44C89">
        <w:rPr>
          <w:rFonts w:hint="cs"/>
          <w:i/>
          <w:iCs/>
          <w:rtl/>
        </w:rPr>
        <w:t xml:space="preserve"> </w:t>
      </w:r>
      <w:r w:rsidRPr="00A44C89">
        <w:rPr>
          <w:i/>
          <w:iCs/>
          <w:rtl/>
        </w:rPr>
        <w:t>أ.</w:t>
      </w:r>
      <w:r w:rsidRPr="00A44C89">
        <w:rPr>
          <w:rFonts w:hint="cs"/>
          <w:i/>
          <w:iCs/>
          <w:rtl/>
        </w:rPr>
        <w:t xml:space="preserve"> </w:t>
      </w:r>
      <w:r w:rsidRPr="00A44C89">
        <w:rPr>
          <w:i/>
          <w:iCs/>
          <w:rtl/>
        </w:rPr>
        <w:t xml:space="preserve">ب. ضد سويسرا </w:t>
      </w:r>
      <w:r w:rsidRPr="00EA25FF">
        <w:rPr>
          <w:rtl/>
        </w:rPr>
        <w:t>(</w:t>
      </w:r>
      <w:r w:rsidRPr="00EA25FF">
        <w:t>CAT/C/43/D/348/2008/Rev.1</w:t>
      </w:r>
      <w:r w:rsidRPr="00EA25FF">
        <w:rPr>
          <w:rtl/>
        </w:rPr>
        <w:t>)، الفقرة 7-4.</w:t>
      </w:r>
      <w:r w:rsidRPr="00093A3C">
        <w:rPr>
          <w:rtl/>
        </w:rPr>
        <w:t xml:space="preserve"> </w:t>
      </w:r>
    </w:p>
  </w:footnote>
  <w:footnote w:id="27">
    <w:p w:rsidR="005B5A06" w:rsidRPr="00093A3C" w:rsidRDefault="005B5A06" w:rsidP="009535E8">
      <w:pPr>
        <w:pStyle w:val="FootnoteText1"/>
        <w:rPr>
          <w:rFonts w:hint="cs"/>
        </w:rPr>
      </w:pPr>
      <w:r w:rsidRPr="00093A3C">
        <w:rPr>
          <w:rtl/>
        </w:rPr>
        <w:t>(</w:t>
      </w:r>
      <w:r w:rsidRPr="00093A3C">
        <w:rPr>
          <w:rStyle w:val="FootnoteReference"/>
          <w:vertAlign w:val="baseline"/>
        </w:rPr>
        <w:footnoteRef/>
      </w:r>
      <w:r>
        <w:rPr>
          <w:sz w:val="26"/>
          <w:rtl/>
        </w:rPr>
        <w:t>)</w:t>
      </w:r>
      <w:r>
        <w:rPr>
          <w:sz w:val="26"/>
          <w:rtl/>
        </w:rPr>
        <w:tab/>
      </w:r>
      <w:r w:rsidRPr="003D0F53">
        <w:rPr>
          <w:rtl/>
        </w:rPr>
        <w:t>مجلس الهجرة واللاجئين في كندا هو شعبة من شعب وزارة الهجرة واللاجئين والمواطنة في كندا.</w:t>
      </w:r>
      <w:r w:rsidRPr="00093A3C">
        <w:rPr>
          <w:rtl/>
        </w:rPr>
        <w:t xml:space="preserve"> </w:t>
      </w:r>
    </w:p>
  </w:footnote>
  <w:footnote w:id="28">
    <w:p w:rsidR="005B5A06" w:rsidRPr="003D0F53" w:rsidRDefault="005B5A06" w:rsidP="009535E8">
      <w:pPr>
        <w:pStyle w:val="FootnoteText1"/>
        <w:rPr>
          <w:rFonts w:hint="cs"/>
          <w:spacing w:val="-4"/>
        </w:rPr>
      </w:pPr>
      <w:r w:rsidRPr="003D0F53">
        <w:rPr>
          <w:spacing w:val="-4"/>
          <w:rtl/>
        </w:rPr>
        <w:t>(</w:t>
      </w:r>
      <w:r w:rsidRPr="003D0F53">
        <w:rPr>
          <w:rStyle w:val="FootnoteReference"/>
          <w:spacing w:val="-4"/>
          <w:vertAlign w:val="baseline"/>
        </w:rPr>
        <w:footnoteRef/>
      </w:r>
      <w:r w:rsidRPr="003D0F53">
        <w:rPr>
          <w:spacing w:val="-4"/>
          <w:sz w:val="26"/>
          <w:rtl/>
        </w:rPr>
        <w:t>)</w:t>
      </w:r>
      <w:r w:rsidRPr="003D0F53">
        <w:rPr>
          <w:spacing w:val="-4"/>
          <w:sz w:val="26"/>
          <w:rtl/>
        </w:rPr>
        <w:tab/>
      </w:r>
      <w:r w:rsidRPr="003D0F53">
        <w:rPr>
          <w:spacing w:val="-4"/>
          <w:rtl/>
        </w:rPr>
        <w:t xml:space="preserve">قدمت صاحبة الشكوى إفادات من زملائها، لكن رأت الدولة الطرف أنها غير موثوقة لأنها تكاد تكون متطابقة. </w:t>
      </w:r>
    </w:p>
  </w:footnote>
  <w:footnote w:id="29">
    <w:p w:rsidR="005B5A06" w:rsidRPr="00093A3C" w:rsidRDefault="005B5A06" w:rsidP="009535E8">
      <w:pPr>
        <w:pStyle w:val="FootnoteText1"/>
        <w:rPr>
          <w:rFonts w:hint="cs"/>
        </w:rPr>
      </w:pPr>
      <w:r w:rsidRPr="00093A3C">
        <w:rPr>
          <w:rtl/>
        </w:rPr>
        <w:t>(</w:t>
      </w:r>
      <w:r w:rsidRPr="00093A3C">
        <w:rPr>
          <w:rStyle w:val="FootnoteReference"/>
          <w:vertAlign w:val="baseline"/>
        </w:rPr>
        <w:footnoteRef/>
      </w:r>
      <w:r>
        <w:rPr>
          <w:sz w:val="26"/>
          <w:rtl/>
        </w:rPr>
        <w:t>)</w:t>
      </w:r>
      <w:r>
        <w:rPr>
          <w:sz w:val="26"/>
          <w:rtl/>
        </w:rPr>
        <w:tab/>
      </w:r>
      <w:r w:rsidRPr="003D0F53">
        <w:rPr>
          <w:rtl/>
        </w:rPr>
        <w:t>قُدمت في ٢٧ تموز/يوليه ٢٠١٧.</w:t>
      </w:r>
      <w:r>
        <w:rPr>
          <w:rtl/>
        </w:rPr>
        <w:t xml:space="preserve"> </w:t>
      </w:r>
    </w:p>
  </w:footnote>
  <w:footnote w:id="30">
    <w:p w:rsidR="005B5A06" w:rsidRPr="00093A3C" w:rsidRDefault="005B5A06" w:rsidP="009535E8">
      <w:pPr>
        <w:pStyle w:val="FootnoteText1"/>
        <w:rPr>
          <w:rFonts w:hint="cs"/>
        </w:rPr>
      </w:pPr>
      <w:r w:rsidRPr="00093A3C">
        <w:rPr>
          <w:rtl/>
        </w:rPr>
        <w:t>(</w:t>
      </w:r>
      <w:r w:rsidRPr="00093A3C">
        <w:rPr>
          <w:rStyle w:val="FootnoteReference"/>
          <w:vertAlign w:val="baseline"/>
        </w:rPr>
        <w:footnoteRef/>
      </w:r>
      <w:r>
        <w:rPr>
          <w:sz w:val="26"/>
          <w:rtl/>
        </w:rPr>
        <w:t>)</w:t>
      </w:r>
      <w:r>
        <w:rPr>
          <w:sz w:val="26"/>
          <w:rtl/>
        </w:rPr>
        <w:tab/>
      </w:r>
      <w:r w:rsidRPr="003D0F53">
        <w:rPr>
          <w:rtl/>
        </w:rPr>
        <w:t>انظر قضية</w:t>
      </w:r>
      <w:r w:rsidRPr="00A44C89">
        <w:rPr>
          <w:i/>
          <w:iCs/>
          <w:rtl/>
        </w:rPr>
        <w:t xml:space="preserve"> أ. ي. ضد كندا</w:t>
      </w:r>
      <w:r w:rsidRPr="003D0F53">
        <w:rPr>
          <w:rtl/>
        </w:rPr>
        <w:t xml:space="preserve"> (</w:t>
      </w:r>
      <w:r w:rsidRPr="003D0F53">
        <w:t>CAT/C/43/D/307/2006/Rev.1</w:t>
      </w:r>
      <w:r w:rsidRPr="003D0F53">
        <w:rPr>
          <w:rtl/>
        </w:rPr>
        <w:t>، الفقرة 9-2). انظر أيضاً تعليق اللجنة العام رقم 4(2017) بشأن تنفيذ المادة 3 في سياق الفقرة 34 من المادة 22.</w:t>
      </w:r>
      <w:r>
        <w:rPr>
          <w:rtl/>
        </w:rPr>
        <w:t xml:space="preserve"> </w:t>
      </w:r>
    </w:p>
  </w:footnote>
  <w:footnote w:id="31">
    <w:p w:rsidR="005B5A06" w:rsidRPr="00093A3C" w:rsidRDefault="005B5A06" w:rsidP="003D0F53">
      <w:pPr>
        <w:pStyle w:val="FootnoteText1"/>
        <w:rPr>
          <w:rFonts w:hint="cs"/>
          <w:rtl/>
        </w:rPr>
      </w:pPr>
      <w:r w:rsidRPr="00093A3C">
        <w:rPr>
          <w:rtl/>
        </w:rPr>
        <w:t>(</w:t>
      </w:r>
      <w:r w:rsidRPr="00093A3C">
        <w:rPr>
          <w:rStyle w:val="FootnoteReference"/>
          <w:vertAlign w:val="baseline"/>
        </w:rPr>
        <w:footnoteRef/>
      </w:r>
      <w:r>
        <w:rPr>
          <w:sz w:val="26"/>
          <w:rtl/>
        </w:rPr>
        <w:t>)</w:t>
      </w:r>
      <w:r>
        <w:rPr>
          <w:sz w:val="26"/>
          <w:rtl/>
        </w:rPr>
        <w:tab/>
      </w:r>
      <w:r w:rsidRPr="003D0F53">
        <w:rPr>
          <w:rtl/>
        </w:rPr>
        <w:t xml:space="preserve">انظر قضية </w:t>
      </w:r>
      <w:r w:rsidRPr="00A44C89">
        <w:rPr>
          <w:i/>
          <w:iCs/>
          <w:rtl/>
        </w:rPr>
        <w:t xml:space="preserve">فالكون </w:t>
      </w:r>
      <w:proofErr w:type="spellStart"/>
      <w:r w:rsidRPr="00A44C89">
        <w:rPr>
          <w:i/>
          <w:iCs/>
          <w:rtl/>
        </w:rPr>
        <w:t>ريوس</w:t>
      </w:r>
      <w:proofErr w:type="spellEnd"/>
      <w:r w:rsidRPr="00A44C89">
        <w:rPr>
          <w:i/>
          <w:iCs/>
          <w:rtl/>
        </w:rPr>
        <w:t xml:space="preserve"> ضد كندا </w:t>
      </w:r>
      <w:r w:rsidRPr="003D0F53">
        <w:rPr>
          <w:rtl/>
        </w:rPr>
        <w:t>(</w:t>
      </w:r>
      <w:r w:rsidRPr="003D0F53">
        <w:t>CAT/C/33/D/133/1999</w:t>
      </w:r>
      <w:r w:rsidRPr="003D0F53">
        <w:rPr>
          <w:rtl/>
        </w:rPr>
        <w:t>)، الفقرة 7-3.</w:t>
      </w:r>
    </w:p>
  </w:footnote>
  <w:footnote w:id="32">
    <w:p w:rsidR="005B5A06" w:rsidRPr="00093A3C" w:rsidRDefault="005B5A06" w:rsidP="009535E8">
      <w:pPr>
        <w:pStyle w:val="FootnoteText1"/>
        <w:rPr>
          <w:rFonts w:hint="cs"/>
        </w:rPr>
      </w:pPr>
      <w:r w:rsidRPr="00093A3C">
        <w:rPr>
          <w:rtl/>
        </w:rPr>
        <w:t>(</w:t>
      </w:r>
      <w:r w:rsidRPr="00093A3C">
        <w:rPr>
          <w:rStyle w:val="FootnoteReference"/>
          <w:vertAlign w:val="baseline"/>
        </w:rPr>
        <w:footnoteRef/>
      </w:r>
      <w:r>
        <w:rPr>
          <w:sz w:val="26"/>
          <w:rtl/>
        </w:rPr>
        <w:t>)</w:t>
      </w:r>
      <w:r>
        <w:rPr>
          <w:sz w:val="26"/>
          <w:rtl/>
        </w:rPr>
        <w:tab/>
      </w:r>
      <w:r w:rsidRPr="003D0F53">
        <w:rPr>
          <w:rtl/>
        </w:rPr>
        <w:t xml:space="preserve">انظر قضية </w:t>
      </w:r>
      <w:r w:rsidRPr="00A44C89">
        <w:rPr>
          <w:i/>
          <w:iCs/>
          <w:rtl/>
        </w:rPr>
        <w:t xml:space="preserve">ج. س. ضد كندا </w:t>
      </w:r>
      <w:r w:rsidRPr="003D0F53">
        <w:rPr>
          <w:rtl/>
        </w:rPr>
        <w:t>(</w:t>
      </w:r>
      <w:r w:rsidRPr="003D0F53">
        <w:t>CAT/C/62/D/695/2015</w:t>
      </w:r>
      <w:r w:rsidRPr="003D0F53">
        <w:rPr>
          <w:rtl/>
        </w:rPr>
        <w:t xml:space="preserve">)، الفقرة 6-3؛ وقضية </w:t>
      </w:r>
      <w:r w:rsidRPr="00A44C89">
        <w:rPr>
          <w:i/>
          <w:iCs/>
          <w:rtl/>
        </w:rPr>
        <w:t xml:space="preserve">ج. م. ضد كندا </w:t>
      </w:r>
      <w:r w:rsidRPr="003D0F53">
        <w:rPr>
          <w:rtl/>
        </w:rPr>
        <w:t>(</w:t>
      </w:r>
      <w:r w:rsidRPr="003D0F53">
        <w:t>CAT/C/60/D/699/2015</w:t>
      </w:r>
      <w:r w:rsidRPr="003D0F53">
        <w:rPr>
          <w:rtl/>
        </w:rPr>
        <w:t xml:space="preserve">)، الفقرة ٦-٢؛ وقضية </w:t>
      </w:r>
      <w:r w:rsidRPr="00A44C89">
        <w:rPr>
          <w:i/>
          <w:iCs/>
          <w:rtl/>
        </w:rPr>
        <w:t>أ. ضد كندا</w:t>
      </w:r>
      <w:r w:rsidRPr="003D0F53">
        <w:rPr>
          <w:rtl/>
        </w:rPr>
        <w:t xml:space="preserve"> (</w:t>
      </w:r>
      <w:r w:rsidRPr="003D0F53">
        <w:t>CAT/C/57/D/583/2014</w:t>
      </w:r>
      <w:r w:rsidRPr="003D0F53">
        <w:rPr>
          <w:rtl/>
        </w:rPr>
        <w:t xml:space="preserve">)، الفقرة 6-2؛ وقضية </w:t>
      </w:r>
      <w:r w:rsidRPr="00A44C89">
        <w:rPr>
          <w:i/>
          <w:iCs/>
          <w:rtl/>
        </w:rPr>
        <w:t>و. ج. د. ضد كندا</w:t>
      </w:r>
      <w:r w:rsidRPr="003D0F53">
        <w:rPr>
          <w:rtl/>
        </w:rPr>
        <w:t xml:space="preserve"> (</w:t>
      </w:r>
      <w:r w:rsidRPr="003D0F53">
        <w:t>CAT/C/53/D/520/2012</w:t>
      </w:r>
      <w:r w:rsidRPr="003D0F53">
        <w:rPr>
          <w:rtl/>
        </w:rPr>
        <w:t xml:space="preserve">)، الفقرة ٧-٤. انظر أيضاً قضية </w:t>
      </w:r>
      <w:r w:rsidRPr="00A44C89">
        <w:rPr>
          <w:i/>
          <w:iCs/>
          <w:rtl/>
        </w:rPr>
        <w:t>ر.</w:t>
      </w:r>
      <w:r w:rsidRPr="00A44C89">
        <w:rPr>
          <w:rFonts w:hint="cs"/>
          <w:i/>
          <w:iCs/>
          <w:rtl/>
        </w:rPr>
        <w:t xml:space="preserve"> </w:t>
      </w:r>
      <w:r w:rsidRPr="00A44C89">
        <w:rPr>
          <w:i/>
          <w:iCs/>
          <w:rtl/>
        </w:rPr>
        <w:t>س.</w:t>
      </w:r>
      <w:r w:rsidRPr="00A44C89">
        <w:rPr>
          <w:rFonts w:hint="cs"/>
          <w:i/>
          <w:iCs/>
          <w:rtl/>
        </w:rPr>
        <w:t xml:space="preserve"> </w:t>
      </w:r>
      <w:proofErr w:type="spellStart"/>
      <w:r w:rsidRPr="00A44C89">
        <w:rPr>
          <w:i/>
          <w:iCs/>
          <w:rtl/>
        </w:rPr>
        <w:t>م</w:t>
      </w:r>
      <w:proofErr w:type="spellEnd"/>
      <w:r w:rsidRPr="00A44C89">
        <w:rPr>
          <w:i/>
          <w:iCs/>
          <w:rtl/>
        </w:rPr>
        <w:t>. ضد كندا</w:t>
      </w:r>
      <w:r w:rsidRPr="003D0F53">
        <w:rPr>
          <w:rtl/>
        </w:rPr>
        <w:t xml:space="preserve"> (</w:t>
      </w:r>
      <w:r w:rsidRPr="003D0F53">
        <w:t>CAT/C/50/D/392/2009</w:t>
      </w:r>
      <w:r w:rsidRPr="003D0F53">
        <w:rPr>
          <w:rtl/>
        </w:rPr>
        <w:t>)، الفقرة 6-3، وتعليق اللجنة العام رقم ٤، الفقرة 34</w:t>
      </w:r>
      <w:r>
        <w:rPr>
          <w:rFonts w:hint="cs"/>
          <w:rtl/>
        </w:rPr>
        <w:t>.</w:t>
      </w:r>
      <w:r w:rsidRPr="00093A3C">
        <w:rPr>
          <w:rtl/>
        </w:rPr>
        <w:t xml:space="preserve"> </w:t>
      </w:r>
    </w:p>
  </w:footnote>
  <w:footnote w:id="33">
    <w:p w:rsidR="005B5A06" w:rsidRPr="00611B5A" w:rsidRDefault="005B5A06" w:rsidP="00611B5A">
      <w:pPr>
        <w:pStyle w:val="FootnoteText1"/>
        <w:rPr>
          <w:rFonts w:hint="cs"/>
          <w:spacing w:val="-4"/>
        </w:rPr>
      </w:pPr>
      <w:r w:rsidRPr="00093A3C">
        <w:rPr>
          <w:rtl/>
        </w:rPr>
        <w:t>(</w:t>
      </w:r>
      <w:r w:rsidRPr="00093A3C">
        <w:rPr>
          <w:rStyle w:val="FootnoteReference"/>
          <w:vertAlign w:val="baseline"/>
        </w:rPr>
        <w:footnoteRef/>
      </w:r>
      <w:r>
        <w:rPr>
          <w:sz w:val="26"/>
          <w:rtl/>
        </w:rPr>
        <w:t>)</w:t>
      </w:r>
      <w:r>
        <w:rPr>
          <w:sz w:val="26"/>
          <w:rtl/>
        </w:rPr>
        <w:tab/>
      </w:r>
      <w:r w:rsidRPr="003D0F53">
        <w:rPr>
          <w:rtl/>
        </w:rPr>
        <w:t xml:space="preserve">انظر قضية </w:t>
      </w:r>
      <w:r w:rsidRPr="00611B5A">
        <w:rPr>
          <w:i/>
          <w:iCs/>
          <w:rtl/>
        </w:rPr>
        <w:t>ج.</w:t>
      </w:r>
      <w:r w:rsidRPr="00611B5A">
        <w:rPr>
          <w:rFonts w:hint="cs"/>
          <w:i/>
          <w:iCs/>
          <w:rtl/>
        </w:rPr>
        <w:t xml:space="preserve"> </w:t>
      </w:r>
      <w:r w:rsidRPr="00611B5A">
        <w:rPr>
          <w:i/>
          <w:iCs/>
          <w:rtl/>
        </w:rPr>
        <w:t>ن.</w:t>
      </w:r>
      <w:r w:rsidRPr="00611B5A">
        <w:rPr>
          <w:rFonts w:hint="cs"/>
          <w:i/>
          <w:iCs/>
          <w:rtl/>
        </w:rPr>
        <w:t xml:space="preserve"> </w:t>
      </w:r>
      <w:r w:rsidRPr="00611B5A">
        <w:rPr>
          <w:i/>
          <w:iCs/>
          <w:rtl/>
        </w:rPr>
        <w:t>ن. ضد كندا</w:t>
      </w:r>
      <w:r w:rsidRPr="003D0F53">
        <w:rPr>
          <w:rtl/>
        </w:rPr>
        <w:t xml:space="preserve"> (</w:t>
      </w:r>
      <w:r w:rsidRPr="003D0F53">
        <w:t>CAT/C/64/D/615/2014</w:t>
      </w:r>
      <w:r w:rsidRPr="003D0F53">
        <w:rPr>
          <w:rtl/>
        </w:rPr>
        <w:t xml:space="preserve">)، الفقرة 6-4، وقضية </w:t>
      </w:r>
      <w:r w:rsidRPr="00611B5A">
        <w:rPr>
          <w:i/>
          <w:iCs/>
          <w:rtl/>
        </w:rPr>
        <w:t>ي. أ. ضد كندا</w:t>
      </w:r>
      <w:r w:rsidRPr="003D0F53">
        <w:rPr>
          <w:rtl/>
        </w:rPr>
        <w:t xml:space="preserve"> </w:t>
      </w:r>
      <w:r w:rsidRPr="00611B5A">
        <w:rPr>
          <w:spacing w:val="-4"/>
          <w:rtl/>
        </w:rPr>
        <w:t>(</w:t>
      </w:r>
      <w:r w:rsidRPr="00611B5A">
        <w:rPr>
          <w:spacing w:val="-4"/>
        </w:rPr>
        <w:t>CAT/C/63/D/767/2016</w:t>
      </w:r>
      <w:r w:rsidRPr="00611B5A">
        <w:rPr>
          <w:spacing w:val="-4"/>
          <w:rtl/>
        </w:rPr>
        <w:t xml:space="preserve">)، الفقرة 6-4، وقضية </w:t>
      </w:r>
      <w:r w:rsidRPr="00611B5A">
        <w:rPr>
          <w:i/>
          <w:iCs/>
          <w:spacing w:val="-4"/>
          <w:rtl/>
        </w:rPr>
        <w:t>س. س. ضد كندا</w:t>
      </w:r>
      <w:r w:rsidRPr="00611B5A">
        <w:rPr>
          <w:spacing w:val="-4"/>
          <w:rtl/>
        </w:rPr>
        <w:t xml:space="preserve"> (</w:t>
      </w:r>
      <w:r w:rsidRPr="00611B5A">
        <w:rPr>
          <w:spacing w:val="-4"/>
        </w:rPr>
        <w:t>CAT/C/62/D/715/2015</w:t>
      </w:r>
      <w:r w:rsidRPr="00611B5A">
        <w:rPr>
          <w:spacing w:val="-4"/>
          <w:rtl/>
        </w:rPr>
        <w:t xml:space="preserve">)، الفقرة 6-3. </w:t>
      </w:r>
    </w:p>
  </w:footnote>
  <w:footnote w:id="34">
    <w:p w:rsidR="005B5A06" w:rsidRPr="00093A3C" w:rsidRDefault="005B5A06" w:rsidP="009535E8">
      <w:pPr>
        <w:pStyle w:val="FootnoteText1"/>
        <w:rPr>
          <w:rFonts w:hint="cs"/>
        </w:rPr>
      </w:pPr>
      <w:r w:rsidRPr="00093A3C">
        <w:rPr>
          <w:rtl/>
        </w:rPr>
        <w:t>(</w:t>
      </w:r>
      <w:r w:rsidRPr="00093A3C">
        <w:rPr>
          <w:rStyle w:val="FootnoteReference"/>
          <w:vertAlign w:val="baseline"/>
        </w:rPr>
        <w:footnoteRef/>
      </w:r>
      <w:r>
        <w:rPr>
          <w:sz w:val="26"/>
          <w:rtl/>
        </w:rPr>
        <w:t>)</w:t>
      </w:r>
      <w:r>
        <w:rPr>
          <w:sz w:val="26"/>
          <w:rtl/>
        </w:rPr>
        <w:tab/>
      </w:r>
      <w:r w:rsidRPr="003D0F53">
        <w:rPr>
          <w:rtl/>
        </w:rPr>
        <w:t xml:space="preserve">انظر قضية </w:t>
      </w:r>
      <w:proofErr w:type="spellStart"/>
      <w:r w:rsidRPr="004114AB">
        <w:rPr>
          <w:i/>
          <w:iCs/>
          <w:rtl/>
        </w:rPr>
        <w:t>أونغ</w:t>
      </w:r>
      <w:proofErr w:type="spellEnd"/>
      <w:r w:rsidRPr="004114AB">
        <w:rPr>
          <w:i/>
          <w:iCs/>
          <w:rtl/>
        </w:rPr>
        <w:t xml:space="preserve"> ضد كندا</w:t>
      </w:r>
      <w:r w:rsidRPr="003D0F53">
        <w:rPr>
          <w:rtl/>
        </w:rPr>
        <w:t>، الفقرة 6-4.</w:t>
      </w:r>
      <w:r w:rsidRPr="00093A3C">
        <w:rPr>
          <w:rtl/>
        </w:rPr>
        <w:t xml:space="preserve"> </w:t>
      </w:r>
    </w:p>
  </w:footnote>
  <w:footnote w:id="35">
    <w:p w:rsidR="005B5A06" w:rsidRPr="00093A3C" w:rsidRDefault="005B5A06" w:rsidP="009535E8">
      <w:pPr>
        <w:pStyle w:val="FootnoteText1"/>
        <w:rPr>
          <w:rFonts w:hint="cs"/>
        </w:rPr>
      </w:pPr>
      <w:r w:rsidRPr="00093A3C">
        <w:rPr>
          <w:rtl/>
        </w:rPr>
        <w:t>(</w:t>
      </w:r>
      <w:r w:rsidRPr="00093A3C">
        <w:rPr>
          <w:rStyle w:val="FootnoteReference"/>
          <w:vertAlign w:val="baseline"/>
        </w:rPr>
        <w:footnoteRef/>
      </w:r>
      <w:r>
        <w:rPr>
          <w:sz w:val="26"/>
          <w:rtl/>
        </w:rPr>
        <w:t>)</w:t>
      </w:r>
      <w:r>
        <w:rPr>
          <w:sz w:val="26"/>
          <w:rtl/>
        </w:rPr>
        <w:tab/>
      </w:r>
      <w:r w:rsidRPr="003D0F53">
        <w:rPr>
          <w:rtl/>
        </w:rPr>
        <w:t xml:space="preserve">انظر قضية </w:t>
      </w:r>
      <w:r w:rsidRPr="004114AB">
        <w:rPr>
          <w:i/>
          <w:iCs/>
          <w:rtl/>
        </w:rPr>
        <w:t>ر. س. أ. ن. ضد كندا</w:t>
      </w:r>
      <w:r w:rsidRPr="003D0F53">
        <w:rPr>
          <w:rtl/>
        </w:rPr>
        <w:t>، (</w:t>
      </w:r>
      <w:r w:rsidRPr="003D0F53">
        <w:t>CAT/C/37/D/284/2006</w:t>
      </w:r>
      <w:r w:rsidRPr="003D0F53">
        <w:rPr>
          <w:rtl/>
        </w:rPr>
        <w:t>)، الفقرة ٦-٤.</w:t>
      </w:r>
      <w:r w:rsidRPr="00093A3C">
        <w:rPr>
          <w:rtl/>
        </w:rPr>
        <w:t xml:space="preserve"> </w:t>
      </w:r>
    </w:p>
  </w:footnote>
  <w:footnote w:id="36">
    <w:p w:rsidR="005B5A06" w:rsidRPr="00093A3C" w:rsidRDefault="005B5A06" w:rsidP="00564A38">
      <w:pPr>
        <w:pStyle w:val="FootnoteText1"/>
        <w:rPr>
          <w:rFonts w:hint="cs"/>
        </w:rPr>
      </w:pPr>
      <w:r w:rsidRPr="00093A3C">
        <w:rPr>
          <w:rtl/>
        </w:rPr>
        <w:t>(</w:t>
      </w:r>
      <w:r w:rsidRPr="00093A3C">
        <w:rPr>
          <w:rStyle w:val="FootnoteReference"/>
          <w:vertAlign w:val="baseline"/>
        </w:rPr>
        <w:footnoteRef/>
      </w:r>
      <w:r>
        <w:rPr>
          <w:sz w:val="26"/>
          <w:rtl/>
        </w:rPr>
        <w:t>)</w:t>
      </w:r>
      <w:r>
        <w:rPr>
          <w:sz w:val="26"/>
          <w:rtl/>
        </w:rPr>
        <w:tab/>
      </w:r>
      <w:r w:rsidRPr="003D0F53">
        <w:rPr>
          <w:spacing w:val="-4"/>
          <w:rtl/>
        </w:rPr>
        <w:t xml:space="preserve">انظر قضية </w:t>
      </w:r>
      <w:r w:rsidRPr="004114AB">
        <w:rPr>
          <w:i/>
          <w:iCs/>
          <w:spacing w:val="-4"/>
          <w:rtl/>
        </w:rPr>
        <w:t>ج.</w:t>
      </w:r>
      <w:r w:rsidRPr="004114AB">
        <w:rPr>
          <w:rFonts w:hint="cs"/>
          <w:i/>
          <w:iCs/>
          <w:spacing w:val="-4"/>
          <w:rtl/>
        </w:rPr>
        <w:t xml:space="preserve"> </w:t>
      </w:r>
      <w:r w:rsidRPr="004114AB">
        <w:rPr>
          <w:i/>
          <w:iCs/>
          <w:spacing w:val="-4"/>
          <w:rtl/>
        </w:rPr>
        <w:t>س. ضد كندا</w:t>
      </w:r>
      <w:r w:rsidRPr="003D0F53">
        <w:rPr>
          <w:spacing w:val="-4"/>
          <w:rtl/>
        </w:rPr>
        <w:t>، الفقرة 6-6</w:t>
      </w:r>
      <w:r w:rsidR="00564A38">
        <w:rPr>
          <w:rFonts w:hint="cs"/>
          <w:spacing w:val="-4"/>
          <w:rtl/>
        </w:rPr>
        <w:t>؛</w:t>
      </w:r>
      <w:r w:rsidRPr="003D0F53">
        <w:rPr>
          <w:spacing w:val="-4"/>
          <w:rtl/>
        </w:rPr>
        <w:t xml:space="preserve"> وقضية </w:t>
      </w:r>
      <w:r w:rsidRPr="004114AB">
        <w:rPr>
          <w:i/>
          <w:iCs/>
          <w:spacing w:val="-4"/>
          <w:rtl/>
        </w:rPr>
        <w:t>س.</w:t>
      </w:r>
      <w:r w:rsidRPr="004114AB">
        <w:rPr>
          <w:rFonts w:hint="cs"/>
          <w:i/>
          <w:iCs/>
          <w:spacing w:val="-4"/>
          <w:rtl/>
        </w:rPr>
        <w:t xml:space="preserve"> </w:t>
      </w:r>
      <w:r w:rsidRPr="004114AB">
        <w:rPr>
          <w:i/>
          <w:iCs/>
          <w:spacing w:val="-4"/>
          <w:rtl/>
        </w:rPr>
        <w:t>س.</w:t>
      </w:r>
      <w:r>
        <w:rPr>
          <w:spacing w:val="-4"/>
          <w:rtl/>
        </w:rPr>
        <w:t xml:space="preserve"> و</w:t>
      </w:r>
      <w:r w:rsidRPr="004114AB">
        <w:rPr>
          <w:i/>
          <w:iCs/>
          <w:spacing w:val="-4"/>
          <w:rtl/>
        </w:rPr>
        <w:t>ب.</w:t>
      </w:r>
      <w:r w:rsidRPr="004114AB">
        <w:rPr>
          <w:rFonts w:hint="cs"/>
          <w:i/>
          <w:iCs/>
          <w:spacing w:val="-4"/>
          <w:rtl/>
        </w:rPr>
        <w:t xml:space="preserve"> </w:t>
      </w:r>
      <w:r w:rsidRPr="004114AB">
        <w:rPr>
          <w:i/>
          <w:iCs/>
          <w:spacing w:val="-4"/>
          <w:rtl/>
        </w:rPr>
        <w:t>س. ضد كندا</w:t>
      </w:r>
      <w:r w:rsidRPr="003D0F53">
        <w:rPr>
          <w:spacing w:val="-4"/>
          <w:rtl/>
        </w:rPr>
        <w:t xml:space="preserve"> (</w:t>
      </w:r>
      <w:r w:rsidRPr="003D0F53">
        <w:rPr>
          <w:spacing w:val="-4"/>
        </w:rPr>
        <w:t>CAT/C/62/D/702/2015</w:t>
      </w:r>
      <w:r w:rsidRPr="003D0F53">
        <w:rPr>
          <w:spacing w:val="-4"/>
          <w:rtl/>
        </w:rPr>
        <w:t>)،</w:t>
      </w:r>
      <w:r w:rsidRPr="003D0F53">
        <w:rPr>
          <w:rtl/>
        </w:rPr>
        <w:t xml:space="preserve"> </w:t>
      </w:r>
      <w:r w:rsidRPr="00F93281">
        <w:rPr>
          <w:spacing w:val="-4"/>
          <w:rtl/>
        </w:rPr>
        <w:t>الفقرة 6-6</w:t>
      </w:r>
      <w:r w:rsidR="00564A38">
        <w:rPr>
          <w:rFonts w:hint="cs"/>
          <w:spacing w:val="-4"/>
          <w:rtl/>
        </w:rPr>
        <w:t>؛</w:t>
      </w:r>
      <w:r w:rsidRPr="00F93281">
        <w:rPr>
          <w:spacing w:val="-4"/>
          <w:rtl/>
        </w:rPr>
        <w:t xml:space="preserve"> وقضية </w:t>
      </w:r>
      <w:proofErr w:type="spellStart"/>
      <w:r w:rsidRPr="00F93281">
        <w:rPr>
          <w:i/>
          <w:iCs/>
          <w:spacing w:val="-4"/>
          <w:rtl/>
        </w:rPr>
        <w:t>شوديندي</w:t>
      </w:r>
      <w:proofErr w:type="spellEnd"/>
      <w:r w:rsidRPr="00F93281">
        <w:rPr>
          <w:i/>
          <w:iCs/>
          <w:spacing w:val="-4"/>
          <w:rtl/>
        </w:rPr>
        <w:t xml:space="preserve"> ضد كندا</w:t>
      </w:r>
      <w:r w:rsidRPr="00F93281">
        <w:rPr>
          <w:spacing w:val="-4"/>
          <w:rtl/>
        </w:rPr>
        <w:t xml:space="preserve"> (</w:t>
      </w:r>
      <w:r w:rsidRPr="00F93281">
        <w:rPr>
          <w:spacing w:val="-4"/>
        </w:rPr>
        <w:t>CAT/C/63/D/621/2014</w:t>
      </w:r>
      <w:r w:rsidRPr="00F93281">
        <w:rPr>
          <w:spacing w:val="-4"/>
          <w:rtl/>
        </w:rPr>
        <w:t>)، الفقرة 6-8</w:t>
      </w:r>
      <w:r w:rsidR="00564A38">
        <w:rPr>
          <w:rFonts w:hint="cs"/>
          <w:spacing w:val="-4"/>
          <w:rtl/>
        </w:rPr>
        <w:t>؛</w:t>
      </w:r>
      <w:r w:rsidRPr="00F93281">
        <w:rPr>
          <w:spacing w:val="-4"/>
          <w:rtl/>
        </w:rPr>
        <w:t xml:space="preserve"> وقضية </w:t>
      </w:r>
      <w:r w:rsidRPr="00F93281">
        <w:rPr>
          <w:i/>
          <w:iCs/>
          <w:spacing w:val="-4"/>
          <w:rtl/>
        </w:rPr>
        <w:t>ي. أ. ضد كندا</w:t>
      </w:r>
      <w:r w:rsidRPr="00F93281">
        <w:rPr>
          <w:spacing w:val="-4"/>
          <w:rtl/>
        </w:rPr>
        <w:t>،</w:t>
      </w:r>
      <w:r w:rsidRPr="003D0F53">
        <w:rPr>
          <w:rtl/>
        </w:rPr>
        <w:t xml:space="preserve"> الفقرتان 6-6 و6-7.</w:t>
      </w:r>
      <w:r>
        <w:rPr>
          <w:rtl/>
        </w:rPr>
        <w:t xml:space="preserve"> </w:t>
      </w:r>
    </w:p>
  </w:footnote>
  <w:footnote w:id="37">
    <w:p w:rsidR="005B5A06" w:rsidRPr="002B65A2" w:rsidRDefault="005B5A06" w:rsidP="00D40E4D">
      <w:pPr>
        <w:pStyle w:val="FootnoteText1"/>
        <w:rPr>
          <w:rFonts w:hint="cs"/>
        </w:rPr>
      </w:pPr>
      <w:r w:rsidRPr="002B65A2">
        <w:rPr>
          <w:rtl/>
        </w:rPr>
        <w:t>(</w:t>
      </w:r>
      <w:r w:rsidRPr="002B65A2">
        <w:rPr>
          <w:rStyle w:val="FootnoteReference"/>
          <w:vertAlign w:val="baseline"/>
        </w:rPr>
        <w:footnoteRef/>
      </w:r>
      <w:r>
        <w:rPr>
          <w:sz w:val="26"/>
          <w:rtl/>
        </w:rPr>
        <w:t>)</w:t>
      </w:r>
      <w:r>
        <w:rPr>
          <w:sz w:val="26"/>
          <w:rtl/>
        </w:rPr>
        <w:tab/>
      </w:r>
      <w:r w:rsidRPr="005B5A06">
        <w:rPr>
          <w:rtl/>
        </w:rPr>
        <w:t xml:space="preserve">انظر </w:t>
      </w:r>
      <w:r w:rsidRPr="005B5A06">
        <w:t>CAT/C/SR.1695</w:t>
      </w:r>
      <w:r w:rsidRPr="005B5A06">
        <w:rPr>
          <w:rtl/>
        </w:rPr>
        <w:t>، الفقرة 34؛ و</w:t>
      </w:r>
      <w:r w:rsidRPr="005B5A06">
        <w:t>CAT/C/SR.1698</w:t>
      </w:r>
      <w:r w:rsidRPr="005B5A06">
        <w:rPr>
          <w:rtl/>
        </w:rPr>
        <w:t>، الفقرات 32 و33 و42 و52.</w:t>
      </w:r>
      <w:r w:rsidRPr="002B65A2">
        <w:rPr>
          <w:rtl/>
        </w:rPr>
        <w:t xml:space="preserve"> </w:t>
      </w:r>
    </w:p>
  </w:footnote>
  <w:footnote w:id="38">
    <w:p w:rsidR="005B5A06" w:rsidRPr="00CD7C64" w:rsidRDefault="005B5A06" w:rsidP="002B65A2">
      <w:pPr>
        <w:pStyle w:val="FootnoteText1"/>
        <w:rPr>
          <w:rFonts w:hint="cs"/>
          <w:spacing w:val="-4"/>
          <w:rtl/>
        </w:rPr>
      </w:pPr>
      <w:r w:rsidRPr="00CD7C64">
        <w:rPr>
          <w:spacing w:val="-4"/>
          <w:rtl/>
        </w:rPr>
        <w:t>(</w:t>
      </w:r>
      <w:r w:rsidRPr="00CD7C64">
        <w:rPr>
          <w:rStyle w:val="FootnoteReference"/>
          <w:spacing w:val="-4"/>
          <w:vertAlign w:val="baseline"/>
        </w:rPr>
        <w:footnoteRef/>
      </w:r>
      <w:r w:rsidRPr="00CD7C64">
        <w:rPr>
          <w:spacing w:val="-4"/>
          <w:sz w:val="26"/>
          <w:rtl/>
        </w:rPr>
        <w:t>)</w:t>
      </w:r>
      <w:r w:rsidRPr="00CD7C64">
        <w:rPr>
          <w:spacing w:val="-4"/>
          <w:sz w:val="26"/>
          <w:rtl/>
        </w:rPr>
        <w:tab/>
      </w:r>
      <w:r w:rsidRPr="00CD7C64">
        <w:rPr>
          <w:spacing w:val="-4"/>
          <w:rtl/>
        </w:rPr>
        <w:t xml:space="preserve">تقييم برنامج تقييم المخاطر قبل الترحيل، انظر: النتيجة رقم 8 في الموقع </w:t>
      </w:r>
      <w:hyperlink r:id="rId1" w:history="1">
        <w:r w:rsidR="00CD7C64" w:rsidRPr="00CD7C64">
          <w:rPr>
            <w:spacing w:val="-4"/>
          </w:rPr>
          <w:t>https://www.canada.ca/fr/immigration-</w:t>
        </w:r>
        <w:r w:rsidR="00CD7C64" w:rsidRPr="00CD7C64">
          <w:rPr>
            <w:spacing w:val="-2"/>
          </w:rPr>
          <w:t>refugies-citoyennete/organisation</w:t>
        </w:r>
        <w:r w:rsidR="00CD7C64" w:rsidRPr="00CD7C64">
          <w:rPr>
            <w:spacing w:val="-4"/>
          </w:rPr>
          <w:t>/</w:t>
        </w:r>
        <w:r w:rsidR="00CD7C64" w:rsidRPr="00CD7C64">
          <w:rPr>
            <w:spacing w:val="-2"/>
          </w:rPr>
          <w:t>rapports-statistiques/evaluations/programme</w:t>
        </w:r>
        <w:r w:rsidR="00CD7C64" w:rsidRPr="00CD7C64">
          <w:rPr>
            <w:spacing w:val="-4"/>
          </w:rPr>
          <w:t>-</w:t>
        </w:r>
        <w:r w:rsidR="00CD7C64" w:rsidRPr="00CD7C64">
          <w:rPr>
            <w:spacing w:val="-2"/>
          </w:rPr>
          <w:t>examen</w:t>
        </w:r>
        <w:r w:rsidR="00CD7C64" w:rsidRPr="00CD7C64">
          <w:rPr>
            <w:spacing w:val="-4"/>
          </w:rPr>
          <w:t>-risques-</w:t>
        </w:r>
        <w:r w:rsidR="00CD7C64" w:rsidRPr="00CD7C64">
          <w:rPr>
            <w:spacing w:val="-2"/>
          </w:rPr>
          <w:t>avant</w:t>
        </w:r>
        <w:r w:rsidR="00CD7C64" w:rsidRPr="00CD7C64">
          <w:rPr>
            <w:spacing w:val="-4"/>
          </w:rPr>
          <w:t>-renvoi/erar.html</w:t>
        </w:r>
      </w:hyperlink>
      <w:r w:rsidR="00CD7C64" w:rsidRPr="00CD7C64">
        <w:rPr>
          <w:rFonts w:hint="cs"/>
          <w:spacing w:val="-4"/>
          <w:rtl/>
        </w:rPr>
        <w:t>.</w:t>
      </w:r>
    </w:p>
  </w:footnote>
  <w:footnote w:id="39">
    <w:p w:rsidR="005B5A06" w:rsidRPr="002B65A2" w:rsidRDefault="005B5A06" w:rsidP="002B65A2">
      <w:pPr>
        <w:pStyle w:val="FootnoteText1"/>
        <w:rPr>
          <w:rFonts w:hint="cs"/>
        </w:rPr>
      </w:pPr>
      <w:r w:rsidRPr="002B65A2">
        <w:rPr>
          <w:rtl/>
        </w:rPr>
        <w:t>(</w:t>
      </w:r>
      <w:r w:rsidRPr="002B65A2">
        <w:rPr>
          <w:rStyle w:val="FootnoteReference"/>
          <w:vertAlign w:val="baseline"/>
        </w:rPr>
        <w:footnoteRef/>
      </w:r>
      <w:r>
        <w:rPr>
          <w:sz w:val="26"/>
          <w:rtl/>
        </w:rPr>
        <w:t>)</w:t>
      </w:r>
      <w:r>
        <w:rPr>
          <w:sz w:val="26"/>
          <w:rtl/>
        </w:rPr>
        <w:tab/>
      </w:r>
      <w:r w:rsidRPr="005B5A06">
        <w:rPr>
          <w:rtl/>
        </w:rPr>
        <w:t>المرجع نفسه، الشكل 4-6</w:t>
      </w:r>
      <w:r>
        <w:rPr>
          <w:rFonts w:hint="cs"/>
          <w:rtl/>
        </w:rPr>
        <w:t>.</w:t>
      </w:r>
      <w:r w:rsidRPr="002B65A2">
        <w:rPr>
          <w:rtl/>
        </w:rPr>
        <w:t xml:space="preserve"> </w:t>
      </w:r>
    </w:p>
  </w:footnote>
  <w:footnote w:id="40">
    <w:p w:rsidR="005B5A06" w:rsidRPr="002B65A2" w:rsidRDefault="005B5A06" w:rsidP="00CD7C64">
      <w:pPr>
        <w:pStyle w:val="FootnoteText1"/>
        <w:spacing w:line="240" w:lineRule="exact"/>
        <w:rPr>
          <w:rFonts w:hint="cs"/>
          <w:rtl/>
        </w:rPr>
      </w:pPr>
      <w:r w:rsidRPr="002B65A2">
        <w:rPr>
          <w:rtl/>
        </w:rPr>
        <w:t>(</w:t>
      </w:r>
      <w:r w:rsidRPr="002B65A2">
        <w:rPr>
          <w:rStyle w:val="FootnoteReference"/>
          <w:vertAlign w:val="baseline"/>
        </w:rPr>
        <w:footnoteRef/>
      </w:r>
      <w:r>
        <w:rPr>
          <w:sz w:val="26"/>
          <w:rtl/>
        </w:rPr>
        <w:t>)</w:t>
      </w:r>
      <w:r>
        <w:rPr>
          <w:sz w:val="26"/>
          <w:rtl/>
        </w:rPr>
        <w:tab/>
      </w:r>
      <w:r w:rsidR="00CD7C64" w:rsidRPr="00CD7C64">
        <w:rPr>
          <w:spacing w:val="-2"/>
          <w:lang w:val="fr-FR"/>
        </w:rPr>
        <w:t xml:space="preserve">Siméon-Denis Poisson, </w:t>
      </w:r>
      <w:hyperlink r:id="rId2" w:history="1">
        <w:r w:rsidR="00CD7C64" w:rsidRPr="00CD7C64">
          <w:rPr>
            <w:i/>
            <w:iCs/>
            <w:spacing w:val="-2"/>
            <w:lang w:val="fr-FR"/>
          </w:rPr>
          <w:t xml:space="preserve">Recherches sur la probabilité des jugements en matière criminelle et en matière </w:t>
        </w:r>
        <w:proofErr w:type="gramStart"/>
        <w:r w:rsidR="00CD7C64" w:rsidRPr="00CD7C64">
          <w:rPr>
            <w:i/>
            <w:iCs/>
            <w:spacing w:val="-2"/>
            <w:lang w:val="fr-FR"/>
          </w:rPr>
          <w:t>civile :</w:t>
        </w:r>
        <w:proofErr w:type="gramEnd"/>
        <w:r w:rsidR="00CD7C64" w:rsidRPr="00CD7C64">
          <w:rPr>
            <w:i/>
            <w:iCs/>
            <w:spacing w:val="-2"/>
            <w:lang w:val="fr-FR"/>
          </w:rPr>
          <w:t xml:space="preserve"> Précédées des règles générales du calcul des probabilités</w:t>
        </w:r>
      </w:hyperlink>
      <w:r w:rsidR="00CD7C64" w:rsidRPr="00CD7C64">
        <w:rPr>
          <w:i/>
          <w:iCs/>
          <w:spacing w:val="-2"/>
          <w:lang w:val="fr-FR"/>
        </w:rPr>
        <w:t>,</w:t>
      </w:r>
      <w:r w:rsidR="00CD7C64" w:rsidRPr="00CD7C64">
        <w:rPr>
          <w:spacing w:val="-2"/>
          <w:lang w:val="fr-FR"/>
        </w:rPr>
        <w:t>1837, passage 81, p. 205</w:t>
      </w:r>
      <w:r w:rsidR="00CD7C64">
        <w:rPr>
          <w:rFonts w:hint="cs"/>
          <w:rtl/>
          <w:lang w:val="fr-FR"/>
        </w:rPr>
        <w:t>.</w:t>
      </w:r>
      <w:r w:rsidRPr="002B65A2">
        <w:rPr>
          <w:rtl/>
        </w:rPr>
        <w:t xml:space="preserve"> </w:t>
      </w:r>
    </w:p>
  </w:footnote>
  <w:footnote w:id="41">
    <w:p w:rsidR="005B5A06" w:rsidRPr="002B65A2" w:rsidRDefault="005B5A06" w:rsidP="002B65A2">
      <w:pPr>
        <w:pStyle w:val="FootnoteText1"/>
        <w:rPr>
          <w:rFonts w:hint="cs"/>
        </w:rPr>
      </w:pPr>
      <w:r w:rsidRPr="002B65A2">
        <w:rPr>
          <w:rtl/>
        </w:rPr>
        <w:t>(</w:t>
      </w:r>
      <w:r w:rsidRPr="002B65A2">
        <w:rPr>
          <w:rStyle w:val="FootnoteReference"/>
          <w:vertAlign w:val="baseline"/>
        </w:rPr>
        <w:footnoteRef/>
      </w:r>
      <w:r>
        <w:rPr>
          <w:sz w:val="26"/>
          <w:rtl/>
        </w:rPr>
        <w:t>)</w:t>
      </w:r>
      <w:r>
        <w:rPr>
          <w:sz w:val="26"/>
          <w:rtl/>
        </w:rPr>
        <w:tab/>
      </w:r>
      <w:r w:rsidRPr="005B5A06">
        <w:rPr>
          <w:rtl/>
        </w:rPr>
        <w:t>المرجع نفسه، المادة 72.</w:t>
      </w:r>
      <w:r w:rsidRPr="002B65A2">
        <w:rPr>
          <w:rtl/>
        </w:rPr>
        <w:t xml:space="preserve"> </w:t>
      </w:r>
    </w:p>
  </w:footnote>
  <w:footnote w:id="42">
    <w:p w:rsidR="005B5A06" w:rsidRPr="002B65A2" w:rsidRDefault="005B5A06" w:rsidP="002B65A2">
      <w:pPr>
        <w:pStyle w:val="FootnoteText1"/>
        <w:rPr>
          <w:rFonts w:hint="cs"/>
        </w:rPr>
      </w:pPr>
      <w:r w:rsidRPr="002B65A2">
        <w:rPr>
          <w:rtl/>
        </w:rPr>
        <w:t>(</w:t>
      </w:r>
      <w:r w:rsidRPr="002B65A2">
        <w:rPr>
          <w:rStyle w:val="FootnoteReference"/>
          <w:vertAlign w:val="baseline"/>
        </w:rPr>
        <w:footnoteRef/>
      </w:r>
      <w:r>
        <w:rPr>
          <w:sz w:val="26"/>
          <w:rtl/>
        </w:rPr>
        <w:t>)</w:t>
      </w:r>
      <w:r>
        <w:rPr>
          <w:sz w:val="26"/>
          <w:rtl/>
        </w:rPr>
        <w:tab/>
      </w:r>
      <w:r>
        <w:rPr>
          <w:rFonts w:hint="cs"/>
          <w:rtl/>
        </w:rPr>
        <w:t xml:space="preserve">انظر </w:t>
      </w:r>
      <w:r w:rsidR="00CD7C64" w:rsidRPr="002E2624">
        <w:rPr>
          <w:lang w:val="de-CH"/>
        </w:rPr>
        <w:t xml:space="preserve">Evaluation </w:t>
      </w:r>
      <w:proofErr w:type="spellStart"/>
      <w:r w:rsidR="00CD7C64" w:rsidRPr="002E2624">
        <w:rPr>
          <w:lang w:val="de-CH"/>
        </w:rPr>
        <w:t>of</w:t>
      </w:r>
      <w:proofErr w:type="spellEnd"/>
      <w:r w:rsidR="00CD7C64" w:rsidRPr="002E2624">
        <w:rPr>
          <w:lang w:val="de-CH"/>
        </w:rPr>
        <w:t xml:space="preserve"> </w:t>
      </w:r>
      <w:proofErr w:type="spellStart"/>
      <w:r w:rsidR="00CD7C64" w:rsidRPr="002E2624">
        <w:rPr>
          <w:lang w:val="de-CH"/>
        </w:rPr>
        <w:t>the</w:t>
      </w:r>
      <w:proofErr w:type="spellEnd"/>
      <w:r w:rsidR="00CD7C64" w:rsidRPr="002E2624">
        <w:rPr>
          <w:lang w:val="de-CH"/>
        </w:rPr>
        <w:t xml:space="preserve"> </w:t>
      </w:r>
      <w:proofErr w:type="spellStart"/>
      <w:r w:rsidR="00CD7C64" w:rsidRPr="002E2624">
        <w:rPr>
          <w:lang w:val="de-CH"/>
        </w:rPr>
        <w:t>Pre-Removal</w:t>
      </w:r>
      <w:proofErr w:type="spellEnd"/>
      <w:r w:rsidR="00CD7C64" w:rsidRPr="002E2624">
        <w:rPr>
          <w:lang w:val="de-CH"/>
        </w:rPr>
        <w:t xml:space="preserve"> </w:t>
      </w:r>
      <w:proofErr w:type="spellStart"/>
      <w:r w:rsidR="00CD7C64" w:rsidRPr="002E2624">
        <w:rPr>
          <w:lang w:val="de-CH"/>
        </w:rPr>
        <w:t>Risk</w:t>
      </w:r>
      <w:proofErr w:type="spellEnd"/>
      <w:r w:rsidR="00CD7C64" w:rsidRPr="002E2624">
        <w:rPr>
          <w:lang w:val="de-CH"/>
        </w:rPr>
        <w:t xml:space="preserve"> Assessment </w:t>
      </w:r>
      <w:proofErr w:type="spellStart"/>
      <w:r w:rsidR="00CD7C64" w:rsidRPr="002E2624">
        <w:rPr>
          <w:lang w:val="de-CH"/>
        </w:rPr>
        <w:t>Program</w:t>
      </w:r>
      <w:proofErr w:type="spellEnd"/>
      <w:r w:rsidR="00CD7C64" w:rsidRPr="002E2624">
        <w:rPr>
          <w:lang w:val="de-CH"/>
        </w:rPr>
        <w:t xml:space="preserve">, </w:t>
      </w:r>
      <w:proofErr w:type="spellStart"/>
      <w:r w:rsidR="00CD7C64">
        <w:rPr>
          <w:lang w:val="de-CH"/>
        </w:rPr>
        <w:t>foot</w:t>
      </w:r>
      <w:r w:rsidR="00CD7C64" w:rsidRPr="001B6073">
        <w:rPr>
          <w:lang w:val="de-CH"/>
        </w:rPr>
        <w:t>note</w:t>
      </w:r>
      <w:proofErr w:type="spellEnd"/>
      <w:r w:rsidR="00CD7C64" w:rsidRPr="001B6073">
        <w:rPr>
          <w:lang w:val="de-CH"/>
        </w:rPr>
        <w:t xml:space="preserve"> 38</w:t>
      </w:r>
      <w:r w:rsidR="00CD7C64">
        <w:rPr>
          <w:rFonts w:hint="cs"/>
          <w:rtl/>
        </w:rPr>
        <w:t>.</w:t>
      </w:r>
      <w:r w:rsidRPr="002B65A2">
        <w:rPr>
          <w:rtl/>
        </w:rPr>
        <w:t xml:space="preserve"> </w:t>
      </w:r>
    </w:p>
  </w:footnote>
  <w:footnote w:id="43">
    <w:p w:rsidR="005B5A06" w:rsidRPr="002B65A2" w:rsidRDefault="005B5A06" w:rsidP="002B65A2">
      <w:pPr>
        <w:pStyle w:val="FootnoteText1"/>
        <w:rPr>
          <w:rFonts w:hint="cs"/>
        </w:rPr>
      </w:pPr>
      <w:r w:rsidRPr="002B65A2">
        <w:rPr>
          <w:rtl/>
        </w:rPr>
        <w:t>(</w:t>
      </w:r>
      <w:r w:rsidRPr="002B65A2">
        <w:rPr>
          <w:rStyle w:val="FootnoteReference"/>
          <w:vertAlign w:val="baseline"/>
        </w:rPr>
        <w:footnoteRef/>
      </w:r>
      <w:r>
        <w:rPr>
          <w:sz w:val="26"/>
          <w:rtl/>
        </w:rPr>
        <w:t>)</w:t>
      </w:r>
      <w:r>
        <w:rPr>
          <w:sz w:val="26"/>
          <w:rtl/>
        </w:rPr>
        <w:tab/>
      </w:r>
      <w:r w:rsidRPr="005B5A06">
        <w:rPr>
          <w:rtl/>
        </w:rPr>
        <w:t>المرجع نفسه، الجدول 4-2.</w:t>
      </w:r>
      <w:r w:rsidRPr="002B65A2">
        <w:rPr>
          <w:rtl/>
        </w:rPr>
        <w:t xml:space="preserve"> </w:t>
      </w:r>
    </w:p>
  </w:footnote>
  <w:footnote w:id="44">
    <w:p w:rsidR="005B5A06" w:rsidRPr="002B65A2" w:rsidRDefault="005B5A06" w:rsidP="002B65A2">
      <w:pPr>
        <w:pStyle w:val="FootnoteText1"/>
        <w:rPr>
          <w:rFonts w:hint="cs"/>
        </w:rPr>
      </w:pPr>
      <w:r w:rsidRPr="002B65A2">
        <w:rPr>
          <w:rtl/>
        </w:rPr>
        <w:t>(</w:t>
      </w:r>
      <w:r w:rsidRPr="002B65A2">
        <w:rPr>
          <w:rStyle w:val="FootnoteReference"/>
          <w:vertAlign w:val="baseline"/>
        </w:rPr>
        <w:footnoteRef/>
      </w:r>
      <w:r>
        <w:rPr>
          <w:sz w:val="26"/>
          <w:rtl/>
        </w:rPr>
        <w:t>)</w:t>
      </w:r>
      <w:r>
        <w:rPr>
          <w:sz w:val="26"/>
          <w:rtl/>
        </w:rPr>
        <w:tab/>
      </w:r>
      <w:r w:rsidRPr="005B5A06">
        <w:rPr>
          <w:rtl/>
        </w:rPr>
        <w:t>المرجع نفسه، الفقرة 4-2-4</w:t>
      </w:r>
      <w:r>
        <w:rPr>
          <w:rFonts w:hint="cs"/>
          <w:rtl/>
        </w:rPr>
        <w:t>.</w:t>
      </w:r>
      <w:r w:rsidRPr="002B65A2">
        <w:rPr>
          <w:rtl/>
        </w:rPr>
        <w:t xml:space="preserve"> </w:t>
      </w:r>
    </w:p>
  </w:footnote>
  <w:footnote w:id="45">
    <w:p w:rsidR="005B5A06" w:rsidRPr="002B65A2" w:rsidRDefault="005B5A06" w:rsidP="002B65A2">
      <w:pPr>
        <w:pStyle w:val="FootnoteText1"/>
        <w:rPr>
          <w:rFonts w:hint="cs"/>
        </w:rPr>
      </w:pPr>
      <w:r w:rsidRPr="002B65A2">
        <w:rPr>
          <w:rtl/>
        </w:rPr>
        <w:t>(</w:t>
      </w:r>
      <w:r w:rsidRPr="002B65A2">
        <w:rPr>
          <w:rStyle w:val="FootnoteReference"/>
          <w:vertAlign w:val="baseline"/>
        </w:rPr>
        <w:footnoteRef/>
      </w:r>
      <w:r>
        <w:rPr>
          <w:sz w:val="26"/>
          <w:rtl/>
        </w:rPr>
        <w:t>)</w:t>
      </w:r>
      <w:r>
        <w:rPr>
          <w:sz w:val="26"/>
          <w:rtl/>
        </w:rPr>
        <w:tab/>
      </w:r>
      <w:r w:rsidRPr="005B5A06">
        <w:rPr>
          <w:rtl/>
        </w:rPr>
        <w:t>المرجع نفسه، الفقرة 4-2-4</w:t>
      </w:r>
      <w:r>
        <w:rPr>
          <w:rFonts w:hint="cs"/>
          <w:rtl/>
        </w:rPr>
        <w:t>.</w:t>
      </w:r>
      <w:r w:rsidRPr="002B65A2">
        <w:rPr>
          <w:rtl/>
        </w:rPr>
        <w:t xml:space="preserve"> </w:t>
      </w:r>
    </w:p>
  </w:footnote>
  <w:footnote w:id="46">
    <w:p w:rsidR="005B5A06" w:rsidRPr="002B65A2" w:rsidRDefault="005B5A06" w:rsidP="002B65A2">
      <w:pPr>
        <w:pStyle w:val="FootnoteText1"/>
        <w:rPr>
          <w:rFonts w:hint="cs"/>
        </w:rPr>
      </w:pPr>
      <w:r w:rsidRPr="002B65A2">
        <w:rPr>
          <w:rtl/>
        </w:rPr>
        <w:t>(</w:t>
      </w:r>
      <w:r w:rsidRPr="002B65A2">
        <w:rPr>
          <w:rStyle w:val="FootnoteReference"/>
          <w:vertAlign w:val="baseline"/>
        </w:rPr>
        <w:footnoteRef/>
      </w:r>
      <w:r>
        <w:rPr>
          <w:sz w:val="26"/>
          <w:rtl/>
        </w:rPr>
        <w:t>)</w:t>
      </w:r>
      <w:r>
        <w:rPr>
          <w:sz w:val="26"/>
          <w:rtl/>
        </w:rPr>
        <w:tab/>
      </w:r>
      <w:r w:rsidRPr="005B5A06">
        <w:rPr>
          <w:rtl/>
        </w:rPr>
        <w:t xml:space="preserve">انظر </w:t>
      </w:r>
      <w:r w:rsidRPr="005B5A06">
        <w:t>CAT/C/SR.1698</w:t>
      </w:r>
      <w:r w:rsidRPr="005B5A06">
        <w:rPr>
          <w:rtl/>
        </w:rPr>
        <w:t>، الفقرة 33.</w:t>
      </w:r>
      <w:r w:rsidRPr="002B65A2">
        <w:rPr>
          <w:rtl/>
        </w:rPr>
        <w:t xml:space="preserve"> </w:t>
      </w:r>
    </w:p>
  </w:footnote>
  <w:footnote w:id="47">
    <w:p w:rsidR="005B5A06" w:rsidRPr="002B65A2" w:rsidRDefault="005B5A06" w:rsidP="002B65A2">
      <w:pPr>
        <w:pStyle w:val="FootnoteText1"/>
        <w:rPr>
          <w:rFonts w:hint="cs"/>
        </w:rPr>
      </w:pPr>
      <w:r w:rsidRPr="002B65A2">
        <w:rPr>
          <w:rtl/>
        </w:rPr>
        <w:t>(</w:t>
      </w:r>
      <w:r w:rsidRPr="002B65A2">
        <w:rPr>
          <w:rStyle w:val="FootnoteReference"/>
          <w:vertAlign w:val="baseline"/>
        </w:rPr>
        <w:footnoteRef/>
      </w:r>
      <w:r>
        <w:rPr>
          <w:sz w:val="26"/>
          <w:rtl/>
        </w:rPr>
        <w:t>)</w:t>
      </w:r>
      <w:r>
        <w:rPr>
          <w:sz w:val="26"/>
          <w:rtl/>
        </w:rPr>
        <w:tab/>
      </w:r>
      <w:r w:rsidRPr="005B5A06">
        <w:rPr>
          <w:rtl/>
        </w:rPr>
        <w:t xml:space="preserve">انظر قضية </w:t>
      </w:r>
      <w:r w:rsidRPr="00D40E4D">
        <w:rPr>
          <w:i/>
          <w:iCs/>
          <w:rtl/>
        </w:rPr>
        <w:t xml:space="preserve">فالكون </w:t>
      </w:r>
      <w:proofErr w:type="spellStart"/>
      <w:r w:rsidRPr="00D40E4D">
        <w:rPr>
          <w:i/>
          <w:iCs/>
          <w:rtl/>
        </w:rPr>
        <w:t>ريوس</w:t>
      </w:r>
      <w:proofErr w:type="spellEnd"/>
      <w:r w:rsidRPr="00D40E4D">
        <w:rPr>
          <w:i/>
          <w:iCs/>
          <w:rtl/>
        </w:rPr>
        <w:t xml:space="preserve"> ضد كندا</w:t>
      </w:r>
      <w:r w:rsidRPr="005B5A06">
        <w:rPr>
          <w:rtl/>
        </w:rPr>
        <w:t xml:space="preserve"> (</w:t>
      </w:r>
      <w:r w:rsidRPr="005B5A06">
        <w:t>CAT/C/33/D/133/1999</w:t>
      </w:r>
      <w:r w:rsidRPr="005B5A06">
        <w:rPr>
          <w:rtl/>
        </w:rPr>
        <w:t>)، الفقرة 7</w:t>
      </w:r>
      <w:bookmarkStart w:id="0" w:name="_GoBack"/>
      <w:bookmarkEnd w:id="0"/>
      <w:r w:rsidRPr="005B5A06">
        <w:rPr>
          <w:rtl/>
        </w:rPr>
        <w:t>-3.</w:t>
      </w:r>
      <w:r w:rsidRPr="002B65A2">
        <w:rPr>
          <w:rtl/>
        </w:rPr>
        <w:t xml:space="preserve"> </w:t>
      </w:r>
    </w:p>
  </w:footnote>
  <w:footnote w:id="48">
    <w:p w:rsidR="005B5A06" w:rsidRPr="002B65A2" w:rsidRDefault="005B5A06" w:rsidP="00564A38">
      <w:pPr>
        <w:pStyle w:val="FootnoteText1"/>
        <w:rPr>
          <w:rFonts w:hint="cs"/>
        </w:rPr>
      </w:pPr>
      <w:r w:rsidRPr="002B65A2">
        <w:rPr>
          <w:rtl/>
        </w:rPr>
        <w:t>(</w:t>
      </w:r>
      <w:r w:rsidRPr="002B65A2">
        <w:rPr>
          <w:rStyle w:val="FootnoteReference"/>
          <w:vertAlign w:val="baseline"/>
        </w:rPr>
        <w:footnoteRef/>
      </w:r>
      <w:r>
        <w:rPr>
          <w:sz w:val="26"/>
          <w:rtl/>
        </w:rPr>
        <w:t>)</w:t>
      </w:r>
      <w:r>
        <w:rPr>
          <w:sz w:val="26"/>
          <w:rtl/>
        </w:rPr>
        <w:tab/>
      </w:r>
      <w:r w:rsidRPr="005B5A06">
        <w:rPr>
          <w:rtl/>
        </w:rPr>
        <w:t xml:space="preserve">انظر </w:t>
      </w:r>
      <w:r w:rsidRPr="00D40E4D">
        <w:rPr>
          <w:i/>
          <w:iCs/>
          <w:rtl/>
        </w:rPr>
        <w:t>ج. س. ضد كندا</w:t>
      </w:r>
      <w:r w:rsidRPr="005B5A06">
        <w:rPr>
          <w:rtl/>
        </w:rPr>
        <w:t xml:space="preserve"> (</w:t>
      </w:r>
      <w:r w:rsidRPr="005B5A06">
        <w:t>CAT/C/62/D/695/2015</w:t>
      </w:r>
      <w:r w:rsidRPr="005B5A06">
        <w:rPr>
          <w:rtl/>
        </w:rPr>
        <w:t xml:space="preserve">)، الفقرة 6-3؛ وقضية </w:t>
      </w:r>
      <w:r w:rsidRPr="00D40E4D">
        <w:rPr>
          <w:i/>
          <w:iCs/>
          <w:rtl/>
        </w:rPr>
        <w:t>و. ج. د. ضد كندا</w:t>
      </w:r>
      <w:r w:rsidRPr="005B5A06">
        <w:rPr>
          <w:rtl/>
        </w:rPr>
        <w:t xml:space="preserve"> (</w:t>
      </w:r>
      <w:r w:rsidRPr="005B5A06">
        <w:t>CAT/C/53/D/520/2012</w:t>
      </w:r>
      <w:r w:rsidRPr="005B5A06">
        <w:rPr>
          <w:rtl/>
        </w:rPr>
        <w:t>)، الفقرة ٧-٤.</w:t>
      </w:r>
      <w:r w:rsidR="00CD7C64">
        <w:rPr>
          <w:rtl/>
        </w:rPr>
        <w:t xml:space="preserve"> </w:t>
      </w:r>
    </w:p>
  </w:footnote>
  <w:footnote w:id="49">
    <w:p w:rsidR="005B5A06" w:rsidRPr="002B65A2" w:rsidRDefault="005B5A06" w:rsidP="005B5A06">
      <w:pPr>
        <w:pStyle w:val="FootnoteText1"/>
        <w:rPr>
          <w:rFonts w:hint="cs"/>
        </w:rPr>
      </w:pPr>
      <w:r w:rsidRPr="002B65A2">
        <w:rPr>
          <w:rtl/>
        </w:rPr>
        <w:t>(</w:t>
      </w:r>
      <w:r w:rsidRPr="002B65A2">
        <w:rPr>
          <w:rStyle w:val="FootnoteReference"/>
          <w:vertAlign w:val="baseline"/>
        </w:rPr>
        <w:footnoteRef/>
      </w:r>
      <w:r>
        <w:rPr>
          <w:sz w:val="26"/>
          <w:rtl/>
        </w:rPr>
        <w:t>)</w:t>
      </w:r>
      <w:r>
        <w:rPr>
          <w:sz w:val="26"/>
          <w:rtl/>
        </w:rPr>
        <w:tab/>
      </w:r>
      <w:r w:rsidRPr="005B5A06">
        <w:rPr>
          <w:rtl/>
        </w:rPr>
        <w:t xml:space="preserve">انظر: </w:t>
      </w:r>
      <w:r w:rsidRPr="00D40E4D">
        <w:rPr>
          <w:i/>
          <w:iCs/>
          <w:rtl/>
        </w:rPr>
        <w:t>أ. ي. ضد كندا</w:t>
      </w:r>
      <w:r w:rsidRPr="005B5A06">
        <w:rPr>
          <w:rtl/>
        </w:rPr>
        <w:t xml:space="preserve"> (</w:t>
      </w:r>
      <w:r w:rsidRPr="005B5A06">
        <w:t>CAT/C/43/D/307/2006/Rev.1</w:t>
      </w:r>
      <w:r>
        <w:rPr>
          <w:rFonts w:hint="cs"/>
          <w:rtl/>
        </w:rPr>
        <w:t>)</w:t>
      </w:r>
      <w:r w:rsidRPr="005B5A06">
        <w:rPr>
          <w:rtl/>
        </w:rPr>
        <w:t>، الفقرة 9-2</w:t>
      </w:r>
      <w:r>
        <w:rPr>
          <w:rFonts w:hint="cs"/>
          <w:rtl/>
        </w:rPr>
        <w:t>.</w:t>
      </w:r>
      <w:r w:rsidRPr="002B65A2">
        <w:rPr>
          <w:rtl/>
        </w:rPr>
        <w:t xml:space="preserve"> </w:t>
      </w:r>
    </w:p>
  </w:footnote>
  <w:footnote w:id="50">
    <w:p w:rsidR="005B5A06" w:rsidRPr="002B65A2" w:rsidRDefault="005B5A06" w:rsidP="002B65A2">
      <w:pPr>
        <w:pStyle w:val="FootnoteText1"/>
        <w:rPr>
          <w:rFonts w:hint="cs"/>
        </w:rPr>
      </w:pPr>
      <w:r w:rsidRPr="002B65A2">
        <w:rPr>
          <w:rtl/>
        </w:rPr>
        <w:t>(</w:t>
      </w:r>
      <w:r w:rsidRPr="002B65A2">
        <w:rPr>
          <w:rStyle w:val="FootnoteReference"/>
          <w:vertAlign w:val="baseline"/>
        </w:rPr>
        <w:footnoteRef/>
      </w:r>
      <w:r>
        <w:rPr>
          <w:sz w:val="26"/>
          <w:rtl/>
        </w:rPr>
        <w:t>)</w:t>
      </w:r>
      <w:r>
        <w:rPr>
          <w:sz w:val="26"/>
          <w:rtl/>
        </w:rPr>
        <w:tab/>
      </w:r>
      <w:r w:rsidRPr="005B5A06">
        <w:rPr>
          <w:rtl/>
        </w:rPr>
        <w:t>انظر التعليق العام رقم 4(2017) بشأن تنفيذ المادة 3 من الاتفاقية في سياق الفقرة 34 من المادة 22.</w:t>
      </w:r>
      <w:r w:rsidR="00CD7C64">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06" w:rsidRPr="00225206" w:rsidRDefault="005B5A06" w:rsidP="00225206">
    <w:pPr>
      <w:pStyle w:val="Header"/>
      <w:jc w:val="right"/>
    </w:pPr>
    <w:r w:rsidRPr="00225206">
      <w:t>CAT/C/65/D/784/2016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06" w:rsidRPr="00225206" w:rsidRDefault="005B5A06" w:rsidP="00225206">
    <w:pPr>
      <w:pStyle w:val="Header"/>
      <w:jc w:val="left"/>
    </w:pPr>
    <w:r w:rsidRPr="00225206">
      <w:t>CAT/C/65/D/784/2016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B50DA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A2BA1"/>
    <w:multiLevelType w:val="multilevel"/>
    <w:tmpl w:val="0BE837D2"/>
    <w:lvl w:ilvl="0">
      <w:start w:val="1"/>
      <w:numFmt w:val="decimal"/>
      <w:lvlText w:val="%1"/>
      <w:lvlJc w:val="left"/>
      <w:pPr>
        <w:ind w:left="555" w:hanging="555"/>
      </w:pPr>
      <w:rPr>
        <w:rFonts w:hint="default"/>
        <w:color w:val="auto"/>
      </w:rPr>
    </w:lvl>
    <w:lvl w:ilvl="1">
      <w:start w:val="1"/>
      <w:numFmt w:val="decimal"/>
      <w:lvlText w:val="%1.%2"/>
      <w:lvlJc w:val="left"/>
      <w:pPr>
        <w:ind w:left="1689" w:hanging="555"/>
      </w:pPr>
      <w:rPr>
        <w:rFonts w:hint="default"/>
        <w:color w:val="auto"/>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256" w:hanging="72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7884" w:hanging="108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512" w:hanging="1440"/>
      </w:pPr>
      <w:rPr>
        <w:rFonts w:hint="default"/>
        <w:color w:val="auto"/>
      </w:rPr>
    </w:lvl>
  </w:abstractNum>
  <w:abstractNum w:abstractNumId="3"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251FC"/>
    <w:multiLevelType w:val="hybridMultilevel"/>
    <w:tmpl w:val="5F2A4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E5517"/>
    <w:multiLevelType w:val="multilevel"/>
    <w:tmpl w:val="1498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7" w15:restartNumberingAfterBreak="0">
    <w:nsid w:val="27511B4C"/>
    <w:multiLevelType w:val="multilevel"/>
    <w:tmpl w:val="C552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5B184A"/>
    <w:multiLevelType w:val="multilevel"/>
    <w:tmpl w:val="0F045DDE"/>
    <w:lvl w:ilvl="0">
      <w:start w:val="2"/>
      <w:numFmt w:val="decimal"/>
      <w:lvlText w:val="%1"/>
      <w:lvlJc w:val="left"/>
      <w:pPr>
        <w:ind w:left="360" w:hanging="360"/>
      </w:pPr>
      <w:rPr>
        <w:rFonts w:hint="default"/>
      </w:rPr>
    </w:lvl>
    <w:lvl w:ilvl="1">
      <w:start w:val="5"/>
      <w:numFmt w:val="decimal"/>
      <w:lvlText w:val="%1.%2"/>
      <w:lvlJc w:val="left"/>
      <w:pPr>
        <w:ind w:left="1495"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907AFA"/>
    <w:multiLevelType w:val="hybridMultilevel"/>
    <w:tmpl w:val="990E4A9E"/>
    <w:lvl w:ilvl="0" w:tplc="7CF2E2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326239"/>
    <w:multiLevelType w:val="multilevel"/>
    <w:tmpl w:val="FE1E637C"/>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3" w15:restartNumberingAfterBreak="0">
    <w:nsid w:val="45CC75DA"/>
    <w:multiLevelType w:val="hybridMultilevel"/>
    <w:tmpl w:val="A2EEFC9A"/>
    <w:lvl w:ilvl="0" w:tplc="7D849662">
      <w:start w:val="7"/>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AB66F5"/>
    <w:multiLevelType w:val="multilevel"/>
    <w:tmpl w:val="54FA7AD0"/>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4BDB4B59"/>
    <w:multiLevelType w:val="multilevel"/>
    <w:tmpl w:val="C76857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C31C8D"/>
    <w:multiLevelType w:val="hybridMultilevel"/>
    <w:tmpl w:val="A6022C80"/>
    <w:lvl w:ilvl="0" w:tplc="2CE4842A">
      <w:start w:val="1"/>
      <w:numFmt w:val="decimal"/>
      <w:lvlText w:val="%1."/>
      <w:lvlJc w:val="left"/>
      <w:pPr>
        <w:ind w:left="930" w:hanging="57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8B26BDF"/>
    <w:multiLevelType w:val="multilevel"/>
    <w:tmpl w:val="54FA7AD0"/>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9" w15:restartNumberingAfterBreak="0">
    <w:nsid w:val="62A46B7D"/>
    <w:multiLevelType w:val="multilevel"/>
    <w:tmpl w:val="B6207718"/>
    <w:lvl w:ilvl="0">
      <w:start w:val="1"/>
      <w:numFmt w:val="decimal"/>
      <w:lvlText w:val="%1"/>
      <w:lvlJc w:val="left"/>
      <w:pPr>
        <w:ind w:left="560" w:hanging="560"/>
      </w:pPr>
      <w:rPr>
        <w:rFonts w:hint="default"/>
      </w:rPr>
    </w:lvl>
    <w:lvl w:ilvl="1">
      <w:start w:val="1"/>
      <w:numFmt w:val="decimal"/>
      <w:lvlText w:val="%1.%2"/>
      <w:lvlJc w:val="left"/>
      <w:pPr>
        <w:ind w:left="1694" w:hanging="5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FE4EEC"/>
    <w:multiLevelType w:val="multilevel"/>
    <w:tmpl w:val="F9BE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757B51F8"/>
    <w:multiLevelType w:val="multilevel"/>
    <w:tmpl w:val="AB14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5" w15:restartNumberingAfterBreak="0">
    <w:nsid w:val="7CF757F6"/>
    <w:multiLevelType w:val="multilevel"/>
    <w:tmpl w:val="8B5E2A5C"/>
    <w:lvl w:ilvl="0">
      <w:start w:val="2"/>
      <w:numFmt w:val="decimal"/>
      <w:lvlText w:val="%1"/>
      <w:lvlJc w:val="left"/>
      <w:pPr>
        <w:ind w:left="360" w:hanging="360"/>
      </w:pPr>
      <w:rPr>
        <w:rFonts w:hint="default"/>
      </w:rPr>
    </w:lvl>
    <w:lvl w:ilvl="1">
      <w:start w:val="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22"/>
  </w:num>
  <w:num w:numId="2">
    <w:abstractNumId w:val="14"/>
  </w:num>
  <w:num w:numId="3">
    <w:abstractNumId w:val="3"/>
  </w:num>
  <w:num w:numId="4">
    <w:abstractNumId w:val="12"/>
  </w:num>
  <w:num w:numId="5">
    <w:abstractNumId w:val="9"/>
  </w:num>
  <w:num w:numId="6">
    <w:abstractNumId w:val="6"/>
  </w:num>
  <w:num w:numId="7">
    <w:abstractNumId w:val="24"/>
  </w:num>
  <w:num w:numId="8">
    <w:abstractNumId w:val="3"/>
  </w:num>
  <w:num w:numId="9">
    <w:abstractNumId w:val="12"/>
  </w:num>
  <w:num w:numId="10">
    <w:abstractNumId w:val="6"/>
  </w:num>
  <w:num w:numId="11">
    <w:abstractNumId w:val="24"/>
  </w:num>
  <w:num w:numId="12">
    <w:abstractNumId w:val="1"/>
  </w:num>
  <w:num w:numId="13">
    <w:abstractNumId w:val="20"/>
  </w:num>
  <w:num w:numId="14">
    <w:abstractNumId w:val="0"/>
  </w:num>
  <w:num w:numId="15">
    <w:abstractNumId w:val="4"/>
  </w:num>
  <w:num w:numId="16">
    <w:abstractNumId w:val="18"/>
  </w:num>
  <w:num w:numId="17">
    <w:abstractNumId w:val="15"/>
  </w:num>
  <w:num w:numId="18">
    <w:abstractNumId w:val="19"/>
  </w:num>
  <w:num w:numId="19">
    <w:abstractNumId w:val="16"/>
  </w:num>
  <w:num w:numId="20">
    <w:abstractNumId w:val="25"/>
  </w:num>
  <w:num w:numId="21">
    <w:abstractNumId w:val="8"/>
  </w:num>
  <w:num w:numId="22">
    <w:abstractNumId w:val="10"/>
  </w:num>
  <w:num w:numId="23">
    <w:abstractNumId w:val="2"/>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5"/>
  </w:num>
  <w:num w:numId="27">
    <w:abstractNumId w:val="11"/>
  </w:num>
  <w:num w:numId="28">
    <w:abstractNumId w:val="13"/>
  </w:num>
  <w:num w:numId="29">
    <w:abstractNumId w:val="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720089"/>
    <w:rsid w:val="000076D5"/>
    <w:rsid w:val="00043663"/>
    <w:rsid w:val="000505CF"/>
    <w:rsid w:val="00093A3C"/>
    <w:rsid w:val="000A2113"/>
    <w:rsid w:val="000D701C"/>
    <w:rsid w:val="000E2A71"/>
    <w:rsid w:val="000E4D10"/>
    <w:rsid w:val="00111C80"/>
    <w:rsid w:val="00136019"/>
    <w:rsid w:val="00160263"/>
    <w:rsid w:val="00167825"/>
    <w:rsid w:val="00181F96"/>
    <w:rsid w:val="001A1371"/>
    <w:rsid w:val="001B346A"/>
    <w:rsid w:val="001B44D9"/>
    <w:rsid w:val="001D7A16"/>
    <w:rsid w:val="001E1CAD"/>
    <w:rsid w:val="001E290D"/>
    <w:rsid w:val="002144FA"/>
    <w:rsid w:val="00225206"/>
    <w:rsid w:val="0023469A"/>
    <w:rsid w:val="00243C8A"/>
    <w:rsid w:val="00267A0E"/>
    <w:rsid w:val="00281AD3"/>
    <w:rsid w:val="002901D9"/>
    <w:rsid w:val="002976C2"/>
    <w:rsid w:val="002B65A2"/>
    <w:rsid w:val="002E1CAE"/>
    <w:rsid w:val="002E6B7C"/>
    <w:rsid w:val="003260FF"/>
    <w:rsid w:val="00343D95"/>
    <w:rsid w:val="003451DC"/>
    <w:rsid w:val="0036005B"/>
    <w:rsid w:val="00374341"/>
    <w:rsid w:val="00384DA7"/>
    <w:rsid w:val="003D0F53"/>
    <w:rsid w:val="003D1062"/>
    <w:rsid w:val="003D5678"/>
    <w:rsid w:val="003E605E"/>
    <w:rsid w:val="003F03CB"/>
    <w:rsid w:val="004114AB"/>
    <w:rsid w:val="00420D7B"/>
    <w:rsid w:val="00450B21"/>
    <w:rsid w:val="00453B63"/>
    <w:rsid w:val="00455780"/>
    <w:rsid w:val="0049502A"/>
    <w:rsid w:val="004956DC"/>
    <w:rsid w:val="004B0A1C"/>
    <w:rsid w:val="004D298E"/>
    <w:rsid w:val="004E60CE"/>
    <w:rsid w:val="0054472E"/>
    <w:rsid w:val="0055432F"/>
    <w:rsid w:val="00564A38"/>
    <w:rsid w:val="005662A9"/>
    <w:rsid w:val="005827D4"/>
    <w:rsid w:val="0059622A"/>
    <w:rsid w:val="005A3015"/>
    <w:rsid w:val="005B5A06"/>
    <w:rsid w:val="005C5878"/>
    <w:rsid w:val="005C7CEA"/>
    <w:rsid w:val="005D3C0B"/>
    <w:rsid w:val="005E5217"/>
    <w:rsid w:val="005F0FA4"/>
    <w:rsid w:val="005F30EE"/>
    <w:rsid w:val="005F6DB1"/>
    <w:rsid w:val="0060473A"/>
    <w:rsid w:val="00611B5A"/>
    <w:rsid w:val="00656392"/>
    <w:rsid w:val="006646E9"/>
    <w:rsid w:val="0068781D"/>
    <w:rsid w:val="006959B0"/>
    <w:rsid w:val="006B3E27"/>
    <w:rsid w:val="006B6507"/>
    <w:rsid w:val="006C104C"/>
    <w:rsid w:val="00714708"/>
    <w:rsid w:val="00720089"/>
    <w:rsid w:val="00733704"/>
    <w:rsid w:val="00742B7A"/>
    <w:rsid w:val="00761849"/>
    <w:rsid w:val="00771400"/>
    <w:rsid w:val="0078071A"/>
    <w:rsid w:val="00795FE2"/>
    <w:rsid w:val="007C55C2"/>
    <w:rsid w:val="00817373"/>
    <w:rsid w:val="00825C77"/>
    <w:rsid w:val="00852A9A"/>
    <w:rsid w:val="00893A8A"/>
    <w:rsid w:val="008B7865"/>
    <w:rsid w:val="008D6513"/>
    <w:rsid w:val="008F3F0F"/>
    <w:rsid w:val="008F44DE"/>
    <w:rsid w:val="008F49E1"/>
    <w:rsid w:val="0090370F"/>
    <w:rsid w:val="009269D2"/>
    <w:rsid w:val="00942135"/>
    <w:rsid w:val="009521B0"/>
    <w:rsid w:val="009535E8"/>
    <w:rsid w:val="00981C12"/>
    <w:rsid w:val="009A7E9F"/>
    <w:rsid w:val="009E5018"/>
    <w:rsid w:val="00A12B37"/>
    <w:rsid w:val="00A34EA8"/>
    <w:rsid w:val="00A41DFF"/>
    <w:rsid w:val="00A44C89"/>
    <w:rsid w:val="00A67AF5"/>
    <w:rsid w:val="00A94CA3"/>
    <w:rsid w:val="00AB6758"/>
    <w:rsid w:val="00AF4A56"/>
    <w:rsid w:val="00B13763"/>
    <w:rsid w:val="00B477A4"/>
    <w:rsid w:val="00B54045"/>
    <w:rsid w:val="00BD510B"/>
    <w:rsid w:val="00C438D7"/>
    <w:rsid w:val="00C81B50"/>
    <w:rsid w:val="00C87F1F"/>
    <w:rsid w:val="00CA4839"/>
    <w:rsid w:val="00CD1801"/>
    <w:rsid w:val="00CD47B7"/>
    <w:rsid w:val="00CD7C64"/>
    <w:rsid w:val="00D10EF1"/>
    <w:rsid w:val="00D40E4D"/>
    <w:rsid w:val="00D42810"/>
    <w:rsid w:val="00D914A7"/>
    <w:rsid w:val="00DC1D29"/>
    <w:rsid w:val="00DD13C3"/>
    <w:rsid w:val="00DD596E"/>
    <w:rsid w:val="00DD621E"/>
    <w:rsid w:val="00DF0575"/>
    <w:rsid w:val="00E401AA"/>
    <w:rsid w:val="00E70E04"/>
    <w:rsid w:val="00E76499"/>
    <w:rsid w:val="00EA25FF"/>
    <w:rsid w:val="00EC05A7"/>
    <w:rsid w:val="00EC4B6B"/>
    <w:rsid w:val="00EF1EE5"/>
    <w:rsid w:val="00F763B4"/>
    <w:rsid w:val="00F900C3"/>
    <w:rsid w:val="00F93281"/>
    <w:rsid w:val="00FA0D4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088B40"/>
  <w15:docId w15:val="{1C00E20D-AD9C-4DD3-B342-B3116802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paragraph" w:customStyle="1" w:styleId="SingleTxtG">
    <w:name w:val="_ Single Txt_G"/>
    <w:basedOn w:val="Normal"/>
    <w:link w:val="SingleTxtGChar"/>
    <w:qFormat/>
    <w:rsid w:val="00225206"/>
    <w:pPr>
      <w:suppressAutoHyphens/>
      <w:bidi w:val="0"/>
      <w:spacing w:after="120"/>
      <w:ind w:left="1134" w:right="1134"/>
      <w:jc w:val="both"/>
    </w:pPr>
    <w:rPr>
      <w:rFonts w:eastAsia="MS Mincho"/>
      <w:lang w:val="en-GB"/>
    </w:rPr>
  </w:style>
  <w:style w:type="paragraph" w:customStyle="1" w:styleId="HMG">
    <w:name w:val="_ H __M_G"/>
    <w:basedOn w:val="Normal"/>
    <w:next w:val="Normal"/>
    <w:rsid w:val="00225206"/>
    <w:pPr>
      <w:keepNext/>
      <w:keepLines/>
      <w:tabs>
        <w:tab w:val="right" w:pos="851"/>
      </w:tabs>
      <w:suppressAutoHyphens/>
      <w:bidi w:val="0"/>
      <w:spacing w:before="240" w:after="240" w:line="360" w:lineRule="exact"/>
      <w:ind w:left="1134" w:right="1134" w:hanging="1134"/>
      <w:jc w:val="left"/>
    </w:pPr>
    <w:rPr>
      <w:rFonts w:eastAsia="MS Mincho" w:hint="cs"/>
      <w:b/>
      <w:sz w:val="34"/>
      <w:lang w:val="en-GB"/>
    </w:rPr>
  </w:style>
  <w:style w:type="paragraph" w:customStyle="1" w:styleId="HChG">
    <w:name w:val="_ H _Ch_G"/>
    <w:basedOn w:val="Normal"/>
    <w:next w:val="Normal"/>
    <w:qFormat/>
    <w:rsid w:val="00225206"/>
    <w:pPr>
      <w:keepNext/>
      <w:keepLines/>
      <w:tabs>
        <w:tab w:val="right" w:pos="851"/>
      </w:tabs>
      <w:suppressAutoHyphens/>
      <w:bidi w:val="0"/>
      <w:spacing w:before="360" w:after="240" w:line="300" w:lineRule="exact"/>
      <w:ind w:left="1134" w:right="1134" w:hanging="1134"/>
      <w:jc w:val="left"/>
    </w:pPr>
    <w:rPr>
      <w:rFonts w:eastAsia="MS Mincho" w:hint="cs"/>
      <w:b/>
      <w:sz w:val="28"/>
      <w:lang w:val="en-GB"/>
    </w:rPr>
  </w:style>
  <w:style w:type="character" w:styleId="Hyperlink">
    <w:name w:val="Hyperlink"/>
    <w:semiHidden/>
    <w:rsid w:val="00225206"/>
    <w:rPr>
      <w:color w:val="auto"/>
      <w:u w:val="none"/>
    </w:rPr>
  </w:style>
  <w:style w:type="character" w:styleId="FollowedHyperlink">
    <w:name w:val="FollowedHyperlink"/>
    <w:semiHidden/>
    <w:rsid w:val="00225206"/>
    <w:rPr>
      <w:color w:val="auto"/>
      <w:u w:val="none"/>
    </w:rPr>
  </w:style>
  <w:style w:type="paragraph" w:customStyle="1" w:styleId="SMG">
    <w:name w:val="__S_M_G"/>
    <w:basedOn w:val="Normal"/>
    <w:next w:val="Normal"/>
    <w:rsid w:val="00225206"/>
    <w:pPr>
      <w:keepNext/>
      <w:keepLines/>
      <w:suppressAutoHyphens/>
      <w:bidi w:val="0"/>
      <w:spacing w:before="240" w:after="240" w:line="420" w:lineRule="exact"/>
      <w:ind w:left="1134" w:right="1134"/>
      <w:jc w:val="left"/>
    </w:pPr>
    <w:rPr>
      <w:rFonts w:eastAsia="MS Mincho" w:hint="cs"/>
      <w:b/>
      <w:sz w:val="40"/>
      <w:lang w:val="en-GB"/>
    </w:rPr>
  </w:style>
  <w:style w:type="paragraph" w:customStyle="1" w:styleId="SLG">
    <w:name w:val="__S_L_G"/>
    <w:basedOn w:val="Normal"/>
    <w:next w:val="Normal"/>
    <w:rsid w:val="00225206"/>
    <w:pPr>
      <w:keepNext/>
      <w:keepLines/>
      <w:suppressAutoHyphens/>
      <w:bidi w:val="0"/>
      <w:spacing w:before="240" w:after="240" w:line="580" w:lineRule="exact"/>
      <w:ind w:left="1134" w:right="1134"/>
      <w:jc w:val="left"/>
    </w:pPr>
    <w:rPr>
      <w:rFonts w:eastAsia="MS Mincho" w:hint="cs"/>
      <w:b/>
      <w:sz w:val="56"/>
      <w:lang w:val="en-GB"/>
    </w:rPr>
  </w:style>
  <w:style w:type="paragraph" w:customStyle="1" w:styleId="SSG">
    <w:name w:val="__S_S_G"/>
    <w:basedOn w:val="Normal"/>
    <w:next w:val="Normal"/>
    <w:rsid w:val="00225206"/>
    <w:pPr>
      <w:keepNext/>
      <w:keepLines/>
      <w:suppressAutoHyphens/>
      <w:bidi w:val="0"/>
      <w:spacing w:before="240" w:after="240" w:line="300" w:lineRule="exact"/>
      <w:ind w:left="1134" w:right="1134"/>
      <w:jc w:val="left"/>
    </w:pPr>
    <w:rPr>
      <w:rFonts w:eastAsia="MS Mincho" w:hint="cs"/>
      <w:b/>
      <w:sz w:val="28"/>
      <w:lang w:val="en-GB"/>
    </w:rPr>
  </w:style>
  <w:style w:type="paragraph" w:customStyle="1" w:styleId="XLargeG">
    <w:name w:val="__XLarge_G"/>
    <w:basedOn w:val="Normal"/>
    <w:next w:val="Normal"/>
    <w:rsid w:val="00225206"/>
    <w:pPr>
      <w:keepNext/>
      <w:keepLines/>
      <w:suppressAutoHyphens/>
      <w:bidi w:val="0"/>
      <w:spacing w:before="240" w:after="240" w:line="420" w:lineRule="exact"/>
      <w:ind w:left="1134" w:right="1134"/>
      <w:jc w:val="left"/>
    </w:pPr>
    <w:rPr>
      <w:rFonts w:eastAsia="MS Mincho" w:hint="cs"/>
      <w:b/>
      <w:sz w:val="40"/>
      <w:lang w:val="en-GB"/>
    </w:rPr>
  </w:style>
  <w:style w:type="paragraph" w:customStyle="1" w:styleId="Bullet1G">
    <w:name w:val="_Bullet 1_G"/>
    <w:basedOn w:val="Normal"/>
    <w:rsid w:val="00225206"/>
    <w:pPr>
      <w:numPr>
        <w:numId w:val="12"/>
      </w:numPr>
      <w:suppressAutoHyphens/>
      <w:bidi w:val="0"/>
      <w:spacing w:after="120"/>
      <w:ind w:right="1134"/>
      <w:jc w:val="both"/>
    </w:pPr>
    <w:rPr>
      <w:rFonts w:eastAsia="MS Mincho" w:hint="cs"/>
      <w:lang w:val="en-GB"/>
    </w:rPr>
  </w:style>
  <w:style w:type="paragraph" w:customStyle="1" w:styleId="Bullet2G">
    <w:name w:val="_Bullet 2_G"/>
    <w:basedOn w:val="Normal"/>
    <w:rsid w:val="00225206"/>
    <w:pPr>
      <w:numPr>
        <w:numId w:val="13"/>
      </w:numPr>
      <w:suppressAutoHyphens/>
      <w:bidi w:val="0"/>
      <w:spacing w:after="120"/>
      <w:ind w:right="1134"/>
      <w:jc w:val="both"/>
    </w:pPr>
    <w:rPr>
      <w:rFonts w:eastAsia="MS Mincho" w:hint="cs"/>
      <w:lang w:val="en-GB"/>
    </w:rPr>
  </w:style>
  <w:style w:type="paragraph" w:customStyle="1" w:styleId="H1G">
    <w:name w:val="_ H_1_G"/>
    <w:basedOn w:val="Normal"/>
    <w:next w:val="Normal"/>
    <w:rsid w:val="00225206"/>
    <w:pPr>
      <w:keepNext/>
      <w:keepLines/>
      <w:tabs>
        <w:tab w:val="right" w:pos="851"/>
      </w:tabs>
      <w:suppressAutoHyphens/>
      <w:bidi w:val="0"/>
      <w:spacing w:before="360" w:after="240" w:line="270" w:lineRule="exact"/>
      <w:ind w:left="1134" w:right="1134" w:hanging="1134"/>
      <w:jc w:val="left"/>
    </w:pPr>
    <w:rPr>
      <w:rFonts w:eastAsia="MS Mincho" w:hint="cs"/>
      <w:b/>
      <w:sz w:val="24"/>
      <w:lang w:val="en-GB"/>
    </w:rPr>
  </w:style>
  <w:style w:type="paragraph" w:customStyle="1" w:styleId="H23G">
    <w:name w:val="_ H_2/3_G"/>
    <w:basedOn w:val="Normal"/>
    <w:next w:val="Normal"/>
    <w:rsid w:val="00225206"/>
    <w:pPr>
      <w:keepNext/>
      <w:keepLines/>
      <w:tabs>
        <w:tab w:val="right" w:pos="851"/>
      </w:tabs>
      <w:suppressAutoHyphens/>
      <w:bidi w:val="0"/>
      <w:spacing w:before="240" w:after="120" w:line="240" w:lineRule="exact"/>
      <w:ind w:left="1134" w:right="1134" w:hanging="1134"/>
      <w:jc w:val="left"/>
    </w:pPr>
    <w:rPr>
      <w:rFonts w:eastAsia="MS Mincho" w:hint="cs"/>
      <w:b/>
      <w:lang w:val="en-GB"/>
    </w:rPr>
  </w:style>
  <w:style w:type="paragraph" w:customStyle="1" w:styleId="H4G">
    <w:name w:val="_ H_4_G"/>
    <w:basedOn w:val="Normal"/>
    <w:next w:val="Normal"/>
    <w:rsid w:val="00225206"/>
    <w:pPr>
      <w:keepNext/>
      <w:keepLines/>
      <w:tabs>
        <w:tab w:val="right" w:pos="851"/>
      </w:tabs>
      <w:suppressAutoHyphens/>
      <w:bidi w:val="0"/>
      <w:spacing w:before="240" w:after="120" w:line="240" w:lineRule="exact"/>
      <w:ind w:left="1134" w:right="1134" w:hanging="1134"/>
      <w:jc w:val="left"/>
    </w:pPr>
    <w:rPr>
      <w:rFonts w:eastAsia="MS Mincho" w:hint="cs"/>
      <w:i/>
      <w:lang w:val="en-GB"/>
    </w:rPr>
  </w:style>
  <w:style w:type="paragraph" w:customStyle="1" w:styleId="H56G">
    <w:name w:val="_ H_5/6_G"/>
    <w:basedOn w:val="Normal"/>
    <w:next w:val="Normal"/>
    <w:rsid w:val="00225206"/>
    <w:pPr>
      <w:keepNext/>
      <w:keepLines/>
      <w:tabs>
        <w:tab w:val="right" w:pos="851"/>
      </w:tabs>
      <w:suppressAutoHyphens/>
      <w:bidi w:val="0"/>
      <w:spacing w:before="240" w:after="120" w:line="240" w:lineRule="exact"/>
      <w:ind w:left="1134" w:right="1134" w:hanging="1134"/>
      <w:jc w:val="left"/>
    </w:pPr>
    <w:rPr>
      <w:rFonts w:eastAsia="MS Mincho" w:hint="cs"/>
      <w:lang w:val="en-GB"/>
    </w:rPr>
  </w:style>
  <w:style w:type="character" w:customStyle="1" w:styleId="SingleTxtGChar">
    <w:name w:val="_ Single Txt_G Char"/>
    <w:link w:val="SingleTxtG"/>
    <w:rsid w:val="00225206"/>
    <w:rPr>
      <w:rFonts w:ascii="Times New Roman" w:eastAsia="MS Mincho" w:hAnsi="Times New Roman" w:cs="Traditional Arabic"/>
      <w:sz w:val="20"/>
      <w:szCs w:val="30"/>
      <w:lang w:val="en-GB"/>
    </w:rPr>
  </w:style>
  <w:style w:type="character" w:styleId="CommentReference">
    <w:name w:val="annotation reference"/>
    <w:rsid w:val="00225206"/>
    <w:rPr>
      <w:sz w:val="16"/>
      <w:szCs w:val="16"/>
    </w:rPr>
  </w:style>
  <w:style w:type="paragraph" w:styleId="CommentText">
    <w:name w:val="annotation text"/>
    <w:basedOn w:val="Normal"/>
    <w:link w:val="CommentTextChar"/>
    <w:rsid w:val="00225206"/>
    <w:pPr>
      <w:suppressAutoHyphens/>
      <w:bidi w:val="0"/>
      <w:jc w:val="left"/>
    </w:pPr>
    <w:rPr>
      <w:rFonts w:eastAsia="MS Mincho" w:hint="cs"/>
      <w:lang w:val="en-GB"/>
    </w:rPr>
  </w:style>
  <w:style w:type="character" w:customStyle="1" w:styleId="CommentTextChar">
    <w:name w:val="Comment Text Char"/>
    <w:basedOn w:val="DefaultParagraphFont"/>
    <w:link w:val="CommentText"/>
    <w:rsid w:val="00225206"/>
    <w:rPr>
      <w:rFonts w:ascii="Times New Roman" w:eastAsia="MS Mincho" w:hAnsi="Times New Roman" w:cs="Traditional Arabic"/>
      <w:sz w:val="20"/>
      <w:szCs w:val="30"/>
      <w:lang w:val="en-GB"/>
    </w:rPr>
  </w:style>
  <w:style w:type="paragraph" w:styleId="CommentSubject">
    <w:name w:val="annotation subject"/>
    <w:basedOn w:val="CommentText"/>
    <w:next w:val="CommentText"/>
    <w:link w:val="CommentSubjectChar"/>
    <w:rsid w:val="00225206"/>
    <w:rPr>
      <w:b/>
      <w:bCs/>
    </w:rPr>
  </w:style>
  <w:style w:type="character" w:customStyle="1" w:styleId="CommentSubjectChar">
    <w:name w:val="Comment Subject Char"/>
    <w:basedOn w:val="CommentTextChar"/>
    <w:link w:val="CommentSubject"/>
    <w:rsid w:val="00225206"/>
    <w:rPr>
      <w:rFonts w:ascii="Times New Roman" w:eastAsia="MS Mincho" w:hAnsi="Times New Roman" w:cs="Traditional Arabic"/>
      <w:b/>
      <w:bCs/>
      <w:sz w:val="20"/>
      <w:szCs w:val="30"/>
      <w:lang w:val="en-GB"/>
    </w:rPr>
  </w:style>
  <w:style w:type="paragraph" w:customStyle="1" w:styleId="ColorfulShading-Accent11">
    <w:name w:val="Colorful Shading - Accent 11"/>
    <w:hidden/>
    <w:uiPriority w:val="71"/>
    <w:semiHidden/>
    <w:rsid w:val="00225206"/>
    <w:pPr>
      <w:spacing w:after="0" w:line="240" w:lineRule="auto"/>
    </w:pPr>
    <w:rPr>
      <w:rFonts w:ascii="Times New Roman" w:eastAsia="MS Mincho" w:hAnsi="Times New Roman" w:cs="Times New Roman"/>
      <w:sz w:val="20"/>
      <w:szCs w:val="20"/>
      <w:lang w:val="en-GB"/>
    </w:rPr>
  </w:style>
  <w:style w:type="paragraph" w:customStyle="1" w:styleId="ColorfulList-Accent11">
    <w:name w:val="Colorful List - Accent 11"/>
    <w:basedOn w:val="Normal"/>
    <w:uiPriority w:val="34"/>
    <w:qFormat/>
    <w:rsid w:val="00225206"/>
    <w:pPr>
      <w:suppressAutoHyphens/>
      <w:bidi w:val="0"/>
      <w:ind w:left="720"/>
      <w:contextualSpacing/>
      <w:jc w:val="left"/>
    </w:pPr>
    <w:rPr>
      <w:rFonts w:eastAsia="MS Mincho" w:hint="cs"/>
      <w:lang w:val="en-GB"/>
    </w:rPr>
  </w:style>
  <w:style w:type="paragraph" w:customStyle="1" w:styleId="MediumGrid21">
    <w:name w:val="Medium Grid 21"/>
    <w:uiPriority w:val="1"/>
    <w:qFormat/>
    <w:rsid w:val="00225206"/>
    <w:pPr>
      <w:spacing w:after="0" w:line="240" w:lineRule="auto"/>
    </w:pPr>
    <w:rPr>
      <w:rFonts w:ascii="Calibri" w:eastAsia="Calibri" w:hAnsi="Calibri" w:cs="Times New Roman"/>
      <w:lang w:val="en-GB"/>
    </w:rPr>
  </w:style>
  <w:style w:type="paragraph" w:styleId="Revision">
    <w:name w:val="Revision"/>
    <w:hidden/>
    <w:uiPriority w:val="99"/>
    <w:unhideWhenUsed/>
    <w:rsid w:val="00225206"/>
    <w:pPr>
      <w:spacing w:after="0" w:line="240" w:lineRule="auto"/>
    </w:pPr>
    <w:rPr>
      <w:rFonts w:ascii="Times New Roman" w:eastAsia="MS Mincho" w:hAnsi="Times New Roman" w:cs="Times New Roman"/>
      <w:sz w:val="20"/>
      <w:szCs w:val="20"/>
      <w:lang w:val="en-GB"/>
    </w:rPr>
  </w:style>
  <w:style w:type="character" w:styleId="LineNumber">
    <w:name w:val="line number"/>
    <w:semiHidden/>
    <w:unhideWhenUsed/>
    <w:rsid w:val="00225206"/>
  </w:style>
  <w:style w:type="paragraph" w:customStyle="1" w:styleId="Default">
    <w:name w:val="Default"/>
    <w:rsid w:val="00225206"/>
    <w:pPr>
      <w:autoSpaceDE w:val="0"/>
      <w:autoSpaceDN w:val="0"/>
      <w:adjustRightInd w:val="0"/>
      <w:spacing w:after="0" w:line="240" w:lineRule="auto"/>
    </w:pPr>
    <w:rPr>
      <w:rFonts w:ascii="Times New Roman" w:hAnsi="Times New Roman" w:cs="Times New Roman"/>
      <w:color w:val="000000"/>
      <w:sz w:val="24"/>
      <w:szCs w:val="24"/>
      <w:lang w:val="en-GB" w:eastAsia="en-GB"/>
    </w:rPr>
  </w:style>
  <w:style w:type="paragraph" w:styleId="NoSpacing">
    <w:name w:val="No Spacing"/>
    <w:uiPriority w:val="1"/>
    <w:qFormat/>
    <w:rsid w:val="00225206"/>
    <w:pPr>
      <w:spacing w:after="0" w:line="240" w:lineRule="auto"/>
    </w:pPr>
    <w:rPr>
      <w:rFonts w:ascii="Calibri" w:eastAsia="Calibri" w:hAnsi="Calibri" w:cs="Times New Roman"/>
      <w:lang w:val="en-GB"/>
    </w:rPr>
  </w:style>
  <w:style w:type="paragraph" w:styleId="NormalWeb">
    <w:name w:val="Normal (Web)"/>
    <w:basedOn w:val="Normal"/>
    <w:uiPriority w:val="99"/>
    <w:semiHidden/>
    <w:unhideWhenUsed/>
    <w:rsid w:val="00225206"/>
    <w:pPr>
      <w:bidi w:val="0"/>
      <w:spacing w:before="100" w:beforeAutospacing="1" w:after="100" w:afterAutospacing="1" w:line="240" w:lineRule="auto"/>
      <w:jc w:val="left"/>
    </w:pPr>
    <w:rPr>
      <w:rFonts w:hint="cs"/>
      <w:sz w:val="24"/>
      <w:szCs w:val="24"/>
      <w:lang w:val="en-GB" w:eastAsia="en-GB"/>
    </w:rPr>
  </w:style>
  <w:style w:type="paragraph" w:customStyle="1" w:styleId="xsingletxtg">
    <w:name w:val="x_singletxtg"/>
    <w:basedOn w:val="Normal"/>
    <w:rsid w:val="00225206"/>
    <w:pPr>
      <w:bidi w:val="0"/>
      <w:spacing w:before="100" w:beforeAutospacing="1" w:after="100" w:afterAutospacing="1" w:line="240" w:lineRule="auto"/>
      <w:jc w:val="left"/>
    </w:pPr>
    <w:rPr>
      <w:rFonts w:hint="cs"/>
      <w:sz w:val="24"/>
      <w:szCs w:val="24"/>
      <w:lang w:val="en-GB" w:eastAsia="en-GB"/>
    </w:rPr>
  </w:style>
  <w:style w:type="character" w:customStyle="1" w:styleId="xmsofootnotereference">
    <w:name w:val="x_msofootnotereference"/>
    <w:basedOn w:val="DefaultParagraphFont"/>
    <w:rsid w:val="00225206"/>
  </w:style>
  <w:style w:type="paragraph" w:customStyle="1" w:styleId="xmsofootnotetext">
    <w:name w:val="x_msofootnotetext"/>
    <w:basedOn w:val="Normal"/>
    <w:rsid w:val="00225206"/>
    <w:pPr>
      <w:bidi w:val="0"/>
      <w:spacing w:before="100" w:beforeAutospacing="1" w:after="100" w:afterAutospacing="1" w:line="240" w:lineRule="auto"/>
      <w:jc w:val="left"/>
    </w:pPr>
    <w:rPr>
      <w:rFonts w:hint="cs"/>
      <w:sz w:val="24"/>
      <w:szCs w:val="24"/>
      <w:lang w:val="en-GB" w:eastAsia="en-GB"/>
    </w:rPr>
  </w:style>
  <w:style w:type="paragraph" w:customStyle="1" w:styleId="marginalnote">
    <w:name w:val="marginalnote"/>
    <w:basedOn w:val="Normal"/>
    <w:rsid w:val="00225206"/>
    <w:pPr>
      <w:bidi w:val="0"/>
      <w:spacing w:before="100" w:beforeAutospacing="1" w:after="100" w:afterAutospacing="1" w:line="240" w:lineRule="auto"/>
      <w:jc w:val="left"/>
    </w:pPr>
    <w:rPr>
      <w:rFonts w:hint="cs"/>
      <w:sz w:val="24"/>
      <w:szCs w:val="24"/>
      <w:lang w:eastAsia="zh-CN"/>
    </w:rPr>
  </w:style>
  <w:style w:type="paragraph" w:customStyle="1" w:styleId="section">
    <w:name w:val="section"/>
    <w:basedOn w:val="Normal"/>
    <w:rsid w:val="00225206"/>
    <w:pPr>
      <w:bidi w:val="0"/>
      <w:spacing w:before="100" w:beforeAutospacing="1" w:after="100" w:afterAutospacing="1" w:line="240" w:lineRule="auto"/>
      <w:jc w:val="left"/>
    </w:pPr>
    <w:rPr>
      <w:rFonts w:hint="cs"/>
      <w:sz w:val="24"/>
      <w:szCs w:val="24"/>
      <w:lang w:eastAsia="zh-CN"/>
    </w:rPr>
  </w:style>
  <w:style w:type="character" w:customStyle="1" w:styleId="sectionlabel">
    <w:name w:val="sectionlabel"/>
    <w:basedOn w:val="DefaultParagraphFont"/>
    <w:rsid w:val="00225206"/>
  </w:style>
  <w:style w:type="paragraph" w:customStyle="1" w:styleId="paragraph">
    <w:name w:val="paragraph"/>
    <w:basedOn w:val="Normal"/>
    <w:rsid w:val="00225206"/>
    <w:pPr>
      <w:bidi w:val="0"/>
      <w:spacing w:before="100" w:beforeAutospacing="1" w:after="100" w:afterAutospacing="1" w:line="240" w:lineRule="auto"/>
      <w:jc w:val="left"/>
    </w:pPr>
    <w:rPr>
      <w:rFonts w:hint="cs"/>
      <w:sz w:val="24"/>
      <w:szCs w:val="24"/>
      <w:lang w:eastAsia="zh-CN"/>
    </w:rPr>
  </w:style>
  <w:style w:type="character" w:customStyle="1" w:styleId="lawlabel">
    <w:name w:val="lawlabel"/>
    <w:basedOn w:val="DefaultParagraphFont"/>
    <w:rsid w:val="00225206"/>
  </w:style>
  <w:style w:type="paragraph" w:customStyle="1" w:styleId="english">
    <w:name w:val="english"/>
    <w:basedOn w:val="Normal"/>
    <w:rsid w:val="00225206"/>
    <w:pPr>
      <w:bidi w:val="0"/>
      <w:spacing w:before="100" w:beforeAutospacing="1" w:after="100" w:afterAutospacing="1" w:line="240" w:lineRule="auto"/>
      <w:jc w:val="left"/>
    </w:pPr>
    <w:rPr>
      <w:rFonts w:hint="cs"/>
      <w:sz w:val="24"/>
      <w:szCs w:val="24"/>
      <w:lang w:eastAsia="zh-CN"/>
    </w:rPr>
  </w:style>
  <w:style w:type="character" w:customStyle="1" w:styleId="en">
    <w:name w:val="en"/>
    <w:basedOn w:val="DefaultParagraphFont"/>
    <w:rsid w:val="00225206"/>
  </w:style>
  <w:style w:type="character" w:customStyle="1" w:styleId="termsource">
    <w:name w:val="termsource"/>
    <w:basedOn w:val="DefaultParagraphFont"/>
    <w:rsid w:val="00225206"/>
  </w:style>
  <w:style w:type="character" w:customStyle="1" w:styleId="UnresolvedMention1">
    <w:name w:val="Unresolved Mention1"/>
    <w:basedOn w:val="DefaultParagraphFont"/>
    <w:uiPriority w:val="99"/>
    <w:semiHidden/>
    <w:unhideWhenUsed/>
    <w:rsid w:val="00225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gallica.bnf.fr/ark:/12148/bpt6k110193z" TargetMode="External"/><Relationship Id="rId1" Type="http://schemas.openxmlformats.org/officeDocument/2006/relationships/hyperlink" Target="https://www.canada.ca/fr/immigration-refugies-citoyennete/organisation/rapports-statistiques/evaluations/programme-examen-risques-avant-renvoi/era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3ABB8-978F-4BAC-9636-98971D1F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13</Pages>
  <Words>3884</Words>
  <Characters>22145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CAT/C/65/D/784/2016</vt:lpstr>
    </vt:vector>
  </TitlesOfParts>
  <Company>DCM</Company>
  <LinksUpToDate>false</LinksUpToDate>
  <CharactersWithSpaces>25978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CAT/C/65/D/784/2016</dc:title>
  <dc:subject>GE.1905767</dc:subject>
  <dc:creator>Gamal MAHMOUD-MAB</dc:creator>
  <cp:keywords>ODS No.1910034</cp:keywords>
  <dc:description>Distr.: General_x000d_
5 April 2019_x000d_
Original: English</dc:description>
  <cp:lastModifiedBy>Gamal Mohamed Abdelhamid Mahmoud</cp:lastModifiedBy>
  <cp:revision>2</cp:revision>
  <cp:lastPrinted>2019-05-03T09:33:00Z</cp:lastPrinted>
  <dcterms:created xsi:type="dcterms:W3CDTF">2019-05-03T10:52:00Z</dcterms:created>
  <dcterms:modified xsi:type="dcterms:W3CDTF">2019-05-03T10:52:00Z</dcterms:modified>
  <cp:category>Final</cp:category>
</cp:coreProperties>
</file>