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215DF5" w:rsidP="00215DF5">
            <w:pPr>
              <w:suppressAutoHyphens w:val="0"/>
              <w:spacing w:after="20"/>
              <w:jc w:val="right"/>
            </w:pPr>
            <w:r w:rsidRPr="00215DF5">
              <w:rPr>
                <w:sz w:val="40"/>
              </w:rPr>
              <w:t>CERD</w:t>
            </w:r>
            <w:r>
              <w:t>/C/MRT/8-14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7FCC93FA" wp14:editId="6655EBE2">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215DF5" w:rsidP="00215DF5">
            <w:pPr>
              <w:suppressAutoHyphens w:val="0"/>
              <w:spacing w:before="240" w:line="240" w:lineRule="exact"/>
            </w:pPr>
            <w:r>
              <w:t>Distr.: General</w:t>
            </w:r>
          </w:p>
          <w:p w:rsidR="00215DF5" w:rsidRDefault="00215DF5" w:rsidP="00215DF5">
            <w:pPr>
              <w:suppressAutoHyphens w:val="0"/>
            </w:pPr>
            <w:r>
              <w:t>20 February 2017</w:t>
            </w:r>
          </w:p>
          <w:p w:rsidR="00215DF5" w:rsidRDefault="00215DF5" w:rsidP="00215DF5">
            <w:pPr>
              <w:suppressAutoHyphens w:val="0"/>
            </w:pPr>
            <w:r>
              <w:t>English</w:t>
            </w:r>
          </w:p>
          <w:p w:rsidR="00215DF5" w:rsidRDefault="00215DF5" w:rsidP="00215DF5">
            <w:pPr>
              <w:suppressAutoHyphens w:val="0"/>
            </w:pPr>
            <w:r>
              <w:t>Original: French</w:t>
            </w:r>
          </w:p>
          <w:p w:rsidR="00215DF5" w:rsidRDefault="00215DF5" w:rsidP="00215DF5">
            <w:pPr>
              <w:suppressAutoHyphens w:val="0"/>
            </w:pPr>
            <w:r>
              <w:t>English, French and Spanish only</w:t>
            </w:r>
          </w:p>
        </w:tc>
      </w:tr>
    </w:tbl>
    <w:p w:rsidR="00215DF5" w:rsidRPr="00215DF5" w:rsidRDefault="00215DF5" w:rsidP="00215DF5">
      <w:pPr>
        <w:spacing w:before="120"/>
        <w:rPr>
          <w:b/>
          <w:sz w:val="24"/>
          <w:szCs w:val="24"/>
        </w:rPr>
      </w:pPr>
      <w:r w:rsidRPr="00215DF5">
        <w:rPr>
          <w:b/>
          <w:sz w:val="24"/>
          <w:szCs w:val="24"/>
        </w:rPr>
        <w:t>Committee on the Elimination of Racial Discrimination</w:t>
      </w:r>
    </w:p>
    <w:p w:rsidR="00215DF5" w:rsidRPr="00215DF5" w:rsidRDefault="00215DF5" w:rsidP="00215DF5">
      <w:pPr>
        <w:pStyle w:val="HMG"/>
      </w:pPr>
      <w:r w:rsidRPr="00215DF5">
        <w:tab/>
      </w:r>
      <w:r w:rsidRPr="00215DF5">
        <w:tab/>
        <w:t>Consideration of reports submitted by States parties under article 9 of the Convention</w:t>
      </w:r>
    </w:p>
    <w:p w:rsidR="00215DF5" w:rsidRPr="00215DF5" w:rsidRDefault="00215DF5" w:rsidP="00215DF5">
      <w:pPr>
        <w:pStyle w:val="HChG"/>
      </w:pPr>
      <w:r w:rsidRPr="00215DF5">
        <w:tab/>
      </w:r>
      <w:r w:rsidRPr="00215DF5">
        <w:tab/>
      </w:r>
      <w:bookmarkStart w:id="0" w:name="_Toc479237749"/>
      <w:r w:rsidRPr="00215DF5">
        <w:t>Eighth to fourteenth periodic reports of States parties due in 2008</w:t>
      </w:r>
      <w:bookmarkEnd w:id="0"/>
    </w:p>
    <w:p w:rsidR="00215DF5" w:rsidRPr="00215DF5" w:rsidRDefault="00215DF5" w:rsidP="00215DF5">
      <w:pPr>
        <w:pStyle w:val="HMG"/>
      </w:pPr>
      <w:r w:rsidRPr="00215DF5">
        <w:tab/>
      </w:r>
      <w:r w:rsidRPr="00215DF5">
        <w:tab/>
        <w:t>Mauritania</w:t>
      </w:r>
      <w:r w:rsidRPr="00215DF5">
        <w:rPr>
          <w:b w:val="0"/>
          <w:bCs/>
          <w:sz w:val="20"/>
        </w:rPr>
        <w:footnoteReference w:customMarkFollows="1" w:id="1"/>
        <w:t>*</w:t>
      </w:r>
    </w:p>
    <w:p w:rsidR="00215DF5" w:rsidRPr="00215DF5" w:rsidRDefault="00215DF5" w:rsidP="00215DF5">
      <w:pPr>
        <w:pStyle w:val="SingleTxtG"/>
        <w:jc w:val="right"/>
      </w:pPr>
      <w:r w:rsidRPr="00215DF5">
        <w:t>[Date received: 7 February 2017]</w:t>
      </w:r>
    </w:p>
    <w:p w:rsidR="007268F9" w:rsidRDefault="004B64ED" w:rsidP="004B64ED">
      <w:pPr>
        <w:spacing w:after="120"/>
        <w:rPr>
          <w:sz w:val="28"/>
        </w:rPr>
      </w:pPr>
      <w:r>
        <w:br w:type="page"/>
      </w:r>
      <w:r>
        <w:rPr>
          <w:sz w:val="28"/>
        </w:rPr>
        <w:lastRenderedPageBreak/>
        <w:t>Contents</w:t>
      </w:r>
    </w:p>
    <w:p w:rsidR="004B64ED" w:rsidRDefault="004B64ED" w:rsidP="004B64ED">
      <w:pPr>
        <w:tabs>
          <w:tab w:val="right" w:pos="9638"/>
        </w:tabs>
        <w:spacing w:after="120"/>
        <w:ind w:left="283"/>
        <w:rPr>
          <w:sz w:val="18"/>
        </w:rPr>
      </w:pPr>
      <w:r>
        <w:rPr>
          <w:i/>
          <w:sz w:val="18"/>
        </w:rPr>
        <w:tab/>
        <w:t>Page</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Introduction</w:t>
      </w:r>
      <w:r w:rsidRPr="00A52535">
        <w:tab/>
      </w:r>
      <w:r w:rsidRPr="00A52535">
        <w:tab/>
      </w:r>
      <w:r w:rsidR="001A6726">
        <w:t>3</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 xml:space="preserve">Part I: General presentation of the Islamic Republic of Mauritania </w:t>
      </w:r>
      <w:r w:rsidR="00FE5999">
        <w:t>—</w:t>
      </w:r>
      <w:r w:rsidRPr="00A52535">
        <w:t xml:space="preserve"> General information</w:t>
      </w:r>
      <w:r w:rsidRPr="00A52535">
        <w:tab/>
      </w:r>
      <w:r w:rsidRPr="00A52535">
        <w:tab/>
      </w:r>
      <w:r w:rsidR="001A6726">
        <w:t>3</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A.</w:t>
      </w:r>
      <w:r w:rsidRPr="00A52535">
        <w:tab/>
        <w:t>Demographic and socioeconomic characteristics</w:t>
      </w:r>
      <w:r w:rsidRPr="00A52535">
        <w:tab/>
      </w:r>
      <w:r w:rsidRPr="00A52535">
        <w:tab/>
      </w:r>
      <w:r w:rsidR="001A6726">
        <w:t>3</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B.</w:t>
      </w:r>
      <w:r w:rsidRPr="00A52535">
        <w:tab/>
        <w:t>Constitutional and judicial institutions</w:t>
      </w:r>
      <w:r w:rsidRPr="00A52535">
        <w:tab/>
      </w:r>
      <w:r w:rsidRPr="00A52535">
        <w:tab/>
      </w:r>
      <w:r w:rsidR="001A6726">
        <w:t>5</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C.</w:t>
      </w:r>
      <w:r w:rsidRPr="00A52535">
        <w:tab/>
        <w:t>General framework for the protection and promotion of human rights</w:t>
      </w:r>
      <w:r w:rsidRPr="00A52535">
        <w:tab/>
      </w:r>
      <w:r w:rsidRPr="00A52535">
        <w:tab/>
      </w:r>
      <w:r w:rsidR="001A6726">
        <w:t>7</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D.</w:t>
      </w:r>
      <w:r w:rsidRPr="00A52535">
        <w:tab/>
        <w:t>Obstacles to the fulfilment of international human rights obligations</w:t>
      </w:r>
      <w:r w:rsidRPr="00A52535">
        <w:tab/>
      </w:r>
      <w:r w:rsidRPr="00A52535">
        <w:tab/>
      </w:r>
      <w:r w:rsidR="00A62201">
        <w:t>15</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E.</w:t>
      </w:r>
      <w:r w:rsidRPr="00A52535">
        <w:tab/>
        <w:t>Reporting process</w:t>
      </w:r>
      <w:r w:rsidRPr="00A52535">
        <w:tab/>
      </w:r>
      <w:r w:rsidRPr="00A52535">
        <w:tab/>
      </w:r>
      <w:r w:rsidR="00A62201">
        <w:t>16</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F.</w:t>
      </w:r>
      <w:r w:rsidRPr="00A52535">
        <w:tab/>
        <w:t>Follow-up to concluding observations of human rights treaty bodies</w:t>
      </w:r>
      <w:r w:rsidRPr="00A52535">
        <w:tab/>
      </w:r>
      <w:r w:rsidRPr="00A52535">
        <w:tab/>
      </w:r>
      <w:r w:rsidR="00A62201">
        <w:t>16</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G.</w:t>
      </w:r>
      <w:r w:rsidRPr="00A52535">
        <w:tab/>
        <w:t>Measures to ensure wide dissemination of the concluding observations or</w:t>
      </w:r>
      <w:r>
        <w:br/>
      </w:r>
      <w:r w:rsidRPr="00A52535">
        <w:t xml:space="preserve"> </w:t>
      </w:r>
      <w:r>
        <w:tab/>
      </w:r>
      <w:r>
        <w:tab/>
      </w:r>
      <w:r>
        <w:tab/>
      </w:r>
      <w:r w:rsidRPr="00A52535">
        <w:t>recommendations issued</w:t>
      </w:r>
      <w:r w:rsidR="00A7152F">
        <w:t xml:space="preserve"> </w:t>
      </w:r>
      <w:r w:rsidRPr="00A52535">
        <w:t xml:space="preserve">by the treaty bodies following consideration of </w:t>
      </w:r>
      <w:r>
        <w:br/>
      </w:r>
      <w:r>
        <w:tab/>
      </w:r>
      <w:r>
        <w:tab/>
      </w:r>
      <w:r>
        <w:tab/>
      </w:r>
      <w:r w:rsidRPr="00A52535">
        <w:t>the State party</w:t>
      </w:r>
      <w:r w:rsidR="00FE5999">
        <w:t>’</w:t>
      </w:r>
      <w:r w:rsidRPr="00A52535">
        <w:t>s report</w:t>
      </w:r>
      <w:r w:rsidRPr="00A52535">
        <w:tab/>
      </w:r>
      <w:r w:rsidRPr="00A52535">
        <w:tab/>
      </w:r>
      <w:r w:rsidR="00A62201">
        <w:t>16</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Part II: Implementation of the provisions of the Convention</w:t>
      </w:r>
      <w:r w:rsidRPr="00A52535">
        <w:tab/>
      </w:r>
      <w:r w:rsidRPr="00A52535">
        <w:tab/>
      </w:r>
      <w:r w:rsidR="00A62201">
        <w:t>19</w:t>
      </w:r>
    </w:p>
    <w:p w:rsidR="00827F2E" w:rsidRPr="00D23112" w:rsidRDefault="00827F2E" w:rsidP="00827F2E">
      <w:pPr>
        <w:tabs>
          <w:tab w:val="right" w:pos="850"/>
          <w:tab w:val="left" w:pos="1134"/>
          <w:tab w:val="left" w:pos="1559"/>
          <w:tab w:val="left" w:pos="1984"/>
          <w:tab w:val="left" w:leader="dot" w:pos="8787"/>
          <w:tab w:val="right" w:pos="9638"/>
        </w:tabs>
        <w:spacing w:after="120"/>
        <w:rPr>
          <w:lang w:val="fr-CH"/>
        </w:rPr>
      </w:pPr>
      <w:r w:rsidRPr="00A52535">
        <w:tab/>
      </w:r>
      <w:r w:rsidRPr="00A52535">
        <w:tab/>
      </w:r>
      <w:r w:rsidRPr="00A52535">
        <w:tab/>
      </w:r>
      <w:r w:rsidRPr="00D23112">
        <w:rPr>
          <w:lang w:val="fr-CH"/>
        </w:rPr>
        <w:t>Article 1</w:t>
      </w:r>
      <w:r w:rsidRPr="00D23112">
        <w:rPr>
          <w:lang w:val="fr-CH"/>
        </w:rPr>
        <w:tab/>
      </w:r>
      <w:r w:rsidRPr="00D23112">
        <w:rPr>
          <w:lang w:val="fr-CH"/>
        </w:rPr>
        <w:tab/>
      </w:r>
      <w:r w:rsidR="00A62201">
        <w:rPr>
          <w:lang w:val="fr-CH"/>
        </w:rPr>
        <w:t>19</w:t>
      </w:r>
    </w:p>
    <w:p w:rsidR="00827F2E" w:rsidRPr="00D23112" w:rsidRDefault="00827F2E" w:rsidP="00827F2E">
      <w:pPr>
        <w:tabs>
          <w:tab w:val="right" w:pos="850"/>
          <w:tab w:val="left" w:pos="1134"/>
          <w:tab w:val="left" w:pos="1559"/>
          <w:tab w:val="left" w:pos="1984"/>
          <w:tab w:val="left" w:leader="dot" w:pos="8787"/>
          <w:tab w:val="right" w:pos="9638"/>
        </w:tabs>
        <w:spacing w:after="120"/>
        <w:rPr>
          <w:lang w:val="fr-CH"/>
        </w:rPr>
      </w:pPr>
      <w:r w:rsidRPr="00D23112">
        <w:rPr>
          <w:lang w:val="fr-CH"/>
        </w:rPr>
        <w:tab/>
      </w:r>
      <w:r w:rsidRPr="00D23112">
        <w:rPr>
          <w:lang w:val="fr-CH"/>
        </w:rPr>
        <w:tab/>
      </w:r>
      <w:r w:rsidRPr="00D23112">
        <w:rPr>
          <w:lang w:val="fr-CH"/>
        </w:rPr>
        <w:tab/>
        <w:t>Article 2</w:t>
      </w:r>
      <w:r w:rsidRPr="00D23112">
        <w:rPr>
          <w:lang w:val="fr-CH"/>
        </w:rPr>
        <w:tab/>
      </w:r>
      <w:r w:rsidRPr="00D23112">
        <w:rPr>
          <w:lang w:val="fr-CH"/>
        </w:rPr>
        <w:tab/>
      </w:r>
      <w:r w:rsidR="00A62201">
        <w:rPr>
          <w:lang w:val="fr-CH"/>
        </w:rPr>
        <w:t>19</w:t>
      </w:r>
    </w:p>
    <w:p w:rsidR="00827F2E" w:rsidRPr="00D23112" w:rsidRDefault="00827F2E" w:rsidP="00827F2E">
      <w:pPr>
        <w:tabs>
          <w:tab w:val="right" w:pos="850"/>
          <w:tab w:val="left" w:pos="1134"/>
          <w:tab w:val="left" w:pos="1559"/>
          <w:tab w:val="left" w:pos="1984"/>
          <w:tab w:val="left" w:leader="dot" w:pos="8787"/>
          <w:tab w:val="right" w:pos="9638"/>
        </w:tabs>
        <w:spacing w:after="120"/>
        <w:rPr>
          <w:lang w:val="fr-CH"/>
        </w:rPr>
      </w:pPr>
      <w:r w:rsidRPr="00D23112">
        <w:rPr>
          <w:lang w:val="fr-CH"/>
        </w:rPr>
        <w:tab/>
      </w:r>
      <w:r w:rsidRPr="00D23112">
        <w:rPr>
          <w:lang w:val="fr-CH"/>
        </w:rPr>
        <w:tab/>
      </w:r>
      <w:r w:rsidRPr="00D23112">
        <w:rPr>
          <w:lang w:val="fr-CH"/>
        </w:rPr>
        <w:tab/>
        <w:t>Article 3</w:t>
      </w:r>
      <w:r w:rsidRPr="00D23112">
        <w:rPr>
          <w:lang w:val="fr-CH"/>
        </w:rPr>
        <w:tab/>
      </w:r>
      <w:r w:rsidRPr="00D23112">
        <w:rPr>
          <w:lang w:val="fr-CH"/>
        </w:rPr>
        <w:tab/>
        <w:t>2</w:t>
      </w:r>
      <w:r w:rsidR="00A62201">
        <w:rPr>
          <w:lang w:val="fr-CH"/>
        </w:rPr>
        <w:t>0</w:t>
      </w:r>
    </w:p>
    <w:p w:rsidR="00827F2E" w:rsidRPr="00D23112" w:rsidRDefault="00827F2E" w:rsidP="00827F2E">
      <w:pPr>
        <w:tabs>
          <w:tab w:val="right" w:pos="850"/>
          <w:tab w:val="left" w:pos="1134"/>
          <w:tab w:val="left" w:pos="1559"/>
          <w:tab w:val="left" w:pos="1984"/>
          <w:tab w:val="left" w:leader="dot" w:pos="8787"/>
          <w:tab w:val="right" w:pos="9638"/>
        </w:tabs>
        <w:spacing w:after="120"/>
        <w:rPr>
          <w:lang w:val="fr-CH"/>
        </w:rPr>
      </w:pPr>
      <w:r w:rsidRPr="00D23112">
        <w:rPr>
          <w:lang w:val="fr-CH"/>
        </w:rPr>
        <w:tab/>
      </w:r>
      <w:r w:rsidRPr="00D23112">
        <w:rPr>
          <w:lang w:val="fr-CH"/>
        </w:rPr>
        <w:tab/>
      </w:r>
      <w:r w:rsidRPr="00D23112">
        <w:rPr>
          <w:lang w:val="fr-CH"/>
        </w:rPr>
        <w:tab/>
        <w:t>Article 4</w:t>
      </w:r>
      <w:r w:rsidRPr="00D23112">
        <w:rPr>
          <w:lang w:val="fr-CH"/>
        </w:rPr>
        <w:tab/>
      </w:r>
      <w:r w:rsidRPr="00D23112">
        <w:rPr>
          <w:lang w:val="fr-CH"/>
        </w:rPr>
        <w:tab/>
        <w:t>2</w:t>
      </w:r>
      <w:r w:rsidR="00A62201">
        <w:rPr>
          <w:lang w:val="fr-CH"/>
        </w:rPr>
        <w:t>0</w:t>
      </w:r>
    </w:p>
    <w:p w:rsidR="00827F2E" w:rsidRPr="00D23112" w:rsidRDefault="00827F2E" w:rsidP="00827F2E">
      <w:pPr>
        <w:tabs>
          <w:tab w:val="right" w:pos="850"/>
          <w:tab w:val="left" w:pos="1134"/>
          <w:tab w:val="left" w:pos="1559"/>
          <w:tab w:val="left" w:pos="1984"/>
          <w:tab w:val="left" w:leader="dot" w:pos="8787"/>
          <w:tab w:val="right" w:pos="9638"/>
        </w:tabs>
        <w:spacing w:after="120"/>
        <w:rPr>
          <w:lang w:val="fr-CH"/>
        </w:rPr>
      </w:pPr>
      <w:r w:rsidRPr="00D23112">
        <w:rPr>
          <w:lang w:val="fr-CH"/>
        </w:rPr>
        <w:tab/>
      </w:r>
      <w:r w:rsidRPr="00D23112">
        <w:rPr>
          <w:lang w:val="fr-CH"/>
        </w:rPr>
        <w:tab/>
      </w:r>
      <w:r w:rsidRPr="00D23112">
        <w:rPr>
          <w:lang w:val="fr-CH"/>
        </w:rPr>
        <w:tab/>
        <w:t>Article 5</w:t>
      </w:r>
      <w:r w:rsidRPr="00D23112">
        <w:rPr>
          <w:lang w:val="fr-CH"/>
        </w:rPr>
        <w:tab/>
      </w:r>
      <w:r w:rsidRPr="00D23112">
        <w:rPr>
          <w:lang w:val="fr-CH"/>
        </w:rPr>
        <w:tab/>
        <w:t>2</w:t>
      </w:r>
      <w:r w:rsidR="0066052C">
        <w:rPr>
          <w:lang w:val="fr-CH"/>
        </w:rPr>
        <w:t>2</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D23112">
        <w:rPr>
          <w:lang w:val="fr-CH"/>
        </w:rPr>
        <w:tab/>
      </w:r>
      <w:r w:rsidRPr="00D23112">
        <w:rPr>
          <w:lang w:val="fr-CH"/>
        </w:rPr>
        <w:tab/>
      </w:r>
      <w:r w:rsidRPr="00D23112">
        <w:rPr>
          <w:lang w:val="fr-CH"/>
        </w:rPr>
        <w:tab/>
      </w:r>
      <w:r w:rsidRPr="00A52535">
        <w:t>Article 6</w:t>
      </w:r>
      <w:r w:rsidRPr="00A52535">
        <w:tab/>
      </w:r>
      <w:r w:rsidRPr="00A52535">
        <w:tab/>
      </w:r>
      <w:r w:rsidR="0066052C">
        <w:t>28</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r>
      <w:r w:rsidRPr="00A52535">
        <w:tab/>
        <w:t>Article 7</w:t>
      </w:r>
      <w:r w:rsidRPr="00A52535">
        <w:tab/>
      </w:r>
      <w:r w:rsidRPr="00A52535">
        <w:tab/>
      </w:r>
      <w:r w:rsidR="0066052C">
        <w:t>29</w:t>
      </w:r>
    </w:p>
    <w:p w:rsidR="00827F2E" w:rsidRPr="00A52535" w:rsidRDefault="00827F2E" w:rsidP="00827F2E">
      <w:pPr>
        <w:tabs>
          <w:tab w:val="right" w:pos="850"/>
          <w:tab w:val="left" w:pos="1134"/>
          <w:tab w:val="left" w:pos="1559"/>
          <w:tab w:val="left" w:pos="1984"/>
          <w:tab w:val="left" w:leader="dot" w:pos="8787"/>
          <w:tab w:val="right" w:pos="9638"/>
        </w:tabs>
        <w:spacing w:after="120"/>
      </w:pPr>
      <w:r w:rsidRPr="00A52535">
        <w:tab/>
      </w:r>
      <w:r w:rsidRPr="00A52535">
        <w:tab/>
        <w:t>Conclusion</w:t>
      </w:r>
      <w:r w:rsidRPr="00A52535">
        <w:tab/>
      </w:r>
      <w:r w:rsidRPr="00A52535">
        <w:tab/>
        <w:t>3</w:t>
      </w:r>
      <w:r w:rsidR="0066052C">
        <w:t>1</w:t>
      </w:r>
    </w:p>
    <w:p w:rsidR="0043727F" w:rsidRPr="0043727F" w:rsidRDefault="0043727F" w:rsidP="0043727F">
      <w:pPr>
        <w:pStyle w:val="HChG"/>
      </w:pPr>
      <w:r>
        <w:br w:type="page"/>
      </w:r>
      <w:r w:rsidRPr="0043727F">
        <w:lastRenderedPageBreak/>
        <w:tab/>
      </w:r>
      <w:r w:rsidRPr="0043727F">
        <w:tab/>
      </w:r>
      <w:bookmarkStart w:id="1" w:name="_Toc479237750"/>
      <w:r w:rsidRPr="0043727F">
        <w:t>Introduction</w:t>
      </w:r>
      <w:bookmarkStart w:id="2" w:name="_Toc466729260"/>
      <w:bookmarkStart w:id="3" w:name="_Toc466729727"/>
      <w:bookmarkStart w:id="4" w:name="_Toc455364111"/>
      <w:bookmarkEnd w:id="2"/>
      <w:bookmarkEnd w:id="3"/>
      <w:bookmarkEnd w:id="1"/>
    </w:p>
    <w:p w:rsidR="0043727F" w:rsidRPr="006A3709" w:rsidRDefault="0043727F" w:rsidP="006A3709">
      <w:pPr>
        <w:pStyle w:val="SingleTxtG"/>
        <w:rPr>
          <w:b/>
          <w:bCs/>
        </w:rPr>
      </w:pPr>
      <w:r w:rsidRPr="006A3709">
        <w:rPr>
          <w:b/>
          <w:bCs/>
        </w:rPr>
        <w:t>The present report combines the eighth, ninth, tenth, eleventh, twelfth and fourteenth reports of the Islamic Republic of Mauritania, due in 2008, 2012 and 2016 respectively, and is submitted to the Committee under article 9 (1) (b) of the International Convention on the Elimination of All Forms of Racial Discrimination.</w:t>
      </w:r>
    </w:p>
    <w:p w:rsidR="0043727F" w:rsidRPr="0043727F" w:rsidRDefault="0043727F" w:rsidP="0043727F">
      <w:pPr>
        <w:pStyle w:val="SingleTxtG"/>
      </w:pPr>
      <w:r w:rsidRPr="0043727F">
        <w:t>1.</w:t>
      </w:r>
      <w:r w:rsidRPr="0043727F">
        <w:tab/>
        <w:t>The first part of the report provides a general overview of the country and the second part describes the implementation of the substantive provisions of the Convention.</w:t>
      </w:r>
    </w:p>
    <w:p w:rsidR="0043727F" w:rsidRPr="0043727F" w:rsidRDefault="0043727F" w:rsidP="0043727F">
      <w:pPr>
        <w:pStyle w:val="SingleTxtG"/>
      </w:pPr>
      <w:r w:rsidRPr="0043727F">
        <w:t>2.</w:t>
      </w:r>
      <w:r w:rsidRPr="0043727F">
        <w:tab/>
        <w:t>Its submission testifies to the commitment of Mauritania to its treaty obligations in the field of human rights and to the implementation of the Convention, which calls on States parties to pursue a policy of eliminating all forms of racial discrimination and promotes understanding among all races.</w:t>
      </w:r>
    </w:p>
    <w:p w:rsidR="0043727F" w:rsidRPr="0043727F" w:rsidRDefault="0043727F" w:rsidP="0043727F">
      <w:pPr>
        <w:pStyle w:val="SingleTxtG"/>
      </w:pPr>
      <w:r w:rsidRPr="0043727F">
        <w:t>3.</w:t>
      </w:r>
      <w:r w:rsidRPr="0043727F">
        <w:tab/>
        <w:t xml:space="preserve">As a Muslim, Arab and African country, Mauritania remains deeply committed to the spirit and letter of the Convention. </w:t>
      </w:r>
    </w:p>
    <w:p w:rsidR="0043727F" w:rsidRPr="0043727F" w:rsidRDefault="0043727F" w:rsidP="0043727F">
      <w:pPr>
        <w:pStyle w:val="SingleTxtG"/>
      </w:pPr>
      <w:r w:rsidRPr="0043727F">
        <w:t>4.</w:t>
      </w:r>
      <w:r w:rsidRPr="0043727F">
        <w:tab/>
        <w:t>The Government of the Islamic Republic of Mauritania also reiterates its commitment to pursuing its policies to combat all forms of discrimination and hopes that the submission of the present report will provide the framework for constructive exchange, consultation and dialogue with the Committee.</w:t>
      </w:r>
    </w:p>
    <w:p w:rsidR="0043727F" w:rsidRPr="0043727F" w:rsidRDefault="00D66732" w:rsidP="0043727F">
      <w:pPr>
        <w:pStyle w:val="HChG"/>
      </w:pPr>
      <w:r>
        <w:tab/>
      </w:r>
      <w:r>
        <w:tab/>
      </w:r>
      <w:bookmarkStart w:id="5" w:name="_Toc479237751"/>
      <w:r>
        <w:t>Part I</w:t>
      </w:r>
      <w:r>
        <w:br/>
      </w:r>
      <w:r w:rsidR="0043727F" w:rsidRPr="0043727F">
        <w:t xml:space="preserve">General presentation of the Islamic Republic of Mauritania </w:t>
      </w:r>
      <w:r w:rsidR="00FE5999">
        <w:t>—</w:t>
      </w:r>
      <w:r w:rsidR="0043727F" w:rsidRPr="0043727F">
        <w:t xml:space="preserve"> General </w:t>
      </w:r>
      <w:bookmarkEnd w:id="4"/>
      <w:r w:rsidR="0043727F" w:rsidRPr="0043727F">
        <w:t>information</w:t>
      </w:r>
      <w:bookmarkEnd w:id="5"/>
    </w:p>
    <w:p w:rsidR="0043727F" w:rsidRPr="0043727F" w:rsidRDefault="0043727F" w:rsidP="0043727F">
      <w:pPr>
        <w:pStyle w:val="H1G"/>
      </w:pPr>
      <w:bookmarkStart w:id="6" w:name="_Toc454388696"/>
      <w:bookmarkStart w:id="7" w:name="_Toc453672856"/>
      <w:bookmarkStart w:id="8" w:name="_Toc455360509"/>
      <w:bookmarkStart w:id="9" w:name="_Toc455364112"/>
      <w:r w:rsidRPr="0043727F">
        <w:tab/>
      </w:r>
      <w:bookmarkStart w:id="10" w:name="_Toc479237752"/>
      <w:r w:rsidRPr="0043727F">
        <w:t>A.</w:t>
      </w:r>
      <w:r w:rsidRPr="0043727F">
        <w:tab/>
        <w:t>Demographic and socioeconomic characteristics</w:t>
      </w:r>
      <w:bookmarkEnd w:id="6"/>
      <w:bookmarkEnd w:id="7"/>
      <w:bookmarkEnd w:id="8"/>
      <w:bookmarkEnd w:id="9"/>
      <w:bookmarkEnd w:id="10"/>
    </w:p>
    <w:p w:rsidR="0043727F" w:rsidRPr="0043727F" w:rsidRDefault="0043727F" w:rsidP="0043727F">
      <w:pPr>
        <w:pStyle w:val="H23G"/>
      </w:pPr>
      <w:bookmarkStart w:id="11" w:name="_Toc453672857"/>
      <w:bookmarkStart w:id="12" w:name="_Toc455364113"/>
      <w:r w:rsidRPr="0043727F">
        <w:tab/>
        <w:t>1.</w:t>
      </w:r>
      <w:r w:rsidRPr="0043727F">
        <w:tab/>
        <w:t xml:space="preserve">Demographic data </w:t>
      </w:r>
      <w:bookmarkEnd w:id="11"/>
      <w:bookmarkEnd w:id="12"/>
    </w:p>
    <w:p w:rsidR="0043727F" w:rsidRPr="0043727F" w:rsidRDefault="0043727F" w:rsidP="0043727F">
      <w:pPr>
        <w:pStyle w:val="SingleTxtG"/>
      </w:pPr>
      <w:r w:rsidRPr="0043727F">
        <w:t>5.</w:t>
      </w:r>
      <w:r w:rsidRPr="0043727F">
        <w:tab/>
        <w:t>Mauritania is a multi-ethnic and multicultural country with a predominantly Arab population and Fulani, Soninke and Wolof minorities. It has a population of 3,537,628 inhabitants (General Population and Housing Census, 2013), 27.1 per cent of whom reside in Nouakchott, the capital of the country.</w:t>
      </w:r>
      <w:r w:rsidRPr="00FE5999">
        <w:rPr>
          <w:rStyle w:val="FootnoteReference"/>
        </w:rPr>
        <w:footnoteReference w:id="2"/>
      </w:r>
    </w:p>
    <w:p w:rsidR="00192E46" w:rsidRDefault="0043727F" w:rsidP="00192E46">
      <w:pPr>
        <w:pStyle w:val="Heading1"/>
      </w:pPr>
      <w:bookmarkStart w:id="13" w:name="_Toc479237753"/>
      <w:r w:rsidRPr="0043727F">
        <w:t>Table 1</w:t>
      </w:r>
      <w:bookmarkEnd w:id="13"/>
    </w:p>
    <w:p w:rsidR="0043727F" w:rsidRPr="00192E46" w:rsidRDefault="0043727F" w:rsidP="00192E46">
      <w:pPr>
        <w:pStyle w:val="SingleTxtG"/>
        <w:rPr>
          <w:b/>
        </w:rPr>
      </w:pPr>
      <w:r w:rsidRPr="00192E46">
        <w:rPr>
          <w:b/>
        </w:rPr>
        <w:t>Total population, by sex and age group</w:t>
      </w:r>
    </w:p>
    <w:tbl>
      <w:tblPr>
        <w:tblW w:w="9641" w:type="dxa"/>
        <w:tblBorders>
          <w:top w:val="single" w:sz="4" w:space="0" w:color="auto"/>
        </w:tblBorders>
        <w:tblLayout w:type="fixed"/>
        <w:tblCellMar>
          <w:left w:w="0" w:type="dxa"/>
          <w:right w:w="0" w:type="dxa"/>
        </w:tblCellMar>
        <w:tblLook w:val="04A0" w:firstRow="1" w:lastRow="0" w:firstColumn="1" w:lastColumn="0" w:noHBand="0" w:noVBand="1"/>
      </w:tblPr>
      <w:tblGrid>
        <w:gridCol w:w="851"/>
        <w:gridCol w:w="732"/>
        <w:gridCol w:w="733"/>
        <w:gridCol w:w="732"/>
        <w:gridCol w:w="733"/>
        <w:gridCol w:w="732"/>
        <w:gridCol w:w="733"/>
        <w:gridCol w:w="732"/>
        <w:gridCol w:w="733"/>
        <w:gridCol w:w="732"/>
        <w:gridCol w:w="733"/>
        <w:gridCol w:w="732"/>
        <w:gridCol w:w="733"/>
      </w:tblGrid>
      <w:tr w:rsidR="00C43A6E" w:rsidRPr="0043727F" w:rsidTr="00AD1C6D">
        <w:trPr>
          <w:trHeight w:val="240"/>
          <w:tblHeader/>
        </w:trPr>
        <w:tc>
          <w:tcPr>
            <w:tcW w:w="851" w:type="dxa"/>
            <w:vMerge w:val="restart"/>
            <w:tcBorders>
              <w:top w:val="single" w:sz="4" w:space="0" w:color="auto"/>
            </w:tcBorders>
            <w:shd w:val="clear" w:color="auto" w:fill="auto"/>
            <w:noWrap/>
            <w:vAlign w:val="bottom"/>
          </w:tcPr>
          <w:p w:rsidR="00C43A6E" w:rsidRPr="009C2E79" w:rsidRDefault="00C43A6E" w:rsidP="00AB1EEF">
            <w:pPr>
              <w:spacing w:before="80" w:after="80" w:line="200" w:lineRule="exact"/>
              <w:ind w:right="57"/>
              <w:rPr>
                <w:i/>
                <w:iCs/>
                <w:sz w:val="16"/>
                <w:szCs w:val="16"/>
              </w:rPr>
            </w:pPr>
            <w:r w:rsidRPr="009C2E79">
              <w:rPr>
                <w:i/>
                <w:iCs/>
                <w:sz w:val="16"/>
                <w:szCs w:val="16"/>
              </w:rPr>
              <w:t>Age group</w:t>
            </w:r>
          </w:p>
        </w:tc>
        <w:tc>
          <w:tcPr>
            <w:tcW w:w="732" w:type="dxa"/>
            <w:tcBorders>
              <w:top w:val="single" w:sz="4" w:space="0" w:color="auto"/>
              <w:bottom w:val="single" w:sz="4" w:space="0" w:color="auto"/>
              <w:right w:val="single" w:sz="24" w:space="0" w:color="FFFFFF" w:themeColor="background1"/>
            </w:tcBorders>
            <w:shd w:val="clear" w:color="auto" w:fill="auto"/>
          </w:tcPr>
          <w:p w:rsidR="00C43A6E" w:rsidRPr="009C2E79" w:rsidRDefault="00C43A6E" w:rsidP="00AB1EEF">
            <w:pPr>
              <w:spacing w:before="80" w:after="80" w:line="200" w:lineRule="exact"/>
              <w:ind w:right="57"/>
              <w:jc w:val="center"/>
              <w:rPr>
                <w:i/>
                <w:iCs/>
                <w:sz w:val="16"/>
                <w:szCs w:val="16"/>
              </w:rPr>
            </w:pPr>
          </w:p>
        </w:tc>
        <w:tc>
          <w:tcPr>
            <w:tcW w:w="733" w:type="dxa"/>
            <w:tcBorders>
              <w:top w:val="single" w:sz="4" w:space="0" w:color="auto"/>
              <w:bottom w:val="single" w:sz="4" w:space="0" w:color="auto"/>
              <w:right w:val="single" w:sz="24" w:space="0" w:color="FFFFFF" w:themeColor="background1"/>
            </w:tcBorders>
            <w:shd w:val="clear" w:color="auto" w:fill="auto"/>
          </w:tcPr>
          <w:p w:rsidR="00C43A6E" w:rsidRPr="009C2E79" w:rsidRDefault="00AD1C6D" w:rsidP="00AB1EEF">
            <w:pPr>
              <w:spacing w:before="80" w:after="80" w:line="200" w:lineRule="exact"/>
              <w:ind w:right="57"/>
              <w:jc w:val="center"/>
              <w:rPr>
                <w:i/>
                <w:iCs/>
                <w:sz w:val="16"/>
                <w:szCs w:val="16"/>
              </w:rPr>
            </w:pPr>
            <w:r w:rsidRPr="009C2E79">
              <w:rPr>
                <w:i/>
                <w:iCs/>
                <w:sz w:val="16"/>
                <w:szCs w:val="16"/>
              </w:rPr>
              <w:t>1977</w:t>
            </w:r>
          </w:p>
        </w:tc>
        <w:tc>
          <w:tcPr>
            <w:tcW w:w="732" w:type="dxa"/>
            <w:tcBorders>
              <w:top w:val="single" w:sz="4" w:space="0" w:color="auto"/>
              <w:bottom w:val="single" w:sz="4" w:space="0" w:color="auto"/>
              <w:right w:val="single" w:sz="24" w:space="0" w:color="FFFFFF" w:themeColor="background1"/>
            </w:tcBorders>
            <w:shd w:val="clear" w:color="auto" w:fill="auto"/>
          </w:tcPr>
          <w:p w:rsidR="00C43A6E" w:rsidRPr="009C2E79" w:rsidRDefault="00C43A6E" w:rsidP="00AB1EEF">
            <w:pPr>
              <w:spacing w:before="80" w:after="80" w:line="200" w:lineRule="exact"/>
              <w:ind w:right="57"/>
              <w:jc w:val="center"/>
              <w:rPr>
                <w:i/>
                <w:iCs/>
                <w:sz w:val="16"/>
                <w:szCs w:val="16"/>
              </w:rPr>
            </w:pPr>
          </w:p>
        </w:tc>
        <w:tc>
          <w:tcPr>
            <w:tcW w:w="733"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Pr>
          <w:p w:rsidR="00C43A6E" w:rsidRPr="009C2E79" w:rsidRDefault="00C43A6E" w:rsidP="00AB1EEF">
            <w:pPr>
              <w:spacing w:before="80" w:after="80" w:line="200" w:lineRule="exact"/>
              <w:ind w:right="57"/>
              <w:jc w:val="center"/>
              <w:rPr>
                <w:i/>
                <w:iCs/>
                <w:sz w:val="16"/>
                <w:szCs w:val="16"/>
              </w:rPr>
            </w:pPr>
          </w:p>
        </w:tc>
        <w:tc>
          <w:tcPr>
            <w:tcW w:w="73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C43A6E" w:rsidRPr="009C2E79" w:rsidRDefault="00AD1C6D" w:rsidP="00AB1EEF">
            <w:pPr>
              <w:spacing w:before="80" w:after="80" w:line="200" w:lineRule="exact"/>
              <w:ind w:right="57"/>
              <w:jc w:val="center"/>
              <w:rPr>
                <w:i/>
                <w:iCs/>
                <w:sz w:val="16"/>
                <w:szCs w:val="16"/>
              </w:rPr>
            </w:pPr>
            <w:r w:rsidRPr="009C2E79">
              <w:rPr>
                <w:i/>
                <w:iCs/>
                <w:sz w:val="16"/>
                <w:szCs w:val="16"/>
              </w:rPr>
              <w:t>1988</w:t>
            </w:r>
          </w:p>
        </w:tc>
        <w:tc>
          <w:tcPr>
            <w:tcW w:w="733"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C43A6E" w:rsidRPr="009C2E79" w:rsidRDefault="00C43A6E" w:rsidP="00AB1EEF">
            <w:pPr>
              <w:spacing w:before="80" w:after="80" w:line="200" w:lineRule="exact"/>
              <w:ind w:right="57"/>
              <w:jc w:val="center"/>
              <w:rPr>
                <w:i/>
                <w:iCs/>
                <w:sz w:val="16"/>
                <w:szCs w:val="16"/>
              </w:rPr>
            </w:pPr>
          </w:p>
        </w:tc>
        <w:tc>
          <w:tcPr>
            <w:tcW w:w="73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C43A6E" w:rsidRPr="009C2E79" w:rsidRDefault="00C43A6E" w:rsidP="00AB1EEF">
            <w:pPr>
              <w:spacing w:before="80" w:after="80" w:line="200" w:lineRule="exact"/>
              <w:ind w:right="57"/>
              <w:jc w:val="center"/>
              <w:rPr>
                <w:i/>
                <w:iCs/>
                <w:sz w:val="16"/>
                <w:szCs w:val="16"/>
              </w:rPr>
            </w:pPr>
          </w:p>
        </w:tc>
        <w:tc>
          <w:tcPr>
            <w:tcW w:w="733"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C43A6E" w:rsidRPr="009C2E79" w:rsidRDefault="00AD1C6D" w:rsidP="00AB1EEF">
            <w:pPr>
              <w:spacing w:before="80" w:after="80" w:line="200" w:lineRule="exact"/>
              <w:ind w:right="57"/>
              <w:jc w:val="center"/>
              <w:rPr>
                <w:i/>
                <w:iCs/>
                <w:sz w:val="16"/>
                <w:szCs w:val="16"/>
              </w:rPr>
            </w:pPr>
            <w:r w:rsidRPr="009C2E79">
              <w:rPr>
                <w:i/>
                <w:iCs/>
                <w:sz w:val="16"/>
                <w:szCs w:val="16"/>
              </w:rPr>
              <w:t>2000</w:t>
            </w:r>
          </w:p>
        </w:tc>
        <w:tc>
          <w:tcPr>
            <w:tcW w:w="73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C43A6E" w:rsidRPr="009C2E79" w:rsidRDefault="00C43A6E" w:rsidP="00AB1EEF">
            <w:pPr>
              <w:spacing w:before="80" w:after="80" w:line="200" w:lineRule="exact"/>
              <w:ind w:right="57"/>
              <w:jc w:val="center"/>
              <w:rPr>
                <w:i/>
                <w:iCs/>
                <w:sz w:val="16"/>
                <w:szCs w:val="16"/>
              </w:rPr>
            </w:pPr>
          </w:p>
        </w:tc>
        <w:tc>
          <w:tcPr>
            <w:tcW w:w="733" w:type="dxa"/>
            <w:tcBorders>
              <w:top w:val="single" w:sz="4" w:space="0" w:color="auto"/>
              <w:left w:val="single" w:sz="24" w:space="0" w:color="FFFFFF" w:themeColor="background1"/>
              <w:bottom w:val="single" w:sz="4" w:space="0" w:color="auto"/>
            </w:tcBorders>
            <w:shd w:val="clear" w:color="auto" w:fill="auto"/>
          </w:tcPr>
          <w:p w:rsidR="00C43A6E" w:rsidRPr="009C2E79" w:rsidRDefault="00C43A6E" w:rsidP="00AB1EEF">
            <w:pPr>
              <w:spacing w:before="80" w:after="80" w:line="200" w:lineRule="exact"/>
              <w:ind w:right="57"/>
              <w:jc w:val="center"/>
              <w:rPr>
                <w:i/>
                <w:iCs/>
                <w:sz w:val="16"/>
                <w:szCs w:val="16"/>
              </w:rPr>
            </w:pPr>
          </w:p>
        </w:tc>
        <w:tc>
          <w:tcPr>
            <w:tcW w:w="732" w:type="dxa"/>
            <w:tcBorders>
              <w:top w:val="single" w:sz="4" w:space="0" w:color="auto"/>
              <w:left w:val="single" w:sz="24" w:space="0" w:color="FFFFFF" w:themeColor="background1"/>
              <w:bottom w:val="single" w:sz="4" w:space="0" w:color="auto"/>
            </w:tcBorders>
            <w:shd w:val="clear" w:color="auto" w:fill="auto"/>
          </w:tcPr>
          <w:p w:rsidR="00C43A6E" w:rsidRPr="00AD1C6D" w:rsidRDefault="00AD1C6D" w:rsidP="00AB1EEF">
            <w:pPr>
              <w:spacing w:before="80" w:after="80" w:line="200" w:lineRule="exact"/>
              <w:ind w:right="57"/>
              <w:jc w:val="center"/>
              <w:rPr>
                <w:b/>
                <w:i/>
                <w:iCs/>
                <w:sz w:val="16"/>
                <w:szCs w:val="16"/>
              </w:rPr>
            </w:pPr>
            <w:r w:rsidRPr="00AD1C6D">
              <w:rPr>
                <w:b/>
                <w:i/>
                <w:iCs/>
                <w:sz w:val="16"/>
                <w:szCs w:val="16"/>
              </w:rPr>
              <w:t>2013</w:t>
            </w:r>
          </w:p>
        </w:tc>
        <w:tc>
          <w:tcPr>
            <w:tcW w:w="733" w:type="dxa"/>
            <w:tcBorders>
              <w:top w:val="single" w:sz="4" w:space="0" w:color="auto"/>
              <w:left w:val="single" w:sz="24" w:space="0" w:color="FFFFFF" w:themeColor="background1"/>
              <w:bottom w:val="single" w:sz="4" w:space="0" w:color="auto"/>
            </w:tcBorders>
            <w:shd w:val="clear" w:color="auto" w:fill="auto"/>
          </w:tcPr>
          <w:p w:rsidR="00C43A6E" w:rsidRPr="009C2E79" w:rsidRDefault="00C43A6E" w:rsidP="00AB1EEF">
            <w:pPr>
              <w:spacing w:before="80" w:after="80" w:line="200" w:lineRule="exact"/>
              <w:ind w:right="57"/>
              <w:jc w:val="center"/>
              <w:rPr>
                <w:i/>
                <w:iCs/>
                <w:sz w:val="16"/>
                <w:szCs w:val="16"/>
              </w:rPr>
            </w:pPr>
          </w:p>
        </w:tc>
      </w:tr>
      <w:tr w:rsidR="0043727F" w:rsidRPr="0043727F" w:rsidTr="000D2A54">
        <w:trPr>
          <w:trHeight w:val="240"/>
          <w:tblHeader/>
        </w:trPr>
        <w:tc>
          <w:tcPr>
            <w:tcW w:w="851" w:type="dxa"/>
            <w:vMerge/>
            <w:tcBorders>
              <w:bottom w:val="single" w:sz="12" w:space="0" w:color="auto"/>
            </w:tcBorders>
            <w:shd w:val="clear" w:color="auto" w:fill="auto"/>
            <w:noWrap/>
          </w:tcPr>
          <w:p w:rsidR="0043727F" w:rsidRPr="009C2E79" w:rsidRDefault="0043727F" w:rsidP="00AB1EEF">
            <w:pPr>
              <w:ind w:right="57"/>
              <w:rPr>
                <w:i/>
                <w:iCs/>
                <w:sz w:val="16"/>
                <w:szCs w:val="16"/>
              </w:rPr>
            </w:pPr>
          </w:p>
        </w:tc>
        <w:tc>
          <w:tcPr>
            <w:tcW w:w="732" w:type="dxa"/>
            <w:tcBorders>
              <w:top w:val="single" w:sz="4" w:space="0" w:color="auto"/>
              <w:bottom w:val="single" w:sz="12" w:space="0" w:color="auto"/>
            </w:tcBorders>
            <w:shd w:val="clear" w:color="auto" w:fill="auto"/>
          </w:tcPr>
          <w:p w:rsidR="0043727F" w:rsidRPr="009C2E79" w:rsidRDefault="0043727F" w:rsidP="00AB1EEF">
            <w:pPr>
              <w:spacing w:before="80" w:after="80" w:line="200" w:lineRule="exact"/>
              <w:ind w:right="57"/>
              <w:jc w:val="right"/>
              <w:rPr>
                <w:i/>
                <w:iCs/>
                <w:sz w:val="16"/>
                <w:szCs w:val="16"/>
              </w:rPr>
            </w:pPr>
            <w:r w:rsidRPr="009C2E79">
              <w:rPr>
                <w:i/>
                <w:iCs/>
                <w:sz w:val="16"/>
                <w:szCs w:val="16"/>
              </w:rPr>
              <w:t>Male</w:t>
            </w:r>
          </w:p>
        </w:tc>
        <w:tc>
          <w:tcPr>
            <w:tcW w:w="733" w:type="dxa"/>
            <w:tcBorders>
              <w:top w:val="single" w:sz="4" w:space="0" w:color="auto"/>
              <w:bottom w:val="single" w:sz="12" w:space="0" w:color="auto"/>
            </w:tcBorders>
            <w:shd w:val="clear" w:color="auto" w:fill="auto"/>
          </w:tcPr>
          <w:p w:rsidR="0043727F" w:rsidRPr="009C2E79" w:rsidRDefault="0043727F" w:rsidP="00AB1EEF">
            <w:pPr>
              <w:spacing w:before="80" w:after="80" w:line="200" w:lineRule="exact"/>
              <w:ind w:right="57"/>
              <w:jc w:val="right"/>
              <w:rPr>
                <w:i/>
                <w:iCs/>
                <w:sz w:val="16"/>
                <w:szCs w:val="16"/>
              </w:rPr>
            </w:pPr>
            <w:r w:rsidRPr="009C2E79">
              <w:rPr>
                <w:i/>
                <w:iCs/>
                <w:sz w:val="16"/>
                <w:szCs w:val="16"/>
              </w:rPr>
              <w:t>Female</w:t>
            </w:r>
          </w:p>
        </w:tc>
        <w:tc>
          <w:tcPr>
            <w:tcW w:w="732" w:type="dxa"/>
            <w:tcBorders>
              <w:top w:val="single" w:sz="4" w:space="0" w:color="auto"/>
              <w:bottom w:val="single" w:sz="12" w:space="0" w:color="auto"/>
              <w:right w:val="single" w:sz="24" w:space="0" w:color="FFFFFF" w:themeColor="background1"/>
            </w:tcBorders>
            <w:shd w:val="clear" w:color="auto" w:fill="auto"/>
          </w:tcPr>
          <w:p w:rsidR="0043727F" w:rsidRPr="009C2E79" w:rsidRDefault="0043727F" w:rsidP="00AB1EEF">
            <w:pPr>
              <w:spacing w:before="80" w:after="80" w:line="200" w:lineRule="exact"/>
              <w:ind w:right="57"/>
              <w:jc w:val="right"/>
              <w:rPr>
                <w:i/>
                <w:iCs/>
                <w:sz w:val="16"/>
                <w:szCs w:val="16"/>
              </w:rPr>
            </w:pPr>
            <w:r w:rsidRPr="009C2E79">
              <w:rPr>
                <w:i/>
                <w:iCs/>
                <w:sz w:val="16"/>
                <w:szCs w:val="16"/>
              </w:rPr>
              <w:t>Total</w:t>
            </w:r>
          </w:p>
        </w:tc>
        <w:tc>
          <w:tcPr>
            <w:tcW w:w="733" w:type="dxa"/>
            <w:tcBorders>
              <w:top w:val="single" w:sz="4" w:space="0" w:color="auto"/>
              <w:left w:val="single" w:sz="24" w:space="0" w:color="FFFFFF" w:themeColor="background1"/>
              <w:bottom w:val="single" w:sz="12" w:space="0" w:color="auto"/>
            </w:tcBorders>
            <w:shd w:val="clear" w:color="auto" w:fill="auto"/>
            <w:noWrap/>
          </w:tcPr>
          <w:p w:rsidR="0043727F" w:rsidRPr="009C2E79" w:rsidRDefault="0043727F" w:rsidP="00AB1EEF">
            <w:pPr>
              <w:spacing w:before="80" w:after="80" w:line="200" w:lineRule="exact"/>
              <w:ind w:right="57"/>
              <w:jc w:val="right"/>
              <w:rPr>
                <w:i/>
                <w:iCs/>
                <w:sz w:val="16"/>
                <w:szCs w:val="16"/>
              </w:rPr>
            </w:pPr>
            <w:r w:rsidRPr="009C2E79">
              <w:rPr>
                <w:i/>
                <w:iCs/>
                <w:sz w:val="16"/>
                <w:szCs w:val="16"/>
              </w:rPr>
              <w:t>Male</w:t>
            </w:r>
          </w:p>
        </w:tc>
        <w:tc>
          <w:tcPr>
            <w:tcW w:w="732" w:type="dxa"/>
            <w:tcBorders>
              <w:top w:val="single" w:sz="4" w:space="0" w:color="auto"/>
              <w:bottom w:val="single" w:sz="12" w:space="0" w:color="auto"/>
            </w:tcBorders>
            <w:shd w:val="clear" w:color="auto" w:fill="auto"/>
            <w:noWrap/>
          </w:tcPr>
          <w:p w:rsidR="0043727F" w:rsidRPr="009C2E79" w:rsidRDefault="0043727F" w:rsidP="00AB1EEF">
            <w:pPr>
              <w:spacing w:before="80" w:after="80" w:line="200" w:lineRule="exact"/>
              <w:ind w:right="57"/>
              <w:jc w:val="right"/>
              <w:rPr>
                <w:i/>
                <w:iCs/>
                <w:sz w:val="16"/>
                <w:szCs w:val="16"/>
              </w:rPr>
            </w:pPr>
            <w:r w:rsidRPr="009C2E79">
              <w:rPr>
                <w:i/>
                <w:iCs/>
                <w:sz w:val="16"/>
                <w:szCs w:val="16"/>
              </w:rPr>
              <w:t>Female</w:t>
            </w:r>
          </w:p>
        </w:tc>
        <w:tc>
          <w:tcPr>
            <w:tcW w:w="733" w:type="dxa"/>
            <w:tcBorders>
              <w:top w:val="single" w:sz="4" w:space="0" w:color="auto"/>
              <w:bottom w:val="single" w:sz="12" w:space="0" w:color="auto"/>
              <w:right w:val="single" w:sz="24" w:space="0" w:color="FFFFFF" w:themeColor="background1"/>
            </w:tcBorders>
            <w:shd w:val="clear" w:color="auto" w:fill="auto"/>
            <w:noWrap/>
          </w:tcPr>
          <w:p w:rsidR="0043727F" w:rsidRPr="009C2E79" w:rsidRDefault="0043727F" w:rsidP="00AB1EEF">
            <w:pPr>
              <w:spacing w:before="80" w:after="80" w:line="200" w:lineRule="exact"/>
              <w:ind w:right="57"/>
              <w:jc w:val="right"/>
              <w:rPr>
                <w:i/>
                <w:iCs/>
                <w:sz w:val="16"/>
                <w:szCs w:val="16"/>
              </w:rPr>
            </w:pPr>
            <w:r w:rsidRPr="009C2E79">
              <w:rPr>
                <w:i/>
                <w:iCs/>
                <w:sz w:val="16"/>
                <w:szCs w:val="16"/>
              </w:rPr>
              <w:t>Total</w:t>
            </w:r>
          </w:p>
        </w:tc>
        <w:tc>
          <w:tcPr>
            <w:tcW w:w="732" w:type="dxa"/>
            <w:tcBorders>
              <w:top w:val="single" w:sz="4" w:space="0" w:color="auto"/>
              <w:left w:val="single" w:sz="24" w:space="0" w:color="FFFFFF" w:themeColor="background1"/>
              <w:bottom w:val="single" w:sz="12" w:space="0" w:color="auto"/>
            </w:tcBorders>
            <w:shd w:val="clear" w:color="auto" w:fill="auto"/>
          </w:tcPr>
          <w:p w:rsidR="0043727F" w:rsidRPr="009C2E79" w:rsidRDefault="0043727F" w:rsidP="00AB1EEF">
            <w:pPr>
              <w:spacing w:before="80" w:after="80" w:line="200" w:lineRule="exact"/>
              <w:ind w:right="57"/>
              <w:jc w:val="right"/>
              <w:rPr>
                <w:i/>
                <w:iCs/>
                <w:sz w:val="16"/>
                <w:szCs w:val="16"/>
              </w:rPr>
            </w:pPr>
            <w:r w:rsidRPr="009C2E79">
              <w:rPr>
                <w:i/>
                <w:iCs/>
                <w:sz w:val="16"/>
                <w:szCs w:val="16"/>
              </w:rPr>
              <w:t>Male</w:t>
            </w:r>
          </w:p>
        </w:tc>
        <w:tc>
          <w:tcPr>
            <w:tcW w:w="733" w:type="dxa"/>
            <w:tcBorders>
              <w:top w:val="single" w:sz="4" w:space="0" w:color="auto"/>
              <w:bottom w:val="single" w:sz="12" w:space="0" w:color="auto"/>
            </w:tcBorders>
            <w:shd w:val="clear" w:color="auto" w:fill="auto"/>
          </w:tcPr>
          <w:p w:rsidR="0043727F" w:rsidRPr="009C2E79" w:rsidRDefault="0043727F" w:rsidP="00AB1EEF">
            <w:pPr>
              <w:spacing w:before="80" w:after="80" w:line="200" w:lineRule="exact"/>
              <w:ind w:right="57"/>
              <w:jc w:val="right"/>
              <w:rPr>
                <w:i/>
                <w:iCs/>
                <w:sz w:val="16"/>
                <w:szCs w:val="16"/>
              </w:rPr>
            </w:pPr>
            <w:r w:rsidRPr="009C2E79">
              <w:rPr>
                <w:i/>
                <w:iCs/>
                <w:sz w:val="16"/>
                <w:szCs w:val="16"/>
              </w:rPr>
              <w:t>Female</w:t>
            </w:r>
          </w:p>
        </w:tc>
        <w:tc>
          <w:tcPr>
            <w:tcW w:w="732" w:type="dxa"/>
            <w:tcBorders>
              <w:top w:val="single" w:sz="4" w:space="0" w:color="auto"/>
              <w:bottom w:val="single" w:sz="12" w:space="0" w:color="auto"/>
              <w:right w:val="single" w:sz="24" w:space="0" w:color="FFFFFF" w:themeColor="background1"/>
            </w:tcBorders>
            <w:shd w:val="clear" w:color="auto" w:fill="auto"/>
          </w:tcPr>
          <w:p w:rsidR="0043727F" w:rsidRPr="009C2E79" w:rsidRDefault="0043727F" w:rsidP="00AB1EEF">
            <w:pPr>
              <w:spacing w:before="80" w:after="80" w:line="200" w:lineRule="exact"/>
              <w:ind w:right="57"/>
              <w:jc w:val="right"/>
              <w:rPr>
                <w:i/>
                <w:iCs/>
                <w:sz w:val="16"/>
                <w:szCs w:val="16"/>
              </w:rPr>
            </w:pPr>
            <w:r w:rsidRPr="009C2E79">
              <w:rPr>
                <w:i/>
                <w:iCs/>
                <w:sz w:val="16"/>
                <w:szCs w:val="16"/>
              </w:rPr>
              <w:t>Total</w:t>
            </w:r>
          </w:p>
        </w:tc>
        <w:tc>
          <w:tcPr>
            <w:tcW w:w="733" w:type="dxa"/>
            <w:tcBorders>
              <w:top w:val="single" w:sz="4" w:space="0" w:color="auto"/>
              <w:left w:val="single" w:sz="24" w:space="0" w:color="FFFFFF" w:themeColor="background1"/>
              <w:bottom w:val="single" w:sz="12" w:space="0" w:color="auto"/>
            </w:tcBorders>
            <w:shd w:val="clear" w:color="auto" w:fill="auto"/>
          </w:tcPr>
          <w:p w:rsidR="0043727F" w:rsidRPr="009C2E79" w:rsidRDefault="0043727F" w:rsidP="00AB1EEF">
            <w:pPr>
              <w:spacing w:before="80" w:after="80" w:line="200" w:lineRule="exact"/>
              <w:ind w:right="57"/>
              <w:jc w:val="right"/>
              <w:rPr>
                <w:i/>
                <w:iCs/>
                <w:sz w:val="16"/>
                <w:szCs w:val="16"/>
              </w:rPr>
            </w:pPr>
            <w:r w:rsidRPr="009C2E79">
              <w:rPr>
                <w:i/>
                <w:iCs/>
                <w:sz w:val="16"/>
                <w:szCs w:val="16"/>
              </w:rPr>
              <w:t>Male</w:t>
            </w:r>
          </w:p>
        </w:tc>
        <w:tc>
          <w:tcPr>
            <w:tcW w:w="732" w:type="dxa"/>
            <w:tcBorders>
              <w:top w:val="single" w:sz="4" w:space="0" w:color="auto"/>
              <w:bottom w:val="single" w:sz="12" w:space="0" w:color="auto"/>
            </w:tcBorders>
            <w:shd w:val="clear" w:color="auto" w:fill="auto"/>
          </w:tcPr>
          <w:p w:rsidR="0043727F" w:rsidRPr="009C2E79" w:rsidRDefault="0043727F" w:rsidP="00AB1EEF">
            <w:pPr>
              <w:spacing w:before="80" w:after="80" w:line="200" w:lineRule="exact"/>
              <w:ind w:right="57"/>
              <w:jc w:val="right"/>
              <w:rPr>
                <w:i/>
                <w:iCs/>
                <w:sz w:val="16"/>
                <w:szCs w:val="16"/>
              </w:rPr>
            </w:pPr>
            <w:r w:rsidRPr="009C2E79">
              <w:rPr>
                <w:i/>
                <w:iCs/>
                <w:sz w:val="16"/>
                <w:szCs w:val="16"/>
              </w:rPr>
              <w:t>Female</w:t>
            </w:r>
          </w:p>
        </w:tc>
        <w:tc>
          <w:tcPr>
            <w:tcW w:w="733" w:type="dxa"/>
            <w:tcBorders>
              <w:top w:val="single" w:sz="4" w:space="0" w:color="auto"/>
              <w:bottom w:val="single" w:sz="12" w:space="0" w:color="auto"/>
            </w:tcBorders>
            <w:shd w:val="clear" w:color="auto" w:fill="auto"/>
          </w:tcPr>
          <w:p w:rsidR="0043727F" w:rsidRPr="009C2E79" w:rsidRDefault="0043727F" w:rsidP="00AB1EEF">
            <w:pPr>
              <w:spacing w:before="80" w:after="80" w:line="200" w:lineRule="exact"/>
              <w:ind w:right="57"/>
              <w:jc w:val="right"/>
              <w:rPr>
                <w:i/>
                <w:iCs/>
                <w:sz w:val="16"/>
                <w:szCs w:val="16"/>
              </w:rPr>
            </w:pPr>
            <w:r w:rsidRPr="009C2E79">
              <w:rPr>
                <w:i/>
                <w:iCs/>
                <w:sz w:val="16"/>
                <w:szCs w:val="16"/>
              </w:rPr>
              <w:t>Total</w:t>
            </w:r>
          </w:p>
        </w:tc>
      </w:tr>
      <w:tr w:rsidR="0043727F" w:rsidRPr="0043727F" w:rsidTr="000D2A54">
        <w:trPr>
          <w:trHeight w:val="240"/>
        </w:trPr>
        <w:tc>
          <w:tcPr>
            <w:tcW w:w="851" w:type="dxa"/>
            <w:tcBorders>
              <w:top w:val="single" w:sz="12" w:space="0" w:color="auto"/>
            </w:tcBorders>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00</w:t>
            </w:r>
            <w:r w:rsidR="00FE5999" w:rsidRPr="00BB2D39">
              <w:rPr>
                <w:rFonts w:asciiTheme="majorBidi" w:hAnsiTheme="majorBidi" w:cstheme="majorBidi"/>
                <w:sz w:val="16"/>
                <w:szCs w:val="16"/>
              </w:rPr>
              <w:t>-</w:t>
            </w:r>
            <w:r w:rsidRPr="00BB2D39">
              <w:rPr>
                <w:rFonts w:asciiTheme="majorBidi" w:hAnsiTheme="majorBidi" w:cstheme="majorBidi"/>
                <w:sz w:val="16"/>
                <w:szCs w:val="16"/>
              </w:rPr>
              <w:t>04</w:t>
            </w:r>
          </w:p>
        </w:tc>
        <w:tc>
          <w:tcPr>
            <w:tcW w:w="732" w:type="dxa"/>
            <w:tcBorders>
              <w:top w:val="single" w:sz="12" w:space="0" w:color="auto"/>
            </w:tcBorders>
            <w:shd w:val="clear" w:color="auto" w:fill="auto"/>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110 261</w:t>
            </w:r>
          </w:p>
        </w:tc>
        <w:tc>
          <w:tcPr>
            <w:tcW w:w="733" w:type="dxa"/>
            <w:tcBorders>
              <w:top w:val="single" w:sz="12" w:space="0" w:color="auto"/>
            </w:tcBorders>
            <w:shd w:val="clear" w:color="auto" w:fill="auto"/>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106 526</w:t>
            </w:r>
          </w:p>
        </w:tc>
        <w:tc>
          <w:tcPr>
            <w:tcW w:w="732" w:type="dxa"/>
            <w:tcBorders>
              <w:top w:val="single" w:sz="12" w:space="0" w:color="auto"/>
            </w:tcBorders>
            <w:shd w:val="clear" w:color="auto" w:fill="auto"/>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216 787</w:t>
            </w:r>
          </w:p>
        </w:tc>
        <w:tc>
          <w:tcPr>
            <w:tcW w:w="733" w:type="dxa"/>
            <w:tcBorders>
              <w:top w:val="single" w:sz="12" w:space="0" w:color="auto"/>
            </w:tcBorders>
            <w:shd w:val="clear" w:color="auto" w:fill="auto"/>
            <w:noWrap/>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154 808</w:t>
            </w:r>
          </w:p>
        </w:tc>
        <w:tc>
          <w:tcPr>
            <w:tcW w:w="732" w:type="dxa"/>
            <w:tcBorders>
              <w:top w:val="single" w:sz="12" w:space="0" w:color="auto"/>
            </w:tcBorders>
            <w:shd w:val="clear" w:color="auto" w:fill="auto"/>
            <w:noWrap/>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150 305</w:t>
            </w:r>
          </w:p>
        </w:tc>
        <w:tc>
          <w:tcPr>
            <w:tcW w:w="733" w:type="dxa"/>
            <w:tcBorders>
              <w:top w:val="single" w:sz="12" w:space="0" w:color="auto"/>
            </w:tcBorders>
            <w:shd w:val="clear" w:color="auto" w:fill="auto"/>
            <w:noWrap/>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305 113</w:t>
            </w:r>
          </w:p>
        </w:tc>
        <w:tc>
          <w:tcPr>
            <w:tcW w:w="732" w:type="dxa"/>
            <w:tcBorders>
              <w:top w:val="single" w:sz="12" w:space="0" w:color="auto"/>
            </w:tcBorders>
            <w:shd w:val="clear" w:color="auto" w:fill="auto"/>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218</w:t>
            </w:r>
            <w:r w:rsidR="00F6720F" w:rsidRPr="00BB2D39">
              <w:rPr>
                <w:rFonts w:asciiTheme="majorBidi" w:hAnsiTheme="majorBidi" w:cstheme="majorBidi"/>
                <w:sz w:val="16"/>
                <w:szCs w:val="16"/>
              </w:rPr>
              <w:t xml:space="preserve"> </w:t>
            </w:r>
            <w:r w:rsidRPr="00BB2D39">
              <w:rPr>
                <w:rFonts w:asciiTheme="majorBidi" w:hAnsiTheme="majorBidi" w:cstheme="majorBidi"/>
                <w:sz w:val="16"/>
                <w:szCs w:val="16"/>
              </w:rPr>
              <w:t>087</w:t>
            </w:r>
          </w:p>
        </w:tc>
        <w:tc>
          <w:tcPr>
            <w:tcW w:w="733" w:type="dxa"/>
            <w:tcBorders>
              <w:top w:val="single" w:sz="12" w:space="0" w:color="auto"/>
            </w:tcBorders>
            <w:shd w:val="clear" w:color="auto" w:fill="auto"/>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208</w:t>
            </w:r>
            <w:r w:rsidR="00F6720F" w:rsidRPr="00BB2D39">
              <w:rPr>
                <w:rFonts w:asciiTheme="majorBidi" w:hAnsiTheme="majorBidi" w:cstheme="majorBidi"/>
                <w:sz w:val="16"/>
                <w:szCs w:val="16"/>
              </w:rPr>
              <w:t xml:space="preserve"> </w:t>
            </w:r>
            <w:r w:rsidRPr="00BB2D39">
              <w:rPr>
                <w:rFonts w:asciiTheme="majorBidi" w:hAnsiTheme="majorBidi" w:cstheme="majorBidi"/>
                <w:sz w:val="16"/>
                <w:szCs w:val="16"/>
              </w:rPr>
              <w:t>370</w:t>
            </w:r>
          </w:p>
        </w:tc>
        <w:tc>
          <w:tcPr>
            <w:tcW w:w="732" w:type="dxa"/>
            <w:tcBorders>
              <w:top w:val="single" w:sz="12" w:space="0" w:color="auto"/>
            </w:tcBorders>
            <w:shd w:val="clear" w:color="auto" w:fill="auto"/>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426</w:t>
            </w:r>
            <w:r w:rsidR="00F6720F" w:rsidRPr="00BB2D39">
              <w:rPr>
                <w:rFonts w:asciiTheme="majorBidi" w:hAnsiTheme="majorBidi" w:cstheme="majorBidi"/>
                <w:sz w:val="16"/>
                <w:szCs w:val="16"/>
              </w:rPr>
              <w:t xml:space="preserve"> </w:t>
            </w:r>
            <w:r w:rsidRPr="00BB2D39">
              <w:rPr>
                <w:rFonts w:asciiTheme="majorBidi" w:hAnsiTheme="majorBidi" w:cstheme="majorBidi"/>
                <w:sz w:val="16"/>
                <w:szCs w:val="16"/>
              </w:rPr>
              <w:t>457</w:t>
            </w:r>
          </w:p>
        </w:tc>
        <w:tc>
          <w:tcPr>
            <w:tcW w:w="733" w:type="dxa"/>
            <w:tcBorders>
              <w:top w:val="single" w:sz="12" w:space="0" w:color="auto"/>
            </w:tcBorders>
            <w:shd w:val="clear" w:color="auto" w:fill="auto"/>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316 217</w:t>
            </w:r>
          </w:p>
        </w:tc>
        <w:tc>
          <w:tcPr>
            <w:tcW w:w="732" w:type="dxa"/>
            <w:tcBorders>
              <w:top w:val="single" w:sz="12" w:space="0" w:color="auto"/>
            </w:tcBorders>
            <w:shd w:val="clear" w:color="auto" w:fill="auto"/>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298 475</w:t>
            </w:r>
          </w:p>
        </w:tc>
        <w:tc>
          <w:tcPr>
            <w:tcW w:w="733" w:type="dxa"/>
            <w:tcBorders>
              <w:top w:val="single" w:sz="12" w:space="0" w:color="auto"/>
            </w:tcBorders>
            <w:shd w:val="clear" w:color="auto" w:fill="auto"/>
            <w:vAlign w:val="bottom"/>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614 692</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05</w:t>
            </w:r>
            <w:r w:rsidR="00D8390F" w:rsidRPr="00BB2D39">
              <w:rPr>
                <w:rFonts w:asciiTheme="majorBidi" w:hAnsiTheme="majorBidi" w:cstheme="majorBidi"/>
                <w:sz w:val="16"/>
                <w:szCs w:val="16"/>
              </w:rPr>
              <w:t>-</w:t>
            </w:r>
            <w:r w:rsidRPr="00BB2D39">
              <w:rPr>
                <w:rFonts w:asciiTheme="majorBidi" w:hAnsiTheme="majorBidi" w:cstheme="majorBidi"/>
                <w:sz w:val="16"/>
                <w:szCs w:val="16"/>
              </w:rPr>
              <w:t>09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113 809</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105 397</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219 206</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154 546</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144 263</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298 809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186 741</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175 736</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362 477</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263 263</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256 839</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520 102</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10</w:t>
            </w:r>
            <w:r w:rsidR="00D8390F" w:rsidRPr="00BB2D39">
              <w:rPr>
                <w:rFonts w:asciiTheme="majorBidi" w:hAnsiTheme="majorBidi" w:cstheme="majorBidi"/>
                <w:sz w:val="16"/>
                <w:szCs w:val="16"/>
              </w:rPr>
              <w:t>-</w:t>
            </w:r>
            <w:r w:rsidRPr="00BB2D39">
              <w:rPr>
                <w:rFonts w:asciiTheme="majorBidi" w:hAnsiTheme="majorBidi" w:cstheme="majorBidi"/>
                <w:sz w:val="16"/>
                <w:szCs w:val="16"/>
              </w:rPr>
              <w:t>14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81 141</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71 524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152 665</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114 455</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104 288</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218 743</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154 508</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148 164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302 672</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212 838</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216 667</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429 505</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15</w:t>
            </w:r>
            <w:r w:rsidR="00D8390F" w:rsidRPr="00BB2D39">
              <w:rPr>
                <w:rFonts w:asciiTheme="majorBidi" w:hAnsiTheme="majorBidi" w:cstheme="majorBidi"/>
                <w:sz w:val="16"/>
                <w:szCs w:val="16"/>
              </w:rPr>
              <w:t>-</w:t>
            </w:r>
            <w:r w:rsidRPr="00BB2D39">
              <w:rPr>
                <w:rFonts w:asciiTheme="majorBidi" w:hAnsiTheme="majorBidi" w:cstheme="majorBidi"/>
                <w:sz w:val="16"/>
                <w:szCs w:val="16"/>
              </w:rPr>
              <w:t>19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67 504</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70 770</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138 274</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92 683</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96 807</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189 490</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131 240</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138 512</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269 752</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176 116</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185 288</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361 404</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20</w:t>
            </w:r>
            <w:r w:rsidR="00D8390F" w:rsidRPr="00BB2D39">
              <w:rPr>
                <w:rFonts w:asciiTheme="majorBidi" w:hAnsiTheme="majorBidi" w:cstheme="majorBidi"/>
                <w:sz w:val="16"/>
                <w:szCs w:val="16"/>
              </w:rPr>
              <w:t>-</w:t>
            </w:r>
            <w:r w:rsidRPr="00BB2D39">
              <w:rPr>
                <w:rFonts w:asciiTheme="majorBidi" w:hAnsiTheme="majorBidi" w:cstheme="majorBidi"/>
                <w:sz w:val="16"/>
                <w:szCs w:val="16"/>
              </w:rPr>
              <w:t>24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52 776</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58 542</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111 318</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74 901</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86 562</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161 463</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100 667</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114 292</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214 959</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144 478</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157 962</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302 440</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25</w:t>
            </w:r>
            <w:r w:rsidR="00D8390F" w:rsidRPr="00BB2D39">
              <w:rPr>
                <w:rFonts w:asciiTheme="majorBidi" w:hAnsiTheme="majorBidi" w:cstheme="majorBidi"/>
                <w:sz w:val="16"/>
                <w:szCs w:val="16"/>
              </w:rPr>
              <w:t>-</w:t>
            </w:r>
            <w:r w:rsidRPr="00BB2D39">
              <w:rPr>
                <w:rFonts w:asciiTheme="majorBidi" w:hAnsiTheme="majorBidi" w:cstheme="majorBidi"/>
                <w:sz w:val="16"/>
                <w:szCs w:val="16"/>
              </w:rPr>
              <w:t>29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40 969</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48 060</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89 029</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67 126</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77 870</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144 996</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86 990</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100 554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187 544</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121 586</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135 767</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257 353</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30</w:t>
            </w:r>
            <w:r w:rsidR="00D8390F" w:rsidRPr="00BB2D39">
              <w:rPr>
                <w:rFonts w:asciiTheme="majorBidi" w:hAnsiTheme="majorBidi" w:cstheme="majorBidi"/>
                <w:sz w:val="16"/>
                <w:szCs w:val="16"/>
              </w:rPr>
              <w:t>-</w:t>
            </w:r>
            <w:r w:rsidRPr="00BB2D39">
              <w:rPr>
                <w:rFonts w:asciiTheme="majorBidi" w:hAnsiTheme="majorBidi" w:cstheme="majorBidi"/>
                <w:sz w:val="16"/>
                <w:szCs w:val="16"/>
              </w:rPr>
              <w:t>34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33 043</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40 681</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73 724</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56 457</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60 691</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117 148</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72 906</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81 525</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154 431</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99 834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113 691</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213 525</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35</w:t>
            </w:r>
            <w:r w:rsidR="00D8390F" w:rsidRPr="00BB2D39">
              <w:rPr>
                <w:rFonts w:asciiTheme="majorBidi" w:hAnsiTheme="majorBidi" w:cstheme="majorBidi"/>
                <w:sz w:val="16"/>
                <w:szCs w:val="16"/>
              </w:rPr>
              <w:t>-</w:t>
            </w:r>
            <w:r w:rsidRPr="00BB2D39">
              <w:rPr>
                <w:rFonts w:asciiTheme="majorBidi" w:hAnsiTheme="majorBidi" w:cstheme="majorBidi"/>
                <w:sz w:val="16"/>
                <w:szCs w:val="16"/>
              </w:rPr>
              <w:t>39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28 905</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32 804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61 709</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44 513</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45 159</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89 672</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64 465</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70 887</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135 352</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83 578</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95 379</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178 957</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40</w:t>
            </w:r>
            <w:r w:rsidR="00D8390F" w:rsidRPr="00BB2D39">
              <w:rPr>
                <w:rFonts w:asciiTheme="majorBidi" w:hAnsiTheme="majorBidi" w:cstheme="majorBidi"/>
                <w:sz w:val="16"/>
                <w:szCs w:val="16"/>
              </w:rPr>
              <w:t>-</w:t>
            </w:r>
            <w:r w:rsidRPr="00BB2D39">
              <w:rPr>
                <w:rFonts w:asciiTheme="majorBidi" w:hAnsiTheme="majorBidi" w:cstheme="majorBidi"/>
                <w:sz w:val="16"/>
                <w:szCs w:val="16"/>
              </w:rPr>
              <w:t>44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32 665</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36 021</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68 686</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34 802</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38 077</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72 879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53 010</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53 129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106 139</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72 108</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79 228</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151 336</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45</w:t>
            </w:r>
            <w:r w:rsidR="00D8390F" w:rsidRPr="00BB2D39">
              <w:rPr>
                <w:rFonts w:asciiTheme="majorBidi" w:hAnsiTheme="majorBidi" w:cstheme="majorBidi"/>
                <w:sz w:val="16"/>
                <w:szCs w:val="16"/>
              </w:rPr>
              <w:t>-</w:t>
            </w:r>
            <w:r w:rsidRPr="00BB2D39">
              <w:rPr>
                <w:rFonts w:asciiTheme="majorBidi" w:hAnsiTheme="majorBidi" w:cstheme="majorBidi"/>
                <w:sz w:val="16"/>
                <w:szCs w:val="16"/>
              </w:rPr>
              <w:t>49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23 807</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24 036</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47 843</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27 593</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28 108</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55 701</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48 653</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50 408</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99 061</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60 297</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64 516</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124 813</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50</w:t>
            </w:r>
            <w:r w:rsidR="00D8390F" w:rsidRPr="00BB2D39">
              <w:rPr>
                <w:rFonts w:asciiTheme="majorBidi" w:hAnsiTheme="majorBidi" w:cstheme="majorBidi"/>
                <w:sz w:val="16"/>
                <w:szCs w:val="16"/>
              </w:rPr>
              <w:t>-</w:t>
            </w:r>
            <w:r w:rsidRPr="00BB2D39">
              <w:rPr>
                <w:rFonts w:asciiTheme="majorBidi" w:hAnsiTheme="majorBidi" w:cstheme="majorBidi"/>
                <w:sz w:val="16"/>
                <w:szCs w:val="16"/>
              </w:rPr>
              <w:t>54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22 688</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24 432</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47 120</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30 023</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31 908</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61 931</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32 649</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33 165</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65 814</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50 739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51 751</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102 490</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55</w:t>
            </w:r>
            <w:r w:rsidR="00D8390F" w:rsidRPr="00BB2D39">
              <w:rPr>
                <w:rFonts w:asciiTheme="majorBidi" w:hAnsiTheme="majorBidi" w:cstheme="majorBidi"/>
                <w:sz w:val="16"/>
                <w:szCs w:val="16"/>
              </w:rPr>
              <w:t>-</w:t>
            </w:r>
            <w:r w:rsidRPr="00BB2D39">
              <w:rPr>
                <w:rFonts w:asciiTheme="majorBidi" w:hAnsiTheme="majorBidi" w:cstheme="majorBidi"/>
                <w:sz w:val="16"/>
                <w:szCs w:val="16"/>
              </w:rPr>
              <w:t>59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16 911</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17 487</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34 398</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16 847</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14 875</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31 722</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23 010</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21 638</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44 648</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41 075</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40 645</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81 720</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lastRenderedPageBreak/>
              <w:t>60</w:t>
            </w:r>
            <w:r w:rsidR="00D8390F" w:rsidRPr="00BB2D39">
              <w:rPr>
                <w:rFonts w:asciiTheme="majorBidi" w:hAnsiTheme="majorBidi" w:cstheme="majorBidi"/>
                <w:sz w:val="16"/>
                <w:szCs w:val="16"/>
              </w:rPr>
              <w:t>-</w:t>
            </w:r>
            <w:r w:rsidRPr="00BB2D39">
              <w:rPr>
                <w:rFonts w:asciiTheme="majorBidi" w:hAnsiTheme="majorBidi" w:cstheme="majorBidi"/>
                <w:sz w:val="16"/>
                <w:szCs w:val="16"/>
              </w:rPr>
              <w:t>64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12 754</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14 508</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27 262</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20 190</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20 603</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40 793</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25 093</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24 467</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49 560</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31 660</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30 459</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62 119</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65</w:t>
            </w:r>
            <w:r w:rsidR="00D8390F" w:rsidRPr="00BB2D39">
              <w:rPr>
                <w:rFonts w:asciiTheme="majorBidi" w:hAnsiTheme="majorBidi" w:cstheme="majorBidi"/>
                <w:sz w:val="16"/>
                <w:szCs w:val="16"/>
              </w:rPr>
              <w:t>-</w:t>
            </w:r>
            <w:r w:rsidRPr="00BB2D39">
              <w:rPr>
                <w:rFonts w:asciiTheme="majorBidi" w:hAnsiTheme="majorBidi" w:cstheme="majorBidi"/>
                <w:sz w:val="16"/>
                <w:szCs w:val="16"/>
              </w:rPr>
              <w:t>69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6 979</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7 593</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14 572</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11 518</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11 131</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22 649</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16 062</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15 582</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31 644</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24 120</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23 055</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47 175</w:t>
            </w:r>
          </w:p>
        </w:tc>
      </w:tr>
      <w:tr w:rsidR="0043727F" w:rsidRPr="0043727F" w:rsidTr="00AD1C6D">
        <w:trPr>
          <w:trHeight w:val="240"/>
        </w:trPr>
        <w:tc>
          <w:tcPr>
            <w:tcW w:w="851" w:type="dxa"/>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70</w:t>
            </w:r>
            <w:r w:rsidR="00D8390F" w:rsidRPr="00BB2D39">
              <w:rPr>
                <w:rFonts w:asciiTheme="majorBidi" w:hAnsiTheme="majorBidi" w:cstheme="majorBidi"/>
                <w:sz w:val="16"/>
                <w:szCs w:val="16"/>
              </w:rPr>
              <w:t>-</w:t>
            </w:r>
            <w:r w:rsidRPr="00BB2D39">
              <w:rPr>
                <w:rFonts w:asciiTheme="majorBidi" w:hAnsiTheme="majorBidi" w:cstheme="majorBidi"/>
                <w:sz w:val="16"/>
                <w:szCs w:val="16"/>
              </w:rPr>
              <w:t>74</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7 708</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10 706</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18 414</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10 812</w:t>
            </w:r>
          </w:p>
        </w:tc>
        <w:tc>
          <w:tcPr>
            <w:tcW w:w="732"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12 968</w:t>
            </w:r>
          </w:p>
        </w:tc>
        <w:tc>
          <w:tcPr>
            <w:tcW w:w="733" w:type="dxa"/>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23 780</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13 773</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13 425</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27 198</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18 167</w:t>
            </w:r>
          </w:p>
        </w:tc>
        <w:tc>
          <w:tcPr>
            <w:tcW w:w="732"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17 129</w:t>
            </w:r>
          </w:p>
        </w:tc>
        <w:tc>
          <w:tcPr>
            <w:tcW w:w="733" w:type="dxa"/>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35 296</w:t>
            </w:r>
          </w:p>
        </w:tc>
      </w:tr>
      <w:tr w:rsidR="0043727F" w:rsidRPr="0043727F" w:rsidTr="00AD1C6D">
        <w:trPr>
          <w:trHeight w:val="240"/>
        </w:trPr>
        <w:tc>
          <w:tcPr>
            <w:tcW w:w="851" w:type="dxa"/>
            <w:tcBorders>
              <w:bottom w:val="single" w:sz="4" w:space="0" w:color="auto"/>
            </w:tcBorders>
            <w:shd w:val="clear" w:color="auto" w:fill="auto"/>
            <w:noWrap/>
            <w:hideMark/>
          </w:tcPr>
          <w:p w:rsidR="0043727F" w:rsidRPr="00BB2D39" w:rsidRDefault="0043727F" w:rsidP="00AB1EEF">
            <w:pPr>
              <w:spacing w:before="40" w:after="40" w:line="220" w:lineRule="exact"/>
              <w:ind w:right="57"/>
              <w:rPr>
                <w:rFonts w:asciiTheme="majorBidi" w:hAnsiTheme="majorBidi" w:cstheme="majorBidi"/>
                <w:sz w:val="16"/>
                <w:szCs w:val="16"/>
              </w:rPr>
            </w:pPr>
            <w:r w:rsidRPr="00BB2D39">
              <w:rPr>
                <w:rFonts w:asciiTheme="majorBidi" w:hAnsiTheme="majorBidi" w:cstheme="majorBidi"/>
                <w:sz w:val="16"/>
                <w:szCs w:val="16"/>
              </w:rPr>
              <w:t>75 and over</w:t>
            </w:r>
          </w:p>
        </w:tc>
        <w:tc>
          <w:tcPr>
            <w:tcW w:w="732" w:type="dxa"/>
            <w:tcBorders>
              <w:bottom w:val="single" w:sz="4" w:space="0" w:color="auto"/>
            </w:tcBorders>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6 441</w:t>
            </w:r>
          </w:p>
        </w:tc>
        <w:tc>
          <w:tcPr>
            <w:tcW w:w="733" w:type="dxa"/>
            <w:tcBorders>
              <w:bottom w:val="single" w:sz="4" w:space="0" w:color="auto"/>
            </w:tcBorders>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11 382</w:t>
            </w:r>
          </w:p>
        </w:tc>
        <w:tc>
          <w:tcPr>
            <w:tcW w:w="732" w:type="dxa"/>
            <w:tcBorders>
              <w:bottom w:val="single" w:sz="4" w:space="0" w:color="auto"/>
            </w:tcBorders>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17 823</w:t>
            </w:r>
          </w:p>
        </w:tc>
        <w:tc>
          <w:tcPr>
            <w:tcW w:w="733" w:type="dxa"/>
            <w:tcBorders>
              <w:bottom w:val="single" w:sz="4" w:space="0" w:color="auto"/>
            </w:tcBorders>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11 901</w:t>
            </w:r>
          </w:p>
        </w:tc>
        <w:tc>
          <w:tcPr>
            <w:tcW w:w="732" w:type="dxa"/>
            <w:tcBorders>
              <w:bottom w:val="single" w:sz="4" w:space="0" w:color="auto"/>
            </w:tcBorders>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17 446</w:t>
            </w:r>
          </w:p>
        </w:tc>
        <w:tc>
          <w:tcPr>
            <w:tcW w:w="733" w:type="dxa"/>
            <w:tcBorders>
              <w:bottom w:val="single" w:sz="4" w:space="0" w:color="auto"/>
            </w:tcBorders>
            <w:shd w:val="clear" w:color="auto" w:fill="auto"/>
            <w:noWrap/>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29 347</w:t>
            </w:r>
          </w:p>
        </w:tc>
        <w:tc>
          <w:tcPr>
            <w:tcW w:w="732" w:type="dxa"/>
            <w:tcBorders>
              <w:bottom w:val="single" w:sz="4" w:space="0" w:color="auto"/>
            </w:tcBorders>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13 858</w:t>
            </w:r>
          </w:p>
        </w:tc>
        <w:tc>
          <w:tcPr>
            <w:tcW w:w="733" w:type="dxa"/>
            <w:tcBorders>
              <w:bottom w:val="single" w:sz="4" w:space="0" w:color="auto"/>
            </w:tcBorders>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16 593</w:t>
            </w:r>
          </w:p>
        </w:tc>
        <w:tc>
          <w:tcPr>
            <w:tcW w:w="732" w:type="dxa"/>
            <w:tcBorders>
              <w:bottom w:val="single" w:sz="4" w:space="0" w:color="auto"/>
            </w:tcBorders>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30 451</w:t>
            </w:r>
          </w:p>
        </w:tc>
        <w:tc>
          <w:tcPr>
            <w:tcW w:w="733" w:type="dxa"/>
            <w:tcBorders>
              <w:bottom w:val="single" w:sz="4" w:space="0" w:color="auto"/>
            </w:tcBorders>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26 998</w:t>
            </w:r>
          </w:p>
        </w:tc>
        <w:tc>
          <w:tcPr>
            <w:tcW w:w="732" w:type="dxa"/>
            <w:tcBorders>
              <w:bottom w:val="single" w:sz="4" w:space="0" w:color="auto"/>
            </w:tcBorders>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27 443</w:t>
            </w:r>
          </w:p>
        </w:tc>
        <w:tc>
          <w:tcPr>
            <w:tcW w:w="733" w:type="dxa"/>
            <w:tcBorders>
              <w:bottom w:val="single" w:sz="4" w:space="0" w:color="auto"/>
            </w:tcBorders>
            <w:shd w:val="clear" w:color="auto" w:fill="auto"/>
            <w:hideMark/>
          </w:tcPr>
          <w:p w:rsidR="0043727F" w:rsidRPr="00BB2D39" w:rsidRDefault="0043727F" w:rsidP="00AB1EEF">
            <w:pPr>
              <w:spacing w:before="40" w:after="40" w:line="220" w:lineRule="exact"/>
              <w:ind w:right="57"/>
              <w:jc w:val="right"/>
              <w:rPr>
                <w:rFonts w:asciiTheme="majorBidi" w:hAnsiTheme="majorBidi" w:cstheme="majorBidi"/>
                <w:sz w:val="16"/>
                <w:szCs w:val="16"/>
              </w:rPr>
            </w:pPr>
            <w:r w:rsidRPr="00BB2D39">
              <w:rPr>
                <w:rFonts w:asciiTheme="majorBidi" w:hAnsiTheme="majorBidi" w:cstheme="majorBidi"/>
                <w:sz w:val="16"/>
                <w:szCs w:val="16"/>
              </w:rPr>
              <w:t>54 441</w:t>
            </w:r>
          </w:p>
        </w:tc>
      </w:tr>
      <w:tr w:rsidR="0043727F" w:rsidRPr="000D2A54" w:rsidTr="00AD1C6D">
        <w:trPr>
          <w:trHeight w:val="240"/>
        </w:trPr>
        <w:tc>
          <w:tcPr>
            <w:tcW w:w="851" w:type="dxa"/>
            <w:tcBorders>
              <w:top w:val="single" w:sz="4" w:space="0" w:color="auto"/>
              <w:bottom w:val="single" w:sz="12" w:space="0" w:color="auto"/>
            </w:tcBorders>
            <w:shd w:val="clear" w:color="auto" w:fill="auto"/>
            <w:noWrap/>
            <w:hideMark/>
          </w:tcPr>
          <w:p w:rsidR="0043727F" w:rsidRPr="00BB2D39" w:rsidRDefault="0043727F" w:rsidP="00AB1EEF">
            <w:pPr>
              <w:suppressAutoHyphens w:val="0"/>
              <w:spacing w:before="80" w:after="80" w:line="220" w:lineRule="exact"/>
              <w:ind w:left="283" w:right="57"/>
              <w:jc w:val="right"/>
              <w:rPr>
                <w:b/>
                <w:sz w:val="16"/>
                <w:szCs w:val="16"/>
              </w:rPr>
            </w:pPr>
            <w:r w:rsidRPr="00BB2D39">
              <w:rPr>
                <w:b/>
                <w:sz w:val="16"/>
                <w:szCs w:val="16"/>
              </w:rPr>
              <w:t>Total</w:t>
            </w:r>
          </w:p>
        </w:tc>
        <w:tc>
          <w:tcPr>
            <w:tcW w:w="732" w:type="dxa"/>
            <w:tcBorders>
              <w:top w:val="single" w:sz="4" w:space="0" w:color="auto"/>
              <w:bottom w:val="single" w:sz="12" w:space="0" w:color="auto"/>
            </w:tcBorders>
            <w:shd w:val="clear" w:color="auto" w:fill="auto"/>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658 361</w:t>
            </w:r>
          </w:p>
        </w:tc>
        <w:tc>
          <w:tcPr>
            <w:tcW w:w="733" w:type="dxa"/>
            <w:tcBorders>
              <w:top w:val="single" w:sz="4" w:space="0" w:color="auto"/>
              <w:bottom w:val="single" w:sz="12" w:space="0" w:color="auto"/>
            </w:tcBorders>
            <w:shd w:val="clear" w:color="auto" w:fill="auto"/>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680 469</w:t>
            </w:r>
          </w:p>
        </w:tc>
        <w:tc>
          <w:tcPr>
            <w:tcW w:w="732" w:type="dxa"/>
            <w:tcBorders>
              <w:top w:val="single" w:sz="4" w:space="0" w:color="auto"/>
              <w:bottom w:val="single" w:sz="12" w:space="0" w:color="auto"/>
            </w:tcBorders>
            <w:shd w:val="clear" w:color="auto" w:fill="auto"/>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1 338 830</w:t>
            </w:r>
          </w:p>
        </w:tc>
        <w:tc>
          <w:tcPr>
            <w:tcW w:w="733" w:type="dxa"/>
            <w:tcBorders>
              <w:top w:val="single" w:sz="4" w:space="0" w:color="auto"/>
              <w:bottom w:val="single" w:sz="12" w:space="0" w:color="auto"/>
            </w:tcBorders>
            <w:shd w:val="clear" w:color="auto" w:fill="auto"/>
            <w:noWrap/>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923 175</w:t>
            </w:r>
          </w:p>
        </w:tc>
        <w:tc>
          <w:tcPr>
            <w:tcW w:w="732" w:type="dxa"/>
            <w:tcBorders>
              <w:top w:val="single" w:sz="4" w:space="0" w:color="auto"/>
              <w:bottom w:val="single" w:sz="12" w:space="0" w:color="auto"/>
            </w:tcBorders>
            <w:shd w:val="clear" w:color="auto" w:fill="auto"/>
            <w:noWrap/>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941 061</w:t>
            </w:r>
          </w:p>
        </w:tc>
        <w:tc>
          <w:tcPr>
            <w:tcW w:w="733" w:type="dxa"/>
            <w:tcBorders>
              <w:top w:val="single" w:sz="4" w:space="0" w:color="auto"/>
              <w:bottom w:val="single" w:sz="12" w:space="0" w:color="auto"/>
            </w:tcBorders>
            <w:shd w:val="clear" w:color="auto" w:fill="auto"/>
            <w:noWrap/>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1 864 236</w:t>
            </w:r>
          </w:p>
        </w:tc>
        <w:tc>
          <w:tcPr>
            <w:tcW w:w="732" w:type="dxa"/>
            <w:tcBorders>
              <w:top w:val="single" w:sz="4" w:space="0" w:color="auto"/>
              <w:bottom w:val="single" w:sz="12" w:space="0" w:color="auto"/>
            </w:tcBorders>
            <w:shd w:val="clear" w:color="auto" w:fill="auto"/>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1 241 712</w:t>
            </w:r>
          </w:p>
        </w:tc>
        <w:tc>
          <w:tcPr>
            <w:tcW w:w="733" w:type="dxa"/>
            <w:tcBorders>
              <w:top w:val="single" w:sz="4" w:space="0" w:color="auto"/>
              <w:bottom w:val="single" w:sz="12" w:space="0" w:color="auto"/>
            </w:tcBorders>
            <w:shd w:val="clear" w:color="auto" w:fill="auto"/>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1 266 447</w:t>
            </w:r>
          </w:p>
        </w:tc>
        <w:tc>
          <w:tcPr>
            <w:tcW w:w="732" w:type="dxa"/>
            <w:tcBorders>
              <w:top w:val="single" w:sz="4" w:space="0" w:color="auto"/>
              <w:bottom w:val="single" w:sz="12" w:space="0" w:color="auto"/>
            </w:tcBorders>
            <w:shd w:val="clear" w:color="auto" w:fill="auto"/>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2 508 159</w:t>
            </w:r>
          </w:p>
        </w:tc>
        <w:tc>
          <w:tcPr>
            <w:tcW w:w="733" w:type="dxa"/>
            <w:tcBorders>
              <w:top w:val="single" w:sz="4" w:space="0" w:color="auto"/>
              <w:bottom w:val="single" w:sz="12" w:space="0" w:color="auto"/>
            </w:tcBorders>
            <w:shd w:val="clear" w:color="auto" w:fill="auto"/>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1 743 074</w:t>
            </w:r>
          </w:p>
        </w:tc>
        <w:tc>
          <w:tcPr>
            <w:tcW w:w="732" w:type="dxa"/>
            <w:tcBorders>
              <w:top w:val="single" w:sz="4" w:space="0" w:color="auto"/>
              <w:bottom w:val="single" w:sz="12" w:space="0" w:color="auto"/>
            </w:tcBorders>
            <w:shd w:val="clear" w:color="auto" w:fill="auto"/>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1 794 294</w:t>
            </w:r>
          </w:p>
        </w:tc>
        <w:tc>
          <w:tcPr>
            <w:tcW w:w="733" w:type="dxa"/>
            <w:tcBorders>
              <w:top w:val="single" w:sz="4" w:space="0" w:color="auto"/>
              <w:bottom w:val="single" w:sz="12" w:space="0" w:color="auto"/>
            </w:tcBorders>
            <w:shd w:val="clear" w:color="auto" w:fill="auto"/>
            <w:hideMark/>
          </w:tcPr>
          <w:p w:rsidR="0043727F" w:rsidRPr="000D2A54" w:rsidRDefault="0043727F" w:rsidP="000D2A54">
            <w:pPr>
              <w:suppressAutoHyphens w:val="0"/>
              <w:spacing w:before="80" w:after="80" w:line="220" w:lineRule="exact"/>
              <w:ind w:right="57"/>
              <w:jc w:val="right"/>
              <w:rPr>
                <w:b/>
                <w:sz w:val="16"/>
                <w:szCs w:val="16"/>
              </w:rPr>
            </w:pPr>
            <w:r w:rsidRPr="000D2A54">
              <w:rPr>
                <w:b/>
                <w:sz w:val="16"/>
                <w:szCs w:val="16"/>
              </w:rPr>
              <w:t>3 537 368</w:t>
            </w:r>
          </w:p>
        </w:tc>
      </w:tr>
    </w:tbl>
    <w:p w:rsidR="0043727F" w:rsidRPr="00A52535" w:rsidRDefault="0043727F" w:rsidP="0043727F">
      <w:pPr>
        <w:pStyle w:val="H23G"/>
      </w:pPr>
      <w:bookmarkStart w:id="14" w:name="_Toc454388697"/>
      <w:bookmarkStart w:id="15" w:name="_Toc453672858"/>
      <w:bookmarkStart w:id="16" w:name="_Toc455360510"/>
      <w:bookmarkStart w:id="17" w:name="_Toc455364114"/>
      <w:r w:rsidRPr="00A52535">
        <w:tab/>
        <w:t>2.</w:t>
      </w:r>
      <w:r w:rsidRPr="00A52535">
        <w:tab/>
        <w:t>Socioeconomic data</w:t>
      </w:r>
      <w:bookmarkEnd w:id="14"/>
      <w:bookmarkEnd w:id="15"/>
      <w:bookmarkEnd w:id="16"/>
      <w:bookmarkEnd w:id="17"/>
    </w:p>
    <w:p w:rsidR="0043727F" w:rsidRPr="00A52535" w:rsidRDefault="0043727F" w:rsidP="0043727F">
      <w:pPr>
        <w:pStyle w:val="SingleTxtG"/>
        <w:rPr>
          <w:rFonts w:eastAsia="MS Mincho"/>
        </w:rPr>
      </w:pPr>
      <w:r w:rsidRPr="00A52535">
        <w:t>6.</w:t>
      </w:r>
      <w:r w:rsidRPr="00A52535">
        <w:tab/>
        <w:t>Mauritania implemented a Poverty Reduction Strategy Paper (PRSP) for 2001-2015. The implementation of the PRSP resulted in the reduction of poverty from 51 per cent in 2001 to 31 per cent in 2014. Economic growth during the same period stood at an average rate of 4.3 per cent despite the unfavourable international conditions.</w:t>
      </w:r>
    </w:p>
    <w:p w:rsidR="0043727F" w:rsidRDefault="0043727F" w:rsidP="0043727F">
      <w:pPr>
        <w:pStyle w:val="SingleTxtG"/>
      </w:pPr>
      <w:r w:rsidRPr="00A52535">
        <w:t>7.</w:t>
      </w:r>
      <w:r w:rsidRPr="00A52535">
        <w:tab/>
        <w:t>In spite of those conditions, significant efforts have been made to develop human resources and expand basic services. In primary education: (i) in 2012/13, the gross enrolment rate was 99.3 per cent; (ii) during that period, it stood at 102.5 per cent for girls and 95.9 per cent for boys, while the gender parity index stood at 1.07. Enrolment efforts</w:t>
      </w:r>
      <w:r>
        <w:t xml:space="preserve"> </w:t>
      </w:r>
      <w:r w:rsidRPr="00A52535">
        <w:t>during 2013 benefited girls more than boys; (iii) the retention rate in primary</w:t>
      </w:r>
      <w:r w:rsidR="00A7152F">
        <w:t xml:space="preserve"> </w:t>
      </w:r>
      <w:r w:rsidRPr="00A52535">
        <w:t>education has risen steadily,</w:t>
      </w:r>
      <w:r w:rsidR="00A7152F">
        <w:t xml:space="preserve"> </w:t>
      </w:r>
      <w:r w:rsidRPr="00A52535">
        <w:t>from 67.4 per cent in 2011/12 to 75 per cent in 2012/13.</w:t>
      </w:r>
    </w:p>
    <w:p w:rsidR="0043727F" w:rsidRPr="0043727F" w:rsidRDefault="0043727F" w:rsidP="0043727F">
      <w:pPr>
        <w:pStyle w:val="SingleTxtG"/>
      </w:pPr>
      <w:r w:rsidRPr="0043727F">
        <w:t>8.</w:t>
      </w:r>
      <w:r w:rsidRPr="0043727F">
        <w:tab/>
        <w:t>As to secondary education, (i) the gross enrolment rate rose from 24.9 per cent in 2009/10 to 29.5 per cent in 2012/13; (ii) in 2012/13 the participation rate for girls was 47.6 per cent; and (iii) the transition rate in 2012/13 was 52.7 per cent.</w:t>
      </w:r>
    </w:p>
    <w:p w:rsidR="0043727F" w:rsidRPr="0043727F" w:rsidRDefault="0043727F" w:rsidP="0043727F">
      <w:pPr>
        <w:pStyle w:val="SingleTxtG"/>
      </w:pPr>
      <w:r w:rsidRPr="0043727F">
        <w:t>9.</w:t>
      </w:r>
      <w:r w:rsidRPr="0043727F">
        <w:tab/>
        <w:t>In the area of health care, the Government</w:t>
      </w:r>
      <w:r w:rsidR="00FE5999">
        <w:t>’</w:t>
      </w:r>
      <w:r w:rsidRPr="0043727F">
        <w:t>s efforts to improve the health of the population through better quality and more accessible health services have led to: (i) the construction, renovation and fitting out of health centres; (ii) the expansion and renovation of the Bassikounou health centre in Hodh Ech Charghi; (iii) the construction of nursing schools; (iv) the acquisition of medical equipment; and (v) the acquisition of ambulances and 162 four-wheel motorcycles, the recruitment of 582 doctors and paramedics, the training of 440 paramedics and the hiring of 54 medical personnel from abroad.</w:t>
      </w:r>
    </w:p>
    <w:p w:rsidR="0043727F" w:rsidRPr="0043727F" w:rsidRDefault="0043727F" w:rsidP="0043727F">
      <w:pPr>
        <w:pStyle w:val="SingleTxtG"/>
      </w:pPr>
      <w:r w:rsidRPr="0043727F">
        <w:t>10.</w:t>
      </w:r>
      <w:r w:rsidRPr="0043727F">
        <w:tab/>
        <w:t xml:space="preserve">The status of the main health indicators is as follows: (i) 74 per cent of the population lives within 5 km of health services; (ii) the mortality rate for children under 5 stands at 114 per 1,000 live births; (iii) 78 per cent of children aged 1 have been vaccinated against measles; (iv) the maternal mortality rate is 585 per 100,000 live births; (v) the contraception rate is 11.4 per cent; (vi) the HIV/AIDS prevalence rate among 15- to 24-year-olds remains below 1 per cent, standing at 0.7 per cent; and (vii) 5.1 per cent of deaths in children under 5 are caused by malaria. </w:t>
      </w:r>
    </w:p>
    <w:p w:rsidR="0043727F" w:rsidRPr="0043727F" w:rsidRDefault="0043727F" w:rsidP="0043727F">
      <w:pPr>
        <w:pStyle w:val="SingleTxtG"/>
      </w:pPr>
      <w:r w:rsidRPr="0043727F">
        <w:t>11.</w:t>
      </w:r>
      <w:r w:rsidRPr="0043727F">
        <w:tab/>
        <w:t xml:space="preserve">With regard to access to potable water, the infrastructure projects currently under way, together with those completed in 2013, will provide access to a better quality potable water source for 58 per cent of the population — 48 per cent in rural areas and 60 per cent in urban areas. Work in the area of sanitation has increased the rate of access to improved facilities from 22 per cent of the population in 2010 to 34.5 per cent in 2013. </w:t>
      </w:r>
    </w:p>
    <w:p w:rsidR="0043727F" w:rsidRPr="0043727F" w:rsidRDefault="0043727F" w:rsidP="0043727F">
      <w:pPr>
        <w:pStyle w:val="SingleTxtG"/>
      </w:pPr>
      <w:r w:rsidRPr="0043727F">
        <w:t>12.</w:t>
      </w:r>
      <w:r w:rsidRPr="0043727F">
        <w:tab/>
        <w:t xml:space="preserve">The roll-out of electrification projects using solar and renewable energy has resulted in a marked increase in universal access to basic services. </w:t>
      </w:r>
    </w:p>
    <w:p w:rsidR="0043727F" w:rsidRPr="0043727F" w:rsidRDefault="0043727F" w:rsidP="0043727F">
      <w:pPr>
        <w:pStyle w:val="SingleTxtG"/>
      </w:pPr>
      <w:r w:rsidRPr="0043727F">
        <w:t>13.</w:t>
      </w:r>
      <w:r w:rsidRPr="0043727F">
        <w:tab/>
        <w:t>During the th</w:t>
      </w:r>
      <w:r w:rsidR="00A7152F">
        <w:t>ird year of phase 3 of the PRSP</w:t>
      </w:r>
      <w:r w:rsidRPr="0043727F">
        <w:t xml:space="preserve">, significant progress was achieved in all areas of governance (political, democratic, regional, local, environmental and economic) through the good governance and capacity-building initiatives implemented. </w:t>
      </w:r>
    </w:p>
    <w:p w:rsidR="0043727F" w:rsidRPr="0043727F" w:rsidRDefault="0043727F" w:rsidP="0043727F">
      <w:pPr>
        <w:pStyle w:val="SingleTxtG"/>
      </w:pPr>
      <w:r w:rsidRPr="0043727F">
        <w:t>14.</w:t>
      </w:r>
      <w:r w:rsidRPr="0043727F">
        <w:tab/>
        <w:t>Following the conclusion of the PRSP, the Government decided to establish a new strategy for accelerated growth and shared prosperity for 2015-2030. One of the aims of the strategy is to promote broad-based inclusive, environmentally friendly and sustainable economic growth designed to reduce inequality and create jobs. It also aims to tackle unemployment, strengthen resilience and ensure the fair distribution of prosperity.</w:t>
      </w:r>
    </w:p>
    <w:p w:rsidR="0043727F" w:rsidRPr="0043727F" w:rsidRDefault="0043727F" w:rsidP="0043727F">
      <w:pPr>
        <w:pStyle w:val="SingleTxtG"/>
      </w:pPr>
      <w:r w:rsidRPr="0043727F">
        <w:lastRenderedPageBreak/>
        <w:t>15.</w:t>
      </w:r>
      <w:r w:rsidRPr="0043727F">
        <w:tab/>
        <w:t xml:space="preserve">The Government has strengthened political and democratic governance through (i) the establishment of an Independent National Electoral Commission and (ii) the holding of free, transparent national and municipal elections. </w:t>
      </w:r>
      <w:bookmarkStart w:id="18" w:name="_Toc454388698"/>
      <w:bookmarkStart w:id="19" w:name="_Toc453672859"/>
    </w:p>
    <w:p w:rsidR="0043727F" w:rsidRPr="0043727F" w:rsidRDefault="0043727F" w:rsidP="0043727F">
      <w:pPr>
        <w:pStyle w:val="H1G"/>
        <w:rPr>
          <w:rFonts w:eastAsia="SimSun"/>
        </w:rPr>
      </w:pPr>
      <w:bookmarkStart w:id="20" w:name="_Toc455360511"/>
      <w:bookmarkStart w:id="21" w:name="_Toc455364115"/>
      <w:r w:rsidRPr="0043727F">
        <w:rPr>
          <w:rFonts w:eastAsia="SimSun"/>
        </w:rPr>
        <w:tab/>
      </w:r>
      <w:bookmarkStart w:id="22" w:name="_Toc479237754"/>
      <w:r w:rsidRPr="0043727F">
        <w:rPr>
          <w:rFonts w:eastAsia="SimSun"/>
        </w:rPr>
        <w:t>B.</w:t>
      </w:r>
      <w:r w:rsidRPr="0043727F">
        <w:rPr>
          <w:rFonts w:eastAsia="SimSun"/>
        </w:rPr>
        <w:tab/>
        <w:t xml:space="preserve">Constitutional and judicial </w:t>
      </w:r>
      <w:bookmarkEnd w:id="18"/>
      <w:bookmarkEnd w:id="19"/>
      <w:bookmarkEnd w:id="20"/>
      <w:bookmarkEnd w:id="21"/>
      <w:r w:rsidRPr="0043727F">
        <w:rPr>
          <w:rFonts w:eastAsia="SimSun"/>
        </w:rPr>
        <w:t>institutions</w:t>
      </w:r>
      <w:bookmarkEnd w:id="22"/>
    </w:p>
    <w:p w:rsidR="0043727F" w:rsidRPr="0043727F" w:rsidRDefault="0043727F" w:rsidP="0043727F">
      <w:pPr>
        <w:pStyle w:val="H23G"/>
        <w:rPr>
          <w:rFonts w:eastAsia="SimSun"/>
        </w:rPr>
      </w:pPr>
      <w:bookmarkStart w:id="23" w:name="_Toc454388699"/>
      <w:bookmarkStart w:id="24" w:name="_Toc453672860"/>
      <w:bookmarkStart w:id="25" w:name="_Toc455360512"/>
      <w:bookmarkStart w:id="26" w:name="_Toc455364116"/>
      <w:r w:rsidRPr="0043727F">
        <w:rPr>
          <w:rFonts w:eastAsia="SimSun"/>
        </w:rPr>
        <w:tab/>
        <w:t>1.</w:t>
      </w:r>
      <w:r w:rsidRPr="0043727F">
        <w:rPr>
          <w:rFonts w:eastAsia="SimSun"/>
        </w:rPr>
        <w:tab/>
        <w:t xml:space="preserve">Constitutional </w:t>
      </w:r>
      <w:bookmarkEnd w:id="23"/>
      <w:bookmarkEnd w:id="24"/>
      <w:bookmarkEnd w:id="25"/>
      <w:bookmarkEnd w:id="26"/>
      <w:r w:rsidRPr="0043727F">
        <w:rPr>
          <w:rFonts w:eastAsia="SimSun"/>
        </w:rPr>
        <w:t>institutions</w:t>
      </w:r>
    </w:p>
    <w:p w:rsidR="0043727F" w:rsidRPr="0043727F" w:rsidRDefault="0043727F" w:rsidP="0043727F">
      <w:pPr>
        <w:pStyle w:val="SingleTxtG"/>
      </w:pPr>
      <w:r w:rsidRPr="0043727F">
        <w:t>16.</w:t>
      </w:r>
      <w:r w:rsidRPr="0043727F">
        <w:tab/>
        <w:t xml:space="preserve">The Constitution of 20 July 1991, as amended in 2006 and 2012, established several institutions, including the Constitutional Council, the Economic and Social Council, the Court of Audit, the Supreme Islamic Council and the National Human Rights Commission. </w:t>
      </w:r>
    </w:p>
    <w:p w:rsidR="0043727F" w:rsidRPr="0043727F" w:rsidRDefault="0043727F" w:rsidP="0043727F">
      <w:pPr>
        <w:pStyle w:val="SingleTxtG"/>
      </w:pPr>
      <w:r w:rsidRPr="0043727F">
        <w:t>17.</w:t>
      </w:r>
      <w:r w:rsidRPr="0043727F">
        <w:tab/>
        <w:t xml:space="preserve">Article 1 of the Constitution states that </w:t>
      </w:r>
      <w:r w:rsidR="00FE5999">
        <w:t>“</w:t>
      </w:r>
      <w:r w:rsidRPr="0043727F">
        <w:t>Mauritania is an indivisible, democratic and social Islamic republic. The Republic guarantees all citizens equality before the law, without distinction as to origin, race, sex or social status.</w:t>
      </w:r>
      <w:r w:rsidR="00FE5999">
        <w:t>”</w:t>
      </w:r>
      <w:r w:rsidRPr="0043727F">
        <w:t xml:space="preserve"> Article 3 enshrines the principle of democracy, stating that </w:t>
      </w:r>
      <w:r w:rsidR="00FE5999">
        <w:t>“</w:t>
      </w:r>
      <w:r w:rsidRPr="0043727F">
        <w:t>sovereignty belongs to the Mauritanian people, who shall exercise it through their representatives or by referendum.</w:t>
      </w:r>
      <w:r w:rsidR="00FE5999">
        <w:t>”</w:t>
      </w:r>
      <w:r w:rsidRPr="0043727F">
        <w:t xml:space="preserve"> </w:t>
      </w:r>
    </w:p>
    <w:p w:rsidR="0043727F" w:rsidRPr="0043727F" w:rsidRDefault="0043727F" w:rsidP="0043727F">
      <w:pPr>
        <w:pStyle w:val="SingleTxtG"/>
      </w:pPr>
      <w:r w:rsidRPr="0043727F">
        <w:t>18.</w:t>
      </w:r>
      <w:r w:rsidRPr="0043727F">
        <w:tab/>
        <w:t>The republican State is founded on the principle of separation of powers. The President of the Republic is elected by direct universal suffrage for a term of five years, renewable once. The President defines national policy, which is implemented by the Government, led by the Prime Minister.</w:t>
      </w:r>
    </w:p>
    <w:p w:rsidR="0043727F" w:rsidRPr="0043727F" w:rsidRDefault="0043727F" w:rsidP="0043727F">
      <w:pPr>
        <w:pStyle w:val="SingleTxtG"/>
      </w:pPr>
      <w:r w:rsidRPr="0043727F">
        <w:t>19.</w:t>
      </w:r>
      <w:r w:rsidRPr="0043727F">
        <w:tab/>
        <w:t>Legislative power is exercised by the parliament, which adopts laws and is responsible for oversight of government action. The parliament is made up of the National Assembly and the Senate.</w:t>
      </w:r>
    </w:p>
    <w:p w:rsidR="0043727F" w:rsidRPr="0043727F" w:rsidRDefault="0043727F" w:rsidP="0043727F">
      <w:pPr>
        <w:pStyle w:val="SingleTxtG"/>
      </w:pPr>
      <w:r w:rsidRPr="0043727F">
        <w:t>20.</w:t>
      </w:r>
      <w:r w:rsidRPr="0043727F">
        <w:tab/>
        <w:t xml:space="preserve">Mauritania has a decentralized and devolved administrative structure. Its territory is organized into several administrative levels: 15 </w:t>
      </w:r>
      <w:r w:rsidRPr="00FE5999">
        <w:rPr>
          <w:i/>
          <w:iCs/>
        </w:rPr>
        <w:t>wilayas</w:t>
      </w:r>
      <w:r w:rsidRPr="0043727F">
        <w:t xml:space="preserve"> (regions), 58 </w:t>
      </w:r>
      <w:r w:rsidRPr="00FE5999">
        <w:rPr>
          <w:i/>
          <w:iCs/>
        </w:rPr>
        <w:t>moughataas</w:t>
      </w:r>
      <w:r w:rsidRPr="0043727F">
        <w:t xml:space="preserve"> (departments) and 218 communes. The different levels of the administration work together to ensure the political, economic and social development of the country. </w:t>
      </w:r>
      <w:bookmarkStart w:id="27" w:name="_Toc453672861"/>
    </w:p>
    <w:p w:rsidR="0043727F" w:rsidRPr="0043727F" w:rsidRDefault="0043727F" w:rsidP="0043727F">
      <w:pPr>
        <w:pStyle w:val="H23G"/>
        <w:rPr>
          <w:rFonts w:eastAsia="SimSun"/>
        </w:rPr>
      </w:pPr>
      <w:bookmarkStart w:id="28" w:name="_Toc454388700"/>
      <w:bookmarkStart w:id="29" w:name="_Toc455360513"/>
      <w:bookmarkStart w:id="30" w:name="_Toc455364117"/>
      <w:r w:rsidRPr="0043727F">
        <w:rPr>
          <w:rFonts w:eastAsia="SimSun"/>
        </w:rPr>
        <w:tab/>
        <w:t>2.</w:t>
      </w:r>
      <w:r w:rsidRPr="0043727F">
        <w:rPr>
          <w:rFonts w:eastAsia="SimSun"/>
        </w:rPr>
        <w:tab/>
        <w:t>Judicial institutions</w:t>
      </w:r>
      <w:bookmarkEnd w:id="27"/>
      <w:bookmarkEnd w:id="28"/>
      <w:bookmarkEnd w:id="29"/>
      <w:bookmarkEnd w:id="30"/>
    </w:p>
    <w:p w:rsidR="0043727F" w:rsidRPr="0043727F" w:rsidRDefault="0043727F" w:rsidP="0043727F">
      <w:pPr>
        <w:pStyle w:val="SingleTxtG"/>
      </w:pPr>
      <w:r w:rsidRPr="0043727F">
        <w:t>21.</w:t>
      </w:r>
      <w:r w:rsidRPr="0043727F">
        <w:tab/>
        <w:t xml:space="preserve">The judicial system is based on the second-hearing principle (the same case may be tried at first and second instance). The system comprises courts at the level of the </w:t>
      </w:r>
      <w:r w:rsidRPr="00FE5999">
        <w:rPr>
          <w:i/>
          <w:iCs/>
        </w:rPr>
        <w:t>moughataa</w:t>
      </w:r>
      <w:r w:rsidRPr="0043727F">
        <w:t xml:space="preserve"> and </w:t>
      </w:r>
      <w:r w:rsidRPr="00FE5999">
        <w:rPr>
          <w:i/>
          <w:iCs/>
        </w:rPr>
        <w:t>wilaya</w:t>
      </w:r>
      <w:r w:rsidRPr="0043727F">
        <w:t xml:space="preserve">, courts of appeal and a supreme court. The High Court of Justice is responsible for trying the most senior State officials (the President of the Republic and the members of the Government). The Constitutional Court hears cases concerning constitutional matters. </w:t>
      </w:r>
    </w:p>
    <w:p w:rsidR="0043727F" w:rsidRPr="0043727F" w:rsidRDefault="0043727F" w:rsidP="0043727F">
      <w:pPr>
        <w:pStyle w:val="SingleTxtG"/>
      </w:pPr>
      <w:r w:rsidRPr="0043727F">
        <w:t>22.</w:t>
      </w:r>
      <w:r w:rsidRPr="0043727F">
        <w:tab/>
        <w:t>The High Council for Fatwas and Administrative Appeals offers those seeking justice solutions that comply with Islamic law.</w:t>
      </w:r>
    </w:p>
    <w:p w:rsidR="0043727F" w:rsidRPr="0043727F" w:rsidRDefault="0043727F" w:rsidP="0043727F">
      <w:pPr>
        <w:pStyle w:val="SingleTxtG"/>
      </w:pPr>
      <w:r w:rsidRPr="0043727F">
        <w:t>23.</w:t>
      </w:r>
      <w:r w:rsidRPr="0043727F">
        <w:tab/>
        <w:t xml:space="preserve">The Government has improved the efficiency of the justice system by making justice more accessible through the establishment of courts, including a court of appeal in Aleg, two regional courts in Nouakchott North and Nouakchott South, a labour court in Zouerate and three specialized anti-slavery courts. It has also established a national anti-corruption strategy, while sectoral plans to combat corruption are implemented by Government departments, in collaboration with civil society, to ensure compliance with national anti-corruption legislation. </w:t>
      </w:r>
    </w:p>
    <w:p w:rsidR="00B53E9F" w:rsidRDefault="0043727F" w:rsidP="00B53E9F">
      <w:pPr>
        <w:pStyle w:val="Heading1"/>
      </w:pPr>
      <w:bookmarkStart w:id="31" w:name="_Toc479237755"/>
      <w:r w:rsidRPr="0043727F">
        <w:t>Table 2</w:t>
      </w:r>
      <w:bookmarkEnd w:id="31"/>
    </w:p>
    <w:p w:rsidR="0043727F" w:rsidRPr="0029525D" w:rsidRDefault="0043727F" w:rsidP="00B53E9F">
      <w:pPr>
        <w:pStyle w:val="SingleTxtG"/>
        <w:jc w:val="left"/>
        <w:rPr>
          <w:b/>
        </w:rPr>
      </w:pPr>
      <w:r w:rsidRPr="0029525D">
        <w:rPr>
          <w:b/>
        </w:rPr>
        <w:t>Courts of first instance (2014)</w:t>
      </w:r>
      <w:r w:rsidRPr="0029525D">
        <w:rPr>
          <w:b/>
        </w:rPr>
        <w:br/>
        <w:t>Civil, commercial and administrative cases</w:t>
      </w:r>
    </w:p>
    <w:tbl>
      <w:tblPr>
        <w:tblW w:w="7371"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3685"/>
        <w:gridCol w:w="3686"/>
      </w:tblGrid>
      <w:tr w:rsidR="0043727F" w:rsidRPr="00D23112" w:rsidTr="001C0480">
        <w:trPr>
          <w:trHeight w:val="240"/>
          <w:tblHeader/>
          <w:jc w:val="center"/>
        </w:trPr>
        <w:tc>
          <w:tcPr>
            <w:tcW w:w="3685" w:type="dxa"/>
            <w:tcBorders>
              <w:top w:val="single" w:sz="4" w:space="0" w:color="auto"/>
              <w:bottom w:val="single" w:sz="12" w:space="0" w:color="auto"/>
            </w:tcBorders>
            <w:shd w:val="clear" w:color="auto" w:fill="auto"/>
            <w:vAlign w:val="bottom"/>
            <w:hideMark/>
          </w:tcPr>
          <w:p w:rsidR="0043727F" w:rsidRPr="00D23112" w:rsidRDefault="0043727F" w:rsidP="000D7776">
            <w:pPr>
              <w:spacing w:before="80" w:after="80" w:line="200" w:lineRule="exact"/>
              <w:ind w:right="113"/>
              <w:rPr>
                <w:i/>
                <w:iCs/>
                <w:sz w:val="16"/>
                <w:szCs w:val="16"/>
              </w:rPr>
            </w:pPr>
            <w:r w:rsidRPr="00D23112">
              <w:rPr>
                <w:i/>
                <w:iCs/>
                <w:sz w:val="16"/>
                <w:szCs w:val="16"/>
              </w:rPr>
              <w:t>Type</w:t>
            </w:r>
          </w:p>
        </w:tc>
        <w:tc>
          <w:tcPr>
            <w:tcW w:w="3686" w:type="dxa"/>
            <w:tcBorders>
              <w:top w:val="single" w:sz="4" w:space="0" w:color="auto"/>
              <w:bottom w:val="single" w:sz="12" w:space="0" w:color="auto"/>
            </w:tcBorders>
            <w:shd w:val="clear" w:color="auto" w:fill="auto"/>
            <w:vAlign w:val="bottom"/>
            <w:hideMark/>
          </w:tcPr>
          <w:p w:rsidR="0043727F" w:rsidRPr="00D23112" w:rsidRDefault="0043727F" w:rsidP="00D23112">
            <w:pPr>
              <w:spacing w:before="80" w:after="80" w:line="200" w:lineRule="exact"/>
              <w:ind w:right="113"/>
              <w:jc w:val="right"/>
              <w:rPr>
                <w:i/>
                <w:iCs/>
                <w:sz w:val="16"/>
                <w:szCs w:val="16"/>
              </w:rPr>
            </w:pPr>
            <w:r w:rsidRPr="00D23112">
              <w:rPr>
                <w:i/>
                <w:iCs/>
                <w:sz w:val="16"/>
                <w:szCs w:val="16"/>
              </w:rPr>
              <w:t>Number</w:t>
            </w:r>
          </w:p>
        </w:tc>
      </w:tr>
      <w:tr w:rsidR="001C0480" w:rsidRPr="0043727F" w:rsidTr="001C0480">
        <w:trPr>
          <w:trHeight w:hRule="exact" w:val="113"/>
          <w:tblHeader/>
          <w:jc w:val="center"/>
        </w:trPr>
        <w:tc>
          <w:tcPr>
            <w:tcW w:w="3685" w:type="dxa"/>
            <w:tcBorders>
              <w:top w:val="single" w:sz="12" w:space="0" w:color="auto"/>
              <w:bottom w:val="nil"/>
            </w:tcBorders>
            <w:shd w:val="clear" w:color="auto" w:fill="auto"/>
            <w:vAlign w:val="bottom"/>
          </w:tcPr>
          <w:p w:rsidR="001C0480" w:rsidRPr="00D23112" w:rsidRDefault="001C0480" w:rsidP="000D7776">
            <w:pPr>
              <w:spacing w:before="40" w:after="40" w:line="220" w:lineRule="exact"/>
              <w:ind w:right="113"/>
              <w:rPr>
                <w:sz w:val="18"/>
                <w:szCs w:val="18"/>
              </w:rPr>
            </w:pPr>
          </w:p>
        </w:tc>
        <w:tc>
          <w:tcPr>
            <w:tcW w:w="3686" w:type="dxa"/>
            <w:tcBorders>
              <w:top w:val="single" w:sz="12" w:space="0" w:color="auto"/>
              <w:bottom w:val="nil"/>
            </w:tcBorders>
            <w:shd w:val="clear" w:color="auto" w:fill="auto"/>
            <w:vAlign w:val="bottom"/>
          </w:tcPr>
          <w:p w:rsidR="001C0480" w:rsidRPr="00D23112" w:rsidRDefault="001C0480" w:rsidP="00D23112">
            <w:pPr>
              <w:spacing w:before="40" w:after="40" w:line="220" w:lineRule="exact"/>
              <w:ind w:right="113"/>
              <w:jc w:val="right"/>
              <w:rPr>
                <w:sz w:val="18"/>
                <w:szCs w:val="18"/>
              </w:rPr>
            </w:pPr>
          </w:p>
        </w:tc>
      </w:tr>
      <w:tr w:rsidR="0043727F" w:rsidRPr="0043727F" w:rsidTr="001C0480">
        <w:trPr>
          <w:trHeight w:val="240"/>
          <w:jc w:val="center"/>
        </w:trPr>
        <w:tc>
          <w:tcPr>
            <w:tcW w:w="3685" w:type="dxa"/>
            <w:tcBorders>
              <w:top w:val="nil"/>
            </w:tcBorders>
            <w:shd w:val="clear" w:color="auto" w:fill="auto"/>
            <w:vAlign w:val="bottom"/>
            <w:hideMark/>
          </w:tcPr>
          <w:p w:rsidR="0043727F" w:rsidRPr="00D23112" w:rsidRDefault="0043727F" w:rsidP="000D7776">
            <w:pPr>
              <w:spacing w:before="40" w:after="40" w:line="220" w:lineRule="exact"/>
              <w:ind w:right="113"/>
              <w:rPr>
                <w:sz w:val="18"/>
                <w:szCs w:val="18"/>
              </w:rPr>
            </w:pPr>
            <w:r w:rsidRPr="00D23112">
              <w:rPr>
                <w:sz w:val="18"/>
                <w:szCs w:val="18"/>
              </w:rPr>
              <w:t>Cases filed</w:t>
            </w:r>
          </w:p>
        </w:tc>
        <w:tc>
          <w:tcPr>
            <w:tcW w:w="3686" w:type="dxa"/>
            <w:tcBorders>
              <w:top w:val="nil"/>
            </w:tcBorders>
            <w:shd w:val="clear" w:color="auto" w:fill="auto"/>
            <w:vAlign w:val="bottom"/>
            <w:hideMark/>
          </w:tcPr>
          <w:p w:rsidR="0043727F" w:rsidRPr="00D23112" w:rsidRDefault="0043727F" w:rsidP="00D23112">
            <w:pPr>
              <w:spacing w:before="40" w:after="40" w:line="220" w:lineRule="exact"/>
              <w:ind w:right="113"/>
              <w:jc w:val="right"/>
              <w:rPr>
                <w:sz w:val="18"/>
                <w:szCs w:val="18"/>
              </w:rPr>
            </w:pPr>
            <w:r w:rsidRPr="00D23112">
              <w:rPr>
                <w:sz w:val="18"/>
                <w:szCs w:val="18"/>
              </w:rPr>
              <w:t>5 937</w:t>
            </w:r>
          </w:p>
        </w:tc>
      </w:tr>
      <w:tr w:rsidR="0043727F" w:rsidRPr="0043727F" w:rsidTr="00E670E4">
        <w:trPr>
          <w:trHeight w:val="240"/>
          <w:jc w:val="center"/>
        </w:trPr>
        <w:tc>
          <w:tcPr>
            <w:tcW w:w="3685" w:type="dxa"/>
            <w:shd w:val="clear" w:color="auto" w:fill="auto"/>
            <w:vAlign w:val="bottom"/>
            <w:hideMark/>
          </w:tcPr>
          <w:p w:rsidR="0043727F" w:rsidRPr="00D23112" w:rsidRDefault="0043727F" w:rsidP="000D7776">
            <w:pPr>
              <w:spacing w:before="40" w:after="40" w:line="220" w:lineRule="exact"/>
              <w:ind w:right="113"/>
              <w:rPr>
                <w:sz w:val="18"/>
                <w:szCs w:val="18"/>
              </w:rPr>
            </w:pPr>
            <w:r w:rsidRPr="00D23112">
              <w:rPr>
                <w:sz w:val="18"/>
                <w:szCs w:val="18"/>
              </w:rPr>
              <w:t>Judgments handed down</w:t>
            </w:r>
          </w:p>
        </w:tc>
        <w:tc>
          <w:tcPr>
            <w:tcW w:w="3686" w:type="dxa"/>
            <w:shd w:val="clear" w:color="auto" w:fill="auto"/>
            <w:vAlign w:val="bottom"/>
            <w:hideMark/>
          </w:tcPr>
          <w:p w:rsidR="0043727F" w:rsidRPr="00D23112" w:rsidRDefault="0043727F" w:rsidP="00D23112">
            <w:pPr>
              <w:spacing w:before="40" w:after="40" w:line="220" w:lineRule="exact"/>
              <w:ind w:right="113"/>
              <w:jc w:val="right"/>
              <w:rPr>
                <w:sz w:val="18"/>
                <w:szCs w:val="18"/>
              </w:rPr>
            </w:pPr>
            <w:r w:rsidRPr="00D23112">
              <w:rPr>
                <w:sz w:val="18"/>
                <w:szCs w:val="18"/>
              </w:rPr>
              <w:t>1 339</w:t>
            </w:r>
          </w:p>
        </w:tc>
      </w:tr>
      <w:tr w:rsidR="0043727F" w:rsidRPr="0043727F" w:rsidTr="00E670E4">
        <w:trPr>
          <w:trHeight w:val="240"/>
          <w:jc w:val="center"/>
        </w:trPr>
        <w:tc>
          <w:tcPr>
            <w:tcW w:w="3685" w:type="dxa"/>
            <w:shd w:val="clear" w:color="auto" w:fill="auto"/>
            <w:vAlign w:val="bottom"/>
            <w:hideMark/>
          </w:tcPr>
          <w:p w:rsidR="0043727F" w:rsidRPr="00D23112" w:rsidRDefault="0043727F" w:rsidP="000D7776">
            <w:pPr>
              <w:spacing w:before="40" w:after="40" w:line="220" w:lineRule="exact"/>
              <w:ind w:right="113"/>
              <w:rPr>
                <w:sz w:val="18"/>
                <w:szCs w:val="18"/>
              </w:rPr>
            </w:pPr>
            <w:r w:rsidRPr="00D23112">
              <w:rPr>
                <w:sz w:val="18"/>
                <w:szCs w:val="18"/>
              </w:rPr>
              <w:t>Conciliation proceedings</w:t>
            </w:r>
          </w:p>
        </w:tc>
        <w:tc>
          <w:tcPr>
            <w:tcW w:w="3686" w:type="dxa"/>
            <w:shd w:val="clear" w:color="auto" w:fill="auto"/>
            <w:vAlign w:val="bottom"/>
            <w:hideMark/>
          </w:tcPr>
          <w:p w:rsidR="0043727F" w:rsidRPr="00D23112" w:rsidRDefault="0043727F" w:rsidP="00D23112">
            <w:pPr>
              <w:spacing w:before="40" w:after="40" w:line="220" w:lineRule="exact"/>
              <w:ind w:right="113"/>
              <w:jc w:val="right"/>
              <w:rPr>
                <w:sz w:val="18"/>
                <w:szCs w:val="18"/>
              </w:rPr>
            </w:pPr>
            <w:r w:rsidRPr="00D23112">
              <w:rPr>
                <w:sz w:val="18"/>
                <w:szCs w:val="18"/>
              </w:rPr>
              <w:t>2 040</w:t>
            </w:r>
          </w:p>
        </w:tc>
      </w:tr>
      <w:tr w:rsidR="0043727F" w:rsidRPr="0043727F" w:rsidTr="00E670E4">
        <w:trPr>
          <w:trHeight w:val="240"/>
          <w:jc w:val="center"/>
        </w:trPr>
        <w:tc>
          <w:tcPr>
            <w:tcW w:w="3685" w:type="dxa"/>
            <w:shd w:val="clear" w:color="auto" w:fill="auto"/>
            <w:vAlign w:val="bottom"/>
            <w:hideMark/>
          </w:tcPr>
          <w:p w:rsidR="0043727F" w:rsidRPr="00D23112" w:rsidRDefault="0043727F" w:rsidP="000D7776">
            <w:pPr>
              <w:spacing w:before="40" w:after="40" w:line="220" w:lineRule="exact"/>
              <w:ind w:right="113"/>
              <w:rPr>
                <w:sz w:val="18"/>
                <w:szCs w:val="18"/>
              </w:rPr>
            </w:pPr>
            <w:r w:rsidRPr="00D23112">
              <w:rPr>
                <w:sz w:val="18"/>
                <w:szCs w:val="18"/>
              </w:rPr>
              <w:t>Appeals</w:t>
            </w:r>
          </w:p>
        </w:tc>
        <w:tc>
          <w:tcPr>
            <w:tcW w:w="3686" w:type="dxa"/>
            <w:shd w:val="clear" w:color="auto" w:fill="auto"/>
            <w:vAlign w:val="bottom"/>
            <w:hideMark/>
          </w:tcPr>
          <w:p w:rsidR="0043727F" w:rsidRPr="00D23112" w:rsidRDefault="0043727F" w:rsidP="00D23112">
            <w:pPr>
              <w:spacing w:before="40" w:after="40" w:line="220" w:lineRule="exact"/>
              <w:ind w:right="113"/>
              <w:jc w:val="right"/>
              <w:rPr>
                <w:sz w:val="18"/>
                <w:szCs w:val="18"/>
              </w:rPr>
            </w:pPr>
            <w:r w:rsidRPr="00D23112">
              <w:rPr>
                <w:sz w:val="18"/>
                <w:szCs w:val="18"/>
              </w:rPr>
              <w:t>984</w:t>
            </w:r>
          </w:p>
        </w:tc>
      </w:tr>
      <w:tr w:rsidR="0043727F" w:rsidRPr="0043727F" w:rsidTr="00E670E4">
        <w:trPr>
          <w:trHeight w:val="240"/>
          <w:jc w:val="center"/>
        </w:trPr>
        <w:tc>
          <w:tcPr>
            <w:tcW w:w="3685" w:type="dxa"/>
            <w:shd w:val="clear" w:color="auto" w:fill="auto"/>
            <w:vAlign w:val="bottom"/>
            <w:hideMark/>
          </w:tcPr>
          <w:p w:rsidR="0043727F" w:rsidRPr="00D23112" w:rsidRDefault="0043727F" w:rsidP="000D7776">
            <w:pPr>
              <w:spacing w:before="40" w:after="40" w:line="220" w:lineRule="exact"/>
              <w:ind w:right="113"/>
              <w:rPr>
                <w:sz w:val="18"/>
                <w:szCs w:val="18"/>
              </w:rPr>
            </w:pPr>
            <w:r w:rsidRPr="00D23112">
              <w:rPr>
                <w:sz w:val="18"/>
                <w:szCs w:val="18"/>
              </w:rPr>
              <w:lastRenderedPageBreak/>
              <w:t>Appeals in cassation</w:t>
            </w:r>
          </w:p>
        </w:tc>
        <w:tc>
          <w:tcPr>
            <w:tcW w:w="3686" w:type="dxa"/>
            <w:shd w:val="clear" w:color="auto" w:fill="auto"/>
            <w:vAlign w:val="bottom"/>
            <w:hideMark/>
          </w:tcPr>
          <w:p w:rsidR="0043727F" w:rsidRPr="00D23112" w:rsidRDefault="0043727F" w:rsidP="00D23112">
            <w:pPr>
              <w:spacing w:before="40" w:after="40" w:line="220" w:lineRule="exact"/>
              <w:ind w:right="113"/>
              <w:jc w:val="right"/>
              <w:rPr>
                <w:sz w:val="18"/>
                <w:szCs w:val="18"/>
              </w:rPr>
            </w:pPr>
            <w:r w:rsidRPr="00D23112">
              <w:rPr>
                <w:sz w:val="18"/>
                <w:szCs w:val="18"/>
              </w:rPr>
              <w:t>37</w:t>
            </w:r>
          </w:p>
        </w:tc>
      </w:tr>
      <w:tr w:rsidR="0043727F" w:rsidRPr="0043727F" w:rsidTr="00E670E4">
        <w:trPr>
          <w:trHeight w:val="240"/>
          <w:jc w:val="center"/>
        </w:trPr>
        <w:tc>
          <w:tcPr>
            <w:tcW w:w="3685" w:type="dxa"/>
            <w:shd w:val="clear" w:color="auto" w:fill="auto"/>
            <w:vAlign w:val="bottom"/>
            <w:hideMark/>
          </w:tcPr>
          <w:p w:rsidR="0043727F" w:rsidRPr="00D23112" w:rsidRDefault="0043727F" w:rsidP="000D7776">
            <w:pPr>
              <w:spacing w:before="40" w:after="40" w:line="220" w:lineRule="exact"/>
              <w:ind w:right="113"/>
              <w:rPr>
                <w:sz w:val="18"/>
                <w:szCs w:val="18"/>
              </w:rPr>
            </w:pPr>
            <w:r w:rsidRPr="00D23112">
              <w:rPr>
                <w:sz w:val="18"/>
                <w:szCs w:val="18"/>
              </w:rPr>
              <w:t>Provisional orders</w:t>
            </w:r>
          </w:p>
        </w:tc>
        <w:tc>
          <w:tcPr>
            <w:tcW w:w="3686" w:type="dxa"/>
            <w:shd w:val="clear" w:color="auto" w:fill="auto"/>
            <w:vAlign w:val="bottom"/>
            <w:hideMark/>
          </w:tcPr>
          <w:p w:rsidR="0043727F" w:rsidRPr="00D23112" w:rsidRDefault="0043727F" w:rsidP="00D23112">
            <w:pPr>
              <w:spacing w:before="40" w:after="40" w:line="220" w:lineRule="exact"/>
              <w:ind w:right="113"/>
              <w:jc w:val="right"/>
              <w:rPr>
                <w:sz w:val="18"/>
                <w:szCs w:val="18"/>
              </w:rPr>
            </w:pPr>
            <w:r w:rsidRPr="00D23112">
              <w:rPr>
                <w:sz w:val="18"/>
                <w:szCs w:val="18"/>
              </w:rPr>
              <w:t>4 601</w:t>
            </w:r>
          </w:p>
        </w:tc>
      </w:tr>
      <w:tr w:rsidR="0043727F" w:rsidRPr="0043727F" w:rsidTr="00E670E4">
        <w:trPr>
          <w:trHeight w:val="240"/>
          <w:jc w:val="center"/>
        </w:trPr>
        <w:tc>
          <w:tcPr>
            <w:tcW w:w="3685" w:type="dxa"/>
            <w:shd w:val="clear" w:color="auto" w:fill="auto"/>
            <w:vAlign w:val="bottom"/>
            <w:hideMark/>
          </w:tcPr>
          <w:p w:rsidR="0043727F" w:rsidRPr="00D23112" w:rsidRDefault="0043727F" w:rsidP="000D7776">
            <w:pPr>
              <w:spacing w:before="40" w:after="40" w:line="220" w:lineRule="exact"/>
              <w:ind w:right="113"/>
              <w:rPr>
                <w:sz w:val="18"/>
                <w:szCs w:val="18"/>
              </w:rPr>
            </w:pPr>
            <w:r w:rsidRPr="00D23112">
              <w:rPr>
                <w:sz w:val="18"/>
                <w:szCs w:val="18"/>
              </w:rPr>
              <w:t>Appeals against provisional orders</w:t>
            </w:r>
          </w:p>
        </w:tc>
        <w:tc>
          <w:tcPr>
            <w:tcW w:w="3686" w:type="dxa"/>
            <w:shd w:val="clear" w:color="auto" w:fill="auto"/>
            <w:vAlign w:val="bottom"/>
            <w:hideMark/>
          </w:tcPr>
          <w:p w:rsidR="0043727F" w:rsidRPr="00D23112" w:rsidRDefault="0043727F" w:rsidP="00D23112">
            <w:pPr>
              <w:spacing w:before="40" w:after="40" w:line="220" w:lineRule="exact"/>
              <w:ind w:right="113"/>
              <w:jc w:val="right"/>
              <w:rPr>
                <w:sz w:val="18"/>
                <w:szCs w:val="18"/>
              </w:rPr>
            </w:pPr>
            <w:r w:rsidRPr="00D23112">
              <w:rPr>
                <w:sz w:val="18"/>
                <w:szCs w:val="18"/>
              </w:rPr>
              <w:t>323</w:t>
            </w:r>
          </w:p>
        </w:tc>
      </w:tr>
      <w:tr w:rsidR="0043727F" w:rsidRPr="0043727F" w:rsidTr="00E670E4">
        <w:trPr>
          <w:trHeight w:val="240"/>
          <w:jc w:val="center"/>
        </w:trPr>
        <w:tc>
          <w:tcPr>
            <w:tcW w:w="3685" w:type="dxa"/>
            <w:tcBorders>
              <w:bottom w:val="single" w:sz="12" w:space="0" w:color="auto"/>
            </w:tcBorders>
            <w:shd w:val="clear" w:color="auto" w:fill="auto"/>
            <w:vAlign w:val="bottom"/>
            <w:hideMark/>
          </w:tcPr>
          <w:p w:rsidR="0043727F" w:rsidRPr="00D23112" w:rsidRDefault="0043727F" w:rsidP="000D7776">
            <w:pPr>
              <w:spacing w:before="40" w:after="40" w:line="220" w:lineRule="exact"/>
              <w:ind w:right="113"/>
              <w:rPr>
                <w:sz w:val="18"/>
                <w:szCs w:val="18"/>
              </w:rPr>
            </w:pPr>
            <w:r w:rsidRPr="00D23112">
              <w:rPr>
                <w:sz w:val="18"/>
                <w:szCs w:val="18"/>
              </w:rPr>
              <w:t>Applications to set aside judgments</w:t>
            </w:r>
          </w:p>
        </w:tc>
        <w:tc>
          <w:tcPr>
            <w:tcW w:w="3686" w:type="dxa"/>
            <w:tcBorders>
              <w:bottom w:val="single" w:sz="12" w:space="0" w:color="auto"/>
            </w:tcBorders>
            <w:shd w:val="clear" w:color="auto" w:fill="auto"/>
            <w:vAlign w:val="bottom"/>
            <w:hideMark/>
          </w:tcPr>
          <w:p w:rsidR="0043727F" w:rsidRPr="00D23112" w:rsidRDefault="0043727F" w:rsidP="00D23112">
            <w:pPr>
              <w:spacing w:before="40" w:after="40" w:line="220" w:lineRule="exact"/>
              <w:ind w:right="113"/>
              <w:jc w:val="right"/>
              <w:rPr>
                <w:sz w:val="18"/>
                <w:szCs w:val="18"/>
              </w:rPr>
            </w:pPr>
            <w:r w:rsidRPr="00D23112">
              <w:rPr>
                <w:sz w:val="18"/>
                <w:szCs w:val="18"/>
              </w:rPr>
              <w:t>49</w:t>
            </w:r>
          </w:p>
        </w:tc>
      </w:tr>
    </w:tbl>
    <w:p w:rsidR="0043727F" w:rsidRDefault="0043727F" w:rsidP="0043727F">
      <w:pPr>
        <w:pStyle w:val="H23G"/>
      </w:pPr>
      <w:r>
        <w:tab/>
      </w:r>
      <w:r>
        <w:tab/>
      </w:r>
      <w:r w:rsidRPr="0043727F">
        <w:t>Criminal, correctional and juvenile courts</w:t>
      </w:r>
    </w:p>
    <w:tbl>
      <w:tblPr>
        <w:tblW w:w="7371"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5670"/>
        <w:gridCol w:w="1701"/>
      </w:tblGrid>
      <w:tr w:rsidR="0043727F" w:rsidRPr="0043727F" w:rsidTr="00E670E4">
        <w:trPr>
          <w:trHeight w:val="240"/>
          <w:tblHeader/>
          <w:jc w:val="center"/>
        </w:trPr>
        <w:tc>
          <w:tcPr>
            <w:tcW w:w="5670" w:type="dxa"/>
            <w:tcBorders>
              <w:top w:val="single" w:sz="4" w:space="0" w:color="auto"/>
              <w:bottom w:val="single" w:sz="12" w:space="0" w:color="auto"/>
            </w:tcBorders>
            <w:shd w:val="clear" w:color="auto" w:fill="auto"/>
            <w:vAlign w:val="bottom"/>
            <w:hideMark/>
          </w:tcPr>
          <w:p w:rsidR="0043727F" w:rsidRPr="00803E8A" w:rsidRDefault="0043727F" w:rsidP="00803E8A">
            <w:pPr>
              <w:spacing w:before="80" w:after="80" w:line="200" w:lineRule="exact"/>
              <w:ind w:right="113"/>
              <w:rPr>
                <w:i/>
                <w:iCs/>
                <w:sz w:val="16"/>
                <w:szCs w:val="16"/>
              </w:rPr>
            </w:pPr>
            <w:r w:rsidRPr="00803E8A">
              <w:rPr>
                <w:i/>
                <w:iCs/>
                <w:sz w:val="16"/>
                <w:szCs w:val="16"/>
              </w:rPr>
              <w:t>Type</w:t>
            </w:r>
          </w:p>
        </w:tc>
        <w:tc>
          <w:tcPr>
            <w:tcW w:w="1701" w:type="dxa"/>
            <w:tcBorders>
              <w:top w:val="single" w:sz="4" w:space="0" w:color="auto"/>
              <w:bottom w:val="single" w:sz="12" w:space="0" w:color="auto"/>
            </w:tcBorders>
            <w:shd w:val="clear" w:color="auto" w:fill="auto"/>
            <w:vAlign w:val="bottom"/>
            <w:hideMark/>
          </w:tcPr>
          <w:p w:rsidR="0043727F" w:rsidRPr="0043727F" w:rsidRDefault="0043727F" w:rsidP="00803E8A">
            <w:pPr>
              <w:spacing w:before="80" w:after="80" w:line="200" w:lineRule="exact"/>
              <w:ind w:right="113"/>
              <w:jc w:val="right"/>
            </w:pPr>
            <w:r w:rsidRPr="00803E8A">
              <w:rPr>
                <w:i/>
                <w:iCs/>
                <w:sz w:val="16"/>
                <w:szCs w:val="16"/>
              </w:rPr>
              <w:t>Number</w:t>
            </w:r>
          </w:p>
        </w:tc>
      </w:tr>
      <w:tr w:rsidR="0043727F" w:rsidRPr="0043727F" w:rsidTr="00E670E4">
        <w:trPr>
          <w:trHeight w:val="240"/>
          <w:jc w:val="center"/>
        </w:trPr>
        <w:tc>
          <w:tcPr>
            <w:tcW w:w="5670" w:type="dxa"/>
            <w:tcBorders>
              <w:top w:val="single" w:sz="12" w:space="0" w:color="auto"/>
            </w:tcBorders>
            <w:shd w:val="clear" w:color="auto" w:fill="auto"/>
            <w:vAlign w:val="bottom"/>
            <w:hideMark/>
          </w:tcPr>
          <w:p w:rsidR="0043727F" w:rsidRPr="00803E8A" w:rsidRDefault="0043727F" w:rsidP="00803E8A">
            <w:pPr>
              <w:spacing w:before="40" w:after="40" w:line="220" w:lineRule="exact"/>
              <w:ind w:right="113"/>
              <w:rPr>
                <w:sz w:val="18"/>
                <w:szCs w:val="18"/>
              </w:rPr>
            </w:pPr>
            <w:r w:rsidRPr="00803E8A">
              <w:rPr>
                <w:sz w:val="18"/>
                <w:szCs w:val="18"/>
              </w:rPr>
              <w:t>Cases filed</w:t>
            </w:r>
          </w:p>
        </w:tc>
        <w:tc>
          <w:tcPr>
            <w:tcW w:w="1701" w:type="dxa"/>
            <w:tcBorders>
              <w:top w:val="single" w:sz="12" w:space="0" w:color="auto"/>
            </w:tcBorders>
            <w:shd w:val="clear" w:color="auto" w:fill="auto"/>
            <w:vAlign w:val="bottom"/>
            <w:hideMark/>
          </w:tcPr>
          <w:p w:rsidR="0043727F" w:rsidRPr="00803E8A" w:rsidRDefault="0043727F" w:rsidP="00803E8A">
            <w:pPr>
              <w:spacing w:before="40" w:after="40" w:line="220" w:lineRule="exact"/>
              <w:ind w:right="113"/>
              <w:jc w:val="right"/>
              <w:rPr>
                <w:sz w:val="18"/>
                <w:szCs w:val="18"/>
              </w:rPr>
            </w:pPr>
            <w:r w:rsidRPr="00803E8A">
              <w:rPr>
                <w:sz w:val="18"/>
                <w:szCs w:val="18"/>
              </w:rPr>
              <w:t>2 159</w:t>
            </w:r>
          </w:p>
        </w:tc>
      </w:tr>
      <w:tr w:rsidR="0043727F" w:rsidRPr="0043727F" w:rsidTr="00E670E4">
        <w:trPr>
          <w:trHeight w:val="240"/>
          <w:jc w:val="center"/>
        </w:trPr>
        <w:tc>
          <w:tcPr>
            <w:tcW w:w="5670" w:type="dxa"/>
            <w:shd w:val="clear" w:color="auto" w:fill="auto"/>
            <w:vAlign w:val="bottom"/>
            <w:hideMark/>
          </w:tcPr>
          <w:p w:rsidR="0043727F" w:rsidRPr="00803E8A" w:rsidRDefault="0043727F" w:rsidP="00803E8A">
            <w:pPr>
              <w:spacing w:before="40" w:after="40" w:line="220" w:lineRule="exact"/>
              <w:ind w:right="113"/>
              <w:rPr>
                <w:sz w:val="18"/>
                <w:szCs w:val="18"/>
              </w:rPr>
            </w:pPr>
            <w:r w:rsidRPr="00803E8A">
              <w:rPr>
                <w:sz w:val="18"/>
                <w:szCs w:val="18"/>
              </w:rPr>
              <w:t>Judgments handed down</w:t>
            </w:r>
          </w:p>
        </w:tc>
        <w:tc>
          <w:tcPr>
            <w:tcW w:w="1701" w:type="dxa"/>
            <w:shd w:val="clear" w:color="auto" w:fill="auto"/>
            <w:vAlign w:val="bottom"/>
            <w:hideMark/>
          </w:tcPr>
          <w:p w:rsidR="0043727F" w:rsidRPr="00803E8A" w:rsidRDefault="0043727F" w:rsidP="00803E8A">
            <w:pPr>
              <w:spacing w:before="40" w:after="40" w:line="220" w:lineRule="exact"/>
              <w:ind w:right="113"/>
              <w:jc w:val="right"/>
              <w:rPr>
                <w:sz w:val="18"/>
                <w:szCs w:val="18"/>
              </w:rPr>
            </w:pPr>
            <w:r w:rsidRPr="00803E8A">
              <w:rPr>
                <w:sz w:val="18"/>
                <w:szCs w:val="18"/>
              </w:rPr>
              <w:t>1 589</w:t>
            </w:r>
          </w:p>
        </w:tc>
      </w:tr>
      <w:tr w:rsidR="0043727F" w:rsidRPr="0043727F" w:rsidTr="00E670E4">
        <w:trPr>
          <w:trHeight w:val="240"/>
          <w:jc w:val="center"/>
        </w:trPr>
        <w:tc>
          <w:tcPr>
            <w:tcW w:w="5670" w:type="dxa"/>
            <w:shd w:val="clear" w:color="auto" w:fill="auto"/>
            <w:vAlign w:val="bottom"/>
            <w:hideMark/>
          </w:tcPr>
          <w:p w:rsidR="0043727F" w:rsidRPr="00803E8A" w:rsidRDefault="0043727F" w:rsidP="00803E8A">
            <w:pPr>
              <w:spacing w:before="40" w:after="40" w:line="220" w:lineRule="exact"/>
              <w:ind w:right="113"/>
              <w:rPr>
                <w:sz w:val="18"/>
                <w:szCs w:val="18"/>
              </w:rPr>
            </w:pPr>
            <w:r w:rsidRPr="00803E8A">
              <w:rPr>
                <w:sz w:val="18"/>
                <w:szCs w:val="18"/>
              </w:rPr>
              <w:t>Provisional orders</w:t>
            </w:r>
          </w:p>
        </w:tc>
        <w:tc>
          <w:tcPr>
            <w:tcW w:w="1701" w:type="dxa"/>
            <w:shd w:val="clear" w:color="auto" w:fill="auto"/>
            <w:vAlign w:val="bottom"/>
            <w:hideMark/>
          </w:tcPr>
          <w:p w:rsidR="0043727F" w:rsidRPr="00803E8A" w:rsidRDefault="0043727F" w:rsidP="00803E8A">
            <w:pPr>
              <w:spacing w:before="40" w:after="40" w:line="220" w:lineRule="exact"/>
              <w:ind w:right="113"/>
              <w:jc w:val="right"/>
              <w:rPr>
                <w:sz w:val="18"/>
                <w:szCs w:val="18"/>
              </w:rPr>
            </w:pPr>
            <w:r w:rsidRPr="00803E8A">
              <w:rPr>
                <w:sz w:val="18"/>
                <w:szCs w:val="18"/>
              </w:rPr>
              <w:t>565</w:t>
            </w:r>
          </w:p>
        </w:tc>
      </w:tr>
      <w:tr w:rsidR="0043727F" w:rsidRPr="0043727F" w:rsidTr="00E670E4">
        <w:trPr>
          <w:trHeight w:val="240"/>
          <w:jc w:val="center"/>
        </w:trPr>
        <w:tc>
          <w:tcPr>
            <w:tcW w:w="5670" w:type="dxa"/>
            <w:shd w:val="clear" w:color="auto" w:fill="auto"/>
            <w:vAlign w:val="bottom"/>
            <w:hideMark/>
          </w:tcPr>
          <w:p w:rsidR="0043727F" w:rsidRPr="00803E8A" w:rsidRDefault="0043727F" w:rsidP="00803E8A">
            <w:pPr>
              <w:spacing w:before="40" w:after="40" w:line="220" w:lineRule="exact"/>
              <w:ind w:right="113"/>
              <w:rPr>
                <w:sz w:val="18"/>
                <w:szCs w:val="18"/>
              </w:rPr>
            </w:pPr>
            <w:r w:rsidRPr="00803E8A">
              <w:rPr>
                <w:sz w:val="18"/>
                <w:szCs w:val="18"/>
              </w:rPr>
              <w:t>Appeals</w:t>
            </w:r>
          </w:p>
        </w:tc>
        <w:tc>
          <w:tcPr>
            <w:tcW w:w="1701" w:type="dxa"/>
            <w:shd w:val="clear" w:color="auto" w:fill="auto"/>
            <w:vAlign w:val="bottom"/>
            <w:hideMark/>
          </w:tcPr>
          <w:p w:rsidR="0043727F" w:rsidRPr="00803E8A" w:rsidRDefault="0043727F" w:rsidP="00803E8A">
            <w:pPr>
              <w:spacing w:before="40" w:after="40" w:line="220" w:lineRule="exact"/>
              <w:ind w:right="113"/>
              <w:jc w:val="right"/>
              <w:rPr>
                <w:sz w:val="18"/>
                <w:szCs w:val="18"/>
              </w:rPr>
            </w:pPr>
            <w:r w:rsidRPr="00803E8A">
              <w:rPr>
                <w:sz w:val="18"/>
                <w:szCs w:val="18"/>
              </w:rPr>
              <w:t>1 237</w:t>
            </w:r>
          </w:p>
        </w:tc>
      </w:tr>
      <w:tr w:rsidR="0043727F" w:rsidRPr="0043727F" w:rsidTr="00E670E4">
        <w:trPr>
          <w:trHeight w:val="240"/>
          <w:jc w:val="center"/>
        </w:trPr>
        <w:tc>
          <w:tcPr>
            <w:tcW w:w="5670" w:type="dxa"/>
            <w:shd w:val="clear" w:color="auto" w:fill="auto"/>
            <w:vAlign w:val="bottom"/>
            <w:hideMark/>
          </w:tcPr>
          <w:p w:rsidR="0043727F" w:rsidRPr="00803E8A" w:rsidRDefault="0043727F" w:rsidP="00803E8A">
            <w:pPr>
              <w:spacing w:before="40" w:after="40" w:line="220" w:lineRule="exact"/>
              <w:ind w:right="113"/>
              <w:rPr>
                <w:sz w:val="18"/>
                <w:szCs w:val="18"/>
              </w:rPr>
            </w:pPr>
            <w:r w:rsidRPr="00803E8A">
              <w:rPr>
                <w:sz w:val="18"/>
                <w:szCs w:val="18"/>
              </w:rPr>
              <w:t>Appeals against provisional orders</w:t>
            </w:r>
          </w:p>
        </w:tc>
        <w:tc>
          <w:tcPr>
            <w:tcW w:w="1701" w:type="dxa"/>
            <w:shd w:val="clear" w:color="auto" w:fill="auto"/>
            <w:vAlign w:val="bottom"/>
            <w:hideMark/>
          </w:tcPr>
          <w:p w:rsidR="0043727F" w:rsidRPr="00803E8A" w:rsidRDefault="0043727F" w:rsidP="00803E8A">
            <w:pPr>
              <w:spacing w:before="40" w:after="40" w:line="220" w:lineRule="exact"/>
              <w:ind w:right="113"/>
              <w:jc w:val="right"/>
              <w:rPr>
                <w:sz w:val="18"/>
                <w:szCs w:val="18"/>
              </w:rPr>
            </w:pPr>
            <w:r w:rsidRPr="00803E8A">
              <w:rPr>
                <w:sz w:val="18"/>
                <w:szCs w:val="18"/>
              </w:rPr>
              <w:t>30</w:t>
            </w:r>
          </w:p>
        </w:tc>
      </w:tr>
      <w:tr w:rsidR="0043727F" w:rsidRPr="0043727F" w:rsidTr="00E670E4">
        <w:trPr>
          <w:trHeight w:val="240"/>
          <w:jc w:val="center"/>
        </w:trPr>
        <w:tc>
          <w:tcPr>
            <w:tcW w:w="5670" w:type="dxa"/>
            <w:tcBorders>
              <w:bottom w:val="single" w:sz="12" w:space="0" w:color="auto"/>
            </w:tcBorders>
            <w:shd w:val="clear" w:color="auto" w:fill="auto"/>
            <w:vAlign w:val="bottom"/>
            <w:hideMark/>
          </w:tcPr>
          <w:p w:rsidR="0043727F" w:rsidRPr="00803E8A" w:rsidRDefault="0043727F" w:rsidP="00803E8A">
            <w:pPr>
              <w:spacing w:before="40" w:after="40" w:line="220" w:lineRule="exact"/>
              <w:ind w:right="113"/>
              <w:rPr>
                <w:sz w:val="18"/>
                <w:szCs w:val="18"/>
              </w:rPr>
            </w:pPr>
            <w:r w:rsidRPr="00803E8A">
              <w:rPr>
                <w:sz w:val="18"/>
                <w:szCs w:val="18"/>
              </w:rPr>
              <w:t>Applications to set aside judgments</w:t>
            </w:r>
          </w:p>
        </w:tc>
        <w:tc>
          <w:tcPr>
            <w:tcW w:w="1701" w:type="dxa"/>
            <w:tcBorders>
              <w:bottom w:val="single" w:sz="12" w:space="0" w:color="auto"/>
            </w:tcBorders>
            <w:shd w:val="clear" w:color="auto" w:fill="auto"/>
            <w:vAlign w:val="bottom"/>
            <w:hideMark/>
          </w:tcPr>
          <w:p w:rsidR="0043727F" w:rsidRPr="00803E8A" w:rsidRDefault="0043727F" w:rsidP="00803E8A">
            <w:pPr>
              <w:spacing w:before="40" w:after="40" w:line="220" w:lineRule="exact"/>
              <w:ind w:right="113"/>
              <w:jc w:val="right"/>
              <w:rPr>
                <w:sz w:val="18"/>
                <w:szCs w:val="18"/>
              </w:rPr>
            </w:pPr>
            <w:r w:rsidRPr="00803E8A">
              <w:rPr>
                <w:sz w:val="18"/>
                <w:szCs w:val="18"/>
              </w:rPr>
              <w:t>16</w:t>
            </w:r>
          </w:p>
        </w:tc>
      </w:tr>
    </w:tbl>
    <w:p w:rsidR="0043727F" w:rsidRDefault="0043727F" w:rsidP="0043727F">
      <w:pPr>
        <w:pStyle w:val="H23G"/>
      </w:pPr>
      <w:r>
        <w:tab/>
      </w:r>
      <w:r>
        <w:tab/>
      </w:r>
      <w:r w:rsidRPr="0043727F">
        <w:t>Investigating judges (2014)</w:t>
      </w:r>
    </w:p>
    <w:tbl>
      <w:tblPr>
        <w:tblW w:w="7370"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5755"/>
        <w:gridCol w:w="1615"/>
      </w:tblGrid>
      <w:tr w:rsidR="0043727F" w:rsidRPr="0043727F" w:rsidTr="00E670E4">
        <w:trPr>
          <w:trHeight w:val="240"/>
          <w:tblHeader/>
          <w:jc w:val="center"/>
        </w:trPr>
        <w:tc>
          <w:tcPr>
            <w:tcW w:w="5755" w:type="dxa"/>
            <w:tcBorders>
              <w:top w:val="single" w:sz="4" w:space="0" w:color="auto"/>
              <w:bottom w:val="single" w:sz="12" w:space="0" w:color="auto"/>
            </w:tcBorders>
            <w:shd w:val="clear" w:color="auto" w:fill="auto"/>
            <w:vAlign w:val="bottom"/>
            <w:hideMark/>
          </w:tcPr>
          <w:p w:rsidR="0043727F" w:rsidRPr="0043727F" w:rsidRDefault="0043727F" w:rsidP="00CA7C70">
            <w:pPr>
              <w:spacing w:before="80" w:after="80" w:line="200" w:lineRule="exact"/>
              <w:ind w:right="113"/>
            </w:pPr>
            <w:r w:rsidRPr="00CA7C70">
              <w:rPr>
                <w:i/>
                <w:iCs/>
                <w:sz w:val="16"/>
                <w:szCs w:val="16"/>
              </w:rPr>
              <w:t xml:space="preserve">Type </w:t>
            </w:r>
          </w:p>
        </w:tc>
        <w:tc>
          <w:tcPr>
            <w:tcW w:w="1615" w:type="dxa"/>
            <w:tcBorders>
              <w:top w:val="single" w:sz="4" w:space="0" w:color="auto"/>
              <w:bottom w:val="single" w:sz="12" w:space="0" w:color="auto"/>
            </w:tcBorders>
            <w:shd w:val="clear" w:color="auto" w:fill="auto"/>
            <w:vAlign w:val="bottom"/>
            <w:hideMark/>
          </w:tcPr>
          <w:p w:rsidR="0043727F" w:rsidRPr="0043727F" w:rsidRDefault="0043727F" w:rsidP="00CA7C70">
            <w:pPr>
              <w:spacing w:before="80" w:after="80" w:line="200" w:lineRule="exact"/>
              <w:ind w:right="113"/>
              <w:jc w:val="right"/>
            </w:pPr>
            <w:r w:rsidRPr="00CA7C70">
              <w:rPr>
                <w:i/>
                <w:iCs/>
                <w:sz w:val="16"/>
                <w:szCs w:val="16"/>
              </w:rPr>
              <w:t>Number</w:t>
            </w:r>
          </w:p>
        </w:tc>
      </w:tr>
      <w:tr w:rsidR="0043727F" w:rsidRPr="0043727F" w:rsidTr="00E670E4">
        <w:trPr>
          <w:trHeight w:val="240"/>
          <w:jc w:val="center"/>
        </w:trPr>
        <w:tc>
          <w:tcPr>
            <w:tcW w:w="5755" w:type="dxa"/>
            <w:tcBorders>
              <w:top w:val="single" w:sz="12" w:space="0" w:color="auto"/>
            </w:tcBorders>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Cases filed</w:t>
            </w:r>
          </w:p>
        </w:tc>
        <w:tc>
          <w:tcPr>
            <w:tcW w:w="1615" w:type="dxa"/>
            <w:tcBorders>
              <w:top w:val="single" w:sz="12" w:space="0" w:color="auto"/>
            </w:tcBorders>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2 414</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Accused persons</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3 962</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Cases referred to the criminal courts</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594</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Cases referred to the correctional courts</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757</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Cases in which the investigation was closed</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1 395</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Committal warrants</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1 579</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Release orders</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421</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Orders for release under judicial supervision</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915</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Dismissal orders</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140</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Orders resulting from conciliation proceedings</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364</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Sureties</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440</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Prison visits</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689</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Letters rogatory</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145</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Decisions on release on bail</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43</w:t>
            </w:r>
          </w:p>
        </w:tc>
      </w:tr>
      <w:tr w:rsidR="0043727F" w:rsidRPr="0043727F" w:rsidTr="00E670E4">
        <w:trPr>
          <w:trHeight w:val="240"/>
          <w:jc w:val="center"/>
        </w:trPr>
        <w:tc>
          <w:tcPr>
            <w:tcW w:w="5755"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Expert evaluations</w:t>
            </w:r>
          </w:p>
        </w:tc>
        <w:tc>
          <w:tcPr>
            <w:tcW w:w="1615"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63</w:t>
            </w:r>
          </w:p>
        </w:tc>
      </w:tr>
      <w:tr w:rsidR="0043727F" w:rsidRPr="0043727F" w:rsidTr="00E670E4">
        <w:trPr>
          <w:trHeight w:val="240"/>
          <w:jc w:val="center"/>
        </w:trPr>
        <w:tc>
          <w:tcPr>
            <w:tcW w:w="5755" w:type="dxa"/>
            <w:tcBorders>
              <w:bottom w:val="single" w:sz="12" w:space="0" w:color="auto"/>
            </w:tcBorders>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Arrest warrants</w:t>
            </w:r>
          </w:p>
        </w:tc>
        <w:tc>
          <w:tcPr>
            <w:tcW w:w="1615" w:type="dxa"/>
            <w:tcBorders>
              <w:bottom w:val="single" w:sz="12" w:space="0" w:color="auto"/>
            </w:tcBorders>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297</w:t>
            </w:r>
          </w:p>
        </w:tc>
      </w:tr>
    </w:tbl>
    <w:p w:rsidR="0043727F" w:rsidRPr="0043727F" w:rsidRDefault="0043727F" w:rsidP="0043727F">
      <w:pPr>
        <w:pStyle w:val="H23G"/>
      </w:pPr>
      <w:r>
        <w:tab/>
      </w:r>
      <w:r>
        <w:tab/>
      </w:r>
      <w:r w:rsidRPr="0043727F">
        <w:t>Nouakchott prosecution service (2012)</w:t>
      </w:r>
      <w:r>
        <w:t xml:space="preserve"> </w:t>
      </w:r>
      <w:r>
        <w:br/>
      </w:r>
      <w:r w:rsidRPr="0043727F">
        <w:t>Serious offences</w:t>
      </w:r>
    </w:p>
    <w:tbl>
      <w:tblPr>
        <w:tblW w:w="7370"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5694"/>
        <w:gridCol w:w="1676"/>
      </w:tblGrid>
      <w:tr w:rsidR="0043727F" w:rsidRPr="00CA7C70" w:rsidTr="001D6D9F">
        <w:trPr>
          <w:trHeight w:val="240"/>
          <w:tblHeader/>
          <w:jc w:val="center"/>
        </w:trPr>
        <w:tc>
          <w:tcPr>
            <w:tcW w:w="5694" w:type="dxa"/>
            <w:tcBorders>
              <w:top w:val="single" w:sz="4" w:space="0" w:color="auto"/>
              <w:bottom w:val="single" w:sz="12" w:space="0" w:color="auto"/>
            </w:tcBorders>
            <w:shd w:val="clear" w:color="auto" w:fill="auto"/>
            <w:vAlign w:val="bottom"/>
            <w:hideMark/>
          </w:tcPr>
          <w:p w:rsidR="0043727F" w:rsidRPr="00CA7C70" w:rsidRDefault="0043727F" w:rsidP="00CA7C70">
            <w:pPr>
              <w:spacing w:before="80" w:after="80" w:line="200" w:lineRule="exact"/>
              <w:ind w:right="113"/>
              <w:rPr>
                <w:i/>
                <w:iCs/>
                <w:sz w:val="16"/>
                <w:szCs w:val="16"/>
              </w:rPr>
            </w:pPr>
            <w:r w:rsidRPr="00CA7C70">
              <w:rPr>
                <w:i/>
                <w:iCs/>
                <w:sz w:val="16"/>
                <w:szCs w:val="16"/>
              </w:rPr>
              <w:t>Classification</w:t>
            </w:r>
          </w:p>
        </w:tc>
        <w:tc>
          <w:tcPr>
            <w:tcW w:w="1676" w:type="dxa"/>
            <w:tcBorders>
              <w:top w:val="single" w:sz="4" w:space="0" w:color="auto"/>
              <w:bottom w:val="single" w:sz="12" w:space="0" w:color="auto"/>
            </w:tcBorders>
            <w:shd w:val="clear" w:color="auto" w:fill="auto"/>
            <w:vAlign w:val="bottom"/>
            <w:hideMark/>
          </w:tcPr>
          <w:p w:rsidR="0043727F" w:rsidRPr="00CA7C70" w:rsidRDefault="0043727F" w:rsidP="00CA7C70">
            <w:pPr>
              <w:spacing w:before="80" w:after="80" w:line="200" w:lineRule="exact"/>
              <w:ind w:right="113"/>
              <w:jc w:val="right"/>
              <w:rPr>
                <w:i/>
                <w:iCs/>
                <w:sz w:val="16"/>
                <w:szCs w:val="16"/>
              </w:rPr>
            </w:pPr>
            <w:r w:rsidRPr="00CA7C70">
              <w:rPr>
                <w:i/>
                <w:iCs/>
                <w:sz w:val="16"/>
                <w:szCs w:val="16"/>
              </w:rPr>
              <w:t>Number</w:t>
            </w:r>
          </w:p>
        </w:tc>
      </w:tr>
      <w:tr w:rsidR="001D6D9F" w:rsidRPr="0043727F" w:rsidTr="001D6D9F">
        <w:trPr>
          <w:trHeight w:hRule="exact" w:val="113"/>
          <w:tblHeader/>
          <w:jc w:val="center"/>
        </w:trPr>
        <w:tc>
          <w:tcPr>
            <w:tcW w:w="5694" w:type="dxa"/>
            <w:tcBorders>
              <w:top w:val="single" w:sz="12" w:space="0" w:color="auto"/>
              <w:bottom w:val="nil"/>
            </w:tcBorders>
            <w:shd w:val="clear" w:color="auto" w:fill="auto"/>
            <w:vAlign w:val="bottom"/>
          </w:tcPr>
          <w:p w:rsidR="001D6D9F" w:rsidRPr="00CA7C70" w:rsidRDefault="001D6D9F" w:rsidP="00CA7C70">
            <w:pPr>
              <w:spacing w:before="40" w:after="40" w:line="220" w:lineRule="exact"/>
              <w:ind w:right="113"/>
              <w:rPr>
                <w:sz w:val="18"/>
                <w:szCs w:val="18"/>
              </w:rPr>
            </w:pPr>
          </w:p>
        </w:tc>
        <w:tc>
          <w:tcPr>
            <w:tcW w:w="1676" w:type="dxa"/>
            <w:tcBorders>
              <w:top w:val="single" w:sz="12" w:space="0" w:color="auto"/>
              <w:bottom w:val="nil"/>
            </w:tcBorders>
            <w:shd w:val="clear" w:color="auto" w:fill="auto"/>
            <w:vAlign w:val="bottom"/>
          </w:tcPr>
          <w:p w:rsidR="001D6D9F" w:rsidRPr="00CA7C70" w:rsidRDefault="001D6D9F" w:rsidP="00CA7C70">
            <w:pPr>
              <w:spacing w:before="40" w:after="40" w:line="220" w:lineRule="exact"/>
              <w:ind w:right="113"/>
              <w:jc w:val="right"/>
              <w:rPr>
                <w:sz w:val="18"/>
                <w:szCs w:val="18"/>
              </w:rPr>
            </w:pPr>
          </w:p>
        </w:tc>
      </w:tr>
      <w:tr w:rsidR="0043727F" w:rsidRPr="0043727F" w:rsidTr="001D6D9F">
        <w:trPr>
          <w:trHeight w:val="240"/>
          <w:jc w:val="center"/>
        </w:trPr>
        <w:tc>
          <w:tcPr>
            <w:tcW w:w="5694" w:type="dxa"/>
            <w:tcBorders>
              <w:top w:val="nil"/>
            </w:tcBorders>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Robbery</w:t>
            </w:r>
          </w:p>
        </w:tc>
        <w:tc>
          <w:tcPr>
            <w:tcW w:w="1676" w:type="dxa"/>
            <w:tcBorders>
              <w:top w:val="nil"/>
            </w:tcBorders>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156</w:t>
            </w:r>
          </w:p>
        </w:tc>
      </w:tr>
      <w:tr w:rsidR="0043727F" w:rsidRPr="0043727F" w:rsidTr="001D6D9F">
        <w:trPr>
          <w:trHeight w:val="240"/>
          <w:jc w:val="center"/>
        </w:trPr>
        <w:tc>
          <w:tcPr>
            <w:tcW w:w="5694"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Rape</w:t>
            </w:r>
          </w:p>
        </w:tc>
        <w:tc>
          <w:tcPr>
            <w:tcW w:w="1676"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49</w:t>
            </w:r>
          </w:p>
        </w:tc>
      </w:tr>
      <w:tr w:rsidR="0043727F" w:rsidRPr="0043727F" w:rsidTr="001D6D9F">
        <w:trPr>
          <w:trHeight w:val="240"/>
          <w:jc w:val="center"/>
        </w:trPr>
        <w:tc>
          <w:tcPr>
            <w:tcW w:w="5694"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Possession, sale and importing of drugs</w:t>
            </w:r>
          </w:p>
        </w:tc>
        <w:tc>
          <w:tcPr>
            <w:tcW w:w="1676"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56</w:t>
            </w:r>
          </w:p>
        </w:tc>
      </w:tr>
      <w:tr w:rsidR="0043727F" w:rsidRPr="0043727F" w:rsidTr="001D6D9F">
        <w:trPr>
          <w:trHeight w:val="240"/>
          <w:jc w:val="center"/>
        </w:trPr>
        <w:tc>
          <w:tcPr>
            <w:tcW w:w="5694"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Sale of alcohol</w:t>
            </w:r>
          </w:p>
        </w:tc>
        <w:tc>
          <w:tcPr>
            <w:tcW w:w="1676"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52</w:t>
            </w:r>
          </w:p>
        </w:tc>
      </w:tr>
      <w:tr w:rsidR="0043727F" w:rsidRPr="0043727F" w:rsidTr="001D6D9F">
        <w:trPr>
          <w:trHeight w:val="240"/>
          <w:jc w:val="center"/>
        </w:trPr>
        <w:tc>
          <w:tcPr>
            <w:tcW w:w="5694"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Zina (unlawful intercourse)</w:t>
            </w:r>
          </w:p>
        </w:tc>
        <w:tc>
          <w:tcPr>
            <w:tcW w:w="1676"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12</w:t>
            </w:r>
          </w:p>
        </w:tc>
      </w:tr>
      <w:tr w:rsidR="0043727F" w:rsidRPr="0043727F" w:rsidTr="001D6D9F">
        <w:trPr>
          <w:trHeight w:val="240"/>
          <w:jc w:val="center"/>
        </w:trPr>
        <w:tc>
          <w:tcPr>
            <w:tcW w:w="5694"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Murder</w:t>
            </w:r>
          </w:p>
        </w:tc>
        <w:tc>
          <w:tcPr>
            <w:tcW w:w="1676"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22</w:t>
            </w:r>
          </w:p>
        </w:tc>
      </w:tr>
      <w:tr w:rsidR="0043727F" w:rsidRPr="0043727F" w:rsidTr="001D6D9F">
        <w:trPr>
          <w:trHeight w:val="240"/>
          <w:jc w:val="center"/>
        </w:trPr>
        <w:tc>
          <w:tcPr>
            <w:tcW w:w="5694"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Forgery and use of forged documents with intent to defraud</w:t>
            </w:r>
          </w:p>
        </w:tc>
        <w:tc>
          <w:tcPr>
            <w:tcW w:w="1676"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21</w:t>
            </w:r>
          </w:p>
        </w:tc>
      </w:tr>
      <w:tr w:rsidR="0043727F" w:rsidRPr="0043727F" w:rsidTr="001D6D9F">
        <w:trPr>
          <w:trHeight w:val="240"/>
          <w:jc w:val="center"/>
        </w:trPr>
        <w:tc>
          <w:tcPr>
            <w:tcW w:w="5694"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Destruction of the property of others</w:t>
            </w:r>
          </w:p>
        </w:tc>
        <w:tc>
          <w:tcPr>
            <w:tcW w:w="1676"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36</w:t>
            </w:r>
          </w:p>
        </w:tc>
      </w:tr>
      <w:tr w:rsidR="0043727F" w:rsidRPr="0043727F" w:rsidTr="001D6D9F">
        <w:trPr>
          <w:trHeight w:val="240"/>
          <w:jc w:val="center"/>
        </w:trPr>
        <w:tc>
          <w:tcPr>
            <w:tcW w:w="5694"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lastRenderedPageBreak/>
              <w:t>Death threats</w:t>
            </w:r>
          </w:p>
        </w:tc>
        <w:tc>
          <w:tcPr>
            <w:tcW w:w="1676"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15</w:t>
            </w:r>
          </w:p>
        </w:tc>
      </w:tr>
      <w:tr w:rsidR="0043727F" w:rsidRPr="0043727F" w:rsidTr="001D6D9F">
        <w:trPr>
          <w:trHeight w:val="240"/>
          <w:jc w:val="center"/>
        </w:trPr>
        <w:tc>
          <w:tcPr>
            <w:tcW w:w="5694" w:type="dxa"/>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Deliberate assault</w:t>
            </w:r>
          </w:p>
        </w:tc>
        <w:tc>
          <w:tcPr>
            <w:tcW w:w="1676" w:type="dxa"/>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47</w:t>
            </w:r>
          </w:p>
        </w:tc>
      </w:tr>
      <w:tr w:rsidR="0043727F" w:rsidRPr="0043727F" w:rsidTr="001D6D9F">
        <w:trPr>
          <w:trHeight w:val="240"/>
          <w:jc w:val="center"/>
        </w:trPr>
        <w:tc>
          <w:tcPr>
            <w:tcW w:w="5694" w:type="dxa"/>
            <w:tcBorders>
              <w:bottom w:val="single" w:sz="12" w:space="0" w:color="auto"/>
            </w:tcBorders>
            <w:shd w:val="clear" w:color="auto" w:fill="auto"/>
            <w:vAlign w:val="bottom"/>
            <w:hideMark/>
          </w:tcPr>
          <w:p w:rsidR="0043727F" w:rsidRPr="00CA7C70" w:rsidRDefault="0043727F" w:rsidP="00CA7C70">
            <w:pPr>
              <w:spacing w:before="40" w:after="40" w:line="220" w:lineRule="exact"/>
              <w:ind w:right="113"/>
              <w:rPr>
                <w:sz w:val="18"/>
                <w:szCs w:val="18"/>
              </w:rPr>
            </w:pPr>
            <w:r w:rsidRPr="00CA7C70">
              <w:rPr>
                <w:sz w:val="18"/>
                <w:szCs w:val="18"/>
              </w:rPr>
              <w:t>Terrorism</w:t>
            </w:r>
          </w:p>
        </w:tc>
        <w:tc>
          <w:tcPr>
            <w:tcW w:w="1676" w:type="dxa"/>
            <w:tcBorders>
              <w:bottom w:val="single" w:sz="12" w:space="0" w:color="auto"/>
            </w:tcBorders>
            <w:shd w:val="clear" w:color="auto" w:fill="auto"/>
            <w:vAlign w:val="bottom"/>
            <w:hideMark/>
          </w:tcPr>
          <w:p w:rsidR="0043727F" w:rsidRPr="00CA7C70" w:rsidRDefault="0043727F" w:rsidP="00CA7C70">
            <w:pPr>
              <w:spacing w:before="40" w:after="40" w:line="220" w:lineRule="exact"/>
              <w:ind w:right="113"/>
              <w:jc w:val="right"/>
              <w:rPr>
                <w:sz w:val="18"/>
                <w:szCs w:val="18"/>
              </w:rPr>
            </w:pPr>
            <w:r w:rsidRPr="00CA7C70">
              <w:rPr>
                <w:sz w:val="18"/>
                <w:szCs w:val="18"/>
              </w:rPr>
              <w:t>7</w:t>
            </w:r>
          </w:p>
        </w:tc>
      </w:tr>
    </w:tbl>
    <w:p w:rsidR="0043727F" w:rsidRDefault="0043727F" w:rsidP="00E670E4">
      <w:pPr>
        <w:pStyle w:val="H23G"/>
      </w:pPr>
      <w:r>
        <w:tab/>
      </w:r>
      <w:r>
        <w:tab/>
      </w:r>
      <w:r w:rsidRPr="00A52535">
        <w:t>Ordinary offences</w:t>
      </w:r>
    </w:p>
    <w:tbl>
      <w:tblPr>
        <w:tblW w:w="7371"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5670"/>
        <w:gridCol w:w="1701"/>
      </w:tblGrid>
      <w:tr w:rsidR="0043727F" w:rsidRPr="0043727F" w:rsidTr="00E670E4">
        <w:trPr>
          <w:trHeight w:val="240"/>
          <w:tblHeader/>
          <w:jc w:val="center"/>
        </w:trPr>
        <w:tc>
          <w:tcPr>
            <w:tcW w:w="5669" w:type="dxa"/>
            <w:tcBorders>
              <w:top w:val="single" w:sz="4" w:space="0" w:color="auto"/>
              <w:bottom w:val="single" w:sz="12" w:space="0" w:color="auto"/>
            </w:tcBorders>
            <w:shd w:val="clear" w:color="auto" w:fill="auto"/>
            <w:vAlign w:val="bottom"/>
            <w:hideMark/>
          </w:tcPr>
          <w:p w:rsidR="0043727F" w:rsidRPr="0043727F" w:rsidRDefault="0043727F" w:rsidP="00E670E4">
            <w:pPr>
              <w:keepNext/>
              <w:spacing w:before="80" w:after="80" w:line="200" w:lineRule="exact"/>
              <w:ind w:right="113"/>
            </w:pPr>
            <w:r w:rsidRPr="00CA7C70">
              <w:rPr>
                <w:i/>
                <w:iCs/>
                <w:sz w:val="16"/>
                <w:szCs w:val="16"/>
              </w:rPr>
              <w:t>Classification</w:t>
            </w:r>
          </w:p>
        </w:tc>
        <w:tc>
          <w:tcPr>
            <w:tcW w:w="1701" w:type="dxa"/>
            <w:tcBorders>
              <w:top w:val="single" w:sz="4" w:space="0" w:color="auto"/>
              <w:bottom w:val="single" w:sz="12" w:space="0" w:color="auto"/>
            </w:tcBorders>
            <w:shd w:val="clear" w:color="auto" w:fill="auto"/>
            <w:vAlign w:val="bottom"/>
            <w:hideMark/>
          </w:tcPr>
          <w:p w:rsidR="0043727F" w:rsidRPr="0043727F" w:rsidRDefault="0043727F" w:rsidP="00E670E4">
            <w:pPr>
              <w:keepNext/>
              <w:spacing w:before="80" w:after="80" w:line="200" w:lineRule="exact"/>
              <w:ind w:right="113"/>
              <w:jc w:val="right"/>
            </w:pPr>
            <w:r w:rsidRPr="00CA7C70">
              <w:rPr>
                <w:i/>
                <w:iCs/>
                <w:sz w:val="16"/>
                <w:szCs w:val="16"/>
              </w:rPr>
              <w:t>Number</w:t>
            </w:r>
          </w:p>
        </w:tc>
      </w:tr>
      <w:tr w:rsidR="0043727F" w:rsidRPr="0043727F" w:rsidTr="00E670E4">
        <w:trPr>
          <w:trHeight w:val="240"/>
          <w:jc w:val="center"/>
        </w:trPr>
        <w:tc>
          <w:tcPr>
            <w:tcW w:w="5669" w:type="dxa"/>
            <w:tcBorders>
              <w:top w:val="single" w:sz="12" w:space="0" w:color="auto"/>
            </w:tcBorders>
            <w:shd w:val="clear" w:color="auto" w:fill="auto"/>
            <w:hideMark/>
          </w:tcPr>
          <w:p w:rsidR="0043727F" w:rsidRPr="00CA7C70" w:rsidRDefault="0043727F" w:rsidP="00E670E4">
            <w:pPr>
              <w:keepNext/>
              <w:spacing w:before="40" w:after="40" w:line="220" w:lineRule="exact"/>
              <w:ind w:right="113"/>
              <w:rPr>
                <w:sz w:val="18"/>
                <w:szCs w:val="18"/>
              </w:rPr>
            </w:pPr>
            <w:r w:rsidRPr="00CA7C70">
              <w:rPr>
                <w:sz w:val="18"/>
                <w:szCs w:val="18"/>
              </w:rPr>
              <w:t>Theft</w:t>
            </w:r>
          </w:p>
        </w:tc>
        <w:tc>
          <w:tcPr>
            <w:tcW w:w="1701" w:type="dxa"/>
            <w:tcBorders>
              <w:top w:val="single" w:sz="12" w:space="0" w:color="auto"/>
            </w:tcBorders>
            <w:shd w:val="clear" w:color="auto" w:fill="auto"/>
            <w:hideMark/>
          </w:tcPr>
          <w:p w:rsidR="0043727F" w:rsidRPr="00FA283A" w:rsidRDefault="0043727F" w:rsidP="00E670E4">
            <w:pPr>
              <w:keepNext/>
              <w:spacing w:before="40" w:after="40" w:line="220" w:lineRule="exact"/>
              <w:ind w:right="113"/>
              <w:jc w:val="right"/>
              <w:rPr>
                <w:sz w:val="18"/>
                <w:szCs w:val="18"/>
              </w:rPr>
            </w:pPr>
            <w:r w:rsidRPr="00FA283A">
              <w:rPr>
                <w:sz w:val="18"/>
                <w:szCs w:val="18"/>
              </w:rPr>
              <w:t>445</w:t>
            </w:r>
          </w:p>
        </w:tc>
      </w:tr>
      <w:tr w:rsidR="0043727F" w:rsidRPr="0043727F" w:rsidTr="00E670E4">
        <w:trPr>
          <w:trHeight w:val="240"/>
          <w:jc w:val="center"/>
        </w:trPr>
        <w:tc>
          <w:tcPr>
            <w:tcW w:w="5669" w:type="dxa"/>
            <w:shd w:val="clear" w:color="auto" w:fill="auto"/>
            <w:hideMark/>
          </w:tcPr>
          <w:p w:rsidR="0043727F" w:rsidRPr="00CA7C70" w:rsidRDefault="0043727F" w:rsidP="00E670E4">
            <w:pPr>
              <w:keepNext/>
              <w:spacing w:before="40" w:after="40" w:line="220" w:lineRule="exact"/>
              <w:ind w:right="113"/>
              <w:rPr>
                <w:sz w:val="18"/>
                <w:szCs w:val="18"/>
              </w:rPr>
            </w:pPr>
            <w:r w:rsidRPr="00CA7C70">
              <w:rPr>
                <w:sz w:val="18"/>
                <w:szCs w:val="18"/>
              </w:rPr>
              <w:t>Assault and battery</w:t>
            </w:r>
          </w:p>
        </w:tc>
        <w:tc>
          <w:tcPr>
            <w:tcW w:w="1701" w:type="dxa"/>
            <w:shd w:val="clear" w:color="auto" w:fill="auto"/>
            <w:hideMark/>
          </w:tcPr>
          <w:p w:rsidR="0043727F" w:rsidRPr="00FA283A" w:rsidRDefault="0043727F" w:rsidP="00E670E4">
            <w:pPr>
              <w:keepNext/>
              <w:spacing w:before="40" w:after="40" w:line="220" w:lineRule="exact"/>
              <w:ind w:right="113"/>
              <w:jc w:val="right"/>
              <w:rPr>
                <w:sz w:val="18"/>
                <w:szCs w:val="18"/>
              </w:rPr>
            </w:pPr>
            <w:r w:rsidRPr="00FA283A">
              <w:rPr>
                <w:sz w:val="18"/>
                <w:szCs w:val="18"/>
              </w:rPr>
              <w:t>104</w:t>
            </w:r>
          </w:p>
        </w:tc>
      </w:tr>
      <w:tr w:rsidR="0043727F" w:rsidRPr="0043727F" w:rsidTr="00E670E4">
        <w:trPr>
          <w:trHeight w:val="240"/>
          <w:jc w:val="center"/>
        </w:trPr>
        <w:tc>
          <w:tcPr>
            <w:tcW w:w="5669" w:type="dxa"/>
            <w:shd w:val="clear" w:color="auto" w:fill="auto"/>
            <w:hideMark/>
          </w:tcPr>
          <w:p w:rsidR="0043727F" w:rsidRPr="00CA7C70" w:rsidRDefault="0043727F" w:rsidP="00E670E4">
            <w:pPr>
              <w:keepNext/>
              <w:spacing w:before="40" w:after="40" w:line="220" w:lineRule="exact"/>
              <w:ind w:right="113"/>
              <w:rPr>
                <w:sz w:val="18"/>
                <w:szCs w:val="18"/>
              </w:rPr>
            </w:pPr>
            <w:r w:rsidRPr="00CA7C70">
              <w:rPr>
                <w:sz w:val="18"/>
                <w:szCs w:val="18"/>
              </w:rPr>
              <w:t>Unintentional wounding</w:t>
            </w:r>
          </w:p>
        </w:tc>
        <w:tc>
          <w:tcPr>
            <w:tcW w:w="1701" w:type="dxa"/>
            <w:shd w:val="clear" w:color="auto" w:fill="auto"/>
            <w:hideMark/>
          </w:tcPr>
          <w:p w:rsidR="0043727F" w:rsidRPr="00FA283A" w:rsidRDefault="0043727F" w:rsidP="00E670E4">
            <w:pPr>
              <w:keepNext/>
              <w:spacing w:before="40" w:after="40" w:line="220" w:lineRule="exact"/>
              <w:ind w:right="113"/>
              <w:jc w:val="right"/>
              <w:rPr>
                <w:sz w:val="18"/>
                <w:szCs w:val="18"/>
              </w:rPr>
            </w:pPr>
            <w:r w:rsidRPr="00FA283A">
              <w:rPr>
                <w:sz w:val="18"/>
                <w:szCs w:val="18"/>
              </w:rPr>
              <w:t>105</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Manslaughter</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73</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Fraud</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89</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Fraudulent breach of trust</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67</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Drug-taking</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49</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Use of psychotropic substances</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65</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 xml:space="preserve">Forgery and use of forged documents with intent to defraud </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21</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Writing of uncovered cheques</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106</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Obstruction of justice</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10</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Filial disobedience</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12</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Sexual assault</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22</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Corruption</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10</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Threats of violence</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15</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Witchcraft and charlatanism</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15</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Gambling</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4</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Kidnapping</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Vagrancy</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3</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Importing of weapons</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2</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Driving without a licence</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21</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Driving without insurance</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27</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Acting under false pretences</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13</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Desertion</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12</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Escape from custody</w:t>
            </w:r>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4</w:t>
            </w:r>
          </w:p>
        </w:tc>
      </w:tr>
      <w:tr w:rsidR="0043727F" w:rsidRPr="0043727F" w:rsidTr="00E670E4">
        <w:trPr>
          <w:trHeight w:val="240"/>
          <w:jc w:val="center"/>
        </w:trPr>
        <w:tc>
          <w:tcPr>
            <w:tcW w:w="5669" w:type="dxa"/>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Setting of house fires</w:t>
            </w:r>
            <w:bookmarkStart w:id="32" w:name="_GoBack"/>
            <w:bookmarkEnd w:id="32"/>
          </w:p>
        </w:tc>
        <w:tc>
          <w:tcPr>
            <w:tcW w:w="1701" w:type="dxa"/>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w:t>
            </w:r>
          </w:p>
        </w:tc>
      </w:tr>
      <w:tr w:rsidR="0043727F" w:rsidRPr="0043727F" w:rsidTr="00E670E4">
        <w:trPr>
          <w:trHeight w:val="240"/>
          <w:jc w:val="center"/>
        </w:trPr>
        <w:tc>
          <w:tcPr>
            <w:tcW w:w="5669" w:type="dxa"/>
            <w:tcBorders>
              <w:bottom w:val="single" w:sz="12" w:space="0" w:color="auto"/>
            </w:tcBorders>
            <w:shd w:val="clear" w:color="auto" w:fill="auto"/>
            <w:hideMark/>
          </w:tcPr>
          <w:p w:rsidR="0043727F" w:rsidRPr="00CA7C70" w:rsidRDefault="0043727F" w:rsidP="00CA7C70">
            <w:pPr>
              <w:spacing w:before="40" w:after="40" w:line="220" w:lineRule="exact"/>
              <w:ind w:right="113"/>
              <w:rPr>
                <w:sz w:val="18"/>
                <w:szCs w:val="18"/>
              </w:rPr>
            </w:pPr>
            <w:r w:rsidRPr="00CA7C70">
              <w:rPr>
                <w:sz w:val="18"/>
                <w:szCs w:val="18"/>
              </w:rPr>
              <w:t>Other ordinary offences</w:t>
            </w:r>
          </w:p>
        </w:tc>
        <w:tc>
          <w:tcPr>
            <w:tcW w:w="1701" w:type="dxa"/>
            <w:tcBorders>
              <w:bottom w:val="single" w:sz="12" w:space="0" w:color="auto"/>
            </w:tcBorders>
            <w:shd w:val="clear" w:color="auto" w:fill="auto"/>
            <w:hideMark/>
          </w:tcPr>
          <w:p w:rsidR="0043727F" w:rsidRPr="00FA283A" w:rsidRDefault="0043727F" w:rsidP="00FA283A">
            <w:pPr>
              <w:spacing w:before="40" w:after="40" w:line="220" w:lineRule="exact"/>
              <w:ind w:right="113"/>
              <w:jc w:val="right"/>
              <w:rPr>
                <w:sz w:val="18"/>
                <w:szCs w:val="18"/>
              </w:rPr>
            </w:pPr>
            <w:r w:rsidRPr="00FA283A">
              <w:rPr>
                <w:sz w:val="18"/>
                <w:szCs w:val="18"/>
              </w:rPr>
              <w:t>16</w:t>
            </w:r>
          </w:p>
        </w:tc>
      </w:tr>
    </w:tbl>
    <w:p w:rsidR="0043727F" w:rsidRPr="00A52535" w:rsidRDefault="0043727F" w:rsidP="0043727F">
      <w:pPr>
        <w:pStyle w:val="H1G"/>
      </w:pPr>
      <w:bookmarkStart w:id="33" w:name="_Toc454388701"/>
      <w:bookmarkStart w:id="34" w:name="_Toc453672862"/>
      <w:bookmarkStart w:id="35" w:name="_Toc455360514"/>
      <w:bookmarkStart w:id="36" w:name="_Toc455364118"/>
      <w:r w:rsidRPr="00A52535">
        <w:tab/>
      </w:r>
      <w:bookmarkStart w:id="37" w:name="_Toc479237756"/>
      <w:r w:rsidRPr="00A52535">
        <w:t>C.</w:t>
      </w:r>
      <w:r w:rsidRPr="00A52535">
        <w:tab/>
        <w:t>General framework for the protection and promotion of human rights</w:t>
      </w:r>
      <w:bookmarkEnd w:id="33"/>
      <w:bookmarkEnd w:id="34"/>
      <w:bookmarkEnd w:id="35"/>
      <w:bookmarkEnd w:id="36"/>
      <w:bookmarkEnd w:id="37"/>
    </w:p>
    <w:p w:rsidR="0043727F" w:rsidRPr="00A52535" w:rsidRDefault="0043727F" w:rsidP="0043727F">
      <w:pPr>
        <w:pStyle w:val="H23G"/>
      </w:pPr>
      <w:bookmarkStart w:id="38" w:name="_Toc453672863"/>
      <w:bookmarkStart w:id="39" w:name="_Toc455364119"/>
      <w:r w:rsidRPr="00A52535">
        <w:tab/>
        <w:t>1.</w:t>
      </w:r>
      <w:r w:rsidRPr="00A52535">
        <w:tab/>
        <w:t>Acceptance of international human rights standards</w:t>
      </w:r>
      <w:bookmarkEnd w:id="38"/>
      <w:bookmarkEnd w:id="39"/>
    </w:p>
    <w:p w:rsidR="00F71827" w:rsidRDefault="0043727F" w:rsidP="00F71827">
      <w:pPr>
        <w:pStyle w:val="Heading1"/>
      </w:pPr>
      <w:bookmarkStart w:id="40" w:name="_Toc479237757"/>
      <w:r w:rsidRPr="00A52535">
        <w:t>Table 3</w:t>
      </w:r>
      <w:bookmarkEnd w:id="40"/>
    </w:p>
    <w:p w:rsidR="0043727F" w:rsidRPr="00F71827" w:rsidRDefault="0043727F" w:rsidP="00F71827">
      <w:pPr>
        <w:pStyle w:val="SingleTxtG"/>
        <w:rPr>
          <w:b/>
        </w:rPr>
      </w:pPr>
      <w:r w:rsidRPr="00F71827">
        <w:rPr>
          <w:b/>
        </w:rPr>
        <w:t>Principal international human rights instruments ratified by Mauritania</w:t>
      </w:r>
    </w:p>
    <w:tbl>
      <w:tblPr>
        <w:tblW w:w="8505" w:type="dxa"/>
        <w:tblInd w:w="1134" w:type="dxa"/>
        <w:tblBorders>
          <w:top w:val="single" w:sz="4" w:space="0" w:color="auto"/>
        </w:tblBorders>
        <w:tblLayout w:type="fixed"/>
        <w:tblCellMar>
          <w:left w:w="0" w:type="dxa"/>
          <w:right w:w="57" w:type="dxa"/>
        </w:tblCellMar>
        <w:tblLook w:val="04A0" w:firstRow="1" w:lastRow="0" w:firstColumn="1" w:lastColumn="0" w:noHBand="0" w:noVBand="1"/>
      </w:tblPr>
      <w:tblGrid>
        <w:gridCol w:w="425"/>
        <w:gridCol w:w="2466"/>
        <w:gridCol w:w="794"/>
        <w:gridCol w:w="1418"/>
        <w:gridCol w:w="3402"/>
      </w:tblGrid>
      <w:tr w:rsidR="00E90509" w:rsidRPr="00E90509" w:rsidTr="00E91AC6">
        <w:trPr>
          <w:trHeight w:val="240"/>
          <w:tblHeader/>
        </w:trPr>
        <w:tc>
          <w:tcPr>
            <w:tcW w:w="426" w:type="dxa"/>
            <w:tcBorders>
              <w:top w:val="single" w:sz="4" w:space="0" w:color="auto"/>
              <w:bottom w:val="single" w:sz="12" w:space="0" w:color="auto"/>
            </w:tcBorders>
            <w:shd w:val="clear" w:color="auto" w:fill="auto"/>
            <w:vAlign w:val="bottom"/>
            <w:hideMark/>
          </w:tcPr>
          <w:p w:rsidR="00E90509" w:rsidRPr="00E90509" w:rsidRDefault="00913BCC" w:rsidP="00FA4361">
            <w:pPr>
              <w:keepNext/>
              <w:spacing w:before="80" w:after="80" w:line="200" w:lineRule="exact"/>
            </w:pPr>
            <w:r>
              <w:rPr>
                <w:i/>
                <w:iCs/>
                <w:sz w:val="16"/>
                <w:szCs w:val="16"/>
              </w:rPr>
              <w:t>No</w:t>
            </w:r>
            <w:r w:rsidR="00EC7110">
              <w:rPr>
                <w:i/>
                <w:iCs/>
                <w:sz w:val="16"/>
                <w:szCs w:val="16"/>
              </w:rPr>
              <w:t>.</w:t>
            </w:r>
          </w:p>
        </w:tc>
        <w:tc>
          <w:tcPr>
            <w:tcW w:w="2466" w:type="dxa"/>
            <w:tcBorders>
              <w:top w:val="single" w:sz="4" w:space="0" w:color="auto"/>
              <w:bottom w:val="single" w:sz="12" w:space="0" w:color="auto"/>
            </w:tcBorders>
            <w:shd w:val="clear" w:color="auto" w:fill="auto"/>
            <w:vAlign w:val="bottom"/>
            <w:hideMark/>
          </w:tcPr>
          <w:p w:rsidR="00E90509" w:rsidRPr="00E90509" w:rsidRDefault="00E90509" w:rsidP="00FA4361">
            <w:pPr>
              <w:keepNext/>
              <w:spacing w:before="80" w:after="80" w:line="200" w:lineRule="exact"/>
            </w:pPr>
            <w:r w:rsidRPr="00913BCC">
              <w:rPr>
                <w:i/>
                <w:iCs/>
                <w:sz w:val="16"/>
                <w:szCs w:val="16"/>
              </w:rPr>
              <w:t>Instrument</w:t>
            </w:r>
          </w:p>
        </w:tc>
        <w:tc>
          <w:tcPr>
            <w:tcW w:w="794" w:type="dxa"/>
            <w:tcBorders>
              <w:top w:val="single" w:sz="4" w:space="0" w:color="auto"/>
              <w:bottom w:val="single" w:sz="12" w:space="0" w:color="auto"/>
            </w:tcBorders>
            <w:shd w:val="clear" w:color="auto" w:fill="auto"/>
            <w:vAlign w:val="bottom"/>
            <w:hideMark/>
          </w:tcPr>
          <w:p w:rsidR="00E90509" w:rsidRPr="00913BCC" w:rsidRDefault="00E90509" w:rsidP="00FA4361">
            <w:pPr>
              <w:spacing w:before="80" w:after="80" w:line="200" w:lineRule="exact"/>
              <w:rPr>
                <w:i/>
                <w:iCs/>
                <w:sz w:val="16"/>
                <w:szCs w:val="16"/>
              </w:rPr>
            </w:pPr>
            <w:r w:rsidRPr="00913BCC">
              <w:rPr>
                <w:i/>
                <w:iCs/>
                <w:sz w:val="16"/>
                <w:szCs w:val="16"/>
              </w:rPr>
              <w:t>Date of adoption</w:t>
            </w:r>
          </w:p>
        </w:tc>
        <w:tc>
          <w:tcPr>
            <w:tcW w:w="1418" w:type="dxa"/>
            <w:tcBorders>
              <w:top w:val="single" w:sz="4" w:space="0" w:color="auto"/>
              <w:bottom w:val="single" w:sz="12" w:space="0" w:color="auto"/>
            </w:tcBorders>
            <w:shd w:val="clear" w:color="auto" w:fill="auto"/>
            <w:vAlign w:val="bottom"/>
            <w:hideMark/>
          </w:tcPr>
          <w:p w:rsidR="00E90509" w:rsidRPr="00913BCC" w:rsidRDefault="00E90509" w:rsidP="00FA4361">
            <w:pPr>
              <w:spacing w:before="80" w:after="80" w:line="200" w:lineRule="exact"/>
              <w:rPr>
                <w:i/>
                <w:iCs/>
                <w:sz w:val="16"/>
                <w:szCs w:val="16"/>
              </w:rPr>
            </w:pPr>
            <w:r w:rsidRPr="00913BCC">
              <w:rPr>
                <w:i/>
                <w:iCs/>
                <w:sz w:val="16"/>
                <w:szCs w:val="16"/>
              </w:rPr>
              <w:t>Date of ratification</w:t>
            </w:r>
          </w:p>
        </w:tc>
        <w:tc>
          <w:tcPr>
            <w:tcW w:w="3402" w:type="dxa"/>
            <w:tcBorders>
              <w:top w:val="single" w:sz="4" w:space="0" w:color="auto"/>
              <w:bottom w:val="single" w:sz="12" w:space="0" w:color="auto"/>
            </w:tcBorders>
            <w:shd w:val="clear" w:color="auto" w:fill="auto"/>
            <w:vAlign w:val="bottom"/>
            <w:hideMark/>
          </w:tcPr>
          <w:p w:rsidR="00E90509" w:rsidRPr="00913BCC" w:rsidRDefault="00E90509" w:rsidP="00FA4361">
            <w:pPr>
              <w:spacing w:before="80" w:after="80" w:line="200" w:lineRule="exact"/>
              <w:rPr>
                <w:i/>
                <w:iCs/>
                <w:sz w:val="16"/>
                <w:szCs w:val="16"/>
              </w:rPr>
            </w:pPr>
            <w:r w:rsidRPr="00913BCC">
              <w:rPr>
                <w:i/>
                <w:iCs/>
                <w:sz w:val="16"/>
                <w:szCs w:val="16"/>
              </w:rPr>
              <w:t>Reservations/</w:t>
            </w:r>
            <w:r w:rsidR="00EC7110" w:rsidRPr="00913BCC">
              <w:rPr>
                <w:i/>
                <w:iCs/>
                <w:sz w:val="16"/>
                <w:szCs w:val="16"/>
              </w:rPr>
              <w:t>comments</w:t>
            </w:r>
          </w:p>
        </w:tc>
      </w:tr>
      <w:tr w:rsidR="00FA4361" w:rsidRPr="00E90509" w:rsidTr="00E91AC6">
        <w:trPr>
          <w:trHeight w:hRule="exact" w:val="113"/>
          <w:tblHeader/>
        </w:trPr>
        <w:tc>
          <w:tcPr>
            <w:tcW w:w="426" w:type="dxa"/>
            <w:tcBorders>
              <w:top w:val="single" w:sz="12" w:space="0" w:color="auto"/>
              <w:bottom w:val="nil"/>
            </w:tcBorders>
            <w:shd w:val="clear" w:color="auto" w:fill="auto"/>
          </w:tcPr>
          <w:p w:rsidR="00FA4361" w:rsidRPr="00E90509" w:rsidRDefault="00FA4361" w:rsidP="00913BCC">
            <w:pPr>
              <w:spacing w:before="40" w:after="120"/>
            </w:pPr>
          </w:p>
        </w:tc>
        <w:tc>
          <w:tcPr>
            <w:tcW w:w="2466" w:type="dxa"/>
            <w:tcBorders>
              <w:top w:val="single" w:sz="12" w:space="0" w:color="auto"/>
              <w:bottom w:val="nil"/>
            </w:tcBorders>
            <w:shd w:val="clear" w:color="auto" w:fill="auto"/>
          </w:tcPr>
          <w:p w:rsidR="00FA4361" w:rsidRPr="00E90509" w:rsidRDefault="00FA4361" w:rsidP="00913BCC">
            <w:pPr>
              <w:spacing w:before="40" w:after="120"/>
            </w:pPr>
          </w:p>
        </w:tc>
        <w:tc>
          <w:tcPr>
            <w:tcW w:w="794" w:type="dxa"/>
            <w:tcBorders>
              <w:top w:val="single" w:sz="12" w:space="0" w:color="auto"/>
              <w:bottom w:val="nil"/>
            </w:tcBorders>
            <w:shd w:val="clear" w:color="auto" w:fill="auto"/>
          </w:tcPr>
          <w:p w:rsidR="00FA4361" w:rsidRPr="00E90509" w:rsidRDefault="00FA4361" w:rsidP="00913BCC">
            <w:pPr>
              <w:spacing w:before="40" w:after="120"/>
            </w:pPr>
          </w:p>
        </w:tc>
        <w:tc>
          <w:tcPr>
            <w:tcW w:w="1418" w:type="dxa"/>
            <w:tcBorders>
              <w:top w:val="single" w:sz="12" w:space="0" w:color="auto"/>
              <w:bottom w:val="nil"/>
            </w:tcBorders>
            <w:shd w:val="clear" w:color="auto" w:fill="auto"/>
          </w:tcPr>
          <w:p w:rsidR="00FA4361" w:rsidRPr="00E90509" w:rsidRDefault="00FA4361" w:rsidP="00913BCC">
            <w:pPr>
              <w:spacing w:before="40" w:after="120"/>
            </w:pPr>
          </w:p>
        </w:tc>
        <w:tc>
          <w:tcPr>
            <w:tcW w:w="3402" w:type="dxa"/>
            <w:tcBorders>
              <w:top w:val="single" w:sz="12" w:space="0" w:color="auto"/>
              <w:bottom w:val="nil"/>
            </w:tcBorders>
            <w:shd w:val="clear" w:color="auto" w:fill="auto"/>
          </w:tcPr>
          <w:p w:rsidR="00FA4361" w:rsidRPr="00E90509" w:rsidRDefault="00FA4361" w:rsidP="00913BCC">
            <w:pPr>
              <w:spacing w:before="40" w:after="120"/>
            </w:pPr>
          </w:p>
        </w:tc>
      </w:tr>
      <w:tr w:rsidR="00E90509" w:rsidRPr="00E90509" w:rsidTr="00E91AC6">
        <w:trPr>
          <w:trHeight w:val="240"/>
        </w:trPr>
        <w:tc>
          <w:tcPr>
            <w:tcW w:w="426" w:type="dxa"/>
            <w:tcBorders>
              <w:top w:val="nil"/>
            </w:tcBorders>
            <w:shd w:val="clear" w:color="auto" w:fill="auto"/>
            <w:hideMark/>
          </w:tcPr>
          <w:p w:rsidR="00E90509" w:rsidRPr="00E90509" w:rsidRDefault="00E90509" w:rsidP="00913BCC">
            <w:pPr>
              <w:spacing w:before="40" w:after="120"/>
            </w:pPr>
            <w:r w:rsidRPr="00E90509">
              <w:t>1</w:t>
            </w:r>
          </w:p>
        </w:tc>
        <w:tc>
          <w:tcPr>
            <w:tcW w:w="2466" w:type="dxa"/>
            <w:tcBorders>
              <w:top w:val="nil"/>
            </w:tcBorders>
            <w:shd w:val="clear" w:color="auto" w:fill="auto"/>
            <w:hideMark/>
          </w:tcPr>
          <w:p w:rsidR="00E90509" w:rsidRPr="00E90509" w:rsidRDefault="00E90509" w:rsidP="00913BCC">
            <w:pPr>
              <w:spacing w:before="40" w:after="120"/>
            </w:pPr>
            <w:r w:rsidRPr="00E90509">
              <w:t>Universal Declaration of Human Rights</w:t>
            </w:r>
          </w:p>
        </w:tc>
        <w:tc>
          <w:tcPr>
            <w:tcW w:w="794" w:type="dxa"/>
            <w:tcBorders>
              <w:top w:val="nil"/>
            </w:tcBorders>
            <w:shd w:val="clear" w:color="auto" w:fill="auto"/>
            <w:hideMark/>
          </w:tcPr>
          <w:p w:rsidR="00E90509" w:rsidRPr="00E90509" w:rsidRDefault="00E90509" w:rsidP="00913BCC">
            <w:pPr>
              <w:spacing w:before="40" w:after="120"/>
            </w:pPr>
            <w:r w:rsidRPr="00E90509">
              <w:t>1948</w:t>
            </w:r>
          </w:p>
        </w:tc>
        <w:tc>
          <w:tcPr>
            <w:tcW w:w="1418" w:type="dxa"/>
            <w:tcBorders>
              <w:top w:val="nil"/>
            </w:tcBorders>
            <w:shd w:val="clear" w:color="auto" w:fill="auto"/>
            <w:hideMark/>
          </w:tcPr>
          <w:p w:rsidR="00E90509" w:rsidRPr="00E90509" w:rsidRDefault="00E90509" w:rsidP="00913BCC">
            <w:pPr>
              <w:spacing w:before="40" w:after="120"/>
            </w:pPr>
            <w:r w:rsidRPr="00E90509">
              <w:t>Preamble to the Constitution of 20 July 1991</w:t>
            </w:r>
          </w:p>
        </w:tc>
        <w:tc>
          <w:tcPr>
            <w:tcW w:w="3402" w:type="dxa"/>
            <w:tcBorders>
              <w:top w:val="nil"/>
            </w:tcBorders>
            <w:shd w:val="clear" w:color="auto" w:fill="auto"/>
            <w:hideMark/>
          </w:tcPr>
          <w:p w:rsidR="00E90509" w:rsidRPr="00E90509" w:rsidRDefault="00E90509" w:rsidP="00913BCC">
            <w:pPr>
              <w:spacing w:before="40" w:after="120"/>
            </w:pPr>
            <w:r w:rsidRPr="00E90509">
              <w:t>Incorporated into the preamble to the Constitution of 20 July 1991</w:t>
            </w:r>
          </w:p>
        </w:tc>
      </w:tr>
      <w:tr w:rsidR="00E90509" w:rsidRPr="00E90509" w:rsidTr="00E91AC6">
        <w:trPr>
          <w:trHeight w:val="240"/>
        </w:trPr>
        <w:tc>
          <w:tcPr>
            <w:tcW w:w="426" w:type="dxa"/>
            <w:shd w:val="clear" w:color="auto" w:fill="auto"/>
            <w:hideMark/>
          </w:tcPr>
          <w:p w:rsidR="00E90509" w:rsidRPr="00E90509" w:rsidRDefault="00E90509" w:rsidP="00913BCC">
            <w:pPr>
              <w:spacing w:before="40" w:after="120"/>
            </w:pPr>
            <w:r w:rsidRPr="00E90509">
              <w:lastRenderedPageBreak/>
              <w:t>2</w:t>
            </w:r>
          </w:p>
        </w:tc>
        <w:tc>
          <w:tcPr>
            <w:tcW w:w="2466" w:type="dxa"/>
            <w:shd w:val="clear" w:color="auto" w:fill="auto"/>
            <w:hideMark/>
          </w:tcPr>
          <w:p w:rsidR="00E90509" w:rsidRPr="00E90509" w:rsidRDefault="00E90509" w:rsidP="00913BCC">
            <w:pPr>
              <w:spacing w:before="40" w:after="120"/>
            </w:pPr>
            <w:r w:rsidRPr="00E90509">
              <w:t>United Nations Convention against Corruption</w:t>
            </w:r>
          </w:p>
        </w:tc>
        <w:tc>
          <w:tcPr>
            <w:tcW w:w="794" w:type="dxa"/>
            <w:shd w:val="clear" w:color="auto" w:fill="auto"/>
            <w:hideMark/>
          </w:tcPr>
          <w:p w:rsidR="00E90509" w:rsidRPr="00E90509" w:rsidRDefault="00E90509" w:rsidP="00913BCC">
            <w:pPr>
              <w:spacing w:before="40" w:after="120"/>
            </w:pPr>
            <w:r w:rsidRPr="00E90509">
              <w:t>2003</w:t>
            </w:r>
          </w:p>
        </w:tc>
        <w:tc>
          <w:tcPr>
            <w:tcW w:w="1418" w:type="dxa"/>
            <w:shd w:val="clear" w:color="auto" w:fill="auto"/>
          </w:tcPr>
          <w:p w:rsidR="00E90509" w:rsidRPr="00E90509" w:rsidRDefault="00E90509" w:rsidP="00913BCC">
            <w:pPr>
              <w:spacing w:before="40" w:after="120"/>
            </w:pPr>
          </w:p>
        </w:tc>
        <w:tc>
          <w:tcPr>
            <w:tcW w:w="3402" w:type="dxa"/>
            <w:shd w:val="clear" w:color="auto" w:fill="auto"/>
          </w:tcPr>
          <w:p w:rsidR="00E90509" w:rsidRPr="00E90509" w:rsidRDefault="00E90509" w:rsidP="00913BCC">
            <w:pPr>
              <w:spacing w:before="40" w:after="120"/>
            </w:pPr>
          </w:p>
        </w:tc>
      </w:tr>
      <w:tr w:rsidR="00E90509" w:rsidRPr="00E90509" w:rsidTr="00E91AC6">
        <w:trPr>
          <w:trHeight w:val="240"/>
        </w:trPr>
        <w:tc>
          <w:tcPr>
            <w:tcW w:w="426" w:type="dxa"/>
            <w:shd w:val="clear" w:color="auto" w:fill="auto"/>
          </w:tcPr>
          <w:p w:rsidR="00E90509" w:rsidRPr="00E90509" w:rsidRDefault="00E90509" w:rsidP="00913BCC">
            <w:pPr>
              <w:spacing w:before="40" w:after="120"/>
            </w:pPr>
            <w:r w:rsidRPr="00E90509">
              <w:t>3</w:t>
            </w:r>
          </w:p>
        </w:tc>
        <w:tc>
          <w:tcPr>
            <w:tcW w:w="2466" w:type="dxa"/>
            <w:shd w:val="clear" w:color="auto" w:fill="auto"/>
          </w:tcPr>
          <w:p w:rsidR="00E90509" w:rsidRPr="00E90509" w:rsidRDefault="00E90509" w:rsidP="00913BCC">
            <w:pPr>
              <w:spacing w:before="40" w:after="120"/>
            </w:pPr>
            <w:r w:rsidRPr="00E90509">
              <w:t>International Convention on the Elimination of All Forms of Racial Discrimination</w:t>
            </w:r>
          </w:p>
        </w:tc>
        <w:tc>
          <w:tcPr>
            <w:tcW w:w="794" w:type="dxa"/>
            <w:shd w:val="clear" w:color="auto" w:fill="auto"/>
          </w:tcPr>
          <w:p w:rsidR="00E90509" w:rsidRPr="00E90509" w:rsidRDefault="00E90509" w:rsidP="00913BCC">
            <w:pPr>
              <w:spacing w:before="40" w:after="120"/>
            </w:pPr>
            <w:r w:rsidRPr="00E90509">
              <w:t>1965</w:t>
            </w:r>
          </w:p>
        </w:tc>
        <w:tc>
          <w:tcPr>
            <w:tcW w:w="1418" w:type="dxa"/>
            <w:shd w:val="clear" w:color="auto" w:fill="auto"/>
          </w:tcPr>
          <w:p w:rsidR="00E90509" w:rsidRPr="00E90509" w:rsidRDefault="00E90509" w:rsidP="00913BCC">
            <w:pPr>
              <w:spacing w:before="40" w:after="120"/>
            </w:pPr>
            <w:r w:rsidRPr="00E90509">
              <w:t>1988</w:t>
            </w:r>
          </w:p>
        </w:tc>
        <w:tc>
          <w:tcPr>
            <w:tcW w:w="3402" w:type="dxa"/>
            <w:shd w:val="clear" w:color="auto" w:fill="auto"/>
            <w:hideMark/>
          </w:tcPr>
          <w:p w:rsidR="00E90509" w:rsidRPr="00E90509" w:rsidRDefault="00E90509" w:rsidP="00913BCC">
            <w:pPr>
              <w:spacing w:before="40" w:after="120"/>
            </w:pPr>
            <w:r w:rsidRPr="00E90509">
              <w:t>Reservation: art. 14</w:t>
            </w:r>
          </w:p>
          <w:p w:rsidR="00E90509" w:rsidRPr="00E90509" w:rsidRDefault="00E90509" w:rsidP="00913BCC">
            <w:pPr>
              <w:spacing w:before="40" w:after="120"/>
            </w:pPr>
            <w:r w:rsidRPr="00E90509">
              <w:t>Mauritania has not made the declaration under article 14 recognizing the competence of the Committee to receive individual complaints.</w:t>
            </w:r>
          </w:p>
        </w:tc>
      </w:tr>
      <w:tr w:rsidR="00E90509" w:rsidRPr="00E90509" w:rsidTr="00E91AC6">
        <w:trPr>
          <w:trHeight w:val="240"/>
        </w:trPr>
        <w:tc>
          <w:tcPr>
            <w:tcW w:w="426" w:type="dxa"/>
            <w:shd w:val="clear" w:color="auto" w:fill="auto"/>
            <w:hideMark/>
          </w:tcPr>
          <w:p w:rsidR="00E90509" w:rsidRPr="00E90509" w:rsidRDefault="00E90509" w:rsidP="00913BCC">
            <w:pPr>
              <w:spacing w:before="40" w:after="120"/>
            </w:pPr>
            <w:r w:rsidRPr="00E90509">
              <w:t>4</w:t>
            </w:r>
          </w:p>
        </w:tc>
        <w:tc>
          <w:tcPr>
            <w:tcW w:w="2466" w:type="dxa"/>
            <w:shd w:val="clear" w:color="auto" w:fill="auto"/>
            <w:hideMark/>
          </w:tcPr>
          <w:p w:rsidR="00E90509" w:rsidRPr="00E90509" w:rsidRDefault="00E90509" w:rsidP="00913BCC">
            <w:pPr>
              <w:spacing w:before="40" w:after="120"/>
            </w:pPr>
            <w:r w:rsidRPr="00E90509">
              <w:t>Convention on the Elimination of All Forms of Discrimination against Women</w:t>
            </w:r>
          </w:p>
        </w:tc>
        <w:tc>
          <w:tcPr>
            <w:tcW w:w="794" w:type="dxa"/>
            <w:shd w:val="clear" w:color="auto" w:fill="auto"/>
            <w:hideMark/>
          </w:tcPr>
          <w:p w:rsidR="00E90509" w:rsidRPr="00E90509" w:rsidRDefault="00E90509" w:rsidP="00913BCC">
            <w:pPr>
              <w:spacing w:before="40" w:after="120"/>
            </w:pPr>
            <w:r w:rsidRPr="00E90509">
              <w:t>1979</w:t>
            </w:r>
          </w:p>
        </w:tc>
        <w:tc>
          <w:tcPr>
            <w:tcW w:w="1418" w:type="dxa"/>
            <w:shd w:val="clear" w:color="auto" w:fill="auto"/>
            <w:hideMark/>
          </w:tcPr>
          <w:p w:rsidR="00E90509" w:rsidRPr="00E90509" w:rsidRDefault="00E90509" w:rsidP="00913BCC">
            <w:pPr>
              <w:spacing w:before="40" w:after="120"/>
            </w:pPr>
            <w:r w:rsidRPr="00E90509">
              <w:t>1990</w:t>
            </w:r>
          </w:p>
        </w:tc>
        <w:tc>
          <w:tcPr>
            <w:tcW w:w="3402" w:type="dxa"/>
            <w:shd w:val="clear" w:color="auto" w:fill="auto"/>
            <w:hideMark/>
          </w:tcPr>
          <w:p w:rsidR="00E90509" w:rsidRPr="00E90509" w:rsidRDefault="00E90509" w:rsidP="00913BCC">
            <w:pPr>
              <w:spacing w:before="40" w:after="120"/>
            </w:pPr>
            <w:r w:rsidRPr="00E90509">
              <w:t>Reservations: arts. 13 (a), 16</w:t>
            </w:r>
          </w:p>
        </w:tc>
      </w:tr>
      <w:tr w:rsidR="00E90509" w:rsidRPr="00E90509" w:rsidTr="00E91AC6">
        <w:trPr>
          <w:trHeight w:val="240"/>
        </w:trPr>
        <w:tc>
          <w:tcPr>
            <w:tcW w:w="426" w:type="dxa"/>
            <w:shd w:val="clear" w:color="auto" w:fill="auto"/>
            <w:hideMark/>
          </w:tcPr>
          <w:p w:rsidR="00E90509" w:rsidRPr="00E90509" w:rsidRDefault="00E90509" w:rsidP="00913BCC">
            <w:pPr>
              <w:spacing w:before="40" w:after="120"/>
            </w:pPr>
            <w:r w:rsidRPr="00E90509">
              <w:t>5</w:t>
            </w:r>
          </w:p>
        </w:tc>
        <w:tc>
          <w:tcPr>
            <w:tcW w:w="2466" w:type="dxa"/>
            <w:shd w:val="clear" w:color="auto" w:fill="auto"/>
            <w:hideMark/>
          </w:tcPr>
          <w:p w:rsidR="00E90509" w:rsidRPr="00E90509" w:rsidRDefault="00E90509" w:rsidP="00913BCC">
            <w:pPr>
              <w:spacing w:before="40" w:after="120"/>
            </w:pPr>
            <w:r w:rsidRPr="00E90509">
              <w:t>International Convention on the Protection of the Rights of All Migrant Workers and Members of Their Families</w:t>
            </w:r>
          </w:p>
        </w:tc>
        <w:tc>
          <w:tcPr>
            <w:tcW w:w="794" w:type="dxa"/>
            <w:shd w:val="clear" w:color="auto" w:fill="auto"/>
            <w:hideMark/>
          </w:tcPr>
          <w:p w:rsidR="00E90509" w:rsidRPr="00E90509" w:rsidRDefault="00E90509" w:rsidP="00913BCC">
            <w:pPr>
              <w:spacing w:before="40" w:after="120"/>
            </w:pPr>
            <w:r w:rsidRPr="00E90509">
              <w:t>1990</w:t>
            </w:r>
          </w:p>
        </w:tc>
        <w:tc>
          <w:tcPr>
            <w:tcW w:w="1418" w:type="dxa"/>
            <w:shd w:val="clear" w:color="auto" w:fill="auto"/>
            <w:hideMark/>
          </w:tcPr>
          <w:p w:rsidR="00E90509" w:rsidRPr="00E90509" w:rsidRDefault="00E90509" w:rsidP="00913BCC">
            <w:pPr>
              <w:spacing w:before="40" w:after="120"/>
            </w:pPr>
            <w:r w:rsidRPr="00E90509">
              <w:t>2003</w:t>
            </w:r>
          </w:p>
        </w:tc>
        <w:tc>
          <w:tcPr>
            <w:tcW w:w="3402" w:type="dxa"/>
            <w:shd w:val="clear" w:color="auto" w:fill="auto"/>
          </w:tcPr>
          <w:p w:rsidR="00E90509" w:rsidRPr="00E90509" w:rsidRDefault="00E90509" w:rsidP="00913BCC">
            <w:pPr>
              <w:spacing w:before="40" w:after="120"/>
            </w:pPr>
          </w:p>
        </w:tc>
      </w:tr>
      <w:tr w:rsidR="00E90509" w:rsidRPr="00E90509" w:rsidTr="00E91AC6">
        <w:trPr>
          <w:trHeight w:val="240"/>
        </w:trPr>
        <w:tc>
          <w:tcPr>
            <w:tcW w:w="426" w:type="dxa"/>
            <w:shd w:val="clear" w:color="auto" w:fill="auto"/>
          </w:tcPr>
          <w:p w:rsidR="00E90509" w:rsidRPr="00E90509" w:rsidRDefault="00E90509" w:rsidP="00913BCC">
            <w:pPr>
              <w:spacing w:before="40" w:after="120"/>
            </w:pPr>
            <w:r w:rsidRPr="00E90509">
              <w:t>6</w:t>
            </w:r>
          </w:p>
        </w:tc>
        <w:tc>
          <w:tcPr>
            <w:tcW w:w="2466" w:type="dxa"/>
            <w:shd w:val="clear" w:color="auto" w:fill="auto"/>
          </w:tcPr>
          <w:p w:rsidR="00E90509" w:rsidRPr="00E90509" w:rsidRDefault="00E90509" w:rsidP="00913BCC">
            <w:pPr>
              <w:spacing w:before="40" w:after="120"/>
            </w:pPr>
            <w:r w:rsidRPr="00E90509">
              <w:t>Convention on the Rights of the Child</w:t>
            </w:r>
          </w:p>
        </w:tc>
        <w:tc>
          <w:tcPr>
            <w:tcW w:w="794" w:type="dxa"/>
            <w:shd w:val="clear" w:color="auto" w:fill="auto"/>
          </w:tcPr>
          <w:p w:rsidR="00E90509" w:rsidRPr="00E90509" w:rsidRDefault="00E90509" w:rsidP="00913BCC">
            <w:pPr>
              <w:spacing w:before="40" w:after="120"/>
            </w:pPr>
            <w:r w:rsidRPr="00E90509">
              <w:t>1989</w:t>
            </w:r>
          </w:p>
        </w:tc>
        <w:tc>
          <w:tcPr>
            <w:tcW w:w="1418" w:type="dxa"/>
            <w:shd w:val="clear" w:color="auto" w:fill="auto"/>
          </w:tcPr>
          <w:p w:rsidR="00E90509" w:rsidRPr="00E90509" w:rsidRDefault="00E90509" w:rsidP="00913BCC">
            <w:pPr>
              <w:spacing w:before="40" w:after="120"/>
            </w:pPr>
            <w:r w:rsidRPr="00E90509">
              <w:t>1990</w:t>
            </w:r>
          </w:p>
        </w:tc>
        <w:tc>
          <w:tcPr>
            <w:tcW w:w="3402" w:type="dxa"/>
            <w:shd w:val="clear" w:color="auto" w:fill="auto"/>
            <w:hideMark/>
          </w:tcPr>
          <w:p w:rsidR="00E90509" w:rsidRPr="00E90509" w:rsidRDefault="00E90509" w:rsidP="00913BCC">
            <w:pPr>
              <w:spacing w:before="40" w:after="120"/>
            </w:pPr>
            <w:r w:rsidRPr="00E90509">
              <w:t>Reservation: Mauritania has approved all parts of the Convention that are not contrary to sharia law.</w:t>
            </w:r>
          </w:p>
        </w:tc>
      </w:tr>
      <w:tr w:rsidR="00E90509" w:rsidRPr="00E90509" w:rsidTr="00E91AC6">
        <w:trPr>
          <w:trHeight w:val="240"/>
        </w:trPr>
        <w:tc>
          <w:tcPr>
            <w:tcW w:w="426" w:type="dxa"/>
            <w:shd w:val="clear" w:color="auto" w:fill="auto"/>
            <w:hideMark/>
          </w:tcPr>
          <w:p w:rsidR="00E90509" w:rsidRPr="00E90509" w:rsidRDefault="00E90509" w:rsidP="00913BCC">
            <w:pPr>
              <w:spacing w:before="40" w:after="120"/>
            </w:pPr>
            <w:r w:rsidRPr="00E90509">
              <w:t>7</w:t>
            </w:r>
          </w:p>
        </w:tc>
        <w:tc>
          <w:tcPr>
            <w:tcW w:w="2466" w:type="dxa"/>
            <w:shd w:val="clear" w:color="auto" w:fill="auto"/>
            <w:hideMark/>
          </w:tcPr>
          <w:p w:rsidR="00E90509" w:rsidRPr="00E90509" w:rsidRDefault="00E90509" w:rsidP="00913BCC">
            <w:pPr>
              <w:spacing w:before="40" w:after="120"/>
            </w:pPr>
            <w:r w:rsidRPr="00E90509">
              <w:t>Convention on the Rights of Persons with Disabilities</w:t>
            </w:r>
          </w:p>
        </w:tc>
        <w:tc>
          <w:tcPr>
            <w:tcW w:w="794" w:type="dxa"/>
            <w:shd w:val="clear" w:color="auto" w:fill="auto"/>
            <w:hideMark/>
          </w:tcPr>
          <w:p w:rsidR="00E90509" w:rsidRPr="00E90509" w:rsidRDefault="00E90509" w:rsidP="00913BCC">
            <w:pPr>
              <w:spacing w:before="40" w:after="120"/>
            </w:pPr>
            <w:r w:rsidRPr="00E90509">
              <w:t>2006</w:t>
            </w:r>
          </w:p>
        </w:tc>
        <w:tc>
          <w:tcPr>
            <w:tcW w:w="1418" w:type="dxa"/>
            <w:shd w:val="clear" w:color="auto" w:fill="auto"/>
            <w:hideMark/>
          </w:tcPr>
          <w:p w:rsidR="00E90509" w:rsidRPr="00E90509" w:rsidRDefault="00E90509" w:rsidP="00913BCC">
            <w:pPr>
              <w:spacing w:before="40" w:after="120"/>
            </w:pPr>
            <w:r w:rsidRPr="00E90509">
              <w:t>2010</w:t>
            </w:r>
          </w:p>
        </w:tc>
        <w:tc>
          <w:tcPr>
            <w:tcW w:w="3402" w:type="dxa"/>
            <w:shd w:val="clear" w:color="auto" w:fill="auto"/>
          </w:tcPr>
          <w:p w:rsidR="00E90509" w:rsidRPr="00E90509" w:rsidRDefault="00E90509" w:rsidP="00913BCC">
            <w:pPr>
              <w:spacing w:before="40" w:after="120"/>
            </w:pPr>
          </w:p>
        </w:tc>
      </w:tr>
      <w:tr w:rsidR="00E90509" w:rsidRPr="00E90509" w:rsidTr="00E91AC6">
        <w:trPr>
          <w:trHeight w:val="240"/>
        </w:trPr>
        <w:tc>
          <w:tcPr>
            <w:tcW w:w="426" w:type="dxa"/>
            <w:shd w:val="clear" w:color="auto" w:fill="auto"/>
            <w:hideMark/>
          </w:tcPr>
          <w:p w:rsidR="00E90509" w:rsidRPr="00E90509" w:rsidRDefault="00E90509" w:rsidP="00913BCC">
            <w:pPr>
              <w:spacing w:before="40" w:after="120"/>
            </w:pPr>
            <w:r w:rsidRPr="00E90509">
              <w:t>8</w:t>
            </w:r>
          </w:p>
        </w:tc>
        <w:tc>
          <w:tcPr>
            <w:tcW w:w="2466" w:type="dxa"/>
            <w:shd w:val="clear" w:color="auto" w:fill="auto"/>
            <w:hideMark/>
          </w:tcPr>
          <w:p w:rsidR="00E90509" w:rsidRPr="00E90509" w:rsidRDefault="00E90509" w:rsidP="00913BCC">
            <w:pPr>
              <w:spacing w:before="40" w:after="120"/>
            </w:pPr>
            <w:r w:rsidRPr="00E90509">
              <w:t>International Convention for the Protection of All Persons from Enforced Disappearance</w:t>
            </w:r>
          </w:p>
        </w:tc>
        <w:tc>
          <w:tcPr>
            <w:tcW w:w="794" w:type="dxa"/>
            <w:shd w:val="clear" w:color="auto" w:fill="auto"/>
            <w:hideMark/>
          </w:tcPr>
          <w:p w:rsidR="00E90509" w:rsidRPr="00E90509" w:rsidRDefault="00E90509" w:rsidP="00913BCC">
            <w:pPr>
              <w:spacing w:before="40" w:after="120"/>
            </w:pPr>
            <w:r w:rsidRPr="00E90509">
              <w:t>2006</w:t>
            </w:r>
          </w:p>
        </w:tc>
        <w:tc>
          <w:tcPr>
            <w:tcW w:w="1418" w:type="dxa"/>
            <w:shd w:val="clear" w:color="auto" w:fill="auto"/>
            <w:hideMark/>
          </w:tcPr>
          <w:p w:rsidR="00E90509" w:rsidRPr="00E90509" w:rsidRDefault="00E90509" w:rsidP="00913BCC">
            <w:pPr>
              <w:spacing w:before="40" w:after="120"/>
            </w:pPr>
            <w:r w:rsidRPr="00E90509">
              <w:t>2012</w:t>
            </w:r>
          </w:p>
        </w:tc>
        <w:tc>
          <w:tcPr>
            <w:tcW w:w="3402" w:type="dxa"/>
            <w:shd w:val="clear" w:color="auto" w:fill="auto"/>
          </w:tcPr>
          <w:p w:rsidR="00E90509" w:rsidRPr="00E90509" w:rsidRDefault="00E90509" w:rsidP="00913BCC">
            <w:pPr>
              <w:spacing w:before="40" w:after="120"/>
            </w:pPr>
          </w:p>
        </w:tc>
      </w:tr>
      <w:tr w:rsidR="00E90509" w:rsidRPr="00E90509" w:rsidTr="00E91AC6">
        <w:trPr>
          <w:trHeight w:val="240"/>
        </w:trPr>
        <w:tc>
          <w:tcPr>
            <w:tcW w:w="426" w:type="dxa"/>
            <w:shd w:val="clear" w:color="auto" w:fill="auto"/>
          </w:tcPr>
          <w:p w:rsidR="00E90509" w:rsidRPr="00E90509" w:rsidRDefault="00E90509" w:rsidP="00913BCC">
            <w:pPr>
              <w:spacing w:before="40" w:after="120"/>
            </w:pPr>
            <w:r w:rsidRPr="00E90509">
              <w:t>9</w:t>
            </w:r>
          </w:p>
        </w:tc>
        <w:tc>
          <w:tcPr>
            <w:tcW w:w="2466" w:type="dxa"/>
            <w:shd w:val="clear" w:color="auto" w:fill="auto"/>
          </w:tcPr>
          <w:p w:rsidR="00E90509" w:rsidRPr="00E90509" w:rsidRDefault="00E90509" w:rsidP="00913BCC">
            <w:pPr>
              <w:spacing w:before="40" w:after="120"/>
            </w:pPr>
            <w:r w:rsidRPr="00E90509">
              <w:t>International Covenant on Civil and Political Rights</w:t>
            </w:r>
          </w:p>
        </w:tc>
        <w:tc>
          <w:tcPr>
            <w:tcW w:w="794" w:type="dxa"/>
            <w:shd w:val="clear" w:color="auto" w:fill="auto"/>
          </w:tcPr>
          <w:p w:rsidR="00E90509" w:rsidRPr="00E90509" w:rsidRDefault="00E90509" w:rsidP="00913BCC">
            <w:pPr>
              <w:spacing w:before="40" w:after="120"/>
            </w:pPr>
            <w:r w:rsidRPr="00E90509">
              <w:t>1966</w:t>
            </w:r>
          </w:p>
        </w:tc>
        <w:tc>
          <w:tcPr>
            <w:tcW w:w="1418" w:type="dxa"/>
            <w:shd w:val="clear" w:color="auto" w:fill="auto"/>
          </w:tcPr>
          <w:p w:rsidR="00E90509" w:rsidRPr="00E90509" w:rsidRDefault="00E90509" w:rsidP="00913BCC">
            <w:pPr>
              <w:spacing w:before="40" w:after="120"/>
            </w:pPr>
            <w:r w:rsidRPr="00E90509">
              <w:t>1999</w:t>
            </w:r>
          </w:p>
        </w:tc>
        <w:tc>
          <w:tcPr>
            <w:tcW w:w="3402" w:type="dxa"/>
            <w:shd w:val="clear" w:color="auto" w:fill="auto"/>
            <w:hideMark/>
          </w:tcPr>
          <w:p w:rsidR="00E90509" w:rsidRPr="00E90509" w:rsidRDefault="00E90509" w:rsidP="00913BCC">
            <w:pPr>
              <w:spacing w:before="40" w:after="120"/>
            </w:pPr>
            <w:r w:rsidRPr="00E90509">
              <w:t xml:space="preserve">Reservations: arts. 18 (2) and (3), </w:t>
            </w:r>
            <w:r w:rsidR="0028057C">
              <w:br/>
            </w:r>
            <w:r w:rsidRPr="00E90509">
              <w:t>art. 23 (4)</w:t>
            </w:r>
          </w:p>
          <w:p w:rsidR="00E90509" w:rsidRPr="00E90509" w:rsidRDefault="00E90509" w:rsidP="00913BCC">
            <w:pPr>
              <w:spacing w:before="40" w:after="120"/>
            </w:pPr>
            <w:r w:rsidRPr="00E90509">
              <w:t>The Government of Mauritania declared that the application of these provisions would be without prejudice to sharia law.</w:t>
            </w:r>
          </w:p>
        </w:tc>
      </w:tr>
      <w:tr w:rsidR="00E90509" w:rsidRPr="00E90509" w:rsidTr="00E91AC6">
        <w:trPr>
          <w:trHeight w:val="240"/>
        </w:trPr>
        <w:tc>
          <w:tcPr>
            <w:tcW w:w="426" w:type="dxa"/>
            <w:shd w:val="clear" w:color="auto" w:fill="auto"/>
            <w:hideMark/>
          </w:tcPr>
          <w:p w:rsidR="00E90509" w:rsidRPr="00E90509" w:rsidRDefault="00E90509" w:rsidP="00913BCC">
            <w:pPr>
              <w:spacing w:before="40" w:after="120"/>
            </w:pPr>
            <w:r w:rsidRPr="00E90509">
              <w:t>10</w:t>
            </w:r>
          </w:p>
        </w:tc>
        <w:tc>
          <w:tcPr>
            <w:tcW w:w="2466" w:type="dxa"/>
            <w:shd w:val="clear" w:color="auto" w:fill="auto"/>
            <w:hideMark/>
          </w:tcPr>
          <w:p w:rsidR="00E90509" w:rsidRPr="00E90509" w:rsidRDefault="00E90509" w:rsidP="00913BCC">
            <w:pPr>
              <w:spacing w:before="40" w:after="120"/>
            </w:pPr>
            <w:r w:rsidRPr="00E90509">
              <w:t>International Covenant on Economic, Social and Cultural Rights</w:t>
            </w:r>
          </w:p>
        </w:tc>
        <w:tc>
          <w:tcPr>
            <w:tcW w:w="794" w:type="dxa"/>
            <w:shd w:val="clear" w:color="auto" w:fill="auto"/>
            <w:hideMark/>
          </w:tcPr>
          <w:p w:rsidR="00E90509" w:rsidRPr="00E90509" w:rsidRDefault="00E90509" w:rsidP="00913BCC">
            <w:pPr>
              <w:spacing w:before="40" w:after="120"/>
            </w:pPr>
            <w:r w:rsidRPr="00E90509">
              <w:t>1966</w:t>
            </w:r>
          </w:p>
        </w:tc>
        <w:tc>
          <w:tcPr>
            <w:tcW w:w="1418" w:type="dxa"/>
            <w:shd w:val="clear" w:color="auto" w:fill="auto"/>
            <w:hideMark/>
          </w:tcPr>
          <w:p w:rsidR="00E90509" w:rsidRPr="00E90509" w:rsidRDefault="00E90509" w:rsidP="00913BCC">
            <w:pPr>
              <w:spacing w:before="40" w:after="120"/>
            </w:pPr>
            <w:r w:rsidRPr="00E90509">
              <w:t>1999</w:t>
            </w:r>
          </w:p>
        </w:tc>
        <w:tc>
          <w:tcPr>
            <w:tcW w:w="3402" w:type="dxa"/>
            <w:shd w:val="clear" w:color="auto" w:fill="auto"/>
          </w:tcPr>
          <w:p w:rsidR="00E90509" w:rsidRPr="00E90509" w:rsidRDefault="00E90509" w:rsidP="00913BCC">
            <w:pPr>
              <w:spacing w:before="40" w:after="120"/>
            </w:pPr>
          </w:p>
        </w:tc>
      </w:tr>
      <w:tr w:rsidR="00E90509" w:rsidRPr="00E90509" w:rsidTr="00E91AC6">
        <w:trPr>
          <w:trHeight w:val="240"/>
        </w:trPr>
        <w:tc>
          <w:tcPr>
            <w:tcW w:w="426" w:type="dxa"/>
            <w:shd w:val="clear" w:color="auto" w:fill="auto"/>
            <w:hideMark/>
          </w:tcPr>
          <w:p w:rsidR="00E90509" w:rsidRPr="00E90509" w:rsidRDefault="00E90509" w:rsidP="00913BCC">
            <w:pPr>
              <w:spacing w:before="40" w:after="120"/>
            </w:pPr>
            <w:r w:rsidRPr="00E90509">
              <w:t>11</w:t>
            </w:r>
          </w:p>
        </w:tc>
        <w:tc>
          <w:tcPr>
            <w:tcW w:w="2466" w:type="dxa"/>
            <w:shd w:val="clear" w:color="auto" w:fill="auto"/>
            <w:hideMark/>
          </w:tcPr>
          <w:p w:rsidR="00E90509" w:rsidRPr="00E90509" w:rsidRDefault="00E90509" w:rsidP="00913BCC">
            <w:pPr>
              <w:spacing w:before="40" w:after="120"/>
            </w:pPr>
            <w:r w:rsidRPr="00E90509">
              <w:t>Optional Protocol to the Convention against Torture and Other Cruel, Inhuman or Degrading Treatment or Punishment</w:t>
            </w:r>
          </w:p>
        </w:tc>
        <w:tc>
          <w:tcPr>
            <w:tcW w:w="794" w:type="dxa"/>
            <w:shd w:val="clear" w:color="auto" w:fill="auto"/>
          </w:tcPr>
          <w:p w:rsidR="00E90509" w:rsidRPr="00E90509" w:rsidRDefault="00E90509" w:rsidP="00913BCC">
            <w:pPr>
              <w:spacing w:before="40" w:after="120"/>
            </w:pPr>
          </w:p>
        </w:tc>
        <w:tc>
          <w:tcPr>
            <w:tcW w:w="1418" w:type="dxa"/>
            <w:shd w:val="clear" w:color="auto" w:fill="auto"/>
            <w:hideMark/>
          </w:tcPr>
          <w:p w:rsidR="00E90509" w:rsidRPr="00E90509" w:rsidRDefault="00E90509" w:rsidP="00913BCC">
            <w:pPr>
              <w:spacing w:before="40" w:after="120"/>
            </w:pPr>
            <w:r w:rsidRPr="00E90509">
              <w:t>2012</w:t>
            </w:r>
          </w:p>
        </w:tc>
        <w:tc>
          <w:tcPr>
            <w:tcW w:w="3402" w:type="dxa"/>
            <w:shd w:val="clear" w:color="auto" w:fill="auto"/>
          </w:tcPr>
          <w:p w:rsidR="00E90509" w:rsidRPr="00E90509" w:rsidRDefault="00E90509" w:rsidP="00913BCC">
            <w:pPr>
              <w:spacing w:before="40" w:after="120"/>
            </w:pPr>
          </w:p>
        </w:tc>
      </w:tr>
      <w:tr w:rsidR="00E90509" w:rsidRPr="00E90509" w:rsidTr="00E91AC6">
        <w:trPr>
          <w:trHeight w:val="240"/>
        </w:trPr>
        <w:tc>
          <w:tcPr>
            <w:tcW w:w="426" w:type="dxa"/>
            <w:shd w:val="clear" w:color="auto" w:fill="auto"/>
            <w:hideMark/>
          </w:tcPr>
          <w:p w:rsidR="00E90509" w:rsidRPr="00E90509" w:rsidRDefault="00E90509" w:rsidP="00913BCC">
            <w:pPr>
              <w:spacing w:before="40" w:after="120"/>
            </w:pPr>
            <w:r w:rsidRPr="00E90509">
              <w:t>12</w:t>
            </w:r>
          </w:p>
        </w:tc>
        <w:tc>
          <w:tcPr>
            <w:tcW w:w="2466" w:type="dxa"/>
            <w:shd w:val="clear" w:color="auto" w:fill="auto"/>
            <w:hideMark/>
          </w:tcPr>
          <w:p w:rsidR="00E90509" w:rsidRPr="00E90509" w:rsidRDefault="00E90509" w:rsidP="00913BCC">
            <w:pPr>
              <w:spacing w:before="40" w:after="120"/>
            </w:pPr>
            <w:r w:rsidRPr="00E90509">
              <w:t>Optional Protocol to the Convention on the Rights of Persons with Disabilities</w:t>
            </w:r>
          </w:p>
        </w:tc>
        <w:tc>
          <w:tcPr>
            <w:tcW w:w="794" w:type="dxa"/>
            <w:shd w:val="clear" w:color="auto" w:fill="auto"/>
            <w:hideMark/>
          </w:tcPr>
          <w:p w:rsidR="00E90509" w:rsidRPr="00E90509" w:rsidRDefault="00E90509" w:rsidP="00913BCC">
            <w:pPr>
              <w:spacing w:before="40" w:after="120"/>
            </w:pPr>
            <w:r w:rsidRPr="00E90509">
              <w:t>2006</w:t>
            </w:r>
          </w:p>
        </w:tc>
        <w:tc>
          <w:tcPr>
            <w:tcW w:w="1418" w:type="dxa"/>
            <w:shd w:val="clear" w:color="auto" w:fill="auto"/>
            <w:hideMark/>
          </w:tcPr>
          <w:p w:rsidR="00E90509" w:rsidRPr="00E90509" w:rsidRDefault="00E90509" w:rsidP="00913BCC">
            <w:pPr>
              <w:spacing w:before="40" w:after="120"/>
            </w:pPr>
            <w:r w:rsidRPr="00E90509">
              <w:t>2010</w:t>
            </w:r>
          </w:p>
        </w:tc>
        <w:tc>
          <w:tcPr>
            <w:tcW w:w="3402" w:type="dxa"/>
            <w:shd w:val="clear" w:color="auto" w:fill="auto"/>
          </w:tcPr>
          <w:p w:rsidR="00E90509" w:rsidRPr="00E90509" w:rsidRDefault="00E90509" w:rsidP="00913BCC">
            <w:pPr>
              <w:spacing w:before="40" w:after="120"/>
            </w:pPr>
          </w:p>
        </w:tc>
      </w:tr>
      <w:tr w:rsidR="00E90509" w:rsidRPr="00E90509" w:rsidTr="00E91AC6">
        <w:trPr>
          <w:trHeight w:val="240"/>
        </w:trPr>
        <w:tc>
          <w:tcPr>
            <w:tcW w:w="426" w:type="dxa"/>
            <w:tcBorders>
              <w:bottom w:val="single" w:sz="12" w:space="0" w:color="auto"/>
            </w:tcBorders>
            <w:shd w:val="clear" w:color="auto" w:fill="auto"/>
          </w:tcPr>
          <w:p w:rsidR="00E90509" w:rsidRPr="00E90509" w:rsidRDefault="00E90509" w:rsidP="00913BCC">
            <w:pPr>
              <w:spacing w:before="40" w:after="120"/>
            </w:pPr>
            <w:r w:rsidRPr="00E90509">
              <w:t>13</w:t>
            </w:r>
          </w:p>
        </w:tc>
        <w:tc>
          <w:tcPr>
            <w:tcW w:w="2466" w:type="dxa"/>
            <w:tcBorders>
              <w:bottom w:val="single" w:sz="12" w:space="0" w:color="auto"/>
            </w:tcBorders>
            <w:shd w:val="clear" w:color="auto" w:fill="auto"/>
          </w:tcPr>
          <w:p w:rsidR="00E90509" w:rsidRPr="00E90509" w:rsidRDefault="00E90509" w:rsidP="00913BCC">
            <w:pPr>
              <w:spacing w:before="40" w:after="120"/>
            </w:pPr>
            <w:r w:rsidRPr="00E90509">
              <w:t>Convention against Torture and Other Cruel, Inhuman or Degrading Treatment or Punishment</w:t>
            </w:r>
          </w:p>
        </w:tc>
        <w:tc>
          <w:tcPr>
            <w:tcW w:w="794" w:type="dxa"/>
            <w:tcBorders>
              <w:bottom w:val="single" w:sz="12" w:space="0" w:color="auto"/>
            </w:tcBorders>
            <w:shd w:val="clear" w:color="auto" w:fill="auto"/>
          </w:tcPr>
          <w:p w:rsidR="00E90509" w:rsidRPr="00E90509" w:rsidRDefault="00E90509" w:rsidP="00913BCC">
            <w:pPr>
              <w:spacing w:before="40" w:after="120"/>
            </w:pPr>
            <w:r w:rsidRPr="00E90509">
              <w:t>1984</w:t>
            </w:r>
          </w:p>
        </w:tc>
        <w:tc>
          <w:tcPr>
            <w:tcW w:w="1418" w:type="dxa"/>
            <w:tcBorders>
              <w:bottom w:val="single" w:sz="12" w:space="0" w:color="auto"/>
            </w:tcBorders>
            <w:shd w:val="clear" w:color="auto" w:fill="auto"/>
          </w:tcPr>
          <w:p w:rsidR="00E90509" w:rsidRPr="00E90509" w:rsidRDefault="00E90509" w:rsidP="00913BCC">
            <w:pPr>
              <w:spacing w:before="40" w:after="120"/>
            </w:pPr>
            <w:r w:rsidRPr="00E90509">
              <w:t>1999</w:t>
            </w:r>
          </w:p>
        </w:tc>
        <w:tc>
          <w:tcPr>
            <w:tcW w:w="3402" w:type="dxa"/>
            <w:tcBorders>
              <w:bottom w:val="single" w:sz="12" w:space="0" w:color="auto"/>
            </w:tcBorders>
            <w:shd w:val="clear" w:color="auto" w:fill="auto"/>
            <w:hideMark/>
          </w:tcPr>
          <w:p w:rsidR="00E90509" w:rsidRPr="00E90509" w:rsidRDefault="00E90509" w:rsidP="00913BCC">
            <w:pPr>
              <w:spacing w:before="40" w:after="120"/>
            </w:pPr>
            <w:r w:rsidRPr="00E90509">
              <w:t>Reservations: art. 20 (1-5) concerning the competence of the Committee, art. 30 (1),</w:t>
            </w:r>
            <w:r w:rsidR="0028057C">
              <w:t xml:space="preserve"> </w:t>
            </w:r>
            <w:r w:rsidRPr="00E90509">
              <w:t>concerning the International Court of Justice</w:t>
            </w:r>
          </w:p>
        </w:tc>
      </w:tr>
    </w:tbl>
    <w:p w:rsidR="00E90509" w:rsidRPr="00A52535" w:rsidRDefault="00E90509" w:rsidP="00E90509">
      <w:pPr>
        <w:pStyle w:val="H23G"/>
      </w:pPr>
      <w:bookmarkStart w:id="41" w:name="_Toc454388702"/>
      <w:bookmarkStart w:id="42" w:name="_Toc453672864"/>
      <w:bookmarkStart w:id="43" w:name="_Toc455360515"/>
      <w:bookmarkStart w:id="44" w:name="_Toc455364120"/>
      <w:r w:rsidRPr="00A52535">
        <w:lastRenderedPageBreak/>
        <w:tab/>
        <w:t>2.</w:t>
      </w:r>
      <w:r w:rsidRPr="00A52535">
        <w:tab/>
        <w:t>Nature and scope of reservations</w:t>
      </w:r>
      <w:bookmarkEnd w:id="41"/>
      <w:bookmarkEnd w:id="42"/>
      <w:bookmarkEnd w:id="43"/>
      <w:bookmarkEnd w:id="44"/>
    </w:p>
    <w:p w:rsidR="00E90509" w:rsidRPr="00A52535" w:rsidRDefault="00E90509" w:rsidP="00E90509">
      <w:pPr>
        <w:pStyle w:val="H23G"/>
      </w:pPr>
      <w:bookmarkStart w:id="45" w:name="_Toc454388703"/>
      <w:bookmarkStart w:id="46" w:name="_Toc453672865"/>
      <w:bookmarkStart w:id="47" w:name="_Toc455364121"/>
      <w:r w:rsidRPr="00A52535">
        <w:tab/>
        <w:t>(a)</w:t>
      </w:r>
      <w:r w:rsidRPr="00A52535">
        <w:tab/>
        <w:t>Scope of reservations</w:t>
      </w:r>
      <w:bookmarkEnd w:id="45"/>
      <w:bookmarkEnd w:id="46"/>
      <w:bookmarkEnd w:id="47"/>
    </w:p>
    <w:p w:rsidR="00E90509" w:rsidRPr="00A52535" w:rsidRDefault="00E90509" w:rsidP="00E90509">
      <w:pPr>
        <w:pStyle w:val="SingleTxtG"/>
      </w:pPr>
      <w:r w:rsidRPr="00A52535">
        <w:t>24.</w:t>
      </w:r>
      <w:r w:rsidRPr="00A52535">
        <w:tab/>
        <w:t xml:space="preserve">Mauritania has entered general or specific reservations on the following conventions: </w:t>
      </w:r>
    </w:p>
    <w:p w:rsidR="00E90509" w:rsidRPr="00A52535" w:rsidRDefault="00E90509" w:rsidP="00E90509">
      <w:pPr>
        <w:pStyle w:val="Bullet1G"/>
      </w:pPr>
      <w:r w:rsidRPr="00A52535">
        <w:t>Convention on the Elimination of All Forms of Discrimination against Women (arts. 13 (a) and 16)</w:t>
      </w:r>
      <w:r w:rsidR="00E45B2F">
        <w:t>;</w:t>
      </w:r>
    </w:p>
    <w:p w:rsidR="00E90509" w:rsidRPr="00A52535" w:rsidRDefault="00E90509" w:rsidP="00E90509">
      <w:pPr>
        <w:pStyle w:val="Bullet1G"/>
      </w:pPr>
      <w:r w:rsidRPr="00A52535">
        <w:t>Convention on the Rights of the Child</w:t>
      </w:r>
      <w:r w:rsidR="00E45B2F">
        <w:t>.</w:t>
      </w:r>
    </w:p>
    <w:p w:rsidR="00E90509" w:rsidRPr="00A52535" w:rsidRDefault="00E90509" w:rsidP="00E90509">
      <w:pPr>
        <w:pStyle w:val="SingleTxtG"/>
      </w:pPr>
      <w:r w:rsidRPr="00A52535">
        <w:t>25.</w:t>
      </w:r>
      <w:r w:rsidRPr="00A52535">
        <w:tab/>
        <w:t>Mauritania has approved all parts of the following convention that are not contrary to sharia law.</w:t>
      </w:r>
    </w:p>
    <w:p w:rsidR="00E90509" w:rsidRPr="00A52535" w:rsidRDefault="00E90509" w:rsidP="00E90509">
      <w:pPr>
        <w:pStyle w:val="Bullet1G"/>
      </w:pPr>
      <w:r w:rsidRPr="00A52535">
        <w:t>International Covenant on Civil and Political Rights</w:t>
      </w:r>
      <w:r w:rsidR="00E45B2F">
        <w:t>.</w:t>
      </w:r>
    </w:p>
    <w:p w:rsidR="00E90509" w:rsidRPr="00A52535" w:rsidRDefault="00E90509" w:rsidP="00E90509">
      <w:pPr>
        <w:pStyle w:val="SingleTxtG"/>
      </w:pPr>
      <w:r w:rsidRPr="00A52535">
        <w:t>26.</w:t>
      </w:r>
      <w:r w:rsidRPr="00A52535">
        <w:tab/>
        <w:t>Reservations to articles 18 (2-4) and 23 (4)</w:t>
      </w:r>
      <w:r w:rsidR="002D70A4">
        <w:t>.</w:t>
      </w:r>
    </w:p>
    <w:p w:rsidR="00E90509" w:rsidRPr="00A52535" w:rsidRDefault="00E90509" w:rsidP="00E90509">
      <w:pPr>
        <w:pStyle w:val="Bullet1G"/>
      </w:pPr>
      <w:r w:rsidRPr="00A52535">
        <w:t>Convention against Torture and Other Cruel, Inhuman or Degrading Treatment or Punishment</w:t>
      </w:r>
      <w:r w:rsidR="00E45B2F">
        <w:t>.</w:t>
      </w:r>
    </w:p>
    <w:p w:rsidR="00E90509" w:rsidRPr="00A52535" w:rsidRDefault="00E90509" w:rsidP="00E90509">
      <w:pPr>
        <w:pStyle w:val="SingleTxtG"/>
      </w:pPr>
      <w:r w:rsidRPr="00A52535">
        <w:t>27.</w:t>
      </w:r>
      <w:r w:rsidRPr="00A52535">
        <w:tab/>
        <w:t>Reservations to articles 20 (1-5) concerning the competence of the Committee and article 30 (1) concerning the International Criminal Court</w:t>
      </w:r>
      <w:r w:rsidR="00CF0863">
        <w:t>.</w:t>
      </w:r>
    </w:p>
    <w:p w:rsidR="00E90509" w:rsidRPr="00A52535" w:rsidRDefault="00E90509" w:rsidP="00E90509">
      <w:pPr>
        <w:pStyle w:val="H23G"/>
      </w:pPr>
      <w:bookmarkStart w:id="48" w:name="_Toc454388704"/>
      <w:bookmarkStart w:id="49" w:name="_Toc453672866"/>
      <w:bookmarkStart w:id="50" w:name="_Toc455364122"/>
      <w:r w:rsidRPr="00A52535">
        <w:tab/>
        <w:t>(b)</w:t>
      </w:r>
      <w:r w:rsidRPr="00A52535">
        <w:tab/>
        <w:t>Reasons for the reservations</w:t>
      </w:r>
      <w:bookmarkEnd w:id="48"/>
      <w:bookmarkEnd w:id="49"/>
      <w:bookmarkEnd w:id="50"/>
    </w:p>
    <w:p w:rsidR="00E90509" w:rsidRPr="00A52535" w:rsidRDefault="00E90509" w:rsidP="00E90509">
      <w:pPr>
        <w:pStyle w:val="SingleTxtG"/>
      </w:pPr>
      <w:r w:rsidRPr="00A52535">
        <w:t>28.</w:t>
      </w:r>
      <w:r w:rsidRPr="00A52535">
        <w:tab/>
        <w:t>These reservations were deemed necessary because they concern provisions that are contrary to sharia, the sole source of law under the Constitution.</w:t>
      </w:r>
      <w:bookmarkStart w:id="51" w:name="_Toc453672867"/>
    </w:p>
    <w:p w:rsidR="00E90509" w:rsidRPr="00A52535" w:rsidRDefault="00E90509" w:rsidP="00E90509">
      <w:pPr>
        <w:pStyle w:val="H23G"/>
      </w:pPr>
      <w:bookmarkStart w:id="52" w:name="_Toc454388705"/>
      <w:bookmarkStart w:id="53" w:name="_Toc455364123"/>
      <w:r w:rsidRPr="00A52535">
        <w:tab/>
        <w:t>(c)</w:t>
      </w:r>
      <w:r w:rsidRPr="00A52535">
        <w:tab/>
        <w:t>Effect of the reservations</w:t>
      </w:r>
      <w:bookmarkEnd w:id="51"/>
      <w:bookmarkEnd w:id="52"/>
      <w:bookmarkEnd w:id="53"/>
    </w:p>
    <w:p w:rsidR="00E90509" w:rsidRPr="00A52535" w:rsidRDefault="00E90509" w:rsidP="00E90509">
      <w:pPr>
        <w:pStyle w:val="SingleTxtG"/>
      </w:pPr>
      <w:r w:rsidRPr="00A52535">
        <w:t>29.</w:t>
      </w:r>
      <w:r w:rsidRPr="00A52535">
        <w:tab/>
        <w:t xml:space="preserve">Only the provisions to which the reservations relate are not applied; the other provisions retain their full legal force as stipulated in article 80 of the Constitution. </w:t>
      </w:r>
    </w:p>
    <w:p w:rsidR="00E90509" w:rsidRPr="00A52535" w:rsidRDefault="00E90509" w:rsidP="00E90509">
      <w:pPr>
        <w:pStyle w:val="H23G"/>
      </w:pPr>
      <w:bookmarkStart w:id="54" w:name="_Toc454388706"/>
      <w:bookmarkStart w:id="55" w:name="_Toc455364124"/>
      <w:r w:rsidRPr="00A52535">
        <w:tab/>
        <w:t>(d)</w:t>
      </w:r>
      <w:r w:rsidRPr="00A52535">
        <w:tab/>
        <w:t>Follow-up to declarations emanating from conferences</w:t>
      </w:r>
      <w:bookmarkEnd w:id="54"/>
      <w:bookmarkEnd w:id="55"/>
    </w:p>
    <w:p w:rsidR="00E90509" w:rsidRPr="00A52535" w:rsidRDefault="00E90509" w:rsidP="00E90509">
      <w:pPr>
        <w:pStyle w:val="SingleTxtG"/>
      </w:pPr>
      <w:r w:rsidRPr="00A52535">
        <w:t>30.</w:t>
      </w:r>
      <w:r w:rsidRPr="00A52535">
        <w:tab/>
        <w:t xml:space="preserve">Mauritania, by virtue of its participation in international human rights conferences, has given effective support to the declarations, recommendations and commitments adopted by those conferences. </w:t>
      </w:r>
    </w:p>
    <w:p w:rsidR="00E90509" w:rsidRPr="00A52535" w:rsidRDefault="00E90509" w:rsidP="00E90509">
      <w:pPr>
        <w:pStyle w:val="SingleTxtG"/>
      </w:pPr>
      <w:r w:rsidRPr="00A52535">
        <w:t>31.</w:t>
      </w:r>
      <w:r w:rsidRPr="00A52535">
        <w:tab/>
        <w:t>Pursuant to the declarations and recommendations of the international conferences, notably the Vienna Wor</w:t>
      </w:r>
      <w:r w:rsidR="003543DA">
        <w:t>ld Conference on Human Rights (</w:t>
      </w:r>
      <w:r w:rsidRPr="00A52535">
        <w:t>1993), Mauritania withdrew and replaced its general reservation to the Convention on the Elimination of All Forms of Discrimination against Women and is contemplating similar action in respect of its general reservation to the Convention on the Rights of the Child.</w:t>
      </w:r>
    </w:p>
    <w:p w:rsidR="00E90509" w:rsidRPr="00A52535" w:rsidRDefault="00E90509" w:rsidP="00E90509">
      <w:pPr>
        <w:pStyle w:val="H23G"/>
      </w:pPr>
      <w:bookmarkStart w:id="56" w:name="_Toc453672868"/>
      <w:bookmarkStart w:id="57" w:name="_Toc454388707"/>
      <w:bookmarkStart w:id="58" w:name="_Toc455364125"/>
      <w:r w:rsidRPr="00A52535">
        <w:tab/>
        <w:t>(e)</w:t>
      </w:r>
      <w:r w:rsidRPr="00A52535">
        <w:tab/>
        <w:t>Derogations, restrictions, and limitations</w:t>
      </w:r>
      <w:bookmarkEnd w:id="56"/>
      <w:bookmarkEnd w:id="57"/>
      <w:bookmarkEnd w:id="58"/>
    </w:p>
    <w:p w:rsidR="00E90509" w:rsidRPr="00A52535" w:rsidRDefault="00E90509" w:rsidP="00E90509">
      <w:pPr>
        <w:pStyle w:val="SingleTxtG"/>
      </w:pPr>
      <w:r w:rsidRPr="00A52535">
        <w:t>32.</w:t>
      </w:r>
      <w:r w:rsidRPr="00A52535">
        <w:tab/>
        <w:t>Other than the reservations it has entered, Mauritania has not restricted, limited or derogated from the international instruments it has ratified.</w:t>
      </w:r>
    </w:p>
    <w:p w:rsidR="0077639C" w:rsidRDefault="00E90509" w:rsidP="0077639C">
      <w:pPr>
        <w:pStyle w:val="Heading1"/>
      </w:pPr>
      <w:bookmarkStart w:id="59" w:name="_Toc479237758"/>
      <w:r w:rsidRPr="00A52535">
        <w:t>Table 4</w:t>
      </w:r>
      <w:bookmarkEnd w:id="59"/>
      <w:r w:rsidRPr="00A52535">
        <w:t xml:space="preserve"> </w:t>
      </w:r>
    </w:p>
    <w:p w:rsidR="00E90509" w:rsidRPr="0077639C" w:rsidRDefault="00E90509" w:rsidP="0077639C">
      <w:pPr>
        <w:pStyle w:val="SingleTxtG"/>
        <w:rPr>
          <w:b/>
        </w:rPr>
      </w:pPr>
      <w:r w:rsidRPr="0077639C">
        <w:rPr>
          <w:b/>
        </w:rPr>
        <w:t>Principal International Labour Organization conventions ratified by Mauritania</w:t>
      </w:r>
    </w:p>
    <w:tbl>
      <w:tblPr>
        <w:tblW w:w="8505" w:type="dxa"/>
        <w:jc w:val="right"/>
        <w:tblBorders>
          <w:top w:val="single" w:sz="4" w:space="0" w:color="auto"/>
        </w:tblBorders>
        <w:tblLayout w:type="fixed"/>
        <w:tblCellMar>
          <w:left w:w="0" w:type="dxa"/>
          <w:right w:w="57" w:type="dxa"/>
        </w:tblCellMar>
        <w:tblLook w:val="04A0" w:firstRow="1" w:lastRow="0" w:firstColumn="1" w:lastColumn="0" w:noHBand="0" w:noVBand="1"/>
      </w:tblPr>
      <w:tblGrid>
        <w:gridCol w:w="328"/>
        <w:gridCol w:w="3783"/>
        <w:gridCol w:w="709"/>
        <w:gridCol w:w="1134"/>
        <w:gridCol w:w="2551"/>
      </w:tblGrid>
      <w:tr w:rsidR="00E90509" w:rsidRPr="00E90509" w:rsidTr="007733D3">
        <w:trPr>
          <w:trHeight w:val="240"/>
          <w:tblHeader/>
          <w:jc w:val="right"/>
        </w:trPr>
        <w:tc>
          <w:tcPr>
            <w:tcW w:w="328" w:type="dxa"/>
            <w:tcBorders>
              <w:top w:val="single" w:sz="4" w:space="0" w:color="auto"/>
              <w:bottom w:val="single" w:sz="12" w:space="0" w:color="auto"/>
            </w:tcBorders>
            <w:shd w:val="clear" w:color="auto" w:fill="auto"/>
            <w:vAlign w:val="bottom"/>
            <w:hideMark/>
          </w:tcPr>
          <w:p w:rsidR="00E90509" w:rsidRPr="000A2B6C" w:rsidRDefault="00E90509" w:rsidP="000A2B6C">
            <w:pPr>
              <w:keepNext/>
              <w:spacing w:before="80" w:after="80" w:line="200" w:lineRule="exact"/>
              <w:rPr>
                <w:i/>
                <w:iCs/>
                <w:sz w:val="16"/>
                <w:szCs w:val="16"/>
              </w:rPr>
            </w:pPr>
            <w:r w:rsidRPr="000A2B6C">
              <w:rPr>
                <w:i/>
                <w:iCs/>
                <w:sz w:val="16"/>
                <w:szCs w:val="16"/>
              </w:rPr>
              <w:t>No.</w:t>
            </w:r>
          </w:p>
        </w:tc>
        <w:tc>
          <w:tcPr>
            <w:tcW w:w="3783" w:type="dxa"/>
            <w:tcBorders>
              <w:top w:val="single" w:sz="4" w:space="0" w:color="auto"/>
              <w:bottom w:val="single" w:sz="12" w:space="0" w:color="auto"/>
            </w:tcBorders>
            <w:shd w:val="clear" w:color="auto" w:fill="auto"/>
            <w:vAlign w:val="bottom"/>
            <w:hideMark/>
          </w:tcPr>
          <w:p w:rsidR="00E90509" w:rsidRPr="000A2B6C" w:rsidRDefault="00E90509" w:rsidP="000A2B6C">
            <w:pPr>
              <w:keepNext/>
              <w:spacing w:before="80" w:after="80" w:line="200" w:lineRule="exact"/>
              <w:rPr>
                <w:i/>
                <w:iCs/>
                <w:sz w:val="16"/>
                <w:szCs w:val="16"/>
              </w:rPr>
            </w:pPr>
            <w:r w:rsidRPr="000A2B6C">
              <w:rPr>
                <w:i/>
                <w:iCs/>
                <w:sz w:val="16"/>
                <w:szCs w:val="16"/>
              </w:rPr>
              <w:t>Instrument</w:t>
            </w:r>
          </w:p>
        </w:tc>
        <w:tc>
          <w:tcPr>
            <w:tcW w:w="709" w:type="dxa"/>
            <w:tcBorders>
              <w:top w:val="single" w:sz="4" w:space="0" w:color="auto"/>
              <w:bottom w:val="single" w:sz="12" w:space="0" w:color="auto"/>
            </w:tcBorders>
            <w:shd w:val="clear" w:color="auto" w:fill="auto"/>
            <w:vAlign w:val="bottom"/>
            <w:hideMark/>
          </w:tcPr>
          <w:p w:rsidR="00E90509" w:rsidRPr="000A2B6C" w:rsidRDefault="00E90509" w:rsidP="000A2B6C">
            <w:pPr>
              <w:keepNext/>
              <w:spacing w:before="80" w:after="80" w:line="200" w:lineRule="exact"/>
              <w:rPr>
                <w:i/>
                <w:iCs/>
                <w:sz w:val="16"/>
                <w:szCs w:val="16"/>
              </w:rPr>
            </w:pPr>
            <w:r w:rsidRPr="000A2B6C">
              <w:rPr>
                <w:i/>
                <w:iCs/>
                <w:sz w:val="16"/>
                <w:szCs w:val="16"/>
              </w:rPr>
              <w:t>Date of adoption</w:t>
            </w:r>
          </w:p>
        </w:tc>
        <w:tc>
          <w:tcPr>
            <w:tcW w:w="1134" w:type="dxa"/>
            <w:tcBorders>
              <w:top w:val="single" w:sz="4" w:space="0" w:color="auto"/>
              <w:bottom w:val="single" w:sz="12" w:space="0" w:color="auto"/>
            </w:tcBorders>
            <w:shd w:val="clear" w:color="auto" w:fill="auto"/>
            <w:vAlign w:val="bottom"/>
            <w:hideMark/>
          </w:tcPr>
          <w:p w:rsidR="00E90509" w:rsidRPr="000A2B6C" w:rsidRDefault="00E90509" w:rsidP="000A2B6C">
            <w:pPr>
              <w:keepNext/>
              <w:spacing w:before="80" w:after="80" w:line="200" w:lineRule="exact"/>
              <w:rPr>
                <w:i/>
                <w:iCs/>
                <w:sz w:val="16"/>
                <w:szCs w:val="16"/>
              </w:rPr>
            </w:pPr>
            <w:r w:rsidRPr="000A2B6C">
              <w:rPr>
                <w:i/>
                <w:iCs/>
                <w:sz w:val="16"/>
                <w:szCs w:val="16"/>
              </w:rPr>
              <w:t>Date of ratification</w:t>
            </w:r>
          </w:p>
        </w:tc>
        <w:tc>
          <w:tcPr>
            <w:tcW w:w="2551" w:type="dxa"/>
            <w:tcBorders>
              <w:top w:val="single" w:sz="4" w:space="0" w:color="auto"/>
              <w:bottom w:val="single" w:sz="12" w:space="0" w:color="auto"/>
            </w:tcBorders>
            <w:shd w:val="clear" w:color="auto" w:fill="auto"/>
            <w:vAlign w:val="bottom"/>
            <w:hideMark/>
          </w:tcPr>
          <w:p w:rsidR="00E90509" w:rsidRPr="000A2B6C" w:rsidRDefault="00E90509" w:rsidP="000A2B6C">
            <w:pPr>
              <w:keepNext/>
              <w:spacing w:before="80" w:after="80" w:line="200" w:lineRule="exact"/>
              <w:rPr>
                <w:i/>
                <w:iCs/>
                <w:sz w:val="16"/>
                <w:szCs w:val="16"/>
              </w:rPr>
            </w:pPr>
            <w:r w:rsidRPr="000A2B6C">
              <w:rPr>
                <w:i/>
                <w:iCs/>
                <w:sz w:val="16"/>
                <w:szCs w:val="16"/>
              </w:rPr>
              <w:t>Reservations/</w:t>
            </w:r>
            <w:r w:rsidR="0077639C" w:rsidRPr="000A2B6C">
              <w:rPr>
                <w:i/>
                <w:iCs/>
                <w:sz w:val="16"/>
                <w:szCs w:val="16"/>
              </w:rPr>
              <w:t>comments</w:t>
            </w:r>
          </w:p>
        </w:tc>
      </w:tr>
      <w:tr w:rsidR="007733D3" w:rsidRPr="00E90509" w:rsidTr="007733D3">
        <w:trPr>
          <w:trHeight w:hRule="exact" w:val="113"/>
          <w:tblHeader/>
          <w:jc w:val="right"/>
        </w:trPr>
        <w:tc>
          <w:tcPr>
            <w:tcW w:w="328" w:type="dxa"/>
            <w:tcBorders>
              <w:top w:val="single" w:sz="12" w:space="0" w:color="auto"/>
              <w:bottom w:val="nil"/>
            </w:tcBorders>
            <w:shd w:val="clear" w:color="auto" w:fill="auto"/>
          </w:tcPr>
          <w:p w:rsidR="007733D3" w:rsidRPr="00E90509" w:rsidRDefault="007733D3" w:rsidP="000A2B6C">
            <w:pPr>
              <w:spacing w:before="40" w:after="120"/>
            </w:pPr>
          </w:p>
        </w:tc>
        <w:tc>
          <w:tcPr>
            <w:tcW w:w="3783" w:type="dxa"/>
            <w:tcBorders>
              <w:top w:val="single" w:sz="12" w:space="0" w:color="auto"/>
              <w:bottom w:val="nil"/>
            </w:tcBorders>
            <w:shd w:val="clear" w:color="auto" w:fill="auto"/>
          </w:tcPr>
          <w:p w:rsidR="007733D3" w:rsidRPr="00E90509" w:rsidRDefault="007733D3" w:rsidP="000A2B6C">
            <w:pPr>
              <w:spacing w:before="40" w:after="120"/>
            </w:pPr>
          </w:p>
        </w:tc>
        <w:tc>
          <w:tcPr>
            <w:tcW w:w="709" w:type="dxa"/>
            <w:tcBorders>
              <w:top w:val="single" w:sz="12" w:space="0" w:color="auto"/>
              <w:bottom w:val="nil"/>
            </w:tcBorders>
            <w:shd w:val="clear" w:color="auto" w:fill="auto"/>
          </w:tcPr>
          <w:p w:rsidR="007733D3" w:rsidRPr="00E90509" w:rsidRDefault="007733D3" w:rsidP="000A2B6C">
            <w:pPr>
              <w:spacing w:before="40" w:after="120"/>
            </w:pPr>
          </w:p>
        </w:tc>
        <w:tc>
          <w:tcPr>
            <w:tcW w:w="1134" w:type="dxa"/>
            <w:tcBorders>
              <w:top w:val="single" w:sz="12" w:space="0" w:color="auto"/>
              <w:bottom w:val="nil"/>
            </w:tcBorders>
            <w:shd w:val="clear" w:color="auto" w:fill="auto"/>
          </w:tcPr>
          <w:p w:rsidR="007733D3" w:rsidRPr="00E90509" w:rsidRDefault="007733D3" w:rsidP="000A2B6C">
            <w:pPr>
              <w:spacing w:before="40" w:after="120"/>
            </w:pPr>
          </w:p>
        </w:tc>
        <w:tc>
          <w:tcPr>
            <w:tcW w:w="2551" w:type="dxa"/>
            <w:tcBorders>
              <w:top w:val="single" w:sz="12" w:space="0" w:color="auto"/>
              <w:bottom w:val="nil"/>
            </w:tcBorders>
            <w:shd w:val="clear" w:color="auto" w:fill="auto"/>
          </w:tcPr>
          <w:p w:rsidR="007733D3" w:rsidRPr="00E90509" w:rsidRDefault="007733D3" w:rsidP="000A2B6C">
            <w:pPr>
              <w:spacing w:before="40" w:after="120"/>
            </w:pPr>
          </w:p>
        </w:tc>
      </w:tr>
      <w:tr w:rsidR="00E90509" w:rsidRPr="00E90509" w:rsidTr="007733D3">
        <w:trPr>
          <w:trHeight w:val="240"/>
          <w:jc w:val="right"/>
        </w:trPr>
        <w:tc>
          <w:tcPr>
            <w:tcW w:w="328" w:type="dxa"/>
            <w:tcBorders>
              <w:top w:val="nil"/>
            </w:tcBorders>
            <w:shd w:val="clear" w:color="auto" w:fill="auto"/>
            <w:hideMark/>
          </w:tcPr>
          <w:p w:rsidR="00E90509" w:rsidRPr="00E90509" w:rsidRDefault="00E90509" w:rsidP="000A2B6C">
            <w:pPr>
              <w:spacing w:before="40" w:after="120"/>
            </w:pPr>
            <w:r w:rsidRPr="00E90509">
              <w:t>1</w:t>
            </w:r>
          </w:p>
        </w:tc>
        <w:tc>
          <w:tcPr>
            <w:tcW w:w="3783" w:type="dxa"/>
            <w:tcBorders>
              <w:top w:val="nil"/>
            </w:tcBorders>
            <w:shd w:val="clear" w:color="auto" w:fill="auto"/>
            <w:hideMark/>
          </w:tcPr>
          <w:p w:rsidR="00E90509" w:rsidRPr="00E90509" w:rsidRDefault="00E90509" w:rsidP="000A2B6C">
            <w:pPr>
              <w:spacing w:before="40" w:after="120"/>
            </w:pPr>
            <w:r w:rsidRPr="00E90509">
              <w:t>Discrimination (Employment and Occupation) Convention (No. 111)</w:t>
            </w:r>
          </w:p>
        </w:tc>
        <w:tc>
          <w:tcPr>
            <w:tcW w:w="709" w:type="dxa"/>
            <w:tcBorders>
              <w:top w:val="nil"/>
            </w:tcBorders>
            <w:shd w:val="clear" w:color="auto" w:fill="auto"/>
            <w:hideMark/>
          </w:tcPr>
          <w:p w:rsidR="00E90509" w:rsidRPr="00E90509" w:rsidRDefault="00E90509" w:rsidP="000A2B6C">
            <w:pPr>
              <w:spacing w:before="40" w:after="120"/>
            </w:pPr>
            <w:r w:rsidRPr="00E90509">
              <w:t>1958</w:t>
            </w:r>
          </w:p>
        </w:tc>
        <w:tc>
          <w:tcPr>
            <w:tcW w:w="1134" w:type="dxa"/>
            <w:tcBorders>
              <w:top w:val="nil"/>
            </w:tcBorders>
            <w:shd w:val="clear" w:color="auto" w:fill="auto"/>
          </w:tcPr>
          <w:p w:rsidR="00E90509" w:rsidRPr="00E90509" w:rsidRDefault="00E90509" w:rsidP="000A2B6C">
            <w:pPr>
              <w:spacing w:before="40" w:after="120"/>
            </w:pPr>
            <w:r w:rsidRPr="00E90509">
              <w:t>8 Nov. 1963</w:t>
            </w:r>
          </w:p>
        </w:tc>
        <w:tc>
          <w:tcPr>
            <w:tcW w:w="2551" w:type="dxa"/>
            <w:tcBorders>
              <w:top w:val="nil"/>
            </w:tcBorders>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2</w:t>
            </w:r>
          </w:p>
        </w:tc>
        <w:tc>
          <w:tcPr>
            <w:tcW w:w="3783" w:type="dxa"/>
            <w:shd w:val="clear" w:color="auto" w:fill="auto"/>
          </w:tcPr>
          <w:p w:rsidR="00E90509" w:rsidRPr="00E90509" w:rsidRDefault="00E90509" w:rsidP="000A2B6C">
            <w:pPr>
              <w:spacing w:before="40" w:after="120"/>
            </w:pPr>
            <w:r w:rsidRPr="00E90509">
              <w:t>Equality of Treatment (Accident Compensation) Convention (No. 19)</w:t>
            </w:r>
          </w:p>
        </w:tc>
        <w:tc>
          <w:tcPr>
            <w:tcW w:w="709" w:type="dxa"/>
            <w:shd w:val="clear" w:color="auto" w:fill="auto"/>
            <w:hideMark/>
          </w:tcPr>
          <w:p w:rsidR="00E90509" w:rsidRPr="00E90509" w:rsidRDefault="00E90509" w:rsidP="000A2B6C">
            <w:pPr>
              <w:spacing w:before="40" w:after="120"/>
            </w:pPr>
            <w:r w:rsidRPr="00E90509">
              <w:t>1925</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w:t>
            </w:r>
          </w:p>
        </w:tc>
        <w:tc>
          <w:tcPr>
            <w:tcW w:w="3783" w:type="dxa"/>
            <w:shd w:val="clear" w:color="auto" w:fill="auto"/>
          </w:tcPr>
          <w:p w:rsidR="00E90509" w:rsidRPr="00E90509" w:rsidRDefault="00E90509" w:rsidP="000A2B6C">
            <w:pPr>
              <w:spacing w:before="40" w:after="120"/>
            </w:pPr>
            <w:r w:rsidRPr="00E90509">
              <w:t>Equal Remuneration Convention (No. 100) (agriculture)</w:t>
            </w:r>
          </w:p>
        </w:tc>
        <w:tc>
          <w:tcPr>
            <w:tcW w:w="709" w:type="dxa"/>
            <w:shd w:val="clear" w:color="auto" w:fill="auto"/>
            <w:hideMark/>
          </w:tcPr>
          <w:p w:rsidR="00E90509" w:rsidRPr="00E90509" w:rsidRDefault="00E90509" w:rsidP="000A2B6C">
            <w:pPr>
              <w:spacing w:before="40" w:after="120"/>
            </w:pPr>
            <w:r w:rsidRPr="00E90509">
              <w:t>1951</w:t>
            </w:r>
          </w:p>
        </w:tc>
        <w:tc>
          <w:tcPr>
            <w:tcW w:w="1134" w:type="dxa"/>
            <w:shd w:val="clear" w:color="auto" w:fill="auto"/>
          </w:tcPr>
          <w:p w:rsidR="00E90509" w:rsidRPr="00E90509" w:rsidRDefault="00E90509" w:rsidP="000A2B6C">
            <w:pPr>
              <w:spacing w:before="40" w:after="120"/>
            </w:pPr>
            <w:r w:rsidRPr="00E90509">
              <w:t>3 Dec. 2001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77639C">
            <w:pPr>
              <w:keepNext/>
              <w:keepLines/>
              <w:spacing w:before="40" w:after="120"/>
            </w:pPr>
            <w:r w:rsidRPr="00E90509">
              <w:lastRenderedPageBreak/>
              <w:t>4</w:t>
            </w:r>
          </w:p>
        </w:tc>
        <w:tc>
          <w:tcPr>
            <w:tcW w:w="3783" w:type="dxa"/>
            <w:shd w:val="clear" w:color="auto" w:fill="auto"/>
          </w:tcPr>
          <w:p w:rsidR="00E90509" w:rsidRPr="00E90509" w:rsidRDefault="00E90509" w:rsidP="0077639C">
            <w:pPr>
              <w:keepNext/>
              <w:keepLines/>
              <w:spacing w:before="40" w:after="120"/>
            </w:pPr>
            <w:r w:rsidRPr="00E90509">
              <w:t>Equality of Treatment (Social Security) Convention (No. 118)</w:t>
            </w:r>
          </w:p>
        </w:tc>
        <w:tc>
          <w:tcPr>
            <w:tcW w:w="709" w:type="dxa"/>
            <w:shd w:val="clear" w:color="auto" w:fill="auto"/>
            <w:hideMark/>
          </w:tcPr>
          <w:p w:rsidR="00E90509" w:rsidRPr="00E90509" w:rsidRDefault="00E90509" w:rsidP="0077639C">
            <w:pPr>
              <w:keepNext/>
              <w:keepLines/>
              <w:spacing w:before="40" w:after="120"/>
            </w:pPr>
            <w:r w:rsidRPr="00E90509">
              <w:t>1962</w:t>
            </w:r>
          </w:p>
        </w:tc>
        <w:tc>
          <w:tcPr>
            <w:tcW w:w="1134" w:type="dxa"/>
            <w:shd w:val="clear" w:color="auto" w:fill="auto"/>
          </w:tcPr>
          <w:p w:rsidR="00E90509" w:rsidRPr="00E90509" w:rsidRDefault="00E90509" w:rsidP="0077639C">
            <w:pPr>
              <w:keepNext/>
              <w:keepLines/>
              <w:spacing w:before="40" w:after="120"/>
            </w:pPr>
            <w:r w:rsidRPr="00E90509">
              <w:t>15 July 1968</w:t>
            </w:r>
          </w:p>
        </w:tc>
        <w:tc>
          <w:tcPr>
            <w:tcW w:w="2551" w:type="dxa"/>
            <w:shd w:val="clear" w:color="auto" w:fill="auto"/>
          </w:tcPr>
          <w:p w:rsidR="00E90509" w:rsidRPr="00E90509" w:rsidRDefault="00E90509" w:rsidP="0077639C">
            <w:pPr>
              <w:keepNext/>
              <w:keepLines/>
              <w:spacing w:before="40" w:after="120"/>
            </w:pPr>
            <w:r w:rsidRPr="00E90509">
              <w:t>Accepted in respect of branches (d) to (g) and (i)</w:t>
            </w: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5</w:t>
            </w:r>
          </w:p>
        </w:tc>
        <w:tc>
          <w:tcPr>
            <w:tcW w:w="3783" w:type="dxa"/>
            <w:shd w:val="clear" w:color="auto" w:fill="auto"/>
          </w:tcPr>
          <w:p w:rsidR="00E90509" w:rsidRPr="00E90509" w:rsidRDefault="00E90509" w:rsidP="000A2B6C">
            <w:pPr>
              <w:spacing w:before="40" w:after="120"/>
            </w:pPr>
            <w:r w:rsidRPr="00E90509">
              <w:t>Abolition of Forced Labour Convention (No. 105)</w:t>
            </w:r>
          </w:p>
        </w:tc>
        <w:tc>
          <w:tcPr>
            <w:tcW w:w="709" w:type="dxa"/>
            <w:shd w:val="clear" w:color="auto" w:fill="auto"/>
            <w:hideMark/>
          </w:tcPr>
          <w:p w:rsidR="00E90509" w:rsidRPr="00E90509" w:rsidRDefault="00E90509" w:rsidP="000A2B6C">
            <w:pPr>
              <w:spacing w:before="40" w:after="120"/>
            </w:pPr>
            <w:r w:rsidRPr="00E90509">
              <w:t>1957</w:t>
            </w:r>
          </w:p>
        </w:tc>
        <w:tc>
          <w:tcPr>
            <w:tcW w:w="1134" w:type="dxa"/>
            <w:shd w:val="clear" w:color="auto" w:fill="auto"/>
          </w:tcPr>
          <w:p w:rsidR="00E90509" w:rsidRPr="00E90509" w:rsidRDefault="00E90509" w:rsidP="000A2B6C">
            <w:pPr>
              <w:spacing w:before="40" w:after="120"/>
            </w:pPr>
            <w:r w:rsidRPr="00E90509">
              <w:t>3 Apr. 1997</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6</w:t>
            </w:r>
          </w:p>
        </w:tc>
        <w:tc>
          <w:tcPr>
            <w:tcW w:w="3783" w:type="dxa"/>
            <w:shd w:val="clear" w:color="auto" w:fill="auto"/>
          </w:tcPr>
          <w:p w:rsidR="00E90509" w:rsidRPr="00E90509" w:rsidRDefault="00E90509" w:rsidP="000A2B6C">
            <w:pPr>
              <w:spacing w:before="40" w:after="120"/>
            </w:pPr>
            <w:r w:rsidRPr="00E90509">
              <w:t>Forced Labour Convention (No. 29)</w:t>
            </w:r>
          </w:p>
        </w:tc>
        <w:tc>
          <w:tcPr>
            <w:tcW w:w="709" w:type="dxa"/>
            <w:shd w:val="clear" w:color="auto" w:fill="auto"/>
            <w:hideMark/>
          </w:tcPr>
          <w:p w:rsidR="00E90509" w:rsidRPr="00E90509" w:rsidRDefault="00E90509" w:rsidP="000A2B6C">
            <w:pPr>
              <w:spacing w:before="40" w:after="120"/>
            </w:pPr>
            <w:r w:rsidRPr="00E90509">
              <w:t>1930</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7</w:t>
            </w:r>
          </w:p>
        </w:tc>
        <w:tc>
          <w:tcPr>
            <w:tcW w:w="3783" w:type="dxa"/>
            <w:shd w:val="clear" w:color="auto" w:fill="auto"/>
          </w:tcPr>
          <w:p w:rsidR="00E90509" w:rsidRPr="00E90509" w:rsidRDefault="00E90509" w:rsidP="000A2B6C">
            <w:pPr>
              <w:spacing w:before="40" w:after="120"/>
            </w:pPr>
            <w:r w:rsidRPr="00E90509">
              <w:t>Maternity Protection Convention (No. 3)</w:t>
            </w:r>
          </w:p>
        </w:tc>
        <w:tc>
          <w:tcPr>
            <w:tcW w:w="709" w:type="dxa"/>
            <w:shd w:val="clear" w:color="auto" w:fill="auto"/>
            <w:hideMark/>
          </w:tcPr>
          <w:p w:rsidR="00E90509" w:rsidRPr="00E90509" w:rsidRDefault="00E90509" w:rsidP="000A2B6C">
            <w:pPr>
              <w:spacing w:before="40" w:after="120"/>
            </w:pPr>
            <w:r w:rsidRPr="00E90509">
              <w:t>1919</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8</w:t>
            </w:r>
          </w:p>
        </w:tc>
        <w:tc>
          <w:tcPr>
            <w:tcW w:w="3783" w:type="dxa"/>
            <w:shd w:val="clear" w:color="auto" w:fill="auto"/>
          </w:tcPr>
          <w:p w:rsidR="00E90509" w:rsidRPr="00E90509" w:rsidRDefault="00E90509" w:rsidP="000A2B6C">
            <w:pPr>
              <w:spacing w:before="40" w:after="120"/>
            </w:pPr>
            <w:r w:rsidRPr="00E90509">
              <w:t>Night Work (Women) Convention (No. 4)</w:t>
            </w:r>
          </w:p>
        </w:tc>
        <w:tc>
          <w:tcPr>
            <w:tcW w:w="709" w:type="dxa"/>
            <w:shd w:val="clear" w:color="auto" w:fill="auto"/>
            <w:hideMark/>
          </w:tcPr>
          <w:p w:rsidR="00E90509" w:rsidRPr="00E90509" w:rsidRDefault="00E90509" w:rsidP="000A2B6C">
            <w:pPr>
              <w:spacing w:before="40" w:after="120"/>
            </w:pPr>
            <w:r w:rsidRPr="00E90509">
              <w:t>1919</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r w:rsidRPr="00E90509">
              <w:t>Denounced on 2 Aug. 1965</w:t>
            </w: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9</w:t>
            </w:r>
          </w:p>
        </w:tc>
        <w:tc>
          <w:tcPr>
            <w:tcW w:w="3783" w:type="dxa"/>
            <w:shd w:val="clear" w:color="auto" w:fill="auto"/>
          </w:tcPr>
          <w:p w:rsidR="00E90509" w:rsidRPr="00E90509" w:rsidRDefault="00E90509" w:rsidP="000A2B6C">
            <w:pPr>
              <w:spacing w:before="40" w:after="120"/>
            </w:pPr>
            <w:r w:rsidRPr="00E90509">
              <w:t>Night Work (Women) Convention (Revised) (No. 41)</w:t>
            </w:r>
          </w:p>
        </w:tc>
        <w:tc>
          <w:tcPr>
            <w:tcW w:w="709" w:type="dxa"/>
            <w:shd w:val="clear" w:color="auto" w:fill="auto"/>
            <w:hideMark/>
          </w:tcPr>
          <w:p w:rsidR="00E90509" w:rsidRPr="00E90509" w:rsidRDefault="00E90509" w:rsidP="000A2B6C">
            <w:pPr>
              <w:spacing w:before="40" w:after="120"/>
            </w:pPr>
            <w:r w:rsidRPr="00E90509">
              <w:t>1934</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r w:rsidRPr="00E90509">
              <w:t>Denounced on ratification of Convention No. 89</w:t>
            </w: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10</w:t>
            </w:r>
          </w:p>
        </w:tc>
        <w:tc>
          <w:tcPr>
            <w:tcW w:w="3783" w:type="dxa"/>
            <w:shd w:val="clear" w:color="auto" w:fill="auto"/>
          </w:tcPr>
          <w:p w:rsidR="00E90509" w:rsidRPr="00E90509" w:rsidRDefault="00E90509" w:rsidP="000A2B6C">
            <w:pPr>
              <w:spacing w:before="40" w:after="120"/>
            </w:pPr>
            <w:r w:rsidRPr="00E90509">
              <w:t>Night Work (Women) Convention (Revised) (No. 89)</w:t>
            </w:r>
          </w:p>
        </w:tc>
        <w:tc>
          <w:tcPr>
            <w:tcW w:w="709" w:type="dxa"/>
            <w:shd w:val="clear" w:color="auto" w:fill="auto"/>
          </w:tcPr>
          <w:p w:rsidR="00E90509" w:rsidRPr="00E90509" w:rsidRDefault="00E90509" w:rsidP="000A2B6C">
            <w:pPr>
              <w:spacing w:before="40" w:after="120"/>
            </w:pPr>
            <w:r w:rsidRPr="00E90509">
              <w:t>1948</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11</w:t>
            </w:r>
          </w:p>
        </w:tc>
        <w:tc>
          <w:tcPr>
            <w:tcW w:w="3783" w:type="dxa"/>
            <w:shd w:val="clear" w:color="auto" w:fill="auto"/>
          </w:tcPr>
          <w:p w:rsidR="00E90509" w:rsidRPr="00E90509" w:rsidRDefault="00E90509" w:rsidP="000A2B6C">
            <w:pPr>
              <w:spacing w:before="40" w:after="120"/>
            </w:pPr>
            <w:r w:rsidRPr="00E90509">
              <w:t>Worst Forms of Child Labour Convention (No. 182)</w:t>
            </w:r>
          </w:p>
        </w:tc>
        <w:tc>
          <w:tcPr>
            <w:tcW w:w="709" w:type="dxa"/>
            <w:shd w:val="clear" w:color="auto" w:fill="auto"/>
            <w:hideMark/>
          </w:tcPr>
          <w:p w:rsidR="00E90509" w:rsidRPr="00E90509" w:rsidRDefault="00E90509" w:rsidP="000A2B6C">
            <w:pPr>
              <w:spacing w:before="40" w:after="120"/>
            </w:pPr>
            <w:r w:rsidRPr="00E90509">
              <w:t>1999</w:t>
            </w:r>
          </w:p>
        </w:tc>
        <w:tc>
          <w:tcPr>
            <w:tcW w:w="1134" w:type="dxa"/>
            <w:shd w:val="clear" w:color="auto" w:fill="auto"/>
          </w:tcPr>
          <w:p w:rsidR="00E90509" w:rsidRPr="00E90509" w:rsidRDefault="00E90509" w:rsidP="000A2B6C">
            <w:pPr>
              <w:spacing w:before="40" w:after="120"/>
            </w:pPr>
            <w:r w:rsidRPr="00E90509">
              <w:t>3 Dec. 2001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12</w:t>
            </w:r>
          </w:p>
        </w:tc>
        <w:tc>
          <w:tcPr>
            <w:tcW w:w="3783" w:type="dxa"/>
            <w:shd w:val="clear" w:color="auto" w:fill="auto"/>
          </w:tcPr>
          <w:p w:rsidR="00E90509" w:rsidRPr="00E90509" w:rsidRDefault="00E90509" w:rsidP="000A2B6C">
            <w:pPr>
              <w:spacing w:before="40" w:after="120"/>
            </w:pPr>
            <w:r w:rsidRPr="00E90509">
              <w:t xml:space="preserve">Minimum Age (Industry) Convention </w:t>
            </w:r>
            <w:r w:rsidR="00E43A21">
              <w:br/>
            </w:r>
            <w:r w:rsidRPr="00E90509">
              <w:t>(No. 5)</w:t>
            </w:r>
          </w:p>
        </w:tc>
        <w:tc>
          <w:tcPr>
            <w:tcW w:w="709" w:type="dxa"/>
            <w:shd w:val="clear" w:color="auto" w:fill="auto"/>
            <w:hideMark/>
          </w:tcPr>
          <w:p w:rsidR="00E90509" w:rsidRPr="00E90509" w:rsidRDefault="00E90509" w:rsidP="000A2B6C">
            <w:pPr>
              <w:spacing w:before="40" w:after="120"/>
            </w:pPr>
            <w:r w:rsidRPr="00E90509">
              <w:t>1919</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r w:rsidRPr="00E90509">
              <w:t>Denounced on ratification of Convention No. 138</w:t>
            </w: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13</w:t>
            </w:r>
          </w:p>
        </w:tc>
        <w:tc>
          <w:tcPr>
            <w:tcW w:w="3783" w:type="dxa"/>
            <w:shd w:val="clear" w:color="auto" w:fill="auto"/>
          </w:tcPr>
          <w:p w:rsidR="00E90509" w:rsidRPr="00E90509" w:rsidRDefault="00E90509" w:rsidP="000A2B6C">
            <w:pPr>
              <w:spacing w:before="40" w:after="120"/>
            </w:pPr>
            <w:r w:rsidRPr="00E90509">
              <w:t>Night Work of Young Persons (Industry) Convention (No. 6)</w:t>
            </w:r>
          </w:p>
        </w:tc>
        <w:tc>
          <w:tcPr>
            <w:tcW w:w="709" w:type="dxa"/>
            <w:shd w:val="clear" w:color="auto" w:fill="auto"/>
            <w:hideMark/>
          </w:tcPr>
          <w:p w:rsidR="00E90509" w:rsidRPr="00E90509" w:rsidRDefault="00E90509" w:rsidP="000A2B6C">
            <w:pPr>
              <w:spacing w:before="40" w:after="120"/>
            </w:pPr>
            <w:r w:rsidRPr="00E90509">
              <w:t>1919</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14</w:t>
            </w:r>
          </w:p>
        </w:tc>
        <w:tc>
          <w:tcPr>
            <w:tcW w:w="3783" w:type="dxa"/>
            <w:shd w:val="clear" w:color="auto" w:fill="auto"/>
          </w:tcPr>
          <w:p w:rsidR="00E90509" w:rsidRPr="00E90509" w:rsidRDefault="00E90509" w:rsidP="000A2B6C">
            <w:pPr>
              <w:spacing w:before="40" w:after="120"/>
            </w:pPr>
            <w:r w:rsidRPr="00E90509">
              <w:t>Minimum Age (Trimmers and Stokers) Convention (No. 15)</w:t>
            </w:r>
          </w:p>
        </w:tc>
        <w:tc>
          <w:tcPr>
            <w:tcW w:w="709" w:type="dxa"/>
            <w:shd w:val="clear" w:color="auto" w:fill="auto"/>
            <w:hideMark/>
          </w:tcPr>
          <w:p w:rsidR="00E90509" w:rsidRPr="00E90509" w:rsidRDefault="00E90509" w:rsidP="000A2B6C">
            <w:pPr>
              <w:spacing w:before="40" w:after="120"/>
            </w:pPr>
            <w:r w:rsidRPr="00E90509">
              <w:t>1921</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15</w:t>
            </w:r>
          </w:p>
        </w:tc>
        <w:tc>
          <w:tcPr>
            <w:tcW w:w="3783" w:type="dxa"/>
            <w:shd w:val="clear" w:color="auto" w:fill="auto"/>
          </w:tcPr>
          <w:p w:rsidR="00E90509" w:rsidRPr="00E90509" w:rsidRDefault="00E90509" w:rsidP="000A2B6C">
            <w:pPr>
              <w:spacing w:before="40" w:after="120"/>
            </w:pPr>
            <w:r w:rsidRPr="00E90509">
              <w:t>Minimum Age (Non-Industrial Employment) Convention (No. 33)</w:t>
            </w:r>
          </w:p>
        </w:tc>
        <w:tc>
          <w:tcPr>
            <w:tcW w:w="709" w:type="dxa"/>
            <w:shd w:val="clear" w:color="auto" w:fill="auto"/>
            <w:hideMark/>
          </w:tcPr>
          <w:p w:rsidR="00E90509" w:rsidRPr="00E90509" w:rsidRDefault="00E90509" w:rsidP="000A2B6C">
            <w:pPr>
              <w:spacing w:before="40" w:after="120"/>
            </w:pPr>
            <w:r w:rsidRPr="00E90509">
              <w:t>1932</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16</w:t>
            </w:r>
          </w:p>
        </w:tc>
        <w:tc>
          <w:tcPr>
            <w:tcW w:w="3783" w:type="dxa"/>
            <w:shd w:val="clear" w:color="auto" w:fill="auto"/>
            <w:hideMark/>
          </w:tcPr>
          <w:p w:rsidR="00E90509" w:rsidRPr="00E90509" w:rsidRDefault="00E90509" w:rsidP="000A2B6C">
            <w:pPr>
              <w:spacing w:before="40" w:after="120"/>
            </w:pPr>
            <w:r w:rsidRPr="00E90509">
              <w:t>Minimum Age (Sea) Convention (Revised) (No. 58)</w:t>
            </w:r>
          </w:p>
        </w:tc>
        <w:tc>
          <w:tcPr>
            <w:tcW w:w="709" w:type="dxa"/>
            <w:shd w:val="clear" w:color="auto" w:fill="auto"/>
            <w:hideMark/>
          </w:tcPr>
          <w:p w:rsidR="00E90509" w:rsidRPr="00E90509" w:rsidRDefault="00E90509" w:rsidP="000A2B6C">
            <w:pPr>
              <w:spacing w:before="40" w:after="120"/>
            </w:pPr>
            <w:r w:rsidRPr="00E90509">
              <w:t>1936</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17</w:t>
            </w:r>
          </w:p>
        </w:tc>
        <w:tc>
          <w:tcPr>
            <w:tcW w:w="3783" w:type="dxa"/>
            <w:shd w:val="clear" w:color="auto" w:fill="auto"/>
          </w:tcPr>
          <w:p w:rsidR="00E90509" w:rsidRPr="00E90509" w:rsidRDefault="00E90509" w:rsidP="000A2B6C">
            <w:pPr>
              <w:spacing w:before="40" w:after="120"/>
            </w:pPr>
            <w:r w:rsidRPr="00E90509">
              <w:t>Night Work of Young Persons (Industry) Convention (Revised) (No. 90)</w:t>
            </w:r>
          </w:p>
        </w:tc>
        <w:tc>
          <w:tcPr>
            <w:tcW w:w="709" w:type="dxa"/>
            <w:shd w:val="clear" w:color="auto" w:fill="auto"/>
            <w:hideMark/>
          </w:tcPr>
          <w:p w:rsidR="00E90509" w:rsidRPr="00E90509" w:rsidRDefault="00E90509" w:rsidP="000A2B6C">
            <w:pPr>
              <w:spacing w:before="40" w:after="120"/>
            </w:pPr>
            <w:r w:rsidRPr="00E90509">
              <w:t>1948</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18</w:t>
            </w:r>
          </w:p>
        </w:tc>
        <w:tc>
          <w:tcPr>
            <w:tcW w:w="3783" w:type="dxa"/>
            <w:shd w:val="clear" w:color="auto" w:fill="auto"/>
          </w:tcPr>
          <w:p w:rsidR="00E90509" w:rsidRPr="00E90509" w:rsidRDefault="00E90509" w:rsidP="000A2B6C">
            <w:pPr>
              <w:spacing w:before="40" w:after="120"/>
            </w:pPr>
            <w:r w:rsidRPr="00E90509">
              <w:t xml:space="preserve">Minimum Age (Fishermen) Convention </w:t>
            </w:r>
            <w:r w:rsidR="00350A10">
              <w:br/>
            </w:r>
            <w:r w:rsidRPr="00E90509">
              <w:t>(No. 112)</w:t>
            </w:r>
          </w:p>
        </w:tc>
        <w:tc>
          <w:tcPr>
            <w:tcW w:w="709" w:type="dxa"/>
            <w:shd w:val="clear" w:color="auto" w:fill="auto"/>
            <w:hideMark/>
          </w:tcPr>
          <w:p w:rsidR="00E90509" w:rsidRPr="00E90509" w:rsidRDefault="00E90509" w:rsidP="000A2B6C">
            <w:pPr>
              <w:spacing w:before="40" w:after="120"/>
            </w:pPr>
            <w:r w:rsidRPr="00E90509">
              <w:t>1957</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19</w:t>
            </w:r>
          </w:p>
        </w:tc>
        <w:tc>
          <w:tcPr>
            <w:tcW w:w="3783" w:type="dxa"/>
            <w:shd w:val="clear" w:color="auto" w:fill="auto"/>
          </w:tcPr>
          <w:p w:rsidR="00E90509" w:rsidRPr="00E90509" w:rsidRDefault="00E90509" w:rsidP="000A2B6C">
            <w:pPr>
              <w:spacing w:before="40" w:after="120"/>
            </w:pPr>
            <w:r w:rsidRPr="00E90509">
              <w:t>Minimum Age Convention (No. 138)</w:t>
            </w:r>
          </w:p>
        </w:tc>
        <w:tc>
          <w:tcPr>
            <w:tcW w:w="709" w:type="dxa"/>
            <w:shd w:val="clear" w:color="auto" w:fill="auto"/>
            <w:hideMark/>
          </w:tcPr>
          <w:p w:rsidR="00E90509" w:rsidRPr="00E90509" w:rsidRDefault="00E90509" w:rsidP="000A2B6C">
            <w:pPr>
              <w:spacing w:before="40" w:after="120"/>
            </w:pPr>
            <w:r w:rsidRPr="00E90509">
              <w:t>1973</w:t>
            </w:r>
          </w:p>
        </w:tc>
        <w:tc>
          <w:tcPr>
            <w:tcW w:w="1134" w:type="dxa"/>
            <w:shd w:val="clear" w:color="auto" w:fill="auto"/>
          </w:tcPr>
          <w:p w:rsidR="00E90509" w:rsidRPr="00E90509" w:rsidRDefault="00E90509" w:rsidP="000A2B6C">
            <w:pPr>
              <w:spacing w:before="40" w:after="120"/>
            </w:pPr>
            <w:r w:rsidRPr="00E90509">
              <w:t>3 Dec. 2001</w:t>
            </w:r>
          </w:p>
        </w:tc>
        <w:tc>
          <w:tcPr>
            <w:tcW w:w="2551" w:type="dxa"/>
            <w:shd w:val="clear" w:color="auto" w:fill="auto"/>
          </w:tcPr>
          <w:p w:rsidR="00E90509" w:rsidRPr="00E90509" w:rsidRDefault="00E90509" w:rsidP="000A2B6C">
            <w:pPr>
              <w:spacing w:before="40" w:after="120"/>
            </w:pPr>
            <w:r w:rsidRPr="00E90509">
              <w:t>Minimum age: 14 years</w:t>
            </w: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20</w:t>
            </w:r>
          </w:p>
        </w:tc>
        <w:tc>
          <w:tcPr>
            <w:tcW w:w="3783" w:type="dxa"/>
            <w:shd w:val="clear" w:color="auto" w:fill="auto"/>
          </w:tcPr>
          <w:p w:rsidR="00E90509" w:rsidRPr="00E90509" w:rsidRDefault="00E90509" w:rsidP="000A2B6C">
            <w:pPr>
              <w:spacing w:before="40" w:after="120"/>
            </w:pPr>
            <w:r w:rsidRPr="00E90509">
              <w:t>Holidays with Pay Convention (No. 52)</w:t>
            </w:r>
          </w:p>
        </w:tc>
        <w:tc>
          <w:tcPr>
            <w:tcW w:w="709" w:type="dxa"/>
            <w:shd w:val="clear" w:color="auto" w:fill="auto"/>
            <w:hideMark/>
          </w:tcPr>
          <w:p w:rsidR="00E90509" w:rsidRPr="00E90509" w:rsidRDefault="00E90509" w:rsidP="000A2B6C">
            <w:pPr>
              <w:spacing w:before="40" w:after="120"/>
            </w:pPr>
            <w:r w:rsidRPr="00E90509">
              <w:t>1936</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21</w:t>
            </w:r>
          </w:p>
        </w:tc>
        <w:tc>
          <w:tcPr>
            <w:tcW w:w="3783" w:type="dxa"/>
            <w:shd w:val="clear" w:color="auto" w:fill="auto"/>
            <w:hideMark/>
          </w:tcPr>
          <w:p w:rsidR="00E90509" w:rsidRPr="00E90509" w:rsidRDefault="00E90509" w:rsidP="000A2B6C">
            <w:pPr>
              <w:spacing w:before="40" w:after="120"/>
            </w:pPr>
            <w:r w:rsidRPr="00E90509">
              <w:t>Paid Vacations (Seafarers) Convention (Revised) (No. 91)</w:t>
            </w:r>
          </w:p>
        </w:tc>
        <w:tc>
          <w:tcPr>
            <w:tcW w:w="709" w:type="dxa"/>
            <w:shd w:val="clear" w:color="auto" w:fill="auto"/>
            <w:hideMark/>
          </w:tcPr>
          <w:p w:rsidR="00E90509" w:rsidRPr="00E90509" w:rsidRDefault="00E90509" w:rsidP="000A2B6C">
            <w:pPr>
              <w:spacing w:before="40" w:after="120"/>
            </w:pPr>
            <w:r w:rsidRPr="00E90509">
              <w:t>1949</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22</w:t>
            </w:r>
          </w:p>
        </w:tc>
        <w:tc>
          <w:tcPr>
            <w:tcW w:w="3783" w:type="dxa"/>
            <w:shd w:val="clear" w:color="auto" w:fill="auto"/>
            <w:hideMark/>
          </w:tcPr>
          <w:p w:rsidR="00E90509" w:rsidRPr="00E90509" w:rsidRDefault="00E90509" w:rsidP="000A2B6C">
            <w:pPr>
              <w:spacing w:before="40" w:after="120"/>
            </w:pPr>
            <w:r w:rsidRPr="00E90509">
              <w:t>Right to Organise and Collective Bargaining Convention (No. 98)</w:t>
            </w:r>
          </w:p>
        </w:tc>
        <w:tc>
          <w:tcPr>
            <w:tcW w:w="709" w:type="dxa"/>
            <w:shd w:val="clear" w:color="auto" w:fill="auto"/>
            <w:hideMark/>
          </w:tcPr>
          <w:p w:rsidR="00E90509" w:rsidRPr="00E90509" w:rsidRDefault="00E90509" w:rsidP="000A2B6C">
            <w:pPr>
              <w:spacing w:before="40" w:after="120"/>
            </w:pPr>
            <w:r w:rsidRPr="00E90509">
              <w:t>1949</w:t>
            </w:r>
          </w:p>
        </w:tc>
        <w:tc>
          <w:tcPr>
            <w:tcW w:w="1134" w:type="dxa"/>
            <w:shd w:val="clear" w:color="auto" w:fill="auto"/>
          </w:tcPr>
          <w:p w:rsidR="00E90509" w:rsidRPr="00E90509" w:rsidRDefault="00E90509" w:rsidP="000A2B6C">
            <w:pPr>
              <w:spacing w:before="40" w:after="120"/>
            </w:pPr>
            <w:r w:rsidRPr="00E90509">
              <w:t>3 Dec. 2001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23</w:t>
            </w:r>
          </w:p>
        </w:tc>
        <w:tc>
          <w:tcPr>
            <w:tcW w:w="3783" w:type="dxa"/>
            <w:shd w:val="clear" w:color="auto" w:fill="auto"/>
          </w:tcPr>
          <w:p w:rsidR="00E90509" w:rsidRPr="00E90509" w:rsidRDefault="00E90509" w:rsidP="000A2B6C">
            <w:pPr>
              <w:spacing w:before="40" w:after="120"/>
            </w:pPr>
            <w:r w:rsidRPr="00E90509">
              <w:t>Holidays with Pay (Agriculture) Convention (No. 101)</w:t>
            </w:r>
          </w:p>
        </w:tc>
        <w:tc>
          <w:tcPr>
            <w:tcW w:w="709" w:type="dxa"/>
            <w:shd w:val="clear" w:color="auto" w:fill="auto"/>
            <w:hideMark/>
          </w:tcPr>
          <w:p w:rsidR="00E90509" w:rsidRPr="00E90509" w:rsidRDefault="00E90509" w:rsidP="000A2B6C">
            <w:pPr>
              <w:spacing w:before="40" w:after="120"/>
            </w:pPr>
            <w:r w:rsidRPr="00E90509">
              <w:t>1952</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24</w:t>
            </w:r>
          </w:p>
        </w:tc>
        <w:tc>
          <w:tcPr>
            <w:tcW w:w="3783" w:type="dxa"/>
            <w:shd w:val="clear" w:color="auto" w:fill="auto"/>
          </w:tcPr>
          <w:p w:rsidR="00E90509" w:rsidRPr="00E90509" w:rsidRDefault="00E90509" w:rsidP="000A2B6C">
            <w:pPr>
              <w:spacing w:before="40" w:after="120"/>
            </w:pPr>
            <w:r w:rsidRPr="00E90509">
              <w:t>Social Security (Minimum Standards) Convention (No. 102)</w:t>
            </w:r>
          </w:p>
        </w:tc>
        <w:tc>
          <w:tcPr>
            <w:tcW w:w="709" w:type="dxa"/>
            <w:shd w:val="clear" w:color="auto" w:fill="auto"/>
            <w:hideMark/>
          </w:tcPr>
          <w:p w:rsidR="00E90509" w:rsidRPr="00E90509" w:rsidRDefault="00E90509" w:rsidP="000A2B6C">
            <w:pPr>
              <w:spacing w:before="40" w:after="120"/>
            </w:pPr>
            <w:r w:rsidRPr="00E90509">
              <w:t>1952</w:t>
            </w:r>
          </w:p>
        </w:tc>
        <w:tc>
          <w:tcPr>
            <w:tcW w:w="1134" w:type="dxa"/>
            <w:shd w:val="clear" w:color="auto" w:fill="auto"/>
          </w:tcPr>
          <w:p w:rsidR="00E90509" w:rsidRPr="00E90509" w:rsidRDefault="00E90509" w:rsidP="000A2B6C">
            <w:pPr>
              <w:spacing w:before="40" w:after="120"/>
            </w:pPr>
            <w:r w:rsidRPr="00E90509">
              <w:t>15 July 1968</w:t>
            </w:r>
          </w:p>
        </w:tc>
        <w:tc>
          <w:tcPr>
            <w:tcW w:w="2551" w:type="dxa"/>
            <w:shd w:val="clear" w:color="auto" w:fill="auto"/>
          </w:tcPr>
          <w:p w:rsidR="00E90509" w:rsidRPr="00E90509" w:rsidRDefault="00E90509" w:rsidP="000A2B6C">
            <w:pPr>
              <w:spacing w:before="40" w:after="120"/>
            </w:pPr>
            <w:r w:rsidRPr="00E90509">
              <w:t>Accepted Parts V to VII, IX and X.</w:t>
            </w: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25</w:t>
            </w:r>
          </w:p>
        </w:tc>
        <w:tc>
          <w:tcPr>
            <w:tcW w:w="3783" w:type="dxa"/>
            <w:shd w:val="clear" w:color="auto" w:fill="auto"/>
          </w:tcPr>
          <w:p w:rsidR="00E90509" w:rsidRPr="00E90509" w:rsidRDefault="00E90509" w:rsidP="000A2B6C">
            <w:pPr>
              <w:spacing w:before="40" w:after="120"/>
            </w:pPr>
            <w:r w:rsidRPr="00E90509">
              <w:t>White Lead (Painting) Convention (No. 13)</w:t>
            </w:r>
          </w:p>
        </w:tc>
        <w:tc>
          <w:tcPr>
            <w:tcW w:w="709" w:type="dxa"/>
            <w:shd w:val="clear" w:color="auto" w:fill="auto"/>
          </w:tcPr>
          <w:p w:rsidR="00E90509" w:rsidRPr="00E90509" w:rsidRDefault="00E90509" w:rsidP="000A2B6C">
            <w:pPr>
              <w:spacing w:before="40" w:after="120"/>
            </w:pPr>
            <w:r w:rsidRPr="00E90509">
              <w:t>1921</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26</w:t>
            </w:r>
          </w:p>
        </w:tc>
        <w:tc>
          <w:tcPr>
            <w:tcW w:w="3783" w:type="dxa"/>
            <w:shd w:val="clear" w:color="auto" w:fill="auto"/>
          </w:tcPr>
          <w:p w:rsidR="00E90509" w:rsidRPr="00E90509" w:rsidRDefault="00E90509" w:rsidP="000A2B6C">
            <w:pPr>
              <w:spacing w:before="40" w:after="120"/>
            </w:pPr>
            <w:r w:rsidRPr="00E90509">
              <w:t>Weekly Rest (Industry) Convention (No. 14)</w:t>
            </w:r>
          </w:p>
        </w:tc>
        <w:tc>
          <w:tcPr>
            <w:tcW w:w="709" w:type="dxa"/>
            <w:shd w:val="clear" w:color="auto" w:fill="auto"/>
            <w:hideMark/>
          </w:tcPr>
          <w:p w:rsidR="00E90509" w:rsidRPr="00E90509" w:rsidRDefault="00E90509" w:rsidP="000A2B6C">
            <w:pPr>
              <w:spacing w:before="40" w:after="120"/>
            </w:pPr>
            <w:r w:rsidRPr="00E90509">
              <w:t>1921</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E45CBC">
            <w:pPr>
              <w:keepNext/>
              <w:keepLines/>
              <w:spacing w:before="40" w:after="120"/>
            </w:pPr>
            <w:r w:rsidRPr="00E90509">
              <w:lastRenderedPageBreak/>
              <w:t>27</w:t>
            </w:r>
          </w:p>
        </w:tc>
        <w:tc>
          <w:tcPr>
            <w:tcW w:w="3783" w:type="dxa"/>
            <w:shd w:val="clear" w:color="auto" w:fill="auto"/>
          </w:tcPr>
          <w:p w:rsidR="00E90509" w:rsidRPr="00E90509" w:rsidRDefault="00E90509" w:rsidP="00E45CBC">
            <w:pPr>
              <w:keepNext/>
              <w:keepLines/>
              <w:spacing w:before="40" w:after="120"/>
            </w:pPr>
            <w:r w:rsidRPr="00E90509">
              <w:t>Workmen</w:t>
            </w:r>
            <w:r w:rsidR="00FE5999">
              <w:t>’</w:t>
            </w:r>
            <w:r w:rsidRPr="00E90509">
              <w:t>s Compensation (Accidents) Convention (No. 17)</w:t>
            </w:r>
          </w:p>
        </w:tc>
        <w:tc>
          <w:tcPr>
            <w:tcW w:w="709" w:type="dxa"/>
            <w:shd w:val="clear" w:color="auto" w:fill="auto"/>
            <w:hideMark/>
          </w:tcPr>
          <w:p w:rsidR="00E90509" w:rsidRPr="00E90509" w:rsidRDefault="00E90509" w:rsidP="00E45CBC">
            <w:pPr>
              <w:keepNext/>
              <w:keepLines/>
              <w:spacing w:before="40" w:after="120"/>
            </w:pPr>
            <w:r w:rsidRPr="00E90509">
              <w:t>1925</w:t>
            </w:r>
          </w:p>
        </w:tc>
        <w:tc>
          <w:tcPr>
            <w:tcW w:w="1134" w:type="dxa"/>
            <w:shd w:val="clear" w:color="auto" w:fill="auto"/>
          </w:tcPr>
          <w:p w:rsidR="00E90509" w:rsidRPr="00E90509" w:rsidRDefault="00E90509" w:rsidP="00E45CBC">
            <w:pPr>
              <w:keepNext/>
              <w:keepLines/>
              <w:spacing w:before="40" w:after="120"/>
            </w:pPr>
            <w:r w:rsidRPr="00E90509">
              <w:t>8 Jan. 1963</w:t>
            </w:r>
          </w:p>
        </w:tc>
        <w:tc>
          <w:tcPr>
            <w:tcW w:w="2551" w:type="dxa"/>
            <w:shd w:val="clear" w:color="auto" w:fill="auto"/>
          </w:tcPr>
          <w:p w:rsidR="00E90509" w:rsidRPr="00E90509" w:rsidRDefault="00E90509" w:rsidP="00E45CBC">
            <w:pPr>
              <w:keepNext/>
              <w:keepLines/>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28</w:t>
            </w:r>
          </w:p>
        </w:tc>
        <w:tc>
          <w:tcPr>
            <w:tcW w:w="3783" w:type="dxa"/>
            <w:shd w:val="clear" w:color="auto" w:fill="auto"/>
          </w:tcPr>
          <w:p w:rsidR="00E90509" w:rsidRPr="00E90509" w:rsidRDefault="00E90509" w:rsidP="000A2B6C">
            <w:pPr>
              <w:spacing w:before="40" w:after="120"/>
            </w:pPr>
            <w:r w:rsidRPr="00E90509">
              <w:t>Workmen</w:t>
            </w:r>
            <w:r w:rsidR="00FE5999">
              <w:t>’</w:t>
            </w:r>
            <w:r w:rsidRPr="00E90509">
              <w:t>s Compensation (Occupational Diseases) Convention (No. 18)</w:t>
            </w:r>
          </w:p>
        </w:tc>
        <w:tc>
          <w:tcPr>
            <w:tcW w:w="709" w:type="dxa"/>
            <w:shd w:val="clear" w:color="auto" w:fill="auto"/>
            <w:hideMark/>
          </w:tcPr>
          <w:p w:rsidR="00E90509" w:rsidRPr="00E90509" w:rsidRDefault="00E90509" w:rsidP="000A2B6C">
            <w:pPr>
              <w:spacing w:before="40" w:after="120"/>
            </w:pPr>
            <w:r w:rsidRPr="00E90509">
              <w:t>1925</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29</w:t>
            </w:r>
          </w:p>
        </w:tc>
        <w:tc>
          <w:tcPr>
            <w:tcW w:w="3783" w:type="dxa"/>
            <w:shd w:val="clear" w:color="auto" w:fill="auto"/>
          </w:tcPr>
          <w:p w:rsidR="00E90509" w:rsidRPr="00E90509" w:rsidRDefault="00E90509" w:rsidP="000A2B6C">
            <w:pPr>
              <w:spacing w:before="40" w:after="120"/>
            </w:pPr>
            <w:r w:rsidRPr="00E90509">
              <w:t>Seamen</w:t>
            </w:r>
            <w:r w:rsidR="00FE5999">
              <w:t>’</w:t>
            </w:r>
            <w:r w:rsidRPr="00E90509">
              <w:t>s Articles of Agreement Convention (No. 22)</w:t>
            </w:r>
          </w:p>
        </w:tc>
        <w:tc>
          <w:tcPr>
            <w:tcW w:w="709" w:type="dxa"/>
            <w:shd w:val="clear" w:color="auto" w:fill="auto"/>
            <w:hideMark/>
          </w:tcPr>
          <w:p w:rsidR="00E90509" w:rsidRPr="00E90509" w:rsidRDefault="00E90509" w:rsidP="000A2B6C">
            <w:pPr>
              <w:spacing w:before="40" w:after="120"/>
            </w:pPr>
            <w:r w:rsidRPr="00E90509">
              <w:t>1926</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30</w:t>
            </w:r>
          </w:p>
        </w:tc>
        <w:tc>
          <w:tcPr>
            <w:tcW w:w="3783" w:type="dxa"/>
            <w:shd w:val="clear" w:color="auto" w:fill="auto"/>
          </w:tcPr>
          <w:p w:rsidR="00E90509" w:rsidRPr="00E90509" w:rsidRDefault="00E90509" w:rsidP="000A2B6C">
            <w:pPr>
              <w:spacing w:before="40" w:after="120"/>
            </w:pPr>
            <w:r w:rsidRPr="00E90509">
              <w:t>Repatriation of Seamen Convention (No. 23)</w:t>
            </w:r>
          </w:p>
        </w:tc>
        <w:tc>
          <w:tcPr>
            <w:tcW w:w="709" w:type="dxa"/>
            <w:shd w:val="clear" w:color="auto" w:fill="auto"/>
            <w:hideMark/>
          </w:tcPr>
          <w:p w:rsidR="00E90509" w:rsidRPr="00E90509" w:rsidRDefault="00E90509" w:rsidP="000A2B6C">
            <w:pPr>
              <w:spacing w:before="40" w:after="120"/>
            </w:pPr>
            <w:r w:rsidRPr="00E90509">
              <w:t>1926</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31</w:t>
            </w:r>
          </w:p>
        </w:tc>
        <w:tc>
          <w:tcPr>
            <w:tcW w:w="3783" w:type="dxa"/>
            <w:shd w:val="clear" w:color="auto" w:fill="auto"/>
          </w:tcPr>
          <w:p w:rsidR="00E90509" w:rsidRPr="00E90509" w:rsidRDefault="00E90509" w:rsidP="000A2B6C">
            <w:pPr>
              <w:spacing w:before="40" w:after="120"/>
            </w:pPr>
            <w:r w:rsidRPr="00E90509">
              <w:t>Minimum Wage-Fixing Machinery Convention (No. 26)</w:t>
            </w:r>
          </w:p>
        </w:tc>
        <w:tc>
          <w:tcPr>
            <w:tcW w:w="709" w:type="dxa"/>
            <w:shd w:val="clear" w:color="auto" w:fill="auto"/>
            <w:hideMark/>
          </w:tcPr>
          <w:p w:rsidR="00E90509" w:rsidRPr="00E90509" w:rsidRDefault="00E90509" w:rsidP="000A2B6C">
            <w:pPr>
              <w:spacing w:before="40" w:after="120"/>
            </w:pPr>
            <w:r w:rsidRPr="00E90509">
              <w:t>1928</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32</w:t>
            </w:r>
          </w:p>
        </w:tc>
        <w:tc>
          <w:tcPr>
            <w:tcW w:w="3783" w:type="dxa"/>
            <w:shd w:val="clear" w:color="auto" w:fill="auto"/>
          </w:tcPr>
          <w:p w:rsidR="00E90509" w:rsidRPr="00E90509" w:rsidRDefault="00E90509" w:rsidP="000A2B6C">
            <w:pPr>
              <w:spacing w:before="40" w:after="120"/>
            </w:pPr>
            <w:r w:rsidRPr="00E90509">
              <w:t>Officers</w:t>
            </w:r>
            <w:r w:rsidR="00FE5999">
              <w:t>’</w:t>
            </w:r>
            <w:r w:rsidRPr="00E90509">
              <w:t xml:space="preserve"> Competency Certificates Convention (No. 53)</w:t>
            </w:r>
          </w:p>
        </w:tc>
        <w:tc>
          <w:tcPr>
            <w:tcW w:w="709" w:type="dxa"/>
            <w:shd w:val="clear" w:color="auto" w:fill="auto"/>
            <w:hideMark/>
          </w:tcPr>
          <w:p w:rsidR="00E90509" w:rsidRPr="00E90509" w:rsidRDefault="00E90509" w:rsidP="000A2B6C">
            <w:pPr>
              <w:spacing w:before="40" w:after="120"/>
            </w:pPr>
            <w:r w:rsidRPr="00E90509">
              <w:t>1936</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33</w:t>
            </w:r>
          </w:p>
        </w:tc>
        <w:tc>
          <w:tcPr>
            <w:tcW w:w="3783" w:type="dxa"/>
            <w:shd w:val="clear" w:color="auto" w:fill="auto"/>
          </w:tcPr>
          <w:p w:rsidR="00E90509" w:rsidRPr="00E90509" w:rsidRDefault="00E90509" w:rsidP="000A2B6C">
            <w:pPr>
              <w:spacing w:before="40" w:after="120"/>
            </w:pPr>
            <w:r w:rsidRPr="00E90509">
              <w:t xml:space="preserve">Safety Provisions (Building) Convention </w:t>
            </w:r>
            <w:r w:rsidR="001460C1">
              <w:br/>
            </w:r>
            <w:r w:rsidRPr="00E90509">
              <w:t>(No. 62)</w:t>
            </w:r>
          </w:p>
        </w:tc>
        <w:tc>
          <w:tcPr>
            <w:tcW w:w="709" w:type="dxa"/>
            <w:shd w:val="clear" w:color="auto" w:fill="auto"/>
            <w:hideMark/>
          </w:tcPr>
          <w:p w:rsidR="00E90509" w:rsidRPr="00E90509" w:rsidRDefault="00E90509" w:rsidP="000A2B6C">
            <w:pPr>
              <w:spacing w:before="40" w:after="120"/>
            </w:pPr>
            <w:r w:rsidRPr="00E90509">
              <w:t>1937</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34</w:t>
            </w:r>
          </w:p>
        </w:tc>
        <w:tc>
          <w:tcPr>
            <w:tcW w:w="3783" w:type="dxa"/>
            <w:shd w:val="clear" w:color="auto" w:fill="auto"/>
          </w:tcPr>
          <w:p w:rsidR="00E90509" w:rsidRPr="00E90509" w:rsidRDefault="00E90509" w:rsidP="000A2B6C">
            <w:pPr>
              <w:spacing w:before="40" w:after="120"/>
            </w:pPr>
            <w:r w:rsidRPr="00E90509">
              <w:t>Labour Inspection Convention (No. 81)</w:t>
            </w:r>
          </w:p>
        </w:tc>
        <w:tc>
          <w:tcPr>
            <w:tcW w:w="709" w:type="dxa"/>
            <w:shd w:val="clear" w:color="auto" w:fill="auto"/>
            <w:hideMark/>
          </w:tcPr>
          <w:p w:rsidR="00E90509" w:rsidRPr="00E90509" w:rsidRDefault="00E90509" w:rsidP="000A2B6C">
            <w:pPr>
              <w:spacing w:before="40" w:after="120"/>
            </w:pPr>
            <w:r w:rsidRPr="00E90509">
              <w:t>1947</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35</w:t>
            </w:r>
          </w:p>
        </w:tc>
        <w:tc>
          <w:tcPr>
            <w:tcW w:w="3783" w:type="dxa"/>
            <w:shd w:val="clear" w:color="auto" w:fill="auto"/>
          </w:tcPr>
          <w:p w:rsidR="00E90509" w:rsidRPr="00E90509" w:rsidRDefault="00E90509" w:rsidP="000A2B6C">
            <w:pPr>
              <w:spacing w:before="40" w:after="120"/>
            </w:pPr>
            <w:r w:rsidRPr="00E90509">
              <w:t>Freedom of Association and Protection of the Right to Organise Convention (No. 87)</w:t>
            </w:r>
          </w:p>
        </w:tc>
        <w:tc>
          <w:tcPr>
            <w:tcW w:w="709" w:type="dxa"/>
            <w:shd w:val="clear" w:color="auto" w:fill="auto"/>
            <w:hideMark/>
          </w:tcPr>
          <w:p w:rsidR="00E90509" w:rsidRPr="00E90509" w:rsidRDefault="00E90509" w:rsidP="000A2B6C">
            <w:pPr>
              <w:spacing w:before="40" w:after="120"/>
            </w:pPr>
            <w:r w:rsidRPr="00E90509">
              <w:t>1948</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36</w:t>
            </w:r>
          </w:p>
        </w:tc>
        <w:tc>
          <w:tcPr>
            <w:tcW w:w="3783" w:type="dxa"/>
            <w:shd w:val="clear" w:color="auto" w:fill="auto"/>
          </w:tcPr>
          <w:p w:rsidR="00E90509" w:rsidRPr="00E90509" w:rsidRDefault="00E90509" w:rsidP="000A2B6C">
            <w:pPr>
              <w:spacing w:before="40" w:after="120"/>
            </w:pPr>
            <w:r w:rsidRPr="00E90509">
              <w:t>Labour Clauses (Public Contracts) Convention (No. 94)</w:t>
            </w:r>
          </w:p>
        </w:tc>
        <w:tc>
          <w:tcPr>
            <w:tcW w:w="709" w:type="dxa"/>
            <w:shd w:val="clear" w:color="auto" w:fill="auto"/>
            <w:hideMark/>
          </w:tcPr>
          <w:p w:rsidR="00E90509" w:rsidRPr="00E90509" w:rsidRDefault="00E90509" w:rsidP="000A2B6C">
            <w:pPr>
              <w:spacing w:before="40" w:after="120"/>
            </w:pPr>
            <w:r w:rsidRPr="00E90509">
              <w:t>1949</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37</w:t>
            </w:r>
          </w:p>
        </w:tc>
        <w:tc>
          <w:tcPr>
            <w:tcW w:w="3783" w:type="dxa"/>
            <w:shd w:val="clear" w:color="auto" w:fill="auto"/>
          </w:tcPr>
          <w:p w:rsidR="00E90509" w:rsidRPr="00E90509" w:rsidRDefault="00E90509" w:rsidP="000A2B6C">
            <w:pPr>
              <w:spacing w:before="40" w:after="120"/>
            </w:pPr>
            <w:r w:rsidRPr="00E90509">
              <w:t>Protection of Wages Convention (No. 95)</w:t>
            </w:r>
          </w:p>
        </w:tc>
        <w:tc>
          <w:tcPr>
            <w:tcW w:w="709" w:type="dxa"/>
            <w:shd w:val="clear" w:color="auto" w:fill="auto"/>
            <w:hideMark/>
          </w:tcPr>
          <w:p w:rsidR="00E90509" w:rsidRPr="00E90509" w:rsidRDefault="00E90509" w:rsidP="000A2B6C">
            <w:pPr>
              <w:spacing w:before="40" w:after="120"/>
            </w:pPr>
            <w:r w:rsidRPr="00E90509">
              <w:t>1949</w:t>
            </w:r>
          </w:p>
        </w:tc>
        <w:tc>
          <w:tcPr>
            <w:tcW w:w="1134" w:type="dxa"/>
            <w:shd w:val="clear" w:color="auto" w:fill="auto"/>
          </w:tcPr>
          <w:p w:rsidR="00E90509" w:rsidRPr="00E90509" w:rsidRDefault="00E90509" w:rsidP="000A2B6C">
            <w:pPr>
              <w:spacing w:before="40" w:after="120"/>
            </w:pPr>
            <w:r w:rsidRPr="00E90509">
              <w:t>20 June 1961</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38</w:t>
            </w:r>
          </w:p>
        </w:tc>
        <w:tc>
          <w:tcPr>
            <w:tcW w:w="3783" w:type="dxa"/>
            <w:shd w:val="clear" w:color="auto" w:fill="auto"/>
            <w:hideMark/>
          </w:tcPr>
          <w:p w:rsidR="00E90509" w:rsidRPr="00E90509" w:rsidRDefault="00E90509" w:rsidP="000A2B6C">
            <w:pPr>
              <w:spacing w:before="40" w:after="120"/>
            </w:pPr>
            <w:r w:rsidRPr="00E90509">
              <w:t>Fee-Charging Employment Agencies Convention (Revised) (No. 96)</w:t>
            </w:r>
          </w:p>
        </w:tc>
        <w:tc>
          <w:tcPr>
            <w:tcW w:w="709" w:type="dxa"/>
            <w:shd w:val="clear" w:color="auto" w:fill="auto"/>
            <w:hideMark/>
          </w:tcPr>
          <w:p w:rsidR="00E90509" w:rsidRPr="00E90509" w:rsidRDefault="00E90509" w:rsidP="000A2B6C">
            <w:pPr>
              <w:spacing w:before="40" w:after="120"/>
            </w:pPr>
            <w:r w:rsidRPr="00E90509">
              <w:t>1949</w:t>
            </w:r>
          </w:p>
        </w:tc>
        <w:tc>
          <w:tcPr>
            <w:tcW w:w="1134" w:type="dxa"/>
            <w:shd w:val="clear" w:color="auto" w:fill="auto"/>
          </w:tcPr>
          <w:p w:rsidR="00E90509" w:rsidRPr="00E90509" w:rsidRDefault="00E90509" w:rsidP="000A2B6C">
            <w:pPr>
              <w:spacing w:before="40" w:after="120"/>
            </w:pPr>
            <w:r w:rsidRPr="00E90509">
              <w:t>31 Mar. 1964</w:t>
            </w:r>
          </w:p>
        </w:tc>
        <w:tc>
          <w:tcPr>
            <w:tcW w:w="2551" w:type="dxa"/>
            <w:shd w:val="clear" w:color="auto" w:fill="auto"/>
          </w:tcPr>
          <w:p w:rsidR="00E90509" w:rsidRPr="00E90509" w:rsidRDefault="00E90509" w:rsidP="000A2B6C">
            <w:pPr>
              <w:spacing w:before="40" w:after="120"/>
            </w:pPr>
            <w:r w:rsidRPr="00E90509">
              <w:t>Accepted the provisions of Part II</w:t>
            </w: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39</w:t>
            </w:r>
          </w:p>
        </w:tc>
        <w:tc>
          <w:tcPr>
            <w:tcW w:w="3783" w:type="dxa"/>
            <w:shd w:val="clear" w:color="auto" w:fill="auto"/>
          </w:tcPr>
          <w:p w:rsidR="00E90509" w:rsidRPr="00E90509" w:rsidRDefault="00E90509" w:rsidP="000A2B6C">
            <w:pPr>
              <w:spacing w:before="40" w:after="120"/>
            </w:pPr>
            <w:r w:rsidRPr="00E90509">
              <w:t>Fishermen</w:t>
            </w:r>
            <w:r w:rsidR="00FE5999">
              <w:t>’</w:t>
            </w:r>
            <w:r w:rsidRPr="00E90509">
              <w:t>s Articles of Agreement Convention (No. 114)</w:t>
            </w:r>
          </w:p>
        </w:tc>
        <w:tc>
          <w:tcPr>
            <w:tcW w:w="709" w:type="dxa"/>
            <w:shd w:val="clear" w:color="auto" w:fill="auto"/>
            <w:hideMark/>
          </w:tcPr>
          <w:p w:rsidR="00E90509" w:rsidRPr="00E90509" w:rsidRDefault="00E90509" w:rsidP="000A2B6C">
            <w:pPr>
              <w:spacing w:before="40" w:after="120"/>
            </w:pPr>
            <w:r w:rsidRPr="00E90509">
              <w:t>1959</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shd w:val="clear" w:color="auto" w:fill="auto"/>
            <w:hideMark/>
          </w:tcPr>
          <w:p w:rsidR="00E90509" w:rsidRPr="00E90509" w:rsidRDefault="00E90509" w:rsidP="000A2B6C">
            <w:pPr>
              <w:spacing w:before="40" w:after="120"/>
            </w:pPr>
            <w:r w:rsidRPr="00E90509">
              <w:t>40</w:t>
            </w:r>
          </w:p>
        </w:tc>
        <w:tc>
          <w:tcPr>
            <w:tcW w:w="3783" w:type="dxa"/>
            <w:shd w:val="clear" w:color="auto" w:fill="auto"/>
            <w:hideMark/>
          </w:tcPr>
          <w:p w:rsidR="00E90509" w:rsidRPr="00E90509" w:rsidRDefault="00E90509" w:rsidP="000A2B6C">
            <w:pPr>
              <w:spacing w:before="40" w:after="120"/>
            </w:pPr>
            <w:r w:rsidRPr="00E90509">
              <w:t>Final Articles Revision Convention (No. 116)</w:t>
            </w:r>
          </w:p>
        </w:tc>
        <w:tc>
          <w:tcPr>
            <w:tcW w:w="709" w:type="dxa"/>
            <w:shd w:val="clear" w:color="auto" w:fill="auto"/>
            <w:hideMark/>
          </w:tcPr>
          <w:p w:rsidR="00E90509" w:rsidRPr="00E90509" w:rsidRDefault="00E90509" w:rsidP="000A2B6C">
            <w:pPr>
              <w:spacing w:before="40" w:after="120"/>
            </w:pPr>
            <w:r w:rsidRPr="00E90509">
              <w:t>1961</w:t>
            </w:r>
          </w:p>
        </w:tc>
        <w:tc>
          <w:tcPr>
            <w:tcW w:w="1134" w:type="dxa"/>
            <w:shd w:val="clear" w:color="auto" w:fill="auto"/>
          </w:tcPr>
          <w:p w:rsidR="00E90509" w:rsidRPr="00E90509" w:rsidRDefault="00E90509" w:rsidP="000A2B6C">
            <w:pPr>
              <w:spacing w:before="40" w:after="120"/>
            </w:pPr>
            <w:r w:rsidRPr="00E90509">
              <w:t>8 Nov. 1963</w:t>
            </w:r>
          </w:p>
        </w:tc>
        <w:tc>
          <w:tcPr>
            <w:tcW w:w="2551" w:type="dxa"/>
            <w:shd w:val="clear" w:color="auto" w:fill="auto"/>
          </w:tcPr>
          <w:p w:rsidR="00E90509" w:rsidRPr="00E90509" w:rsidRDefault="00E90509" w:rsidP="000A2B6C">
            <w:pPr>
              <w:spacing w:before="40" w:after="120"/>
            </w:pPr>
          </w:p>
        </w:tc>
      </w:tr>
      <w:tr w:rsidR="00E90509" w:rsidRPr="00E90509" w:rsidTr="00CF5562">
        <w:trPr>
          <w:trHeight w:val="240"/>
          <w:jc w:val="right"/>
        </w:trPr>
        <w:tc>
          <w:tcPr>
            <w:tcW w:w="328" w:type="dxa"/>
            <w:tcBorders>
              <w:bottom w:val="single" w:sz="12" w:space="0" w:color="auto"/>
            </w:tcBorders>
            <w:shd w:val="clear" w:color="auto" w:fill="auto"/>
            <w:hideMark/>
          </w:tcPr>
          <w:p w:rsidR="00E90509" w:rsidRPr="00E90509" w:rsidRDefault="00E90509" w:rsidP="000A2B6C">
            <w:pPr>
              <w:spacing w:before="40" w:after="120"/>
            </w:pPr>
            <w:r w:rsidRPr="00E90509">
              <w:t>41</w:t>
            </w:r>
          </w:p>
        </w:tc>
        <w:tc>
          <w:tcPr>
            <w:tcW w:w="3783" w:type="dxa"/>
            <w:tcBorders>
              <w:bottom w:val="single" w:sz="12" w:space="0" w:color="auto"/>
            </w:tcBorders>
            <w:shd w:val="clear" w:color="auto" w:fill="auto"/>
          </w:tcPr>
          <w:p w:rsidR="00E90509" w:rsidRPr="00E90509" w:rsidRDefault="00E90509" w:rsidP="000A2B6C">
            <w:pPr>
              <w:spacing w:before="40" w:after="120"/>
            </w:pPr>
            <w:r w:rsidRPr="00E90509">
              <w:t>Employment Policy Convention (No. 122)</w:t>
            </w:r>
          </w:p>
        </w:tc>
        <w:tc>
          <w:tcPr>
            <w:tcW w:w="709" w:type="dxa"/>
            <w:tcBorders>
              <w:bottom w:val="single" w:sz="12" w:space="0" w:color="auto"/>
            </w:tcBorders>
            <w:shd w:val="clear" w:color="auto" w:fill="auto"/>
            <w:hideMark/>
          </w:tcPr>
          <w:p w:rsidR="00E90509" w:rsidRPr="00E90509" w:rsidRDefault="00E90509" w:rsidP="000A2B6C">
            <w:pPr>
              <w:spacing w:before="40" w:after="120"/>
            </w:pPr>
            <w:r w:rsidRPr="00E90509">
              <w:t>1964</w:t>
            </w:r>
          </w:p>
        </w:tc>
        <w:tc>
          <w:tcPr>
            <w:tcW w:w="1134" w:type="dxa"/>
            <w:tcBorders>
              <w:bottom w:val="single" w:sz="12" w:space="0" w:color="auto"/>
            </w:tcBorders>
            <w:shd w:val="clear" w:color="auto" w:fill="auto"/>
          </w:tcPr>
          <w:p w:rsidR="00E90509" w:rsidRPr="00E90509" w:rsidRDefault="00E90509" w:rsidP="000A2B6C">
            <w:pPr>
              <w:spacing w:before="40" w:after="120"/>
            </w:pPr>
            <w:r w:rsidRPr="00E90509">
              <w:t>30 July 1971</w:t>
            </w:r>
          </w:p>
        </w:tc>
        <w:tc>
          <w:tcPr>
            <w:tcW w:w="2551" w:type="dxa"/>
            <w:tcBorders>
              <w:bottom w:val="single" w:sz="12" w:space="0" w:color="auto"/>
            </w:tcBorders>
            <w:shd w:val="clear" w:color="auto" w:fill="auto"/>
          </w:tcPr>
          <w:p w:rsidR="00E90509" w:rsidRPr="00E90509" w:rsidRDefault="00E90509" w:rsidP="000A2B6C">
            <w:pPr>
              <w:spacing w:before="40" w:after="120"/>
            </w:pPr>
          </w:p>
        </w:tc>
      </w:tr>
    </w:tbl>
    <w:p w:rsidR="00E31D8E" w:rsidRDefault="00E90509" w:rsidP="00E31D8E">
      <w:pPr>
        <w:pStyle w:val="Heading1"/>
        <w:spacing w:before="240"/>
      </w:pPr>
      <w:bookmarkStart w:id="60" w:name="_Toc479237759"/>
      <w:r w:rsidRPr="00A52535">
        <w:t>Table</w:t>
      </w:r>
      <w:r w:rsidR="00FE5999">
        <w:t xml:space="preserve"> </w:t>
      </w:r>
      <w:r w:rsidRPr="00A52535">
        <w:t>5</w:t>
      </w:r>
      <w:bookmarkEnd w:id="60"/>
    </w:p>
    <w:p w:rsidR="00E90509" w:rsidRPr="00E31D8E" w:rsidRDefault="00E90509" w:rsidP="00E31D8E">
      <w:pPr>
        <w:pStyle w:val="SingleTxtG"/>
        <w:rPr>
          <w:b/>
        </w:rPr>
      </w:pPr>
      <w:r w:rsidRPr="00E31D8E">
        <w:rPr>
          <w:b/>
        </w:rPr>
        <w:t>Ratification of instruments relating to international humanitarian law and refugees</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4"/>
        <w:gridCol w:w="3827"/>
        <w:gridCol w:w="709"/>
        <w:gridCol w:w="850"/>
        <w:gridCol w:w="2835"/>
      </w:tblGrid>
      <w:tr w:rsidR="00E90509" w:rsidRPr="00E90509" w:rsidTr="001817A0">
        <w:trPr>
          <w:trHeight w:val="240"/>
          <w:tblHeader/>
        </w:trPr>
        <w:tc>
          <w:tcPr>
            <w:tcW w:w="284" w:type="dxa"/>
            <w:tcBorders>
              <w:top w:val="single" w:sz="4" w:space="0" w:color="auto"/>
              <w:bottom w:val="single" w:sz="12" w:space="0" w:color="auto"/>
            </w:tcBorders>
            <w:shd w:val="clear" w:color="auto" w:fill="auto"/>
            <w:vAlign w:val="bottom"/>
            <w:hideMark/>
          </w:tcPr>
          <w:p w:rsidR="00E90509" w:rsidRPr="00C92111" w:rsidRDefault="00E90509" w:rsidP="00C92111">
            <w:pPr>
              <w:spacing w:before="80" w:after="80" w:line="200" w:lineRule="exact"/>
              <w:rPr>
                <w:i/>
                <w:iCs/>
                <w:sz w:val="16"/>
                <w:szCs w:val="16"/>
              </w:rPr>
            </w:pPr>
            <w:r w:rsidRPr="00C92111">
              <w:rPr>
                <w:i/>
                <w:iCs/>
                <w:sz w:val="16"/>
                <w:szCs w:val="16"/>
              </w:rPr>
              <w:t>No.</w:t>
            </w:r>
          </w:p>
        </w:tc>
        <w:tc>
          <w:tcPr>
            <w:tcW w:w="3827" w:type="dxa"/>
            <w:tcBorders>
              <w:top w:val="single" w:sz="4" w:space="0" w:color="auto"/>
              <w:bottom w:val="single" w:sz="12" w:space="0" w:color="auto"/>
            </w:tcBorders>
            <w:shd w:val="clear" w:color="auto" w:fill="auto"/>
            <w:vAlign w:val="bottom"/>
            <w:hideMark/>
          </w:tcPr>
          <w:p w:rsidR="00E90509" w:rsidRPr="00C92111" w:rsidRDefault="00E90509" w:rsidP="00C92111">
            <w:pPr>
              <w:spacing w:before="80" w:after="80" w:line="200" w:lineRule="exact"/>
              <w:rPr>
                <w:i/>
                <w:iCs/>
                <w:sz w:val="16"/>
                <w:szCs w:val="16"/>
              </w:rPr>
            </w:pPr>
            <w:r w:rsidRPr="00C92111">
              <w:rPr>
                <w:i/>
                <w:iCs/>
                <w:sz w:val="16"/>
                <w:szCs w:val="16"/>
              </w:rPr>
              <w:t>Instrument</w:t>
            </w:r>
          </w:p>
        </w:tc>
        <w:tc>
          <w:tcPr>
            <w:tcW w:w="709" w:type="dxa"/>
            <w:tcBorders>
              <w:top w:val="single" w:sz="4" w:space="0" w:color="auto"/>
              <w:bottom w:val="single" w:sz="12" w:space="0" w:color="auto"/>
            </w:tcBorders>
            <w:shd w:val="clear" w:color="auto" w:fill="auto"/>
            <w:vAlign w:val="bottom"/>
            <w:hideMark/>
          </w:tcPr>
          <w:p w:rsidR="00E90509" w:rsidRPr="00C92111" w:rsidRDefault="00E90509" w:rsidP="00C92111">
            <w:pPr>
              <w:spacing w:before="80" w:after="80" w:line="200" w:lineRule="exact"/>
              <w:rPr>
                <w:i/>
                <w:iCs/>
                <w:sz w:val="16"/>
                <w:szCs w:val="16"/>
              </w:rPr>
            </w:pPr>
            <w:r w:rsidRPr="00C92111">
              <w:rPr>
                <w:i/>
                <w:iCs/>
                <w:sz w:val="16"/>
                <w:szCs w:val="16"/>
              </w:rPr>
              <w:t xml:space="preserve">Date of </w:t>
            </w:r>
            <w:r w:rsidR="00A6743E" w:rsidRPr="00C92111">
              <w:rPr>
                <w:i/>
                <w:iCs/>
                <w:sz w:val="16"/>
                <w:szCs w:val="16"/>
              </w:rPr>
              <w:t>adoption</w:t>
            </w:r>
          </w:p>
        </w:tc>
        <w:tc>
          <w:tcPr>
            <w:tcW w:w="850" w:type="dxa"/>
            <w:tcBorders>
              <w:top w:val="single" w:sz="4" w:space="0" w:color="auto"/>
              <w:bottom w:val="single" w:sz="12" w:space="0" w:color="auto"/>
            </w:tcBorders>
            <w:shd w:val="clear" w:color="auto" w:fill="auto"/>
            <w:vAlign w:val="bottom"/>
            <w:hideMark/>
          </w:tcPr>
          <w:p w:rsidR="00E90509" w:rsidRPr="00C92111" w:rsidRDefault="00E90509" w:rsidP="00C92111">
            <w:pPr>
              <w:spacing w:before="80" w:after="80" w:line="200" w:lineRule="exact"/>
              <w:rPr>
                <w:i/>
                <w:iCs/>
                <w:sz w:val="16"/>
                <w:szCs w:val="16"/>
              </w:rPr>
            </w:pPr>
            <w:r w:rsidRPr="00C92111">
              <w:rPr>
                <w:i/>
                <w:iCs/>
                <w:sz w:val="16"/>
                <w:szCs w:val="16"/>
              </w:rPr>
              <w:t xml:space="preserve">Date of </w:t>
            </w:r>
            <w:r w:rsidR="00A866C7" w:rsidRPr="00C92111">
              <w:rPr>
                <w:i/>
                <w:iCs/>
                <w:sz w:val="16"/>
                <w:szCs w:val="16"/>
              </w:rPr>
              <w:t>ratification</w:t>
            </w:r>
          </w:p>
        </w:tc>
        <w:tc>
          <w:tcPr>
            <w:tcW w:w="2835" w:type="dxa"/>
            <w:tcBorders>
              <w:top w:val="single" w:sz="4" w:space="0" w:color="auto"/>
              <w:bottom w:val="single" w:sz="12" w:space="0" w:color="auto"/>
            </w:tcBorders>
            <w:shd w:val="clear" w:color="auto" w:fill="auto"/>
            <w:vAlign w:val="bottom"/>
            <w:hideMark/>
          </w:tcPr>
          <w:p w:rsidR="00E90509" w:rsidRPr="00C92111" w:rsidRDefault="00E90509" w:rsidP="00C92111">
            <w:pPr>
              <w:spacing w:before="80" w:after="80" w:line="200" w:lineRule="exact"/>
              <w:rPr>
                <w:i/>
                <w:iCs/>
                <w:sz w:val="16"/>
                <w:szCs w:val="16"/>
              </w:rPr>
            </w:pPr>
            <w:r w:rsidRPr="00C92111">
              <w:rPr>
                <w:i/>
                <w:iCs/>
                <w:sz w:val="16"/>
                <w:szCs w:val="16"/>
              </w:rPr>
              <w:t>Reservations/</w:t>
            </w:r>
            <w:r w:rsidR="00A866C7" w:rsidRPr="00C92111">
              <w:rPr>
                <w:i/>
                <w:iCs/>
                <w:sz w:val="16"/>
                <w:szCs w:val="16"/>
              </w:rPr>
              <w:t>comments</w:t>
            </w:r>
          </w:p>
        </w:tc>
      </w:tr>
      <w:tr w:rsidR="001817A0" w:rsidRPr="00E90509" w:rsidTr="001817A0">
        <w:trPr>
          <w:trHeight w:hRule="exact" w:val="113"/>
          <w:tblHeader/>
        </w:trPr>
        <w:tc>
          <w:tcPr>
            <w:tcW w:w="284" w:type="dxa"/>
            <w:tcBorders>
              <w:top w:val="single" w:sz="12" w:space="0" w:color="auto"/>
              <w:bottom w:val="nil"/>
            </w:tcBorders>
            <w:shd w:val="clear" w:color="auto" w:fill="auto"/>
          </w:tcPr>
          <w:p w:rsidR="001817A0" w:rsidRPr="00E90509" w:rsidRDefault="001817A0" w:rsidP="00C92111">
            <w:pPr>
              <w:spacing w:before="40" w:after="120"/>
            </w:pPr>
          </w:p>
        </w:tc>
        <w:tc>
          <w:tcPr>
            <w:tcW w:w="3827" w:type="dxa"/>
            <w:tcBorders>
              <w:top w:val="single" w:sz="12" w:space="0" w:color="auto"/>
              <w:bottom w:val="nil"/>
            </w:tcBorders>
            <w:shd w:val="clear" w:color="auto" w:fill="auto"/>
          </w:tcPr>
          <w:p w:rsidR="001817A0" w:rsidRPr="00E90509" w:rsidRDefault="001817A0" w:rsidP="00C92111">
            <w:pPr>
              <w:spacing w:before="40" w:after="120"/>
            </w:pPr>
          </w:p>
        </w:tc>
        <w:tc>
          <w:tcPr>
            <w:tcW w:w="709" w:type="dxa"/>
            <w:tcBorders>
              <w:top w:val="single" w:sz="12" w:space="0" w:color="auto"/>
              <w:bottom w:val="nil"/>
            </w:tcBorders>
            <w:shd w:val="clear" w:color="auto" w:fill="auto"/>
          </w:tcPr>
          <w:p w:rsidR="001817A0" w:rsidRPr="00E90509" w:rsidRDefault="001817A0" w:rsidP="00C92111">
            <w:pPr>
              <w:spacing w:before="40" w:after="120"/>
            </w:pPr>
          </w:p>
        </w:tc>
        <w:tc>
          <w:tcPr>
            <w:tcW w:w="850" w:type="dxa"/>
            <w:tcBorders>
              <w:top w:val="single" w:sz="12" w:space="0" w:color="auto"/>
              <w:bottom w:val="nil"/>
            </w:tcBorders>
            <w:shd w:val="clear" w:color="auto" w:fill="auto"/>
          </w:tcPr>
          <w:p w:rsidR="001817A0" w:rsidRPr="00E90509" w:rsidRDefault="001817A0" w:rsidP="00C92111">
            <w:pPr>
              <w:spacing w:before="40" w:after="120"/>
            </w:pPr>
          </w:p>
        </w:tc>
        <w:tc>
          <w:tcPr>
            <w:tcW w:w="2835" w:type="dxa"/>
            <w:tcBorders>
              <w:top w:val="single" w:sz="12" w:space="0" w:color="auto"/>
              <w:bottom w:val="nil"/>
            </w:tcBorders>
            <w:shd w:val="clear" w:color="auto" w:fill="auto"/>
          </w:tcPr>
          <w:p w:rsidR="001817A0" w:rsidRPr="00E90509" w:rsidRDefault="001817A0" w:rsidP="00C92111">
            <w:pPr>
              <w:spacing w:before="40" w:after="120"/>
            </w:pPr>
          </w:p>
        </w:tc>
      </w:tr>
      <w:tr w:rsidR="00E90509" w:rsidRPr="00E90509" w:rsidTr="001817A0">
        <w:trPr>
          <w:trHeight w:val="240"/>
        </w:trPr>
        <w:tc>
          <w:tcPr>
            <w:tcW w:w="284" w:type="dxa"/>
            <w:tcBorders>
              <w:top w:val="nil"/>
            </w:tcBorders>
            <w:shd w:val="clear" w:color="auto" w:fill="auto"/>
            <w:hideMark/>
          </w:tcPr>
          <w:p w:rsidR="00E90509" w:rsidRPr="00E90509" w:rsidRDefault="00E90509" w:rsidP="00C92111">
            <w:pPr>
              <w:spacing w:before="40" w:after="120"/>
            </w:pPr>
            <w:r w:rsidRPr="00E90509">
              <w:t>1</w:t>
            </w:r>
          </w:p>
        </w:tc>
        <w:tc>
          <w:tcPr>
            <w:tcW w:w="3827" w:type="dxa"/>
            <w:tcBorders>
              <w:top w:val="nil"/>
            </w:tcBorders>
            <w:shd w:val="clear" w:color="auto" w:fill="auto"/>
            <w:hideMark/>
          </w:tcPr>
          <w:p w:rsidR="00E90509" w:rsidRPr="00E90509" w:rsidRDefault="00E90509" w:rsidP="00C92111">
            <w:pPr>
              <w:spacing w:before="40" w:after="120"/>
            </w:pPr>
            <w:r w:rsidRPr="00E90509">
              <w:t>Convention relating to the Status of Refugees</w:t>
            </w:r>
          </w:p>
        </w:tc>
        <w:tc>
          <w:tcPr>
            <w:tcW w:w="709" w:type="dxa"/>
            <w:tcBorders>
              <w:top w:val="nil"/>
            </w:tcBorders>
            <w:shd w:val="clear" w:color="auto" w:fill="auto"/>
            <w:hideMark/>
          </w:tcPr>
          <w:p w:rsidR="00E90509" w:rsidRPr="00E90509" w:rsidRDefault="00E90509" w:rsidP="00C92111">
            <w:pPr>
              <w:spacing w:before="40" w:after="120"/>
            </w:pPr>
            <w:r w:rsidRPr="00E90509">
              <w:t>1951</w:t>
            </w:r>
          </w:p>
        </w:tc>
        <w:tc>
          <w:tcPr>
            <w:tcW w:w="850" w:type="dxa"/>
            <w:tcBorders>
              <w:top w:val="nil"/>
            </w:tcBorders>
            <w:shd w:val="clear" w:color="auto" w:fill="auto"/>
            <w:hideMark/>
          </w:tcPr>
          <w:p w:rsidR="00E90509" w:rsidRPr="00E90509" w:rsidRDefault="00E90509" w:rsidP="00C92111">
            <w:pPr>
              <w:spacing w:before="40" w:after="120"/>
            </w:pPr>
            <w:r w:rsidRPr="00E90509">
              <w:t>1987</w:t>
            </w:r>
          </w:p>
        </w:tc>
        <w:tc>
          <w:tcPr>
            <w:tcW w:w="2835" w:type="dxa"/>
            <w:tcBorders>
              <w:top w:val="nil"/>
            </w:tcBorders>
            <w:shd w:val="clear" w:color="auto" w:fill="auto"/>
          </w:tcPr>
          <w:p w:rsidR="00E90509" w:rsidRPr="00E90509" w:rsidRDefault="00E90509" w:rsidP="00C92111">
            <w:pPr>
              <w:spacing w:before="40" w:after="120"/>
            </w:pPr>
          </w:p>
        </w:tc>
      </w:tr>
      <w:tr w:rsidR="00E90509" w:rsidRPr="00E90509" w:rsidTr="00C60391">
        <w:trPr>
          <w:trHeight w:val="240"/>
        </w:trPr>
        <w:tc>
          <w:tcPr>
            <w:tcW w:w="284" w:type="dxa"/>
            <w:shd w:val="clear" w:color="auto" w:fill="auto"/>
            <w:hideMark/>
          </w:tcPr>
          <w:p w:rsidR="00E90509" w:rsidRPr="00E90509" w:rsidRDefault="00E90509" w:rsidP="00C92111">
            <w:pPr>
              <w:spacing w:before="40" w:after="120"/>
            </w:pPr>
            <w:r w:rsidRPr="00E90509">
              <w:t>2</w:t>
            </w:r>
          </w:p>
        </w:tc>
        <w:tc>
          <w:tcPr>
            <w:tcW w:w="3827" w:type="dxa"/>
            <w:shd w:val="clear" w:color="auto" w:fill="auto"/>
            <w:hideMark/>
          </w:tcPr>
          <w:p w:rsidR="00E90509" w:rsidRPr="00E90509" w:rsidRDefault="00E90509" w:rsidP="00C92111">
            <w:pPr>
              <w:spacing w:before="40" w:after="120"/>
            </w:pPr>
            <w:r w:rsidRPr="00E90509">
              <w:t>Geneva Convention for the Amelioration of the Condition of the Wounded and Sick in Armed Forces in the Field</w:t>
            </w:r>
          </w:p>
        </w:tc>
        <w:tc>
          <w:tcPr>
            <w:tcW w:w="709" w:type="dxa"/>
            <w:shd w:val="clear" w:color="auto" w:fill="auto"/>
            <w:hideMark/>
          </w:tcPr>
          <w:p w:rsidR="00E90509" w:rsidRPr="00E90509" w:rsidRDefault="00E90509" w:rsidP="00C92111">
            <w:pPr>
              <w:spacing w:before="40" w:after="120"/>
            </w:pPr>
            <w:r w:rsidRPr="00E90509">
              <w:t>1949</w:t>
            </w:r>
          </w:p>
        </w:tc>
        <w:tc>
          <w:tcPr>
            <w:tcW w:w="850" w:type="dxa"/>
            <w:shd w:val="clear" w:color="auto" w:fill="auto"/>
            <w:hideMark/>
          </w:tcPr>
          <w:p w:rsidR="00E90509" w:rsidRPr="00E90509" w:rsidRDefault="00E90509" w:rsidP="00C92111">
            <w:pPr>
              <w:spacing w:before="40" w:after="120"/>
            </w:pPr>
            <w:r w:rsidRPr="00E90509">
              <w:t>1962</w:t>
            </w:r>
          </w:p>
        </w:tc>
        <w:tc>
          <w:tcPr>
            <w:tcW w:w="2835" w:type="dxa"/>
            <w:shd w:val="clear" w:color="auto" w:fill="auto"/>
          </w:tcPr>
          <w:p w:rsidR="00E90509" w:rsidRPr="00E90509" w:rsidRDefault="00E90509" w:rsidP="00C92111">
            <w:pPr>
              <w:spacing w:before="40" w:after="120"/>
            </w:pPr>
          </w:p>
        </w:tc>
      </w:tr>
      <w:tr w:rsidR="00E90509" w:rsidRPr="00E90509" w:rsidTr="00C60391">
        <w:trPr>
          <w:trHeight w:val="240"/>
        </w:trPr>
        <w:tc>
          <w:tcPr>
            <w:tcW w:w="284" w:type="dxa"/>
            <w:shd w:val="clear" w:color="auto" w:fill="auto"/>
            <w:hideMark/>
          </w:tcPr>
          <w:p w:rsidR="00E90509" w:rsidRPr="00E90509" w:rsidRDefault="00E90509" w:rsidP="00C92111">
            <w:pPr>
              <w:spacing w:before="40" w:after="120"/>
            </w:pPr>
            <w:r w:rsidRPr="00E90509">
              <w:t>3</w:t>
            </w:r>
          </w:p>
        </w:tc>
        <w:tc>
          <w:tcPr>
            <w:tcW w:w="3827" w:type="dxa"/>
            <w:shd w:val="clear" w:color="auto" w:fill="auto"/>
            <w:hideMark/>
          </w:tcPr>
          <w:p w:rsidR="00E90509" w:rsidRPr="00E90509" w:rsidRDefault="00E90509" w:rsidP="00C92111">
            <w:pPr>
              <w:spacing w:before="40" w:after="120"/>
            </w:pPr>
            <w:r w:rsidRPr="00E90509">
              <w:t>Geneva Convention for the Amelioration of the Condition of the Wounded, Sick and Shipwrecked Members of Armed Forces at Sea</w:t>
            </w:r>
          </w:p>
        </w:tc>
        <w:tc>
          <w:tcPr>
            <w:tcW w:w="709" w:type="dxa"/>
            <w:shd w:val="clear" w:color="auto" w:fill="auto"/>
            <w:hideMark/>
          </w:tcPr>
          <w:p w:rsidR="00E90509" w:rsidRPr="00E90509" w:rsidRDefault="00E90509" w:rsidP="00C92111">
            <w:pPr>
              <w:spacing w:before="40" w:after="120"/>
            </w:pPr>
            <w:r w:rsidRPr="00E90509">
              <w:t>1949</w:t>
            </w:r>
          </w:p>
        </w:tc>
        <w:tc>
          <w:tcPr>
            <w:tcW w:w="850" w:type="dxa"/>
            <w:shd w:val="clear" w:color="auto" w:fill="auto"/>
            <w:hideMark/>
          </w:tcPr>
          <w:p w:rsidR="00E90509" w:rsidRPr="00E90509" w:rsidRDefault="00E90509" w:rsidP="00C92111">
            <w:pPr>
              <w:spacing w:before="40" w:after="120"/>
            </w:pPr>
            <w:r w:rsidRPr="00E90509">
              <w:t>1962</w:t>
            </w:r>
          </w:p>
        </w:tc>
        <w:tc>
          <w:tcPr>
            <w:tcW w:w="2835" w:type="dxa"/>
            <w:shd w:val="clear" w:color="auto" w:fill="auto"/>
          </w:tcPr>
          <w:p w:rsidR="00E90509" w:rsidRPr="00E90509" w:rsidRDefault="00E90509" w:rsidP="00C92111">
            <w:pPr>
              <w:spacing w:before="40" w:after="120"/>
            </w:pPr>
          </w:p>
        </w:tc>
      </w:tr>
      <w:tr w:rsidR="00E90509" w:rsidRPr="00E90509" w:rsidTr="00C60391">
        <w:trPr>
          <w:trHeight w:val="240"/>
        </w:trPr>
        <w:tc>
          <w:tcPr>
            <w:tcW w:w="284" w:type="dxa"/>
            <w:shd w:val="clear" w:color="auto" w:fill="auto"/>
            <w:hideMark/>
          </w:tcPr>
          <w:p w:rsidR="00E90509" w:rsidRPr="00E90509" w:rsidRDefault="00E90509" w:rsidP="00C92111">
            <w:pPr>
              <w:spacing w:before="40" w:after="120"/>
            </w:pPr>
            <w:r w:rsidRPr="00E90509">
              <w:t>4</w:t>
            </w:r>
          </w:p>
        </w:tc>
        <w:tc>
          <w:tcPr>
            <w:tcW w:w="3827" w:type="dxa"/>
            <w:shd w:val="clear" w:color="auto" w:fill="auto"/>
            <w:hideMark/>
          </w:tcPr>
          <w:p w:rsidR="00E90509" w:rsidRPr="00E90509" w:rsidRDefault="00E90509" w:rsidP="00C92111">
            <w:pPr>
              <w:spacing w:before="40" w:after="120"/>
            </w:pPr>
            <w:r w:rsidRPr="00E90509">
              <w:t>Geneva Convention relative to the Treatment of Prisoners of War</w:t>
            </w:r>
          </w:p>
        </w:tc>
        <w:tc>
          <w:tcPr>
            <w:tcW w:w="709" w:type="dxa"/>
            <w:shd w:val="clear" w:color="auto" w:fill="auto"/>
            <w:hideMark/>
          </w:tcPr>
          <w:p w:rsidR="00E90509" w:rsidRPr="00E90509" w:rsidRDefault="00E90509" w:rsidP="00C92111">
            <w:pPr>
              <w:spacing w:before="40" w:after="120"/>
            </w:pPr>
            <w:r w:rsidRPr="00E90509">
              <w:t>1949</w:t>
            </w:r>
          </w:p>
        </w:tc>
        <w:tc>
          <w:tcPr>
            <w:tcW w:w="850" w:type="dxa"/>
            <w:shd w:val="clear" w:color="auto" w:fill="auto"/>
            <w:hideMark/>
          </w:tcPr>
          <w:p w:rsidR="00E90509" w:rsidRPr="00E90509" w:rsidRDefault="00E90509" w:rsidP="00C92111">
            <w:pPr>
              <w:spacing w:before="40" w:after="120"/>
            </w:pPr>
            <w:r w:rsidRPr="00E90509">
              <w:t>1962</w:t>
            </w:r>
          </w:p>
        </w:tc>
        <w:tc>
          <w:tcPr>
            <w:tcW w:w="2835" w:type="dxa"/>
            <w:shd w:val="clear" w:color="auto" w:fill="auto"/>
          </w:tcPr>
          <w:p w:rsidR="00E90509" w:rsidRPr="00E90509" w:rsidRDefault="00E90509" w:rsidP="00C92111">
            <w:pPr>
              <w:spacing w:before="40" w:after="120"/>
            </w:pPr>
          </w:p>
        </w:tc>
      </w:tr>
      <w:tr w:rsidR="00E90509" w:rsidRPr="00E90509" w:rsidTr="00C60391">
        <w:trPr>
          <w:trHeight w:val="240"/>
        </w:trPr>
        <w:tc>
          <w:tcPr>
            <w:tcW w:w="284" w:type="dxa"/>
            <w:shd w:val="clear" w:color="auto" w:fill="auto"/>
            <w:hideMark/>
          </w:tcPr>
          <w:p w:rsidR="00E90509" w:rsidRPr="00E90509" w:rsidRDefault="00E90509" w:rsidP="00C92111">
            <w:pPr>
              <w:spacing w:before="40" w:after="120"/>
            </w:pPr>
            <w:r w:rsidRPr="00E90509">
              <w:t>5</w:t>
            </w:r>
          </w:p>
        </w:tc>
        <w:tc>
          <w:tcPr>
            <w:tcW w:w="3827" w:type="dxa"/>
            <w:shd w:val="clear" w:color="auto" w:fill="auto"/>
            <w:hideMark/>
          </w:tcPr>
          <w:p w:rsidR="00E90509" w:rsidRPr="00E90509" w:rsidRDefault="00E90509" w:rsidP="00C92111">
            <w:pPr>
              <w:spacing w:before="40" w:after="120"/>
            </w:pPr>
            <w:r w:rsidRPr="00E90509">
              <w:t>Geneva Convention relative to the Protection of Civilian Persons in Time of War</w:t>
            </w:r>
          </w:p>
        </w:tc>
        <w:tc>
          <w:tcPr>
            <w:tcW w:w="709" w:type="dxa"/>
            <w:shd w:val="clear" w:color="auto" w:fill="auto"/>
            <w:hideMark/>
          </w:tcPr>
          <w:p w:rsidR="00E90509" w:rsidRPr="00E90509" w:rsidRDefault="00E90509" w:rsidP="00C92111">
            <w:pPr>
              <w:spacing w:before="40" w:after="120"/>
            </w:pPr>
            <w:r w:rsidRPr="00E90509">
              <w:t>1949</w:t>
            </w:r>
          </w:p>
        </w:tc>
        <w:tc>
          <w:tcPr>
            <w:tcW w:w="850" w:type="dxa"/>
            <w:shd w:val="clear" w:color="auto" w:fill="auto"/>
            <w:hideMark/>
          </w:tcPr>
          <w:p w:rsidR="00E90509" w:rsidRPr="00E90509" w:rsidRDefault="00E90509" w:rsidP="00C92111">
            <w:pPr>
              <w:spacing w:before="40" w:after="120"/>
            </w:pPr>
            <w:r w:rsidRPr="00E90509">
              <w:t>1962</w:t>
            </w:r>
          </w:p>
        </w:tc>
        <w:tc>
          <w:tcPr>
            <w:tcW w:w="2835" w:type="dxa"/>
            <w:shd w:val="clear" w:color="auto" w:fill="auto"/>
          </w:tcPr>
          <w:p w:rsidR="00E90509" w:rsidRPr="00E90509" w:rsidRDefault="00E90509" w:rsidP="00C92111">
            <w:pPr>
              <w:spacing w:before="40" w:after="120"/>
            </w:pPr>
          </w:p>
        </w:tc>
      </w:tr>
      <w:tr w:rsidR="00E90509" w:rsidRPr="00E90509" w:rsidTr="00C60391">
        <w:trPr>
          <w:trHeight w:val="240"/>
        </w:trPr>
        <w:tc>
          <w:tcPr>
            <w:tcW w:w="284" w:type="dxa"/>
            <w:shd w:val="clear" w:color="auto" w:fill="auto"/>
            <w:hideMark/>
          </w:tcPr>
          <w:p w:rsidR="00E90509" w:rsidRPr="00E90509" w:rsidRDefault="00E90509" w:rsidP="00E139DF">
            <w:pPr>
              <w:keepNext/>
              <w:keepLines/>
              <w:spacing w:before="40" w:after="120"/>
            </w:pPr>
            <w:r w:rsidRPr="00E90509">
              <w:lastRenderedPageBreak/>
              <w:t>6</w:t>
            </w:r>
          </w:p>
        </w:tc>
        <w:tc>
          <w:tcPr>
            <w:tcW w:w="3827" w:type="dxa"/>
            <w:shd w:val="clear" w:color="auto" w:fill="auto"/>
            <w:hideMark/>
          </w:tcPr>
          <w:p w:rsidR="00E90509" w:rsidRPr="00E90509" w:rsidRDefault="00E90509" w:rsidP="00E139DF">
            <w:pPr>
              <w:keepNext/>
              <w:keepLines/>
              <w:spacing w:before="40" w:after="120"/>
            </w:pPr>
            <w:r w:rsidRPr="00E90509">
              <w:t>Protocol additional to the Geneva Conventions of 12 August 1949, and relating to the protection of victims of international armed conflicts (Protocol 1)</w:t>
            </w:r>
          </w:p>
        </w:tc>
        <w:tc>
          <w:tcPr>
            <w:tcW w:w="709" w:type="dxa"/>
            <w:shd w:val="clear" w:color="auto" w:fill="auto"/>
            <w:hideMark/>
          </w:tcPr>
          <w:p w:rsidR="00E90509" w:rsidRPr="00E90509" w:rsidRDefault="00E90509" w:rsidP="00E139DF">
            <w:pPr>
              <w:keepNext/>
              <w:keepLines/>
              <w:spacing w:before="40" w:after="120"/>
            </w:pPr>
            <w:r w:rsidRPr="00E90509">
              <w:t>1977</w:t>
            </w:r>
          </w:p>
        </w:tc>
        <w:tc>
          <w:tcPr>
            <w:tcW w:w="850" w:type="dxa"/>
            <w:shd w:val="clear" w:color="auto" w:fill="auto"/>
            <w:hideMark/>
          </w:tcPr>
          <w:p w:rsidR="00E90509" w:rsidRPr="00E90509" w:rsidRDefault="00E90509" w:rsidP="00E139DF">
            <w:pPr>
              <w:keepNext/>
              <w:keepLines/>
              <w:spacing w:before="40" w:after="120"/>
            </w:pPr>
            <w:r w:rsidRPr="00E90509">
              <w:t>1980</w:t>
            </w:r>
          </w:p>
        </w:tc>
        <w:tc>
          <w:tcPr>
            <w:tcW w:w="2835" w:type="dxa"/>
            <w:shd w:val="clear" w:color="auto" w:fill="auto"/>
          </w:tcPr>
          <w:p w:rsidR="00E90509" w:rsidRPr="00E90509" w:rsidRDefault="00E90509" w:rsidP="00E139DF">
            <w:pPr>
              <w:keepNext/>
              <w:keepLines/>
              <w:spacing w:before="40" w:after="120"/>
            </w:pPr>
          </w:p>
        </w:tc>
      </w:tr>
      <w:tr w:rsidR="00E90509" w:rsidRPr="00E90509" w:rsidTr="00C60391">
        <w:trPr>
          <w:trHeight w:val="240"/>
        </w:trPr>
        <w:tc>
          <w:tcPr>
            <w:tcW w:w="284" w:type="dxa"/>
            <w:shd w:val="clear" w:color="auto" w:fill="auto"/>
            <w:hideMark/>
          </w:tcPr>
          <w:p w:rsidR="00E90509" w:rsidRPr="00E90509" w:rsidRDefault="00E90509" w:rsidP="00C92111">
            <w:pPr>
              <w:spacing w:before="40" w:after="120"/>
            </w:pPr>
            <w:r w:rsidRPr="00E90509">
              <w:t>7</w:t>
            </w:r>
          </w:p>
        </w:tc>
        <w:tc>
          <w:tcPr>
            <w:tcW w:w="3827" w:type="dxa"/>
            <w:shd w:val="clear" w:color="auto" w:fill="auto"/>
            <w:hideMark/>
          </w:tcPr>
          <w:p w:rsidR="00E90509" w:rsidRPr="00E90509" w:rsidRDefault="00E90509" w:rsidP="00C92111">
            <w:pPr>
              <w:spacing w:before="40" w:after="120"/>
            </w:pPr>
            <w:r w:rsidRPr="00E90509">
              <w:t xml:space="preserve">Protocol additional to the Geneva Conventions of 12 August 1949, and relating to the protection of victims of non-international armed conflicts </w:t>
            </w:r>
          </w:p>
        </w:tc>
        <w:tc>
          <w:tcPr>
            <w:tcW w:w="709" w:type="dxa"/>
            <w:shd w:val="clear" w:color="auto" w:fill="auto"/>
            <w:hideMark/>
          </w:tcPr>
          <w:p w:rsidR="00E90509" w:rsidRPr="00E90509" w:rsidRDefault="00E90509" w:rsidP="00C92111">
            <w:pPr>
              <w:spacing w:before="40" w:after="120"/>
            </w:pPr>
            <w:r w:rsidRPr="00E90509">
              <w:t>1977</w:t>
            </w:r>
          </w:p>
        </w:tc>
        <w:tc>
          <w:tcPr>
            <w:tcW w:w="850" w:type="dxa"/>
            <w:shd w:val="clear" w:color="auto" w:fill="auto"/>
            <w:hideMark/>
          </w:tcPr>
          <w:p w:rsidR="00E90509" w:rsidRPr="00E90509" w:rsidRDefault="00E90509" w:rsidP="00C92111">
            <w:pPr>
              <w:spacing w:before="40" w:after="120"/>
            </w:pPr>
            <w:r w:rsidRPr="00E90509">
              <w:t>1980</w:t>
            </w:r>
          </w:p>
        </w:tc>
        <w:tc>
          <w:tcPr>
            <w:tcW w:w="2835" w:type="dxa"/>
            <w:shd w:val="clear" w:color="auto" w:fill="auto"/>
          </w:tcPr>
          <w:p w:rsidR="00E90509" w:rsidRPr="00E90509" w:rsidRDefault="00E90509" w:rsidP="00C92111">
            <w:pPr>
              <w:spacing w:before="40" w:after="120"/>
            </w:pPr>
          </w:p>
        </w:tc>
      </w:tr>
      <w:tr w:rsidR="00E90509" w:rsidRPr="00E90509" w:rsidTr="00C60391">
        <w:trPr>
          <w:trHeight w:val="240"/>
        </w:trPr>
        <w:tc>
          <w:tcPr>
            <w:tcW w:w="284" w:type="dxa"/>
            <w:shd w:val="clear" w:color="auto" w:fill="auto"/>
            <w:hideMark/>
          </w:tcPr>
          <w:p w:rsidR="00E90509" w:rsidRPr="00E90509" w:rsidRDefault="00E90509" w:rsidP="00C92111">
            <w:pPr>
              <w:spacing w:before="40" w:after="120"/>
            </w:pPr>
            <w:r w:rsidRPr="00E90509">
              <w:t>8</w:t>
            </w:r>
          </w:p>
        </w:tc>
        <w:tc>
          <w:tcPr>
            <w:tcW w:w="3827" w:type="dxa"/>
            <w:shd w:val="clear" w:color="auto" w:fill="auto"/>
            <w:hideMark/>
          </w:tcPr>
          <w:p w:rsidR="00E90509" w:rsidRPr="00E90509" w:rsidRDefault="00E90509" w:rsidP="00C92111">
            <w:pPr>
              <w:spacing w:before="40" w:after="120"/>
            </w:pPr>
            <w:r w:rsidRPr="00E90509">
              <w:t>Convention relating to the Status of Refugees</w:t>
            </w:r>
          </w:p>
        </w:tc>
        <w:tc>
          <w:tcPr>
            <w:tcW w:w="709" w:type="dxa"/>
            <w:shd w:val="clear" w:color="auto" w:fill="auto"/>
            <w:hideMark/>
          </w:tcPr>
          <w:p w:rsidR="00E90509" w:rsidRPr="00E90509" w:rsidRDefault="00E90509" w:rsidP="00C92111">
            <w:pPr>
              <w:spacing w:before="40" w:after="120"/>
            </w:pPr>
            <w:r w:rsidRPr="00E90509">
              <w:t>1951</w:t>
            </w:r>
          </w:p>
        </w:tc>
        <w:tc>
          <w:tcPr>
            <w:tcW w:w="850" w:type="dxa"/>
            <w:shd w:val="clear" w:color="auto" w:fill="auto"/>
            <w:hideMark/>
          </w:tcPr>
          <w:p w:rsidR="00E90509" w:rsidRPr="00E90509" w:rsidRDefault="00E90509" w:rsidP="00C92111">
            <w:pPr>
              <w:spacing w:before="40" w:after="120"/>
            </w:pPr>
            <w:r w:rsidRPr="00E90509">
              <w:t>1987</w:t>
            </w:r>
          </w:p>
        </w:tc>
        <w:tc>
          <w:tcPr>
            <w:tcW w:w="2835" w:type="dxa"/>
            <w:shd w:val="clear" w:color="auto" w:fill="auto"/>
          </w:tcPr>
          <w:p w:rsidR="00E90509" w:rsidRPr="00E90509" w:rsidRDefault="00E90509" w:rsidP="00C92111">
            <w:pPr>
              <w:spacing w:before="40" w:after="120"/>
            </w:pPr>
          </w:p>
        </w:tc>
      </w:tr>
      <w:tr w:rsidR="00E90509" w:rsidRPr="00E90509" w:rsidTr="00C60391">
        <w:trPr>
          <w:trHeight w:val="240"/>
        </w:trPr>
        <w:tc>
          <w:tcPr>
            <w:tcW w:w="284" w:type="dxa"/>
            <w:shd w:val="clear" w:color="auto" w:fill="auto"/>
            <w:hideMark/>
          </w:tcPr>
          <w:p w:rsidR="00E90509" w:rsidRPr="00E90509" w:rsidRDefault="00E90509" w:rsidP="00C92111">
            <w:pPr>
              <w:spacing w:before="40" w:after="120"/>
            </w:pPr>
            <w:r w:rsidRPr="00E90509">
              <w:t>9</w:t>
            </w:r>
          </w:p>
        </w:tc>
        <w:tc>
          <w:tcPr>
            <w:tcW w:w="3827" w:type="dxa"/>
            <w:shd w:val="clear" w:color="auto" w:fill="auto"/>
            <w:hideMark/>
          </w:tcPr>
          <w:p w:rsidR="00E90509" w:rsidRPr="00E90509" w:rsidRDefault="00E90509" w:rsidP="00C92111">
            <w:pPr>
              <w:spacing w:before="40" w:after="120"/>
            </w:pPr>
            <w:r w:rsidRPr="00E90509">
              <w:t>Organization of African Unity Convention Governing the Specific Aspects of Refugee Problems in Africa</w:t>
            </w:r>
          </w:p>
        </w:tc>
        <w:tc>
          <w:tcPr>
            <w:tcW w:w="709" w:type="dxa"/>
            <w:shd w:val="clear" w:color="auto" w:fill="auto"/>
            <w:hideMark/>
          </w:tcPr>
          <w:p w:rsidR="00E90509" w:rsidRPr="00E90509" w:rsidRDefault="00E90509" w:rsidP="00C92111">
            <w:pPr>
              <w:spacing w:before="40" w:after="120"/>
            </w:pPr>
            <w:r w:rsidRPr="00E90509">
              <w:t>1969</w:t>
            </w:r>
          </w:p>
        </w:tc>
        <w:tc>
          <w:tcPr>
            <w:tcW w:w="850" w:type="dxa"/>
            <w:shd w:val="clear" w:color="auto" w:fill="auto"/>
            <w:hideMark/>
          </w:tcPr>
          <w:p w:rsidR="00E90509" w:rsidRPr="00E90509" w:rsidRDefault="00E90509" w:rsidP="00C92111">
            <w:pPr>
              <w:spacing w:before="40" w:after="120"/>
            </w:pPr>
            <w:r w:rsidRPr="00E90509">
              <w:t>1972</w:t>
            </w:r>
          </w:p>
        </w:tc>
        <w:tc>
          <w:tcPr>
            <w:tcW w:w="2835" w:type="dxa"/>
            <w:shd w:val="clear" w:color="auto" w:fill="auto"/>
          </w:tcPr>
          <w:p w:rsidR="00E90509" w:rsidRPr="00E90509" w:rsidRDefault="00E90509" w:rsidP="00C92111">
            <w:pPr>
              <w:spacing w:before="40" w:after="120"/>
            </w:pPr>
          </w:p>
        </w:tc>
      </w:tr>
      <w:tr w:rsidR="00E90509" w:rsidRPr="00E90509" w:rsidTr="00C60391">
        <w:trPr>
          <w:trHeight w:val="240"/>
        </w:trPr>
        <w:tc>
          <w:tcPr>
            <w:tcW w:w="284" w:type="dxa"/>
            <w:shd w:val="clear" w:color="auto" w:fill="auto"/>
            <w:hideMark/>
          </w:tcPr>
          <w:p w:rsidR="00E90509" w:rsidRPr="00E90509" w:rsidRDefault="00E90509" w:rsidP="00C92111">
            <w:pPr>
              <w:spacing w:before="40" w:after="120"/>
            </w:pPr>
            <w:r w:rsidRPr="00E90509">
              <w:t>10</w:t>
            </w:r>
          </w:p>
        </w:tc>
        <w:tc>
          <w:tcPr>
            <w:tcW w:w="3827" w:type="dxa"/>
            <w:shd w:val="clear" w:color="auto" w:fill="auto"/>
            <w:hideMark/>
          </w:tcPr>
          <w:p w:rsidR="00E90509" w:rsidRPr="00E90509" w:rsidRDefault="00E90509" w:rsidP="00C92111">
            <w:pPr>
              <w:spacing w:before="40" w:after="120"/>
            </w:pPr>
            <w:r w:rsidRPr="00E90509">
              <w:t>Protocol relating to the Status of Refugees</w:t>
            </w:r>
          </w:p>
        </w:tc>
        <w:tc>
          <w:tcPr>
            <w:tcW w:w="709" w:type="dxa"/>
            <w:shd w:val="clear" w:color="auto" w:fill="auto"/>
            <w:hideMark/>
          </w:tcPr>
          <w:p w:rsidR="00E90509" w:rsidRPr="00E90509" w:rsidRDefault="00E90509" w:rsidP="00C92111">
            <w:pPr>
              <w:spacing w:before="40" w:after="120"/>
            </w:pPr>
            <w:r w:rsidRPr="00E90509">
              <w:t>1967</w:t>
            </w:r>
          </w:p>
        </w:tc>
        <w:tc>
          <w:tcPr>
            <w:tcW w:w="850" w:type="dxa"/>
            <w:shd w:val="clear" w:color="auto" w:fill="auto"/>
            <w:hideMark/>
          </w:tcPr>
          <w:p w:rsidR="00E90509" w:rsidRPr="00E90509" w:rsidRDefault="00E90509" w:rsidP="00C92111">
            <w:pPr>
              <w:spacing w:before="40" w:after="120"/>
            </w:pPr>
            <w:r w:rsidRPr="00E90509">
              <w:t>1987</w:t>
            </w:r>
          </w:p>
        </w:tc>
        <w:tc>
          <w:tcPr>
            <w:tcW w:w="2835" w:type="dxa"/>
            <w:shd w:val="clear" w:color="auto" w:fill="auto"/>
          </w:tcPr>
          <w:p w:rsidR="00E90509" w:rsidRPr="00E90509" w:rsidRDefault="00E90509" w:rsidP="00C92111">
            <w:pPr>
              <w:spacing w:before="40" w:after="120"/>
            </w:pPr>
          </w:p>
        </w:tc>
      </w:tr>
      <w:tr w:rsidR="00E90509" w:rsidRPr="00E90509" w:rsidTr="00C60391">
        <w:trPr>
          <w:trHeight w:val="240"/>
        </w:trPr>
        <w:tc>
          <w:tcPr>
            <w:tcW w:w="284" w:type="dxa"/>
            <w:tcBorders>
              <w:bottom w:val="single" w:sz="12" w:space="0" w:color="auto"/>
            </w:tcBorders>
            <w:shd w:val="clear" w:color="auto" w:fill="auto"/>
            <w:hideMark/>
          </w:tcPr>
          <w:p w:rsidR="00E90509" w:rsidRPr="00E90509" w:rsidRDefault="00E90509" w:rsidP="00C92111">
            <w:pPr>
              <w:spacing w:before="40" w:after="120"/>
            </w:pPr>
            <w:r w:rsidRPr="00E90509">
              <w:t>11</w:t>
            </w:r>
          </w:p>
        </w:tc>
        <w:tc>
          <w:tcPr>
            <w:tcW w:w="3827" w:type="dxa"/>
            <w:tcBorders>
              <w:bottom w:val="single" w:sz="12" w:space="0" w:color="auto"/>
            </w:tcBorders>
            <w:shd w:val="clear" w:color="auto" w:fill="auto"/>
            <w:hideMark/>
          </w:tcPr>
          <w:p w:rsidR="00E90509" w:rsidRPr="00E90509" w:rsidRDefault="00E90509" w:rsidP="00C92111">
            <w:pPr>
              <w:spacing w:before="40" w:after="120"/>
            </w:pPr>
            <w:r w:rsidRPr="00E90509">
              <w:t>Convention on the Prohibition of the Use, Stockpiling, Production and Transfer of Anti-Personnel Mines and on Their Destruction</w:t>
            </w:r>
          </w:p>
        </w:tc>
        <w:tc>
          <w:tcPr>
            <w:tcW w:w="709" w:type="dxa"/>
            <w:tcBorders>
              <w:bottom w:val="single" w:sz="12" w:space="0" w:color="auto"/>
            </w:tcBorders>
            <w:shd w:val="clear" w:color="auto" w:fill="auto"/>
            <w:hideMark/>
          </w:tcPr>
          <w:p w:rsidR="00E90509" w:rsidRPr="00E90509" w:rsidRDefault="00E90509" w:rsidP="00C92111">
            <w:pPr>
              <w:spacing w:before="40" w:after="120"/>
            </w:pPr>
            <w:r w:rsidRPr="00E90509">
              <w:t>1997</w:t>
            </w:r>
          </w:p>
        </w:tc>
        <w:tc>
          <w:tcPr>
            <w:tcW w:w="850" w:type="dxa"/>
            <w:tcBorders>
              <w:bottom w:val="single" w:sz="12" w:space="0" w:color="auto"/>
            </w:tcBorders>
            <w:shd w:val="clear" w:color="auto" w:fill="auto"/>
            <w:hideMark/>
          </w:tcPr>
          <w:p w:rsidR="00E90509" w:rsidRPr="00E90509" w:rsidRDefault="00E90509" w:rsidP="00C92111">
            <w:pPr>
              <w:spacing w:before="40" w:after="120"/>
            </w:pPr>
            <w:r w:rsidRPr="00E90509">
              <w:t>2000</w:t>
            </w:r>
          </w:p>
        </w:tc>
        <w:tc>
          <w:tcPr>
            <w:tcW w:w="2835" w:type="dxa"/>
            <w:tcBorders>
              <w:bottom w:val="single" w:sz="12" w:space="0" w:color="auto"/>
            </w:tcBorders>
            <w:shd w:val="clear" w:color="auto" w:fill="auto"/>
          </w:tcPr>
          <w:p w:rsidR="00E90509" w:rsidRPr="00E90509" w:rsidRDefault="00E90509" w:rsidP="00C92111">
            <w:pPr>
              <w:spacing w:before="40" w:after="120"/>
            </w:pPr>
          </w:p>
        </w:tc>
      </w:tr>
    </w:tbl>
    <w:p w:rsidR="00BE7BDE" w:rsidRDefault="00E90509" w:rsidP="007719C3">
      <w:pPr>
        <w:pStyle w:val="Heading1"/>
        <w:spacing w:before="240"/>
      </w:pPr>
      <w:bookmarkStart w:id="61" w:name="_Toc479237760"/>
      <w:r w:rsidRPr="00A52535">
        <w:t>Table</w:t>
      </w:r>
      <w:r w:rsidR="00FE5999">
        <w:t xml:space="preserve"> </w:t>
      </w:r>
      <w:r w:rsidRPr="00A52535">
        <w:t>6</w:t>
      </w:r>
      <w:bookmarkEnd w:id="61"/>
    </w:p>
    <w:p w:rsidR="00E90509" w:rsidRPr="007719C3" w:rsidRDefault="00E90509" w:rsidP="007719C3">
      <w:pPr>
        <w:pStyle w:val="SingleTxtG"/>
        <w:rPr>
          <w:b/>
        </w:rPr>
      </w:pPr>
      <w:r w:rsidRPr="007719C3">
        <w:rPr>
          <w:b/>
        </w:rPr>
        <w:t xml:space="preserve">Ratification of regional human rights instruments </w:t>
      </w:r>
    </w:p>
    <w:tbl>
      <w:tblPr>
        <w:tblW w:w="8505" w:type="dxa"/>
        <w:tblInd w:w="1134" w:type="dxa"/>
        <w:tblBorders>
          <w:top w:val="single" w:sz="4" w:space="0" w:color="auto"/>
        </w:tblBorders>
        <w:tblLayout w:type="fixed"/>
        <w:tblCellMar>
          <w:left w:w="0" w:type="dxa"/>
          <w:right w:w="57" w:type="dxa"/>
        </w:tblCellMar>
        <w:tblLook w:val="04A0" w:firstRow="1" w:lastRow="0" w:firstColumn="1" w:lastColumn="0" w:noHBand="0" w:noVBand="1"/>
      </w:tblPr>
      <w:tblGrid>
        <w:gridCol w:w="329"/>
        <w:gridCol w:w="3782"/>
        <w:gridCol w:w="709"/>
        <w:gridCol w:w="850"/>
        <w:gridCol w:w="2835"/>
      </w:tblGrid>
      <w:tr w:rsidR="00E90509" w:rsidRPr="00E90509" w:rsidTr="00DD1B9B">
        <w:trPr>
          <w:trHeight w:val="240"/>
          <w:tblHeader/>
        </w:trPr>
        <w:tc>
          <w:tcPr>
            <w:tcW w:w="329" w:type="dxa"/>
            <w:tcBorders>
              <w:top w:val="single" w:sz="4" w:space="0" w:color="auto"/>
              <w:bottom w:val="single" w:sz="12" w:space="0" w:color="auto"/>
            </w:tcBorders>
            <w:shd w:val="clear" w:color="auto" w:fill="auto"/>
            <w:vAlign w:val="bottom"/>
            <w:hideMark/>
          </w:tcPr>
          <w:p w:rsidR="00E90509" w:rsidRPr="00C92111" w:rsidRDefault="00E90509" w:rsidP="00C92111">
            <w:pPr>
              <w:spacing w:before="80" w:after="80" w:line="200" w:lineRule="exact"/>
              <w:rPr>
                <w:i/>
                <w:iCs/>
                <w:sz w:val="16"/>
                <w:szCs w:val="16"/>
              </w:rPr>
            </w:pPr>
            <w:r w:rsidRPr="00C92111">
              <w:rPr>
                <w:i/>
                <w:iCs/>
                <w:sz w:val="16"/>
                <w:szCs w:val="16"/>
              </w:rPr>
              <w:t>No.</w:t>
            </w:r>
          </w:p>
        </w:tc>
        <w:tc>
          <w:tcPr>
            <w:tcW w:w="3782" w:type="dxa"/>
            <w:tcBorders>
              <w:top w:val="single" w:sz="4" w:space="0" w:color="auto"/>
              <w:bottom w:val="single" w:sz="12" w:space="0" w:color="auto"/>
            </w:tcBorders>
            <w:shd w:val="clear" w:color="auto" w:fill="auto"/>
            <w:vAlign w:val="bottom"/>
            <w:hideMark/>
          </w:tcPr>
          <w:p w:rsidR="00E90509" w:rsidRPr="00C92111" w:rsidRDefault="00E90509" w:rsidP="00C92111">
            <w:pPr>
              <w:spacing w:before="80" w:after="80" w:line="200" w:lineRule="exact"/>
              <w:rPr>
                <w:i/>
                <w:iCs/>
                <w:sz w:val="16"/>
                <w:szCs w:val="16"/>
              </w:rPr>
            </w:pPr>
            <w:r w:rsidRPr="00C92111">
              <w:rPr>
                <w:i/>
                <w:iCs/>
                <w:sz w:val="16"/>
                <w:szCs w:val="16"/>
              </w:rPr>
              <w:t>Instrument</w:t>
            </w:r>
          </w:p>
        </w:tc>
        <w:tc>
          <w:tcPr>
            <w:tcW w:w="709" w:type="dxa"/>
            <w:tcBorders>
              <w:top w:val="single" w:sz="4" w:space="0" w:color="auto"/>
              <w:bottom w:val="single" w:sz="12" w:space="0" w:color="auto"/>
            </w:tcBorders>
            <w:shd w:val="clear" w:color="auto" w:fill="auto"/>
            <w:vAlign w:val="bottom"/>
            <w:hideMark/>
          </w:tcPr>
          <w:p w:rsidR="00E90509" w:rsidRPr="00C92111" w:rsidRDefault="00E90509" w:rsidP="00C92111">
            <w:pPr>
              <w:spacing w:before="80" w:after="80" w:line="200" w:lineRule="exact"/>
              <w:rPr>
                <w:i/>
                <w:iCs/>
                <w:sz w:val="16"/>
                <w:szCs w:val="16"/>
              </w:rPr>
            </w:pPr>
            <w:r w:rsidRPr="00C92111">
              <w:rPr>
                <w:i/>
                <w:iCs/>
                <w:sz w:val="16"/>
                <w:szCs w:val="16"/>
              </w:rPr>
              <w:t xml:space="preserve">Date of </w:t>
            </w:r>
            <w:r w:rsidR="00402A97" w:rsidRPr="00C92111">
              <w:rPr>
                <w:i/>
                <w:iCs/>
                <w:sz w:val="16"/>
                <w:szCs w:val="16"/>
              </w:rPr>
              <w:t>adoption</w:t>
            </w:r>
          </w:p>
        </w:tc>
        <w:tc>
          <w:tcPr>
            <w:tcW w:w="850" w:type="dxa"/>
            <w:tcBorders>
              <w:top w:val="single" w:sz="4" w:space="0" w:color="auto"/>
              <w:bottom w:val="single" w:sz="12" w:space="0" w:color="auto"/>
            </w:tcBorders>
            <w:shd w:val="clear" w:color="auto" w:fill="auto"/>
            <w:vAlign w:val="bottom"/>
            <w:hideMark/>
          </w:tcPr>
          <w:p w:rsidR="00E90509" w:rsidRPr="00C92111" w:rsidRDefault="00402A97" w:rsidP="00C92111">
            <w:pPr>
              <w:spacing w:before="80" w:after="80" w:line="200" w:lineRule="exact"/>
              <w:rPr>
                <w:i/>
                <w:iCs/>
                <w:sz w:val="16"/>
                <w:szCs w:val="16"/>
              </w:rPr>
            </w:pPr>
            <w:r w:rsidRPr="00C92111">
              <w:rPr>
                <w:i/>
                <w:iCs/>
                <w:sz w:val="16"/>
                <w:szCs w:val="16"/>
              </w:rPr>
              <w:t>Date of ratification</w:t>
            </w:r>
          </w:p>
        </w:tc>
        <w:tc>
          <w:tcPr>
            <w:tcW w:w="2835" w:type="dxa"/>
            <w:tcBorders>
              <w:top w:val="single" w:sz="4" w:space="0" w:color="auto"/>
              <w:bottom w:val="single" w:sz="12" w:space="0" w:color="auto"/>
            </w:tcBorders>
            <w:shd w:val="clear" w:color="auto" w:fill="auto"/>
            <w:vAlign w:val="bottom"/>
            <w:hideMark/>
          </w:tcPr>
          <w:p w:rsidR="00E90509" w:rsidRPr="00C92111" w:rsidRDefault="00E90509" w:rsidP="00C92111">
            <w:pPr>
              <w:spacing w:before="80" w:after="80" w:line="200" w:lineRule="exact"/>
              <w:rPr>
                <w:i/>
                <w:iCs/>
                <w:sz w:val="16"/>
                <w:szCs w:val="16"/>
              </w:rPr>
            </w:pPr>
            <w:r w:rsidRPr="00C92111">
              <w:rPr>
                <w:i/>
                <w:iCs/>
                <w:sz w:val="16"/>
                <w:szCs w:val="16"/>
              </w:rPr>
              <w:t>Reservations/</w:t>
            </w:r>
            <w:r w:rsidR="00C60391" w:rsidRPr="00C92111">
              <w:rPr>
                <w:i/>
                <w:iCs/>
                <w:sz w:val="16"/>
                <w:szCs w:val="16"/>
              </w:rPr>
              <w:t>comments</w:t>
            </w:r>
          </w:p>
        </w:tc>
      </w:tr>
      <w:tr w:rsidR="00E90509" w:rsidRPr="00E90509" w:rsidTr="00DD1B9B">
        <w:trPr>
          <w:trHeight w:val="240"/>
        </w:trPr>
        <w:tc>
          <w:tcPr>
            <w:tcW w:w="329" w:type="dxa"/>
            <w:tcBorders>
              <w:top w:val="single" w:sz="12" w:space="0" w:color="auto"/>
            </w:tcBorders>
            <w:shd w:val="clear" w:color="auto" w:fill="auto"/>
            <w:hideMark/>
          </w:tcPr>
          <w:p w:rsidR="00E90509" w:rsidRPr="00E90509" w:rsidRDefault="00E90509" w:rsidP="00C92111">
            <w:pPr>
              <w:spacing w:before="40" w:after="120"/>
            </w:pPr>
            <w:r w:rsidRPr="00E90509">
              <w:t>1</w:t>
            </w:r>
          </w:p>
        </w:tc>
        <w:tc>
          <w:tcPr>
            <w:tcW w:w="3782" w:type="dxa"/>
            <w:tcBorders>
              <w:top w:val="single" w:sz="12" w:space="0" w:color="auto"/>
            </w:tcBorders>
            <w:shd w:val="clear" w:color="auto" w:fill="auto"/>
            <w:hideMark/>
          </w:tcPr>
          <w:p w:rsidR="00E90509" w:rsidRPr="00E90509" w:rsidRDefault="00E90509" w:rsidP="00C92111">
            <w:pPr>
              <w:spacing w:before="40" w:after="120"/>
            </w:pPr>
            <w:r w:rsidRPr="00E90509">
              <w:t>African Charter on Human and Peoples</w:t>
            </w:r>
            <w:r w:rsidR="00FE5999">
              <w:t>’</w:t>
            </w:r>
            <w:r w:rsidRPr="00E90509">
              <w:t xml:space="preserve"> Rights</w:t>
            </w:r>
          </w:p>
        </w:tc>
        <w:tc>
          <w:tcPr>
            <w:tcW w:w="709" w:type="dxa"/>
            <w:tcBorders>
              <w:top w:val="single" w:sz="12" w:space="0" w:color="auto"/>
            </w:tcBorders>
            <w:shd w:val="clear" w:color="auto" w:fill="auto"/>
            <w:hideMark/>
          </w:tcPr>
          <w:p w:rsidR="00E90509" w:rsidRPr="00E90509" w:rsidRDefault="00E90509" w:rsidP="00C92111">
            <w:pPr>
              <w:spacing w:before="40" w:after="120"/>
            </w:pPr>
            <w:r w:rsidRPr="00E90509">
              <w:t>1981</w:t>
            </w:r>
          </w:p>
        </w:tc>
        <w:tc>
          <w:tcPr>
            <w:tcW w:w="850" w:type="dxa"/>
            <w:tcBorders>
              <w:top w:val="single" w:sz="12" w:space="0" w:color="auto"/>
            </w:tcBorders>
            <w:shd w:val="clear" w:color="auto" w:fill="auto"/>
            <w:hideMark/>
          </w:tcPr>
          <w:p w:rsidR="00E90509" w:rsidRPr="00E90509" w:rsidRDefault="00E90509" w:rsidP="00C92111">
            <w:pPr>
              <w:spacing w:before="40" w:after="120"/>
            </w:pPr>
            <w:r w:rsidRPr="00E90509">
              <w:t>1986</w:t>
            </w:r>
          </w:p>
        </w:tc>
        <w:tc>
          <w:tcPr>
            <w:tcW w:w="2835" w:type="dxa"/>
            <w:tcBorders>
              <w:top w:val="single" w:sz="12" w:space="0" w:color="auto"/>
            </w:tcBorders>
            <w:shd w:val="clear" w:color="auto" w:fill="auto"/>
            <w:hideMark/>
          </w:tcPr>
          <w:p w:rsidR="00E90509" w:rsidRPr="00E90509" w:rsidRDefault="00E90509" w:rsidP="00C92111">
            <w:pPr>
              <w:spacing w:before="40" w:after="120"/>
            </w:pPr>
            <w:r w:rsidRPr="00E90509">
              <w:t>Incorporated in the preamble to the Constitution of 20</w:t>
            </w:r>
            <w:r w:rsidR="00FE5999">
              <w:t xml:space="preserve"> </w:t>
            </w:r>
            <w:r w:rsidRPr="00E90509">
              <w:t>July 1991</w:t>
            </w:r>
          </w:p>
        </w:tc>
      </w:tr>
      <w:tr w:rsidR="00E90509" w:rsidRPr="00E90509" w:rsidTr="00DD1B9B">
        <w:trPr>
          <w:trHeight w:val="240"/>
        </w:trPr>
        <w:tc>
          <w:tcPr>
            <w:tcW w:w="329" w:type="dxa"/>
            <w:shd w:val="clear" w:color="auto" w:fill="auto"/>
            <w:hideMark/>
          </w:tcPr>
          <w:p w:rsidR="00E90509" w:rsidRPr="00E90509" w:rsidRDefault="00E90509" w:rsidP="00C92111">
            <w:pPr>
              <w:spacing w:before="40" w:after="120"/>
            </w:pPr>
            <w:r w:rsidRPr="00E90509">
              <w:t>2</w:t>
            </w:r>
          </w:p>
        </w:tc>
        <w:tc>
          <w:tcPr>
            <w:tcW w:w="3782" w:type="dxa"/>
            <w:shd w:val="clear" w:color="auto" w:fill="auto"/>
            <w:hideMark/>
          </w:tcPr>
          <w:p w:rsidR="00E90509" w:rsidRPr="00E90509" w:rsidRDefault="00E90509" w:rsidP="00C92111">
            <w:pPr>
              <w:spacing w:before="40" w:after="120"/>
            </w:pPr>
            <w:r w:rsidRPr="00E90509">
              <w:t>Protocol to the African Charter on Human and Peoples</w:t>
            </w:r>
            <w:r w:rsidR="00FE5999">
              <w:t>’</w:t>
            </w:r>
            <w:r w:rsidRPr="00E90509">
              <w:t xml:space="preserve"> Rights on the Establishment of an African Court on Human and Peoples</w:t>
            </w:r>
            <w:r w:rsidR="00FE5999">
              <w:t>’</w:t>
            </w:r>
            <w:r w:rsidRPr="00E90509">
              <w:t xml:space="preserve"> Rights</w:t>
            </w:r>
          </w:p>
        </w:tc>
        <w:tc>
          <w:tcPr>
            <w:tcW w:w="709" w:type="dxa"/>
            <w:shd w:val="clear" w:color="auto" w:fill="auto"/>
            <w:hideMark/>
          </w:tcPr>
          <w:p w:rsidR="00E90509" w:rsidRPr="00E90509" w:rsidRDefault="00E90509" w:rsidP="00C92111">
            <w:pPr>
              <w:spacing w:before="40" w:after="120"/>
            </w:pPr>
            <w:r w:rsidRPr="00E90509">
              <w:t>1988</w:t>
            </w:r>
          </w:p>
        </w:tc>
        <w:tc>
          <w:tcPr>
            <w:tcW w:w="850" w:type="dxa"/>
            <w:shd w:val="clear" w:color="auto" w:fill="auto"/>
            <w:hideMark/>
          </w:tcPr>
          <w:p w:rsidR="00E90509" w:rsidRPr="00E90509" w:rsidRDefault="00E90509" w:rsidP="00C92111">
            <w:pPr>
              <w:spacing w:before="40" w:after="120"/>
            </w:pPr>
            <w:r w:rsidRPr="00E90509">
              <w:t>2005</w:t>
            </w:r>
          </w:p>
        </w:tc>
        <w:tc>
          <w:tcPr>
            <w:tcW w:w="2835" w:type="dxa"/>
            <w:shd w:val="clear" w:color="auto" w:fill="auto"/>
          </w:tcPr>
          <w:p w:rsidR="00E90509" w:rsidRPr="00E90509" w:rsidRDefault="00E90509" w:rsidP="00C92111">
            <w:pPr>
              <w:spacing w:before="40" w:after="120"/>
            </w:pPr>
          </w:p>
        </w:tc>
      </w:tr>
      <w:tr w:rsidR="00E90509" w:rsidRPr="00E90509" w:rsidTr="00DD1B9B">
        <w:trPr>
          <w:trHeight w:val="240"/>
        </w:trPr>
        <w:tc>
          <w:tcPr>
            <w:tcW w:w="329" w:type="dxa"/>
            <w:shd w:val="clear" w:color="auto" w:fill="auto"/>
            <w:hideMark/>
          </w:tcPr>
          <w:p w:rsidR="00E90509" w:rsidRPr="00E90509" w:rsidRDefault="00E90509" w:rsidP="00C92111">
            <w:pPr>
              <w:spacing w:before="40" w:after="120"/>
            </w:pPr>
            <w:r w:rsidRPr="00E90509">
              <w:t>3</w:t>
            </w:r>
          </w:p>
        </w:tc>
        <w:tc>
          <w:tcPr>
            <w:tcW w:w="3782" w:type="dxa"/>
            <w:shd w:val="clear" w:color="auto" w:fill="auto"/>
            <w:hideMark/>
          </w:tcPr>
          <w:p w:rsidR="00E90509" w:rsidRPr="00E90509" w:rsidRDefault="00E90509" w:rsidP="00C92111">
            <w:pPr>
              <w:spacing w:before="40" w:after="120"/>
            </w:pPr>
            <w:r w:rsidRPr="00E90509">
              <w:t>African Charter on the Rights and Welfare of the Child</w:t>
            </w:r>
          </w:p>
        </w:tc>
        <w:tc>
          <w:tcPr>
            <w:tcW w:w="709" w:type="dxa"/>
            <w:shd w:val="clear" w:color="auto" w:fill="auto"/>
            <w:hideMark/>
          </w:tcPr>
          <w:p w:rsidR="00E90509" w:rsidRPr="00E90509" w:rsidRDefault="00E90509" w:rsidP="00C92111">
            <w:pPr>
              <w:spacing w:before="40" w:after="120"/>
            </w:pPr>
            <w:r w:rsidRPr="00E90509">
              <w:t>1990</w:t>
            </w:r>
          </w:p>
        </w:tc>
        <w:tc>
          <w:tcPr>
            <w:tcW w:w="850" w:type="dxa"/>
            <w:shd w:val="clear" w:color="auto" w:fill="auto"/>
            <w:hideMark/>
          </w:tcPr>
          <w:p w:rsidR="00E90509" w:rsidRPr="00E90509" w:rsidRDefault="00E90509" w:rsidP="00C92111">
            <w:pPr>
              <w:spacing w:before="40" w:after="120"/>
            </w:pPr>
            <w:r w:rsidRPr="00E90509">
              <w:t>2005</w:t>
            </w:r>
          </w:p>
        </w:tc>
        <w:tc>
          <w:tcPr>
            <w:tcW w:w="2835" w:type="dxa"/>
            <w:shd w:val="clear" w:color="auto" w:fill="auto"/>
          </w:tcPr>
          <w:p w:rsidR="00E90509" w:rsidRPr="00E90509" w:rsidRDefault="00E90509" w:rsidP="00C92111">
            <w:pPr>
              <w:spacing w:before="40" w:after="120"/>
            </w:pPr>
          </w:p>
        </w:tc>
      </w:tr>
      <w:tr w:rsidR="00E90509" w:rsidRPr="00E90509" w:rsidTr="00DD1B9B">
        <w:trPr>
          <w:trHeight w:val="240"/>
        </w:trPr>
        <w:tc>
          <w:tcPr>
            <w:tcW w:w="329" w:type="dxa"/>
            <w:shd w:val="clear" w:color="auto" w:fill="auto"/>
            <w:hideMark/>
          </w:tcPr>
          <w:p w:rsidR="00E90509" w:rsidRPr="00E90509" w:rsidRDefault="00E90509" w:rsidP="00C92111">
            <w:pPr>
              <w:spacing w:before="40" w:after="120"/>
            </w:pPr>
            <w:r w:rsidRPr="00E90509">
              <w:t>4</w:t>
            </w:r>
          </w:p>
        </w:tc>
        <w:tc>
          <w:tcPr>
            <w:tcW w:w="3782" w:type="dxa"/>
            <w:shd w:val="clear" w:color="auto" w:fill="auto"/>
            <w:hideMark/>
          </w:tcPr>
          <w:p w:rsidR="00E90509" w:rsidRPr="00E90509" w:rsidRDefault="00E90509" w:rsidP="00C92111">
            <w:pPr>
              <w:spacing w:before="40" w:after="120"/>
            </w:pPr>
            <w:r w:rsidRPr="00E90509">
              <w:t>Protocol to the African Charter on Human and Peoples</w:t>
            </w:r>
            <w:r w:rsidR="00FE5999">
              <w:t>’</w:t>
            </w:r>
            <w:r w:rsidRPr="00E90509">
              <w:t xml:space="preserve"> Rights on the Rights of Women in Africa</w:t>
            </w:r>
          </w:p>
        </w:tc>
        <w:tc>
          <w:tcPr>
            <w:tcW w:w="709" w:type="dxa"/>
            <w:shd w:val="clear" w:color="auto" w:fill="auto"/>
            <w:hideMark/>
          </w:tcPr>
          <w:p w:rsidR="00E90509" w:rsidRPr="00E90509" w:rsidRDefault="00E90509" w:rsidP="00C92111">
            <w:pPr>
              <w:spacing w:before="40" w:after="120"/>
            </w:pPr>
            <w:r w:rsidRPr="00E90509">
              <w:t>2003</w:t>
            </w:r>
          </w:p>
        </w:tc>
        <w:tc>
          <w:tcPr>
            <w:tcW w:w="850" w:type="dxa"/>
            <w:shd w:val="clear" w:color="auto" w:fill="auto"/>
            <w:hideMark/>
          </w:tcPr>
          <w:p w:rsidR="00E90509" w:rsidRPr="00E90509" w:rsidRDefault="00E90509" w:rsidP="00C92111">
            <w:pPr>
              <w:spacing w:before="40" w:after="120"/>
            </w:pPr>
            <w:r w:rsidRPr="00E90509">
              <w:t>2005</w:t>
            </w:r>
          </w:p>
        </w:tc>
        <w:tc>
          <w:tcPr>
            <w:tcW w:w="2835" w:type="dxa"/>
            <w:shd w:val="clear" w:color="auto" w:fill="auto"/>
          </w:tcPr>
          <w:p w:rsidR="00E90509" w:rsidRPr="00E90509" w:rsidRDefault="00E90509" w:rsidP="00C92111">
            <w:pPr>
              <w:spacing w:before="40" w:after="120"/>
            </w:pPr>
          </w:p>
        </w:tc>
      </w:tr>
      <w:tr w:rsidR="00E90509" w:rsidRPr="00E90509" w:rsidTr="00DD1B9B">
        <w:trPr>
          <w:trHeight w:val="240"/>
        </w:trPr>
        <w:tc>
          <w:tcPr>
            <w:tcW w:w="329" w:type="dxa"/>
            <w:shd w:val="clear" w:color="auto" w:fill="auto"/>
            <w:hideMark/>
          </w:tcPr>
          <w:p w:rsidR="00E90509" w:rsidRPr="00E90509" w:rsidRDefault="00E90509" w:rsidP="00C92111">
            <w:pPr>
              <w:spacing w:before="40" w:after="120"/>
            </w:pPr>
            <w:r w:rsidRPr="00E90509">
              <w:t>5</w:t>
            </w:r>
          </w:p>
        </w:tc>
        <w:tc>
          <w:tcPr>
            <w:tcW w:w="3782" w:type="dxa"/>
            <w:shd w:val="clear" w:color="auto" w:fill="auto"/>
            <w:hideMark/>
          </w:tcPr>
          <w:p w:rsidR="00E90509" w:rsidRPr="00E90509" w:rsidRDefault="00E90509" w:rsidP="00C92111">
            <w:pPr>
              <w:spacing w:before="40" w:after="120"/>
            </w:pPr>
            <w:r w:rsidRPr="00E90509">
              <w:t>African Charter on Democracy, Elections and Governance</w:t>
            </w:r>
          </w:p>
        </w:tc>
        <w:tc>
          <w:tcPr>
            <w:tcW w:w="709" w:type="dxa"/>
            <w:shd w:val="clear" w:color="auto" w:fill="auto"/>
            <w:hideMark/>
          </w:tcPr>
          <w:p w:rsidR="00E90509" w:rsidRPr="00E90509" w:rsidRDefault="00E90509" w:rsidP="00C92111">
            <w:pPr>
              <w:spacing w:before="40" w:after="120"/>
            </w:pPr>
            <w:r w:rsidRPr="00E90509">
              <w:t>2011</w:t>
            </w:r>
          </w:p>
        </w:tc>
        <w:tc>
          <w:tcPr>
            <w:tcW w:w="850" w:type="dxa"/>
            <w:shd w:val="clear" w:color="auto" w:fill="auto"/>
            <w:hideMark/>
          </w:tcPr>
          <w:p w:rsidR="00E90509" w:rsidRPr="00E90509" w:rsidRDefault="00E90509" w:rsidP="00C92111">
            <w:pPr>
              <w:spacing w:before="40" w:after="120"/>
            </w:pPr>
            <w:r w:rsidRPr="00E90509">
              <w:t>2008</w:t>
            </w:r>
          </w:p>
        </w:tc>
        <w:tc>
          <w:tcPr>
            <w:tcW w:w="2835" w:type="dxa"/>
            <w:shd w:val="clear" w:color="auto" w:fill="auto"/>
          </w:tcPr>
          <w:p w:rsidR="00E90509" w:rsidRPr="00E90509" w:rsidRDefault="00E90509" w:rsidP="00C92111">
            <w:pPr>
              <w:spacing w:before="40" w:after="120"/>
            </w:pPr>
          </w:p>
        </w:tc>
      </w:tr>
      <w:tr w:rsidR="00E90509" w:rsidRPr="00E90509" w:rsidTr="00DD1B9B">
        <w:trPr>
          <w:trHeight w:val="240"/>
        </w:trPr>
        <w:tc>
          <w:tcPr>
            <w:tcW w:w="329" w:type="dxa"/>
            <w:shd w:val="clear" w:color="auto" w:fill="auto"/>
            <w:hideMark/>
          </w:tcPr>
          <w:p w:rsidR="00E90509" w:rsidRPr="00E90509" w:rsidRDefault="00E90509" w:rsidP="00C92111">
            <w:pPr>
              <w:spacing w:before="40" w:after="120"/>
            </w:pPr>
            <w:r w:rsidRPr="00E90509">
              <w:t>6</w:t>
            </w:r>
          </w:p>
        </w:tc>
        <w:tc>
          <w:tcPr>
            <w:tcW w:w="3782" w:type="dxa"/>
            <w:shd w:val="clear" w:color="auto" w:fill="auto"/>
            <w:hideMark/>
          </w:tcPr>
          <w:p w:rsidR="00E90509" w:rsidRPr="00E90509" w:rsidRDefault="00E90509" w:rsidP="00C92111">
            <w:pPr>
              <w:spacing w:before="40" w:after="120"/>
            </w:pPr>
            <w:r w:rsidRPr="00E90509">
              <w:t>Protocol to the African Charter on Human and Peoples</w:t>
            </w:r>
            <w:r w:rsidR="00FE5999">
              <w:t>’</w:t>
            </w:r>
            <w:r w:rsidRPr="00E90509">
              <w:t xml:space="preserve"> Rights on the Establishment of an African Court on Human and Peoples</w:t>
            </w:r>
            <w:r w:rsidR="00FE5999">
              <w:t>’</w:t>
            </w:r>
            <w:r w:rsidRPr="00E90509">
              <w:t xml:space="preserve"> Rights</w:t>
            </w:r>
          </w:p>
        </w:tc>
        <w:tc>
          <w:tcPr>
            <w:tcW w:w="709" w:type="dxa"/>
            <w:shd w:val="clear" w:color="auto" w:fill="auto"/>
            <w:hideMark/>
          </w:tcPr>
          <w:p w:rsidR="00E90509" w:rsidRPr="00E90509" w:rsidRDefault="00E90509" w:rsidP="00C92111">
            <w:pPr>
              <w:spacing w:before="40" w:after="120"/>
            </w:pPr>
            <w:r w:rsidRPr="00E90509">
              <w:t>1998</w:t>
            </w:r>
          </w:p>
        </w:tc>
        <w:tc>
          <w:tcPr>
            <w:tcW w:w="850" w:type="dxa"/>
            <w:shd w:val="clear" w:color="auto" w:fill="auto"/>
            <w:hideMark/>
          </w:tcPr>
          <w:p w:rsidR="00E90509" w:rsidRPr="00E90509" w:rsidRDefault="00E90509" w:rsidP="00C92111">
            <w:pPr>
              <w:spacing w:before="40" w:after="120"/>
            </w:pPr>
            <w:r w:rsidRPr="00E90509">
              <w:t>2005</w:t>
            </w:r>
          </w:p>
        </w:tc>
        <w:tc>
          <w:tcPr>
            <w:tcW w:w="2835" w:type="dxa"/>
            <w:shd w:val="clear" w:color="auto" w:fill="auto"/>
          </w:tcPr>
          <w:p w:rsidR="00E90509" w:rsidRPr="00E90509" w:rsidRDefault="00E90509" w:rsidP="00C92111">
            <w:pPr>
              <w:spacing w:before="40" w:after="120"/>
            </w:pPr>
          </w:p>
        </w:tc>
      </w:tr>
      <w:tr w:rsidR="00E90509" w:rsidRPr="00E90509" w:rsidTr="00DD1B9B">
        <w:trPr>
          <w:trHeight w:val="240"/>
        </w:trPr>
        <w:tc>
          <w:tcPr>
            <w:tcW w:w="329" w:type="dxa"/>
            <w:tcBorders>
              <w:bottom w:val="single" w:sz="12" w:space="0" w:color="auto"/>
            </w:tcBorders>
            <w:shd w:val="clear" w:color="auto" w:fill="auto"/>
            <w:hideMark/>
          </w:tcPr>
          <w:p w:rsidR="00E90509" w:rsidRPr="00E90509" w:rsidRDefault="00E90509" w:rsidP="00C92111">
            <w:pPr>
              <w:spacing w:before="40" w:after="120"/>
            </w:pPr>
            <w:r w:rsidRPr="00E90509">
              <w:t>7</w:t>
            </w:r>
          </w:p>
        </w:tc>
        <w:tc>
          <w:tcPr>
            <w:tcW w:w="3782" w:type="dxa"/>
            <w:tcBorders>
              <w:bottom w:val="single" w:sz="12" w:space="0" w:color="auto"/>
            </w:tcBorders>
            <w:shd w:val="clear" w:color="auto" w:fill="auto"/>
            <w:hideMark/>
          </w:tcPr>
          <w:p w:rsidR="00E90509" w:rsidRPr="00E90509" w:rsidRDefault="00E90509" w:rsidP="00C92111">
            <w:pPr>
              <w:spacing w:before="40" w:after="120"/>
            </w:pPr>
            <w:r w:rsidRPr="00E90509">
              <w:t>Convention Governing the Specific Aspects of Refugee Problems in Africa</w:t>
            </w:r>
          </w:p>
        </w:tc>
        <w:tc>
          <w:tcPr>
            <w:tcW w:w="709" w:type="dxa"/>
            <w:tcBorders>
              <w:bottom w:val="single" w:sz="12" w:space="0" w:color="auto"/>
            </w:tcBorders>
            <w:shd w:val="clear" w:color="auto" w:fill="auto"/>
            <w:hideMark/>
          </w:tcPr>
          <w:p w:rsidR="00E90509" w:rsidRPr="00E90509" w:rsidRDefault="00E90509" w:rsidP="00C92111">
            <w:pPr>
              <w:spacing w:before="40" w:after="120"/>
            </w:pPr>
            <w:r w:rsidRPr="00E90509">
              <w:t>1969</w:t>
            </w:r>
          </w:p>
        </w:tc>
        <w:tc>
          <w:tcPr>
            <w:tcW w:w="850" w:type="dxa"/>
            <w:tcBorders>
              <w:bottom w:val="single" w:sz="12" w:space="0" w:color="auto"/>
            </w:tcBorders>
            <w:shd w:val="clear" w:color="auto" w:fill="auto"/>
            <w:hideMark/>
          </w:tcPr>
          <w:p w:rsidR="00E90509" w:rsidRPr="00E90509" w:rsidRDefault="00E90509" w:rsidP="00C92111">
            <w:pPr>
              <w:spacing w:before="40" w:after="120"/>
            </w:pPr>
            <w:r w:rsidRPr="00E90509">
              <w:t>1972</w:t>
            </w:r>
          </w:p>
        </w:tc>
        <w:tc>
          <w:tcPr>
            <w:tcW w:w="2835" w:type="dxa"/>
            <w:tcBorders>
              <w:bottom w:val="single" w:sz="12" w:space="0" w:color="auto"/>
            </w:tcBorders>
            <w:shd w:val="clear" w:color="auto" w:fill="auto"/>
          </w:tcPr>
          <w:p w:rsidR="00E90509" w:rsidRPr="00E90509" w:rsidRDefault="00E90509" w:rsidP="00C92111">
            <w:pPr>
              <w:spacing w:before="40" w:after="120"/>
            </w:pPr>
          </w:p>
        </w:tc>
      </w:tr>
    </w:tbl>
    <w:p w:rsidR="00E90509" w:rsidRPr="00E90509" w:rsidRDefault="00E90509" w:rsidP="00E90509">
      <w:pPr>
        <w:pStyle w:val="H23G"/>
      </w:pPr>
      <w:r w:rsidRPr="00E90509">
        <w:tab/>
        <w:t>3.</w:t>
      </w:r>
      <w:r w:rsidRPr="00E90509">
        <w:tab/>
        <w:t>Legal framework for the protection of human rights at the national level</w:t>
      </w:r>
    </w:p>
    <w:p w:rsidR="00E90509" w:rsidRPr="00E90509" w:rsidRDefault="00E90509" w:rsidP="00E90509">
      <w:pPr>
        <w:pStyle w:val="H23G"/>
      </w:pPr>
      <w:bookmarkStart w:id="62" w:name="_Toc454388709"/>
      <w:bookmarkStart w:id="63" w:name="_Toc453672870"/>
      <w:bookmarkStart w:id="64" w:name="_Toc455364127"/>
      <w:r w:rsidRPr="00E90509">
        <w:tab/>
        <w:t>(a)</w:t>
      </w:r>
      <w:r w:rsidRPr="00E90509">
        <w:tab/>
        <w:t xml:space="preserve">Constitutional guarantees </w:t>
      </w:r>
      <w:bookmarkEnd w:id="62"/>
      <w:bookmarkEnd w:id="63"/>
      <w:bookmarkEnd w:id="64"/>
    </w:p>
    <w:p w:rsidR="00E90509" w:rsidRPr="00E90509" w:rsidRDefault="00E90509" w:rsidP="00E90509">
      <w:pPr>
        <w:pStyle w:val="SingleTxtG"/>
      </w:pPr>
      <w:r w:rsidRPr="00E90509">
        <w:t>33.</w:t>
      </w:r>
      <w:r w:rsidRPr="00E90509">
        <w:tab/>
        <w:t xml:space="preserve">The Constitution enshrines human rights in its preamble: </w:t>
      </w:r>
      <w:r w:rsidR="00FE5999">
        <w:t>“</w:t>
      </w:r>
      <w:r w:rsidRPr="00E90509">
        <w:t xml:space="preserve">The Mauritanian people, fortified by their spiritual values and the development of their civilization, solemnly proclaim their attachment to Islam and to the principles of democracy, as defined by the Universal Declaration of Human Rights of 10 December 1948 and the African Charter on </w:t>
      </w:r>
      <w:r w:rsidRPr="00E90509">
        <w:lastRenderedPageBreak/>
        <w:t>Human and Peoples</w:t>
      </w:r>
      <w:r w:rsidR="00FE5999">
        <w:t>’</w:t>
      </w:r>
      <w:r w:rsidRPr="00E90509">
        <w:t xml:space="preserve"> Rights of 28 June 1981 and by the other international conventions to which Mauritania is a party.</w:t>
      </w:r>
      <w:r w:rsidR="00FE5999">
        <w:t>”</w:t>
      </w:r>
      <w:r w:rsidRPr="00E90509">
        <w:t xml:space="preserve"> The Constitution contains provisions to protect all the rights and freedoms set forth in the aforementioned instruments.</w:t>
      </w:r>
      <w:bookmarkStart w:id="65" w:name="_Toc453672871"/>
    </w:p>
    <w:p w:rsidR="00E90509" w:rsidRPr="00E90509" w:rsidRDefault="00E90509" w:rsidP="00E90509">
      <w:pPr>
        <w:pStyle w:val="H23G"/>
      </w:pPr>
      <w:bookmarkStart w:id="66" w:name="_Toc454388710"/>
      <w:bookmarkStart w:id="67" w:name="_Toc455364128"/>
      <w:r w:rsidRPr="00E90509">
        <w:tab/>
        <w:t>(b)</w:t>
      </w:r>
      <w:r w:rsidRPr="00E90509">
        <w:tab/>
        <w:t>Incorporation of human rights treaties</w:t>
      </w:r>
      <w:bookmarkEnd w:id="65"/>
      <w:bookmarkEnd w:id="66"/>
      <w:bookmarkEnd w:id="67"/>
    </w:p>
    <w:p w:rsidR="00E90509" w:rsidRPr="00E90509" w:rsidRDefault="00E90509" w:rsidP="00E90509">
      <w:pPr>
        <w:pStyle w:val="SingleTxtG"/>
      </w:pPr>
      <w:r w:rsidRPr="00E90509">
        <w:t>34.</w:t>
      </w:r>
      <w:r w:rsidRPr="00E90509">
        <w:tab/>
        <w:t>Under the country</w:t>
      </w:r>
      <w:r w:rsidR="00FE5999">
        <w:t>’</w:t>
      </w:r>
      <w:r w:rsidRPr="00E90509">
        <w:t xml:space="preserve">s monist legal system, the human rights treaties ratified by Mauritania are incorporated into national legislation in accordance with article 80 of the Constitution. </w:t>
      </w:r>
    </w:p>
    <w:p w:rsidR="00E90509" w:rsidRPr="00E90509" w:rsidRDefault="00E90509" w:rsidP="00E90509">
      <w:pPr>
        <w:pStyle w:val="H23G"/>
      </w:pPr>
      <w:bookmarkStart w:id="68" w:name="_Toc453672872"/>
      <w:bookmarkStart w:id="69" w:name="_Toc455364129"/>
      <w:r w:rsidRPr="00E90509">
        <w:tab/>
        <w:t>(c)</w:t>
      </w:r>
      <w:r w:rsidRPr="00E90509">
        <w:tab/>
        <w:t>Competent authorities on human rights</w:t>
      </w:r>
      <w:bookmarkEnd w:id="68"/>
      <w:bookmarkEnd w:id="69"/>
    </w:p>
    <w:p w:rsidR="00E90509" w:rsidRPr="00E90509" w:rsidRDefault="00E90509" w:rsidP="00E90509">
      <w:pPr>
        <w:pStyle w:val="SingleTxtG"/>
      </w:pPr>
      <w:r w:rsidRPr="00E90509">
        <w:t>35.</w:t>
      </w:r>
      <w:r w:rsidRPr="00E90509">
        <w:tab/>
        <w:t xml:space="preserve">The principal authorities with competence in human rights matters are the Constitutional Council, the courts, the Commission on Human Rights and Humanitarian Action, the National Human Rights Commission, the relevant ministries, the Ombudsman of the Republic, the High Council for Fatwas and Administrative Appeals and the National Mechanism for the Prevention of Torture. They are competent at the national level for issues relating to their respective areas of responsibility. </w:t>
      </w:r>
    </w:p>
    <w:p w:rsidR="00E90509" w:rsidRPr="00E90509" w:rsidRDefault="00E90509" w:rsidP="00E90509">
      <w:pPr>
        <w:pStyle w:val="H23G"/>
      </w:pPr>
      <w:bookmarkStart w:id="70" w:name="_Toc454388711"/>
      <w:bookmarkStart w:id="71" w:name="_Toc455364130"/>
      <w:r w:rsidRPr="00E90509">
        <w:tab/>
        <w:t>(d)</w:t>
      </w:r>
      <w:r w:rsidRPr="00E90509">
        <w:tab/>
        <w:t>Invocation before the courts</w:t>
      </w:r>
      <w:bookmarkEnd w:id="70"/>
      <w:bookmarkEnd w:id="71"/>
    </w:p>
    <w:p w:rsidR="00E90509" w:rsidRPr="00E90509" w:rsidRDefault="00E90509" w:rsidP="00E90509">
      <w:pPr>
        <w:pStyle w:val="SingleTxtG"/>
      </w:pPr>
      <w:r w:rsidRPr="00E90509">
        <w:t>36.</w:t>
      </w:r>
      <w:r w:rsidRPr="00E90509">
        <w:tab/>
        <w:t xml:space="preserve">All the provisions of the conventions ratified by Mauritania can be invoked before the courts, and judges are required to apply them. </w:t>
      </w:r>
    </w:p>
    <w:p w:rsidR="00E90509" w:rsidRPr="00E90509" w:rsidRDefault="00E90509" w:rsidP="00E90509">
      <w:pPr>
        <w:pStyle w:val="H23G"/>
      </w:pPr>
      <w:bookmarkStart w:id="72" w:name="_Toc453672873"/>
      <w:bookmarkStart w:id="73" w:name="_Toc454388712"/>
      <w:bookmarkStart w:id="74" w:name="_Toc455364131"/>
      <w:r w:rsidRPr="00E90509">
        <w:tab/>
        <w:t>(e)</w:t>
      </w:r>
      <w:r w:rsidRPr="00E90509">
        <w:tab/>
        <w:t>Legal remedies</w:t>
      </w:r>
      <w:bookmarkEnd w:id="72"/>
      <w:bookmarkEnd w:id="73"/>
      <w:bookmarkEnd w:id="74"/>
    </w:p>
    <w:p w:rsidR="00E90509" w:rsidRPr="00E90509" w:rsidRDefault="00E90509" w:rsidP="00E90509">
      <w:pPr>
        <w:pStyle w:val="SingleTxtG"/>
      </w:pPr>
      <w:r w:rsidRPr="00E90509">
        <w:t>37.</w:t>
      </w:r>
      <w:r w:rsidRPr="00E90509">
        <w:tab/>
        <w:t>Administrative and judicial remedies are available and may result in the award of civil damages and the imposition of administrative and/or criminal penalties on the perpetrator.</w:t>
      </w:r>
    </w:p>
    <w:p w:rsidR="00E90509" w:rsidRPr="00E90509" w:rsidRDefault="00E90509" w:rsidP="00E90509">
      <w:pPr>
        <w:pStyle w:val="H23G"/>
      </w:pPr>
      <w:bookmarkStart w:id="75" w:name="_Toc453672874"/>
      <w:bookmarkStart w:id="76" w:name="_Toc454388713"/>
      <w:bookmarkStart w:id="77" w:name="_Toc455364132"/>
      <w:r w:rsidRPr="00E90509">
        <w:tab/>
        <w:t>(f)</w:t>
      </w:r>
      <w:r w:rsidRPr="00E90509">
        <w:tab/>
        <w:t xml:space="preserve">National mechanisms for the protection and promotion of human rights </w:t>
      </w:r>
      <w:bookmarkEnd w:id="75"/>
      <w:bookmarkEnd w:id="76"/>
      <w:bookmarkEnd w:id="77"/>
    </w:p>
    <w:p w:rsidR="00E90509" w:rsidRPr="00E90509" w:rsidRDefault="00E90509" w:rsidP="00E90509">
      <w:pPr>
        <w:pStyle w:val="SingleTxtG"/>
      </w:pPr>
      <w:r w:rsidRPr="00E90509">
        <w:t>38.</w:t>
      </w:r>
      <w:r w:rsidRPr="00E90509">
        <w:tab/>
        <w:t>The Commission on Human Rights and Humanitarian Action is responsible for drafting and implementing the national policy for the promotion, defence and protection of human rights.</w:t>
      </w:r>
    </w:p>
    <w:p w:rsidR="00E90509" w:rsidRPr="00E90509" w:rsidRDefault="00E90509" w:rsidP="00E90509">
      <w:pPr>
        <w:pStyle w:val="SingleTxtG"/>
        <w:rPr>
          <w:rFonts w:eastAsia="Times New Roman"/>
        </w:rPr>
      </w:pPr>
      <w:r w:rsidRPr="00E90509">
        <w:t>39.</w:t>
      </w:r>
      <w:r w:rsidRPr="00E90509">
        <w:tab/>
        <w:t>The remit of the Ministry of Social Affairs, Children and the Family includes the development of project and programme proposals aimed at the advancement of women and their involvement in the development process, and the promotion and protection of the rights of children, persons with disabilities and older persons.</w:t>
      </w:r>
    </w:p>
    <w:p w:rsidR="00E90509" w:rsidRPr="00E90509" w:rsidRDefault="00E90509" w:rsidP="00E90509">
      <w:pPr>
        <w:pStyle w:val="SingleTxtG"/>
        <w:rPr>
          <w:rFonts w:eastAsia="Times New Roman"/>
        </w:rPr>
      </w:pPr>
      <w:r w:rsidRPr="00E90509">
        <w:t>40.</w:t>
      </w:r>
      <w:r w:rsidRPr="00E90509">
        <w:tab/>
        <w:t xml:space="preserve">The remit of the National Human Rights Commission, which is an independent body, includes issuing, at the request of the Government or on its own initiative, advisory opinions on general and specific questions concerning the promotion and protection of human rights and respect for individual and collective freedoms. </w:t>
      </w:r>
    </w:p>
    <w:p w:rsidR="00E90509" w:rsidRPr="00E90509" w:rsidRDefault="00E90509" w:rsidP="00E90509">
      <w:pPr>
        <w:pStyle w:val="SingleTxtG"/>
        <w:rPr>
          <w:rFonts w:eastAsia="Times New Roman"/>
        </w:rPr>
      </w:pPr>
      <w:r w:rsidRPr="00E90509">
        <w:t>41.</w:t>
      </w:r>
      <w:r w:rsidRPr="00E90509">
        <w:tab/>
        <w:t xml:space="preserve">The Commission, awarded </w:t>
      </w:r>
      <w:r w:rsidR="00FE5999">
        <w:t>“</w:t>
      </w:r>
      <w:r w:rsidRPr="00E90509">
        <w:t>A</w:t>
      </w:r>
      <w:r w:rsidR="00FE5999">
        <w:t>”</w:t>
      </w:r>
      <w:r w:rsidRPr="00E90509">
        <w:t xml:space="preserve"> status by the International Coordinating Committee of National Institutions for the Promotion and Protection of Human Rights in May 2011, was made a constitutional institution in 2012.</w:t>
      </w:r>
    </w:p>
    <w:p w:rsidR="00E90509" w:rsidRPr="00E90509" w:rsidRDefault="00E90509" w:rsidP="00E90509">
      <w:pPr>
        <w:pStyle w:val="SingleTxtG"/>
      </w:pPr>
      <w:r w:rsidRPr="00E90509">
        <w:t>42.</w:t>
      </w:r>
      <w:r w:rsidRPr="00E90509">
        <w:tab/>
        <w:t>The majority of the Commission</w:t>
      </w:r>
      <w:r w:rsidR="00FE5999">
        <w:t>’</w:t>
      </w:r>
      <w:r w:rsidRPr="00E90509">
        <w:t>s members are representatives of civil society organizations and professional bodies, who have the right to vote; it also includes representatives of the different authorities concerned, who are non-voting members. The Commission is funded from the State budget, where it has been given a separate budget line.</w:t>
      </w:r>
    </w:p>
    <w:p w:rsidR="00E90509" w:rsidRPr="00E90509" w:rsidRDefault="00E90509" w:rsidP="00E90509">
      <w:pPr>
        <w:pStyle w:val="SingleTxtG"/>
        <w:rPr>
          <w:rFonts w:eastAsia="Times New Roman"/>
        </w:rPr>
      </w:pPr>
      <w:r w:rsidRPr="00E90509">
        <w:t>43.</w:t>
      </w:r>
      <w:r w:rsidRPr="00E90509">
        <w:tab/>
        <w:t>The authorities and human rights organizations disseminate the texts of the various treaties and conventions to which Mauritania is a party via the press, through workshops and in promotional materials, and ensure that these instruments are accessible by explaining their content in the different national languages as necessary.</w:t>
      </w:r>
    </w:p>
    <w:p w:rsidR="00E90509" w:rsidRPr="00E90509" w:rsidRDefault="00E90509" w:rsidP="00E90509">
      <w:pPr>
        <w:pStyle w:val="SingleTxtG"/>
        <w:rPr>
          <w:rFonts w:eastAsia="Times New Roman"/>
        </w:rPr>
      </w:pPr>
      <w:r w:rsidRPr="00E90509">
        <w:t>44.</w:t>
      </w:r>
      <w:r w:rsidRPr="00E90509">
        <w:tab/>
        <w:t>The parliament makes laws and ensures that national legislation is in conformity with the provisions of duly ratified international instruments. The parliamentary group on human rights ensures the promotion and dissemination of human rights principles and the protection of those rights.</w:t>
      </w:r>
    </w:p>
    <w:p w:rsidR="00E90509" w:rsidRPr="00E90509" w:rsidRDefault="00E90509" w:rsidP="00E90509">
      <w:pPr>
        <w:pStyle w:val="SingleTxtG"/>
        <w:rPr>
          <w:rFonts w:eastAsia="Times New Roman"/>
        </w:rPr>
      </w:pPr>
      <w:r w:rsidRPr="00E90509">
        <w:lastRenderedPageBreak/>
        <w:t>45.</w:t>
      </w:r>
      <w:r w:rsidRPr="00E90509">
        <w:tab/>
        <w:t>The National Mechanism for the Prevention of Torture ensures compliance with the relevant legislation in force.</w:t>
      </w:r>
    </w:p>
    <w:p w:rsidR="00E90509" w:rsidRPr="00E90509" w:rsidRDefault="00E90509" w:rsidP="00E90509">
      <w:pPr>
        <w:pStyle w:val="SingleTxtG"/>
        <w:rPr>
          <w:rFonts w:eastAsia="Times New Roman"/>
        </w:rPr>
      </w:pPr>
      <w:r w:rsidRPr="00E90509">
        <w:t>46.</w:t>
      </w:r>
      <w:r w:rsidRPr="00E90509">
        <w:tab/>
        <w:t>The High Council for Fatwas and Administrative Appeals ensures compliance within in its own area of competence.</w:t>
      </w:r>
    </w:p>
    <w:p w:rsidR="00E90509" w:rsidRPr="00E90509" w:rsidRDefault="00E90509" w:rsidP="00E90509">
      <w:pPr>
        <w:pStyle w:val="SingleTxtG"/>
      </w:pPr>
      <w:r w:rsidRPr="00E90509">
        <w:t>47.</w:t>
      </w:r>
      <w:r w:rsidRPr="00E90509">
        <w:tab/>
        <w:t>Associations are regulated by Act No. 64.098 of 9 June 1964, as amended by Act No. 73.007 of 23 June 1973 and Act No. 73.157 of 2 July 1973. More than 6,028 national and 57 international non-governmental organizations (NGOs) operate in the country. The number of associations has increased markedly since 2008, when there were only 1,106. Associations are active in fields including human rights, social issues, development, health, the environment, culture, sports and the arts and may, upon request, be granted tax exemptions for the equipment and materials they require to carry out their activities. This exemption is automatic for recognized public-interest associations.</w:t>
      </w:r>
    </w:p>
    <w:p w:rsidR="00E90509" w:rsidRPr="00E90509" w:rsidRDefault="00E90509" w:rsidP="00E90509">
      <w:pPr>
        <w:pStyle w:val="H23G"/>
      </w:pPr>
      <w:bookmarkStart w:id="78" w:name="_Toc453672875"/>
      <w:bookmarkStart w:id="79" w:name="_Toc454388714"/>
      <w:bookmarkStart w:id="80" w:name="_Toc455364133"/>
      <w:r w:rsidRPr="00E90509">
        <w:tab/>
        <w:t>(g)</w:t>
      </w:r>
      <w:r w:rsidRPr="00E90509">
        <w:tab/>
        <w:t xml:space="preserve">Recognition of the jurisdiction of a regional human rights court or other such mechanism </w:t>
      </w:r>
      <w:bookmarkEnd w:id="78"/>
      <w:bookmarkEnd w:id="79"/>
      <w:bookmarkEnd w:id="80"/>
    </w:p>
    <w:p w:rsidR="00E90509" w:rsidRPr="00E90509" w:rsidRDefault="00E90509" w:rsidP="00E90509">
      <w:pPr>
        <w:pStyle w:val="SingleTxtG"/>
      </w:pPr>
      <w:r w:rsidRPr="00E90509">
        <w:t>48.</w:t>
      </w:r>
      <w:r w:rsidRPr="00E90509">
        <w:tab/>
        <w:t>Mauritania recognizes the jurisdiction of the African Court on Human and Peoples</w:t>
      </w:r>
      <w:r w:rsidR="00FE5999">
        <w:t>’</w:t>
      </w:r>
      <w:r w:rsidRPr="00E90509">
        <w:t xml:space="preserve"> Rights. </w:t>
      </w:r>
      <w:bookmarkStart w:id="81" w:name="_Toc453672876"/>
    </w:p>
    <w:p w:rsidR="00E90509" w:rsidRPr="00E90509" w:rsidRDefault="00E90509" w:rsidP="00E90509">
      <w:pPr>
        <w:pStyle w:val="H23G"/>
      </w:pPr>
      <w:bookmarkStart w:id="82" w:name="_Toc455364134"/>
      <w:r w:rsidRPr="00E90509">
        <w:tab/>
        <w:t>(h)</w:t>
      </w:r>
      <w:r w:rsidRPr="00E90509">
        <w:tab/>
        <w:t>Dissemination of human rights instruments</w:t>
      </w:r>
      <w:bookmarkEnd w:id="81"/>
      <w:bookmarkEnd w:id="82"/>
    </w:p>
    <w:p w:rsidR="00E90509" w:rsidRPr="00E90509" w:rsidRDefault="00E90509" w:rsidP="00E90509">
      <w:pPr>
        <w:pStyle w:val="SingleTxtG"/>
      </w:pPr>
      <w:r w:rsidRPr="00E90509">
        <w:t>49.</w:t>
      </w:r>
      <w:r w:rsidRPr="00E90509">
        <w:tab/>
        <w:t>Several conventions have been the subject of information and awareness-raising campaigns, including the following.</w:t>
      </w:r>
    </w:p>
    <w:p w:rsidR="00E90509" w:rsidRPr="00E90509" w:rsidRDefault="00E90509" w:rsidP="00E90509">
      <w:pPr>
        <w:pStyle w:val="SingleTxtG"/>
      </w:pPr>
      <w:bookmarkStart w:id="83" w:name="_Toc454388715"/>
      <w:r w:rsidRPr="00E90509">
        <w:t>50.</w:t>
      </w:r>
      <w:r w:rsidRPr="00E90509">
        <w:tab/>
        <w:t>Convention on the Elimination of All Forms of Discrimination against Women. Dissemination of the Convention was achieved through:</w:t>
      </w:r>
      <w:bookmarkEnd w:id="83"/>
    </w:p>
    <w:p w:rsidR="00E90509" w:rsidRPr="00E90509" w:rsidRDefault="00E90509" w:rsidP="00E90509">
      <w:pPr>
        <w:pStyle w:val="Bullet1G"/>
      </w:pPr>
      <w:r w:rsidRPr="00E90509">
        <w:t>Translation into the four national languages.</w:t>
      </w:r>
    </w:p>
    <w:p w:rsidR="00E90509" w:rsidRPr="00E90509" w:rsidRDefault="00E90509" w:rsidP="00E90509">
      <w:pPr>
        <w:pStyle w:val="Bullet1G"/>
      </w:pPr>
      <w:r w:rsidRPr="00E90509">
        <w:t>Publication of a simple guide to the Convention and the organization of large-scale awareness-raising campaigns in the media (radio and television).</w:t>
      </w:r>
    </w:p>
    <w:p w:rsidR="00E90509" w:rsidRPr="00E90509" w:rsidRDefault="00E90509" w:rsidP="00E90509">
      <w:pPr>
        <w:pStyle w:val="Bullet1G"/>
      </w:pPr>
      <w:r w:rsidRPr="00E90509">
        <w:t>Community-based campaigns carried out by NGOs.</w:t>
      </w:r>
    </w:p>
    <w:p w:rsidR="00E90509" w:rsidRPr="00E90509" w:rsidRDefault="00E90509" w:rsidP="00E90509">
      <w:pPr>
        <w:pStyle w:val="Bullet1G"/>
      </w:pPr>
      <w:r w:rsidRPr="00E90509">
        <w:t>Implementation of other programmes, supervised by the communications unit of the Ministry of Social Affairs, Children and the Family through its regional offices.</w:t>
      </w:r>
    </w:p>
    <w:p w:rsidR="00E90509" w:rsidRPr="00E90509" w:rsidRDefault="00E90509" w:rsidP="00E90509">
      <w:pPr>
        <w:pStyle w:val="SingleTxtG"/>
      </w:pPr>
      <w:bookmarkStart w:id="84" w:name="_Toc454388716"/>
      <w:r w:rsidRPr="00E90509">
        <w:t>51.</w:t>
      </w:r>
      <w:r w:rsidRPr="00E90509">
        <w:tab/>
        <w:t>Convention on the Rights of the Child. Measures to disseminate the Convention have included:</w:t>
      </w:r>
      <w:bookmarkEnd w:id="84"/>
    </w:p>
    <w:p w:rsidR="00E90509" w:rsidRPr="00E90509" w:rsidRDefault="00E90509" w:rsidP="00E90509">
      <w:pPr>
        <w:pStyle w:val="Bullet1G"/>
      </w:pPr>
      <w:r w:rsidRPr="00E90509">
        <w:t>Preparation and dissemination of a simplified guide to the Convention.</w:t>
      </w:r>
    </w:p>
    <w:p w:rsidR="00E90509" w:rsidRPr="00E90509" w:rsidRDefault="00E90509" w:rsidP="00E90509">
      <w:pPr>
        <w:pStyle w:val="Bullet1G"/>
      </w:pPr>
      <w:r w:rsidRPr="00E90509">
        <w:t>Establishment of regional networks to promote the rights of the child, consisting mainly of departmental children</w:t>
      </w:r>
      <w:r w:rsidR="00FE5999">
        <w:t>’</w:t>
      </w:r>
      <w:r w:rsidRPr="00E90509">
        <w:t>s rights units.</w:t>
      </w:r>
    </w:p>
    <w:p w:rsidR="00E90509" w:rsidRPr="00E90509" w:rsidRDefault="00E90509" w:rsidP="00E90509">
      <w:pPr>
        <w:pStyle w:val="Bullet1G"/>
      </w:pPr>
      <w:r w:rsidRPr="00E90509">
        <w:t>Organization of annual awareness-raising campaigns on the rights of the child to mark the various Days of the Child.</w:t>
      </w:r>
    </w:p>
    <w:p w:rsidR="00E90509" w:rsidRPr="00E90509" w:rsidRDefault="00E90509" w:rsidP="00E90509">
      <w:pPr>
        <w:pStyle w:val="Bullet1G"/>
      </w:pPr>
      <w:r w:rsidRPr="00E90509">
        <w:t>Provision of training on children</w:t>
      </w:r>
      <w:r w:rsidR="00FE5999">
        <w:t>’</w:t>
      </w:r>
      <w:r w:rsidRPr="00E90509">
        <w:t>s rights for civil society stakeholders.</w:t>
      </w:r>
    </w:p>
    <w:p w:rsidR="00E90509" w:rsidRPr="00E90509" w:rsidRDefault="00E90509" w:rsidP="00E90509">
      <w:pPr>
        <w:pStyle w:val="SingleTxtG"/>
      </w:pPr>
      <w:bookmarkStart w:id="85" w:name="_Toc454388717"/>
      <w:r w:rsidRPr="00E90509">
        <w:t>52.</w:t>
      </w:r>
      <w:r w:rsidRPr="00E90509">
        <w:tab/>
        <w:t>Convention on the Rights of Persons with Disabilities</w:t>
      </w:r>
      <w:bookmarkEnd w:id="85"/>
      <w:r w:rsidRPr="00E90509">
        <w:t>.</w:t>
      </w:r>
      <w:r w:rsidR="00FE5999">
        <w:t xml:space="preserve"> </w:t>
      </w:r>
      <w:r w:rsidRPr="00E90509">
        <w:t>The Convention has been disseminated by way of the following actions:</w:t>
      </w:r>
    </w:p>
    <w:p w:rsidR="00E90509" w:rsidRPr="00E90509" w:rsidRDefault="00E90509" w:rsidP="00E90509">
      <w:pPr>
        <w:pStyle w:val="Bullet1G"/>
      </w:pPr>
      <w:r w:rsidRPr="00E90509">
        <w:t xml:space="preserve">Campaigns in all </w:t>
      </w:r>
      <w:r w:rsidRPr="00FE5999">
        <w:rPr>
          <w:i/>
          <w:iCs/>
        </w:rPr>
        <w:t>wilayas</w:t>
      </w:r>
      <w:r w:rsidRPr="00E90509">
        <w:t xml:space="preserve"> throughout the country.</w:t>
      </w:r>
    </w:p>
    <w:p w:rsidR="00E90509" w:rsidRPr="00E90509" w:rsidRDefault="00E90509" w:rsidP="00E90509">
      <w:pPr>
        <w:pStyle w:val="Bullet1G"/>
      </w:pPr>
      <w:r w:rsidRPr="00E90509">
        <w:t>Preparation of a simplified guide to the provisions of the Convention.</w:t>
      </w:r>
    </w:p>
    <w:p w:rsidR="00E90509" w:rsidRPr="00E90509" w:rsidRDefault="00E90509" w:rsidP="00E90509">
      <w:pPr>
        <w:pStyle w:val="Bullet1G"/>
      </w:pPr>
      <w:r w:rsidRPr="00E90509">
        <w:t>Provision of training for several organizations of persons with disabilities.</w:t>
      </w:r>
    </w:p>
    <w:p w:rsidR="00E90509" w:rsidRPr="00E90509" w:rsidRDefault="00E90509" w:rsidP="00E90509">
      <w:pPr>
        <w:pStyle w:val="SingleTxtG"/>
      </w:pPr>
      <w:bookmarkStart w:id="86" w:name="_Toc454388718"/>
      <w:r w:rsidRPr="00E90509">
        <w:t>53.</w:t>
      </w:r>
      <w:r w:rsidRPr="00E90509">
        <w:tab/>
        <w:t>Convention against Torture and Other Cruel, Inhuman or Degrading Treatment or Punishment. A number of activities have been organized to raise awareness of the Convention, including the following:</w:t>
      </w:r>
      <w:bookmarkEnd w:id="86"/>
    </w:p>
    <w:p w:rsidR="00E90509" w:rsidRPr="00E90509" w:rsidRDefault="00E90509" w:rsidP="00E90509">
      <w:pPr>
        <w:pStyle w:val="Bullet1G"/>
      </w:pPr>
      <w:r w:rsidRPr="00E90509">
        <w:t>Awareness-raising and training seminars for law enforcement officers on the subject of prohibition of torture and other cruel, inhuman or degrading treatment or punishment.</w:t>
      </w:r>
    </w:p>
    <w:p w:rsidR="00E90509" w:rsidRPr="00E90509" w:rsidRDefault="00E90509" w:rsidP="00E90509">
      <w:pPr>
        <w:pStyle w:val="Bullet1G"/>
      </w:pPr>
      <w:r w:rsidRPr="00E90509">
        <w:lastRenderedPageBreak/>
        <w:t>Workshops for judges and criminal investigation officers on police custody and torture prevention.</w:t>
      </w:r>
    </w:p>
    <w:p w:rsidR="00E90509" w:rsidRPr="00E90509" w:rsidRDefault="00E90509" w:rsidP="00E90509">
      <w:pPr>
        <w:pStyle w:val="SingleTxtG"/>
      </w:pPr>
      <w:r w:rsidRPr="00E90509">
        <w:t>54.</w:t>
      </w:r>
      <w:r w:rsidRPr="00E90509">
        <w:tab/>
        <w:t>The administrative and judicial authorities have a duty to systematically undertake investigations as soon as an allegation of torture is made.</w:t>
      </w:r>
    </w:p>
    <w:p w:rsidR="00E90509" w:rsidRPr="00E90509" w:rsidRDefault="00E90509" w:rsidP="00E90509">
      <w:pPr>
        <w:pStyle w:val="SingleTxtG"/>
      </w:pPr>
      <w:r w:rsidRPr="00E90509">
        <w:t>55.</w:t>
      </w:r>
      <w:r w:rsidRPr="00E90509">
        <w:tab/>
        <w:t xml:space="preserve">The penalties imposed in cases of torture are stipulated in Act No. 2015.033 of 10 September 2015 on the prohibition of torture. </w:t>
      </w:r>
    </w:p>
    <w:p w:rsidR="00E90509" w:rsidRPr="00E90509" w:rsidRDefault="00E90509" w:rsidP="00E90509">
      <w:pPr>
        <w:pStyle w:val="SingleTxtG"/>
      </w:pPr>
      <w:r w:rsidRPr="00E90509">
        <w:t>56.</w:t>
      </w:r>
      <w:r w:rsidRPr="00E90509">
        <w:tab/>
        <w:t xml:space="preserve">All the international instruments ratified by Mauritania that are subject to monitoring by the human rights treaty bodies have been published in the Official Gazette. </w:t>
      </w:r>
    </w:p>
    <w:p w:rsidR="00E90509" w:rsidRPr="00E90509" w:rsidRDefault="00E90509" w:rsidP="00E90509">
      <w:pPr>
        <w:pStyle w:val="H23G"/>
      </w:pPr>
      <w:bookmarkStart w:id="87" w:name="_Toc453672877"/>
      <w:bookmarkStart w:id="88" w:name="_Toc454388719"/>
      <w:bookmarkStart w:id="89" w:name="_Toc455364135"/>
      <w:r w:rsidRPr="00E90509">
        <w:tab/>
        <w:t>(i)</w:t>
      </w:r>
      <w:r w:rsidRPr="00E90509">
        <w:tab/>
        <w:t xml:space="preserve">Raising human rights awareness among public officials and other professionals </w:t>
      </w:r>
      <w:bookmarkEnd w:id="87"/>
      <w:bookmarkEnd w:id="88"/>
      <w:bookmarkEnd w:id="89"/>
    </w:p>
    <w:p w:rsidR="00E90509" w:rsidRPr="00E90509" w:rsidRDefault="00E90509" w:rsidP="00E90509">
      <w:pPr>
        <w:pStyle w:val="SingleTxtG"/>
      </w:pPr>
      <w:r w:rsidRPr="00E90509">
        <w:t>57.</w:t>
      </w:r>
      <w:r w:rsidRPr="00E90509">
        <w:tab/>
        <w:t>Plans of action to raise awareness and train officials on respect for human rights have been implemented. Seminars have been organized for law enforcement officers by the Ministry of Justice, the Commission on Human Rights and Humanitarian Action and the National Human Rights Commission, with technical support from the country office of the Office of the United Nations High Commissioner for Human Rights (OHCHR) and the Association for the Prevention of Torture (APT).</w:t>
      </w:r>
    </w:p>
    <w:p w:rsidR="00E90509" w:rsidRPr="00E90509" w:rsidRDefault="00E90509" w:rsidP="00E90509">
      <w:pPr>
        <w:pStyle w:val="H23G"/>
      </w:pPr>
      <w:bookmarkStart w:id="90" w:name="_Toc455364136"/>
      <w:r w:rsidRPr="00E90509">
        <w:tab/>
        <w:t>(j)</w:t>
      </w:r>
      <w:r w:rsidRPr="00E90509">
        <w:tab/>
        <w:t>Raising awareness through educational programmes and disseminating information through Hygiene, Health and Environment Clubs</w:t>
      </w:r>
      <w:bookmarkEnd w:id="90"/>
    </w:p>
    <w:p w:rsidR="00E90509" w:rsidRPr="00E90509" w:rsidRDefault="00E90509" w:rsidP="00E90509">
      <w:pPr>
        <w:pStyle w:val="SingleTxtG"/>
        <w:rPr>
          <w:rFonts w:eastAsia="Times New Roman"/>
        </w:rPr>
      </w:pPr>
      <w:r w:rsidRPr="00E90509">
        <w:t>58.</w:t>
      </w:r>
      <w:r w:rsidRPr="00E90509">
        <w:tab/>
        <w:t>Initial training programmes at primary and secondary teacher training colleges.</w:t>
      </w:r>
    </w:p>
    <w:p w:rsidR="00E90509" w:rsidRPr="00E90509" w:rsidRDefault="00E90509" w:rsidP="00E90509">
      <w:pPr>
        <w:pStyle w:val="SingleTxtG"/>
      </w:pPr>
      <w:r w:rsidRPr="00E90509">
        <w:t>59.</w:t>
      </w:r>
      <w:r w:rsidRPr="00E90509">
        <w:tab/>
        <w:t>In-service training programmes including awareness-raising campaigns and ad hoc courses.</w:t>
      </w:r>
    </w:p>
    <w:p w:rsidR="00E90509" w:rsidRPr="00E90509" w:rsidRDefault="00E90509" w:rsidP="00E90509">
      <w:pPr>
        <w:pStyle w:val="H23G"/>
      </w:pPr>
      <w:bookmarkStart w:id="91" w:name="_Toc454388720"/>
      <w:bookmarkStart w:id="92" w:name="_Toc455360517"/>
      <w:bookmarkStart w:id="93" w:name="_Toc455364137"/>
      <w:bookmarkStart w:id="94" w:name="_Toc453672879"/>
      <w:r w:rsidRPr="00E90509">
        <w:tab/>
        <w:t>(k)</w:t>
      </w:r>
      <w:r w:rsidRPr="00E90509">
        <w:tab/>
        <w:t xml:space="preserve">Promotion of human rights awareness through the mass media </w:t>
      </w:r>
      <w:bookmarkEnd w:id="91"/>
      <w:bookmarkEnd w:id="92"/>
      <w:bookmarkEnd w:id="93"/>
      <w:bookmarkEnd w:id="94"/>
    </w:p>
    <w:p w:rsidR="00E90509" w:rsidRPr="00E90509" w:rsidRDefault="00E90509" w:rsidP="00E90509">
      <w:pPr>
        <w:pStyle w:val="SingleTxtG"/>
      </w:pPr>
      <w:r w:rsidRPr="00E90509">
        <w:t>60.</w:t>
      </w:r>
      <w:r w:rsidRPr="00E90509">
        <w:tab/>
        <w:t>State and private media are asked to provide national coverage of activities to promote and protect human rights. Radio and television programmes on topics relating to human rights are broadcast periodically.</w:t>
      </w:r>
      <w:bookmarkStart w:id="95" w:name="_Toc453672880"/>
    </w:p>
    <w:p w:rsidR="00E90509" w:rsidRPr="00E90509" w:rsidRDefault="00E90509" w:rsidP="00E90509">
      <w:pPr>
        <w:pStyle w:val="H23G"/>
      </w:pPr>
      <w:bookmarkStart w:id="96" w:name="_Toc455364138"/>
      <w:r w:rsidRPr="00E90509">
        <w:tab/>
        <w:t>(l)</w:t>
      </w:r>
      <w:r w:rsidRPr="00E90509">
        <w:tab/>
        <w:t>Role of civil society</w:t>
      </w:r>
      <w:bookmarkEnd w:id="95"/>
      <w:bookmarkEnd w:id="96"/>
    </w:p>
    <w:p w:rsidR="00E90509" w:rsidRPr="00E90509" w:rsidRDefault="00E90509" w:rsidP="00E90509">
      <w:pPr>
        <w:pStyle w:val="SingleTxtG"/>
      </w:pPr>
      <w:r w:rsidRPr="00E90509">
        <w:t>61.</w:t>
      </w:r>
      <w:r w:rsidRPr="00E90509">
        <w:tab/>
        <w:t xml:space="preserve">Civil society works with the authorities on human rights awareness-raising programmes for the general public. </w:t>
      </w:r>
      <w:bookmarkStart w:id="97" w:name="_Toc453672881"/>
    </w:p>
    <w:p w:rsidR="00E90509" w:rsidRPr="00E90509" w:rsidRDefault="00E90509" w:rsidP="00E90509">
      <w:pPr>
        <w:pStyle w:val="H23G"/>
      </w:pPr>
      <w:bookmarkStart w:id="98" w:name="_Toc454388721"/>
      <w:bookmarkStart w:id="99" w:name="_Toc455360518"/>
      <w:bookmarkStart w:id="100" w:name="_Toc455364139"/>
      <w:r w:rsidRPr="00E90509">
        <w:tab/>
        <w:t>(m)</w:t>
      </w:r>
      <w:r w:rsidRPr="00E90509">
        <w:tab/>
        <w:t>Budget allocations and trends</w:t>
      </w:r>
      <w:bookmarkEnd w:id="97"/>
      <w:bookmarkEnd w:id="98"/>
      <w:bookmarkEnd w:id="99"/>
      <w:bookmarkEnd w:id="100"/>
    </w:p>
    <w:p w:rsidR="00E90509" w:rsidRPr="00E90509" w:rsidRDefault="00E90509" w:rsidP="00E90509">
      <w:pPr>
        <w:pStyle w:val="SingleTxtG"/>
      </w:pPr>
      <w:r w:rsidRPr="00E90509">
        <w:t>62.</w:t>
      </w:r>
      <w:r w:rsidRPr="00E90509">
        <w:tab/>
        <w:t>Budget allocations are made annually to ministerial departments, institutions and other structures, establishments and NGOs working in the field of human rights.</w:t>
      </w:r>
    </w:p>
    <w:p w:rsidR="00E90509" w:rsidRPr="00E90509" w:rsidRDefault="00E90509" w:rsidP="00E90509">
      <w:pPr>
        <w:pStyle w:val="H23G"/>
      </w:pPr>
      <w:bookmarkStart w:id="101" w:name="_Toc453672882"/>
      <w:bookmarkStart w:id="102" w:name="_Toc455364140"/>
      <w:r w:rsidRPr="00E90509">
        <w:tab/>
        <w:t>(n)</w:t>
      </w:r>
      <w:r w:rsidRPr="00E90509">
        <w:tab/>
        <w:t xml:space="preserve">Development cooperation and assistance </w:t>
      </w:r>
      <w:bookmarkEnd w:id="101"/>
      <w:bookmarkEnd w:id="102"/>
    </w:p>
    <w:p w:rsidR="00E90509" w:rsidRPr="00E90509" w:rsidRDefault="00E90509" w:rsidP="00E90509">
      <w:pPr>
        <w:pStyle w:val="SingleTxtG"/>
      </w:pPr>
      <w:r w:rsidRPr="00E90509">
        <w:t>63.</w:t>
      </w:r>
      <w:r w:rsidRPr="00E90509">
        <w:tab/>
        <w:t>Partners including OHCHR, the United Nations Development Programme (UNDP), the United Nations Children</w:t>
      </w:r>
      <w:r w:rsidR="00FE5999">
        <w:t>’</w:t>
      </w:r>
      <w:r w:rsidRPr="00E90509">
        <w:t>s Fund (UNICEF) and the United Nations Population Fund (UNFPA) provide technical assistance in the area of promotion and protection of human rights.</w:t>
      </w:r>
      <w:bookmarkStart w:id="103" w:name="_Toc453672883"/>
    </w:p>
    <w:p w:rsidR="00E90509" w:rsidRPr="00E90509" w:rsidRDefault="00E90509" w:rsidP="00E90509">
      <w:pPr>
        <w:pStyle w:val="H1G"/>
      </w:pPr>
      <w:bookmarkStart w:id="104" w:name="_Toc454388722"/>
      <w:bookmarkStart w:id="105" w:name="_Toc455360519"/>
      <w:bookmarkStart w:id="106" w:name="_Toc455364141"/>
      <w:r w:rsidRPr="00E90509">
        <w:tab/>
      </w:r>
      <w:bookmarkStart w:id="107" w:name="_Toc479237761"/>
      <w:r w:rsidRPr="00E90509">
        <w:t>D.</w:t>
      </w:r>
      <w:r w:rsidRPr="00E90509">
        <w:tab/>
        <w:t>Obstacles to the fulfilment of international human rights obligations</w:t>
      </w:r>
      <w:bookmarkEnd w:id="103"/>
      <w:bookmarkEnd w:id="104"/>
      <w:bookmarkEnd w:id="105"/>
      <w:bookmarkEnd w:id="106"/>
      <w:bookmarkEnd w:id="107"/>
    </w:p>
    <w:p w:rsidR="00E90509" w:rsidRPr="00E90509" w:rsidRDefault="00E90509" w:rsidP="00E90509">
      <w:pPr>
        <w:pStyle w:val="SingleTxtG"/>
        <w:rPr>
          <w:rFonts w:eastAsia="Times New Roman"/>
        </w:rPr>
      </w:pPr>
      <w:r w:rsidRPr="00E90509">
        <w:t>64.</w:t>
      </w:r>
      <w:r w:rsidRPr="00E90509">
        <w:tab/>
        <w:t>The following are the main obstacles still preventing the country from achieving full enjoyment of human rights.</w:t>
      </w:r>
    </w:p>
    <w:p w:rsidR="00E90509" w:rsidRPr="00E90509" w:rsidRDefault="00E90509" w:rsidP="00E90509">
      <w:pPr>
        <w:pStyle w:val="SingleTxtG"/>
        <w:rPr>
          <w:rFonts w:eastAsia="Times New Roman"/>
        </w:rPr>
      </w:pPr>
      <w:r w:rsidRPr="00E90509">
        <w:t>65.</w:t>
      </w:r>
      <w:r w:rsidRPr="00E90509">
        <w:tab/>
        <w:t>Inadequate human and financial resources in the institutions and organizations responsible for defending human rights.</w:t>
      </w:r>
    </w:p>
    <w:p w:rsidR="00E90509" w:rsidRPr="00E90509" w:rsidRDefault="00E90509" w:rsidP="00E90509">
      <w:pPr>
        <w:pStyle w:val="SingleTxtG"/>
      </w:pPr>
      <w:r w:rsidRPr="00E90509">
        <w:t>66.</w:t>
      </w:r>
      <w:r w:rsidRPr="00E90509">
        <w:tab/>
        <w:t>Lack</w:t>
      </w:r>
      <w:r w:rsidR="00A7152F">
        <w:t xml:space="preserve"> </w:t>
      </w:r>
      <w:r w:rsidRPr="00E90509">
        <w:t>of specialist knowledge among human rights actors.</w:t>
      </w:r>
    </w:p>
    <w:p w:rsidR="00E90509" w:rsidRPr="00E90509" w:rsidRDefault="00E90509" w:rsidP="00E90509">
      <w:pPr>
        <w:pStyle w:val="H1G"/>
      </w:pPr>
      <w:bookmarkStart w:id="108" w:name="_Toc454388723"/>
      <w:bookmarkStart w:id="109" w:name="_Toc454386659"/>
      <w:bookmarkStart w:id="110" w:name="_Toc454386590"/>
      <w:bookmarkStart w:id="111" w:name="_Toc453672884"/>
      <w:bookmarkStart w:id="112" w:name="_Toc455360520"/>
      <w:bookmarkStart w:id="113" w:name="_Toc455364142"/>
      <w:r w:rsidRPr="00E90509">
        <w:lastRenderedPageBreak/>
        <w:tab/>
      </w:r>
      <w:bookmarkStart w:id="114" w:name="_Toc479237762"/>
      <w:r w:rsidRPr="00E90509">
        <w:t>E.</w:t>
      </w:r>
      <w:r w:rsidRPr="00E90509">
        <w:tab/>
        <w:t>Reporting process</w:t>
      </w:r>
      <w:bookmarkEnd w:id="108"/>
      <w:bookmarkEnd w:id="109"/>
      <w:bookmarkEnd w:id="110"/>
      <w:bookmarkEnd w:id="111"/>
      <w:bookmarkEnd w:id="112"/>
      <w:bookmarkEnd w:id="113"/>
      <w:bookmarkEnd w:id="114"/>
    </w:p>
    <w:p w:rsidR="00E90509" w:rsidRPr="00E90509" w:rsidRDefault="00E90509" w:rsidP="00E90509">
      <w:pPr>
        <w:pStyle w:val="H23G"/>
        <w:rPr>
          <w:rtl/>
        </w:rPr>
      </w:pPr>
      <w:bookmarkStart w:id="115" w:name="_Toc454388724"/>
      <w:bookmarkStart w:id="116" w:name="_Toc454386660"/>
      <w:bookmarkStart w:id="117" w:name="_Toc454386591"/>
      <w:bookmarkStart w:id="118" w:name="_Toc455360521"/>
      <w:bookmarkStart w:id="119" w:name="_Toc455364143"/>
      <w:bookmarkStart w:id="120" w:name="_Toc453672885"/>
      <w:r w:rsidRPr="00E90509">
        <w:tab/>
        <w:t>1.</w:t>
      </w:r>
      <w:r w:rsidRPr="00E90509">
        <w:tab/>
        <w:t xml:space="preserve">Interministerial technical committee responsible for preparing State reports relating to international legal instruments in the field of human rights </w:t>
      </w:r>
      <w:bookmarkEnd w:id="115"/>
      <w:bookmarkEnd w:id="116"/>
      <w:bookmarkEnd w:id="117"/>
      <w:bookmarkEnd w:id="118"/>
      <w:bookmarkEnd w:id="119"/>
      <w:bookmarkEnd w:id="120"/>
    </w:p>
    <w:p w:rsidR="00E90509" w:rsidRPr="00E90509" w:rsidRDefault="00E90509" w:rsidP="00E90509">
      <w:pPr>
        <w:pStyle w:val="SingleTxtG"/>
      </w:pPr>
      <w:r w:rsidRPr="00E90509">
        <w:t>67.</w:t>
      </w:r>
      <w:r w:rsidRPr="00E90509">
        <w:tab/>
        <w:t>The Government has set up an interministerial technical committee to draft reports and monitor the implementation of the recommendations made by the treaty bodies and during the country</w:t>
      </w:r>
      <w:r w:rsidR="00FE5999">
        <w:t>’</w:t>
      </w:r>
      <w:r w:rsidRPr="00E90509">
        <w:t xml:space="preserve">s universal periodic review. The committee comprises representatives of all ministerial departments, the National Human Rights Commission and the Office of the Ombudsman. The OHCHR office in Mauritania has observer status. </w:t>
      </w:r>
    </w:p>
    <w:p w:rsidR="00E90509" w:rsidRPr="00E90509" w:rsidRDefault="00E90509" w:rsidP="00E90509">
      <w:pPr>
        <w:pStyle w:val="H23G"/>
      </w:pPr>
      <w:bookmarkStart w:id="121" w:name="_Toc453672886"/>
      <w:bookmarkStart w:id="122" w:name="_Toc454388725"/>
      <w:bookmarkStart w:id="123" w:name="_Toc455360522"/>
      <w:bookmarkStart w:id="124" w:name="_Toc455364144"/>
      <w:r w:rsidRPr="00E90509">
        <w:tab/>
        <w:t>2.</w:t>
      </w:r>
      <w:r w:rsidRPr="00E90509">
        <w:tab/>
        <w:t xml:space="preserve">Transmission of reports to stakeholders prior to submission to the treaty bodies </w:t>
      </w:r>
      <w:bookmarkEnd w:id="121"/>
      <w:bookmarkEnd w:id="122"/>
      <w:bookmarkEnd w:id="123"/>
      <w:bookmarkEnd w:id="124"/>
    </w:p>
    <w:p w:rsidR="00E90509" w:rsidRPr="00E90509" w:rsidRDefault="00E90509" w:rsidP="00E90509">
      <w:pPr>
        <w:pStyle w:val="SingleTxtG"/>
      </w:pPr>
      <w:r w:rsidRPr="00E90509">
        <w:t>68.</w:t>
      </w:r>
      <w:r w:rsidRPr="00E90509">
        <w:tab/>
        <w:t xml:space="preserve">The national report submitted under the universal periodic review procedure was made available to the parliamentary bodies for their remarks and comments prior to its submission to the Working Group on the Universal Periodic Review. This practice is applied to all reports to be submitted to the treaty bodies. </w:t>
      </w:r>
    </w:p>
    <w:p w:rsidR="00E90509" w:rsidRPr="00E90509" w:rsidRDefault="00E90509" w:rsidP="00E90509">
      <w:pPr>
        <w:pStyle w:val="H23G"/>
      </w:pPr>
      <w:bookmarkStart w:id="125" w:name="_Toc454388726"/>
      <w:bookmarkStart w:id="126" w:name="_Toc455360523"/>
      <w:bookmarkStart w:id="127" w:name="_Toc455364145"/>
      <w:r w:rsidRPr="00E90509">
        <w:tab/>
        <w:t>3.</w:t>
      </w:r>
      <w:r w:rsidRPr="00E90509">
        <w:tab/>
        <w:t xml:space="preserve">Participation of non-governmental and independent bodies </w:t>
      </w:r>
      <w:bookmarkEnd w:id="125"/>
      <w:bookmarkEnd w:id="126"/>
      <w:bookmarkEnd w:id="127"/>
    </w:p>
    <w:p w:rsidR="00E90509" w:rsidRPr="00E90509" w:rsidRDefault="00E90509" w:rsidP="00E90509">
      <w:pPr>
        <w:pStyle w:val="SingleTxtG"/>
      </w:pPr>
      <w:r w:rsidRPr="00E90509">
        <w:t>69.</w:t>
      </w:r>
      <w:r w:rsidRPr="00E90509">
        <w:tab/>
        <w:t>The reports take account of recommendations made during workshops held for the purposes of consulting and exchanging views with civil society and parliamentary bodies.</w:t>
      </w:r>
      <w:bookmarkStart w:id="128" w:name="_Toc453672887"/>
    </w:p>
    <w:p w:rsidR="00E90509" w:rsidRPr="00E90509" w:rsidRDefault="00E90509" w:rsidP="00E90509">
      <w:pPr>
        <w:pStyle w:val="H1G"/>
      </w:pPr>
      <w:bookmarkStart w:id="129" w:name="_Toc454388727"/>
      <w:bookmarkStart w:id="130" w:name="_Toc455360524"/>
      <w:bookmarkStart w:id="131" w:name="_Toc455364146"/>
      <w:r w:rsidRPr="00E90509">
        <w:tab/>
      </w:r>
      <w:bookmarkStart w:id="132" w:name="_Toc479237763"/>
      <w:r w:rsidRPr="00E90509">
        <w:t>F.</w:t>
      </w:r>
      <w:r w:rsidRPr="00E90509">
        <w:tab/>
        <w:t>Follow-up to concluding observations of human rights treaty bodies</w:t>
      </w:r>
      <w:bookmarkEnd w:id="128"/>
      <w:bookmarkEnd w:id="129"/>
      <w:bookmarkEnd w:id="130"/>
      <w:bookmarkEnd w:id="131"/>
      <w:bookmarkEnd w:id="132"/>
    </w:p>
    <w:p w:rsidR="00E90509" w:rsidRPr="00E90509" w:rsidRDefault="00E90509" w:rsidP="00E90509">
      <w:pPr>
        <w:pStyle w:val="SingleTxtG"/>
      </w:pPr>
      <w:r w:rsidRPr="00E90509">
        <w:t>70.</w:t>
      </w:r>
      <w:r w:rsidRPr="00E90509">
        <w:tab/>
        <w:t xml:space="preserve">The various concluding observations and recommendations are shared and discussed at workshops, and the conclusions reached are then transmitted to the competent authorities. This process has been followed for the concluding observations of the Committee on the Elimination of Discrimination against Women, the Committee on the Elimination of Racial Discrimination, the Committee on the Rights of the Child, the Committee against Torture, the Human Rights Committee and the Committee on Economic, Social and Cultural Rights. Sectoral action plans for implementing the concluding observations are in place. A national action plan is currently being drawn up, with the cooperation of the OHCHR country office, covering the recommendations of the treaty bodies and those made under the universal periodic review procedure. </w:t>
      </w:r>
      <w:bookmarkStart w:id="133" w:name="_Toc453672888"/>
    </w:p>
    <w:p w:rsidR="00E90509" w:rsidRPr="00E90509" w:rsidRDefault="00E90509" w:rsidP="00E90509">
      <w:pPr>
        <w:pStyle w:val="H1G"/>
      </w:pPr>
      <w:bookmarkStart w:id="134" w:name="_Toc454388728"/>
      <w:bookmarkStart w:id="135" w:name="_Toc455360525"/>
      <w:bookmarkStart w:id="136" w:name="_Toc455364147"/>
      <w:r w:rsidRPr="00E90509">
        <w:tab/>
      </w:r>
      <w:bookmarkStart w:id="137" w:name="_Toc479237764"/>
      <w:r w:rsidRPr="00E90509">
        <w:t>G.</w:t>
      </w:r>
      <w:r w:rsidRPr="00E90509">
        <w:tab/>
        <w:t>Measures to ensure wide dissemination of the concluding observations or recommendations issued by the treaty bodies following consideration of the State party</w:t>
      </w:r>
      <w:r w:rsidR="00FE5999">
        <w:t>’</w:t>
      </w:r>
      <w:r w:rsidRPr="00E90509">
        <w:t>s report</w:t>
      </w:r>
      <w:bookmarkEnd w:id="133"/>
      <w:bookmarkEnd w:id="134"/>
      <w:bookmarkEnd w:id="135"/>
      <w:bookmarkEnd w:id="136"/>
      <w:bookmarkEnd w:id="137"/>
    </w:p>
    <w:p w:rsidR="00E90509" w:rsidRPr="00E90509" w:rsidRDefault="00E90509" w:rsidP="00E90509">
      <w:pPr>
        <w:pStyle w:val="SingleTxtG"/>
      </w:pPr>
      <w:r w:rsidRPr="00E90509">
        <w:t>71.</w:t>
      </w:r>
      <w:r w:rsidRPr="00E90509">
        <w:tab/>
        <w:t>The interministerial technical committee responsible for drafting the reports shares those documents and the concluding observations made by the treaty bodies and during the country</w:t>
      </w:r>
      <w:r w:rsidR="00FE5999">
        <w:t>’</w:t>
      </w:r>
      <w:r w:rsidRPr="00E90509">
        <w:t>s universal periodic review with the parliament. The media also contribute to their dissemination.</w:t>
      </w:r>
    </w:p>
    <w:p w:rsidR="00E90509" w:rsidRPr="00E90509" w:rsidRDefault="00E90509" w:rsidP="00E90509">
      <w:pPr>
        <w:pStyle w:val="H23G"/>
      </w:pPr>
      <w:bookmarkStart w:id="138" w:name="_Toc454388729"/>
      <w:bookmarkStart w:id="139" w:name="_Toc453672890"/>
      <w:bookmarkStart w:id="140" w:name="_Toc455360526"/>
      <w:bookmarkStart w:id="141" w:name="_Toc455364148"/>
      <w:bookmarkStart w:id="142" w:name="_Toc453672889"/>
      <w:r w:rsidRPr="00E90509">
        <w:tab/>
        <w:t>1.</w:t>
      </w:r>
      <w:r w:rsidRPr="00E90509">
        <w:tab/>
        <w:t>Follow-up to international conferences</w:t>
      </w:r>
      <w:bookmarkEnd w:id="138"/>
      <w:bookmarkEnd w:id="139"/>
      <w:bookmarkEnd w:id="140"/>
      <w:bookmarkEnd w:id="141"/>
    </w:p>
    <w:bookmarkEnd w:id="142"/>
    <w:p w:rsidR="00E90509" w:rsidRPr="00E90509" w:rsidRDefault="00E90509" w:rsidP="00E90509">
      <w:pPr>
        <w:pStyle w:val="SingleTxtG"/>
      </w:pPr>
      <w:r w:rsidRPr="00E90509">
        <w:t>72.</w:t>
      </w:r>
      <w:r w:rsidRPr="00E90509">
        <w:tab/>
        <w:t>Mauritania provides systematic follow-up to the declarations adopted at the various world conferences, principally the Vienna World Conference on Human Rights (1993), the Durban World Conference against Racism, Racial Discrimination, Xenophobia and Related Intolerance (2001), the Beijing Fourth World Conference on Women (1995) and the Conference of the Parties to the United Nations Framework Convention on Climate Change (COP21). The Government implements the commitments entered into at the different conferences through its ministries and institutions.</w:t>
      </w:r>
      <w:bookmarkStart w:id="143" w:name="_Toc454388730"/>
      <w:bookmarkStart w:id="144" w:name="_Toc454386662"/>
      <w:bookmarkStart w:id="145" w:name="_Toc454386593"/>
      <w:bookmarkStart w:id="146" w:name="_Toc453672891"/>
    </w:p>
    <w:p w:rsidR="00E90509" w:rsidRPr="00E90509" w:rsidRDefault="00E90509" w:rsidP="00E90509">
      <w:pPr>
        <w:pStyle w:val="H23G"/>
      </w:pPr>
      <w:bookmarkStart w:id="147" w:name="_Toc455360527"/>
      <w:bookmarkStart w:id="148" w:name="_Toc455364149"/>
      <w:r w:rsidRPr="00E90509">
        <w:lastRenderedPageBreak/>
        <w:tab/>
        <w:t>2.</w:t>
      </w:r>
      <w:r w:rsidRPr="00E90509">
        <w:tab/>
        <w:t>Information on non-discrimination and equality and effective remedies</w:t>
      </w:r>
      <w:bookmarkEnd w:id="143"/>
      <w:bookmarkEnd w:id="144"/>
      <w:bookmarkEnd w:id="145"/>
      <w:bookmarkEnd w:id="146"/>
      <w:bookmarkEnd w:id="147"/>
      <w:bookmarkEnd w:id="148"/>
    </w:p>
    <w:p w:rsidR="00E90509" w:rsidRPr="00E90509" w:rsidRDefault="00E90509" w:rsidP="00E90509">
      <w:pPr>
        <w:pStyle w:val="H23G"/>
      </w:pPr>
      <w:bookmarkStart w:id="149" w:name="_Toc454388731"/>
      <w:bookmarkStart w:id="150" w:name="_Toc453672892"/>
      <w:bookmarkStart w:id="151" w:name="_Toc455364150"/>
      <w:r w:rsidRPr="00E90509">
        <w:tab/>
        <w:t>(a)</w:t>
      </w:r>
      <w:r w:rsidRPr="00E90509">
        <w:tab/>
        <w:t>Non-discrimination and equality</w:t>
      </w:r>
      <w:bookmarkEnd w:id="149"/>
      <w:bookmarkEnd w:id="150"/>
      <w:bookmarkEnd w:id="151"/>
    </w:p>
    <w:p w:rsidR="00E90509" w:rsidRPr="00E90509" w:rsidRDefault="00E90509" w:rsidP="00E90509">
      <w:pPr>
        <w:pStyle w:val="SingleTxtG"/>
      </w:pPr>
      <w:r w:rsidRPr="00E90509">
        <w:t>73.</w:t>
      </w:r>
      <w:r w:rsidRPr="00E90509">
        <w:tab/>
        <w:t>The principle of non-discrimination is established in the Constitution. It is incorporated in legislation and has been given effect in several areas, including equality of treatment in taxation and in access to justice, equal pay for work of equal value and equal access to public services.</w:t>
      </w:r>
    </w:p>
    <w:p w:rsidR="00E90509" w:rsidRPr="00E90509" w:rsidRDefault="00E90509" w:rsidP="00E90509">
      <w:pPr>
        <w:pStyle w:val="SingleTxtG"/>
        <w:rPr>
          <w:rFonts w:eastAsia="Times New Roman"/>
        </w:rPr>
      </w:pPr>
      <w:r w:rsidRPr="00E90509">
        <w:t>74.</w:t>
      </w:r>
      <w:r w:rsidRPr="00E90509">
        <w:tab/>
        <w:t>The Constitution guarantees women the right to participate in political and public life. It also recognizes for women all civil, political, economic, social and cultural rights, as proclaimed in the Universal Declaration of Human Rights of 1948 and the African Charter on Human and Peoples</w:t>
      </w:r>
      <w:r w:rsidR="00FE5999">
        <w:t>’</w:t>
      </w:r>
      <w:r w:rsidRPr="00E90509">
        <w:t xml:space="preserve"> Rights of 1981.</w:t>
      </w:r>
    </w:p>
    <w:p w:rsidR="00E90509" w:rsidRPr="00E90509" w:rsidRDefault="00E90509" w:rsidP="00E90509">
      <w:pPr>
        <w:pStyle w:val="SingleTxtG"/>
      </w:pPr>
      <w:r w:rsidRPr="00E90509">
        <w:t>75.</w:t>
      </w:r>
      <w:r w:rsidRPr="00E90509">
        <w:tab/>
        <w:t xml:space="preserve">Article 1 (2) of the Constitution stipulates that </w:t>
      </w:r>
      <w:r w:rsidR="00FE5999">
        <w:t>“</w:t>
      </w:r>
      <w:r w:rsidRPr="00E90509">
        <w:t>the Republic guarantees all citizens equality before the law, without distinction as to origin, race, sex or social status.</w:t>
      </w:r>
      <w:r w:rsidR="00FE5999">
        <w:t>”</w:t>
      </w:r>
      <w:r w:rsidRPr="00E90509">
        <w:t xml:space="preserve"> Article 12 provides that </w:t>
      </w:r>
      <w:r w:rsidR="00FE5999">
        <w:t>“</w:t>
      </w:r>
      <w:r w:rsidRPr="00E90509">
        <w:t>all citizens may accede to public office or employment without any conditions other than those determined by law.</w:t>
      </w:r>
      <w:r w:rsidR="00FE5999">
        <w:t>”</w:t>
      </w:r>
      <w:r w:rsidRPr="00E90509">
        <w:t xml:space="preserve"> </w:t>
      </w:r>
    </w:p>
    <w:p w:rsidR="00E90509" w:rsidRPr="00E90509" w:rsidRDefault="00E90509" w:rsidP="00E90509">
      <w:pPr>
        <w:pStyle w:val="SingleTxtG"/>
      </w:pPr>
      <w:r w:rsidRPr="00E90509">
        <w:t>76.</w:t>
      </w:r>
      <w:r w:rsidRPr="00E90509">
        <w:tab/>
        <w:t>Positive discrimination and temporary special measures have been applied with regard to elections and elected office. The quota reserved for women in those areas has risen significantly. In all recruitment exercises, posts are set aside for women.</w:t>
      </w:r>
    </w:p>
    <w:p w:rsidR="00E90509" w:rsidRPr="00E90509" w:rsidRDefault="00E90509" w:rsidP="00E90509">
      <w:pPr>
        <w:pStyle w:val="Bullet1G"/>
      </w:pPr>
      <w:r w:rsidRPr="00E90509">
        <w:t xml:space="preserve">The 2001 Personal Status Code sets the legal age for marriage at 18 years. </w:t>
      </w:r>
    </w:p>
    <w:p w:rsidR="00E90509" w:rsidRPr="00E90509" w:rsidRDefault="00E90509" w:rsidP="00E90509">
      <w:pPr>
        <w:pStyle w:val="Bullet1G"/>
      </w:pPr>
      <w:r w:rsidRPr="00E90509">
        <w:t xml:space="preserve">The 2005 Code on the Judicial Protection of Children prohibits and penalizes female genital mutilation (art. 12). </w:t>
      </w:r>
    </w:p>
    <w:p w:rsidR="00E90509" w:rsidRPr="00E90509" w:rsidRDefault="00E90509" w:rsidP="00E90509">
      <w:pPr>
        <w:pStyle w:val="Bullet1G"/>
      </w:pPr>
      <w:r w:rsidRPr="00E90509">
        <w:t xml:space="preserve">The 2001 Act on compulsory primary education sets the school age at 6 to 14. </w:t>
      </w:r>
    </w:p>
    <w:p w:rsidR="00E90509" w:rsidRPr="00E90509" w:rsidRDefault="00E90509" w:rsidP="00E90509">
      <w:pPr>
        <w:pStyle w:val="Bullet1G"/>
      </w:pPr>
      <w:r w:rsidRPr="00E90509">
        <w:t>The Ordinance concerning the Organization Act on the promotion of women</w:t>
      </w:r>
      <w:r w:rsidR="00FE5999">
        <w:t>’</w:t>
      </w:r>
      <w:r w:rsidRPr="00E90509">
        <w:t xml:space="preserve">s access to elective posts and elected office sets a 20 per cent quota for women. </w:t>
      </w:r>
    </w:p>
    <w:p w:rsidR="00E90509" w:rsidRPr="00E90509" w:rsidRDefault="00E90509" w:rsidP="00E90509">
      <w:pPr>
        <w:pStyle w:val="Bullet1G"/>
      </w:pPr>
      <w:r w:rsidRPr="00E90509">
        <w:t xml:space="preserve">The Act on legal aid provides for assistance to persons of reduced means. </w:t>
      </w:r>
    </w:p>
    <w:p w:rsidR="00E90509" w:rsidRPr="00E90509" w:rsidRDefault="00E90509" w:rsidP="00E90509">
      <w:pPr>
        <w:pStyle w:val="Bullet1G"/>
      </w:pPr>
      <w:r w:rsidRPr="00E90509">
        <w:t xml:space="preserve">The Ordinance on the protection and promotion of the rights of persons with disabilities provides for benefits for such persons. </w:t>
      </w:r>
    </w:p>
    <w:p w:rsidR="00E90509" w:rsidRPr="00E90509" w:rsidRDefault="00E90509" w:rsidP="00E90509">
      <w:pPr>
        <w:pStyle w:val="Bullet1G"/>
      </w:pPr>
      <w:r w:rsidRPr="00E90509">
        <w:t>The Labour Code and the Act governing the Pension Fund</w:t>
      </w:r>
      <w:r w:rsidR="00FE5999">
        <w:t>’</w:t>
      </w:r>
      <w:r w:rsidRPr="00E90509">
        <w:t xml:space="preserve">s civilian pension scheme authorize the payment of a pension to the beneficiaries of women civil servants on the same basis as applies to male civil servants. </w:t>
      </w:r>
    </w:p>
    <w:p w:rsidR="00E90509" w:rsidRPr="00E90509" w:rsidRDefault="00E90509" w:rsidP="00E90509">
      <w:pPr>
        <w:pStyle w:val="Bullet1G"/>
      </w:pPr>
      <w:r w:rsidRPr="00E90509">
        <w:t>Pensions are granted to the survivors of deceased female civil servants.</w:t>
      </w:r>
    </w:p>
    <w:p w:rsidR="00E90509" w:rsidRPr="00E90509" w:rsidRDefault="00E90509" w:rsidP="00E90509">
      <w:pPr>
        <w:pStyle w:val="Bullet1G"/>
      </w:pPr>
      <w:r w:rsidRPr="00E90509">
        <w:t>Equalization of the retirement age at 60 for women whose conditions of employment are governed by the collective agreement.</w:t>
      </w:r>
    </w:p>
    <w:p w:rsidR="00E90509" w:rsidRPr="00E90509" w:rsidRDefault="00E90509" w:rsidP="00E90509">
      <w:pPr>
        <w:pStyle w:val="SingleTxtG"/>
        <w:rPr>
          <w:rFonts w:eastAsia="Times New Roman"/>
        </w:rPr>
      </w:pPr>
      <w:r w:rsidRPr="00E90509">
        <w:t>77.</w:t>
      </w:r>
      <w:r w:rsidRPr="00E90509">
        <w:tab/>
        <w:t>The authorities have put in place an institutional framework to ensure that women</w:t>
      </w:r>
      <w:r w:rsidR="00FE5999">
        <w:t>’</w:t>
      </w:r>
      <w:r w:rsidRPr="00E90509">
        <w:t xml:space="preserve">s rights are promoted and gender is mainstreamed into public policy. This framework includes: </w:t>
      </w:r>
    </w:p>
    <w:p w:rsidR="00E90509" w:rsidRPr="00E90509" w:rsidRDefault="00E90509" w:rsidP="00E90509">
      <w:pPr>
        <w:pStyle w:val="Bullet1G"/>
      </w:pPr>
      <w:r w:rsidRPr="00E90509">
        <w:t xml:space="preserve">The Ministry of Social Affairs, Children and the Family, which is responsible for promoting and protecting the rights </w:t>
      </w:r>
      <w:r w:rsidR="00F70012">
        <w:t>of women, families and children.</w:t>
      </w:r>
    </w:p>
    <w:p w:rsidR="00E90509" w:rsidRPr="00E90509" w:rsidRDefault="00E90509" w:rsidP="00E90509">
      <w:pPr>
        <w:pStyle w:val="Bullet1G"/>
      </w:pPr>
      <w:r w:rsidRPr="00E90509">
        <w:t>The National Gender Monitoring Group and its regional counterparts</w:t>
      </w:r>
      <w:r w:rsidR="00F70012">
        <w:t>.</w:t>
      </w:r>
    </w:p>
    <w:p w:rsidR="00E90509" w:rsidRPr="00E90509" w:rsidRDefault="00E90509" w:rsidP="00E90509">
      <w:pPr>
        <w:pStyle w:val="Bullet1G"/>
      </w:pPr>
      <w:r w:rsidRPr="00E90509">
        <w:t>The network of women ministers and parliamentarians</w:t>
      </w:r>
      <w:r w:rsidR="00F70012">
        <w:t>.</w:t>
      </w:r>
    </w:p>
    <w:p w:rsidR="00E90509" w:rsidRPr="00E90509" w:rsidRDefault="00E90509" w:rsidP="00E90509">
      <w:pPr>
        <w:pStyle w:val="Bullet1G"/>
      </w:pPr>
      <w:r w:rsidRPr="00E90509">
        <w:t>The National Committee to Combat Gender-based Violence, including Female Genital Mutilation</w:t>
      </w:r>
      <w:r w:rsidR="00F70012">
        <w:t>.</w:t>
      </w:r>
    </w:p>
    <w:p w:rsidR="00E90509" w:rsidRPr="00E90509" w:rsidRDefault="00E90509" w:rsidP="00E90509">
      <w:pPr>
        <w:pStyle w:val="Bullet1G"/>
      </w:pPr>
      <w:r w:rsidRPr="00E90509">
        <w:t>Regional and departmental committees to combat gender-based violence</w:t>
      </w:r>
      <w:r w:rsidR="00F70012">
        <w:t>.</w:t>
      </w:r>
    </w:p>
    <w:p w:rsidR="00E90509" w:rsidRPr="00E90509" w:rsidRDefault="00E90509" w:rsidP="00E90509">
      <w:pPr>
        <w:pStyle w:val="Bullet1G"/>
      </w:pPr>
      <w:r w:rsidRPr="00E90509">
        <w:t>Centres for addressing and resolving family disputes, for the follow-up to the recommendations made by the Committee on the Elimination of Discrimination against Women and for</w:t>
      </w:r>
      <w:r w:rsidR="00F70012">
        <w:t xml:space="preserve"> the promotion of human rights.</w:t>
      </w:r>
    </w:p>
    <w:p w:rsidR="00E90509" w:rsidRPr="00E90509" w:rsidRDefault="00E90509" w:rsidP="00E90509">
      <w:pPr>
        <w:pStyle w:val="H23G"/>
      </w:pPr>
      <w:bookmarkStart w:id="152" w:name="_Toc453672893"/>
      <w:bookmarkStart w:id="153" w:name="_Toc454388732"/>
      <w:bookmarkStart w:id="154" w:name="_Toc455364151"/>
      <w:r w:rsidRPr="00E90509">
        <w:lastRenderedPageBreak/>
        <w:tab/>
        <w:t>(b)</w:t>
      </w:r>
      <w:r w:rsidRPr="00E90509">
        <w:tab/>
        <w:t>Measures taken to improve women</w:t>
      </w:r>
      <w:r w:rsidR="00FE5999">
        <w:t>’</w:t>
      </w:r>
      <w:r w:rsidRPr="00E90509">
        <w:t>s political participation and their involvement in decision-making</w:t>
      </w:r>
      <w:bookmarkEnd w:id="152"/>
      <w:bookmarkEnd w:id="153"/>
      <w:bookmarkEnd w:id="154"/>
    </w:p>
    <w:p w:rsidR="00E90509" w:rsidRPr="00E90509" w:rsidRDefault="00E90509" w:rsidP="00E90509">
      <w:pPr>
        <w:pStyle w:val="Bullet1G"/>
      </w:pPr>
      <w:r w:rsidRPr="00E90509">
        <w:t>Adoption of a national list of 20 women candidates for election as deputies</w:t>
      </w:r>
      <w:r w:rsidR="00F70012">
        <w:t>.</w:t>
      </w:r>
    </w:p>
    <w:p w:rsidR="00E90509" w:rsidRPr="00E90509" w:rsidRDefault="00E90509" w:rsidP="00E90509">
      <w:pPr>
        <w:pStyle w:val="Bullet1G"/>
      </w:pPr>
      <w:r w:rsidRPr="00E90509">
        <w:t>Adoption of a national list of 20 women candidates and another list of 18 women candidates for election in the Nouakchott constituency</w:t>
      </w:r>
      <w:r w:rsidR="00F70012">
        <w:t>.</w:t>
      </w:r>
    </w:p>
    <w:p w:rsidR="00E90509" w:rsidRPr="00E90509" w:rsidRDefault="00E90509" w:rsidP="00E90509">
      <w:pPr>
        <w:pStyle w:val="Bullet1G"/>
      </w:pPr>
      <w:r w:rsidRPr="00E90509">
        <w:t>Increase in the number of constituencies with three seats to be filled by proportional representation</w:t>
      </w:r>
      <w:r w:rsidR="00F70012">
        <w:t>.</w:t>
      </w:r>
    </w:p>
    <w:p w:rsidR="00E90509" w:rsidRPr="00E90509" w:rsidRDefault="00E90509" w:rsidP="00E90509">
      <w:pPr>
        <w:pStyle w:val="Bullet1G"/>
      </w:pPr>
      <w:r w:rsidRPr="00E90509">
        <w:t>Granting of financial incentives for political parties that increase the number of women candidates elected</w:t>
      </w:r>
      <w:r w:rsidR="00F70012">
        <w:t>.</w:t>
      </w:r>
    </w:p>
    <w:p w:rsidR="00E90509" w:rsidRPr="00E90509" w:rsidRDefault="00E90509" w:rsidP="00E90509">
      <w:pPr>
        <w:pStyle w:val="Bullet1G"/>
      </w:pPr>
      <w:r w:rsidRPr="00E90509">
        <w:t>Organization of a special competitive procedure that allowed an additional 50 women to gain entry to the National College of Administration, Journalism and the Judiciary</w:t>
      </w:r>
      <w:r w:rsidR="00F70012">
        <w:t>.</w:t>
      </w:r>
    </w:p>
    <w:p w:rsidR="00E90509" w:rsidRPr="00E90509" w:rsidRDefault="00E90509" w:rsidP="00E90509">
      <w:pPr>
        <w:pStyle w:val="Bullet1G"/>
      </w:pPr>
      <w:r w:rsidRPr="00E90509">
        <w:t>Creation of eight university posts for women</w:t>
      </w:r>
      <w:r w:rsidR="00F70012">
        <w:t>.</w:t>
      </w:r>
    </w:p>
    <w:p w:rsidR="00E90509" w:rsidRPr="00E90509" w:rsidRDefault="00E90509" w:rsidP="00E90509">
      <w:pPr>
        <w:pStyle w:val="Bullet1G"/>
      </w:pPr>
      <w:r w:rsidRPr="00E90509">
        <w:t>Increase in the number of bursaries reserved for girls</w:t>
      </w:r>
      <w:r w:rsidR="00F70012">
        <w:t>.</w:t>
      </w:r>
    </w:p>
    <w:p w:rsidR="00E90509" w:rsidRPr="00E90509" w:rsidRDefault="00E90509" w:rsidP="00E90509">
      <w:pPr>
        <w:pStyle w:val="H23G"/>
      </w:pPr>
      <w:bookmarkStart w:id="155" w:name="_Toc454388733"/>
      <w:bookmarkStart w:id="156" w:name="_Toc455364152"/>
      <w:r w:rsidRPr="00E90509">
        <w:tab/>
        <w:t>(c)</w:t>
      </w:r>
      <w:r w:rsidRPr="00E90509">
        <w:tab/>
        <w:t>Principle of non-discrimination and general binding principle</w:t>
      </w:r>
      <w:bookmarkEnd w:id="155"/>
      <w:bookmarkEnd w:id="156"/>
    </w:p>
    <w:p w:rsidR="00E90509" w:rsidRPr="00E90509" w:rsidRDefault="00E90509" w:rsidP="00E90509">
      <w:pPr>
        <w:pStyle w:val="SingleTxtG"/>
      </w:pPr>
      <w:r w:rsidRPr="00E90509">
        <w:t>78.</w:t>
      </w:r>
      <w:r w:rsidRPr="00E90509">
        <w:tab/>
        <w:t xml:space="preserve">The Constitution of 20 July 1991, as amended in 2006 and 2012, states that </w:t>
      </w:r>
      <w:r w:rsidR="00FE5999">
        <w:t>“</w:t>
      </w:r>
      <w:r w:rsidRPr="00E90509">
        <w:t>human freedom, equality and dignity may be assured only in a society that honours the rule of law.</w:t>
      </w:r>
      <w:r w:rsidR="00FE5999">
        <w:t>”</w:t>
      </w:r>
      <w:r w:rsidRPr="00E90509">
        <w:t xml:space="preserve"> It also guarantees the fundamental principles of non-discrimination.</w:t>
      </w:r>
      <w:bookmarkStart w:id="157" w:name="_Toc453672894"/>
    </w:p>
    <w:p w:rsidR="00E90509" w:rsidRPr="00E90509" w:rsidRDefault="00E90509" w:rsidP="00E90509">
      <w:pPr>
        <w:pStyle w:val="H23G"/>
      </w:pPr>
      <w:bookmarkStart w:id="158" w:name="_Toc455364153"/>
      <w:r w:rsidRPr="00E90509">
        <w:tab/>
        <w:t>(d)</w:t>
      </w:r>
      <w:r w:rsidRPr="00E90509">
        <w:tab/>
        <w:t>Measures taken to prevent and combat discrimination in all its forms</w:t>
      </w:r>
      <w:bookmarkEnd w:id="157"/>
      <w:bookmarkEnd w:id="158"/>
    </w:p>
    <w:p w:rsidR="00E90509" w:rsidRPr="00E90509" w:rsidRDefault="00E90509" w:rsidP="00E90509">
      <w:pPr>
        <w:pStyle w:val="SingleTxtG"/>
        <w:rPr>
          <w:rtl/>
        </w:rPr>
      </w:pPr>
      <w:r w:rsidRPr="00E90509">
        <w:t>79.</w:t>
      </w:r>
      <w:r w:rsidRPr="00E90509">
        <w:tab/>
        <w:t>Several institutions contribute to efforts to prevent and combat all forms of discrimination, including the ministerial departments responsible for human rights issues, the Tadamoun, or the National Agency for the Eradication of the Consequences of Slavery, for Social Integration and for Action to Fight Poverty, the National Human Rights Commission, the Office of the Ombudsman, the High Council for Fatwas and Administrative Appeals and the courts.</w:t>
      </w:r>
    </w:p>
    <w:p w:rsidR="00E90509" w:rsidRPr="00E90509" w:rsidRDefault="00E90509" w:rsidP="00E90509">
      <w:pPr>
        <w:pStyle w:val="H23G"/>
      </w:pPr>
      <w:bookmarkStart w:id="159" w:name="_Toc454388734"/>
      <w:bookmarkStart w:id="160" w:name="_Toc455364154"/>
      <w:r w:rsidRPr="00E90509">
        <w:tab/>
        <w:t>(e)</w:t>
      </w:r>
      <w:r w:rsidRPr="00E90509">
        <w:tab/>
        <w:t>General information regarding the human rights situation of persons belonging to specific vulnerable groups</w:t>
      </w:r>
      <w:bookmarkEnd w:id="159"/>
      <w:bookmarkEnd w:id="160"/>
    </w:p>
    <w:p w:rsidR="00E90509" w:rsidRPr="00E90509" w:rsidRDefault="00E90509" w:rsidP="00E90509">
      <w:pPr>
        <w:pStyle w:val="SingleTxtG"/>
      </w:pPr>
      <w:r w:rsidRPr="00E90509">
        <w:t>80.</w:t>
      </w:r>
      <w:r w:rsidRPr="00E90509">
        <w:tab/>
        <w:t>The poverty-reduction policy provides for a strong and sustained focus on vulnerable segments of the population.</w:t>
      </w:r>
    </w:p>
    <w:p w:rsidR="00E90509" w:rsidRPr="00E90509" w:rsidRDefault="00E90509" w:rsidP="00E90509">
      <w:pPr>
        <w:pStyle w:val="H23G"/>
      </w:pPr>
      <w:bookmarkStart w:id="161" w:name="_Toc453672895"/>
      <w:bookmarkStart w:id="162" w:name="_Toc454388735"/>
      <w:bookmarkStart w:id="163" w:name="_Toc455360528"/>
      <w:bookmarkStart w:id="164" w:name="_Toc455364155"/>
      <w:r w:rsidRPr="00E90509">
        <w:tab/>
        <w:t>3.</w:t>
      </w:r>
      <w:r w:rsidRPr="00E90509">
        <w:tab/>
        <w:t xml:space="preserve">Specific measures to reduce disparities </w:t>
      </w:r>
      <w:bookmarkEnd w:id="161"/>
      <w:bookmarkEnd w:id="162"/>
      <w:bookmarkEnd w:id="163"/>
      <w:bookmarkEnd w:id="164"/>
    </w:p>
    <w:p w:rsidR="00E90509" w:rsidRPr="00E90509" w:rsidRDefault="00E90509" w:rsidP="00E90509">
      <w:pPr>
        <w:pStyle w:val="SingleTxtG"/>
      </w:pPr>
      <w:r w:rsidRPr="00E90509">
        <w:t>81.</w:t>
      </w:r>
      <w:r w:rsidRPr="00E90509">
        <w:tab/>
        <w:t xml:space="preserve">Several measures have been put in place to reduce economic, social and geographical disparities, particularly for women. These include the following: </w:t>
      </w:r>
    </w:p>
    <w:p w:rsidR="00E90509" w:rsidRPr="00E90509" w:rsidRDefault="00E90509" w:rsidP="00E90509">
      <w:pPr>
        <w:pStyle w:val="Bullet1G"/>
      </w:pPr>
      <w:r w:rsidRPr="00E90509">
        <w:t>The development and implementation of a National Action Plan on Gender-Based Violence for the period 2015-2018.</w:t>
      </w:r>
    </w:p>
    <w:p w:rsidR="00E90509" w:rsidRPr="00E90509" w:rsidRDefault="00E90509" w:rsidP="00E90509">
      <w:pPr>
        <w:pStyle w:val="Bullet1G"/>
      </w:pPr>
      <w:r w:rsidRPr="00E90509">
        <w:t>The implementation of standard operating procedures to improve the response to gender-based violence and ensure holistic care for survivors.</w:t>
      </w:r>
    </w:p>
    <w:p w:rsidR="00E90509" w:rsidRPr="00E90509" w:rsidRDefault="00E90509" w:rsidP="00E90509">
      <w:pPr>
        <w:pStyle w:val="Bullet1G"/>
      </w:pPr>
      <w:r w:rsidRPr="00E90509">
        <w:t xml:space="preserve">Implementation of an action plan to encourage the voluntary abandonment of female genital mutilation in </w:t>
      </w:r>
      <w:r w:rsidRPr="00017011">
        <w:rPr>
          <w:i/>
          <w:iCs/>
        </w:rPr>
        <w:t>wilayas</w:t>
      </w:r>
      <w:r w:rsidRPr="00E90509">
        <w:t xml:space="preserve"> where the practice is very widespread.</w:t>
      </w:r>
    </w:p>
    <w:p w:rsidR="00E90509" w:rsidRPr="00E90509" w:rsidRDefault="00E90509" w:rsidP="00E90509">
      <w:pPr>
        <w:pStyle w:val="Bullet1G"/>
      </w:pPr>
      <w:r w:rsidRPr="00E90509">
        <w:t>The dissemination, via public and private media, of a fatwa on the prohibition of female genital mutilation.</w:t>
      </w:r>
    </w:p>
    <w:p w:rsidR="00E90509" w:rsidRPr="00E90509" w:rsidRDefault="00E90509" w:rsidP="00E90509">
      <w:pPr>
        <w:pStyle w:val="Bullet1G"/>
      </w:pPr>
      <w:r w:rsidRPr="00E90509">
        <w:t>The organization of campaigns to combat child marriage.</w:t>
      </w:r>
    </w:p>
    <w:p w:rsidR="00E90509" w:rsidRPr="00E90509" w:rsidRDefault="00E90509" w:rsidP="00E90509">
      <w:pPr>
        <w:pStyle w:val="SingleTxtG"/>
        <w:rPr>
          <w:rFonts w:eastAsia="Times New Roman"/>
        </w:rPr>
      </w:pPr>
      <w:r w:rsidRPr="00E90509">
        <w:t>82.</w:t>
      </w:r>
      <w:r w:rsidRPr="00E90509">
        <w:tab/>
        <w:t>Measures have been taken to raise public awareness of stereotypes and practices that are harmful to women. These include the following:</w:t>
      </w:r>
    </w:p>
    <w:p w:rsidR="00E90509" w:rsidRPr="00E90509" w:rsidRDefault="00E90509" w:rsidP="00E90509">
      <w:pPr>
        <w:pStyle w:val="Bullet1G"/>
      </w:pPr>
      <w:r w:rsidRPr="00E90509">
        <w:t>A day of zero tolerance for female genital mutilation.</w:t>
      </w:r>
    </w:p>
    <w:p w:rsidR="00E90509" w:rsidRPr="00E90509" w:rsidRDefault="00E90509" w:rsidP="00E90509">
      <w:pPr>
        <w:pStyle w:val="Bullet1G"/>
      </w:pPr>
      <w:r w:rsidRPr="00E90509">
        <w:t>The implementation of a programme to promote the abandonment of female genital mutilation.</w:t>
      </w:r>
    </w:p>
    <w:p w:rsidR="00E90509" w:rsidRPr="00E90509" w:rsidRDefault="00E90509" w:rsidP="00E90509">
      <w:pPr>
        <w:pStyle w:val="Bullet1G"/>
      </w:pPr>
      <w:r w:rsidRPr="00E90509">
        <w:lastRenderedPageBreak/>
        <w:t>The approval of a bill on the criminalization of female genital mutilation.</w:t>
      </w:r>
    </w:p>
    <w:p w:rsidR="00E90509" w:rsidRPr="00E90509" w:rsidRDefault="00E90509" w:rsidP="00E90509">
      <w:pPr>
        <w:pStyle w:val="Bullet1G"/>
      </w:pPr>
      <w:r w:rsidRPr="00E90509">
        <w:t>The organization of several awareness-raising campaigns to combat other harmful practices such as force feeding and forced or early marriage.</w:t>
      </w:r>
    </w:p>
    <w:p w:rsidR="00E90509" w:rsidRPr="00E90509" w:rsidRDefault="00E90509" w:rsidP="00E90509">
      <w:pPr>
        <w:pStyle w:val="H23G"/>
      </w:pPr>
      <w:bookmarkStart w:id="165" w:name="_Toc454388736"/>
      <w:bookmarkStart w:id="166" w:name="_Toc453672896"/>
      <w:bookmarkStart w:id="167" w:name="_Toc455360529"/>
      <w:bookmarkStart w:id="168" w:name="_Toc455364156"/>
      <w:r w:rsidRPr="00E90509">
        <w:tab/>
        <w:t>4.</w:t>
      </w:r>
      <w:r w:rsidRPr="00E90509">
        <w:tab/>
        <w:t xml:space="preserve">Equality before the law and equal protection of the law </w:t>
      </w:r>
      <w:bookmarkEnd w:id="165"/>
      <w:bookmarkEnd w:id="166"/>
      <w:bookmarkEnd w:id="167"/>
      <w:bookmarkEnd w:id="168"/>
    </w:p>
    <w:p w:rsidR="00E90509" w:rsidRPr="00E90509" w:rsidRDefault="00E90509" w:rsidP="00E90509">
      <w:pPr>
        <w:pStyle w:val="SingleTxtG"/>
      </w:pPr>
      <w:r w:rsidRPr="00E90509">
        <w:t>83.</w:t>
      </w:r>
      <w:r w:rsidRPr="00E90509">
        <w:tab/>
        <w:t>Mauritania has established a judicial system founded on the second-hearing principle and has facilitated access to justice through the provision of legal assistance.</w:t>
      </w:r>
      <w:bookmarkStart w:id="169" w:name="_Toc454388737"/>
      <w:bookmarkStart w:id="170" w:name="_Toc453672897"/>
    </w:p>
    <w:p w:rsidR="00E90509" w:rsidRPr="00E90509" w:rsidRDefault="00E90509" w:rsidP="00E90509">
      <w:pPr>
        <w:pStyle w:val="H23G"/>
      </w:pPr>
      <w:bookmarkStart w:id="171" w:name="_Toc455360530"/>
      <w:bookmarkStart w:id="172" w:name="_Toc455364157"/>
      <w:r w:rsidRPr="00E90509">
        <w:tab/>
        <w:t>5.</w:t>
      </w:r>
      <w:r w:rsidRPr="00E90509">
        <w:tab/>
        <w:t>Effective remedies</w:t>
      </w:r>
      <w:bookmarkEnd w:id="169"/>
      <w:bookmarkEnd w:id="170"/>
      <w:bookmarkEnd w:id="171"/>
      <w:bookmarkEnd w:id="172"/>
    </w:p>
    <w:p w:rsidR="00E90509" w:rsidRPr="00E90509" w:rsidRDefault="00E90509" w:rsidP="00E90509">
      <w:pPr>
        <w:pStyle w:val="SingleTxtG"/>
      </w:pPr>
      <w:r w:rsidRPr="00E90509">
        <w:t>84.</w:t>
      </w:r>
      <w:r w:rsidRPr="00E90509">
        <w:tab/>
        <w:t>The international human rights treaties ratified by Mauritania are incorporated directly into national legislation in accordance with article 80 of the Constitution, whereby all the provisions on human rights derived from duly ratified</w:t>
      </w:r>
      <w:r w:rsidR="00A7152F">
        <w:t xml:space="preserve"> </w:t>
      </w:r>
      <w:r w:rsidRPr="00E90509">
        <w:t>conventions can be invoked before the courts, and judges are required to apply them.</w:t>
      </w:r>
    </w:p>
    <w:p w:rsidR="00E90509" w:rsidRPr="00E90509" w:rsidRDefault="00E90509" w:rsidP="00E90509">
      <w:pPr>
        <w:pStyle w:val="HChG"/>
      </w:pPr>
      <w:r w:rsidRPr="00E90509">
        <w:tab/>
      </w:r>
      <w:r w:rsidRPr="00E90509">
        <w:tab/>
      </w:r>
      <w:bookmarkStart w:id="173" w:name="_Toc479237765"/>
      <w:r w:rsidRPr="00E90509">
        <w:t>Part II</w:t>
      </w:r>
      <w:r w:rsidR="00593F93">
        <w:br/>
      </w:r>
      <w:r w:rsidRPr="00E90509">
        <w:t>Implementation of the provisions of the Convention</w:t>
      </w:r>
      <w:bookmarkEnd w:id="173"/>
    </w:p>
    <w:p w:rsidR="00E90509" w:rsidRPr="00E90509" w:rsidRDefault="00E90509" w:rsidP="00E90509">
      <w:pPr>
        <w:pStyle w:val="SingleTxtG"/>
      </w:pPr>
      <w:r w:rsidRPr="00E90509">
        <w:t>85.</w:t>
      </w:r>
      <w:r w:rsidRPr="00E90509">
        <w:tab/>
        <w:t>This section addresses the implementation of the provisions of the Convention and the recommendations issued by the Committee in 2004.</w:t>
      </w:r>
    </w:p>
    <w:p w:rsidR="00E90509" w:rsidRPr="00E90509" w:rsidRDefault="00E90509" w:rsidP="00E90509">
      <w:pPr>
        <w:pStyle w:val="H1G"/>
      </w:pPr>
      <w:r w:rsidRPr="00E90509">
        <w:tab/>
      </w:r>
      <w:r w:rsidRPr="00E90509">
        <w:tab/>
      </w:r>
      <w:bookmarkStart w:id="174" w:name="_Toc479237766"/>
      <w:r w:rsidRPr="00E90509">
        <w:t>Article 1</w:t>
      </w:r>
      <w:bookmarkEnd w:id="174"/>
    </w:p>
    <w:p w:rsidR="00E90509" w:rsidRPr="00E90509" w:rsidRDefault="00E90509" w:rsidP="00E90509">
      <w:pPr>
        <w:pStyle w:val="SingleTxtG"/>
      </w:pPr>
      <w:r w:rsidRPr="00E90509">
        <w:t>86.</w:t>
      </w:r>
      <w:r w:rsidRPr="00E90509">
        <w:tab/>
        <w:t>Article 1 (2) of the Constitution of 20 July 1991, amended in 2006 and 2012, stipulates that the Republic guarantees all citizens equality before the law, without distinction as to origin, race, sex or social status.</w:t>
      </w:r>
    </w:p>
    <w:p w:rsidR="00E90509" w:rsidRPr="00E90509" w:rsidRDefault="00E90509" w:rsidP="00E90509">
      <w:pPr>
        <w:pStyle w:val="SingleTxtG"/>
        <w:rPr>
          <w:rFonts w:eastAsia="Times New Roman"/>
        </w:rPr>
      </w:pPr>
      <w:r w:rsidRPr="00E90509">
        <w:t>87.</w:t>
      </w:r>
      <w:r w:rsidRPr="00E90509">
        <w:tab/>
        <w:t>Article 1 (3) stipulates that any propaganda of a specifically racial or ethnic nature is punishable by law.</w:t>
      </w:r>
    </w:p>
    <w:p w:rsidR="00E90509" w:rsidRPr="00E90509" w:rsidRDefault="00E90509" w:rsidP="00E90509">
      <w:pPr>
        <w:pStyle w:val="SingleTxtG"/>
        <w:rPr>
          <w:rFonts w:eastAsia="Times New Roman"/>
        </w:rPr>
      </w:pPr>
      <w:r w:rsidRPr="00E90509">
        <w:t>88.</w:t>
      </w:r>
      <w:r w:rsidRPr="00E90509">
        <w:tab/>
        <w:t xml:space="preserve">Any foreign national on Mauritanian territory enjoys the protection of the law in respect of both person and property and may not be extradited except by virtue of the laws and conventions in force. </w:t>
      </w:r>
    </w:p>
    <w:p w:rsidR="00E90509" w:rsidRPr="00E90509" w:rsidRDefault="00E90509" w:rsidP="00E90509">
      <w:pPr>
        <w:pStyle w:val="SingleTxtG"/>
      </w:pPr>
      <w:r w:rsidRPr="00E90509">
        <w:t>89.</w:t>
      </w:r>
      <w:r w:rsidRPr="00E90509">
        <w:tab/>
        <w:t xml:space="preserve">Mauritania is a multi-ethnic and multicultural country, as underlined in the common core document. The population is predominantly Arab, with Fulani, Soninke and Wolof minorities. The 2013 census put the population at 3,537,628 persons. The Arab population forms a homogeneous group, as do the other ethnic groups, and shares the same cultural and linguistic characteristics. </w:t>
      </w:r>
    </w:p>
    <w:p w:rsidR="00E90509" w:rsidRPr="00E90509" w:rsidRDefault="00E90509" w:rsidP="00E90509">
      <w:pPr>
        <w:pStyle w:val="H1G"/>
      </w:pPr>
      <w:r w:rsidRPr="00E90509">
        <w:tab/>
      </w:r>
      <w:r w:rsidRPr="00E90509">
        <w:tab/>
      </w:r>
      <w:bookmarkStart w:id="175" w:name="_Toc479237767"/>
      <w:r w:rsidRPr="00E90509">
        <w:t>Article 2</w:t>
      </w:r>
      <w:bookmarkEnd w:id="175"/>
    </w:p>
    <w:p w:rsidR="00E90509" w:rsidRPr="00E90509" w:rsidRDefault="00E90509" w:rsidP="00E90509">
      <w:pPr>
        <w:pStyle w:val="SingleTxtG"/>
        <w:rPr>
          <w:rFonts w:eastAsia="Times New Roman"/>
        </w:rPr>
      </w:pPr>
      <w:r w:rsidRPr="00E90509">
        <w:t>90.</w:t>
      </w:r>
      <w:r w:rsidRPr="00E90509">
        <w:tab/>
        <w:t>In order to strengthen national cohesion, the ordinance on political parties prohibits political groups from identifying with a particular race, ethnic group, religion, tribe, sex or brotherhood.</w:t>
      </w:r>
    </w:p>
    <w:p w:rsidR="00E90509" w:rsidRPr="00E90509" w:rsidRDefault="00E90509" w:rsidP="00E90509">
      <w:pPr>
        <w:pStyle w:val="SingleTxtG"/>
        <w:rPr>
          <w:rFonts w:eastAsia="Times New Roman"/>
        </w:rPr>
      </w:pPr>
      <w:r w:rsidRPr="00E90509">
        <w:t>91.</w:t>
      </w:r>
      <w:r w:rsidRPr="00E90509">
        <w:tab/>
        <w:t>A total of 103 political parties and 5,707 associations carry out their activities freely, in accordance with the spirit of articles 4 (a) and (b) of the Convention. These parties and associations reflect the diversity of Mauritanian society, in a spirit of tolerance, and strengthen national unity.</w:t>
      </w:r>
    </w:p>
    <w:p w:rsidR="00E90509" w:rsidRPr="00E90509" w:rsidRDefault="00E90509" w:rsidP="00E90509">
      <w:pPr>
        <w:pStyle w:val="SingleTxtG"/>
        <w:rPr>
          <w:rFonts w:eastAsia="Times New Roman"/>
        </w:rPr>
      </w:pPr>
      <w:r w:rsidRPr="00E90509">
        <w:t>92.</w:t>
      </w:r>
      <w:r w:rsidRPr="00E90509">
        <w:tab/>
        <w:t xml:space="preserve">Associations are regulated by Act No. 64.098 of 9 June 1964, as amended by Act No. 73.007 of 23 June 1973 and Act No. 73.157 of 2 July 1973. These instruments establish a system for authorizing associations, responsibility for which is assigned to the Ministry of the Interior. In order to be able to carry out their activities legally, associations must receive prior authorization from the Ministry. </w:t>
      </w:r>
    </w:p>
    <w:p w:rsidR="00E90509" w:rsidRPr="00E90509" w:rsidRDefault="00E90509" w:rsidP="00E90509">
      <w:pPr>
        <w:pStyle w:val="SingleTxtG"/>
        <w:rPr>
          <w:rFonts w:eastAsia="Times New Roman"/>
        </w:rPr>
      </w:pPr>
      <w:r w:rsidRPr="00E90509">
        <w:t>93.</w:t>
      </w:r>
      <w:r w:rsidRPr="00E90509">
        <w:tab/>
        <w:t xml:space="preserve">The scheme has allocated certificates of recognition to 5,707 national associations and operating licences to 57 foreign NGOs. The number of associations increased </w:t>
      </w:r>
      <w:r w:rsidRPr="00E90509">
        <w:lastRenderedPageBreak/>
        <w:t xml:space="preserve">enormously between 2008 and 2016, rising from 1,106 to 5,707. This proliferation is reflected not only in the increase in numbers but also in the diversity of structures (80 networks and 51 foundations) and the widening range of activities. Associations are active in fields including human rights, social issues, development, health, the environment, culture, sports and the arts. Any association that complies with the regulations is recognized immediately. A year after Mauritania appeared before the Committee, all member NGOs of the National Forum for Human Rights Organizations were officially recognized. </w:t>
      </w:r>
    </w:p>
    <w:p w:rsidR="00E90509" w:rsidRPr="00E90509" w:rsidRDefault="00E90509" w:rsidP="00E90509">
      <w:pPr>
        <w:pStyle w:val="SingleTxtG"/>
      </w:pPr>
      <w:r w:rsidRPr="00E90509">
        <w:t>94.</w:t>
      </w:r>
      <w:r w:rsidRPr="00E90509">
        <w:tab/>
        <w:t xml:space="preserve">Under the law, Mauritanian citizens have complete freedom to establish and hold office in political parties. Any reference to ethnicity or race is prohibited under the Constitution. One hundred and three political parties carry out their activities freely, in accordance with the spirit of articles 4 (a) and (b) of the Convention. </w:t>
      </w:r>
    </w:p>
    <w:p w:rsidR="00E90509" w:rsidRPr="00E90509" w:rsidRDefault="00E90509" w:rsidP="00E90509">
      <w:pPr>
        <w:pStyle w:val="H1G"/>
      </w:pPr>
      <w:r w:rsidRPr="00E90509">
        <w:tab/>
      </w:r>
      <w:r w:rsidRPr="00E90509">
        <w:tab/>
      </w:r>
      <w:bookmarkStart w:id="176" w:name="_Toc479237768"/>
      <w:r w:rsidRPr="00E90509">
        <w:t>Article 3</w:t>
      </w:r>
      <w:bookmarkEnd w:id="176"/>
    </w:p>
    <w:p w:rsidR="00E90509" w:rsidRPr="00E90509" w:rsidRDefault="00E90509" w:rsidP="00E90509">
      <w:pPr>
        <w:pStyle w:val="SingleTxtG"/>
        <w:rPr>
          <w:rFonts w:eastAsia="Times New Roman"/>
        </w:rPr>
      </w:pPr>
      <w:r w:rsidRPr="00E90509">
        <w:t>95.</w:t>
      </w:r>
      <w:r w:rsidRPr="00E90509">
        <w:tab/>
        <w:t>The body of national legislation enshrines the prohibition of all forms of discrimination. All segregation is firmly condemned, as reflected in the establishment of an independent human rights institution in line with the Paris Principles and the adoption of laws criminalizing slavery and slavery-like practices, suppressing human trafficking, criminalizing torture and establishing a national mechanism for the prevention of torture.</w:t>
      </w:r>
    </w:p>
    <w:p w:rsidR="00E90509" w:rsidRPr="00E90509" w:rsidRDefault="00E90509" w:rsidP="00E90509">
      <w:pPr>
        <w:pStyle w:val="SingleTxtG"/>
        <w:rPr>
          <w:rFonts w:eastAsia="Times New Roman"/>
        </w:rPr>
      </w:pPr>
      <w:r w:rsidRPr="00E90509">
        <w:t>96.</w:t>
      </w:r>
      <w:r w:rsidRPr="00E90509">
        <w:tab/>
        <w:t>The Constitution prohibits any racial or ethnic discrimination and recognizes citizens</w:t>
      </w:r>
      <w:r w:rsidR="00FE5999">
        <w:t>’</w:t>
      </w:r>
      <w:r w:rsidRPr="00E90509">
        <w:t xml:space="preserve"> civil, political, economic and social rights.</w:t>
      </w:r>
    </w:p>
    <w:p w:rsidR="00E90509" w:rsidRPr="00E90509" w:rsidRDefault="00E90509" w:rsidP="00E90509">
      <w:pPr>
        <w:pStyle w:val="SingleTxtG"/>
        <w:rPr>
          <w:rFonts w:eastAsia="Times New Roman"/>
        </w:rPr>
      </w:pPr>
      <w:r w:rsidRPr="00E90509">
        <w:t>97.</w:t>
      </w:r>
      <w:r w:rsidRPr="00E90509">
        <w:tab/>
        <w:t xml:space="preserve">A bill criminalizing discrimination has been submitted to the Government for approval. Article 1 of the bill defines discrimination as </w:t>
      </w:r>
      <w:r w:rsidR="00FE5999">
        <w:t>“</w:t>
      </w:r>
      <w:r w:rsidRPr="00E90509">
        <w:t>any distinction, exclusion, restriction or preference which has or may have the purpose or effect of nullifying, compromising or impairing the recognition, enjoyment or exercise, on an equal footing, of human rights and fundamental freedoms in the political, economic, social, cultural or any other field of public life.</w:t>
      </w:r>
      <w:r w:rsidR="00FE5999">
        <w:t>”</w:t>
      </w:r>
    </w:p>
    <w:p w:rsidR="00E90509" w:rsidRPr="00E90509" w:rsidRDefault="00E90509" w:rsidP="00E90509">
      <w:pPr>
        <w:pStyle w:val="SingleTxtG"/>
        <w:rPr>
          <w:rFonts w:eastAsia="Times New Roman"/>
        </w:rPr>
      </w:pPr>
      <w:r w:rsidRPr="00E90509">
        <w:t>98.</w:t>
      </w:r>
      <w:r w:rsidRPr="00E90509">
        <w:tab/>
        <w:t>Mauritania remains committed to the guiding principles and values of the international fight against racism, racial discrimination, xenophobia and related intolerance.</w:t>
      </w:r>
    </w:p>
    <w:p w:rsidR="00E90509" w:rsidRPr="00E90509" w:rsidRDefault="00E90509" w:rsidP="00E90509">
      <w:pPr>
        <w:pStyle w:val="SingleTxtG"/>
      </w:pPr>
      <w:r w:rsidRPr="00E90509">
        <w:t>99.</w:t>
      </w:r>
      <w:r w:rsidRPr="00E90509">
        <w:tab/>
        <w:t>Mauritanian law prohibits all incitement to acts of racial discrimination. It contains a series of provisions declaring punishable by law all dissemination of ideas based on racial superiority or hatred, any incitement to racial discrimination, as well as all acts of violence or provocation</w:t>
      </w:r>
      <w:r w:rsidR="00A7152F">
        <w:t xml:space="preserve"> </w:t>
      </w:r>
      <w:r w:rsidRPr="00E90509">
        <w:t>against any race or group of persons of another colour or ethnic origin, and also the provision of any assistance to racist activities.</w:t>
      </w:r>
    </w:p>
    <w:p w:rsidR="00E90509" w:rsidRPr="00E90509" w:rsidRDefault="00E90509" w:rsidP="00E90509">
      <w:pPr>
        <w:pStyle w:val="SingleTxtG"/>
        <w:rPr>
          <w:rFonts w:eastAsia="Times New Roman"/>
        </w:rPr>
      </w:pPr>
      <w:r w:rsidRPr="00E90509">
        <w:t>100.</w:t>
      </w:r>
      <w:r w:rsidRPr="00E90509">
        <w:tab/>
        <w:t>The provisions on freedom of the press ban any publications or discourse that incite hatred or ethnic and regional prejudices.</w:t>
      </w:r>
    </w:p>
    <w:p w:rsidR="00E90509" w:rsidRPr="00E90509" w:rsidRDefault="00E90509" w:rsidP="00E90509">
      <w:pPr>
        <w:pStyle w:val="SingleTxtG"/>
        <w:rPr>
          <w:rFonts w:eastAsia="Times New Roman"/>
        </w:rPr>
      </w:pPr>
      <w:r w:rsidRPr="00E90509">
        <w:t>101.</w:t>
      </w:r>
      <w:r w:rsidRPr="00E90509">
        <w:tab/>
        <w:t>The law on political parties requires parties to refrain from any incitement to intolerance or</w:t>
      </w:r>
      <w:r w:rsidR="00A7152F">
        <w:t xml:space="preserve"> </w:t>
      </w:r>
      <w:r w:rsidRPr="00E90509">
        <w:t>violence and from any propaganda intended to undermine territorial integrity or national unity.</w:t>
      </w:r>
    </w:p>
    <w:p w:rsidR="00E90509" w:rsidRPr="00E90509" w:rsidRDefault="00E90509" w:rsidP="00E90509">
      <w:pPr>
        <w:pStyle w:val="SingleTxtG"/>
        <w:rPr>
          <w:rFonts w:eastAsia="Times New Roman"/>
        </w:rPr>
      </w:pPr>
      <w:r w:rsidRPr="00E90509">
        <w:t>102.</w:t>
      </w:r>
      <w:r w:rsidRPr="00E90509">
        <w:tab/>
        <w:t>As part of ongoing legal reforms, Mauritania will put in place the necessary provisions to address this recommendation.</w:t>
      </w:r>
    </w:p>
    <w:p w:rsidR="00E90509" w:rsidRPr="00E90509" w:rsidRDefault="00E90509" w:rsidP="00E90509">
      <w:pPr>
        <w:pStyle w:val="SingleTxtG"/>
      </w:pPr>
      <w:r w:rsidRPr="00E90509">
        <w:t>103.</w:t>
      </w:r>
      <w:r w:rsidRPr="00E90509">
        <w:tab/>
        <w:t xml:space="preserve">Under the Criminal Code, in the chapter entitled </w:t>
      </w:r>
      <w:r w:rsidR="00FE5999">
        <w:t>“</w:t>
      </w:r>
      <w:r w:rsidRPr="00E90509">
        <w:t>Crimes and offences against the person</w:t>
      </w:r>
      <w:r w:rsidR="00FE5999">
        <w:t>”</w:t>
      </w:r>
      <w:r w:rsidRPr="00E90509">
        <w:t>, judges are authorized to draw on a wide range of criminal sanctions in order to punish any racist practice in a manner commensurate with its gravity</w:t>
      </w:r>
      <w:r w:rsidR="004649CB">
        <w:t>.</w:t>
      </w:r>
      <w:r w:rsidRPr="00E90509">
        <w:t xml:space="preserve"> The legal reforms under way address this recommendation.</w:t>
      </w:r>
    </w:p>
    <w:p w:rsidR="00E90509" w:rsidRPr="00E90509" w:rsidRDefault="00E90509" w:rsidP="00E90509">
      <w:pPr>
        <w:pStyle w:val="H1G"/>
      </w:pPr>
      <w:r w:rsidRPr="00E90509">
        <w:tab/>
      </w:r>
      <w:r w:rsidRPr="00E90509">
        <w:tab/>
      </w:r>
      <w:bookmarkStart w:id="177" w:name="_Toc479237769"/>
      <w:r w:rsidRPr="00E90509">
        <w:t>Article 4</w:t>
      </w:r>
      <w:bookmarkEnd w:id="177"/>
    </w:p>
    <w:p w:rsidR="00E90509" w:rsidRPr="00E90509" w:rsidRDefault="00E90509" w:rsidP="00E90509">
      <w:pPr>
        <w:pStyle w:val="SingleTxtG"/>
      </w:pPr>
      <w:r w:rsidRPr="00E90509">
        <w:t>104.</w:t>
      </w:r>
      <w:r w:rsidRPr="00E90509">
        <w:tab/>
        <w:t>The State has taken legislative and regulatory measures to combat discrimination through the following actions:</w:t>
      </w:r>
    </w:p>
    <w:p w:rsidR="00E90509" w:rsidRPr="00E90509" w:rsidRDefault="00E90509" w:rsidP="00E90509">
      <w:pPr>
        <w:pStyle w:val="Bullet1G"/>
      </w:pPr>
      <w:r w:rsidRPr="00E90509">
        <w:t>The adoption of legislation criminalizing slavery and slavery-like practices.</w:t>
      </w:r>
    </w:p>
    <w:p w:rsidR="00E90509" w:rsidRPr="00E90509" w:rsidRDefault="00E90509" w:rsidP="00E90509">
      <w:pPr>
        <w:pStyle w:val="Bullet1G"/>
      </w:pPr>
      <w:r w:rsidRPr="00E90509">
        <w:lastRenderedPageBreak/>
        <w:t>The adoption of a road map and action plan for the eradication of contemporary forms of slavery.</w:t>
      </w:r>
    </w:p>
    <w:p w:rsidR="00E90509" w:rsidRPr="00E90509" w:rsidRDefault="00E90509" w:rsidP="00E90509">
      <w:pPr>
        <w:pStyle w:val="Bullet1G"/>
      </w:pPr>
      <w:r w:rsidRPr="00E90509">
        <w:t>The adoption of legislation on legal aid and the development of a national strategy on access to justice to facilitate its implementation.</w:t>
      </w:r>
    </w:p>
    <w:p w:rsidR="00E90509" w:rsidRPr="00E90509" w:rsidRDefault="00E90509" w:rsidP="00E90509">
      <w:pPr>
        <w:pStyle w:val="Bullet1G"/>
      </w:pPr>
      <w:r w:rsidRPr="00E90509">
        <w:t>The criminalization of torture and the establishment of a national mechanism for its prevention.</w:t>
      </w:r>
    </w:p>
    <w:p w:rsidR="00E90509" w:rsidRPr="00E90509" w:rsidRDefault="00E90509" w:rsidP="00E90509">
      <w:pPr>
        <w:pStyle w:val="Bullet1G"/>
      </w:pPr>
      <w:r w:rsidRPr="00E90509">
        <w:t>The implementation of the tripartite agreement on the repatriation of Mauritanian refugees in Senegal (2009-2012).</w:t>
      </w:r>
    </w:p>
    <w:p w:rsidR="00E90509" w:rsidRPr="00E90509" w:rsidRDefault="00E90509" w:rsidP="00E90509">
      <w:pPr>
        <w:pStyle w:val="Bullet1G"/>
      </w:pPr>
      <w:r w:rsidRPr="00E90509">
        <w:t>The operationalization of the National Human Rights Commission, in line with the Paris Principles.</w:t>
      </w:r>
    </w:p>
    <w:p w:rsidR="00E90509" w:rsidRPr="00E90509" w:rsidRDefault="00E90509" w:rsidP="00E90509">
      <w:pPr>
        <w:pStyle w:val="Bullet1G"/>
      </w:pPr>
      <w:r w:rsidRPr="00E90509">
        <w:t>The implementation of the Convention against Torture and its optional protocol.</w:t>
      </w:r>
    </w:p>
    <w:p w:rsidR="00E90509" w:rsidRPr="00E90509" w:rsidRDefault="00E90509" w:rsidP="00E90509">
      <w:pPr>
        <w:pStyle w:val="Bullet1G"/>
      </w:pPr>
      <w:r w:rsidRPr="00E90509">
        <w:t>The lifting of all restrictions on the freedom of association, including the recognition of the member organizations of the National Forum for Human Rights Organizations.</w:t>
      </w:r>
    </w:p>
    <w:p w:rsidR="00E90509" w:rsidRPr="00E90509" w:rsidRDefault="00E90509" w:rsidP="00E90509">
      <w:pPr>
        <w:pStyle w:val="Bullet1G"/>
      </w:pPr>
      <w:r w:rsidRPr="00E90509">
        <w:t>The decriminalization of press offences.</w:t>
      </w:r>
    </w:p>
    <w:p w:rsidR="00E90509" w:rsidRPr="00E90509" w:rsidRDefault="00E90509" w:rsidP="00E90509">
      <w:pPr>
        <w:pStyle w:val="Bullet1G"/>
      </w:pPr>
      <w:r w:rsidRPr="00E90509">
        <w:t>The harmonization of provisions relating to nationality.</w:t>
      </w:r>
    </w:p>
    <w:p w:rsidR="00E90509" w:rsidRPr="00E90509" w:rsidRDefault="00E90509" w:rsidP="00E90509">
      <w:pPr>
        <w:pStyle w:val="Bullet1G"/>
      </w:pPr>
      <w:r w:rsidRPr="00E90509">
        <w:t>The prohibition of discrimination in access to public services and employment.</w:t>
      </w:r>
    </w:p>
    <w:p w:rsidR="00E90509" w:rsidRPr="00E90509" w:rsidRDefault="00E90509" w:rsidP="00E90509">
      <w:pPr>
        <w:pStyle w:val="SingleTxtG"/>
      </w:pPr>
      <w:r w:rsidRPr="00E90509">
        <w:t>105.</w:t>
      </w:r>
      <w:r w:rsidRPr="00E90509">
        <w:tab/>
        <w:t xml:space="preserve">Mauritania has incorporated in its anti-discrimination strategy the recommendations of the Committee and those of the Special Rapporteur on contemporary forms of racism, racial discrimination, xenophobia and related intolerance. </w:t>
      </w:r>
    </w:p>
    <w:p w:rsidR="00E90509" w:rsidRPr="00E90509" w:rsidRDefault="00E90509" w:rsidP="00E90509">
      <w:pPr>
        <w:pStyle w:val="SingleTxtG"/>
        <w:rPr>
          <w:rFonts w:eastAsia="Times New Roman"/>
        </w:rPr>
      </w:pPr>
      <w:r w:rsidRPr="00E90509">
        <w:t>106.</w:t>
      </w:r>
      <w:r w:rsidRPr="00E90509">
        <w:tab/>
        <w:t>In 2009, the Government implemented a national programme for conflict prevention and greater social unity designed to develop a culture of citizenship and ensure the equitable distribution of resources to vulnerable populations, in particular Mauritanians repatriated from Senegal and populations affected by the consequences of slavery.</w:t>
      </w:r>
    </w:p>
    <w:p w:rsidR="00E90509" w:rsidRPr="00E90509" w:rsidRDefault="00E90509" w:rsidP="00E90509">
      <w:pPr>
        <w:pStyle w:val="SingleTxtG"/>
        <w:rPr>
          <w:rFonts w:eastAsia="Times New Roman"/>
        </w:rPr>
      </w:pPr>
      <w:r w:rsidRPr="00E90509">
        <w:t>107.</w:t>
      </w:r>
      <w:r w:rsidRPr="00E90509">
        <w:tab/>
        <w:t>The Labour Code enshrines the principle of non-discrimination and expressly establishes equality of access to employment. It prohibits any discrimination, distinction, exclusion or preference based on race, national origin, colour, sex, religion, political opinion or social background.</w:t>
      </w:r>
    </w:p>
    <w:p w:rsidR="00E90509" w:rsidRPr="00E90509" w:rsidRDefault="00E90509" w:rsidP="00E90509">
      <w:pPr>
        <w:pStyle w:val="SingleTxtG"/>
      </w:pPr>
      <w:r w:rsidRPr="00E90509">
        <w:t>108.</w:t>
      </w:r>
      <w:r w:rsidRPr="00E90509">
        <w:tab/>
        <w:t>Mauritanian law prohibits all incitement to acts of racial discrimination. It contains a series of provisions declaring punishable by law all dissemination of ideas based on racial superiority or hatred, any incitement to ra</w:t>
      </w:r>
      <w:r w:rsidR="00A7152F">
        <w:t>cial discrimination</w:t>
      </w:r>
      <w:r w:rsidRPr="00E90509">
        <w:t>, as well as all acts of violence or provocation</w:t>
      </w:r>
      <w:r w:rsidR="00A7152F">
        <w:t xml:space="preserve"> </w:t>
      </w:r>
      <w:r w:rsidRPr="00E90509">
        <w:t>against any race or group of persons of another colour or ethnic origin.</w:t>
      </w:r>
    </w:p>
    <w:p w:rsidR="00E90509" w:rsidRPr="00E90509" w:rsidRDefault="00E90509" w:rsidP="00E90509">
      <w:pPr>
        <w:pStyle w:val="SingleTxtG"/>
      </w:pPr>
      <w:r w:rsidRPr="00E90509">
        <w:t>109.</w:t>
      </w:r>
      <w:r w:rsidRPr="00E90509">
        <w:tab/>
        <w:t>The Government does not support or tolerate any acts of racial discrimination. The functioning of the State and public institutions is governed by the Constitution, which prohibits and criminalizes racial discrimination. This prohibition is enshrined in the Act regulating the civil service, the main legislation governing the functioning of public administration in Mauritania.</w:t>
      </w:r>
    </w:p>
    <w:p w:rsidR="00E90509" w:rsidRPr="00E90509" w:rsidRDefault="00E90509" w:rsidP="00E90509">
      <w:pPr>
        <w:pStyle w:val="SingleTxtG"/>
        <w:rPr>
          <w:rFonts w:eastAsia="Times New Roman"/>
        </w:rPr>
      </w:pPr>
      <w:r w:rsidRPr="00E90509">
        <w:t>110.</w:t>
      </w:r>
      <w:r w:rsidRPr="00E90509">
        <w:tab/>
        <w:t>Under the international human rights conventions ratified by Mauritania, public institutions are obliged to prohibit and combat discrimination.</w:t>
      </w:r>
    </w:p>
    <w:p w:rsidR="00E90509" w:rsidRPr="00E90509" w:rsidRDefault="00E90509" w:rsidP="00E90509">
      <w:pPr>
        <w:pStyle w:val="SingleTxtG"/>
        <w:rPr>
          <w:rFonts w:eastAsia="Times New Roman"/>
        </w:rPr>
      </w:pPr>
      <w:r w:rsidRPr="00E90509">
        <w:t>111.</w:t>
      </w:r>
      <w:r w:rsidRPr="00E90509">
        <w:tab/>
        <w:t>The Criminal Code addresses discrimination in section II, on crimes and offences against individuals. Chapter 1 of the Code, on crimes and offences against the person, allows judges to draw on a wide range of criminal sanctions in order to punish any racist practice in a manner commensurate with its gravity</w:t>
      </w:r>
      <w:r w:rsidR="00B952DA">
        <w:t>.</w:t>
      </w:r>
    </w:p>
    <w:p w:rsidR="00E90509" w:rsidRPr="00E90509" w:rsidRDefault="00E90509" w:rsidP="00E90509">
      <w:pPr>
        <w:pStyle w:val="SingleTxtG"/>
      </w:pPr>
      <w:r w:rsidRPr="00E90509">
        <w:t>112.</w:t>
      </w:r>
      <w:r w:rsidRPr="00E90509">
        <w:tab/>
        <w:t>The allegations contained in paragraph 14 of the Committee</w:t>
      </w:r>
      <w:r w:rsidR="00FE5999">
        <w:t>’</w:t>
      </w:r>
      <w:r w:rsidRPr="00E90509">
        <w:t xml:space="preserve">s concluding observations (CERD/C/65/CO/5) are unfounded. The criteria and conditions for access to the civil service and to civilian and military positions are governed by the regulations in force, which make no distinction between Mauritanian citizens. </w:t>
      </w:r>
    </w:p>
    <w:p w:rsidR="00E90509" w:rsidRPr="00E90509" w:rsidRDefault="00E90509" w:rsidP="00E90509">
      <w:pPr>
        <w:pStyle w:val="H1G"/>
      </w:pPr>
      <w:r w:rsidRPr="00E90509">
        <w:lastRenderedPageBreak/>
        <w:tab/>
      </w:r>
      <w:r w:rsidRPr="00E90509">
        <w:tab/>
      </w:r>
      <w:bookmarkStart w:id="178" w:name="_Toc479237770"/>
      <w:r w:rsidRPr="00E90509">
        <w:t>Article 5</w:t>
      </w:r>
      <w:bookmarkEnd w:id="178"/>
      <w:r w:rsidRPr="00E90509">
        <w:t xml:space="preserve"> </w:t>
      </w:r>
    </w:p>
    <w:p w:rsidR="00E90509" w:rsidRPr="00E90509" w:rsidRDefault="00E90509" w:rsidP="00E90509">
      <w:pPr>
        <w:pStyle w:val="SingleTxtG"/>
        <w:rPr>
          <w:rFonts w:eastAsia="Times New Roman"/>
        </w:rPr>
      </w:pPr>
      <w:r w:rsidRPr="00E90509">
        <w:t>113.</w:t>
      </w:r>
      <w:r w:rsidRPr="00E90509">
        <w:tab/>
        <w:t xml:space="preserve">The Government has introduced a bill criminalizing and punishing racist offences and established legal aid mechanisms to enable access to justice for all citizens. </w:t>
      </w:r>
    </w:p>
    <w:p w:rsidR="00E90509" w:rsidRPr="00E90509" w:rsidRDefault="00E90509" w:rsidP="00E90509">
      <w:pPr>
        <w:pStyle w:val="SingleTxtG"/>
        <w:rPr>
          <w:rFonts w:eastAsia="Times New Roman"/>
        </w:rPr>
      </w:pPr>
      <w:r w:rsidRPr="00E90509">
        <w:t>114.</w:t>
      </w:r>
      <w:r w:rsidRPr="00E90509">
        <w:tab/>
        <w:t>The Government, parliament, political parties, professional associations and local authorities prioritize the exercise and equal enjoyment, without discrimination, of civil and political rights and individual and collective freedoms.</w:t>
      </w:r>
    </w:p>
    <w:p w:rsidR="00E90509" w:rsidRPr="00E90509" w:rsidRDefault="00E90509" w:rsidP="00E90509">
      <w:pPr>
        <w:pStyle w:val="SingleTxtG"/>
        <w:rPr>
          <w:rFonts w:eastAsia="Times New Roman"/>
        </w:rPr>
      </w:pPr>
      <w:r w:rsidRPr="00E90509">
        <w:t>115.</w:t>
      </w:r>
      <w:r w:rsidRPr="00E90509">
        <w:tab/>
        <w:t>The Government has implemented a migration policy encouraging entry, residence and employment for foreign nationals in Mauritania.</w:t>
      </w:r>
    </w:p>
    <w:p w:rsidR="00E90509" w:rsidRPr="00E90509" w:rsidRDefault="00E90509" w:rsidP="00E90509">
      <w:pPr>
        <w:pStyle w:val="SingleTxtG"/>
        <w:rPr>
          <w:rFonts w:eastAsia="Times New Roman"/>
        </w:rPr>
      </w:pPr>
      <w:r w:rsidRPr="00E90509">
        <w:t>116.</w:t>
      </w:r>
      <w:r w:rsidRPr="00E90509">
        <w:tab/>
        <w:t>The Criminal Code provides for the security of person and protection against violence or bodily harm, whether inflicted by government officials or by any individual or group. The penalties provided for in this regard range from loss of civil rights to imprisonment or a fine, the amount of which varies with the gravity of the offence.</w:t>
      </w:r>
    </w:p>
    <w:p w:rsidR="00E90509" w:rsidRPr="00E90509" w:rsidRDefault="00E90509" w:rsidP="00E90509">
      <w:pPr>
        <w:pStyle w:val="SingleTxtG"/>
        <w:rPr>
          <w:rFonts w:eastAsia="Times New Roman"/>
        </w:rPr>
      </w:pPr>
      <w:r w:rsidRPr="00E90509">
        <w:t>117.</w:t>
      </w:r>
      <w:r w:rsidRPr="00E90509">
        <w:tab/>
        <w:t xml:space="preserve">The eradication of contemporary forms of slavery and their consequences is a priority for the Government. To this end, on 6 March 2014, it adopted a road map for the eradication of contemporary forms of slavery and established an interministerial committee chaired by the Prime Minister, with a brief to implement the recommendations of the road map, and a technical committee for follow-up. </w:t>
      </w:r>
    </w:p>
    <w:p w:rsidR="00E90509" w:rsidRPr="00E90509" w:rsidRDefault="00E90509" w:rsidP="00E90509">
      <w:pPr>
        <w:pStyle w:val="SingleTxtG"/>
        <w:rPr>
          <w:rFonts w:eastAsia="Times New Roman"/>
        </w:rPr>
      </w:pPr>
      <w:r w:rsidRPr="00E90509">
        <w:t>118.</w:t>
      </w:r>
      <w:r w:rsidRPr="00E90509">
        <w:tab/>
        <w:t>The technical committee comprises</w:t>
      </w:r>
      <w:r w:rsidR="00A7152F">
        <w:t xml:space="preserve"> </w:t>
      </w:r>
      <w:r w:rsidRPr="00E90509">
        <w:t>representatives of ministries, the National Human Rights Commission and civil society organizations, with the OHCHR country office in Mauritania participating as an observer.</w:t>
      </w:r>
    </w:p>
    <w:p w:rsidR="00E90509" w:rsidRPr="00E90509" w:rsidRDefault="00E90509" w:rsidP="00E90509">
      <w:pPr>
        <w:pStyle w:val="SingleTxtG"/>
      </w:pPr>
      <w:r w:rsidRPr="00E90509">
        <w:t>119.</w:t>
      </w:r>
      <w:r w:rsidRPr="00E90509">
        <w:tab/>
        <w:t xml:space="preserve">An action plan for implementation of the road map was adopted on 30 September 2014 and the following action was taken: </w:t>
      </w:r>
    </w:p>
    <w:p w:rsidR="00E90509" w:rsidRPr="00E90509" w:rsidRDefault="00E90509" w:rsidP="00E90509">
      <w:pPr>
        <w:pStyle w:val="Bullet1G"/>
      </w:pPr>
      <w:r w:rsidRPr="00E90509">
        <w:t xml:space="preserve">The adoption of Act No. 2015-031 of 10 September 2015 repealing and replacing Act No. 048/2007 criminalizing slavery and punishing slavery-like practices, which grants NGOs the right to intervene as a third party in court proceedings. </w:t>
      </w:r>
    </w:p>
    <w:p w:rsidR="00E90509" w:rsidRPr="00E90509" w:rsidRDefault="00E90509" w:rsidP="00E90509">
      <w:pPr>
        <w:pStyle w:val="Bullet1G"/>
      </w:pPr>
      <w:r w:rsidRPr="00E90509">
        <w:t>The commemoration on 6 March each year of the national day to address the consequences of slavery.</w:t>
      </w:r>
    </w:p>
    <w:p w:rsidR="00E90509" w:rsidRPr="00E90509" w:rsidRDefault="00E90509" w:rsidP="00E90509">
      <w:pPr>
        <w:pStyle w:val="Bullet1G"/>
      </w:pPr>
      <w:r w:rsidRPr="00E90509">
        <w:t>The introduction of a cash transfer programme to help finance school enrolment for school-age children from families living in poverty and/or affected by the consequences of slavery.</w:t>
      </w:r>
    </w:p>
    <w:p w:rsidR="00E90509" w:rsidRPr="00E90509" w:rsidRDefault="00E90509" w:rsidP="00E90509">
      <w:pPr>
        <w:pStyle w:val="Bullet1G"/>
      </w:pPr>
      <w:r w:rsidRPr="00E90509">
        <w:t>The approval of a plan of action to combat child labour.</w:t>
      </w:r>
    </w:p>
    <w:p w:rsidR="00E90509" w:rsidRPr="00E90509" w:rsidRDefault="00E90509" w:rsidP="00E90509">
      <w:pPr>
        <w:pStyle w:val="Bullet1G"/>
      </w:pPr>
      <w:r w:rsidRPr="00E90509">
        <w:t>The development of educational infrastructure such as schools and school canteens in education priority zones.</w:t>
      </w:r>
    </w:p>
    <w:p w:rsidR="00E90509" w:rsidRPr="00E90509" w:rsidRDefault="00E90509" w:rsidP="00E90509">
      <w:pPr>
        <w:pStyle w:val="Bullet1G"/>
      </w:pPr>
      <w:r w:rsidRPr="00E90509">
        <w:t>The organization of campaigns to raise awareness of the unacceptability of slavery.</w:t>
      </w:r>
    </w:p>
    <w:p w:rsidR="00E90509" w:rsidRPr="00E90509" w:rsidRDefault="00E90509" w:rsidP="00E90509">
      <w:pPr>
        <w:pStyle w:val="Bullet1G"/>
      </w:pPr>
      <w:r w:rsidRPr="00E90509">
        <w:t xml:space="preserve">The organization of workshops for civil society organizations and the media on anti-slavery legislation. </w:t>
      </w:r>
    </w:p>
    <w:p w:rsidR="00E90509" w:rsidRPr="00E90509" w:rsidRDefault="00E90509" w:rsidP="00E90509">
      <w:pPr>
        <w:pStyle w:val="Bullet1G"/>
      </w:pPr>
      <w:r w:rsidRPr="00E90509">
        <w:t>The promulgation by the Association of Ulemas (Religious Leaders), on 27 March 2015, of a fatwa on the illegitimacy of the practice of slavery.</w:t>
      </w:r>
    </w:p>
    <w:p w:rsidR="00E90509" w:rsidRPr="00E90509" w:rsidRDefault="00E90509" w:rsidP="00E90509">
      <w:pPr>
        <w:pStyle w:val="Bullet1G"/>
      </w:pPr>
      <w:r w:rsidRPr="00E90509">
        <w:t>The implementation of income-generating projects for persons affected by the consequences of slavery.</w:t>
      </w:r>
    </w:p>
    <w:p w:rsidR="00E90509" w:rsidRPr="00E90509" w:rsidRDefault="00E90509" w:rsidP="00E90509">
      <w:pPr>
        <w:pStyle w:val="Bullet1G"/>
      </w:pPr>
      <w:r w:rsidRPr="00E90509">
        <w:t xml:space="preserve">The annual allocation of 2.8 billion Mauritanian ouguiyas (UM) (US$9.7 million) from the State budget for the implementation of programmes run by Tadamoun, the National Agency for the Eradication of the Consequences of Slavery, for Social Integration and for Action to Fight Poverty. </w:t>
      </w:r>
    </w:p>
    <w:p w:rsidR="00E90509" w:rsidRPr="00E90509" w:rsidRDefault="00E90509" w:rsidP="00E90509">
      <w:pPr>
        <w:pStyle w:val="SingleTxtG"/>
      </w:pPr>
      <w:r w:rsidRPr="00E90509">
        <w:t>120.</w:t>
      </w:r>
      <w:r w:rsidRPr="00E90509">
        <w:tab/>
        <w:t xml:space="preserve">Thanks to this funding, it has been possible to carry out projects in education, vocational training, health, water provision, agriculture, livestock farming, fisheries, environment, affordable housing and small trades, particularly in priority areas. In addition, the agency is authorized to intervene as a third party in criminal proceedings in cases involving slavery. </w:t>
      </w:r>
    </w:p>
    <w:p w:rsidR="00E90509" w:rsidRPr="00E90509" w:rsidRDefault="00E90509" w:rsidP="00E90509">
      <w:pPr>
        <w:pStyle w:val="SingleTxtG"/>
      </w:pPr>
      <w:r w:rsidRPr="00E90509">
        <w:lastRenderedPageBreak/>
        <w:t>121.</w:t>
      </w:r>
      <w:r w:rsidRPr="00E90509">
        <w:tab/>
        <w:t xml:space="preserve">In 2016, Tadamoun carried out the following activities as part of efforts to eradicate the consequences of slavery: </w:t>
      </w:r>
    </w:p>
    <w:p w:rsidR="00E90509" w:rsidRPr="00E90509" w:rsidRDefault="00E90509" w:rsidP="00E90509">
      <w:pPr>
        <w:pStyle w:val="H23G"/>
      </w:pPr>
      <w:r w:rsidRPr="00E90509">
        <w:tab/>
      </w:r>
      <w:r w:rsidRPr="00E90509">
        <w:tab/>
        <w:t>Construction of schools</w:t>
      </w:r>
    </w:p>
    <w:tbl>
      <w:tblPr>
        <w:tblW w:w="7370" w:type="dxa"/>
        <w:tblInd w:w="1134" w:type="dxa"/>
        <w:tblBorders>
          <w:top w:val="single" w:sz="4" w:space="0" w:color="auto"/>
        </w:tblBorders>
        <w:tblLayout w:type="fixed"/>
        <w:tblCellMar>
          <w:left w:w="0" w:type="dxa"/>
          <w:right w:w="57" w:type="dxa"/>
        </w:tblCellMar>
        <w:tblLook w:val="04A0" w:firstRow="1" w:lastRow="0" w:firstColumn="1" w:lastColumn="0" w:noHBand="0" w:noVBand="1"/>
      </w:tblPr>
      <w:tblGrid>
        <w:gridCol w:w="3968"/>
        <w:gridCol w:w="3402"/>
      </w:tblGrid>
      <w:tr w:rsidR="00E90509" w:rsidRPr="00E90509" w:rsidTr="00E45E3B">
        <w:trPr>
          <w:trHeight w:val="240"/>
          <w:tblHeader/>
        </w:trPr>
        <w:tc>
          <w:tcPr>
            <w:tcW w:w="3968" w:type="dxa"/>
            <w:tcBorders>
              <w:top w:val="single" w:sz="4" w:space="0" w:color="auto"/>
              <w:bottom w:val="single" w:sz="12" w:space="0" w:color="auto"/>
            </w:tcBorders>
            <w:shd w:val="clear" w:color="auto" w:fill="auto"/>
            <w:vAlign w:val="bottom"/>
          </w:tcPr>
          <w:p w:rsidR="00E90509" w:rsidRPr="00DE7956" w:rsidRDefault="00E90509" w:rsidP="00DE7956">
            <w:pPr>
              <w:spacing w:before="80" w:after="80" w:line="200" w:lineRule="exact"/>
              <w:rPr>
                <w:i/>
                <w:iCs/>
                <w:sz w:val="16"/>
                <w:szCs w:val="16"/>
              </w:rPr>
            </w:pPr>
            <w:r w:rsidRPr="00DE7956">
              <w:rPr>
                <w:i/>
                <w:iCs/>
                <w:sz w:val="16"/>
                <w:szCs w:val="16"/>
              </w:rPr>
              <w:t>Facility</w:t>
            </w:r>
          </w:p>
        </w:tc>
        <w:tc>
          <w:tcPr>
            <w:tcW w:w="3402" w:type="dxa"/>
            <w:tcBorders>
              <w:top w:val="single" w:sz="4" w:space="0" w:color="auto"/>
              <w:bottom w:val="single" w:sz="12" w:space="0" w:color="auto"/>
            </w:tcBorders>
            <w:shd w:val="clear" w:color="auto" w:fill="auto"/>
            <w:vAlign w:val="bottom"/>
          </w:tcPr>
          <w:p w:rsidR="00E90509" w:rsidRPr="00DE7956" w:rsidRDefault="00E90509" w:rsidP="00DE7956">
            <w:pPr>
              <w:spacing w:before="80" w:after="80" w:line="200" w:lineRule="exact"/>
              <w:rPr>
                <w:i/>
                <w:iCs/>
                <w:sz w:val="16"/>
                <w:szCs w:val="16"/>
              </w:rPr>
            </w:pPr>
            <w:r w:rsidRPr="00DE7956">
              <w:rPr>
                <w:i/>
                <w:iCs/>
                <w:sz w:val="16"/>
                <w:szCs w:val="16"/>
              </w:rPr>
              <w:t>Location</w:t>
            </w:r>
          </w:p>
        </w:tc>
      </w:tr>
      <w:tr w:rsidR="00DE7956" w:rsidRPr="00E90509" w:rsidTr="00E45E3B">
        <w:trPr>
          <w:trHeight w:hRule="exact" w:val="113"/>
          <w:tblHeader/>
        </w:trPr>
        <w:tc>
          <w:tcPr>
            <w:tcW w:w="3968" w:type="dxa"/>
            <w:tcBorders>
              <w:top w:val="single" w:sz="12" w:space="0" w:color="auto"/>
              <w:bottom w:val="nil"/>
            </w:tcBorders>
            <w:shd w:val="clear" w:color="auto" w:fill="auto"/>
            <w:vAlign w:val="bottom"/>
          </w:tcPr>
          <w:p w:rsidR="00DE7956" w:rsidRPr="00DE7956" w:rsidRDefault="00DE7956" w:rsidP="00DE7956">
            <w:pPr>
              <w:spacing w:before="80" w:after="80" w:line="200" w:lineRule="exact"/>
              <w:rPr>
                <w:i/>
                <w:iCs/>
                <w:sz w:val="16"/>
                <w:szCs w:val="16"/>
              </w:rPr>
            </w:pPr>
          </w:p>
        </w:tc>
        <w:tc>
          <w:tcPr>
            <w:tcW w:w="3402" w:type="dxa"/>
            <w:tcBorders>
              <w:top w:val="single" w:sz="12" w:space="0" w:color="auto"/>
              <w:bottom w:val="nil"/>
            </w:tcBorders>
            <w:shd w:val="clear" w:color="auto" w:fill="auto"/>
            <w:vAlign w:val="bottom"/>
          </w:tcPr>
          <w:p w:rsidR="00DE7956" w:rsidRPr="00DE7956" w:rsidRDefault="00DE7956" w:rsidP="00DE7956">
            <w:pPr>
              <w:spacing w:before="80" w:after="80" w:line="200" w:lineRule="exact"/>
              <w:rPr>
                <w:i/>
                <w:iCs/>
                <w:sz w:val="16"/>
                <w:szCs w:val="16"/>
              </w:rPr>
            </w:pPr>
          </w:p>
        </w:tc>
      </w:tr>
      <w:tr w:rsidR="00E90509" w:rsidRPr="00E90509" w:rsidTr="00DE7956">
        <w:trPr>
          <w:trHeight w:val="240"/>
        </w:trPr>
        <w:tc>
          <w:tcPr>
            <w:tcW w:w="3968" w:type="dxa"/>
            <w:tcBorders>
              <w:top w:val="nil"/>
            </w:tcBorders>
            <w:shd w:val="clear" w:color="auto" w:fill="auto"/>
          </w:tcPr>
          <w:p w:rsidR="00E90509" w:rsidRPr="00E90509" w:rsidRDefault="00E90509" w:rsidP="00DE7956">
            <w:pPr>
              <w:spacing w:before="40" w:after="120"/>
            </w:pPr>
            <w:r w:rsidRPr="00E90509">
              <w:t>Full primary school</w:t>
            </w:r>
          </w:p>
        </w:tc>
        <w:tc>
          <w:tcPr>
            <w:tcW w:w="3402" w:type="dxa"/>
            <w:tcBorders>
              <w:top w:val="nil"/>
            </w:tcBorders>
            <w:shd w:val="clear" w:color="auto" w:fill="auto"/>
          </w:tcPr>
          <w:p w:rsidR="00E90509" w:rsidRPr="00E90509" w:rsidRDefault="00E90509" w:rsidP="00DE7956">
            <w:pPr>
              <w:spacing w:before="40" w:after="120"/>
            </w:pPr>
            <w:r w:rsidRPr="00E90509">
              <w:t>Laoussi, Barkeol commune, Assaba</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primary school in Jrana</w:t>
            </w:r>
          </w:p>
        </w:tc>
        <w:tc>
          <w:tcPr>
            <w:tcW w:w="3402" w:type="dxa"/>
            <w:shd w:val="clear" w:color="auto" w:fill="auto"/>
          </w:tcPr>
          <w:p w:rsidR="00E90509" w:rsidRPr="00E90509" w:rsidRDefault="00E90509" w:rsidP="00DE7956">
            <w:pPr>
              <w:spacing w:before="40" w:after="120"/>
            </w:pPr>
            <w:r w:rsidRPr="00E90509">
              <w:t>Adel Bagrou commune, Hodh Ech Charghi</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School complex in Touymiret Lemarid</w:t>
            </w:r>
          </w:p>
        </w:tc>
        <w:tc>
          <w:tcPr>
            <w:tcW w:w="3402" w:type="dxa"/>
            <w:shd w:val="clear" w:color="auto" w:fill="auto"/>
          </w:tcPr>
          <w:p w:rsidR="00E90509" w:rsidRPr="00E90509" w:rsidRDefault="00E90509" w:rsidP="00DE7956">
            <w:pPr>
              <w:spacing w:before="40" w:after="120"/>
            </w:pPr>
            <w:r w:rsidRPr="00E90509">
              <w:t>Bougadoum commune, Hodh Ech Charghi</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primary school in Yengui leksar</w:t>
            </w:r>
          </w:p>
        </w:tc>
        <w:tc>
          <w:tcPr>
            <w:tcW w:w="3402" w:type="dxa"/>
            <w:shd w:val="clear" w:color="auto" w:fill="auto"/>
          </w:tcPr>
          <w:p w:rsidR="00E90509" w:rsidRPr="00E90509" w:rsidRDefault="00E90509" w:rsidP="00DE7956">
            <w:pPr>
              <w:spacing w:before="40" w:after="120"/>
            </w:pPr>
            <w:r w:rsidRPr="00E90509">
              <w:t>Koumbi Saleh commune, Hodh Ech Charghi</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 xml:space="preserve">Primary school in Afodiar Nouazir, Bokol commune </w:t>
            </w:r>
          </w:p>
        </w:tc>
        <w:tc>
          <w:tcPr>
            <w:tcW w:w="3402" w:type="dxa"/>
            <w:shd w:val="clear" w:color="auto" w:fill="auto"/>
          </w:tcPr>
          <w:p w:rsidR="00E90509" w:rsidRPr="00E90509" w:rsidRDefault="00E90509" w:rsidP="00DE7956">
            <w:pPr>
              <w:spacing w:before="40" w:after="120"/>
            </w:pPr>
            <w:r w:rsidRPr="00E90509">
              <w:t xml:space="preserve">Monguel </w:t>
            </w:r>
            <w:r w:rsidRPr="00C44D5C">
              <w:rPr>
                <w:i/>
                <w:iCs/>
              </w:rPr>
              <w:t>moughataa</w:t>
            </w:r>
            <w:r w:rsidRPr="00E90509">
              <w:t>, Gorgol</w:t>
            </w:r>
          </w:p>
        </w:tc>
      </w:tr>
      <w:tr w:rsidR="00E90509" w:rsidRPr="00D66732" w:rsidTr="00E90509">
        <w:trPr>
          <w:trHeight w:val="240"/>
        </w:trPr>
        <w:tc>
          <w:tcPr>
            <w:tcW w:w="3968" w:type="dxa"/>
            <w:shd w:val="clear" w:color="auto" w:fill="auto"/>
          </w:tcPr>
          <w:p w:rsidR="00E90509" w:rsidRPr="00E90509" w:rsidRDefault="00E90509" w:rsidP="00DE7956">
            <w:pPr>
              <w:spacing w:before="40" w:after="120"/>
            </w:pPr>
            <w:r w:rsidRPr="00E90509">
              <w:t xml:space="preserve">Full primary school in Elmachra (Lot 1) </w:t>
            </w:r>
          </w:p>
        </w:tc>
        <w:tc>
          <w:tcPr>
            <w:tcW w:w="3402" w:type="dxa"/>
            <w:shd w:val="clear" w:color="auto" w:fill="auto"/>
          </w:tcPr>
          <w:p w:rsidR="00E90509" w:rsidRPr="00E90509" w:rsidRDefault="00E90509" w:rsidP="00DE7956">
            <w:pPr>
              <w:spacing w:before="40" w:after="120"/>
              <w:rPr>
                <w:lang w:val="fr-CH"/>
              </w:rPr>
            </w:pPr>
            <w:r w:rsidRPr="00E90509">
              <w:rPr>
                <w:lang w:val="fr-CH"/>
              </w:rPr>
              <w:t xml:space="preserve">Tamouret Enaj commune, Moudjeria </w:t>
            </w:r>
            <w:r w:rsidRPr="00C44D5C">
              <w:rPr>
                <w:i/>
                <w:iCs/>
                <w:lang w:val="fr-CH"/>
              </w:rPr>
              <w:t>moughataa</w:t>
            </w:r>
            <w:r w:rsidRPr="00E90509">
              <w:rPr>
                <w:lang w:val="fr-CH"/>
              </w:rPr>
              <w:t>, Tagant</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 xml:space="preserve">Full school in </w:t>
            </w:r>
            <w:proofErr w:type="spellStart"/>
            <w:r w:rsidRPr="00E90509">
              <w:t>Akneikir</w:t>
            </w:r>
            <w:proofErr w:type="spellEnd"/>
            <w:r w:rsidRPr="00E90509">
              <w:t xml:space="preserve">, </w:t>
            </w:r>
            <w:proofErr w:type="spellStart"/>
            <w:r w:rsidRPr="00E90509">
              <w:t>Tamouret</w:t>
            </w:r>
            <w:proofErr w:type="spellEnd"/>
            <w:r w:rsidRPr="00E90509">
              <w:t xml:space="preserve"> </w:t>
            </w:r>
            <w:proofErr w:type="spellStart"/>
            <w:r w:rsidRPr="00E90509">
              <w:t>Enaj</w:t>
            </w:r>
            <w:proofErr w:type="spellEnd"/>
            <w:r w:rsidRPr="00E90509">
              <w:t xml:space="preserve"> commune (Lot 2) </w:t>
            </w:r>
          </w:p>
        </w:tc>
        <w:tc>
          <w:tcPr>
            <w:tcW w:w="3402" w:type="dxa"/>
            <w:shd w:val="clear" w:color="auto" w:fill="auto"/>
          </w:tcPr>
          <w:p w:rsidR="00E90509" w:rsidRPr="00E90509" w:rsidRDefault="00E90509" w:rsidP="00DE7956">
            <w:pPr>
              <w:spacing w:before="40" w:after="120"/>
            </w:pPr>
            <w:r w:rsidRPr="00E90509">
              <w:t xml:space="preserve">Moudjeria </w:t>
            </w:r>
            <w:r w:rsidRPr="00C44D5C">
              <w:rPr>
                <w:i/>
                <w:iCs/>
              </w:rPr>
              <w:t>moughataa</w:t>
            </w:r>
            <w:r w:rsidRPr="00E90509">
              <w:t>, Tagant</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Medina, Touil commune (Lot 1)</w:t>
            </w:r>
          </w:p>
        </w:tc>
        <w:tc>
          <w:tcPr>
            <w:tcW w:w="3402" w:type="dxa"/>
            <w:shd w:val="clear" w:color="auto" w:fill="auto"/>
          </w:tcPr>
          <w:p w:rsidR="00E90509" w:rsidRPr="00E90509" w:rsidRDefault="00E90509" w:rsidP="00DE7956">
            <w:pPr>
              <w:spacing w:before="40" w:after="120"/>
            </w:pPr>
            <w:r w:rsidRPr="00E90509">
              <w:t xml:space="preserve">Tintane </w:t>
            </w:r>
            <w:r w:rsidRPr="00C44D5C">
              <w:rPr>
                <w:i/>
                <w:iCs/>
              </w:rPr>
              <w:t>moughataa</w:t>
            </w:r>
            <w:r w:rsidRPr="00E90509">
              <w:t>, Hodh El Gharbi</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Set, Touil commune (Lot 1)</w:t>
            </w:r>
          </w:p>
        </w:tc>
        <w:tc>
          <w:tcPr>
            <w:tcW w:w="3402" w:type="dxa"/>
            <w:shd w:val="clear" w:color="auto" w:fill="auto"/>
          </w:tcPr>
          <w:p w:rsidR="00E90509" w:rsidRPr="00E90509" w:rsidRDefault="00E90509" w:rsidP="00DE7956">
            <w:pPr>
              <w:spacing w:before="40" w:after="120"/>
            </w:pPr>
            <w:r w:rsidRPr="00E90509">
              <w:t xml:space="preserve">Tintane </w:t>
            </w:r>
            <w:r w:rsidRPr="00C44D5C">
              <w:rPr>
                <w:i/>
                <w:iCs/>
              </w:rPr>
              <w:t>moughataa</w:t>
            </w:r>
            <w:r w:rsidRPr="00E90509">
              <w:t>, Hodh El Gharbi</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Breima, Touil commune (Lot 2)</w:t>
            </w:r>
          </w:p>
        </w:tc>
        <w:tc>
          <w:tcPr>
            <w:tcW w:w="3402" w:type="dxa"/>
            <w:shd w:val="clear" w:color="auto" w:fill="auto"/>
          </w:tcPr>
          <w:p w:rsidR="00E90509" w:rsidRPr="00E90509" w:rsidRDefault="00E90509" w:rsidP="00DE7956">
            <w:pPr>
              <w:spacing w:before="40" w:after="120"/>
            </w:pPr>
            <w:r w:rsidRPr="00E90509">
              <w:t xml:space="preserve">Tintane </w:t>
            </w:r>
            <w:r w:rsidRPr="00C44D5C">
              <w:rPr>
                <w:i/>
                <w:iCs/>
              </w:rPr>
              <w:t>moughataa</w:t>
            </w:r>
            <w:r w:rsidRPr="00E90509">
              <w:t>, Hodh El Gharbi</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Kerkerate, Voulaniya commune (Lot 4)</w:t>
            </w:r>
          </w:p>
        </w:tc>
        <w:tc>
          <w:tcPr>
            <w:tcW w:w="3402" w:type="dxa"/>
            <w:shd w:val="clear" w:color="auto" w:fill="auto"/>
          </w:tcPr>
          <w:p w:rsidR="00E90509" w:rsidRPr="00E90509" w:rsidRDefault="00E90509" w:rsidP="00DE7956">
            <w:pPr>
              <w:spacing w:before="40" w:after="120"/>
            </w:pPr>
            <w:r w:rsidRPr="00E90509">
              <w:t xml:space="preserve">Kobenni </w:t>
            </w:r>
            <w:r w:rsidRPr="00C44D5C">
              <w:rPr>
                <w:i/>
                <w:iCs/>
              </w:rPr>
              <w:t>moughataa</w:t>
            </w:r>
            <w:r w:rsidRPr="00E90509">
              <w:t>, Hodh El Gharbi</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Gogui Zemal, Kobenni commune (Lot 4)</w:t>
            </w:r>
          </w:p>
        </w:tc>
        <w:tc>
          <w:tcPr>
            <w:tcW w:w="3402" w:type="dxa"/>
            <w:shd w:val="clear" w:color="auto" w:fill="auto"/>
          </w:tcPr>
          <w:p w:rsidR="00E90509" w:rsidRPr="00E90509" w:rsidRDefault="00E90509" w:rsidP="00DE7956">
            <w:pPr>
              <w:spacing w:before="40" w:after="120"/>
            </w:pPr>
            <w:r w:rsidRPr="00E90509">
              <w:t xml:space="preserve">Kobenni </w:t>
            </w:r>
            <w:r w:rsidRPr="00C44D5C">
              <w:rPr>
                <w:i/>
                <w:iCs/>
              </w:rPr>
              <w:t>moughataa</w:t>
            </w:r>
            <w:r w:rsidRPr="00E90509">
              <w:t>, Hodh El Gharbi</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Koussane, Vassala commune</w:t>
            </w:r>
          </w:p>
        </w:tc>
        <w:tc>
          <w:tcPr>
            <w:tcW w:w="3402" w:type="dxa"/>
            <w:shd w:val="clear" w:color="auto" w:fill="auto"/>
          </w:tcPr>
          <w:p w:rsidR="00E90509" w:rsidRPr="00E90509" w:rsidRDefault="00E90509" w:rsidP="00DE7956">
            <w:pPr>
              <w:spacing w:before="40" w:after="120"/>
            </w:pPr>
            <w:r w:rsidRPr="00E90509">
              <w:t xml:space="preserve">Bassikounou </w:t>
            </w:r>
            <w:r w:rsidRPr="00C44D5C">
              <w:rPr>
                <w:i/>
                <w:iCs/>
              </w:rPr>
              <w:t>moughataa</w:t>
            </w:r>
            <w:r w:rsidRPr="00E90509">
              <w:t>, Hodh Ech Charghi</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Terwen, Atar commune</w:t>
            </w:r>
          </w:p>
        </w:tc>
        <w:tc>
          <w:tcPr>
            <w:tcW w:w="3402" w:type="dxa"/>
            <w:shd w:val="clear" w:color="auto" w:fill="auto"/>
          </w:tcPr>
          <w:p w:rsidR="00E90509" w:rsidRPr="00E90509" w:rsidRDefault="00E90509" w:rsidP="00DE7956">
            <w:pPr>
              <w:spacing w:before="40" w:after="120"/>
            </w:pPr>
            <w:r w:rsidRPr="00E90509">
              <w:t xml:space="preserve">Atar </w:t>
            </w:r>
            <w:r w:rsidRPr="00C44D5C">
              <w:rPr>
                <w:i/>
                <w:iCs/>
              </w:rPr>
              <w:t>moughataa</w:t>
            </w:r>
            <w:r w:rsidRPr="00E90509">
              <w:t>, Adrar</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Kindierle, Vassala commune</w:t>
            </w:r>
          </w:p>
        </w:tc>
        <w:tc>
          <w:tcPr>
            <w:tcW w:w="3402" w:type="dxa"/>
            <w:shd w:val="clear" w:color="auto" w:fill="auto"/>
          </w:tcPr>
          <w:p w:rsidR="00E90509" w:rsidRPr="00E90509" w:rsidRDefault="00E90509" w:rsidP="00DE7956">
            <w:pPr>
              <w:spacing w:before="40" w:after="120"/>
            </w:pPr>
            <w:r w:rsidRPr="00E90509">
              <w:t xml:space="preserve">Bassikounou </w:t>
            </w:r>
            <w:r w:rsidRPr="00C44D5C">
              <w:rPr>
                <w:i/>
                <w:iCs/>
              </w:rPr>
              <w:t>moughataa</w:t>
            </w:r>
            <w:r w:rsidRPr="00E90509">
              <w:t>, Hodh Ech Charghi</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Likhdeima, Tamourt Naaj commune</w:t>
            </w:r>
          </w:p>
        </w:tc>
        <w:tc>
          <w:tcPr>
            <w:tcW w:w="3402" w:type="dxa"/>
            <w:shd w:val="clear" w:color="auto" w:fill="auto"/>
          </w:tcPr>
          <w:p w:rsidR="00E90509" w:rsidRPr="00E90509" w:rsidRDefault="00E90509" w:rsidP="00DE7956">
            <w:pPr>
              <w:spacing w:before="40" w:after="120"/>
            </w:pPr>
            <w:r w:rsidRPr="00E90509">
              <w:t xml:space="preserve">Moudjeria </w:t>
            </w:r>
            <w:r w:rsidRPr="00C44D5C">
              <w:rPr>
                <w:i/>
                <w:iCs/>
              </w:rPr>
              <w:t>moughataa</w:t>
            </w:r>
            <w:r w:rsidRPr="00E90509">
              <w:t>, Tagant</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Ouad Naga, Ouad Naga commune</w:t>
            </w:r>
          </w:p>
        </w:tc>
        <w:tc>
          <w:tcPr>
            <w:tcW w:w="3402" w:type="dxa"/>
            <w:shd w:val="clear" w:color="auto" w:fill="auto"/>
          </w:tcPr>
          <w:p w:rsidR="00E90509" w:rsidRPr="00E90509" w:rsidRDefault="00E90509" w:rsidP="00DE7956">
            <w:pPr>
              <w:spacing w:before="40" w:after="120"/>
            </w:pPr>
            <w:r w:rsidRPr="00E90509">
              <w:t xml:space="preserve">Ouad Naga </w:t>
            </w:r>
            <w:r w:rsidRPr="00C44D5C">
              <w:rPr>
                <w:i/>
                <w:iCs/>
              </w:rPr>
              <w:t>moughataa</w:t>
            </w:r>
            <w:r w:rsidRPr="00E90509">
              <w:t>, Trarza</w:t>
            </w: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Full school in Ouad Naga, Ouad Naga commune</w:t>
            </w:r>
          </w:p>
        </w:tc>
        <w:tc>
          <w:tcPr>
            <w:tcW w:w="3402" w:type="dxa"/>
            <w:shd w:val="clear" w:color="auto" w:fill="auto"/>
          </w:tcPr>
          <w:p w:rsidR="00E90509" w:rsidRPr="00E90509" w:rsidRDefault="00E90509" w:rsidP="00DE7956">
            <w:pPr>
              <w:spacing w:before="40" w:after="120"/>
            </w:pPr>
          </w:p>
        </w:tc>
      </w:tr>
      <w:tr w:rsidR="00E90509" w:rsidRPr="00E90509" w:rsidTr="00E90509">
        <w:trPr>
          <w:trHeight w:val="240"/>
        </w:trPr>
        <w:tc>
          <w:tcPr>
            <w:tcW w:w="3968" w:type="dxa"/>
            <w:shd w:val="clear" w:color="auto" w:fill="auto"/>
          </w:tcPr>
          <w:p w:rsidR="00E90509" w:rsidRPr="00E90509" w:rsidRDefault="00E90509" w:rsidP="00DE7956">
            <w:pPr>
              <w:spacing w:before="40" w:after="120"/>
            </w:pPr>
            <w:r w:rsidRPr="00E90509">
              <w:t>2 full schools in Bouratt</w:t>
            </w:r>
          </w:p>
        </w:tc>
        <w:tc>
          <w:tcPr>
            <w:tcW w:w="3402" w:type="dxa"/>
            <w:shd w:val="clear" w:color="auto" w:fill="auto"/>
          </w:tcPr>
          <w:p w:rsidR="00E90509" w:rsidRPr="00E90509" w:rsidRDefault="00E90509" w:rsidP="00DE7956">
            <w:pPr>
              <w:spacing w:before="40" w:after="120"/>
            </w:pPr>
            <w:r w:rsidRPr="00E90509">
              <w:t>Bouratt village group, Brakna</w:t>
            </w:r>
          </w:p>
        </w:tc>
      </w:tr>
      <w:tr w:rsidR="00E90509" w:rsidRPr="006A3709" w:rsidTr="00E90509">
        <w:trPr>
          <w:trHeight w:val="240"/>
        </w:trPr>
        <w:tc>
          <w:tcPr>
            <w:tcW w:w="3968" w:type="dxa"/>
            <w:shd w:val="clear" w:color="auto" w:fill="auto"/>
          </w:tcPr>
          <w:p w:rsidR="00E90509" w:rsidRPr="00E90509" w:rsidRDefault="00E90509" w:rsidP="00DE7956">
            <w:pPr>
              <w:spacing w:before="40" w:after="120"/>
            </w:pPr>
            <w:r w:rsidRPr="00E90509">
              <w:t>4 classrooms, office space, 3 latrines and boundary wall in Niaylia</w:t>
            </w:r>
          </w:p>
        </w:tc>
        <w:tc>
          <w:tcPr>
            <w:tcW w:w="3402" w:type="dxa"/>
            <w:shd w:val="clear" w:color="auto" w:fill="auto"/>
          </w:tcPr>
          <w:p w:rsidR="00E90509" w:rsidRPr="00E90509" w:rsidRDefault="00E90509" w:rsidP="00DE7956">
            <w:pPr>
              <w:spacing w:before="40" w:after="120"/>
              <w:rPr>
                <w:lang w:val="es-ES"/>
              </w:rPr>
            </w:pPr>
            <w:r w:rsidRPr="00E90509">
              <w:rPr>
                <w:lang w:val="es-ES"/>
              </w:rPr>
              <w:t>Niaylia, Touil, Hodh El Gharbi</w:t>
            </w:r>
          </w:p>
        </w:tc>
      </w:tr>
      <w:tr w:rsidR="00E90509" w:rsidRPr="00E90509" w:rsidTr="00E90509">
        <w:trPr>
          <w:trHeight w:val="240"/>
        </w:trPr>
        <w:tc>
          <w:tcPr>
            <w:tcW w:w="3968" w:type="dxa"/>
            <w:tcBorders>
              <w:bottom w:val="single" w:sz="4" w:space="0" w:color="000000" w:themeColor="text1"/>
            </w:tcBorders>
            <w:shd w:val="clear" w:color="auto" w:fill="auto"/>
          </w:tcPr>
          <w:p w:rsidR="00E90509" w:rsidRPr="00E90509" w:rsidRDefault="00E90509" w:rsidP="00DE7956">
            <w:pPr>
              <w:spacing w:before="40" w:after="120"/>
            </w:pPr>
            <w:r w:rsidRPr="00E90509">
              <w:t>4 classrooms, office space, 3 latrines and boundary wall in Hreijat Ehel Cheikh Ahmed</w:t>
            </w:r>
          </w:p>
        </w:tc>
        <w:tc>
          <w:tcPr>
            <w:tcW w:w="3402" w:type="dxa"/>
            <w:tcBorders>
              <w:bottom w:val="single" w:sz="4" w:space="0" w:color="000000" w:themeColor="text1"/>
            </w:tcBorders>
            <w:shd w:val="clear" w:color="auto" w:fill="auto"/>
          </w:tcPr>
          <w:p w:rsidR="00E90509" w:rsidRPr="00E90509" w:rsidRDefault="00E90509" w:rsidP="00DE7956">
            <w:pPr>
              <w:spacing w:before="40" w:after="120"/>
            </w:pPr>
            <w:r w:rsidRPr="00E90509">
              <w:t>Hreijat Ehel Cheikh Ahmed, Touil, Hodh El Gharbi</w:t>
            </w:r>
          </w:p>
        </w:tc>
      </w:tr>
      <w:tr w:rsidR="00E90509" w:rsidRPr="00E90509" w:rsidTr="00E90509">
        <w:trPr>
          <w:trHeight w:val="240"/>
        </w:trPr>
        <w:tc>
          <w:tcPr>
            <w:tcW w:w="7370" w:type="dxa"/>
            <w:gridSpan w:val="2"/>
            <w:tcBorders>
              <w:top w:val="single" w:sz="4" w:space="0" w:color="000000" w:themeColor="text1"/>
              <w:bottom w:val="single" w:sz="12" w:space="0" w:color="auto"/>
            </w:tcBorders>
            <w:shd w:val="clear" w:color="auto" w:fill="auto"/>
          </w:tcPr>
          <w:p w:rsidR="00E90509" w:rsidRPr="00BD2D6D" w:rsidRDefault="00E90509" w:rsidP="00BD2D6D">
            <w:pPr>
              <w:suppressAutoHyphens w:val="0"/>
              <w:spacing w:before="80" w:after="80" w:line="220" w:lineRule="exact"/>
              <w:ind w:left="283"/>
              <w:rPr>
                <w:b/>
                <w:sz w:val="18"/>
              </w:rPr>
            </w:pPr>
            <w:r w:rsidRPr="00BD2D6D">
              <w:rPr>
                <w:b/>
                <w:sz w:val="18"/>
              </w:rPr>
              <w:t>Total: 22 schools</w:t>
            </w:r>
          </w:p>
        </w:tc>
      </w:tr>
    </w:tbl>
    <w:p w:rsidR="00C33031" w:rsidRDefault="00C33031" w:rsidP="00C33031">
      <w:pPr>
        <w:pStyle w:val="H23G"/>
      </w:pPr>
      <w:r>
        <w:lastRenderedPageBreak/>
        <w:tab/>
      </w:r>
      <w:r>
        <w:tab/>
      </w:r>
      <w:r w:rsidRPr="00C33031">
        <w:t>Construction of classrooms in existing schools</w:t>
      </w:r>
    </w:p>
    <w:tbl>
      <w:tblPr>
        <w:tblW w:w="0" w:type="auto"/>
        <w:tblInd w:w="1134" w:type="dxa"/>
        <w:tblBorders>
          <w:top w:val="single" w:sz="4" w:space="0" w:color="auto"/>
        </w:tblBorders>
        <w:tblLayout w:type="fixed"/>
        <w:tblCellMar>
          <w:left w:w="0" w:type="dxa"/>
          <w:right w:w="57" w:type="dxa"/>
        </w:tblCellMar>
        <w:tblLook w:val="04A0" w:firstRow="1" w:lastRow="0" w:firstColumn="1" w:lastColumn="0" w:noHBand="0" w:noVBand="1"/>
      </w:tblPr>
      <w:tblGrid>
        <w:gridCol w:w="3969"/>
        <w:gridCol w:w="3402"/>
      </w:tblGrid>
      <w:tr w:rsidR="00C33031" w:rsidRPr="00C33031" w:rsidTr="00FE5999">
        <w:trPr>
          <w:trHeight w:val="240"/>
          <w:tblHeader/>
        </w:trPr>
        <w:tc>
          <w:tcPr>
            <w:tcW w:w="3969" w:type="dxa"/>
            <w:tcBorders>
              <w:top w:val="single" w:sz="4" w:space="0" w:color="auto"/>
              <w:bottom w:val="single" w:sz="12" w:space="0" w:color="auto"/>
            </w:tcBorders>
            <w:shd w:val="clear" w:color="auto" w:fill="auto"/>
            <w:vAlign w:val="bottom"/>
          </w:tcPr>
          <w:p w:rsidR="00C33031" w:rsidRPr="00C33031" w:rsidRDefault="00C33031" w:rsidP="00C33031">
            <w:pPr>
              <w:spacing w:before="80" w:after="80" w:line="200" w:lineRule="exact"/>
              <w:rPr>
                <w:i/>
                <w:iCs/>
                <w:sz w:val="16"/>
                <w:szCs w:val="16"/>
              </w:rPr>
            </w:pPr>
            <w:r w:rsidRPr="00C33031">
              <w:rPr>
                <w:i/>
                <w:iCs/>
                <w:sz w:val="16"/>
                <w:szCs w:val="16"/>
              </w:rPr>
              <w:t>Facility</w:t>
            </w:r>
          </w:p>
        </w:tc>
        <w:tc>
          <w:tcPr>
            <w:tcW w:w="3402" w:type="dxa"/>
            <w:tcBorders>
              <w:top w:val="single" w:sz="4" w:space="0" w:color="auto"/>
              <w:bottom w:val="single" w:sz="12" w:space="0" w:color="auto"/>
            </w:tcBorders>
            <w:shd w:val="clear" w:color="auto" w:fill="auto"/>
            <w:vAlign w:val="bottom"/>
          </w:tcPr>
          <w:p w:rsidR="00C33031" w:rsidRPr="00C33031" w:rsidRDefault="00C33031" w:rsidP="00C33031">
            <w:pPr>
              <w:spacing w:before="80" w:after="80" w:line="200" w:lineRule="exact"/>
              <w:rPr>
                <w:i/>
                <w:iCs/>
                <w:sz w:val="16"/>
                <w:szCs w:val="16"/>
              </w:rPr>
            </w:pPr>
            <w:r w:rsidRPr="00C33031">
              <w:rPr>
                <w:i/>
                <w:iCs/>
                <w:sz w:val="16"/>
                <w:szCs w:val="16"/>
              </w:rPr>
              <w:t>Location</w:t>
            </w:r>
          </w:p>
        </w:tc>
      </w:tr>
      <w:tr w:rsidR="00C33031" w:rsidRPr="00C33031" w:rsidTr="00FE5999">
        <w:trPr>
          <w:trHeight w:val="240"/>
        </w:trPr>
        <w:tc>
          <w:tcPr>
            <w:tcW w:w="3969" w:type="dxa"/>
            <w:tcBorders>
              <w:top w:val="single" w:sz="12" w:space="0" w:color="auto"/>
            </w:tcBorders>
            <w:shd w:val="clear" w:color="auto" w:fill="auto"/>
          </w:tcPr>
          <w:p w:rsidR="00C33031" w:rsidRPr="00C33031" w:rsidRDefault="00C33031" w:rsidP="00C33031">
            <w:pPr>
              <w:spacing w:before="40" w:after="120"/>
            </w:pPr>
            <w:r w:rsidRPr="00C33031">
              <w:t>3 classrooms, boundary wall and latrine, Daghveg commune</w:t>
            </w:r>
          </w:p>
        </w:tc>
        <w:tc>
          <w:tcPr>
            <w:tcW w:w="3402" w:type="dxa"/>
            <w:tcBorders>
              <w:top w:val="single" w:sz="12" w:space="0" w:color="auto"/>
            </w:tcBorders>
            <w:shd w:val="clear" w:color="auto" w:fill="auto"/>
          </w:tcPr>
          <w:p w:rsidR="00C33031" w:rsidRPr="00C33031" w:rsidRDefault="00C33031" w:rsidP="00C33031">
            <w:r w:rsidRPr="00C33031">
              <w:t xml:space="preserve">Barkeol </w:t>
            </w:r>
            <w:r w:rsidRPr="00C44D5C">
              <w:rPr>
                <w:i/>
                <w:iCs/>
              </w:rPr>
              <w:t>moughataa</w:t>
            </w:r>
            <w:r w:rsidRPr="00C33031">
              <w:t>, Assaba</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3 classrooms in Daghveg, Boghé commune</w:t>
            </w:r>
          </w:p>
        </w:tc>
        <w:tc>
          <w:tcPr>
            <w:tcW w:w="3402" w:type="dxa"/>
            <w:shd w:val="clear" w:color="auto" w:fill="auto"/>
          </w:tcPr>
          <w:p w:rsidR="00C33031" w:rsidRPr="00C33031" w:rsidRDefault="00C33031" w:rsidP="00C33031">
            <w:pPr>
              <w:spacing w:before="40" w:after="120"/>
            </w:pPr>
            <w:r w:rsidRPr="00C33031">
              <w:t xml:space="preserve">Boghé </w:t>
            </w:r>
            <w:r w:rsidRPr="00C44D5C">
              <w:rPr>
                <w:i/>
                <w:iCs/>
              </w:rPr>
              <w:t>moughataa</w:t>
            </w:r>
            <w:r w:rsidRPr="00C33031">
              <w:t>, Brakna</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2 classrooms in Bassinguidi, Male commune</w:t>
            </w:r>
          </w:p>
        </w:tc>
        <w:tc>
          <w:tcPr>
            <w:tcW w:w="3402" w:type="dxa"/>
            <w:shd w:val="clear" w:color="auto" w:fill="auto"/>
          </w:tcPr>
          <w:p w:rsidR="00C33031" w:rsidRPr="00C33031" w:rsidRDefault="00C33031" w:rsidP="00C33031">
            <w:pPr>
              <w:spacing w:before="40" w:after="120"/>
            </w:pPr>
            <w:r w:rsidRPr="00C33031">
              <w:t xml:space="preserve">Magta Lahjar </w:t>
            </w:r>
            <w:r w:rsidRPr="00C44D5C">
              <w:rPr>
                <w:i/>
                <w:iCs/>
              </w:rPr>
              <w:t>moughataa</w:t>
            </w:r>
            <w:r w:rsidRPr="00C33031">
              <w:t>, Brakna</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3 classrooms in Tendel, Dionaba commune</w:t>
            </w:r>
          </w:p>
        </w:tc>
        <w:tc>
          <w:tcPr>
            <w:tcW w:w="3402" w:type="dxa"/>
            <w:shd w:val="clear" w:color="auto" w:fill="auto"/>
          </w:tcPr>
          <w:p w:rsidR="00C33031" w:rsidRPr="00C33031" w:rsidRDefault="00C33031" w:rsidP="00C33031">
            <w:pPr>
              <w:spacing w:before="40" w:after="120"/>
            </w:pPr>
            <w:r w:rsidRPr="00C33031">
              <w:t xml:space="preserve">Magta Lahjar </w:t>
            </w:r>
            <w:r w:rsidRPr="00C44D5C">
              <w:rPr>
                <w:i/>
                <w:iCs/>
              </w:rPr>
              <w:t>moughataa</w:t>
            </w:r>
            <w:r w:rsidRPr="00C33031">
              <w:t>, Brakna</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3 classrooms in El Wassaa, Dionaba commune</w:t>
            </w:r>
          </w:p>
        </w:tc>
        <w:tc>
          <w:tcPr>
            <w:tcW w:w="3402" w:type="dxa"/>
            <w:shd w:val="clear" w:color="auto" w:fill="auto"/>
          </w:tcPr>
          <w:p w:rsidR="00C33031" w:rsidRPr="00C33031" w:rsidRDefault="00C33031" w:rsidP="00C33031">
            <w:pPr>
              <w:spacing w:before="40" w:after="120"/>
            </w:pPr>
            <w:r w:rsidRPr="00C33031">
              <w:t xml:space="preserve">Magta Lahjar </w:t>
            </w:r>
            <w:r w:rsidRPr="00C44D5C">
              <w:rPr>
                <w:i/>
                <w:iCs/>
              </w:rPr>
              <w:t>moughataa</w:t>
            </w:r>
            <w:r w:rsidRPr="00C33031">
              <w:t>, Brakna</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3 classrooms in Mohamed Zein, Dionaba commune</w:t>
            </w:r>
          </w:p>
        </w:tc>
        <w:tc>
          <w:tcPr>
            <w:tcW w:w="3402" w:type="dxa"/>
            <w:shd w:val="clear" w:color="auto" w:fill="auto"/>
          </w:tcPr>
          <w:p w:rsidR="00C33031" w:rsidRPr="00C33031" w:rsidRDefault="00C33031" w:rsidP="00C33031">
            <w:pPr>
              <w:spacing w:before="40" w:after="120"/>
            </w:pPr>
            <w:r w:rsidRPr="00C33031">
              <w:t xml:space="preserve">Magta Lahjar </w:t>
            </w:r>
            <w:r w:rsidRPr="00C44D5C">
              <w:rPr>
                <w:i/>
                <w:iCs/>
              </w:rPr>
              <w:t>moughataa</w:t>
            </w:r>
            <w:r w:rsidRPr="00C33031">
              <w:t>, Brakna</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 xml:space="preserve">2 classrooms in Zreigatt, Hassi Chegar commune </w:t>
            </w:r>
          </w:p>
        </w:tc>
        <w:tc>
          <w:tcPr>
            <w:tcW w:w="3402" w:type="dxa"/>
            <w:shd w:val="clear" w:color="auto" w:fill="auto"/>
          </w:tcPr>
          <w:p w:rsidR="00C33031" w:rsidRPr="00C33031" w:rsidRDefault="00C33031" w:rsidP="00C33031">
            <w:pPr>
              <w:spacing w:before="40" w:after="120"/>
            </w:pPr>
            <w:r w:rsidRPr="00C33031">
              <w:t xml:space="preserve">Sélibaby </w:t>
            </w:r>
            <w:r w:rsidRPr="00C44D5C">
              <w:rPr>
                <w:i/>
                <w:iCs/>
              </w:rPr>
              <w:t>moughataa</w:t>
            </w:r>
            <w:r w:rsidRPr="00C33031">
              <w:t>, Guidimaka</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 xml:space="preserve">2 blocks of 2 classrooms in Hassi Sidi, Tachot commune </w:t>
            </w:r>
          </w:p>
        </w:tc>
        <w:tc>
          <w:tcPr>
            <w:tcW w:w="3402" w:type="dxa"/>
            <w:shd w:val="clear" w:color="auto" w:fill="auto"/>
          </w:tcPr>
          <w:p w:rsidR="00C33031" w:rsidRPr="00C33031" w:rsidRDefault="00C33031" w:rsidP="00C33031">
            <w:pPr>
              <w:spacing w:before="40" w:after="120"/>
            </w:pPr>
            <w:r w:rsidRPr="00C33031">
              <w:t xml:space="preserve">Sélibaby </w:t>
            </w:r>
            <w:r w:rsidRPr="00C44D5C">
              <w:rPr>
                <w:i/>
                <w:iCs/>
              </w:rPr>
              <w:t>moughataa</w:t>
            </w:r>
            <w:r w:rsidRPr="00C33031">
              <w:t>, Guidimaka</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 xml:space="preserve">2 blocks of 3 classrooms at the secondary school in Monguel, Monguel commune </w:t>
            </w:r>
          </w:p>
        </w:tc>
        <w:tc>
          <w:tcPr>
            <w:tcW w:w="3402" w:type="dxa"/>
            <w:shd w:val="clear" w:color="auto" w:fill="auto"/>
          </w:tcPr>
          <w:p w:rsidR="00C33031" w:rsidRPr="00C33031" w:rsidRDefault="00C33031" w:rsidP="00C33031">
            <w:pPr>
              <w:spacing w:before="40" w:after="120"/>
            </w:pPr>
            <w:r w:rsidRPr="00C33031">
              <w:t xml:space="preserve">Monguel </w:t>
            </w:r>
            <w:r w:rsidRPr="00C44D5C">
              <w:rPr>
                <w:i/>
                <w:iCs/>
              </w:rPr>
              <w:t>moughataa</w:t>
            </w:r>
            <w:r w:rsidRPr="00C33031">
              <w:t>, Gorgol</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 xml:space="preserve">2 classrooms for village group around Toungad, Oujeft commune </w:t>
            </w:r>
          </w:p>
        </w:tc>
        <w:tc>
          <w:tcPr>
            <w:tcW w:w="3402" w:type="dxa"/>
            <w:shd w:val="clear" w:color="auto" w:fill="auto"/>
          </w:tcPr>
          <w:p w:rsidR="00C33031" w:rsidRPr="00C33031" w:rsidRDefault="00C33031" w:rsidP="00C33031">
            <w:pPr>
              <w:spacing w:before="40" w:after="120"/>
            </w:pPr>
            <w:r w:rsidRPr="00C33031">
              <w:t xml:space="preserve">Oujeft </w:t>
            </w:r>
            <w:r w:rsidRPr="00C44D5C">
              <w:rPr>
                <w:i/>
                <w:iCs/>
              </w:rPr>
              <w:t>moughataa</w:t>
            </w:r>
            <w:r w:rsidRPr="00C33031">
              <w:t>, Adrar</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 xml:space="preserve">3 classrooms in Tirebane, Oujeft commune </w:t>
            </w:r>
          </w:p>
        </w:tc>
        <w:tc>
          <w:tcPr>
            <w:tcW w:w="3402" w:type="dxa"/>
            <w:shd w:val="clear" w:color="auto" w:fill="auto"/>
          </w:tcPr>
          <w:p w:rsidR="00C33031" w:rsidRPr="00C33031" w:rsidRDefault="00C33031" w:rsidP="00C33031">
            <w:pPr>
              <w:spacing w:before="40" w:after="120"/>
            </w:pPr>
            <w:r w:rsidRPr="00C33031">
              <w:t xml:space="preserve">Oujeft </w:t>
            </w:r>
            <w:r w:rsidRPr="00C44D5C">
              <w:rPr>
                <w:i/>
                <w:iCs/>
              </w:rPr>
              <w:t>moughataa</w:t>
            </w:r>
            <w:r w:rsidRPr="00C33031">
              <w:t>, Adrar</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3 classrooms in Legned, Soudoud commune</w:t>
            </w:r>
          </w:p>
        </w:tc>
        <w:tc>
          <w:tcPr>
            <w:tcW w:w="3402" w:type="dxa"/>
            <w:shd w:val="clear" w:color="auto" w:fill="auto"/>
          </w:tcPr>
          <w:p w:rsidR="00C33031" w:rsidRPr="00C33031" w:rsidRDefault="00C33031" w:rsidP="00C33031">
            <w:pPr>
              <w:spacing w:before="40" w:after="120"/>
            </w:pPr>
            <w:r w:rsidRPr="00C33031">
              <w:t xml:space="preserve">Moudjeria </w:t>
            </w:r>
            <w:r w:rsidRPr="00C44D5C">
              <w:rPr>
                <w:i/>
                <w:iCs/>
              </w:rPr>
              <w:t>moughataa</w:t>
            </w:r>
            <w:r w:rsidRPr="00C33031">
              <w:t>, Tagant</w:t>
            </w:r>
          </w:p>
        </w:tc>
      </w:tr>
      <w:tr w:rsidR="00C33031" w:rsidRPr="00C33031" w:rsidTr="00FE5999">
        <w:trPr>
          <w:trHeight w:val="240"/>
        </w:trPr>
        <w:tc>
          <w:tcPr>
            <w:tcW w:w="3969" w:type="dxa"/>
            <w:shd w:val="clear" w:color="auto" w:fill="auto"/>
          </w:tcPr>
          <w:p w:rsidR="00C33031" w:rsidRPr="00C33031" w:rsidRDefault="00C33031" w:rsidP="00C33031">
            <w:pPr>
              <w:spacing w:before="40" w:after="120"/>
            </w:pPr>
            <w:r w:rsidRPr="00C33031">
              <w:t>3 classrooms in Kehmeit, Soudoud commune</w:t>
            </w:r>
          </w:p>
        </w:tc>
        <w:tc>
          <w:tcPr>
            <w:tcW w:w="3402" w:type="dxa"/>
            <w:shd w:val="clear" w:color="auto" w:fill="auto"/>
          </w:tcPr>
          <w:p w:rsidR="00C33031" w:rsidRPr="00C33031" w:rsidRDefault="00C33031" w:rsidP="00C33031">
            <w:pPr>
              <w:spacing w:before="40" w:after="120"/>
            </w:pPr>
            <w:r w:rsidRPr="00C33031">
              <w:t xml:space="preserve">Moudjeria </w:t>
            </w:r>
            <w:r w:rsidRPr="00C44D5C">
              <w:rPr>
                <w:i/>
                <w:iCs/>
              </w:rPr>
              <w:t>moughataa</w:t>
            </w:r>
            <w:r w:rsidRPr="00C33031">
              <w:t>, Tagant</w:t>
            </w:r>
          </w:p>
        </w:tc>
      </w:tr>
      <w:tr w:rsidR="00C33031" w:rsidRPr="00C33031" w:rsidTr="00FE5999">
        <w:trPr>
          <w:trHeight w:val="240"/>
        </w:trPr>
        <w:tc>
          <w:tcPr>
            <w:tcW w:w="3969" w:type="dxa"/>
            <w:tcBorders>
              <w:bottom w:val="single" w:sz="4" w:space="0" w:color="000000" w:themeColor="text1"/>
            </w:tcBorders>
            <w:shd w:val="clear" w:color="auto" w:fill="auto"/>
          </w:tcPr>
          <w:p w:rsidR="00C33031" w:rsidRPr="00C33031" w:rsidRDefault="00C33031" w:rsidP="00C33031">
            <w:pPr>
              <w:spacing w:before="40" w:after="120"/>
            </w:pPr>
            <w:r w:rsidRPr="00C33031">
              <w:t>3 classrooms, Dakhlet Init</w:t>
            </w:r>
          </w:p>
        </w:tc>
        <w:tc>
          <w:tcPr>
            <w:tcW w:w="3402" w:type="dxa"/>
            <w:tcBorders>
              <w:bottom w:val="single" w:sz="4" w:space="0" w:color="000000" w:themeColor="text1"/>
            </w:tcBorders>
            <w:shd w:val="clear" w:color="auto" w:fill="auto"/>
          </w:tcPr>
          <w:p w:rsidR="00C33031" w:rsidRPr="00C33031" w:rsidRDefault="00C33031" w:rsidP="00C33031">
            <w:pPr>
              <w:spacing w:before="40" w:after="120"/>
            </w:pPr>
            <w:r w:rsidRPr="00C33031">
              <w:t>Moudjeria, Tagant</w:t>
            </w:r>
          </w:p>
        </w:tc>
      </w:tr>
      <w:tr w:rsidR="00C33031" w:rsidRPr="00C33031" w:rsidTr="00533F41">
        <w:trPr>
          <w:trHeight w:val="240"/>
        </w:trPr>
        <w:tc>
          <w:tcPr>
            <w:tcW w:w="7371" w:type="dxa"/>
            <w:gridSpan w:val="2"/>
            <w:tcBorders>
              <w:top w:val="single" w:sz="4" w:space="0" w:color="000000" w:themeColor="text1"/>
              <w:bottom w:val="single" w:sz="12" w:space="0" w:color="auto"/>
            </w:tcBorders>
            <w:shd w:val="clear" w:color="auto" w:fill="auto"/>
          </w:tcPr>
          <w:p w:rsidR="00C33031" w:rsidRPr="00C33031" w:rsidRDefault="00C33031" w:rsidP="00C33031">
            <w:pPr>
              <w:suppressAutoHyphens w:val="0"/>
              <w:spacing w:before="80" w:after="80" w:line="220" w:lineRule="exact"/>
              <w:ind w:left="283"/>
              <w:rPr>
                <w:b/>
                <w:sz w:val="18"/>
              </w:rPr>
            </w:pPr>
            <w:r w:rsidRPr="00C33031">
              <w:rPr>
                <w:b/>
                <w:sz w:val="18"/>
              </w:rPr>
              <w:t xml:space="preserve">Total: 48 classrooms in 15 schools </w:t>
            </w:r>
          </w:p>
        </w:tc>
      </w:tr>
    </w:tbl>
    <w:p w:rsidR="00533F41" w:rsidRPr="00533F41" w:rsidRDefault="00533F41" w:rsidP="00533F41">
      <w:pPr>
        <w:pStyle w:val="H23G"/>
      </w:pPr>
      <w:r>
        <w:tab/>
      </w:r>
      <w:r>
        <w:tab/>
      </w:r>
      <w:r w:rsidRPr="00533F41">
        <w:t>Health</w:t>
      </w:r>
    </w:p>
    <w:p w:rsidR="00533F41" w:rsidRPr="00533F41" w:rsidRDefault="00533F41" w:rsidP="00533F41">
      <w:pPr>
        <w:pStyle w:val="H4G"/>
      </w:pPr>
      <w:r w:rsidRPr="00533F41">
        <w:tab/>
      </w:r>
      <w:r w:rsidRPr="00533F41">
        <w:tab/>
        <w:t xml:space="preserve">Local clinics set up: 20 </w:t>
      </w:r>
    </w:p>
    <w:tbl>
      <w:tblPr>
        <w:tblW w:w="0" w:type="auto"/>
        <w:tblInd w:w="1134" w:type="dxa"/>
        <w:tblBorders>
          <w:top w:val="single" w:sz="4" w:space="0" w:color="auto"/>
        </w:tblBorders>
        <w:tblLayout w:type="fixed"/>
        <w:tblCellMar>
          <w:left w:w="0" w:type="dxa"/>
          <w:right w:w="57" w:type="dxa"/>
        </w:tblCellMar>
        <w:tblLook w:val="04A0" w:firstRow="1" w:lastRow="0" w:firstColumn="1" w:lastColumn="0" w:noHBand="0" w:noVBand="1"/>
      </w:tblPr>
      <w:tblGrid>
        <w:gridCol w:w="3969"/>
        <w:gridCol w:w="3402"/>
      </w:tblGrid>
      <w:tr w:rsidR="00533F41" w:rsidRPr="00533F41" w:rsidTr="00407D01">
        <w:trPr>
          <w:trHeight w:val="240"/>
          <w:tblHeader/>
        </w:trPr>
        <w:tc>
          <w:tcPr>
            <w:tcW w:w="3969" w:type="dxa"/>
            <w:tcBorders>
              <w:top w:val="single" w:sz="4" w:space="0" w:color="auto"/>
              <w:bottom w:val="single" w:sz="12" w:space="0" w:color="auto"/>
            </w:tcBorders>
            <w:shd w:val="clear" w:color="auto" w:fill="auto"/>
            <w:vAlign w:val="bottom"/>
          </w:tcPr>
          <w:p w:rsidR="00533F41" w:rsidRPr="00533F41" w:rsidRDefault="00533F41" w:rsidP="00533F41">
            <w:pPr>
              <w:spacing w:before="80" w:after="80" w:line="200" w:lineRule="exact"/>
              <w:rPr>
                <w:i/>
                <w:iCs/>
                <w:sz w:val="16"/>
                <w:szCs w:val="16"/>
              </w:rPr>
            </w:pPr>
            <w:r w:rsidRPr="00533F41">
              <w:rPr>
                <w:i/>
                <w:iCs/>
                <w:sz w:val="16"/>
                <w:szCs w:val="16"/>
              </w:rPr>
              <w:t>Facility</w:t>
            </w:r>
          </w:p>
        </w:tc>
        <w:tc>
          <w:tcPr>
            <w:tcW w:w="3402" w:type="dxa"/>
            <w:tcBorders>
              <w:top w:val="single" w:sz="4" w:space="0" w:color="auto"/>
              <w:bottom w:val="single" w:sz="12" w:space="0" w:color="auto"/>
            </w:tcBorders>
            <w:shd w:val="clear" w:color="auto" w:fill="auto"/>
            <w:vAlign w:val="bottom"/>
          </w:tcPr>
          <w:p w:rsidR="00533F41" w:rsidRPr="00533F41" w:rsidRDefault="00533F41" w:rsidP="00533F41">
            <w:pPr>
              <w:spacing w:before="80" w:after="80" w:line="200" w:lineRule="exact"/>
              <w:rPr>
                <w:i/>
                <w:iCs/>
                <w:sz w:val="16"/>
                <w:szCs w:val="16"/>
              </w:rPr>
            </w:pPr>
            <w:r w:rsidRPr="00533F41">
              <w:rPr>
                <w:i/>
                <w:iCs/>
                <w:sz w:val="16"/>
                <w:szCs w:val="16"/>
              </w:rPr>
              <w:t>Location</w:t>
            </w:r>
          </w:p>
        </w:tc>
      </w:tr>
      <w:tr w:rsidR="00407D01" w:rsidRPr="00533F41" w:rsidTr="00407D01">
        <w:trPr>
          <w:trHeight w:hRule="exact" w:val="113"/>
          <w:tblHeader/>
        </w:trPr>
        <w:tc>
          <w:tcPr>
            <w:tcW w:w="3969" w:type="dxa"/>
            <w:tcBorders>
              <w:top w:val="single" w:sz="12" w:space="0" w:color="auto"/>
              <w:bottom w:val="nil"/>
            </w:tcBorders>
            <w:shd w:val="clear" w:color="auto" w:fill="auto"/>
          </w:tcPr>
          <w:p w:rsidR="00407D01" w:rsidRPr="00533F41" w:rsidRDefault="00407D01" w:rsidP="00533F41">
            <w:pPr>
              <w:spacing w:before="40" w:after="120"/>
            </w:pPr>
          </w:p>
        </w:tc>
        <w:tc>
          <w:tcPr>
            <w:tcW w:w="3402" w:type="dxa"/>
            <w:tcBorders>
              <w:top w:val="single" w:sz="12" w:space="0" w:color="auto"/>
              <w:bottom w:val="nil"/>
            </w:tcBorders>
            <w:shd w:val="clear" w:color="auto" w:fill="auto"/>
          </w:tcPr>
          <w:p w:rsidR="00407D01" w:rsidRPr="00533F41" w:rsidRDefault="00407D01" w:rsidP="00533F41">
            <w:pPr>
              <w:spacing w:before="40" w:after="120"/>
            </w:pPr>
          </w:p>
        </w:tc>
      </w:tr>
      <w:tr w:rsidR="00533F41" w:rsidRPr="00533F41" w:rsidTr="00407D01">
        <w:trPr>
          <w:trHeight w:val="240"/>
        </w:trPr>
        <w:tc>
          <w:tcPr>
            <w:tcW w:w="3969" w:type="dxa"/>
            <w:tcBorders>
              <w:top w:val="nil"/>
            </w:tcBorders>
            <w:shd w:val="clear" w:color="auto" w:fill="auto"/>
          </w:tcPr>
          <w:p w:rsidR="00533F41" w:rsidRPr="00533F41" w:rsidRDefault="00533F41" w:rsidP="00533F41">
            <w:pPr>
              <w:spacing w:before="40" w:after="120"/>
            </w:pPr>
            <w:r w:rsidRPr="00533F41">
              <w:t>Clinic in Ajar El Bouhli in Barkeol commune</w:t>
            </w:r>
          </w:p>
        </w:tc>
        <w:tc>
          <w:tcPr>
            <w:tcW w:w="3402" w:type="dxa"/>
            <w:tcBorders>
              <w:top w:val="nil"/>
            </w:tcBorders>
            <w:shd w:val="clear" w:color="auto" w:fill="auto"/>
          </w:tcPr>
          <w:p w:rsidR="00533F41" w:rsidRPr="00533F41" w:rsidRDefault="00533F41" w:rsidP="00533F41">
            <w:pPr>
              <w:spacing w:before="40" w:after="120"/>
            </w:pPr>
            <w:r w:rsidRPr="00533F41">
              <w:t xml:space="preserve">Barkeol </w:t>
            </w:r>
            <w:r w:rsidRPr="00C44D5C">
              <w:rPr>
                <w:i/>
                <w:iCs/>
              </w:rPr>
              <w:t>moughataa</w:t>
            </w:r>
            <w:r w:rsidRPr="00533F41">
              <w:t xml:space="preserve">, Assaba </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Clinic in Touymiret Lemarid, Bougadoum commune</w:t>
            </w:r>
          </w:p>
        </w:tc>
        <w:tc>
          <w:tcPr>
            <w:tcW w:w="3402" w:type="dxa"/>
            <w:shd w:val="clear" w:color="auto" w:fill="auto"/>
          </w:tcPr>
          <w:p w:rsidR="00533F41" w:rsidRPr="00533F41" w:rsidRDefault="00533F41" w:rsidP="00533F41">
            <w:pPr>
              <w:spacing w:before="40" w:after="120"/>
            </w:pPr>
            <w:r w:rsidRPr="00533F41">
              <w:t xml:space="preserve">Amourj </w:t>
            </w:r>
            <w:r w:rsidRPr="00C44D5C">
              <w:rPr>
                <w:i/>
                <w:iCs/>
              </w:rPr>
              <w:t>moughataa</w:t>
            </w:r>
            <w:r w:rsidRPr="00533F41">
              <w:t>, Hodh Ech Charghi</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Clinic in Nbeya Savra</w:t>
            </w:r>
          </w:p>
        </w:tc>
        <w:tc>
          <w:tcPr>
            <w:tcW w:w="3402" w:type="dxa"/>
            <w:shd w:val="clear" w:color="auto" w:fill="auto"/>
          </w:tcPr>
          <w:p w:rsidR="00533F41" w:rsidRPr="00533F41" w:rsidRDefault="00533F41" w:rsidP="00533F41">
            <w:pPr>
              <w:spacing w:before="40" w:after="120"/>
            </w:pPr>
            <w:r w:rsidRPr="00533F41">
              <w:t xml:space="preserve">Timbedra </w:t>
            </w:r>
            <w:r w:rsidRPr="00C44D5C">
              <w:rPr>
                <w:i/>
                <w:iCs/>
              </w:rPr>
              <w:t>moughataa</w:t>
            </w:r>
            <w:r w:rsidRPr="00533F41">
              <w:t>, Hodh Ech Charghi</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Clinic in Elmahrad, Ksar el Barka commune</w:t>
            </w:r>
          </w:p>
        </w:tc>
        <w:tc>
          <w:tcPr>
            <w:tcW w:w="3402" w:type="dxa"/>
            <w:shd w:val="clear" w:color="auto" w:fill="auto"/>
          </w:tcPr>
          <w:p w:rsidR="00533F41" w:rsidRPr="00533F41" w:rsidRDefault="00533F41" w:rsidP="00533F41">
            <w:pPr>
              <w:spacing w:before="40" w:after="120"/>
            </w:pPr>
            <w:r w:rsidRPr="00533F41">
              <w:t xml:space="preserve">Djiguenni </w:t>
            </w:r>
            <w:r w:rsidRPr="00C44D5C">
              <w:rPr>
                <w:i/>
                <w:iCs/>
              </w:rPr>
              <w:t>moughataa</w:t>
            </w:r>
            <w:r w:rsidRPr="00533F41">
              <w:t>, Hodh Ech Charghi</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 xml:space="preserve">Clinic in Koussana </w:t>
            </w:r>
          </w:p>
        </w:tc>
        <w:tc>
          <w:tcPr>
            <w:tcW w:w="3402" w:type="dxa"/>
            <w:shd w:val="clear" w:color="auto" w:fill="auto"/>
          </w:tcPr>
          <w:p w:rsidR="00533F41" w:rsidRPr="00533F41" w:rsidRDefault="00533F41" w:rsidP="00533F41">
            <w:pPr>
              <w:spacing w:before="40" w:after="120"/>
            </w:pPr>
            <w:r w:rsidRPr="00533F41">
              <w:t xml:space="preserve">Bassikounou </w:t>
            </w:r>
            <w:r w:rsidRPr="00C44D5C">
              <w:rPr>
                <w:i/>
                <w:iCs/>
              </w:rPr>
              <w:t>moughataa</w:t>
            </w:r>
            <w:r w:rsidRPr="00533F41">
              <w:t>, Hodh Ech Charghi</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 xml:space="preserve">Construction of clinic in Voulaniya, Hodh El Gharbi </w:t>
            </w:r>
          </w:p>
        </w:tc>
        <w:tc>
          <w:tcPr>
            <w:tcW w:w="3402" w:type="dxa"/>
            <w:shd w:val="clear" w:color="auto" w:fill="auto"/>
          </w:tcPr>
          <w:p w:rsidR="00533F41" w:rsidRPr="00533F41" w:rsidRDefault="00533F41" w:rsidP="00533F41">
            <w:pPr>
              <w:spacing w:before="40" w:after="120"/>
            </w:pPr>
            <w:r w:rsidRPr="00533F41">
              <w:t xml:space="preserve">Touil </w:t>
            </w:r>
            <w:r w:rsidRPr="00C44D5C">
              <w:rPr>
                <w:i/>
                <w:iCs/>
              </w:rPr>
              <w:t>moughataa</w:t>
            </w:r>
            <w:r w:rsidRPr="00533F41">
              <w:t>, Hodh El Gharbi</w:t>
            </w:r>
          </w:p>
        </w:tc>
      </w:tr>
      <w:tr w:rsidR="00533F41" w:rsidRPr="00533F41" w:rsidTr="00FE5999">
        <w:trPr>
          <w:trHeight w:val="240"/>
        </w:trPr>
        <w:tc>
          <w:tcPr>
            <w:tcW w:w="3969" w:type="dxa"/>
            <w:shd w:val="clear" w:color="auto" w:fill="auto"/>
          </w:tcPr>
          <w:p w:rsidR="00533F41" w:rsidRPr="006A3709" w:rsidRDefault="00533F41" w:rsidP="00533F41">
            <w:pPr>
              <w:spacing w:before="40" w:after="120"/>
              <w:rPr>
                <w:lang w:val="fr-CH"/>
              </w:rPr>
            </w:pPr>
            <w:proofErr w:type="spellStart"/>
            <w:r w:rsidRPr="006A3709">
              <w:rPr>
                <w:lang w:val="fr-CH"/>
              </w:rPr>
              <w:t>Clinic</w:t>
            </w:r>
            <w:proofErr w:type="spellEnd"/>
            <w:r w:rsidRPr="006A3709">
              <w:rPr>
                <w:lang w:val="fr-CH"/>
              </w:rPr>
              <w:t xml:space="preserve"> in </w:t>
            </w:r>
            <w:proofErr w:type="spellStart"/>
            <w:r w:rsidRPr="006A3709">
              <w:rPr>
                <w:lang w:val="fr-CH"/>
              </w:rPr>
              <w:t>Teichet</w:t>
            </w:r>
            <w:proofErr w:type="spellEnd"/>
            <w:r w:rsidRPr="006A3709">
              <w:rPr>
                <w:lang w:val="fr-CH"/>
              </w:rPr>
              <w:t xml:space="preserve">, </w:t>
            </w:r>
            <w:proofErr w:type="spellStart"/>
            <w:r w:rsidRPr="006A3709">
              <w:rPr>
                <w:lang w:val="fr-CH"/>
              </w:rPr>
              <w:t>Touil</w:t>
            </w:r>
            <w:proofErr w:type="spellEnd"/>
            <w:r w:rsidRPr="006A3709">
              <w:rPr>
                <w:lang w:val="fr-CH"/>
              </w:rPr>
              <w:t xml:space="preserve"> commune</w:t>
            </w:r>
          </w:p>
        </w:tc>
        <w:tc>
          <w:tcPr>
            <w:tcW w:w="3402" w:type="dxa"/>
            <w:shd w:val="clear" w:color="auto" w:fill="auto"/>
          </w:tcPr>
          <w:p w:rsidR="00533F41" w:rsidRPr="00533F41" w:rsidRDefault="00533F41" w:rsidP="00533F41">
            <w:pPr>
              <w:spacing w:before="40" w:after="120"/>
            </w:pPr>
            <w:proofErr w:type="spellStart"/>
            <w:r w:rsidRPr="00533F41">
              <w:t>Tintane</w:t>
            </w:r>
            <w:proofErr w:type="spellEnd"/>
            <w:r w:rsidRPr="00533F41">
              <w:t xml:space="preserve"> </w:t>
            </w:r>
            <w:proofErr w:type="spellStart"/>
            <w:r w:rsidRPr="00C44D5C">
              <w:rPr>
                <w:i/>
                <w:iCs/>
              </w:rPr>
              <w:t>moughataa</w:t>
            </w:r>
            <w:proofErr w:type="spellEnd"/>
            <w:r w:rsidRPr="00533F41">
              <w:t xml:space="preserve">, </w:t>
            </w:r>
            <w:proofErr w:type="spellStart"/>
            <w:r w:rsidRPr="00533F41">
              <w:t>Hodh</w:t>
            </w:r>
            <w:proofErr w:type="spellEnd"/>
            <w:r w:rsidRPr="00533F41">
              <w:t xml:space="preserve"> El Gharbi </w:t>
            </w:r>
          </w:p>
        </w:tc>
      </w:tr>
      <w:tr w:rsidR="00533F41" w:rsidRPr="00D66732" w:rsidTr="00FE5999">
        <w:trPr>
          <w:trHeight w:val="240"/>
        </w:trPr>
        <w:tc>
          <w:tcPr>
            <w:tcW w:w="3969" w:type="dxa"/>
            <w:shd w:val="clear" w:color="auto" w:fill="auto"/>
          </w:tcPr>
          <w:p w:rsidR="00533F41" w:rsidRPr="00533F41" w:rsidRDefault="00533F41" w:rsidP="00533F41">
            <w:pPr>
              <w:spacing w:before="40" w:after="120"/>
            </w:pPr>
            <w:r w:rsidRPr="00533F41">
              <w:t xml:space="preserve">Clinic for the Breima village group, Bghawa and Baizir </w:t>
            </w:r>
          </w:p>
        </w:tc>
        <w:tc>
          <w:tcPr>
            <w:tcW w:w="3402" w:type="dxa"/>
            <w:shd w:val="clear" w:color="auto" w:fill="auto"/>
          </w:tcPr>
          <w:p w:rsidR="00533F41" w:rsidRPr="006A3709" w:rsidRDefault="00533F41" w:rsidP="00533F41">
            <w:pPr>
              <w:spacing w:before="40" w:after="120"/>
              <w:rPr>
                <w:lang w:val="fr-CH"/>
              </w:rPr>
            </w:pPr>
            <w:proofErr w:type="spellStart"/>
            <w:r w:rsidRPr="006A3709">
              <w:rPr>
                <w:lang w:val="fr-CH"/>
              </w:rPr>
              <w:t>Touil</w:t>
            </w:r>
            <w:proofErr w:type="spellEnd"/>
            <w:r w:rsidRPr="006A3709">
              <w:rPr>
                <w:lang w:val="fr-CH"/>
              </w:rPr>
              <w:t xml:space="preserve"> commune, </w:t>
            </w:r>
            <w:proofErr w:type="spellStart"/>
            <w:r w:rsidRPr="006A3709">
              <w:rPr>
                <w:lang w:val="fr-CH"/>
              </w:rPr>
              <w:t>Tintane</w:t>
            </w:r>
            <w:proofErr w:type="spellEnd"/>
            <w:r w:rsidRPr="006A3709">
              <w:rPr>
                <w:lang w:val="fr-CH"/>
              </w:rPr>
              <w:t xml:space="preserve"> </w:t>
            </w:r>
            <w:proofErr w:type="spellStart"/>
            <w:r w:rsidRPr="006A3709">
              <w:rPr>
                <w:i/>
                <w:iCs/>
                <w:lang w:val="fr-CH"/>
              </w:rPr>
              <w:t>moughataa</w:t>
            </w:r>
            <w:proofErr w:type="spellEnd"/>
            <w:r w:rsidRPr="006A3709">
              <w:rPr>
                <w:lang w:val="fr-CH"/>
              </w:rPr>
              <w:t xml:space="preserve">, </w:t>
            </w:r>
            <w:proofErr w:type="spellStart"/>
            <w:r w:rsidRPr="006A3709">
              <w:rPr>
                <w:lang w:val="fr-CH"/>
              </w:rPr>
              <w:t>Hodh</w:t>
            </w:r>
            <w:proofErr w:type="spellEnd"/>
            <w:r w:rsidRPr="006A3709">
              <w:rPr>
                <w:lang w:val="fr-CH"/>
              </w:rPr>
              <w:t xml:space="preserve"> El Gharbi </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lastRenderedPageBreak/>
              <w:t xml:space="preserve">Clinic in </w:t>
            </w:r>
            <w:proofErr w:type="spellStart"/>
            <w:r w:rsidRPr="00533F41">
              <w:t>Niayliya</w:t>
            </w:r>
            <w:proofErr w:type="spellEnd"/>
          </w:p>
        </w:tc>
        <w:tc>
          <w:tcPr>
            <w:tcW w:w="3402" w:type="dxa"/>
            <w:shd w:val="clear" w:color="auto" w:fill="auto"/>
          </w:tcPr>
          <w:p w:rsidR="00533F41" w:rsidRPr="00533F41" w:rsidRDefault="00533F41" w:rsidP="00533F41">
            <w:pPr>
              <w:spacing w:before="40" w:after="120"/>
            </w:pPr>
            <w:r w:rsidRPr="00533F41">
              <w:t xml:space="preserve">Lehraijat commune, Tintane </w:t>
            </w:r>
            <w:r w:rsidRPr="00C44D5C">
              <w:rPr>
                <w:i/>
                <w:iCs/>
              </w:rPr>
              <w:t>moughataa</w:t>
            </w:r>
            <w:r w:rsidRPr="00533F41">
              <w:t xml:space="preserve"> Hodh El Gharbi </w:t>
            </w:r>
          </w:p>
        </w:tc>
      </w:tr>
      <w:tr w:rsidR="00533F41" w:rsidRPr="006A3709" w:rsidTr="00FE5999">
        <w:trPr>
          <w:trHeight w:val="240"/>
        </w:trPr>
        <w:tc>
          <w:tcPr>
            <w:tcW w:w="3969" w:type="dxa"/>
            <w:shd w:val="clear" w:color="auto" w:fill="auto"/>
          </w:tcPr>
          <w:p w:rsidR="00533F41" w:rsidRPr="00533F41" w:rsidRDefault="00533F41" w:rsidP="00533F41">
            <w:pPr>
              <w:spacing w:before="40" w:after="120"/>
            </w:pPr>
            <w:r w:rsidRPr="00533F41">
              <w:t>Clinic for the Galb El Kheir village group</w:t>
            </w:r>
          </w:p>
        </w:tc>
        <w:tc>
          <w:tcPr>
            <w:tcW w:w="3402" w:type="dxa"/>
            <w:shd w:val="clear" w:color="auto" w:fill="auto"/>
          </w:tcPr>
          <w:p w:rsidR="00533F41" w:rsidRPr="006A3709" w:rsidRDefault="00533F41" w:rsidP="00533F41">
            <w:pPr>
              <w:spacing w:before="40" w:after="120"/>
              <w:rPr>
                <w:lang w:val="fr-CH"/>
              </w:rPr>
            </w:pPr>
            <w:r w:rsidRPr="006A3709">
              <w:rPr>
                <w:lang w:val="fr-CH"/>
              </w:rPr>
              <w:t xml:space="preserve">Ain </w:t>
            </w:r>
            <w:proofErr w:type="spellStart"/>
            <w:r w:rsidRPr="006A3709">
              <w:rPr>
                <w:lang w:val="fr-CH"/>
              </w:rPr>
              <w:t>Varba</w:t>
            </w:r>
            <w:proofErr w:type="spellEnd"/>
            <w:r w:rsidRPr="006A3709">
              <w:rPr>
                <w:lang w:val="fr-CH"/>
              </w:rPr>
              <w:t xml:space="preserve"> commune, </w:t>
            </w:r>
            <w:proofErr w:type="spellStart"/>
            <w:r w:rsidRPr="006A3709">
              <w:rPr>
                <w:lang w:val="fr-CH"/>
              </w:rPr>
              <w:t>Tintane</w:t>
            </w:r>
            <w:proofErr w:type="spellEnd"/>
            <w:r w:rsidRPr="006A3709">
              <w:rPr>
                <w:lang w:val="fr-CH"/>
              </w:rPr>
              <w:t xml:space="preserve"> </w:t>
            </w:r>
            <w:proofErr w:type="spellStart"/>
            <w:r w:rsidRPr="006A3709">
              <w:rPr>
                <w:i/>
                <w:iCs/>
                <w:lang w:val="fr-CH"/>
              </w:rPr>
              <w:t>moughataa</w:t>
            </w:r>
            <w:proofErr w:type="spellEnd"/>
            <w:r w:rsidRPr="006A3709">
              <w:rPr>
                <w:lang w:val="fr-CH"/>
              </w:rPr>
              <w:t xml:space="preserve"> </w:t>
            </w:r>
            <w:proofErr w:type="spellStart"/>
            <w:r w:rsidRPr="006A3709">
              <w:rPr>
                <w:lang w:val="fr-CH"/>
              </w:rPr>
              <w:t>Hodh</w:t>
            </w:r>
            <w:proofErr w:type="spellEnd"/>
            <w:r w:rsidRPr="006A3709">
              <w:rPr>
                <w:lang w:val="fr-CH"/>
              </w:rPr>
              <w:t xml:space="preserve"> El Gharbi </w:t>
            </w:r>
          </w:p>
        </w:tc>
      </w:tr>
      <w:tr w:rsidR="00533F41" w:rsidRPr="006A3709" w:rsidTr="00FE5999">
        <w:trPr>
          <w:trHeight w:val="240"/>
        </w:trPr>
        <w:tc>
          <w:tcPr>
            <w:tcW w:w="3969" w:type="dxa"/>
            <w:shd w:val="clear" w:color="auto" w:fill="auto"/>
          </w:tcPr>
          <w:p w:rsidR="00533F41" w:rsidRPr="00533F41" w:rsidRDefault="00533F41" w:rsidP="00533F41">
            <w:pPr>
              <w:spacing w:before="40" w:after="120"/>
            </w:pPr>
            <w:r w:rsidRPr="00533F41">
              <w:t xml:space="preserve">Clinic for the </w:t>
            </w:r>
            <w:proofErr w:type="spellStart"/>
            <w:r w:rsidRPr="00533F41">
              <w:t>Hassi</w:t>
            </w:r>
            <w:proofErr w:type="spellEnd"/>
            <w:r w:rsidRPr="00533F41">
              <w:t xml:space="preserve"> </w:t>
            </w:r>
            <w:proofErr w:type="spellStart"/>
            <w:r w:rsidRPr="00533F41">
              <w:t>Lekwar</w:t>
            </w:r>
            <w:proofErr w:type="spellEnd"/>
            <w:r w:rsidR="00A7152F">
              <w:t xml:space="preserve"> </w:t>
            </w:r>
            <w:r w:rsidRPr="00533F41">
              <w:t>village group</w:t>
            </w:r>
          </w:p>
        </w:tc>
        <w:tc>
          <w:tcPr>
            <w:tcW w:w="3402" w:type="dxa"/>
            <w:shd w:val="clear" w:color="auto" w:fill="auto"/>
          </w:tcPr>
          <w:p w:rsidR="00533F41" w:rsidRPr="006A3709" w:rsidRDefault="00533F41" w:rsidP="00533F41">
            <w:pPr>
              <w:spacing w:before="40" w:after="120"/>
              <w:rPr>
                <w:lang w:val="fr-CH"/>
              </w:rPr>
            </w:pPr>
            <w:proofErr w:type="spellStart"/>
            <w:r w:rsidRPr="006A3709">
              <w:rPr>
                <w:lang w:val="fr-CH"/>
              </w:rPr>
              <w:t>Lehraijat</w:t>
            </w:r>
            <w:proofErr w:type="spellEnd"/>
            <w:r w:rsidRPr="006A3709">
              <w:rPr>
                <w:lang w:val="fr-CH"/>
              </w:rPr>
              <w:t xml:space="preserve"> commune, </w:t>
            </w:r>
            <w:proofErr w:type="spellStart"/>
            <w:r w:rsidRPr="006A3709">
              <w:rPr>
                <w:lang w:val="fr-CH"/>
              </w:rPr>
              <w:t>Tintane</w:t>
            </w:r>
            <w:proofErr w:type="spellEnd"/>
            <w:r w:rsidRPr="006A3709">
              <w:rPr>
                <w:lang w:val="fr-CH"/>
              </w:rPr>
              <w:t xml:space="preserve">, </w:t>
            </w:r>
            <w:proofErr w:type="spellStart"/>
            <w:r w:rsidRPr="006A3709">
              <w:rPr>
                <w:lang w:val="fr-CH"/>
              </w:rPr>
              <w:t>Hodh</w:t>
            </w:r>
            <w:proofErr w:type="spellEnd"/>
            <w:r w:rsidRPr="006A3709">
              <w:rPr>
                <w:lang w:val="fr-CH"/>
              </w:rPr>
              <w:t xml:space="preserve"> El Gharbi </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 xml:space="preserve">Clinic in </w:t>
            </w:r>
            <w:proofErr w:type="spellStart"/>
            <w:r w:rsidRPr="00533F41">
              <w:t>Afodiar</w:t>
            </w:r>
            <w:proofErr w:type="spellEnd"/>
            <w:r w:rsidRPr="00533F41">
              <w:t xml:space="preserve"> </w:t>
            </w:r>
            <w:proofErr w:type="spellStart"/>
            <w:r w:rsidRPr="00533F41">
              <w:t>Nouazir</w:t>
            </w:r>
            <w:proofErr w:type="spellEnd"/>
            <w:r w:rsidRPr="00533F41">
              <w:t xml:space="preserve"> </w:t>
            </w:r>
          </w:p>
        </w:tc>
        <w:tc>
          <w:tcPr>
            <w:tcW w:w="3402" w:type="dxa"/>
            <w:shd w:val="clear" w:color="auto" w:fill="auto"/>
          </w:tcPr>
          <w:p w:rsidR="00533F41" w:rsidRPr="00533F41" w:rsidRDefault="00533F41" w:rsidP="00533F41">
            <w:pPr>
              <w:spacing w:before="40" w:after="120"/>
            </w:pPr>
            <w:r w:rsidRPr="00533F41">
              <w:t xml:space="preserve">Bokol commune, Monguel, Gorgol </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Clinic in Zguelim commune</w:t>
            </w:r>
          </w:p>
        </w:tc>
        <w:tc>
          <w:tcPr>
            <w:tcW w:w="3402" w:type="dxa"/>
            <w:shd w:val="clear" w:color="auto" w:fill="auto"/>
          </w:tcPr>
          <w:p w:rsidR="00533F41" w:rsidRPr="00533F41" w:rsidRDefault="00533F41" w:rsidP="00533F41">
            <w:pPr>
              <w:spacing w:before="40" w:after="120"/>
            </w:pPr>
            <w:r w:rsidRPr="00533F41">
              <w:t xml:space="preserve">Monguel </w:t>
            </w:r>
            <w:r w:rsidRPr="00C44D5C">
              <w:rPr>
                <w:i/>
                <w:iCs/>
              </w:rPr>
              <w:t>moughataa</w:t>
            </w:r>
            <w:r w:rsidRPr="00533F41">
              <w:t xml:space="preserve">, Gorgol </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Clinic in Daghveg</w:t>
            </w:r>
          </w:p>
        </w:tc>
        <w:tc>
          <w:tcPr>
            <w:tcW w:w="3402" w:type="dxa"/>
            <w:shd w:val="clear" w:color="auto" w:fill="auto"/>
          </w:tcPr>
          <w:p w:rsidR="00533F41" w:rsidRPr="00533F41" w:rsidRDefault="00533F41" w:rsidP="00533F41">
            <w:pPr>
              <w:spacing w:before="40" w:after="120"/>
            </w:pPr>
            <w:r w:rsidRPr="00533F41">
              <w:t xml:space="preserve">Boghé </w:t>
            </w:r>
            <w:r w:rsidRPr="00C44D5C">
              <w:rPr>
                <w:i/>
                <w:iCs/>
              </w:rPr>
              <w:t>moughataa</w:t>
            </w:r>
            <w:r w:rsidRPr="00533F41">
              <w:t xml:space="preserve">, Brakna </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Clinic in Bassinguidi, Male commune</w:t>
            </w:r>
          </w:p>
        </w:tc>
        <w:tc>
          <w:tcPr>
            <w:tcW w:w="3402" w:type="dxa"/>
            <w:shd w:val="clear" w:color="auto" w:fill="auto"/>
          </w:tcPr>
          <w:p w:rsidR="00533F41" w:rsidRPr="00533F41" w:rsidRDefault="00533F41" w:rsidP="00533F41">
            <w:pPr>
              <w:spacing w:before="40" w:after="120"/>
            </w:pPr>
            <w:r w:rsidRPr="00533F41">
              <w:t xml:space="preserve">Mahta Lahjar </w:t>
            </w:r>
            <w:r w:rsidRPr="00C44D5C">
              <w:rPr>
                <w:i/>
                <w:iCs/>
              </w:rPr>
              <w:t>moughataa</w:t>
            </w:r>
            <w:r w:rsidRPr="00533F41">
              <w:t xml:space="preserve">, Brakna </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Clinic in Tendel</w:t>
            </w:r>
          </w:p>
        </w:tc>
        <w:tc>
          <w:tcPr>
            <w:tcW w:w="3402" w:type="dxa"/>
            <w:shd w:val="clear" w:color="auto" w:fill="auto"/>
          </w:tcPr>
          <w:p w:rsidR="00533F41" w:rsidRPr="00533F41" w:rsidRDefault="00533F41" w:rsidP="00533F41">
            <w:pPr>
              <w:spacing w:before="40" w:after="120"/>
            </w:pPr>
            <w:r w:rsidRPr="00533F41">
              <w:t xml:space="preserve">Dionaba commune, Mahta Lahjar </w:t>
            </w:r>
            <w:r w:rsidRPr="00C44D5C">
              <w:rPr>
                <w:i/>
                <w:iCs/>
              </w:rPr>
              <w:t>moughataa</w:t>
            </w:r>
            <w:r w:rsidRPr="00533F41">
              <w:t xml:space="preserve">, Brakna </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Construction of a clinic in Nteichit, Trarza</w:t>
            </w:r>
          </w:p>
        </w:tc>
        <w:tc>
          <w:tcPr>
            <w:tcW w:w="3402" w:type="dxa"/>
            <w:shd w:val="clear" w:color="auto" w:fill="auto"/>
          </w:tcPr>
          <w:p w:rsidR="00533F41" w:rsidRPr="00533F41" w:rsidRDefault="00533F41" w:rsidP="00533F41">
            <w:pPr>
              <w:spacing w:before="40" w:after="120"/>
            </w:pPr>
            <w:r w:rsidRPr="00533F41">
              <w:t xml:space="preserve">Boutilimit </w:t>
            </w:r>
            <w:r w:rsidRPr="00C44D5C">
              <w:rPr>
                <w:i/>
                <w:iCs/>
              </w:rPr>
              <w:t>moughataa</w:t>
            </w:r>
            <w:r w:rsidRPr="00533F41">
              <w:t>, Trarza</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Construction of a clinic in Jidr Mohguen, Trarza</w:t>
            </w:r>
          </w:p>
        </w:tc>
        <w:tc>
          <w:tcPr>
            <w:tcW w:w="3402" w:type="dxa"/>
            <w:shd w:val="clear" w:color="auto" w:fill="auto"/>
          </w:tcPr>
          <w:p w:rsidR="00533F41" w:rsidRPr="00533F41" w:rsidRDefault="00533F41" w:rsidP="00533F41">
            <w:pPr>
              <w:spacing w:before="40" w:after="120"/>
            </w:pPr>
            <w:r w:rsidRPr="00533F41">
              <w:t xml:space="preserve">Rosso </w:t>
            </w:r>
            <w:r w:rsidRPr="00C44D5C">
              <w:rPr>
                <w:i/>
                <w:iCs/>
              </w:rPr>
              <w:t>moughataa</w:t>
            </w:r>
            <w:r w:rsidRPr="00533F41">
              <w:t>, Trarza</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Clinic in Zira, Atar commune</w:t>
            </w:r>
          </w:p>
        </w:tc>
        <w:tc>
          <w:tcPr>
            <w:tcW w:w="3402" w:type="dxa"/>
            <w:shd w:val="clear" w:color="auto" w:fill="auto"/>
          </w:tcPr>
          <w:p w:rsidR="00533F41" w:rsidRPr="00533F41" w:rsidRDefault="00533F41" w:rsidP="00533F41">
            <w:pPr>
              <w:spacing w:before="40" w:after="120"/>
            </w:pPr>
            <w:r w:rsidRPr="00533F41">
              <w:t xml:space="preserve">Atar </w:t>
            </w:r>
            <w:r w:rsidRPr="00C44D5C">
              <w:rPr>
                <w:i/>
                <w:iCs/>
              </w:rPr>
              <w:t>moughataa</w:t>
            </w:r>
            <w:r w:rsidRPr="00533F41">
              <w:t xml:space="preserve">, Adrar </w:t>
            </w:r>
          </w:p>
        </w:tc>
      </w:tr>
      <w:tr w:rsidR="00533F41" w:rsidRPr="00533F41" w:rsidTr="00FE5999">
        <w:trPr>
          <w:trHeight w:val="240"/>
        </w:trPr>
        <w:tc>
          <w:tcPr>
            <w:tcW w:w="3969" w:type="dxa"/>
            <w:shd w:val="clear" w:color="auto" w:fill="auto"/>
          </w:tcPr>
          <w:p w:rsidR="00533F41" w:rsidRPr="00533F41" w:rsidRDefault="00533F41" w:rsidP="00533F41">
            <w:pPr>
              <w:spacing w:before="40" w:after="120"/>
            </w:pPr>
            <w:r w:rsidRPr="00533F41">
              <w:t xml:space="preserve">Clinic in Daber </w:t>
            </w:r>
          </w:p>
        </w:tc>
        <w:tc>
          <w:tcPr>
            <w:tcW w:w="3402" w:type="dxa"/>
            <w:shd w:val="clear" w:color="auto" w:fill="auto"/>
          </w:tcPr>
          <w:p w:rsidR="00533F41" w:rsidRPr="00533F41" w:rsidRDefault="00533F41" w:rsidP="00533F41">
            <w:pPr>
              <w:spacing w:before="40" w:after="120"/>
            </w:pPr>
            <w:r w:rsidRPr="00533F41">
              <w:t xml:space="preserve">Moudjeria </w:t>
            </w:r>
            <w:r w:rsidRPr="00C44D5C">
              <w:rPr>
                <w:i/>
                <w:iCs/>
              </w:rPr>
              <w:t>moughataa</w:t>
            </w:r>
            <w:r w:rsidRPr="00533F41">
              <w:t>, Tagant</w:t>
            </w:r>
          </w:p>
        </w:tc>
      </w:tr>
      <w:tr w:rsidR="00533F41" w:rsidRPr="00533F41" w:rsidTr="00FE5999">
        <w:trPr>
          <w:trHeight w:val="240"/>
        </w:trPr>
        <w:tc>
          <w:tcPr>
            <w:tcW w:w="3969" w:type="dxa"/>
            <w:tcBorders>
              <w:bottom w:val="single" w:sz="4" w:space="0" w:color="000000" w:themeColor="text1"/>
            </w:tcBorders>
            <w:shd w:val="clear" w:color="auto" w:fill="auto"/>
          </w:tcPr>
          <w:p w:rsidR="00533F41" w:rsidRPr="00533F41" w:rsidRDefault="00533F41" w:rsidP="00533F41">
            <w:pPr>
              <w:spacing w:before="40" w:after="120"/>
            </w:pPr>
            <w:r w:rsidRPr="00533F41">
              <w:t xml:space="preserve">Clinic in Timbreihim </w:t>
            </w:r>
          </w:p>
        </w:tc>
        <w:tc>
          <w:tcPr>
            <w:tcW w:w="3402" w:type="dxa"/>
            <w:tcBorders>
              <w:bottom w:val="single" w:sz="4" w:space="0" w:color="000000" w:themeColor="text1"/>
            </w:tcBorders>
            <w:shd w:val="clear" w:color="auto" w:fill="auto"/>
          </w:tcPr>
          <w:p w:rsidR="00533F41" w:rsidRPr="00533F41" w:rsidRDefault="00533F41" w:rsidP="00533F41">
            <w:pPr>
              <w:spacing w:before="40" w:after="120"/>
            </w:pPr>
            <w:r w:rsidRPr="00533F41">
              <w:t xml:space="preserve">El Ghoudiya district, Moudjeria </w:t>
            </w:r>
            <w:r w:rsidRPr="00C44D5C">
              <w:rPr>
                <w:i/>
                <w:iCs/>
              </w:rPr>
              <w:t>moughataa</w:t>
            </w:r>
            <w:r w:rsidRPr="00533F41">
              <w:t>, Tagant</w:t>
            </w:r>
          </w:p>
        </w:tc>
      </w:tr>
      <w:tr w:rsidR="00533F41" w:rsidRPr="00533F41" w:rsidTr="00FE5999">
        <w:trPr>
          <w:trHeight w:val="240"/>
        </w:trPr>
        <w:tc>
          <w:tcPr>
            <w:tcW w:w="3402" w:type="dxa"/>
            <w:gridSpan w:val="2"/>
            <w:tcBorders>
              <w:top w:val="single" w:sz="4" w:space="0" w:color="000000" w:themeColor="text1"/>
              <w:bottom w:val="single" w:sz="12" w:space="0" w:color="auto"/>
            </w:tcBorders>
            <w:shd w:val="clear" w:color="auto" w:fill="auto"/>
          </w:tcPr>
          <w:p w:rsidR="00533F41" w:rsidRPr="00533F41" w:rsidRDefault="00533F41" w:rsidP="00533F41">
            <w:pPr>
              <w:suppressAutoHyphens w:val="0"/>
              <w:spacing w:before="80" w:after="80" w:line="220" w:lineRule="exact"/>
              <w:ind w:left="283"/>
              <w:rPr>
                <w:b/>
                <w:sz w:val="18"/>
              </w:rPr>
            </w:pPr>
            <w:r w:rsidRPr="00533F41">
              <w:rPr>
                <w:b/>
                <w:sz w:val="18"/>
              </w:rPr>
              <w:t>Total: 20 clinics</w:t>
            </w:r>
          </w:p>
        </w:tc>
      </w:tr>
    </w:tbl>
    <w:p w:rsidR="00E90509" w:rsidRPr="00533F41" w:rsidRDefault="00E90509" w:rsidP="00B113A3">
      <w:pPr>
        <w:pStyle w:val="SingleTxtG"/>
        <w:spacing w:before="240"/>
      </w:pPr>
      <w:r w:rsidRPr="00533F41">
        <w:t>Boreholes drilled: 39</w:t>
      </w:r>
      <w:r w:rsidR="007B03D4">
        <w:t>.</w:t>
      </w:r>
    </w:p>
    <w:p w:rsidR="00E90509" w:rsidRPr="00533F41" w:rsidRDefault="00E90509" w:rsidP="007B03D4">
      <w:pPr>
        <w:pStyle w:val="SingleTxtG"/>
      </w:pPr>
      <w:r w:rsidRPr="00533F41">
        <w:t>Drinking water supply systems installed: 18</w:t>
      </w:r>
      <w:r w:rsidR="007B03D4">
        <w:t>.</w:t>
      </w:r>
    </w:p>
    <w:p w:rsidR="00E90509" w:rsidRPr="00A52535" w:rsidRDefault="00E90509" w:rsidP="00E90509">
      <w:pPr>
        <w:pStyle w:val="H23G"/>
      </w:pPr>
      <w:r w:rsidRPr="00A52535">
        <w:tab/>
      </w:r>
      <w:r w:rsidRPr="00A52535">
        <w:tab/>
        <w:t>Boreholes:</w:t>
      </w:r>
    </w:p>
    <w:p w:rsidR="00E90509" w:rsidRPr="00A52535" w:rsidRDefault="00E90509" w:rsidP="00E90509">
      <w:pPr>
        <w:pStyle w:val="SingleTxtG"/>
      </w:pPr>
      <w:r w:rsidRPr="00A52535">
        <w:t>122.</w:t>
      </w:r>
      <w:r w:rsidRPr="00A52535">
        <w:tab/>
        <w:t>Number of boreholes drilled: 39</w:t>
      </w:r>
    </w:p>
    <w:p w:rsidR="00E90509" w:rsidRPr="00A52535" w:rsidRDefault="00E90509" w:rsidP="007D7ED1">
      <w:pPr>
        <w:pStyle w:val="Bullet1G"/>
      </w:pPr>
      <w:r w:rsidRPr="00A52535">
        <w:t>3 in Brakna including drinking water (Tendel</w:t>
      </w:r>
      <w:r w:rsidR="00FE5999">
        <w:t xml:space="preserve"> — </w:t>
      </w:r>
      <w:r w:rsidRPr="00A52535">
        <w:t>3.5 m</w:t>
      </w:r>
      <w:r w:rsidRPr="00AF3D56">
        <w:rPr>
          <w:vertAlign w:val="superscript"/>
        </w:rPr>
        <w:t>3</w:t>
      </w:r>
      <w:r w:rsidRPr="00A52535">
        <w:t>/h, Sed Gadel</w:t>
      </w:r>
      <w:r w:rsidR="00FE5999">
        <w:t xml:space="preserve"> — </w:t>
      </w:r>
      <w:r w:rsidRPr="00A52535">
        <w:t>4 m</w:t>
      </w:r>
      <w:r w:rsidRPr="00D3552F">
        <w:rPr>
          <w:vertAlign w:val="superscript"/>
        </w:rPr>
        <w:t>3</w:t>
      </w:r>
      <w:r w:rsidRPr="00A52535">
        <w:t xml:space="preserve">/h, </w:t>
      </w:r>
      <w:proofErr w:type="spellStart"/>
      <w:r w:rsidRPr="00A52535">
        <w:t>Agmeimine</w:t>
      </w:r>
      <w:proofErr w:type="spellEnd"/>
      <w:r w:rsidR="00FE5999">
        <w:t xml:space="preserve"> — </w:t>
      </w:r>
      <w:r w:rsidRPr="00A52535">
        <w:t>4 m</w:t>
      </w:r>
      <w:r w:rsidRPr="00AF3D56">
        <w:rPr>
          <w:vertAlign w:val="superscript"/>
        </w:rPr>
        <w:t>3</w:t>
      </w:r>
      <w:r w:rsidRPr="00A52535">
        <w:t>/h)</w:t>
      </w:r>
      <w:r w:rsidR="000E4E19">
        <w:t>;</w:t>
      </w:r>
    </w:p>
    <w:p w:rsidR="00E90509" w:rsidRPr="00A52535" w:rsidRDefault="00E90509" w:rsidP="007D7ED1">
      <w:pPr>
        <w:pStyle w:val="Bullet1G"/>
      </w:pPr>
      <w:r w:rsidRPr="00A52535">
        <w:t>2 in Hodh El Gharbi (Bounya</w:t>
      </w:r>
      <w:r w:rsidR="00FE5999">
        <w:t xml:space="preserve"> — </w:t>
      </w:r>
      <w:r w:rsidRPr="00A52535">
        <w:t>10 m</w:t>
      </w:r>
      <w:r w:rsidRPr="00D3552F">
        <w:rPr>
          <w:vertAlign w:val="superscript"/>
        </w:rPr>
        <w:t>3</w:t>
      </w:r>
      <w:r w:rsidRPr="00A52535">
        <w:t xml:space="preserve">/h and </w:t>
      </w:r>
      <w:proofErr w:type="spellStart"/>
      <w:r w:rsidRPr="00A52535">
        <w:t>Hassi</w:t>
      </w:r>
      <w:proofErr w:type="spellEnd"/>
      <w:r w:rsidRPr="00A52535">
        <w:t xml:space="preserve"> </w:t>
      </w:r>
      <w:proofErr w:type="spellStart"/>
      <w:r w:rsidRPr="00A52535">
        <w:t>Lekwar</w:t>
      </w:r>
      <w:proofErr w:type="spellEnd"/>
      <w:r w:rsidR="00FE5999">
        <w:t xml:space="preserve"> — </w:t>
      </w:r>
      <w:r w:rsidRPr="00A52535">
        <w:t>14 m</w:t>
      </w:r>
      <w:r w:rsidRPr="00D3552F">
        <w:rPr>
          <w:vertAlign w:val="superscript"/>
        </w:rPr>
        <w:t>3</w:t>
      </w:r>
      <w:r w:rsidRPr="00A52535">
        <w:t>/h</w:t>
      </w:r>
      <w:r w:rsidR="000E4E19">
        <w:t>;</w:t>
      </w:r>
    </w:p>
    <w:p w:rsidR="00E90509" w:rsidRPr="00A52535" w:rsidRDefault="00E90509" w:rsidP="007D7ED1">
      <w:pPr>
        <w:pStyle w:val="Bullet1G"/>
      </w:pPr>
      <w:r w:rsidRPr="00A52535">
        <w:t>2 in Gorgol including small drinking water systems (Afodiar village group, Mounguel) with flow rates of 3 m</w:t>
      </w:r>
      <w:r w:rsidRPr="000425B2">
        <w:rPr>
          <w:vertAlign w:val="superscript"/>
        </w:rPr>
        <w:t>3</w:t>
      </w:r>
      <w:r w:rsidRPr="00A52535">
        <w:t>/h and 7.5m</w:t>
      </w:r>
      <w:r w:rsidRPr="000425B2">
        <w:rPr>
          <w:vertAlign w:val="superscript"/>
        </w:rPr>
        <w:t>3</w:t>
      </w:r>
      <w:r w:rsidRPr="00A52535">
        <w:t>/h respectively, plus 2 additional boreholes in Afodiar with flow rates of 7</w:t>
      </w:r>
      <w:r w:rsidR="00665063">
        <w:t xml:space="preserve"> </w:t>
      </w:r>
      <w:r w:rsidRPr="00A52535">
        <w:t>m</w:t>
      </w:r>
      <w:r w:rsidRPr="000425B2">
        <w:rPr>
          <w:vertAlign w:val="superscript"/>
        </w:rPr>
        <w:t>3</w:t>
      </w:r>
      <w:r w:rsidRPr="00A52535">
        <w:t>/h and 2.8m</w:t>
      </w:r>
      <w:r w:rsidRPr="000425B2">
        <w:rPr>
          <w:vertAlign w:val="superscript"/>
        </w:rPr>
        <w:t>3</w:t>
      </w:r>
      <w:r w:rsidRPr="00A52535">
        <w:t>/h respectively</w:t>
      </w:r>
      <w:r w:rsidR="000E4E19">
        <w:t>;</w:t>
      </w:r>
    </w:p>
    <w:p w:rsidR="00E90509" w:rsidRPr="00A52535" w:rsidRDefault="00E90509" w:rsidP="007D7ED1">
      <w:pPr>
        <w:pStyle w:val="Bullet1G"/>
      </w:pPr>
      <w:r w:rsidRPr="00A52535">
        <w:t>6 boreholes in Hodh El Gharbi</w:t>
      </w:r>
      <w:r w:rsidR="00FE5999">
        <w:t xml:space="preserve"> — </w:t>
      </w:r>
      <w:r w:rsidRPr="00A52535">
        <w:t>Tegowdit, flow rate 5 m</w:t>
      </w:r>
      <w:r w:rsidRPr="000425B2">
        <w:rPr>
          <w:vertAlign w:val="superscript"/>
        </w:rPr>
        <w:t>3</w:t>
      </w:r>
      <w:r w:rsidRPr="00A52535">
        <w:t>/h (Touil); Lighatha, flow rate 5 m</w:t>
      </w:r>
      <w:r w:rsidRPr="000425B2">
        <w:rPr>
          <w:vertAlign w:val="superscript"/>
        </w:rPr>
        <w:t>3</w:t>
      </w:r>
      <w:r w:rsidRPr="00A52535">
        <w:t>/h (Touil); Messiel Gourvave, flow rate 10 m</w:t>
      </w:r>
      <w:r w:rsidRPr="000425B2">
        <w:rPr>
          <w:vertAlign w:val="superscript"/>
        </w:rPr>
        <w:t>3</w:t>
      </w:r>
      <w:r w:rsidRPr="00A52535">
        <w:t>/h (Touil); Lehreija, flow rate 6 m</w:t>
      </w:r>
      <w:r w:rsidRPr="000425B2">
        <w:rPr>
          <w:vertAlign w:val="superscript"/>
        </w:rPr>
        <w:t>3</w:t>
      </w:r>
      <w:r w:rsidRPr="00A52535">
        <w:t>/h (Touil); Lembeidie, flow rate 10 m</w:t>
      </w:r>
      <w:r w:rsidRPr="000425B2">
        <w:rPr>
          <w:vertAlign w:val="superscript"/>
        </w:rPr>
        <w:t>3</w:t>
      </w:r>
      <w:r w:rsidRPr="00A52535">
        <w:t>/h (Touil); Baghdad, no flow rate (</w:t>
      </w:r>
      <w:proofErr w:type="spellStart"/>
      <w:r w:rsidRPr="00A52535">
        <w:t>Touil</w:t>
      </w:r>
      <w:proofErr w:type="spellEnd"/>
      <w:r w:rsidRPr="00A52535">
        <w:t>)</w:t>
      </w:r>
      <w:r w:rsidR="000E4E19">
        <w:t>;</w:t>
      </w:r>
    </w:p>
    <w:p w:rsidR="00E90509" w:rsidRPr="00A52535" w:rsidRDefault="00E90509" w:rsidP="007D7ED1">
      <w:pPr>
        <w:pStyle w:val="Bullet1G"/>
      </w:pPr>
      <w:r w:rsidRPr="00A52535">
        <w:t>1 borehole in Assaba (Gdemballa) with a flow rate of 5 m</w:t>
      </w:r>
      <w:r w:rsidRPr="000425B2">
        <w:rPr>
          <w:vertAlign w:val="superscript"/>
        </w:rPr>
        <w:t>3</w:t>
      </w:r>
      <w:r w:rsidRPr="00A52535">
        <w:t>/h</w:t>
      </w:r>
      <w:r w:rsidR="000E4E19">
        <w:t>;</w:t>
      </w:r>
    </w:p>
    <w:p w:rsidR="00E90509" w:rsidRPr="00A52535" w:rsidRDefault="00E90509" w:rsidP="007D7ED1">
      <w:pPr>
        <w:pStyle w:val="Bullet1G"/>
      </w:pPr>
      <w:r w:rsidRPr="00A52535">
        <w:t xml:space="preserve">2 boreholes for the Tenkarra village group, Radhi commune, Tamchekett, Hodh El Gharbi in Reyoug and Nichane. The Reyoug project duplicated the </w:t>
      </w:r>
      <w:r w:rsidRPr="00A7152F">
        <w:t>Agency for</w:t>
      </w:r>
      <w:r w:rsidRPr="00A52535">
        <w:t xml:space="preserve"> the Promotion of Universal Access to Services project. Reyoug flow rate: 7 m</w:t>
      </w:r>
      <w:r w:rsidRPr="000425B2">
        <w:rPr>
          <w:vertAlign w:val="superscript"/>
        </w:rPr>
        <w:t>3</w:t>
      </w:r>
      <w:r w:rsidRPr="00A52535">
        <w:t>/h; Nichane flow rate: 5 m</w:t>
      </w:r>
      <w:r w:rsidRPr="000425B2">
        <w:rPr>
          <w:vertAlign w:val="superscript"/>
        </w:rPr>
        <w:t>3</w:t>
      </w:r>
      <w:r w:rsidRPr="00A52535">
        <w:t>/h</w:t>
      </w:r>
      <w:r w:rsidR="000E4E19">
        <w:t>;</w:t>
      </w:r>
    </w:p>
    <w:p w:rsidR="00E90509" w:rsidRPr="00A52535" w:rsidRDefault="00E90509" w:rsidP="007D7ED1">
      <w:pPr>
        <w:pStyle w:val="Bullet1G"/>
      </w:pPr>
      <w:r w:rsidRPr="00A52535">
        <w:t>2 boreholes in Tendewali 1 (18 m</w:t>
      </w:r>
      <w:r w:rsidRPr="000425B2">
        <w:rPr>
          <w:vertAlign w:val="superscript"/>
        </w:rPr>
        <w:t>3</w:t>
      </w:r>
      <w:r w:rsidRPr="00A52535">
        <w:t>/h) and Tendewali 2 (7 m</w:t>
      </w:r>
      <w:r w:rsidRPr="000425B2">
        <w:rPr>
          <w:vertAlign w:val="superscript"/>
        </w:rPr>
        <w:t>3</w:t>
      </w:r>
      <w:r w:rsidRPr="00A52535">
        <w:t xml:space="preserve">/h) in the town of </w:t>
      </w:r>
      <w:proofErr w:type="spellStart"/>
      <w:r w:rsidRPr="00A52535">
        <w:t>Chinguitty</w:t>
      </w:r>
      <w:proofErr w:type="spellEnd"/>
      <w:r w:rsidR="000E4E19">
        <w:t>;</w:t>
      </w:r>
    </w:p>
    <w:p w:rsidR="00E90509" w:rsidRPr="00A52535" w:rsidRDefault="00E90509" w:rsidP="007D7ED1">
      <w:pPr>
        <w:pStyle w:val="Bullet1G"/>
      </w:pPr>
      <w:r w:rsidRPr="00A52535">
        <w:t xml:space="preserve">4 agricultural wells in </w:t>
      </w:r>
      <w:proofErr w:type="spellStart"/>
      <w:r w:rsidRPr="00A52535">
        <w:t>Tagant</w:t>
      </w:r>
      <w:proofErr w:type="spellEnd"/>
      <w:r w:rsidR="000E4E19">
        <w:t>;</w:t>
      </w:r>
    </w:p>
    <w:p w:rsidR="00E90509" w:rsidRPr="00A52535" w:rsidRDefault="00E90509" w:rsidP="007D7ED1">
      <w:pPr>
        <w:pStyle w:val="Bullet1G"/>
      </w:pPr>
      <w:r w:rsidRPr="00A52535">
        <w:lastRenderedPageBreak/>
        <w:t xml:space="preserve">2 boreholes to supplement the catchment area in the town of Tidjikja under a tender let by the </w:t>
      </w:r>
      <w:r w:rsidRPr="00A7152F">
        <w:t>National Water Corporation</w:t>
      </w:r>
      <w:r w:rsidR="000E4E19">
        <w:t>;</w:t>
      </w:r>
    </w:p>
    <w:p w:rsidR="00E90509" w:rsidRPr="00A52535" w:rsidRDefault="00E90509" w:rsidP="007D7ED1">
      <w:pPr>
        <w:pStyle w:val="Bullet1G"/>
      </w:pPr>
      <w:r w:rsidRPr="00A52535">
        <w:t xml:space="preserve">2 boreholes in </w:t>
      </w:r>
      <w:proofErr w:type="spellStart"/>
      <w:r w:rsidRPr="00A52535">
        <w:t>Binihmik</w:t>
      </w:r>
      <w:proofErr w:type="spellEnd"/>
      <w:r w:rsidRPr="00A52535">
        <w:t xml:space="preserve"> (</w:t>
      </w:r>
      <w:proofErr w:type="spellStart"/>
      <w:r w:rsidRPr="00A52535">
        <w:t>Ghoudiya</w:t>
      </w:r>
      <w:proofErr w:type="spellEnd"/>
      <w:r w:rsidRPr="00A52535">
        <w:t xml:space="preserve">) and </w:t>
      </w:r>
      <w:proofErr w:type="spellStart"/>
      <w:r w:rsidRPr="00A52535">
        <w:t>Guelaga</w:t>
      </w:r>
      <w:proofErr w:type="spellEnd"/>
      <w:r w:rsidRPr="00A52535">
        <w:t xml:space="preserve">, </w:t>
      </w:r>
      <w:proofErr w:type="spellStart"/>
      <w:r w:rsidRPr="00A52535">
        <w:t>Soudoud</w:t>
      </w:r>
      <w:proofErr w:type="spellEnd"/>
      <w:r w:rsidRPr="00A52535">
        <w:t xml:space="preserve"> commune, </w:t>
      </w:r>
      <w:proofErr w:type="spellStart"/>
      <w:r w:rsidRPr="00A52535">
        <w:t>Moudjeria</w:t>
      </w:r>
      <w:proofErr w:type="spellEnd"/>
      <w:r w:rsidRPr="00A52535">
        <w:t xml:space="preserve"> </w:t>
      </w:r>
      <w:proofErr w:type="spellStart"/>
      <w:r w:rsidRPr="00C44D5C">
        <w:rPr>
          <w:i/>
          <w:iCs/>
        </w:rPr>
        <w:t>moughataa</w:t>
      </w:r>
      <w:proofErr w:type="spellEnd"/>
      <w:r w:rsidRPr="00A52535">
        <w:t xml:space="preserve"> in </w:t>
      </w:r>
      <w:proofErr w:type="spellStart"/>
      <w:r w:rsidRPr="00A52535">
        <w:t>Tagant</w:t>
      </w:r>
      <w:proofErr w:type="spellEnd"/>
      <w:r w:rsidR="000E4E19">
        <w:t>;</w:t>
      </w:r>
    </w:p>
    <w:p w:rsidR="00E90509" w:rsidRPr="00A52535" w:rsidRDefault="00E90509" w:rsidP="007D7ED1">
      <w:pPr>
        <w:pStyle w:val="Bullet1G"/>
      </w:pPr>
      <w:r w:rsidRPr="00A52535">
        <w:t xml:space="preserve">10 boreholes in the </w:t>
      </w:r>
      <w:r w:rsidRPr="00017011">
        <w:rPr>
          <w:i/>
          <w:iCs/>
        </w:rPr>
        <w:t>wilayas</w:t>
      </w:r>
      <w:r w:rsidRPr="00A52535">
        <w:t xml:space="preserve"> of Hodh Ech Charghi, Hodh El Gharbi, Tagant, Brakna and Guidimagha, as follows:</w:t>
      </w:r>
    </w:p>
    <w:p w:rsidR="00E90509" w:rsidRPr="00A52535" w:rsidRDefault="00E90509" w:rsidP="007D7ED1">
      <w:pPr>
        <w:pStyle w:val="Bullet2G"/>
      </w:pPr>
      <w:r w:rsidRPr="00A52535">
        <w:t xml:space="preserve">1 settlement in </w:t>
      </w:r>
      <w:proofErr w:type="spellStart"/>
      <w:r w:rsidRPr="00A52535">
        <w:t>Assaba</w:t>
      </w:r>
      <w:proofErr w:type="spellEnd"/>
      <w:r w:rsidRPr="00A52535">
        <w:t xml:space="preserve"> (</w:t>
      </w:r>
      <w:proofErr w:type="spellStart"/>
      <w:r w:rsidRPr="00A52535">
        <w:t>Benbisala</w:t>
      </w:r>
      <w:proofErr w:type="spellEnd"/>
      <w:r w:rsidRPr="00A52535">
        <w:t>, 6.5</w:t>
      </w:r>
      <w:r w:rsidR="00551BAC">
        <w:t xml:space="preserve"> </w:t>
      </w:r>
      <w:r w:rsidRPr="00A52535">
        <w:t>m</w:t>
      </w:r>
      <w:r w:rsidRPr="00526FC7">
        <w:rPr>
          <w:vertAlign w:val="superscript"/>
        </w:rPr>
        <w:t>3</w:t>
      </w:r>
      <w:r w:rsidRPr="00A52535">
        <w:t>/h)</w:t>
      </w:r>
      <w:r w:rsidR="000E4E19">
        <w:t>;</w:t>
      </w:r>
    </w:p>
    <w:p w:rsidR="00E90509" w:rsidRPr="00A52535" w:rsidRDefault="00E90509" w:rsidP="007D7ED1">
      <w:pPr>
        <w:pStyle w:val="Bullet2G"/>
      </w:pPr>
      <w:r w:rsidRPr="00A52535">
        <w:t>5 settlements in Hodh El Gharbi (Jhavia, Tamchekett, 18 m</w:t>
      </w:r>
      <w:r w:rsidRPr="007060F9">
        <w:rPr>
          <w:vertAlign w:val="superscript"/>
        </w:rPr>
        <w:t>3</w:t>
      </w:r>
      <w:r w:rsidRPr="00A52535">
        <w:t xml:space="preserve">/h, Manbouya </w:t>
      </w:r>
      <w:r w:rsidR="00FE5999">
        <w:t>—</w:t>
      </w:r>
      <w:r w:rsidRPr="00A52535">
        <w:t>Agadir, Touil, 17 m</w:t>
      </w:r>
      <w:r w:rsidRPr="007060F9">
        <w:rPr>
          <w:vertAlign w:val="superscript"/>
        </w:rPr>
        <w:t>3</w:t>
      </w:r>
      <w:r w:rsidRPr="00A52535">
        <w:t xml:space="preserve">/h, Niaylia-Sbeat, </w:t>
      </w:r>
      <w:proofErr w:type="spellStart"/>
      <w:r w:rsidRPr="00A52535">
        <w:t>Touil</w:t>
      </w:r>
      <w:proofErr w:type="spellEnd"/>
      <w:r w:rsidRPr="00A52535">
        <w:t>, 20 m3/h; Set-</w:t>
      </w:r>
      <w:proofErr w:type="spellStart"/>
      <w:r w:rsidRPr="00A52535">
        <w:t>Teichett</w:t>
      </w:r>
      <w:proofErr w:type="spellEnd"/>
      <w:r w:rsidRPr="00A52535">
        <w:t xml:space="preserve">, </w:t>
      </w:r>
      <w:proofErr w:type="spellStart"/>
      <w:r w:rsidRPr="00A52535">
        <w:t>Touil</w:t>
      </w:r>
      <w:proofErr w:type="spellEnd"/>
      <w:r w:rsidRPr="00A52535">
        <w:t>, 60 m</w:t>
      </w:r>
      <w:r w:rsidRPr="00450F49">
        <w:rPr>
          <w:vertAlign w:val="superscript"/>
        </w:rPr>
        <w:t>3</w:t>
      </w:r>
      <w:r w:rsidRPr="00A52535">
        <w:t xml:space="preserve">/h, </w:t>
      </w:r>
      <w:proofErr w:type="spellStart"/>
      <w:r w:rsidRPr="00A52535">
        <w:t>Arghaghin</w:t>
      </w:r>
      <w:proofErr w:type="spellEnd"/>
      <w:r w:rsidRPr="00A52535">
        <w:t xml:space="preserve">, </w:t>
      </w:r>
      <w:proofErr w:type="spellStart"/>
      <w:r w:rsidRPr="00A52535">
        <w:t>Gougui</w:t>
      </w:r>
      <w:proofErr w:type="spellEnd"/>
      <w:r w:rsidRPr="00A52535">
        <w:t xml:space="preserve"> </w:t>
      </w:r>
      <w:proofErr w:type="spellStart"/>
      <w:r w:rsidRPr="00A52535">
        <w:t>Zemal</w:t>
      </w:r>
      <w:proofErr w:type="spellEnd"/>
      <w:r w:rsidRPr="00A52535">
        <w:t>, 3.5</w:t>
      </w:r>
      <w:r w:rsidR="00526FC7">
        <w:t xml:space="preserve"> </w:t>
      </w:r>
      <w:r w:rsidRPr="00A52535">
        <w:t>m</w:t>
      </w:r>
      <w:r w:rsidRPr="00526FC7">
        <w:rPr>
          <w:vertAlign w:val="superscript"/>
        </w:rPr>
        <w:t>3</w:t>
      </w:r>
      <w:r w:rsidRPr="00A52535">
        <w:t>/h</w:t>
      </w:r>
      <w:r w:rsidR="000E4E19">
        <w:t>;</w:t>
      </w:r>
    </w:p>
    <w:p w:rsidR="00E90509" w:rsidRPr="00A52535" w:rsidRDefault="00E90509" w:rsidP="007D7ED1">
      <w:pPr>
        <w:pStyle w:val="Bullet2G"/>
      </w:pPr>
      <w:r w:rsidRPr="00A52535">
        <w:t xml:space="preserve">1 settlement in </w:t>
      </w:r>
      <w:proofErr w:type="spellStart"/>
      <w:r w:rsidRPr="00A52535">
        <w:t>Brakna</w:t>
      </w:r>
      <w:proofErr w:type="spellEnd"/>
      <w:r w:rsidRPr="00A52535">
        <w:t xml:space="preserve"> (El </w:t>
      </w:r>
      <w:proofErr w:type="spellStart"/>
      <w:r w:rsidRPr="00A52535">
        <w:t>Gharga</w:t>
      </w:r>
      <w:proofErr w:type="spellEnd"/>
      <w:r w:rsidRPr="00A52535">
        <w:t xml:space="preserve">, Wad Amour, </w:t>
      </w:r>
      <w:proofErr w:type="spellStart"/>
      <w:r w:rsidRPr="00A52535">
        <w:t>Brakna</w:t>
      </w:r>
      <w:proofErr w:type="spellEnd"/>
      <w:r w:rsidRPr="00A52535">
        <w:t>, 13 m</w:t>
      </w:r>
      <w:r w:rsidRPr="0009268E">
        <w:rPr>
          <w:vertAlign w:val="superscript"/>
        </w:rPr>
        <w:t>3</w:t>
      </w:r>
      <w:r w:rsidRPr="00A52535">
        <w:t>/h)</w:t>
      </w:r>
      <w:r w:rsidR="000E4E19">
        <w:t>;</w:t>
      </w:r>
    </w:p>
    <w:p w:rsidR="00E90509" w:rsidRPr="00A52535" w:rsidRDefault="00E90509" w:rsidP="007D7ED1">
      <w:pPr>
        <w:pStyle w:val="Bullet2G"/>
      </w:pPr>
      <w:r w:rsidRPr="00A52535">
        <w:t xml:space="preserve">1 settlement in </w:t>
      </w:r>
      <w:proofErr w:type="spellStart"/>
      <w:r w:rsidRPr="00A52535">
        <w:t>Hodh</w:t>
      </w:r>
      <w:proofErr w:type="spellEnd"/>
      <w:r w:rsidRPr="00A52535">
        <w:t xml:space="preserve"> </w:t>
      </w:r>
      <w:proofErr w:type="spellStart"/>
      <w:r w:rsidRPr="00A52535">
        <w:t>Ech</w:t>
      </w:r>
      <w:proofErr w:type="spellEnd"/>
      <w:r w:rsidRPr="00A52535">
        <w:t xml:space="preserve"> </w:t>
      </w:r>
      <w:proofErr w:type="spellStart"/>
      <w:r w:rsidRPr="00A52535">
        <w:t>Charghi</w:t>
      </w:r>
      <w:proofErr w:type="spellEnd"/>
      <w:r w:rsidRPr="00A52535">
        <w:t xml:space="preserve"> (</w:t>
      </w:r>
      <w:proofErr w:type="spellStart"/>
      <w:r w:rsidRPr="00A52535">
        <w:t>Ferenny</w:t>
      </w:r>
      <w:proofErr w:type="spellEnd"/>
      <w:r w:rsidRPr="00A52535">
        <w:t xml:space="preserve">, </w:t>
      </w:r>
      <w:proofErr w:type="spellStart"/>
      <w:r w:rsidRPr="00A52535">
        <w:t>Djiguenny</w:t>
      </w:r>
      <w:proofErr w:type="spellEnd"/>
      <w:r w:rsidRPr="00A52535">
        <w:t>, 20 m</w:t>
      </w:r>
      <w:r w:rsidRPr="0009268E">
        <w:rPr>
          <w:vertAlign w:val="superscript"/>
        </w:rPr>
        <w:t>3</w:t>
      </w:r>
      <w:r w:rsidRPr="00A52535">
        <w:t>/h)</w:t>
      </w:r>
      <w:r w:rsidR="000E4E19">
        <w:t>;</w:t>
      </w:r>
    </w:p>
    <w:p w:rsidR="00E90509" w:rsidRPr="00A52535" w:rsidRDefault="00E90509" w:rsidP="007D7ED1">
      <w:pPr>
        <w:pStyle w:val="Bullet2G"/>
      </w:pPr>
      <w:r w:rsidRPr="00A52535">
        <w:t xml:space="preserve">1 settlement in </w:t>
      </w:r>
      <w:proofErr w:type="spellStart"/>
      <w:r w:rsidRPr="00A52535">
        <w:t>Tagant</w:t>
      </w:r>
      <w:proofErr w:type="spellEnd"/>
      <w:r w:rsidRPr="00A52535">
        <w:t xml:space="preserve"> (</w:t>
      </w:r>
      <w:proofErr w:type="spellStart"/>
      <w:r w:rsidRPr="00A52535">
        <w:t>Graret</w:t>
      </w:r>
      <w:proofErr w:type="spellEnd"/>
      <w:r w:rsidRPr="00A52535">
        <w:t xml:space="preserve"> </w:t>
      </w:r>
      <w:proofErr w:type="spellStart"/>
      <w:r w:rsidRPr="00A52535">
        <w:t>Namous</w:t>
      </w:r>
      <w:proofErr w:type="spellEnd"/>
      <w:r w:rsidRPr="00A52535">
        <w:t xml:space="preserve">, </w:t>
      </w:r>
      <w:proofErr w:type="spellStart"/>
      <w:r w:rsidRPr="00A52535">
        <w:t>Tamour</w:t>
      </w:r>
      <w:proofErr w:type="spellEnd"/>
      <w:r w:rsidRPr="00A52535">
        <w:t xml:space="preserve"> </w:t>
      </w:r>
      <w:proofErr w:type="spellStart"/>
      <w:r w:rsidRPr="00A52535">
        <w:t>Naaj</w:t>
      </w:r>
      <w:proofErr w:type="spellEnd"/>
      <w:r w:rsidRPr="00A52535">
        <w:t>, 7.5 m</w:t>
      </w:r>
      <w:r w:rsidRPr="0009268E">
        <w:rPr>
          <w:vertAlign w:val="superscript"/>
        </w:rPr>
        <w:t>3</w:t>
      </w:r>
      <w:r w:rsidRPr="00A52535">
        <w:t>/h)</w:t>
      </w:r>
      <w:r w:rsidR="000E4E19">
        <w:t>;</w:t>
      </w:r>
    </w:p>
    <w:p w:rsidR="00E90509" w:rsidRPr="00A52535" w:rsidRDefault="00E90509" w:rsidP="007D7ED1">
      <w:pPr>
        <w:pStyle w:val="Bullet2G"/>
      </w:pPr>
      <w:r w:rsidRPr="00A52535">
        <w:t xml:space="preserve">1 settlement in </w:t>
      </w:r>
      <w:proofErr w:type="spellStart"/>
      <w:r w:rsidRPr="00A52535">
        <w:t>Guidimagha</w:t>
      </w:r>
      <w:proofErr w:type="spellEnd"/>
      <w:r w:rsidRPr="00A52535">
        <w:t xml:space="preserve"> (</w:t>
      </w:r>
      <w:proofErr w:type="spellStart"/>
      <w:r w:rsidRPr="00A52535">
        <w:t>Zreigatt</w:t>
      </w:r>
      <w:proofErr w:type="spellEnd"/>
      <w:r w:rsidRPr="00A52535">
        <w:t xml:space="preserve">, </w:t>
      </w:r>
      <w:proofErr w:type="spellStart"/>
      <w:r w:rsidRPr="00A52535">
        <w:t>Hassi</w:t>
      </w:r>
      <w:proofErr w:type="spellEnd"/>
      <w:r w:rsidRPr="00A52535">
        <w:t xml:space="preserve"> </w:t>
      </w:r>
      <w:proofErr w:type="spellStart"/>
      <w:r w:rsidRPr="00A52535">
        <w:t>Cheggar</w:t>
      </w:r>
      <w:proofErr w:type="spellEnd"/>
      <w:r w:rsidRPr="00A52535">
        <w:t xml:space="preserve"> commune, </w:t>
      </w:r>
      <w:proofErr w:type="spellStart"/>
      <w:r w:rsidRPr="00A52535">
        <w:t>Sélibaby</w:t>
      </w:r>
      <w:proofErr w:type="spellEnd"/>
      <w:r w:rsidRPr="00A52535">
        <w:t xml:space="preserve">, </w:t>
      </w:r>
      <w:r w:rsidR="009E62BF">
        <w:br/>
      </w:r>
      <w:r w:rsidRPr="00A52535">
        <w:t>5 m</w:t>
      </w:r>
      <w:r w:rsidRPr="009E62BF">
        <w:rPr>
          <w:vertAlign w:val="superscript"/>
        </w:rPr>
        <w:t>3</w:t>
      </w:r>
      <w:r w:rsidRPr="00A52535">
        <w:t>/h)</w:t>
      </w:r>
      <w:r w:rsidR="000E4E19">
        <w:t>;</w:t>
      </w:r>
    </w:p>
    <w:p w:rsidR="00E90509" w:rsidRPr="00A52535" w:rsidRDefault="00E90509" w:rsidP="007D7ED1">
      <w:pPr>
        <w:pStyle w:val="Bullet2G"/>
      </w:pPr>
      <w:r w:rsidRPr="00A52535">
        <w:t xml:space="preserve">1 borehole in the settlement of </w:t>
      </w:r>
      <w:proofErr w:type="spellStart"/>
      <w:r w:rsidRPr="00A52535">
        <w:t>Ajouer</w:t>
      </w:r>
      <w:proofErr w:type="spellEnd"/>
      <w:r w:rsidRPr="00A52535">
        <w:t xml:space="preserve"> (8 m</w:t>
      </w:r>
      <w:r w:rsidRPr="007C6663">
        <w:rPr>
          <w:vertAlign w:val="superscript"/>
        </w:rPr>
        <w:t>3</w:t>
      </w:r>
      <w:r w:rsidRPr="00A52535">
        <w:t xml:space="preserve">/h), </w:t>
      </w:r>
      <w:proofErr w:type="spellStart"/>
      <w:r w:rsidRPr="00A52535">
        <w:t>Boutilimit</w:t>
      </w:r>
      <w:proofErr w:type="spellEnd"/>
      <w:r w:rsidRPr="00A52535">
        <w:t xml:space="preserve">, </w:t>
      </w:r>
      <w:proofErr w:type="spellStart"/>
      <w:r w:rsidRPr="00A52535">
        <w:t>Trarza</w:t>
      </w:r>
      <w:proofErr w:type="spellEnd"/>
      <w:r w:rsidR="000E4E19">
        <w:t>.</w:t>
      </w:r>
    </w:p>
    <w:p w:rsidR="00E90509" w:rsidRPr="00A52535" w:rsidRDefault="007D7ED1" w:rsidP="007D7ED1">
      <w:pPr>
        <w:pStyle w:val="H23G"/>
      </w:pPr>
      <w:r>
        <w:tab/>
      </w:r>
      <w:r>
        <w:tab/>
      </w:r>
      <w:r w:rsidR="00E90509" w:rsidRPr="00A52535">
        <w:t xml:space="preserve">Drinking water systems </w:t>
      </w:r>
    </w:p>
    <w:p w:rsidR="00E90509" w:rsidRPr="00A52535" w:rsidRDefault="007D7ED1" w:rsidP="007D7ED1">
      <w:pPr>
        <w:pStyle w:val="H4G"/>
      </w:pPr>
      <w:r>
        <w:tab/>
      </w:r>
      <w:r>
        <w:tab/>
      </w:r>
      <w:r w:rsidR="00E90509" w:rsidRPr="00A52535">
        <w:t>Drinking water systems installed</w:t>
      </w:r>
    </w:p>
    <w:p w:rsidR="00E90509" w:rsidRPr="00A52535" w:rsidRDefault="00E90509" w:rsidP="007D7ED1">
      <w:pPr>
        <w:pStyle w:val="Bullet1G"/>
      </w:pPr>
      <w:r w:rsidRPr="00A52535">
        <w:t xml:space="preserve">Drinking water grid in settlements in </w:t>
      </w:r>
      <w:proofErr w:type="spellStart"/>
      <w:r w:rsidRPr="00A52535">
        <w:t>Afodiar</w:t>
      </w:r>
      <w:proofErr w:type="spellEnd"/>
      <w:r w:rsidRPr="00A52535">
        <w:t xml:space="preserve">, </w:t>
      </w:r>
      <w:proofErr w:type="spellStart"/>
      <w:r w:rsidRPr="00A52535">
        <w:t>Mounguel</w:t>
      </w:r>
      <w:proofErr w:type="spellEnd"/>
      <w:r w:rsidRPr="00A52535">
        <w:t xml:space="preserve">, </w:t>
      </w:r>
      <w:proofErr w:type="spellStart"/>
      <w:r w:rsidRPr="00A52535">
        <w:t>Gorgol</w:t>
      </w:r>
      <w:proofErr w:type="spellEnd"/>
      <w:r w:rsidR="00C44D5C">
        <w:t>;</w:t>
      </w:r>
    </w:p>
    <w:p w:rsidR="00E90509" w:rsidRPr="00A52535" w:rsidRDefault="00E90509" w:rsidP="007D7ED1">
      <w:pPr>
        <w:pStyle w:val="Bullet1G"/>
      </w:pPr>
      <w:r w:rsidRPr="00A52535">
        <w:t xml:space="preserve">Drinking water grids in the settlements of </w:t>
      </w:r>
      <w:proofErr w:type="spellStart"/>
      <w:r w:rsidRPr="00A52535">
        <w:t>Agmamime</w:t>
      </w:r>
      <w:proofErr w:type="spellEnd"/>
      <w:r w:rsidRPr="00A52535">
        <w:t xml:space="preserve">, Sad </w:t>
      </w:r>
      <w:proofErr w:type="spellStart"/>
      <w:r w:rsidRPr="00A52535">
        <w:t>Gadel</w:t>
      </w:r>
      <w:proofErr w:type="spellEnd"/>
      <w:r w:rsidRPr="00A52535">
        <w:t xml:space="preserve"> and </w:t>
      </w:r>
      <w:proofErr w:type="spellStart"/>
      <w:r w:rsidRPr="00A52535">
        <w:t>Tendel</w:t>
      </w:r>
      <w:proofErr w:type="spellEnd"/>
      <w:r w:rsidRPr="00A52535">
        <w:t xml:space="preserve">, </w:t>
      </w:r>
      <w:proofErr w:type="spellStart"/>
      <w:r w:rsidRPr="00A52535">
        <w:t>Maghta</w:t>
      </w:r>
      <w:proofErr w:type="spellEnd"/>
      <w:r w:rsidRPr="00A52535">
        <w:t xml:space="preserve"> </w:t>
      </w:r>
      <w:proofErr w:type="spellStart"/>
      <w:r w:rsidRPr="00A52535">
        <w:t>Lahjar</w:t>
      </w:r>
      <w:proofErr w:type="spellEnd"/>
      <w:r w:rsidRPr="00A52535">
        <w:t xml:space="preserve"> </w:t>
      </w:r>
      <w:proofErr w:type="spellStart"/>
      <w:r w:rsidRPr="00C44D5C">
        <w:rPr>
          <w:i/>
          <w:iCs/>
        </w:rPr>
        <w:t>moughataa</w:t>
      </w:r>
      <w:proofErr w:type="spellEnd"/>
      <w:r w:rsidRPr="00A52535">
        <w:t xml:space="preserve"> in </w:t>
      </w:r>
      <w:proofErr w:type="spellStart"/>
      <w:r w:rsidRPr="00A52535">
        <w:t>Brakna</w:t>
      </w:r>
      <w:proofErr w:type="spellEnd"/>
      <w:r w:rsidR="00C44D5C">
        <w:t>;</w:t>
      </w:r>
    </w:p>
    <w:p w:rsidR="00E90509" w:rsidRPr="00A52535" w:rsidRDefault="00E90509" w:rsidP="007D7ED1">
      <w:pPr>
        <w:pStyle w:val="Bullet1G"/>
      </w:pPr>
      <w:r w:rsidRPr="00A52535">
        <w:t xml:space="preserve">3 drinking water systems installed as part of the Lehdada Programme reassigned to the National Directorate for Rural Water Supply in the settlements of </w:t>
      </w:r>
      <w:proofErr w:type="spellStart"/>
      <w:r w:rsidRPr="00A52535">
        <w:t>Blajmil</w:t>
      </w:r>
      <w:proofErr w:type="spellEnd"/>
      <w:r w:rsidRPr="00A52535">
        <w:t xml:space="preserve"> (</w:t>
      </w:r>
      <w:proofErr w:type="spellStart"/>
      <w:r w:rsidRPr="00A52535">
        <w:t>Guidimagha</w:t>
      </w:r>
      <w:proofErr w:type="spellEnd"/>
      <w:r w:rsidRPr="00A52535">
        <w:t xml:space="preserve">), </w:t>
      </w:r>
      <w:proofErr w:type="spellStart"/>
      <w:r w:rsidRPr="00A52535">
        <w:t>Lemen</w:t>
      </w:r>
      <w:proofErr w:type="spellEnd"/>
      <w:r w:rsidRPr="00A52535">
        <w:t xml:space="preserve"> (</w:t>
      </w:r>
      <w:proofErr w:type="spellStart"/>
      <w:r w:rsidRPr="00A52535">
        <w:t>Hodh</w:t>
      </w:r>
      <w:proofErr w:type="spellEnd"/>
      <w:r w:rsidRPr="00A52535">
        <w:t xml:space="preserve"> El </w:t>
      </w:r>
      <w:proofErr w:type="spellStart"/>
      <w:r w:rsidRPr="00A52535">
        <w:t>Gharbi</w:t>
      </w:r>
      <w:proofErr w:type="spellEnd"/>
      <w:r w:rsidRPr="00A52535">
        <w:t xml:space="preserve">) and </w:t>
      </w:r>
      <w:proofErr w:type="spellStart"/>
      <w:r w:rsidRPr="00A52535">
        <w:t>Samassak</w:t>
      </w:r>
      <w:proofErr w:type="spellEnd"/>
      <w:r w:rsidRPr="00A52535">
        <w:t xml:space="preserve"> (</w:t>
      </w:r>
      <w:proofErr w:type="spellStart"/>
      <w:r w:rsidRPr="00A52535">
        <w:t>Hodh</w:t>
      </w:r>
      <w:proofErr w:type="spellEnd"/>
      <w:r w:rsidRPr="00A52535">
        <w:t xml:space="preserve"> </w:t>
      </w:r>
      <w:proofErr w:type="spellStart"/>
      <w:r w:rsidRPr="00A52535">
        <w:t>Ech</w:t>
      </w:r>
      <w:proofErr w:type="spellEnd"/>
      <w:r w:rsidRPr="00A52535">
        <w:t xml:space="preserve"> </w:t>
      </w:r>
      <w:proofErr w:type="spellStart"/>
      <w:r w:rsidRPr="00A52535">
        <w:t>Charghi</w:t>
      </w:r>
      <w:proofErr w:type="spellEnd"/>
      <w:r w:rsidRPr="00A52535">
        <w:t>)</w:t>
      </w:r>
      <w:r w:rsidR="00C44D5C">
        <w:t>;</w:t>
      </w:r>
    </w:p>
    <w:p w:rsidR="00E90509" w:rsidRPr="00A52535" w:rsidRDefault="00E90509" w:rsidP="007D7ED1">
      <w:pPr>
        <w:pStyle w:val="Bullet1G"/>
      </w:pPr>
      <w:r w:rsidRPr="00A52535">
        <w:t>Construction of a water tower with a capacity of 150 m</w:t>
      </w:r>
      <w:r w:rsidRPr="00AE6429">
        <w:rPr>
          <w:vertAlign w:val="superscript"/>
        </w:rPr>
        <w:t>3</w:t>
      </w:r>
      <w:r w:rsidRPr="00A52535">
        <w:t xml:space="preserve"> in </w:t>
      </w:r>
      <w:proofErr w:type="spellStart"/>
      <w:r w:rsidRPr="00A52535">
        <w:t>Moudjeria</w:t>
      </w:r>
      <w:proofErr w:type="spellEnd"/>
      <w:r w:rsidR="00C44D5C">
        <w:t>;</w:t>
      </w:r>
    </w:p>
    <w:p w:rsidR="00E90509" w:rsidRPr="00A52535" w:rsidRDefault="00E90509" w:rsidP="007D7ED1">
      <w:pPr>
        <w:pStyle w:val="Bullet1G"/>
      </w:pPr>
      <w:r w:rsidRPr="00A52535">
        <w:t xml:space="preserve">Drinking water system in </w:t>
      </w:r>
      <w:proofErr w:type="spellStart"/>
      <w:r w:rsidRPr="00A52535">
        <w:t>Guedmballa</w:t>
      </w:r>
      <w:proofErr w:type="spellEnd"/>
      <w:r w:rsidRPr="00A52535">
        <w:t xml:space="preserve"> 2, </w:t>
      </w:r>
      <w:proofErr w:type="spellStart"/>
      <w:r w:rsidRPr="00A52535">
        <w:t>Leweissi</w:t>
      </w:r>
      <w:proofErr w:type="spellEnd"/>
      <w:r w:rsidRPr="00A52535">
        <w:t xml:space="preserve"> commune, </w:t>
      </w:r>
      <w:proofErr w:type="spellStart"/>
      <w:r w:rsidRPr="00A52535">
        <w:t>Assaba</w:t>
      </w:r>
      <w:proofErr w:type="spellEnd"/>
      <w:r w:rsidR="00C44D5C">
        <w:t>;</w:t>
      </w:r>
    </w:p>
    <w:p w:rsidR="00E90509" w:rsidRPr="00A52535" w:rsidRDefault="00E90509" w:rsidP="007D7ED1">
      <w:pPr>
        <w:pStyle w:val="Bullet1G"/>
      </w:pPr>
      <w:r w:rsidRPr="00A52535">
        <w:t xml:space="preserve">Drinking water system in </w:t>
      </w:r>
      <w:proofErr w:type="spellStart"/>
      <w:r w:rsidRPr="00A52535">
        <w:t>Tegowdit</w:t>
      </w:r>
      <w:proofErr w:type="spellEnd"/>
      <w:r w:rsidRPr="00A52535">
        <w:t xml:space="preserve">, </w:t>
      </w:r>
      <w:proofErr w:type="spellStart"/>
      <w:r w:rsidRPr="00A52535">
        <w:t>Touil</w:t>
      </w:r>
      <w:proofErr w:type="spellEnd"/>
      <w:r w:rsidRPr="00A52535">
        <w:t xml:space="preserve">, </w:t>
      </w:r>
      <w:proofErr w:type="spellStart"/>
      <w:r w:rsidRPr="00A52535">
        <w:t>Hodh</w:t>
      </w:r>
      <w:proofErr w:type="spellEnd"/>
      <w:r w:rsidRPr="00A52535">
        <w:t xml:space="preserve"> El </w:t>
      </w:r>
      <w:proofErr w:type="spellStart"/>
      <w:r w:rsidRPr="00A52535">
        <w:t>Gharbi</w:t>
      </w:r>
      <w:proofErr w:type="spellEnd"/>
      <w:r w:rsidR="00C44D5C">
        <w:t>;</w:t>
      </w:r>
    </w:p>
    <w:p w:rsidR="00E90509" w:rsidRPr="00A52535" w:rsidRDefault="00E90509" w:rsidP="007D7ED1">
      <w:pPr>
        <w:pStyle w:val="Bullet1G"/>
      </w:pPr>
      <w:r w:rsidRPr="00A52535">
        <w:t xml:space="preserve">Drinking water system in </w:t>
      </w:r>
      <w:proofErr w:type="spellStart"/>
      <w:r w:rsidRPr="00A52535">
        <w:t>Lihreija</w:t>
      </w:r>
      <w:proofErr w:type="spellEnd"/>
      <w:r w:rsidRPr="00A52535">
        <w:t xml:space="preserve">, </w:t>
      </w:r>
      <w:proofErr w:type="spellStart"/>
      <w:r w:rsidRPr="00A52535">
        <w:t>Touil</w:t>
      </w:r>
      <w:proofErr w:type="spellEnd"/>
      <w:r w:rsidRPr="00A52535">
        <w:t xml:space="preserve">, </w:t>
      </w:r>
      <w:proofErr w:type="spellStart"/>
      <w:r w:rsidRPr="00A52535">
        <w:t>Hodh</w:t>
      </w:r>
      <w:proofErr w:type="spellEnd"/>
      <w:r w:rsidRPr="00A52535">
        <w:t xml:space="preserve"> El </w:t>
      </w:r>
      <w:proofErr w:type="spellStart"/>
      <w:r w:rsidRPr="00A52535">
        <w:t>Gharbi</w:t>
      </w:r>
      <w:proofErr w:type="spellEnd"/>
      <w:r w:rsidR="00C44D5C">
        <w:t>;</w:t>
      </w:r>
    </w:p>
    <w:p w:rsidR="00E90509" w:rsidRPr="00A52535" w:rsidRDefault="00E90509" w:rsidP="007D7ED1">
      <w:pPr>
        <w:pStyle w:val="Bullet1G"/>
      </w:pPr>
      <w:r w:rsidRPr="00A52535">
        <w:t xml:space="preserve">Drinking water system in El </w:t>
      </w:r>
      <w:proofErr w:type="spellStart"/>
      <w:r w:rsidRPr="00A52535">
        <w:t>Bounya</w:t>
      </w:r>
      <w:proofErr w:type="spellEnd"/>
      <w:r w:rsidRPr="00A52535">
        <w:t xml:space="preserve">, Ain </w:t>
      </w:r>
      <w:proofErr w:type="spellStart"/>
      <w:r w:rsidRPr="00A52535">
        <w:t>Varba</w:t>
      </w:r>
      <w:proofErr w:type="spellEnd"/>
      <w:r w:rsidRPr="00A52535">
        <w:t xml:space="preserve">, </w:t>
      </w:r>
      <w:proofErr w:type="spellStart"/>
      <w:r w:rsidRPr="00A52535">
        <w:t>Hodh</w:t>
      </w:r>
      <w:proofErr w:type="spellEnd"/>
      <w:r w:rsidRPr="00A52535">
        <w:t xml:space="preserve"> El </w:t>
      </w:r>
      <w:proofErr w:type="spellStart"/>
      <w:r w:rsidRPr="00A52535">
        <w:t>Gharbi</w:t>
      </w:r>
      <w:proofErr w:type="spellEnd"/>
      <w:r w:rsidR="00C44D5C">
        <w:t>;</w:t>
      </w:r>
    </w:p>
    <w:p w:rsidR="00E90509" w:rsidRPr="00A52535" w:rsidRDefault="00E90509" w:rsidP="007D7ED1">
      <w:pPr>
        <w:pStyle w:val="Bullet1G"/>
      </w:pPr>
      <w:r w:rsidRPr="00A52535">
        <w:t xml:space="preserve">Drinking water system in Reyoug 2, Radhi Commune, </w:t>
      </w:r>
      <w:proofErr w:type="spellStart"/>
      <w:r w:rsidRPr="00A52535">
        <w:t>Tamchekett</w:t>
      </w:r>
      <w:proofErr w:type="spellEnd"/>
      <w:r w:rsidRPr="00A52535">
        <w:t xml:space="preserve">, </w:t>
      </w:r>
      <w:proofErr w:type="spellStart"/>
      <w:r w:rsidRPr="00A52535">
        <w:t>Hodh</w:t>
      </w:r>
      <w:proofErr w:type="spellEnd"/>
      <w:r w:rsidRPr="00A52535">
        <w:t xml:space="preserve"> El </w:t>
      </w:r>
      <w:proofErr w:type="spellStart"/>
      <w:r w:rsidRPr="00A52535">
        <w:t>Gharbi</w:t>
      </w:r>
      <w:proofErr w:type="spellEnd"/>
      <w:r w:rsidR="00C44D5C">
        <w:t>;</w:t>
      </w:r>
    </w:p>
    <w:p w:rsidR="00E90509" w:rsidRPr="00A52535" w:rsidRDefault="00E90509" w:rsidP="007D7ED1">
      <w:pPr>
        <w:pStyle w:val="Bullet1G"/>
      </w:pPr>
      <w:r w:rsidRPr="00A52535">
        <w:t xml:space="preserve">Drinking water system in </w:t>
      </w:r>
      <w:proofErr w:type="spellStart"/>
      <w:r w:rsidRPr="00A52535">
        <w:t>Nichane</w:t>
      </w:r>
      <w:proofErr w:type="spellEnd"/>
      <w:r w:rsidRPr="00A52535">
        <w:t xml:space="preserve">, Radhi Commune, </w:t>
      </w:r>
      <w:proofErr w:type="spellStart"/>
      <w:r w:rsidRPr="00A52535">
        <w:t>Tamchekett</w:t>
      </w:r>
      <w:proofErr w:type="spellEnd"/>
      <w:r w:rsidRPr="00A52535">
        <w:t xml:space="preserve">, </w:t>
      </w:r>
      <w:proofErr w:type="spellStart"/>
      <w:r w:rsidRPr="00A52535">
        <w:t>Hodh</w:t>
      </w:r>
      <w:proofErr w:type="spellEnd"/>
      <w:r w:rsidRPr="00A52535">
        <w:t xml:space="preserve"> El </w:t>
      </w:r>
      <w:proofErr w:type="spellStart"/>
      <w:r w:rsidRPr="00A52535">
        <w:t>Gharbi</w:t>
      </w:r>
      <w:proofErr w:type="spellEnd"/>
      <w:r w:rsidR="00C44D5C">
        <w:t>;</w:t>
      </w:r>
    </w:p>
    <w:p w:rsidR="00E90509" w:rsidRPr="00A52535" w:rsidRDefault="00E90509" w:rsidP="007D7ED1">
      <w:pPr>
        <w:pStyle w:val="Bullet1G"/>
      </w:pPr>
      <w:r w:rsidRPr="00A52535">
        <w:t>Drinking water system in Lighatha, Touil, Hodh El Gharbi;</w:t>
      </w:r>
    </w:p>
    <w:p w:rsidR="00E90509" w:rsidRPr="00A52535" w:rsidRDefault="00E90509" w:rsidP="007D7ED1">
      <w:pPr>
        <w:pStyle w:val="Bullet1G"/>
      </w:pPr>
      <w:r w:rsidRPr="00A52535">
        <w:t xml:space="preserve">Drinking water system in </w:t>
      </w:r>
      <w:proofErr w:type="spellStart"/>
      <w:r w:rsidRPr="00A52535">
        <w:t>Messiel</w:t>
      </w:r>
      <w:proofErr w:type="spellEnd"/>
      <w:r w:rsidRPr="00A52535">
        <w:t xml:space="preserve"> </w:t>
      </w:r>
      <w:proofErr w:type="spellStart"/>
      <w:r w:rsidRPr="00A52535">
        <w:t>Guervave</w:t>
      </w:r>
      <w:proofErr w:type="spellEnd"/>
      <w:r w:rsidRPr="00A52535">
        <w:t xml:space="preserve">, </w:t>
      </w:r>
      <w:proofErr w:type="spellStart"/>
      <w:r w:rsidRPr="00A52535">
        <w:t>Touil</w:t>
      </w:r>
      <w:proofErr w:type="spellEnd"/>
      <w:r w:rsidRPr="00A52535">
        <w:t xml:space="preserve">, </w:t>
      </w:r>
      <w:proofErr w:type="spellStart"/>
      <w:r w:rsidRPr="00A52535">
        <w:t>Hodh</w:t>
      </w:r>
      <w:proofErr w:type="spellEnd"/>
      <w:r w:rsidRPr="00A52535">
        <w:t xml:space="preserve"> El </w:t>
      </w:r>
      <w:proofErr w:type="spellStart"/>
      <w:r w:rsidRPr="00A52535">
        <w:t>Gharbi</w:t>
      </w:r>
      <w:proofErr w:type="spellEnd"/>
      <w:r w:rsidR="00C44D5C">
        <w:t>;</w:t>
      </w:r>
    </w:p>
    <w:p w:rsidR="00E90509" w:rsidRPr="00A52535" w:rsidRDefault="00E90509" w:rsidP="007D7ED1">
      <w:pPr>
        <w:pStyle w:val="Bullet1G"/>
      </w:pPr>
      <w:r w:rsidRPr="00A52535">
        <w:t xml:space="preserve">Drinking water system in </w:t>
      </w:r>
      <w:proofErr w:type="spellStart"/>
      <w:r w:rsidRPr="00A52535">
        <w:t>Hassi</w:t>
      </w:r>
      <w:proofErr w:type="spellEnd"/>
      <w:r w:rsidRPr="00A52535">
        <w:t xml:space="preserve"> </w:t>
      </w:r>
      <w:proofErr w:type="spellStart"/>
      <w:r w:rsidRPr="00A52535">
        <w:t>Lekwar</w:t>
      </w:r>
      <w:proofErr w:type="spellEnd"/>
      <w:r w:rsidRPr="00A52535">
        <w:t xml:space="preserve">, Ain </w:t>
      </w:r>
      <w:proofErr w:type="spellStart"/>
      <w:r w:rsidRPr="00A52535">
        <w:t>Varba</w:t>
      </w:r>
      <w:proofErr w:type="spellEnd"/>
      <w:r w:rsidRPr="00A52535">
        <w:t xml:space="preserve">, </w:t>
      </w:r>
      <w:proofErr w:type="spellStart"/>
      <w:r w:rsidRPr="00A52535">
        <w:t>Hodh</w:t>
      </w:r>
      <w:proofErr w:type="spellEnd"/>
      <w:r w:rsidRPr="00A52535">
        <w:t xml:space="preserve"> El </w:t>
      </w:r>
      <w:proofErr w:type="spellStart"/>
      <w:r w:rsidRPr="00A52535">
        <w:t>Gharbi</w:t>
      </w:r>
      <w:proofErr w:type="spellEnd"/>
      <w:r w:rsidR="00C44D5C">
        <w:t>;</w:t>
      </w:r>
    </w:p>
    <w:p w:rsidR="00E90509" w:rsidRPr="00A52535" w:rsidRDefault="00E90509" w:rsidP="007D7ED1">
      <w:pPr>
        <w:pStyle w:val="Bullet1G"/>
      </w:pPr>
      <w:r w:rsidRPr="00A52535">
        <w:t xml:space="preserve">Drinking water system in </w:t>
      </w:r>
      <w:proofErr w:type="spellStart"/>
      <w:r w:rsidRPr="00A52535">
        <w:t>Lembedie</w:t>
      </w:r>
      <w:proofErr w:type="spellEnd"/>
      <w:r w:rsidRPr="00A52535">
        <w:t xml:space="preserve">, </w:t>
      </w:r>
      <w:proofErr w:type="spellStart"/>
      <w:r w:rsidRPr="00A52535">
        <w:t>Touil</w:t>
      </w:r>
      <w:proofErr w:type="spellEnd"/>
      <w:r w:rsidRPr="00A52535">
        <w:t xml:space="preserve">, </w:t>
      </w:r>
      <w:proofErr w:type="spellStart"/>
      <w:r w:rsidRPr="00A52535">
        <w:t>Hodh</w:t>
      </w:r>
      <w:proofErr w:type="spellEnd"/>
      <w:r w:rsidRPr="00A52535">
        <w:t xml:space="preserve"> El </w:t>
      </w:r>
      <w:proofErr w:type="spellStart"/>
      <w:r w:rsidRPr="00A52535">
        <w:t>Gharbi</w:t>
      </w:r>
      <w:proofErr w:type="spellEnd"/>
      <w:r w:rsidR="00C44D5C">
        <w:t>.</w:t>
      </w:r>
    </w:p>
    <w:p w:rsidR="00E90509" w:rsidRPr="00A52535" w:rsidRDefault="007D7ED1" w:rsidP="00E90509">
      <w:pPr>
        <w:pStyle w:val="SingleTxtG"/>
      </w:pPr>
      <w:r>
        <w:tab/>
      </w:r>
      <w:r w:rsidR="00E90509" w:rsidRPr="00A52535">
        <w:t>Drinking water systems installed: 18</w:t>
      </w:r>
      <w:r w:rsidR="00DB63B0">
        <w:t>.</w:t>
      </w:r>
    </w:p>
    <w:p w:rsidR="00E90509" w:rsidRPr="00A52535" w:rsidRDefault="00E90509" w:rsidP="007D7ED1">
      <w:pPr>
        <w:pStyle w:val="H4G"/>
      </w:pPr>
      <w:r w:rsidRPr="00A52535">
        <w:tab/>
      </w:r>
      <w:r w:rsidRPr="00A52535">
        <w:tab/>
        <w:t>Dams constructed</w:t>
      </w:r>
    </w:p>
    <w:p w:rsidR="00E90509" w:rsidRPr="00A52535" w:rsidRDefault="00E90509" w:rsidP="007D7ED1">
      <w:pPr>
        <w:pStyle w:val="Bullet1G"/>
      </w:pPr>
      <w:proofErr w:type="spellStart"/>
      <w:r w:rsidRPr="00A52535">
        <w:t>Legned</w:t>
      </w:r>
      <w:proofErr w:type="spellEnd"/>
      <w:r w:rsidRPr="00A52535">
        <w:t xml:space="preserve">, Male commune, </w:t>
      </w:r>
      <w:proofErr w:type="spellStart"/>
      <w:r w:rsidRPr="00A52535">
        <w:t>Maghta</w:t>
      </w:r>
      <w:proofErr w:type="spellEnd"/>
      <w:r w:rsidRPr="00A52535">
        <w:t xml:space="preserve"> </w:t>
      </w:r>
      <w:proofErr w:type="spellStart"/>
      <w:r w:rsidRPr="00A52535">
        <w:t>Lahjar</w:t>
      </w:r>
      <w:proofErr w:type="spellEnd"/>
      <w:r w:rsidRPr="00A52535">
        <w:t xml:space="preserve">, </w:t>
      </w:r>
      <w:proofErr w:type="spellStart"/>
      <w:r w:rsidRPr="00A52535">
        <w:t>Brakna</w:t>
      </w:r>
      <w:proofErr w:type="spellEnd"/>
      <w:r w:rsidR="00C44D5C">
        <w:t>;</w:t>
      </w:r>
    </w:p>
    <w:p w:rsidR="00E90509" w:rsidRPr="00A52535" w:rsidRDefault="00E90509" w:rsidP="007D7ED1">
      <w:pPr>
        <w:pStyle w:val="Bullet1G"/>
      </w:pPr>
      <w:proofErr w:type="spellStart"/>
      <w:r w:rsidRPr="00A52535">
        <w:t>Jikh</w:t>
      </w:r>
      <w:proofErr w:type="spellEnd"/>
      <w:r w:rsidRPr="00A52535">
        <w:t xml:space="preserve">, </w:t>
      </w:r>
      <w:proofErr w:type="spellStart"/>
      <w:r w:rsidRPr="00A52535">
        <w:t>Monguel</w:t>
      </w:r>
      <w:proofErr w:type="spellEnd"/>
      <w:r w:rsidRPr="00A52535">
        <w:t xml:space="preserve"> in </w:t>
      </w:r>
      <w:proofErr w:type="spellStart"/>
      <w:r w:rsidRPr="00A52535">
        <w:t>Gorgol</w:t>
      </w:r>
      <w:proofErr w:type="spellEnd"/>
      <w:r w:rsidR="00C44D5C">
        <w:t>;</w:t>
      </w:r>
    </w:p>
    <w:p w:rsidR="00E90509" w:rsidRPr="007D7ED1" w:rsidRDefault="00E90509" w:rsidP="007D7ED1">
      <w:pPr>
        <w:pStyle w:val="Bullet1G"/>
        <w:rPr>
          <w:lang w:val="fr-CH"/>
        </w:rPr>
      </w:pPr>
      <w:proofErr w:type="spellStart"/>
      <w:r w:rsidRPr="007D7ED1">
        <w:rPr>
          <w:lang w:val="fr-CH"/>
        </w:rPr>
        <w:t>Daber</w:t>
      </w:r>
      <w:proofErr w:type="spellEnd"/>
      <w:r w:rsidRPr="007D7ED1">
        <w:rPr>
          <w:lang w:val="fr-CH"/>
        </w:rPr>
        <w:t xml:space="preserve">, </w:t>
      </w:r>
      <w:proofErr w:type="spellStart"/>
      <w:r w:rsidRPr="007D7ED1">
        <w:rPr>
          <w:lang w:val="fr-CH"/>
        </w:rPr>
        <w:t>Soudoud</w:t>
      </w:r>
      <w:proofErr w:type="spellEnd"/>
      <w:r w:rsidRPr="007D7ED1">
        <w:rPr>
          <w:lang w:val="fr-CH"/>
        </w:rPr>
        <w:t xml:space="preserve"> commune, </w:t>
      </w:r>
      <w:proofErr w:type="spellStart"/>
      <w:r w:rsidRPr="007D7ED1">
        <w:rPr>
          <w:lang w:val="fr-CH"/>
        </w:rPr>
        <w:t>Moudjeria</w:t>
      </w:r>
      <w:proofErr w:type="spellEnd"/>
      <w:r w:rsidRPr="007D7ED1">
        <w:rPr>
          <w:lang w:val="fr-CH"/>
        </w:rPr>
        <w:t xml:space="preserve"> </w:t>
      </w:r>
      <w:proofErr w:type="spellStart"/>
      <w:r w:rsidRPr="00C44D5C">
        <w:rPr>
          <w:i/>
          <w:iCs/>
          <w:lang w:val="fr-CH"/>
        </w:rPr>
        <w:t>moughataa</w:t>
      </w:r>
      <w:proofErr w:type="spellEnd"/>
      <w:r w:rsidRPr="007D7ED1">
        <w:rPr>
          <w:lang w:val="fr-CH"/>
        </w:rPr>
        <w:t xml:space="preserve">, </w:t>
      </w:r>
      <w:proofErr w:type="spellStart"/>
      <w:r w:rsidRPr="007D7ED1">
        <w:rPr>
          <w:lang w:val="fr-CH"/>
        </w:rPr>
        <w:t>Tagant</w:t>
      </w:r>
      <w:proofErr w:type="spellEnd"/>
      <w:r w:rsidR="00C44D5C">
        <w:rPr>
          <w:lang w:val="fr-CH"/>
        </w:rPr>
        <w:t>;</w:t>
      </w:r>
    </w:p>
    <w:p w:rsidR="00E90509" w:rsidRPr="00A52535" w:rsidRDefault="00E90509" w:rsidP="007D7ED1">
      <w:pPr>
        <w:pStyle w:val="Bullet1G"/>
      </w:pPr>
      <w:proofErr w:type="spellStart"/>
      <w:r w:rsidRPr="00A52535">
        <w:t>Akneikir</w:t>
      </w:r>
      <w:proofErr w:type="spellEnd"/>
      <w:r w:rsidRPr="00A52535">
        <w:t xml:space="preserve">, </w:t>
      </w:r>
      <w:proofErr w:type="spellStart"/>
      <w:r w:rsidRPr="00A52535">
        <w:t>Tamourt</w:t>
      </w:r>
      <w:proofErr w:type="spellEnd"/>
      <w:r w:rsidRPr="00A52535">
        <w:t xml:space="preserve"> </w:t>
      </w:r>
      <w:proofErr w:type="spellStart"/>
      <w:r w:rsidRPr="00A52535">
        <w:t>Naaj</w:t>
      </w:r>
      <w:proofErr w:type="spellEnd"/>
      <w:r w:rsidRPr="00A52535">
        <w:t xml:space="preserve"> commune, </w:t>
      </w:r>
      <w:proofErr w:type="spellStart"/>
      <w:r w:rsidRPr="00A52535">
        <w:t>Moudjeria</w:t>
      </w:r>
      <w:proofErr w:type="spellEnd"/>
      <w:r w:rsidRPr="00A52535">
        <w:t xml:space="preserve"> </w:t>
      </w:r>
      <w:proofErr w:type="spellStart"/>
      <w:r w:rsidRPr="00C44D5C">
        <w:rPr>
          <w:i/>
          <w:iCs/>
        </w:rPr>
        <w:t>moughataa</w:t>
      </w:r>
      <w:proofErr w:type="spellEnd"/>
      <w:r w:rsidRPr="00A52535">
        <w:t xml:space="preserve"> in </w:t>
      </w:r>
      <w:proofErr w:type="spellStart"/>
      <w:r w:rsidRPr="00A52535">
        <w:t>Tagant</w:t>
      </w:r>
      <w:proofErr w:type="spellEnd"/>
      <w:r w:rsidR="00C44D5C">
        <w:t>;</w:t>
      </w:r>
    </w:p>
    <w:p w:rsidR="00E90509" w:rsidRPr="00A52535" w:rsidRDefault="00E90509" w:rsidP="007D7ED1">
      <w:pPr>
        <w:pStyle w:val="Bullet1G"/>
      </w:pPr>
      <w:proofErr w:type="spellStart"/>
      <w:r w:rsidRPr="00A52535">
        <w:t>Chlakh</w:t>
      </w:r>
      <w:proofErr w:type="spellEnd"/>
      <w:r w:rsidRPr="00A52535">
        <w:t xml:space="preserve"> </w:t>
      </w:r>
      <w:proofErr w:type="spellStart"/>
      <w:r w:rsidRPr="00A52535">
        <w:t>Lihmir</w:t>
      </w:r>
      <w:proofErr w:type="spellEnd"/>
      <w:r w:rsidRPr="00A52535">
        <w:t xml:space="preserve">, </w:t>
      </w:r>
      <w:proofErr w:type="spellStart"/>
      <w:r w:rsidRPr="00A52535">
        <w:t>Maghta</w:t>
      </w:r>
      <w:proofErr w:type="spellEnd"/>
      <w:r w:rsidRPr="00A52535">
        <w:t xml:space="preserve"> </w:t>
      </w:r>
      <w:proofErr w:type="spellStart"/>
      <w:r w:rsidRPr="00A52535">
        <w:t>Lahjar</w:t>
      </w:r>
      <w:proofErr w:type="spellEnd"/>
      <w:r w:rsidRPr="00A52535">
        <w:t xml:space="preserve"> </w:t>
      </w:r>
      <w:proofErr w:type="spellStart"/>
      <w:r w:rsidRPr="00C44D5C">
        <w:rPr>
          <w:i/>
          <w:iCs/>
        </w:rPr>
        <w:t>moughataa</w:t>
      </w:r>
      <w:proofErr w:type="spellEnd"/>
      <w:r w:rsidRPr="00A52535">
        <w:t xml:space="preserve">, in </w:t>
      </w:r>
      <w:proofErr w:type="spellStart"/>
      <w:r w:rsidRPr="00A52535">
        <w:t>Brakna</w:t>
      </w:r>
      <w:proofErr w:type="spellEnd"/>
      <w:r w:rsidR="00C44D5C">
        <w:t>;</w:t>
      </w:r>
    </w:p>
    <w:p w:rsidR="00E90509" w:rsidRPr="00A52535" w:rsidRDefault="00E90509" w:rsidP="007D7ED1">
      <w:pPr>
        <w:pStyle w:val="Bullet1G"/>
      </w:pPr>
      <w:proofErr w:type="spellStart"/>
      <w:r w:rsidRPr="00A52535">
        <w:lastRenderedPageBreak/>
        <w:t>Louebda</w:t>
      </w:r>
      <w:proofErr w:type="spellEnd"/>
      <w:r w:rsidRPr="00A52535">
        <w:t xml:space="preserve">, </w:t>
      </w:r>
      <w:proofErr w:type="spellStart"/>
      <w:r w:rsidRPr="00A52535">
        <w:t>Akjoujt</w:t>
      </w:r>
      <w:proofErr w:type="spellEnd"/>
      <w:r w:rsidR="00C44D5C">
        <w:t>;</w:t>
      </w:r>
    </w:p>
    <w:p w:rsidR="00E90509" w:rsidRPr="00A52535" w:rsidRDefault="00E9149F" w:rsidP="00E9149F">
      <w:pPr>
        <w:pStyle w:val="SingleTxtG"/>
      </w:pPr>
      <w:r>
        <w:tab/>
      </w:r>
      <w:r w:rsidR="00E90509" w:rsidRPr="00A52535">
        <w:t>Dams constructed: 6</w:t>
      </w:r>
      <w:r w:rsidR="00C44D5C">
        <w:t>.</w:t>
      </w:r>
    </w:p>
    <w:p w:rsidR="00E90509" w:rsidRPr="00A52535" w:rsidRDefault="007D7ED1" w:rsidP="007D7ED1">
      <w:pPr>
        <w:pStyle w:val="H4G"/>
      </w:pPr>
      <w:r>
        <w:tab/>
      </w:r>
      <w:r>
        <w:tab/>
      </w:r>
      <w:r w:rsidR="00E90509" w:rsidRPr="00A52535">
        <w:t>Agricultural development projects</w:t>
      </w:r>
    </w:p>
    <w:p w:rsidR="00E90509" w:rsidRPr="00A52535" w:rsidRDefault="00E90509" w:rsidP="007D7ED1">
      <w:pPr>
        <w:pStyle w:val="Bullet1G"/>
      </w:pPr>
      <w:proofErr w:type="spellStart"/>
      <w:r w:rsidRPr="00A52535">
        <w:t>Debaye</w:t>
      </w:r>
      <w:proofErr w:type="spellEnd"/>
      <w:r w:rsidRPr="00A52535">
        <w:t xml:space="preserve"> </w:t>
      </w:r>
      <w:proofErr w:type="spellStart"/>
      <w:r w:rsidRPr="00A52535">
        <w:t>Mbeynik</w:t>
      </w:r>
      <w:proofErr w:type="spellEnd"/>
      <w:r w:rsidRPr="00A52535">
        <w:t xml:space="preserve">, 80 ha, </w:t>
      </w:r>
      <w:proofErr w:type="spellStart"/>
      <w:r w:rsidRPr="00A52535">
        <w:t>Ntekane</w:t>
      </w:r>
      <w:proofErr w:type="spellEnd"/>
      <w:r w:rsidRPr="00A52535">
        <w:t xml:space="preserve"> commune, </w:t>
      </w:r>
      <w:proofErr w:type="spellStart"/>
      <w:r w:rsidRPr="00A52535">
        <w:t>Rkiz</w:t>
      </w:r>
      <w:proofErr w:type="spellEnd"/>
      <w:r w:rsidRPr="00A52535">
        <w:t xml:space="preserve">, </w:t>
      </w:r>
      <w:proofErr w:type="spellStart"/>
      <w:r w:rsidRPr="00A52535">
        <w:t>Trarza</w:t>
      </w:r>
      <w:proofErr w:type="spellEnd"/>
      <w:r w:rsidR="00C44D5C">
        <w:t>;</w:t>
      </w:r>
    </w:p>
    <w:p w:rsidR="00E90509" w:rsidRPr="00A52535" w:rsidRDefault="00E90509" w:rsidP="007D7ED1">
      <w:pPr>
        <w:pStyle w:val="Bullet1G"/>
      </w:pPr>
      <w:proofErr w:type="spellStart"/>
      <w:r w:rsidRPr="00A52535">
        <w:t>Mbotto</w:t>
      </w:r>
      <w:proofErr w:type="spellEnd"/>
      <w:r w:rsidRPr="00A52535">
        <w:t xml:space="preserve">, 81 ha, </w:t>
      </w:r>
      <w:proofErr w:type="spellStart"/>
      <w:r w:rsidRPr="00A52535">
        <w:t>Mbagne</w:t>
      </w:r>
      <w:proofErr w:type="spellEnd"/>
      <w:r w:rsidRPr="00A52535">
        <w:t xml:space="preserve"> commune, </w:t>
      </w:r>
      <w:proofErr w:type="spellStart"/>
      <w:r w:rsidRPr="00A52535">
        <w:t>Mbagne</w:t>
      </w:r>
      <w:proofErr w:type="spellEnd"/>
      <w:r w:rsidRPr="00A52535">
        <w:t xml:space="preserve"> </w:t>
      </w:r>
      <w:proofErr w:type="spellStart"/>
      <w:r w:rsidRPr="00C44D5C">
        <w:rPr>
          <w:i/>
          <w:iCs/>
        </w:rPr>
        <w:t>moughataa</w:t>
      </w:r>
      <w:proofErr w:type="spellEnd"/>
      <w:r w:rsidRPr="00A52535">
        <w:t xml:space="preserve">, </w:t>
      </w:r>
      <w:proofErr w:type="spellStart"/>
      <w:r w:rsidRPr="00A52535">
        <w:t>Brakna</w:t>
      </w:r>
      <w:proofErr w:type="spellEnd"/>
      <w:r w:rsidR="00C44D5C">
        <w:t>;</w:t>
      </w:r>
    </w:p>
    <w:p w:rsidR="00E90509" w:rsidRPr="007D7ED1" w:rsidRDefault="00E90509" w:rsidP="007D7ED1">
      <w:pPr>
        <w:pStyle w:val="Bullet1G"/>
        <w:rPr>
          <w:lang w:val="es-ES"/>
        </w:rPr>
      </w:pPr>
      <w:r w:rsidRPr="007D7ED1">
        <w:rPr>
          <w:lang w:val="es-ES"/>
        </w:rPr>
        <w:t xml:space="preserve">Ngourdiane, 70 ha, Dar El </w:t>
      </w:r>
      <w:proofErr w:type="spellStart"/>
      <w:r w:rsidRPr="007D7ED1">
        <w:rPr>
          <w:lang w:val="es-ES"/>
        </w:rPr>
        <w:t>Barka</w:t>
      </w:r>
      <w:proofErr w:type="spellEnd"/>
      <w:r w:rsidRPr="007D7ED1">
        <w:rPr>
          <w:lang w:val="es-ES"/>
        </w:rPr>
        <w:t xml:space="preserve"> </w:t>
      </w:r>
      <w:proofErr w:type="spellStart"/>
      <w:r w:rsidRPr="007D7ED1">
        <w:rPr>
          <w:lang w:val="es-ES"/>
        </w:rPr>
        <w:t>commune</w:t>
      </w:r>
      <w:proofErr w:type="spellEnd"/>
      <w:r w:rsidRPr="007D7ED1">
        <w:rPr>
          <w:lang w:val="es-ES"/>
        </w:rPr>
        <w:t xml:space="preserve">; </w:t>
      </w:r>
      <w:proofErr w:type="spellStart"/>
      <w:r w:rsidRPr="007D7ED1">
        <w:rPr>
          <w:lang w:val="es-ES"/>
        </w:rPr>
        <w:t>Boghé</w:t>
      </w:r>
      <w:proofErr w:type="spellEnd"/>
      <w:r w:rsidRPr="007D7ED1">
        <w:rPr>
          <w:lang w:val="es-ES"/>
        </w:rPr>
        <w:t xml:space="preserve"> </w:t>
      </w:r>
      <w:proofErr w:type="spellStart"/>
      <w:r w:rsidRPr="00C44D5C">
        <w:rPr>
          <w:i/>
          <w:iCs/>
          <w:lang w:val="es-ES"/>
        </w:rPr>
        <w:t>moughataa</w:t>
      </w:r>
      <w:proofErr w:type="spellEnd"/>
      <w:r w:rsidRPr="007D7ED1">
        <w:rPr>
          <w:lang w:val="es-ES"/>
        </w:rPr>
        <w:t xml:space="preserve">, </w:t>
      </w:r>
      <w:proofErr w:type="spellStart"/>
      <w:r w:rsidRPr="007D7ED1">
        <w:rPr>
          <w:lang w:val="es-ES"/>
        </w:rPr>
        <w:t>Brakna</w:t>
      </w:r>
      <w:proofErr w:type="spellEnd"/>
      <w:r w:rsidR="00C44D5C">
        <w:rPr>
          <w:lang w:val="es-ES"/>
        </w:rPr>
        <w:t>;</w:t>
      </w:r>
    </w:p>
    <w:p w:rsidR="00E90509" w:rsidRPr="001634A4" w:rsidRDefault="00E90509" w:rsidP="007D7ED1">
      <w:pPr>
        <w:pStyle w:val="Bullet1G"/>
        <w:rPr>
          <w:lang w:val="fr-CH"/>
        </w:rPr>
      </w:pPr>
      <w:proofErr w:type="spellStart"/>
      <w:r w:rsidRPr="001634A4">
        <w:rPr>
          <w:lang w:val="fr-CH"/>
        </w:rPr>
        <w:t>Thinguelèl</w:t>
      </w:r>
      <w:proofErr w:type="spellEnd"/>
      <w:r w:rsidRPr="001634A4">
        <w:rPr>
          <w:lang w:val="fr-CH"/>
        </w:rPr>
        <w:t xml:space="preserve">, 40 ha, </w:t>
      </w:r>
      <w:proofErr w:type="spellStart"/>
      <w:r w:rsidRPr="001634A4">
        <w:rPr>
          <w:lang w:val="fr-CH"/>
        </w:rPr>
        <w:t>Mbagne</w:t>
      </w:r>
      <w:proofErr w:type="spellEnd"/>
      <w:r w:rsidRPr="001634A4">
        <w:rPr>
          <w:lang w:val="fr-CH"/>
        </w:rPr>
        <w:t xml:space="preserve"> </w:t>
      </w:r>
      <w:proofErr w:type="gramStart"/>
      <w:r w:rsidRPr="001634A4">
        <w:rPr>
          <w:lang w:val="fr-CH"/>
        </w:rPr>
        <w:t>commune;</w:t>
      </w:r>
      <w:proofErr w:type="gramEnd"/>
      <w:r w:rsidRPr="001634A4">
        <w:rPr>
          <w:lang w:val="fr-CH"/>
        </w:rPr>
        <w:t xml:space="preserve"> </w:t>
      </w:r>
      <w:proofErr w:type="spellStart"/>
      <w:r w:rsidRPr="001634A4">
        <w:rPr>
          <w:lang w:val="fr-CH"/>
        </w:rPr>
        <w:t>Mbagne</w:t>
      </w:r>
      <w:proofErr w:type="spellEnd"/>
      <w:r w:rsidRPr="001634A4">
        <w:rPr>
          <w:lang w:val="fr-CH"/>
        </w:rPr>
        <w:t xml:space="preserve"> </w:t>
      </w:r>
      <w:proofErr w:type="spellStart"/>
      <w:r w:rsidRPr="00C44D5C">
        <w:rPr>
          <w:i/>
          <w:iCs/>
          <w:lang w:val="fr-CH"/>
        </w:rPr>
        <w:t>moughataa</w:t>
      </w:r>
      <w:proofErr w:type="spellEnd"/>
      <w:r w:rsidRPr="001634A4">
        <w:rPr>
          <w:lang w:val="fr-CH"/>
        </w:rPr>
        <w:t xml:space="preserve">, </w:t>
      </w:r>
      <w:proofErr w:type="spellStart"/>
      <w:r w:rsidRPr="001634A4">
        <w:rPr>
          <w:lang w:val="fr-CH"/>
        </w:rPr>
        <w:t>Brakna</w:t>
      </w:r>
      <w:proofErr w:type="spellEnd"/>
      <w:r w:rsidR="00C44D5C">
        <w:rPr>
          <w:lang w:val="fr-CH"/>
        </w:rPr>
        <w:t>;</w:t>
      </w:r>
    </w:p>
    <w:p w:rsidR="00E90509" w:rsidRPr="001634A4" w:rsidRDefault="00E90509" w:rsidP="007D7ED1">
      <w:pPr>
        <w:pStyle w:val="Bullet1G"/>
        <w:rPr>
          <w:lang w:val="fr-CH"/>
        </w:rPr>
      </w:pPr>
      <w:r w:rsidRPr="001634A4">
        <w:rPr>
          <w:lang w:val="fr-CH"/>
        </w:rPr>
        <w:t xml:space="preserve">Sénékouna/Medina, 40 ha, Aéré Mbar </w:t>
      </w:r>
      <w:proofErr w:type="gramStart"/>
      <w:r w:rsidRPr="001634A4">
        <w:rPr>
          <w:lang w:val="fr-CH"/>
        </w:rPr>
        <w:t>commune;</w:t>
      </w:r>
      <w:proofErr w:type="gramEnd"/>
      <w:r w:rsidRPr="001634A4">
        <w:rPr>
          <w:lang w:val="fr-CH"/>
        </w:rPr>
        <w:t xml:space="preserve"> </w:t>
      </w:r>
      <w:proofErr w:type="spellStart"/>
      <w:r w:rsidRPr="001634A4">
        <w:rPr>
          <w:lang w:val="fr-CH"/>
        </w:rPr>
        <w:t>Bababé</w:t>
      </w:r>
      <w:proofErr w:type="spellEnd"/>
      <w:r w:rsidRPr="001634A4">
        <w:rPr>
          <w:lang w:val="fr-CH"/>
        </w:rPr>
        <w:t xml:space="preserve"> </w:t>
      </w:r>
      <w:proofErr w:type="spellStart"/>
      <w:r w:rsidRPr="00C44D5C">
        <w:rPr>
          <w:i/>
          <w:iCs/>
          <w:lang w:val="fr-CH"/>
        </w:rPr>
        <w:t>moughataa</w:t>
      </w:r>
      <w:proofErr w:type="spellEnd"/>
      <w:r w:rsidRPr="001634A4">
        <w:rPr>
          <w:lang w:val="fr-CH"/>
        </w:rPr>
        <w:t xml:space="preserve">, </w:t>
      </w:r>
      <w:proofErr w:type="spellStart"/>
      <w:r w:rsidRPr="001634A4">
        <w:rPr>
          <w:lang w:val="fr-CH"/>
        </w:rPr>
        <w:t>Brakna</w:t>
      </w:r>
      <w:proofErr w:type="spellEnd"/>
      <w:r w:rsidR="00C44D5C">
        <w:rPr>
          <w:lang w:val="fr-CH"/>
        </w:rPr>
        <w:t>;</w:t>
      </w:r>
    </w:p>
    <w:p w:rsidR="00E90509" w:rsidRPr="001634A4" w:rsidRDefault="00E90509" w:rsidP="007D7ED1">
      <w:pPr>
        <w:pStyle w:val="Bullet1G"/>
        <w:rPr>
          <w:lang w:val="es-ES"/>
        </w:rPr>
      </w:pPr>
      <w:r w:rsidRPr="001634A4">
        <w:rPr>
          <w:lang w:val="es-ES"/>
        </w:rPr>
        <w:t xml:space="preserve">Ndiorol, 60 ha, Dar El </w:t>
      </w:r>
      <w:proofErr w:type="spellStart"/>
      <w:r w:rsidRPr="001634A4">
        <w:rPr>
          <w:lang w:val="es-ES"/>
        </w:rPr>
        <w:t>Avia</w:t>
      </w:r>
      <w:proofErr w:type="spellEnd"/>
      <w:r w:rsidRPr="001634A4">
        <w:rPr>
          <w:lang w:val="es-ES"/>
        </w:rPr>
        <w:t xml:space="preserve"> </w:t>
      </w:r>
      <w:proofErr w:type="spellStart"/>
      <w:r w:rsidRPr="001634A4">
        <w:rPr>
          <w:lang w:val="es-ES"/>
        </w:rPr>
        <w:t>commune</w:t>
      </w:r>
      <w:proofErr w:type="spellEnd"/>
      <w:r w:rsidRPr="001634A4">
        <w:rPr>
          <w:lang w:val="es-ES"/>
        </w:rPr>
        <w:t xml:space="preserve">; </w:t>
      </w:r>
      <w:proofErr w:type="spellStart"/>
      <w:r w:rsidRPr="001634A4">
        <w:rPr>
          <w:lang w:val="es-ES"/>
        </w:rPr>
        <w:t>Boghé</w:t>
      </w:r>
      <w:proofErr w:type="spellEnd"/>
      <w:r w:rsidRPr="001634A4">
        <w:rPr>
          <w:lang w:val="es-ES"/>
        </w:rPr>
        <w:t xml:space="preserve"> </w:t>
      </w:r>
      <w:proofErr w:type="spellStart"/>
      <w:r w:rsidRPr="00C44D5C">
        <w:rPr>
          <w:i/>
          <w:iCs/>
          <w:lang w:val="es-ES"/>
        </w:rPr>
        <w:t>moughataa</w:t>
      </w:r>
      <w:proofErr w:type="spellEnd"/>
      <w:r w:rsidRPr="001634A4">
        <w:rPr>
          <w:lang w:val="es-ES"/>
        </w:rPr>
        <w:t xml:space="preserve">, </w:t>
      </w:r>
      <w:proofErr w:type="spellStart"/>
      <w:r w:rsidRPr="001634A4">
        <w:rPr>
          <w:lang w:val="es-ES"/>
        </w:rPr>
        <w:t>Brakna</w:t>
      </w:r>
      <w:proofErr w:type="spellEnd"/>
      <w:r w:rsidR="00C44D5C">
        <w:rPr>
          <w:lang w:val="es-ES"/>
        </w:rPr>
        <w:t>.</w:t>
      </w:r>
    </w:p>
    <w:p w:rsidR="00E90509" w:rsidRPr="00A52535" w:rsidRDefault="007D7ED1" w:rsidP="00E90509">
      <w:pPr>
        <w:pStyle w:val="SingleTxtG"/>
      </w:pPr>
      <w:r>
        <w:rPr>
          <w:lang w:val="es-ES"/>
        </w:rPr>
        <w:tab/>
      </w:r>
      <w:r w:rsidR="00E90509" w:rsidRPr="00A52535">
        <w:t>Agricultural development projects completed: 6</w:t>
      </w:r>
      <w:r w:rsidR="001321BE">
        <w:t>.</w:t>
      </w:r>
    </w:p>
    <w:p w:rsidR="00E90509" w:rsidRPr="00A52535" w:rsidRDefault="00E90509" w:rsidP="00E90509">
      <w:pPr>
        <w:pStyle w:val="SingleTxtG"/>
      </w:pPr>
      <w:r w:rsidRPr="00A52535">
        <w:t>123.</w:t>
      </w:r>
      <w:r w:rsidRPr="00A52535">
        <w:tab/>
        <w:t>In November 2007, a tripartite agreement was reached between Senegal, UNHCR and Mauritania on the repatriation process for Mauritanian refugees in Senegal.</w:t>
      </w:r>
    </w:p>
    <w:p w:rsidR="00E90509" w:rsidRPr="00A52535" w:rsidRDefault="00E90509" w:rsidP="00E90509">
      <w:pPr>
        <w:pStyle w:val="SingleTxtG"/>
        <w:rPr>
          <w:rFonts w:eastAsia="MS Mincho"/>
        </w:rPr>
      </w:pPr>
      <w:r w:rsidRPr="00A52535">
        <w:t>124.</w:t>
      </w:r>
      <w:r w:rsidRPr="00A52535">
        <w:tab/>
        <w:t>Mauritania organized the voluntary repatriation and integration of those refugees who had agreed to return to the country.</w:t>
      </w:r>
    </w:p>
    <w:p w:rsidR="00E90509" w:rsidRPr="00A52535" w:rsidRDefault="00E90509" w:rsidP="00E90509">
      <w:pPr>
        <w:pStyle w:val="SingleTxtG"/>
        <w:rPr>
          <w:rFonts w:eastAsia="MS Mincho"/>
        </w:rPr>
      </w:pPr>
      <w:r w:rsidRPr="00A52535">
        <w:t>125.</w:t>
      </w:r>
      <w:r w:rsidRPr="00A52535">
        <w:tab/>
        <w:t>Senegal facilitated the repatriation process and agreed to grant Senegalese nationality to those refugees who did not wish to return.</w:t>
      </w:r>
    </w:p>
    <w:p w:rsidR="00E90509" w:rsidRPr="00A52535" w:rsidRDefault="00E90509" w:rsidP="00E90509">
      <w:pPr>
        <w:pStyle w:val="SingleTxtG"/>
        <w:rPr>
          <w:rFonts w:eastAsia="MS Mincho"/>
        </w:rPr>
      </w:pPr>
      <w:r w:rsidRPr="00A52535">
        <w:t>126.</w:t>
      </w:r>
      <w:r w:rsidRPr="00A52535">
        <w:tab/>
        <w:t>UNHCR coordinated the repatriation process and mobilized the necessary operational resources.</w:t>
      </w:r>
    </w:p>
    <w:p w:rsidR="00E90509" w:rsidRPr="00A52535" w:rsidRDefault="00E90509" w:rsidP="00E90509">
      <w:pPr>
        <w:pStyle w:val="SingleTxtG"/>
      </w:pPr>
      <w:r w:rsidRPr="00A52535">
        <w:t>127.</w:t>
      </w:r>
      <w:r w:rsidRPr="00A52535">
        <w:tab/>
        <w:t xml:space="preserve">Mauritania established mechanisms for the supervision and implementation of the repatriation and integration processes. The system enabled the organization of 106 convoys and the repatriation of 24,536 persons belonging to 5,817 families to 118 specially adapted sites in 5 </w:t>
      </w:r>
      <w:r w:rsidRPr="00017011">
        <w:rPr>
          <w:i/>
          <w:iCs/>
        </w:rPr>
        <w:t>wilayas</w:t>
      </w:r>
      <w:r w:rsidRPr="00A52535">
        <w:t xml:space="preserve"> (Trarza, Brakna, Gorgol, Guidimakha and Assaba).</w:t>
      </w:r>
    </w:p>
    <w:p w:rsidR="00E90509" w:rsidRPr="00A52535" w:rsidRDefault="00E90509" w:rsidP="00E90509">
      <w:pPr>
        <w:pStyle w:val="SingleTxtG"/>
      </w:pPr>
      <w:r w:rsidRPr="00A52535">
        <w:t>128.</w:t>
      </w:r>
      <w:r w:rsidRPr="00A52535">
        <w:tab/>
        <w:t>The completion of the repatriation operation was marked by a ceremony on 25 March 2012 in Rosso attended by the President of the Republic and the United Nations High Commissioner for Refugees.</w:t>
      </w:r>
    </w:p>
    <w:p w:rsidR="00E90509" w:rsidRPr="00A52535" w:rsidRDefault="00E90509" w:rsidP="00E90509">
      <w:pPr>
        <w:pStyle w:val="SingleTxtG"/>
      </w:pPr>
      <w:r w:rsidRPr="00A52535">
        <w:t>129.</w:t>
      </w:r>
      <w:r w:rsidRPr="00A52535">
        <w:tab/>
        <w:t>The State took steps to ensure the economic and social reintegration of the repatriated refugees.</w:t>
      </w:r>
    </w:p>
    <w:p w:rsidR="00E90509" w:rsidRPr="00A52535" w:rsidRDefault="00E90509" w:rsidP="00E90509">
      <w:pPr>
        <w:pStyle w:val="SingleTxtG"/>
      </w:pPr>
      <w:r w:rsidRPr="00A52535">
        <w:t>130.</w:t>
      </w:r>
      <w:r w:rsidRPr="00A52535">
        <w:tab/>
        <w:t>The programmes initiated by the former National Agency for Refugee Reception and Integration are now being run by Tadamoun.</w:t>
      </w:r>
    </w:p>
    <w:p w:rsidR="00E90509" w:rsidRPr="00A52535" w:rsidRDefault="00E90509" w:rsidP="00E90509">
      <w:pPr>
        <w:pStyle w:val="SingleTxtG"/>
      </w:pPr>
      <w:r w:rsidRPr="00A52535">
        <w:t>131.</w:t>
      </w:r>
      <w:r w:rsidRPr="00A52535">
        <w:tab/>
        <w:t>To assist the registration of the refugees, the National Agency for Civil Registration and Identification carried out the following activities:</w:t>
      </w:r>
    </w:p>
    <w:p w:rsidR="00E90509" w:rsidRPr="00A52535" w:rsidRDefault="00E90509" w:rsidP="007D7ED1">
      <w:pPr>
        <w:pStyle w:val="Bullet1G"/>
      </w:pPr>
      <w:r w:rsidRPr="00A52535">
        <w:t xml:space="preserve">The opening of reception centres for returnees in the </w:t>
      </w:r>
      <w:r w:rsidRPr="00017011">
        <w:rPr>
          <w:i/>
          <w:iCs/>
        </w:rPr>
        <w:t>wilayas</w:t>
      </w:r>
      <w:r w:rsidRPr="00A52535">
        <w:t xml:space="preserve"> of Trarza, Gorgol,</w:t>
      </w:r>
      <w:r w:rsidR="00A7152F">
        <w:t xml:space="preserve"> </w:t>
      </w:r>
      <w:r w:rsidRPr="00A52535">
        <w:t>Brakna, Guidimakha and Assaba.</w:t>
      </w:r>
    </w:p>
    <w:p w:rsidR="00E90509" w:rsidRPr="00A52535" w:rsidRDefault="00E90509" w:rsidP="007D7ED1">
      <w:pPr>
        <w:pStyle w:val="Bullet1G"/>
      </w:pPr>
      <w:r w:rsidRPr="00A52535">
        <w:t>The issuance of birth certificates from the Civil Status Census.</w:t>
      </w:r>
    </w:p>
    <w:p w:rsidR="00E90509" w:rsidRPr="00A52535" w:rsidRDefault="00E90509" w:rsidP="007D7ED1">
      <w:pPr>
        <w:pStyle w:val="SingleTxtG"/>
      </w:pPr>
      <w:r w:rsidRPr="00A52535">
        <w:t>132.</w:t>
      </w:r>
      <w:r w:rsidRPr="00A52535">
        <w:tab/>
        <w:t>These initiatives resulted in:</w:t>
      </w:r>
    </w:p>
    <w:p w:rsidR="00E90509" w:rsidRPr="00A52535" w:rsidRDefault="00E90509" w:rsidP="007D7ED1">
      <w:pPr>
        <w:pStyle w:val="Bullet1G"/>
      </w:pPr>
      <w:r w:rsidRPr="00A52535">
        <w:t>The creation of a database.</w:t>
      </w:r>
    </w:p>
    <w:p w:rsidR="00E90509" w:rsidRPr="00A52535" w:rsidRDefault="00E90509" w:rsidP="007D7ED1">
      <w:pPr>
        <w:pStyle w:val="Bullet1G"/>
      </w:pPr>
      <w:r w:rsidRPr="00A52535">
        <w:t>The issuance of civil status documents to 21,960 returnees.</w:t>
      </w:r>
    </w:p>
    <w:p w:rsidR="00E90509" w:rsidRPr="00A52535" w:rsidRDefault="00E90509" w:rsidP="007D7ED1">
      <w:pPr>
        <w:pStyle w:val="Bullet1G"/>
      </w:pPr>
      <w:r w:rsidRPr="00A52535">
        <w:t>The establishment of a commission including representatives of returnees, to decide on pending cases.</w:t>
      </w:r>
    </w:p>
    <w:p w:rsidR="00E90509" w:rsidRPr="00A52535" w:rsidRDefault="00E90509" w:rsidP="00E90509">
      <w:pPr>
        <w:pStyle w:val="SingleTxtG"/>
      </w:pPr>
      <w:r w:rsidRPr="00A52535">
        <w:t>133.</w:t>
      </w:r>
      <w:r w:rsidRPr="00A52535">
        <w:tab/>
        <w:t>The acquisition, retention and loss of Mauritanian nationality, without distinction, including distinctions based on sex, are governed by Act No. 061-112 of 12 June 1961 on the Mauritanian Nationality Code,</w:t>
      </w:r>
      <w:r w:rsidR="001321BE">
        <w:t xml:space="preserve"> </w:t>
      </w:r>
      <w:r w:rsidRPr="00A52535">
        <w:t xml:space="preserve">as amended by Act No. 073-010 of 23 January 1973, Act No. 073-186 of 30 July 1973, Act No. 076-207 of 30 July 1976, Act No. 076-207 of 9 July 1976, Decree No. 082-028 of 26 March 1982 and Act No. 2010-023 of 11 February 2010 repealing certain provisions of Act No. 061-112. </w:t>
      </w:r>
    </w:p>
    <w:p w:rsidR="00E90509" w:rsidRPr="00A52535" w:rsidRDefault="00E90509" w:rsidP="007D7ED1">
      <w:pPr>
        <w:pStyle w:val="Bullet1G"/>
      </w:pPr>
      <w:r w:rsidRPr="00A52535">
        <w:lastRenderedPageBreak/>
        <w:t>Act No. 061-112 defines the conditions for the acquisition of nationality. It provides for the right to Mauritanian nationality for any child born to a Mauritanian father.</w:t>
      </w:r>
    </w:p>
    <w:p w:rsidR="00E90509" w:rsidRPr="00A52535" w:rsidRDefault="00E90509" w:rsidP="007D7ED1">
      <w:pPr>
        <w:pStyle w:val="Bullet1G"/>
      </w:pPr>
      <w:r w:rsidRPr="00A52535">
        <w:t>The Act also provides for the acquisition of Mauritanian nationality by naturalization. Naturalization is available to all persons meeting the relevant conditions, without distinction.</w:t>
      </w:r>
    </w:p>
    <w:p w:rsidR="00E90509" w:rsidRPr="00A52535" w:rsidRDefault="00E90509" w:rsidP="00E90509">
      <w:pPr>
        <w:pStyle w:val="SingleTxtG"/>
      </w:pPr>
      <w:r w:rsidRPr="00A52535">
        <w:t>134.</w:t>
      </w:r>
      <w:r w:rsidRPr="00A52535">
        <w:tab/>
        <w:t xml:space="preserve">The Government has adopted a framework law to combat gender-based violence and has implemented an action plan for the voluntary abandonment of female genital mutilation in </w:t>
      </w:r>
      <w:r w:rsidRPr="00017011">
        <w:rPr>
          <w:i/>
          <w:iCs/>
        </w:rPr>
        <w:t>wilayas</w:t>
      </w:r>
      <w:r w:rsidRPr="00A52535">
        <w:t xml:space="preserve"> where the practice is most widespread.</w:t>
      </w:r>
    </w:p>
    <w:p w:rsidR="00E90509" w:rsidRPr="00A52535" w:rsidRDefault="00E90509" w:rsidP="00E90509">
      <w:pPr>
        <w:pStyle w:val="SingleTxtG"/>
      </w:pPr>
      <w:r w:rsidRPr="00A52535">
        <w:t>135.</w:t>
      </w:r>
      <w:r w:rsidRPr="00A52535">
        <w:tab/>
        <w:t>It has implemented a national strategy for the abandonment of female genital mutilation, which is designed to:</w:t>
      </w:r>
    </w:p>
    <w:p w:rsidR="00E90509" w:rsidRPr="00A52535" w:rsidRDefault="00E90509" w:rsidP="007D7ED1">
      <w:pPr>
        <w:pStyle w:val="Bullet1G"/>
      </w:pPr>
      <w:r w:rsidRPr="00A52535">
        <w:t>Create an institutional environment that is conducive to the promotion of voluntary and formal abandonment of female genital cutting and mutilation.</w:t>
      </w:r>
    </w:p>
    <w:p w:rsidR="00E90509" w:rsidRPr="00A52535" w:rsidRDefault="00E90509" w:rsidP="007D7ED1">
      <w:pPr>
        <w:pStyle w:val="Bullet1G"/>
      </w:pPr>
      <w:r w:rsidRPr="00A52535">
        <w:t xml:space="preserve">Strengthen the capacity of stakeholders. </w:t>
      </w:r>
    </w:p>
    <w:p w:rsidR="00E90509" w:rsidRPr="00A52535" w:rsidRDefault="00E90509" w:rsidP="007D7ED1">
      <w:pPr>
        <w:pStyle w:val="Bullet1G"/>
      </w:pPr>
      <w:r w:rsidRPr="00A52535">
        <w:t>Develop an integrated communication plan for the elimination of female genital mutilation.</w:t>
      </w:r>
    </w:p>
    <w:p w:rsidR="00E90509" w:rsidRPr="00A52535" w:rsidRDefault="00E90509" w:rsidP="007D7ED1">
      <w:pPr>
        <w:pStyle w:val="Bullet1G"/>
      </w:pPr>
      <w:r w:rsidRPr="00A52535">
        <w:t>Promote action-oriented research leading to the design and implementation of more targeted measures.</w:t>
      </w:r>
    </w:p>
    <w:p w:rsidR="00E90509" w:rsidRPr="00A52535" w:rsidRDefault="00E90509" w:rsidP="00E90509">
      <w:pPr>
        <w:pStyle w:val="SingleTxtG"/>
        <w:rPr>
          <w:rFonts w:eastAsia="MS Mincho"/>
        </w:rPr>
      </w:pPr>
      <w:r w:rsidRPr="00A52535">
        <w:t>136.</w:t>
      </w:r>
      <w:r w:rsidRPr="00A52535">
        <w:tab/>
        <w:t>The Association of Ulemas has issued a fatwa prohibiting the practice of female genital mutilation.</w:t>
      </w:r>
    </w:p>
    <w:p w:rsidR="00E90509" w:rsidRPr="00A52535" w:rsidRDefault="00E90509" w:rsidP="00E90509">
      <w:pPr>
        <w:pStyle w:val="SingleTxtG"/>
        <w:rPr>
          <w:rFonts w:eastAsia="MS Mincho"/>
        </w:rPr>
      </w:pPr>
      <w:r w:rsidRPr="00A52535">
        <w:t>137.</w:t>
      </w:r>
      <w:r w:rsidRPr="00A52535">
        <w:tab/>
        <w:t xml:space="preserve">The remit of the National Human Rights Commission, which is an independent body, includes issuing, at the request of the Government or on its own initiative, advisory opinions on general or specific questions concerning the promotion and protection of human rights and respect for individual and collective freedoms. </w:t>
      </w:r>
    </w:p>
    <w:p w:rsidR="00E90509" w:rsidRPr="00A52535" w:rsidRDefault="00E90509" w:rsidP="00E90509">
      <w:pPr>
        <w:pStyle w:val="SingleTxtG"/>
        <w:rPr>
          <w:rFonts w:eastAsia="MS Mincho"/>
        </w:rPr>
      </w:pPr>
      <w:r w:rsidRPr="00A52535">
        <w:t>138.</w:t>
      </w:r>
      <w:r w:rsidRPr="00A52535">
        <w:tab/>
        <w:t xml:space="preserve">The Commission, awarded </w:t>
      </w:r>
      <w:r w:rsidR="00FE5999">
        <w:t>“</w:t>
      </w:r>
      <w:r w:rsidRPr="00A52535">
        <w:t>A</w:t>
      </w:r>
      <w:r w:rsidR="00FE5999">
        <w:t>”</w:t>
      </w:r>
      <w:r w:rsidRPr="00A52535">
        <w:t xml:space="preserve"> status by the International Coordinating Committee of National Institutions for the Promotion and Protection of Human Rights in May 2011, was made a constitutional institution in 2012.</w:t>
      </w:r>
    </w:p>
    <w:p w:rsidR="00E90509" w:rsidRPr="00A52535" w:rsidRDefault="00E90509" w:rsidP="00E90509">
      <w:pPr>
        <w:pStyle w:val="SingleTxtG"/>
      </w:pPr>
      <w:r w:rsidRPr="00A52535">
        <w:t>139.</w:t>
      </w:r>
      <w:r w:rsidRPr="00A52535">
        <w:tab/>
        <w:t>The majority of the Commission</w:t>
      </w:r>
      <w:r w:rsidR="00FE5999">
        <w:t>’</w:t>
      </w:r>
      <w:r w:rsidRPr="00A52535">
        <w:t>s members are representatives of civil society organizations and professional bodies, who have the right to vote; it also includes representatives of the different authorities concerned, who are non-voting members. The Commission is funded from the State budget, where it has be</w:t>
      </w:r>
      <w:r w:rsidR="00A7152F">
        <w:t>en given a separate budget line</w:t>
      </w:r>
      <w:r w:rsidRPr="00A52535">
        <w:t>.</w:t>
      </w:r>
    </w:p>
    <w:p w:rsidR="00E90509" w:rsidRPr="00A52535" w:rsidRDefault="00E90509" w:rsidP="007D7ED1">
      <w:pPr>
        <w:pStyle w:val="H1G"/>
      </w:pPr>
      <w:r w:rsidRPr="00A52535">
        <w:tab/>
      </w:r>
      <w:r w:rsidRPr="00A52535">
        <w:tab/>
      </w:r>
      <w:bookmarkStart w:id="179" w:name="_Toc479237771"/>
      <w:r w:rsidRPr="00A52535">
        <w:t>Article 6</w:t>
      </w:r>
      <w:bookmarkEnd w:id="179"/>
    </w:p>
    <w:p w:rsidR="00E90509" w:rsidRPr="00A52535" w:rsidRDefault="00E90509" w:rsidP="00E90509">
      <w:pPr>
        <w:pStyle w:val="SingleTxtG"/>
        <w:rPr>
          <w:rFonts w:eastAsia="MS Mincho"/>
        </w:rPr>
      </w:pPr>
      <w:r w:rsidRPr="00A52535">
        <w:t>140.</w:t>
      </w:r>
      <w:r w:rsidRPr="00A52535">
        <w:tab/>
        <w:t>The judicial system is based on the principle of two-tier proceedings. It enables persons whose rights have been violated to submit their cases to the courts of first instance (</w:t>
      </w:r>
      <w:r w:rsidRPr="00C44D5C">
        <w:rPr>
          <w:i/>
          <w:iCs/>
        </w:rPr>
        <w:t>moughataa</w:t>
      </w:r>
      <w:r w:rsidRPr="00A52535">
        <w:t xml:space="preserve"> and </w:t>
      </w:r>
      <w:r w:rsidRPr="00C44D5C">
        <w:rPr>
          <w:i/>
          <w:iCs/>
        </w:rPr>
        <w:t>wilaya</w:t>
      </w:r>
      <w:r w:rsidRPr="00A52535">
        <w:t xml:space="preserve"> courts). </w:t>
      </w:r>
    </w:p>
    <w:p w:rsidR="00E90509" w:rsidRPr="00A52535" w:rsidRDefault="00E90509" w:rsidP="00E90509">
      <w:pPr>
        <w:pStyle w:val="SingleTxtG"/>
        <w:rPr>
          <w:rFonts w:eastAsia="MS Mincho"/>
        </w:rPr>
      </w:pPr>
      <w:r w:rsidRPr="00A52535">
        <w:t>141.</w:t>
      </w:r>
      <w:r w:rsidRPr="00A52535">
        <w:tab/>
        <w:t xml:space="preserve">Anyone may apply to specialized judges, depending on the nature of the right and the gravity of the offence, in accordance with a pre-established procedure. Their task is to adjudicate the claim of the litigant or the defendant. </w:t>
      </w:r>
    </w:p>
    <w:p w:rsidR="00E90509" w:rsidRPr="00A52535" w:rsidRDefault="00E90509" w:rsidP="00E90509">
      <w:pPr>
        <w:pStyle w:val="SingleTxtG"/>
        <w:rPr>
          <w:rFonts w:eastAsia="MS Mincho"/>
        </w:rPr>
      </w:pPr>
      <w:r w:rsidRPr="00A52535">
        <w:t>142.</w:t>
      </w:r>
      <w:r w:rsidRPr="00A52535">
        <w:tab/>
        <w:t xml:space="preserve">If litigants are not satisfied with the decision of the court of first instance, they may apply to the court of appeal as the second instance to reconsider their case and decide on their claims. This is another guarantee of justice designed to protect the rights of individuals. </w:t>
      </w:r>
    </w:p>
    <w:p w:rsidR="00E90509" w:rsidRPr="00A52535" w:rsidRDefault="00E90509" w:rsidP="00E90509">
      <w:pPr>
        <w:pStyle w:val="SingleTxtG"/>
      </w:pPr>
      <w:r w:rsidRPr="00A52535">
        <w:t>143.</w:t>
      </w:r>
      <w:r w:rsidRPr="00A52535">
        <w:tab/>
        <w:t xml:space="preserve">The Supreme Court provides a further guarantee of this right, since applicants can submit cases to it; however, its decision concerns only the application of the right based on the independent and exclusive appreciation of the facts by the court of second instance. </w:t>
      </w:r>
    </w:p>
    <w:p w:rsidR="00E90509" w:rsidRPr="00A52535" w:rsidRDefault="00E90509" w:rsidP="00E90509">
      <w:pPr>
        <w:pStyle w:val="SingleTxtG"/>
      </w:pPr>
      <w:r w:rsidRPr="00A52535">
        <w:t>144.</w:t>
      </w:r>
      <w:r w:rsidRPr="00A52535">
        <w:tab/>
        <w:t xml:space="preserve">The law provides equal rights for Mauritanian nationals and foreign nationals living in Mauritania under the following legislation: </w:t>
      </w:r>
    </w:p>
    <w:p w:rsidR="00E90509" w:rsidRPr="00A52535" w:rsidRDefault="00E90509" w:rsidP="007D7ED1">
      <w:pPr>
        <w:pStyle w:val="Bullet1G"/>
      </w:pPr>
      <w:r w:rsidRPr="00A52535">
        <w:t>The Act on criminal provisions relating to the immigration system</w:t>
      </w:r>
      <w:r w:rsidR="00251EBF">
        <w:t>;</w:t>
      </w:r>
    </w:p>
    <w:p w:rsidR="00E90509" w:rsidRPr="00A52535" w:rsidRDefault="00E90509" w:rsidP="007D7ED1">
      <w:pPr>
        <w:pStyle w:val="Bullet1G"/>
      </w:pPr>
      <w:r w:rsidRPr="00A52535">
        <w:t>The Act criminalizing the smuggling of migrants</w:t>
      </w:r>
      <w:r w:rsidR="00251EBF">
        <w:t>;</w:t>
      </w:r>
    </w:p>
    <w:p w:rsidR="00E90509" w:rsidRPr="00A52535" w:rsidRDefault="00E90509" w:rsidP="007D7ED1">
      <w:pPr>
        <w:pStyle w:val="Bullet1G"/>
      </w:pPr>
      <w:r w:rsidRPr="00A52535">
        <w:lastRenderedPageBreak/>
        <w:t>The Decree on the immigration system</w:t>
      </w:r>
      <w:r w:rsidR="00251EBF">
        <w:t>;</w:t>
      </w:r>
    </w:p>
    <w:p w:rsidR="00E90509" w:rsidRPr="00A52535" w:rsidRDefault="00E90509" w:rsidP="007D7ED1">
      <w:pPr>
        <w:pStyle w:val="Bullet1G"/>
      </w:pPr>
      <w:r w:rsidRPr="00A52535">
        <w:t>The Decree establishing work permits for foreign workers</w:t>
      </w:r>
      <w:r w:rsidR="00251EBF">
        <w:t>.</w:t>
      </w:r>
    </w:p>
    <w:p w:rsidR="00E90509" w:rsidRPr="00A52535" w:rsidRDefault="00E90509" w:rsidP="00E90509">
      <w:pPr>
        <w:pStyle w:val="SingleTxtG"/>
      </w:pPr>
      <w:r w:rsidRPr="00A52535">
        <w:t>145.</w:t>
      </w:r>
      <w:r w:rsidRPr="00A52535">
        <w:tab/>
        <w:t xml:space="preserve">To promote the fundamental rights of migrants, refugees and asylum seekers, the capacity of the authorities to process asylum applications has been strengthened through information and awareness-raising campaigns on the reality of life for migrants and training initiatives to combat trafficking in child migrants, run in partnership with NGOs. </w:t>
      </w:r>
    </w:p>
    <w:p w:rsidR="00E90509" w:rsidRPr="00A52535" w:rsidRDefault="00E90509" w:rsidP="00E90509">
      <w:pPr>
        <w:pStyle w:val="SingleTxtG"/>
        <w:rPr>
          <w:rFonts w:eastAsia="MS Mincho"/>
        </w:rPr>
      </w:pPr>
      <w:r w:rsidRPr="00A52535">
        <w:t>146.</w:t>
      </w:r>
      <w:r w:rsidRPr="00A52535">
        <w:tab/>
        <w:t xml:space="preserve">The national court system has processed 32 cases of slavery-like practices, 8 in Nouakchott and 24 in other </w:t>
      </w:r>
      <w:r w:rsidRPr="00017011">
        <w:rPr>
          <w:i/>
          <w:iCs/>
        </w:rPr>
        <w:t>wilayas</w:t>
      </w:r>
      <w:r w:rsidRPr="00A52535">
        <w:t>. The rulings in these cases imposed sentences of imprisonment, court supervision and fines, and awarded civil damages to victims.</w:t>
      </w:r>
    </w:p>
    <w:p w:rsidR="00E90509" w:rsidRPr="00A52535" w:rsidRDefault="00E90509" w:rsidP="00E90509">
      <w:pPr>
        <w:pStyle w:val="SingleTxtG"/>
      </w:pPr>
      <w:r w:rsidRPr="00A52535">
        <w:t>147.</w:t>
      </w:r>
      <w:r w:rsidRPr="00A52535">
        <w:tab/>
        <w:t xml:space="preserve">A number of training sessions have been organized for assistant judges and lawyers on anti-slavery legislation. Special courts to combat practices related to slavery have been established and their judges trained. </w:t>
      </w:r>
    </w:p>
    <w:p w:rsidR="00E90509" w:rsidRPr="00A52535" w:rsidRDefault="00E90509" w:rsidP="007D7ED1">
      <w:pPr>
        <w:pStyle w:val="H1G"/>
      </w:pPr>
      <w:r w:rsidRPr="00A52535">
        <w:tab/>
      </w:r>
      <w:r w:rsidRPr="00A52535">
        <w:tab/>
      </w:r>
      <w:bookmarkStart w:id="180" w:name="_Toc479237772"/>
      <w:r w:rsidRPr="00A52535">
        <w:t>Article 7</w:t>
      </w:r>
      <w:bookmarkEnd w:id="180"/>
    </w:p>
    <w:p w:rsidR="00E90509" w:rsidRPr="00A52535" w:rsidRDefault="00E90509" w:rsidP="00E90509">
      <w:pPr>
        <w:pStyle w:val="SingleTxtG"/>
      </w:pPr>
      <w:r w:rsidRPr="00A52535">
        <w:t>148.</w:t>
      </w:r>
      <w:r w:rsidRPr="00A52535">
        <w:tab/>
        <w:t xml:space="preserve">Mauritania has introduced a bill prohibiting all forms of discrimination that includes a definition of offences of a racist nature. </w:t>
      </w:r>
    </w:p>
    <w:p w:rsidR="00E90509" w:rsidRPr="00A52535" w:rsidRDefault="00E90509" w:rsidP="00E90509">
      <w:pPr>
        <w:pStyle w:val="SingleTxtG"/>
      </w:pPr>
      <w:r w:rsidRPr="00A52535">
        <w:t>149.</w:t>
      </w:r>
      <w:r w:rsidRPr="00A52535">
        <w:tab/>
        <w:t>In the economic arena, the reduction of disparities, the equitable distribution of national resources and the involvement of all citizens in public management enhance social cohesion.</w:t>
      </w:r>
    </w:p>
    <w:p w:rsidR="00E90509" w:rsidRPr="00A52535" w:rsidRDefault="00E90509" w:rsidP="00E90509">
      <w:pPr>
        <w:pStyle w:val="SingleTxtG"/>
        <w:rPr>
          <w:rFonts w:eastAsia="MS Mincho"/>
        </w:rPr>
      </w:pPr>
      <w:r w:rsidRPr="00A52535">
        <w:t>150.</w:t>
      </w:r>
      <w:r w:rsidRPr="00A52535">
        <w:tab/>
        <w:t>In the social arena, appropriate measures have been taken to promote the rights of women, children, persons with disabilities and older persons.</w:t>
      </w:r>
    </w:p>
    <w:p w:rsidR="00E90509" w:rsidRPr="00A52535" w:rsidRDefault="00E90509" w:rsidP="00E90509">
      <w:pPr>
        <w:pStyle w:val="SingleTxtG"/>
        <w:rPr>
          <w:rFonts w:eastAsia="MS Mincho"/>
        </w:rPr>
      </w:pPr>
      <w:r w:rsidRPr="00A52535">
        <w:t>151.</w:t>
      </w:r>
      <w:r w:rsidRPr="00A52535">
        <w:tab/>
        <w:t xml:space="preserve">In connection with migrants, a national migration management strategy has proved useful in organizing the reception of migrants and applying the right to asylum. </w:t>
      </w:r>
    </w:p>
    <w:p w:rsidR="00E90509" w:rsidRPr="00A52535" w:rsidRDefault="00E90509" w:rsidP="00E90509">
      <w:pPr>
        <w:pStyle w:val="SingleTxtG"/>
        <w:rPr>
          <w:rFonts w:eastAsia="MS Mincho"/>
        </w:rPr>
      </w:pPr>
      <w:r w:rsidRPr="00A52535">
        <w:t>152.</w:t>
      </w:r>
      <w:r w:rsidRPr="00A52535">
        <w:tab/>
        <w:t xml:space="preserve">Financial resources have been mobilized for these activities, which are monitored and evaluated by the National Human Rights Commission. </w:t>
      </w:r>
    </w:p>
    <w:p w:rsidR="00E90509" w:rsidRPr="00A52535" w:rsidRDefault="00E90509" w:rsidP="00E90509">
      <w:pPr>
        <w:pStyle w:val="SingleTxtG"/>
        <w:rPr>
          <w:rFonts w:eastAsia="MS Mincho"/>
        </w:rPr>
      </w:pPr>
      <w:r w:rsidRPr="00A52535">
        <w:t>153.</w:t>
      </w:r>
      <w:r w:rsidRPr="00A52535">
        <w:tab/>
        <w:t>Social partners are involved in the promotion and implementation of national and international provisions to combat discrimination in the areas of work and employment through the safeguarding of the rights of foreign workers and migrants.</w:t>
      </w:r>
    </w:p>
    <w:p w:rsidR="00E90509" w:rsidRPr="00A52535" w:rsidRDefault="00E90509" w:rsidP="00E90509">
      <w:pPr>
        <w:pStyle w:val="SingleTxtG"/>
      </w:pPr>
      <w:r w:rsidRPr="00A52535">
        <w:t>154.</w:t>
      </w:r>
      <w:r w:rsidRPr="00A52535">
        <w:tab/>
        <w:t>Socioeconomic policies are designed to combat disparities through accelerated growth and shared prosperity.</w:t>
      </w:r>
    </w:p>
    <w:p w:rsidR="00E90509" w:rsidRPr="00A52535" w:rsidRDefault="00E90509" w:rsidP="00E90509">
      <w:pPr>
        <w:pStyle w:val="SingleTxtG"/>
        <w:rPr>
          <w:rFonts w:eastAsia="MS Mincho"/>
        </w:rPr>
      </w:pPr>
      <w:r w:rsidRPr="00A52535">
        <w:t>155.</w:t>
      </w:r>
      <w:r w:rsidRPr="00A52535">
        <w:tab/>
        <w:t xml:space="preserve">The Tadamoun agency is responsible for the reintegration of returnees. The plan of action for the road map on the eradication of contemporary forms of slavery targets pockets of poverty. It contributes to the empowerment of victims of contemporary forms of slavery and their consequences. </w:t>
      </w:r>
    </w:p>
    <w:p w:rsidR="00E90509" w:rsidRPr="00A52535" w:rsidRDefault="00E90509" w:rsidP="00E90509">
      <w:pPr>
        <w:pStyle w:val="SingleTxtG"/>
      </w:pPr>
      <w:r w:rsidRPr="00A52535">
        <w:t>156.</w:t>
      </w:r>
      <w:r w:rsidRPr="00A52535">
        <w:tab/>
        <w:t>Basic education and traditional teaching are also contributing to the fight against discrimination and contemporary forms of slavery.</w:t>
      </w:r>
    </w:p>
    <w:p w:rsidR="00E90509" w:rsidRPr="00A52535" w:rsidRDefault="00E90509" w:rsidP="00E90509">
      <w:pPr>
        <w:pStyle w:val="SingleTxtG"/>
        <w:rPr>
          <w:rFonts w:eastAsia="MS Mincho"/>
        </w:rPr>
      </w:pPr>
      <w:r w:rsidRPr="00A52535">
        <w:t>157.</w:t>
      </w:r>
      <w:r w:rsidRPr="00A52535">
        <w:tab/>
        <w:t>Development partners support this process by providing their expertise, financial support and monitoring and evaluation services.</w:t>
      </w:r>
    </w:p>
    <w:p w:rsidR="00E90509" w:rsidRPr="00A52535" w:rsidRDefault="00E90509" w:rsidP="00E90509">
      <w:pPr>
        <w:pStyle w:val="SingleTxtG"/>
        <w:rPr>
          <w:rFonts w:eastAsia="MS Mincho"/>
        </w:rPr>
      </w:pPr>
      <w:r w:rsidRPr="00A52535">
        <w:t>158.</w:t>
      </w:r>
      <w:r w:rsidRPr="00A52535">
        <w:tab/>
        <w:t>The promotion of freedom of the press and of expression is steadily evolving in Mauritania.</w:t>
      </w:r>
    </w:p>
    <w:p w:rsidR="00E90509" w:rsidRPr="00A52535" w:rsidRDefault="00E90509" w:rsidP="00E90509">
      <w:pPr>
        <w:pStyle w:val="SingleTxtG"/>
        <w:rPr>
          <w:rFonts w:eastAsia="MS Mincho"/>
        </w:rPr>
      </w:pPr>
      <w:r w:rsidRPr="00A52535">
        <w:t>159.</w:t>
      </w:r>
      <w:r w:rsidRPr="00A52535">
        <w:tab/>
        <w:t>Mauritania is now in first place in the Arab world in terms of freedom of the press and in sixtieth place globally. No media outlets have been banned or subjected to pressure.</w:t>
      </w:r>
    </w:p>
    <w:p w:rsidR="00E90509" w:rsidRPr="00A52535" w:rsidRDefault="00E90509" w:rsidP="00E90509">
      <w:pPr>
        <w:pStyle w:val="SingleTxtG"/>
      </w:pPr>
      <w:r w:rsidRPr="00A52535">
        <w:t>160.</w:t>
      </w:r>
      <w:r w:rsidRPr="00A52535">
        <w:tab/>
        <w:t>The ordinance on freedom of the press states that the right to information and freedom of the press are corollaries of freedom of expression and are inalienable rights of citizens. These provisions have been translated into public policies that entrench the principle of freedom of the press and guarantee press independence and diversity of expression in the media.</w:t>
      </w:r>
    </w:p>
    <w:p w:rsidR="00E90509" w:rsidRPr="00A52535" w:rsidRDefault="00E90509" w:rsidP="00E90509">
      <w:pPr>
        <w:pStyle w:val="SingleTxtG"/>
        <w:rPr>
          <w:rFonts w:eastAsia="MS Mincho"/>
        </w:rPr>
      </w:pPr>
      <w:r w:rsidRPr="00A52535">
        <w:t>161.</w:t>
      </w:r>
      <w:r w:rsidRPr="00A52535">
        <w:tab/>
        <w:t xml:space="preserve">The Act on the deregulation of the media established political, cultural, linguistic and geographical pluralism and diversity in that field. The decriminalization of press </w:t>
      </w:r>
      <w:r w:rsidRPr="00A52535">
        <w:lastRenderedPageBreak/>
        <w:t xml:space="preserve">offences put an end to the imprisonment of journalists. The Act also made provision for an annual public subsidy for the private press, particularly those outlets making an effective contribution to informing the public. A decree on press accreditation has been adopted, establishing the professional identity of journalists. </w:t>
      </w:r>
    </w:p>
    <w:p w:rsidR="00E90509" w:rsidRPr="00A52535" w:rsidRDefault="00E90509" w:rsidP="00E90509">
      <w:pPr>
        <w:pStyle w:val="SingleTxtG"/>
        <w:rPr>
          <w:rFonts w:eastAsia="MS Mincho"/>
        </w:rPr>
      </w:pPr>
      <w:r w:rsidRPr="00A52535">
        <w:t>162.</w:t>
      </w:r>
      <w:r w:rsidRPr="00A52535">
        <w:tab/>
        <w:t xml:space="preserve">The official media outlets have been transformed into a public service. The Mauritania Broadcasting Company has been established to ensure the dissemination of information throughout the country. </w:t>
      </w:r>
    </w:p>
    <w:p w:rsidR="00E90509" w:rsidRPr="00A52535" w:rsidRDefault="00E90509" w:rsidP="00E90509">
      <w:pPr>
        <w:pStyle w:val="SingleTxtG"/>
      </w:pPr>
      <w:r w:rsidRPr="00A52535">
        <w:t>163.</w:t>
      </w:r>
      <w:r w:rsidRPr="00A52535">
        <w:tab/>
        <w:t>The State has established a High Authority for the Press and Audiovisual Communication to ensure respect for the law, independence and freedom of information and communication. The Government considers the press an essential partner in the promotion and protection of human rights.</w:t>
      </w:r>
    </w:p>
    <w:p w:rsidR="00E90509" w:rsidRPr="00A52535" w:rsidRDefault="00E90509" w:rsidP="00E90509">
      <w:pPr>
        <w:pStyle w:val="SingleTxtG"/>
      </w:pPr>
      <w:r w:rsidRPr="00A52535">
        <w:t>164.</w:t>
      </w:r>
      <w:r w:rsidRPr="00A52535">
        <w:tab/>
        <w:t>This favourable environment for freedom of the press has led to the emergence of a vibrant media landscape. Radio-Mauritanie has been converted into a public limited company broadcasting both nationally and internationally.</w:t>
      </w:r>
    </w:p>
    <w:p w:rsidR="00E90509" w:rsidRPr="00A52535" w:rsidRDefault="00E90509" w:rsidP="00E90509">
      <w:pPr>
        <w:pStyle w:val="SingleTxtG"/>
      </w:pPr>
      <w:r w:rsidRPr="00A52535">
        <w:t>165.</w:t>
      </w:r>
      <w:r w:rsidRPr="00A52535">
        <w:tab/>
        <w:t>Thirteen regional radio stations provide public service information. Other media outlets include Radio FM jeunesse Nouakchott (Nouakchott Youth Radio FM), Radio du Saint Coran (Holy Qur</w:t>
      </w:r>
      <w:r w:rsidR="00FE5999">
        <w:t>’</w:t>
      </w:r>
      <w:r w:rsidRPr="00A52535">
        <w:t>an Radio) and Mahadra TV.</w:t>
      </w:r>
    </w:p>
    <w:p w:rsidR="00E90509" w:rsidRPr="00A52535" w:rsidRDefault="00E90509" w:rsidP="00E90509">
      <w:pPr>
        <w:pStyle w:val="SingleTxtG"/>
      </w:pPr>
      <w:r w:rsidRPr="00A52535">
        <w:t>166.</w:t>
      </w:r>
      <w:r w:rsidRPr="00A52535">
        <w:tab/>
        <w:t xml:space="preserve">Télévision de Mauritanie has been converted into a public limited company and remains the top national television channel. TVM Plus is the second largest channel and broadcasts culturally and linguistically diverse programmes for young people. </w:t>
      </w:r>
    </w:p>
    <w:p w:rsidR="00E90509" w:rsidRPr="00A52535" w:rsidRDefault="00E90509" w:rsidP="00E90509">
      <w:pPr>
        <w:pStyle w:val="SingleTxtG"/>
      </w:pPr>
      <w:r w:rsidRPr="00A52535">
        <w:t>167.</w:t>
      </w:r>
      <w:r w:rsidRPr="00A52535">
        <w:tab/>
        <w:t xml:space="preserve">Private radio and television stations stimulate competition among the mass media. There are five private radio stations: Mauritanid FM, Radio Nouakchott, Radio Tenwir, Radio Kobenni and Radio Saharamédia. There are five private television companies. </w:t>
      </w:r>
    </w:p>
    <w:p w:rsidR="00E90509" w:rsidRPr="00A52535" w:rsidRDefault="00E90509" w:rsidP="00E90509">
      <w:pPr>
        <w:pStyle w:val="SingleTxtG"/>
        <w:rPr>
          <w:rFonts w:eastAsia="MS Mincho"/>
        </w:rPr>
      </w:pPr>
      <w:r w:rsidRPr="00A52535">
        <w:t>168.</w:t>
      </w:r>
      <w:r w:rsidR="00696BA0">
        <w:tab/>
      </w:r>
      <w:r w:rsidRPr="00A52535">
        <w:t>The five companies are Chinguitty TV, Almourabitoune TV, Sahel TV, Alwatania TV and Dava TV. The media landscape also includes hundreds of newspapers (dailies, weeklies, monthlies and periodicals) and websites.</w:t>
      </w:r>
    </w:p>
    <w:p w:rsidR="00E90509" w:rsidRPr="00A52535" w:rsidRDefault="00E90509" w:rsidP="00E90509">
      <w:pPr>
        <w:pStyle w:val="SingleTxtG"/>
      </w:pPr>
      <w:r w:rsidRPr="00A52535">
        <w:t>169.</w:t>
      </w:r>
      <w:r w:rsidRPr="00A52535">
        <w:tab/>
        <w:t xml:space="preserve">Associations are regulated by Act No. 64.098 of 9 June 1964, as amended by Act No. 73.007 of 23 June 1973 and Act No. 73.157 of 2 July 1973. These instruments establish a system for authorizing associations, the responsibility for which is assigned to the Ministry of the Interior. </w:t>
      </w:r>
    </w:p>
    <w:p w:rsidR="00E90509" w:rsidRPr="00A52535" w:rsidRDefault="00E90509" w:rsidP="00E90509">
      <w:pPr>
        <w:pStyle w:val="SingleTxtG"/>
        <w:rPr>
          <w:rFonts w:eastAsia="MS Mincho"/>
        </w:rPr>
      </w:pPr>
      <w:r w:rsidRPr="00A52535">
        <w:t>170.</w:t>
      </w:r>
      <w:r w:rsidRPr="00A52535">
        <w:tab/>
        <w:t>In the field of education, following appropriate reforms and tailored training, schools now constitute a genuinely integrated space for pupils and students through the promotion of civic education, citizenship and patriotism.</w:t>
      </w:r>
    </w:p>
    <w:p w:rsidR="00E90509" w:rsidRPr="00A52535" w:rsidRDefault="00E90509" w:rsidP="00E90509">
      <w:pPr>
        <w:pStyle w:val="SingleTxtG"/>
        <w:rPr>
          <w:rFonts w:eastAsia="MS Mincho"/>
        </w:rPr>
      </w:pPr>
      <w:r w:rsidRPr="00A52535">
        <w:t>171.</w:t>
      </w:r>
      <w:r w:rsidRPr="00A52535">
        <w:tab/>
        <w:t xml:space="preserve">The right to education is guaranteed for all citizens. It is exercised through access to education and enrolment in public or private education institutions. The school environment fosters the creation, transfer, construction and development of knowledge. </w:t>
      </w:r>
    </w:p>
    <w:p w:rsidR="00E90509" w:rsidRPr="00A52535" w:rsidRDefault="00E90509" w:rsidP="00E90509">
      <w:pPr>
        <w:pStyle w:val="SingleTxtG"/>
        <w:rPr>
          <w:rFonts w:eastAsia="MS Mincho"/>
        </w:rPr>
      </w:pPr>
      <w:r w:rsidRPr="00A52535">
        <w:t>172.</w:t>
      </w:r>
      <w:r w:rsidRPr="00A52535">
        <w:tab/>
        <w:t xml:space="preserve">The role of schools is to educate and prepare women and men to enable them to conduct their personal, community, civic and professional lives. Education is compulsory under the conditions determined by law. Public education is free of charge. </w:t>
      </w:r>
    </w:p>
    <w:p w:rsidR="00E90509" w:rsidRPr="00A52535" w:rsidRDefault="00E90509" w:rsidP="00E90509">
      <w:pPr>
        <w:pStyle w:val="SingleTxtG"/>
        <w:rPr>
          <w:rFonts w:eastAsia="MS Mincho"/>
        </w:rPr>
      </w:pPr>
      <w:r w:rsidRPr="00A52535">
        <w:t>173.</w:t>
      </w:r>
      <w:r w:rsidRPr="00A52535">
        <w:tab/>
        <w:t xml:space="preserve">Private education is recognized and must comply with the conditions determined by law. The efforts undertaken since the beginning of the implementation of the national programme for the development of the education sector have improved access to education, which is an inalienable right. </w:t>
      </w:r>
    </w:p>
    <w:p w:rsidR="00E90509" w:rsidRPr="00A52535" w:rsidRDefault="00E90509" w:rsidP="00E90509">
      <w:pPr>
        <w:pStyle w:val="SingleTxtG"/>
        <w:rPr>
          <w:rFonts w:eastAsia="MS Mincho"/>
        </w:rPr>
      </w:pPr>
      <w:r w:rsidRPr="00A52535">
        <w:t>174.</w:t>
      </w:r>
      <w:r w:rsidRPr="00A52535">
        <w:tab/>
        <w:t>The authorities are committed to ensuring that all children, both boys and girls, have the means to complete the full course of primary schooling. The net enrolment rate has reached almost 85 per cent, while the proportion of pupils completing full primary schooling was 81 per cent in 2015.</w:t>
      </w:r>
    </w:p>
    <w:p w:rsidR="00E90509" w:rsidRPr="00A52535" w:rsidRDefault="00E90509" w:rsidP="00E90509">
      <w:pPr>
        <w:pStyle w:val="SingleTxtG"/>
        <w:rPr>
          <w:rFonts w:eastAsia="MS Mincho"/>
        </w:rPr>
      </w:pPr>
      <w:r w:rsidRPr="00A52535">
        <w:t>175.</w:t>
      </w:r>
      <w:r w:rsidRPr="00A52535">
        <w:tab/>
        <w:t>During the same period, secondary education too expanded greatly. The total secondary school population rose from 104,682 students in 2008/09 to 171,265 in 2012/13, an overall increase of 56 per cent and an average annual increase of 13 per cent over the period.</w:t>
      </w:r>
    </w:p>
    <w:p w:rsidR="00E90509" w:rsidRPr="00A52535" w:rsidRDefault="00E90509" w:rsidP="00E90509">
      <w:pPr>
        <w:pStyle w:val="SingleTxtG"/>
        <w:rPr>
          <w:rFonts w:eastAsia="MS Mincho"/>
        </w:rPr>
      </w:pPr>
      <w:r w:rsidRPr="00A52535">
        <w:lastRenderedPageBreak/>
        <w:t>176.</w:t>
      </w:r>
      <w:r w:rsidRPr="00A52535">
        <w:tab/>
        <w:t>In higher education, considerable efforts have been made to diversify, expand and professionalize the courses offered.</w:t>
      </w:r>
    </w:p>
    <w:p w:rsidR="00E90509" w:rsidRPr="00A52535" w:rsidRDefault="002D51AE" w:rsidP="00E90509">
      <w:pPr>
        <w:pStyle w:val="SingleTxtG"/>
        <w:rPr>
          <w:rFonts w:eastAsia="MS Mincho"/>
        </w:rPr>
      </w:pPr>
      <w:r>
        <w:t>177.</w:t>
      </w:r>
      <w:r>
        <w:tab/>
      </w:r>
      <w:r w:rsidR="00E90509" w:rsidRPr="00A52535">
        <w:t>New courses have been created in various higher education establishments and a substantial number of master</w:t>
      </w:r>
      <w:r w:rsidR="00FE5999">
        <w:t>’</w:t>
      </w:r>
      <w:r w:rsidR="00E90509" w:rsidRPr="00A52535">
        <w:t>s degrees have been developed. The opening of the new university campus will undoubtedly help improve the performance and effectiveness of the system.</w:t>
      </w:r>
    </w:p>
    <w:p w:rsidR="00E90509" w:rsidRPr="00A52535" w:rsidRDefault="00E90509" w:rsidP="00E90509">
      <w:pPr>
        <w:pStyle w:val="SingleTxtG"/>
      </w:pPr>
      <w:r w:rsidRPr="00A52535">
        <w:t>178.</w:t>
      </w:r>
      <w:r w:rsidRPr="00A52535">
        <w:tab/>
        <w:t>The implementation of the priority education zones programme has reduced disparities linked to background, socioeconomic conditions and gender and enabled children from the most disadvantaged areas (</w:t>
      </w:r>
      <w:r w:rsidRPr="00C44D5C">
        <w:rPr>
          <w:i/>
          <w:iCs/>
        </w:rPr>
        <w:t>adwabas</w:t>
      </w:r>
      <w:r w:rsidRPr="00A52535">
        <w:t xml:space="preserve">) to enjoy the same schooling as other students. </w:t>
      </w:r>
    </w:p>
    <w:p w:rsidR="00E90509" w:rsidRPr="00A52535" w:rsidRDefault="00E90509" w:rsidP="00E90509">
      <w:pPr>
        <w:pStyle w:val="SingleTxtG"/>
        <w:rPr>
          <w:rFonts w:eastAsia="MS Mincho"/>
        </w:rPr>
      </w:pPr>
      <w:r w:rsidRPr="00A52535">
        <w:t>179.</w:t>
      </w:r>
      <w:r w:rsidRPr="00A52535">
        <w:tab/>
        <w:t xml:space="preserve">In terms of gender, the National Programme for the Development of the Education Sector has put special measures in place to encourage the enrolment and retention of girls in the system by reducing the barriers they face in their schooling. </w:t>
      </w:r>
    </w:p>
    <w:p w:rsidR="00E90509" w:rsidRPr="00A52535" w:rsidRDefault="00E90509" w:rsidP="00E90509">
      <w:pPr>
        <w:pStyle w:val="SingleTxtG"/>
        <w:rPr>
          <w:rFonts w:eastAsia="MS Mincho"/>
        </w:rPr>
      </w:pPr>
      <w:r w:rsidRPr="00A52535">
        <w:t>180.</w:t>
      </w:r>
      <w:r w:rsidRPr="00A52535">
        <w:tab/>
        <w:t xml:space="preserve">In terms of school health, the programme strengthens partnerships between the education, health and environment sectors, with a view to familiarizing pupils at all stages of schooling with major issues regarding their civic and social integration and the protection of their health and the environment. </w:t>
      </w:r>
    </w:p>
    <w:p w:rsidR="00E90509" w:rsidRPr="00A52535" w:rsidRDefault="00E90509" w:rsidP="00E90509">
      <w:pPr>
        <w:pStyle w:val="SingleTxtG"/>
      </w:pPr>
      <w:r w:rsidRPr="00A52535">
        <w:t>181.</w:t>
      </w:r>
      <w:r w:rsidRPr="00A52535">
        <w:tab/>
        <w:t>The Constitution enshrines Arabic, Fulani, Soninke and Wolof as national languages. A national institute attached to the university has been established to promote the writing and teaching of the national languages. State and private radio and television outlets are required to broadcast programmes in the national languages.</w:t>
      </w:r>
    </w:p>
    <w:p w:rsidR="00E90509" w:rsidRPr="00A52535" w:rsidRDefault="00E90509" w:rsidP="00E90509">
      <w:pPr>
        <w:pStyle w:val="SingleTxtG"/>
      </w:pPr>
      <w:r w:rsidRPr="00A52535">
        <w:t>182.</w:t>
      </w:r>
      <w:r w:rsidRPr="00A52535">
        <w:tab/>
        <w:t>Private education facilities offer a range of options for parents, depending on the type of education they desire for their children.</w:t>
      </w:r>
    </w:p>
    <w:p w:rsidR="00E90509" w:rsidRPr="00A52535" w:rsidRDefault="00E90509" w:rsidP="00E90509">
      <w:pPr>
        <w:pStyle w:val="SingleTxtG"/>
      </w:pPr>
      <w:r w:rsidRPr="00A52535">
        <w:t>183.</w:t>
      </w:r>
      <w:r w:rsidRPr="00A52535">
        <w:tab/>
        <w:t xml:space="preserve">Mauritania is proud of its cultural and linguistic diversity and ensures that its national languages and cultural heritage are preserved. </w:t>
      </w:r>
    </w:p>
    <w:p w:rsidR="00E90509" w:rsidRPr="00A52535" w:rsidRDefault="00E90509" w:rsidP="004310EA">
      <w:pPr>
        <w:pStyle w:val="HChG"/>
      </w:pPr>
      <w:r w:rsidRPr="00A52535">
        <w:tab/>
      </w:r>
      <w:r w:rsidRPr="00A52535">
        <w:tab/>
      </w:r>
      <w:bookmarkStart w:id="181" w:name="_Toc479237773"/>
      <w:r w:rsidRPr="00A52535">
        <w:t>Conclusion</w:t>
      </w:r>
      <w:bookmarkEnd w:id="181"/>
      <w:r w:rsidRPr="00A52535">
        <w:t xml:space="preserve"> </w:t>
      </w:r>
    </w:p>
    <w:p w:rsidR="00E90509" w:rsidRPr="00A52535" w:rsidRDefault="00E90509" w:rsidP="00E90509">
      <w:pPr>
        <w:pStyle w:val="SingleTxtG"/>
      </w:pPr>
      <w:r w:rsidRPr="00A52535">
        <w:t>184.</w:t>
      </w:r>
      <w:r w:rsidRPr="00A52535">
        <w:tab/>
        <w:t>The Government of Mauritania reiterates its commitment to implementing the Convention and remains ready to engage in constructive dialogue with the Committee with a view to addressing the shortcomings identified in the</w:t>
      </w:r>
      <w:r w:rsidR="00A7152F">
        <w:t xml:space="preserve"> </w:t>
      </w:r>
      <w:r w:rsidRPr="00A52535">
        <w:t xml:space="preserve">application of its provisions. </w:t>
      </w:r>
    </w:p>
    <w:p w:rsidR="0043727F" w:rsidRDefault="00E90509" w:rsidP="00D23112">
      <w:pPr>
        <w:pStyle w:val="SingleTxtG"/>
      </w:pPr>
      <w:r w:rsidRPr="00A52535">
        <w:t>185.</w:t>
      </w:r>
      <w:r w:rsidRPr="00A52535">
        <w:tab/>
        <w:t>It wishes to take this opportunity to thank all the partners that have supported the implementation of its policies to combat discrimination.</w:t>
      </w:r>
    </w:p>
    <w:p w:rsidR="00C13198" w:rsidRDefault="00D23112" w:rsidP="00D23112">
      <w:pPr>
        <w:spacing w:before="240"/>
        <w:jc w:val="center"/>
        <w:rPr>
          <w:u w:val="single"/>
        </w:rPr>
      </w:pPr>
      <w:r>
        <w:rPr>
          <w:u w:val="single"/>
        </w:rPr>
        <w:tab/>
      </w:r>
      <w:r>
        <w:rPr>
          <w:u w:val="single"/>
        </w:rPr>
        <w:tab/>
      </w:r>
      <w:r>
        <w:rPr>
          <w:u w:val="single"/>
        </w:rPr>
        <w:tab/>
      </w:r>
    </w:p>
    <w:sectPr w:rsidR="00C13198" w:rsidSect="00215DF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B45" w:rsidRPr="00A0297D" w:rsidRDefault="00B32B45" w:rsidP="00A0297D">
      <w:pPr>
        <w:pStyle w:val="Footer"/>
      </w:pPr>
    </w:p>
  </w:endnote>
  <w:endnote w:type="continuationSeparator" w:id="0">
    <w:p w:rsidR="00B32B45" w:rsidRPr="00A0297D" w:rsidRDefault="00B32B4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45" w:rsidRPr="00215DF5" w:rsidRDefault="00B32B45" w:rsidP="00215DF5">
    <w:pPr>
      <w:pStyle w:val="Footer"/>
      <w:tabs>
        <w:tab w:val="right" w:pos="9598"/>
      </w:tabs>
    </w:pPr>
    <w:r w:rsidRPr="00215DF5">
      <w:rPr>
        <w:b/>
        <w:sz w:val="18"/>
      </w:rPr>
      <w:fldChar w:fldCharType="begin"/>
    </w:r>
    <w:r w:rsidRPr="00215DF5">
      <w:rPr>
        <w:b/>
        <w:sz w:val="18"/>
      </w:rPr>
      <w:instrText xml:space="preserve"> PAGE  \* MERGEFORMAT </w:instrText>
    </w:r>
    <w:r w:rsidRPr="00215DF5">
      <w:rPr>
        <w:b/>
        <w:sz w:val="18"/>
      </w:rPr>
      <w:fldChar w:fldCharType="separate"/>
    </w:r>
    <w:r w:rsidR="00416486">
      <w:rPr>
        <w:b/>
        <w:noProof/>
        <w:sz w:val="18"/>
      </w:rPr>
      <w:t>12</w:t>
    </w:r>
    <w:r w:rsidRPr="00215DF5">
      <w:rPr>
        <w:b/>
        <w:sz w:val="18"/>
      </w:rPr>
      <w:fldChar w:fldCharType="end"/>
    </w:r>
    <w:r>
      <w:rPr>
        <w:sz w:val="18"/>
      </w:rPr>
      <w:tab/>
    </w:r>
    <w:r>
      <w:t>GE.17-02680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45" w:rsidRPr="00215DF5" w:rsidRDefault="00B32B45" w:rsidP="00215DF5">
    <w:pPr>
      <w:pStyle w:val="Footer"/>
      <w:tabs>
        <w:tab w:val="right" w:pos="9598"/>
      </w:tabs>
      <w:rPr>
        <w:b/>
        <w:sz w:val="18"/>
      </w:rPr>
    </w:pPr>
    <w:r>
      <w:t>GE.17-02680</w:t>
    </w:r>
    <w:r>
      <w:tab/>
    </w:r>
    <w:r w:rsidRPr="00215DF5">
      <w:rPr>
        <w:b/>
        <w:sz w:val="18"/>
      </w:rPr>
      <w:fldChar w:fldCharType="begin"/>
    </w:r>
    <w:r w:rsidRPr="00215DF5">
      <w:rPr>
        <w:b/>
        <w:sz w:val="18"/>
      </w:rPr>
      <w:instrText xml:space="preserve"> PAGE  \* MERGEFORMAT </w:instrText>
    </w:r>
    <w:r w:rsidRPr="00215DF5">
      <w:rPr>
        <w:b/>
        <w:sz w:val="18"/>
      </w:rPr>
      <w:fldChar w:fldCharType="separate"/>
    </w:r>
    <w:r w:rsidR="00416486">
      <w:rPr>
        <w:b/>
        <w:noProof/>
        <w:sz w:val="18"/>
      </w:rPr>
      <w:t>11</w:t>
    </w:r>
    <w:r w:rsidRPr="00215DF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45" w:rsidRDefault="00B32B45" w:rsidP="00883988">
    <w:r>
      <w:rPr>
        <w:noProof/>
        <w:lang w:eastAsia="en-GB"/>
      </w:rPr>
      <w:drawing>
        <wp:anchor distT="0" distB="0" distL="114300" distR="114300" simplePos="0" relativeHeight="251659264" behindDoc="0" locked="1" layoutInCell="1" allowOverlap="1" wp14:anchorId="64B56349" wp14:editId="1DAEE733">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B45" w:rsidRDefault="00B32B45" w:rsidP="00215DF5">
    <w:r>
      <w:t>GE.17-</w:t>
    </w:r>
    <w:proofErr w:type="gramStart"/>
    <w:r>
      <w:t xml:space="preserve">02680 </w:t>
    </w:r>
    <w:r w:rsidR="00227733">
      <w:t xml:space="preserve"> </w:t>
    </w:r>
    <w:r>
      <w:t>(</w:t>
    </w:r>
    <w:proofErr w:type="gramEnd"/>
    <w:r>
      <w:t>E)</w:t>
    </w:r>
    <w:r w:rsidR="00227733">
      <w:t xml:space="preserve">    280317    060417</w:t>
    </w:r>
  </w:p>
  <w:p w:rsidR="00B32B45" w:rsidRPr="00215DF5" w:rsidRDefault="00B32B45" w:rsidP="00215DF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9E856C8" wp14:editId="41562CE5">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RD/C/MRT/8-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MRT/8-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B45" w:rsidRPr="00A0297D" w:rsidRDefault="00B32B45" w:rsidP="00A0297D">
      <w:pPr>
        <w:tabs>
          <w:tab w:val="right" w:pos="2155"/>
        </w:tabs>
        <w:spacing w:after="80" w:line="240" w:lineRule="auto"/>
        <w:ind w:left="680"/>
      </w:pPr>
      <w:r>
        <w:rPr>
          <w:u w:val="single"/>
        </w:rPr>
        <w:tab/>
      </w:r>
    </w:p>
  </w:footnote>
  <w:footnote w:type="continuationSeparator" w:id="0">
    <w:p w:rsidR="00B32B45" w:rsidRPr="00A0297D" w:rsidRDefault="00B32B45" w:rsidP="00A0297D">
      <w:pPr>
        <w:tabs>
          <w:tab w:val="right" w:pos="2155"/>
        </w:tabs>
        <w:spacing w:after="80" w:line="240" w:lineRule="auto"/>
        <w:ind w:left="680"/>
      </w:pPr>
      <w:r>
        <w:rPr>
          <w:u w:val="single"/>
        </w:rPr>
        <w:tab/>
      </w:r>
    </w:p>
  </w:footnote>
  <w:footnote w:id="1">
    <w:p w:rsidR="00B32B45" w:rsidRPr="00FB3FF1" w:rsidRDefault="00B32B45" w:rsidP="00215DF5">
      <w:pPr>
        <w:pStyle w:val="FootnoteText"/>
      </w:pPr>
      <w:r>
        <w:tab/>
        <w:t>*</w:t>
      </w:r>
      <w:r>
        <w:tab/>
        <w:t>The present document is being issued without formal editing.</w:t>
      </w:r>
    </w:p>
  </w:footnote>
  <w:footnote w:id="2">
    <w:p w:rsidR="00B32B45" w:rsidRPr="00FB3FF1" w:rsidRDefault="00B32B45" w:rsidP="0043727F">
      <w:pPr>
        <w:pStyle w:val="FootnoteText"/>
        <w:widowControl w:val="0"/>
        <w:tabs>
          <w:tab w:val="clear" w:pos="1021"/>
          <w:tab w:val="right" w:pos="1020"/>
        </w:tabs>
      </w:pPr>
      <w:r w:rsidRPr="00FB3FF1">
        <w:tab/>
      </w:r>
      <w:r w:rsidRPr="00FE5999">
        <w:rPr>
          <w:rStyle w:val="FootnoteReference"/>
        </w:rPr>
        <w:footnoteRef/>
      </w:r>
      <w:r>
        <w:tab/>
      </w:r>
      <w:r w:rsidRPr="00252057">
        <w:rPr>
          <w:i/>
        </w:rPr>
        <w:t>Source</w:t>
      </w:r>
      <w:r>
        <w:t xml:space="preserve">: National Statistics Office.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45" w:rsidRPr="00215DF5" w:rsidRDefault="00B32B45" w:rsidP="00215DF5">
    <w:pPr>
      <w:pStyle w:val="Header"/>
    </w:pPr>
    <w:r w:rsidRPr="00215DF5">
      <w:t>CERD/C/MRT/8-14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45" w:rsidRPr="00215DF5" w:rsidRDefault="00B32B45" w:rsidP="00215DF5">
    <w:pPr>
      <w:pStyle w:val="Header"/>
      <w:jc w:val="right"/>
    </w:pPr>
    <w:r w:rsidRPr="00215DF5">
      <w:t>CERD/C/MRT/8-14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753FC2"/>
    <w:multiLevelType w:val="hybridMultilevel"/>
    <w:tmpl w:val="CC86A442"/>
    <w:lvl w:ilvl="0" w:tplc="0CBA93C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92C7C"/>
    <w:multiLevelType w:val="hybridMultilevel"/>
    <w:tmpl w:val="9176E8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F7D064D"/>
    <w:multiLevelType w:val="hybridMultilevel"/>
    <w:tmpl w:val="D6DE84C8"/>
    <w:lvl w:ilvl="0" w:tplc="0CBA93C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1A12325"/>
    <w:multiLevelType w:val="hybridMultilevel"/>
    <w:tmpl w:val="8C08A96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0"/>
  </w:num>
  <w:num w:numId="4">
    <w:abstractNumId w:val="7"/>
  </w:num>
  <w:num w:numId="5">
    <w:abstractNumId w:val="8"/>
  </w:num>
  <w:num w:numId="6">
    <w:abstractNumId w:val="9"/>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16A5"/>
    <w:rsid w:val="00017011"/>
    <w:rsid w:val="000425B2"/>
    <w:rsid w:val="00046E92"/>
    <w:rsid w:val="0009268E"/>
    <w:rsid w:val="000A2B6C"/>
    <w:rsid w:val="000C5673"/>
    <w:rsid w:val="000D2A54"/>
    <w:rsid w:val="000D7776"/>
    <w:rsid w:val="000E4E19"/>
    <w:rsid w:val="00104968"/>
    <w:rsid w:val="001321BE"/>
    <w:rsid w:val="001460C1"/>
    <w:rsid w:val="00151CDB"/>
    <w:rsid w:val="00155429"/>
    <w:rsid w:val="001817A0"/>
    <w:rsid w:val="00192E46"/>
    <w:rsid w:val="001A6726"/>
    <w:rsid w:val="001C0480"/>
    <w:rsid w:val="001D6D9F"/>
    <w:rsid w:val="00215DF5"/>
    <w:rsid w:val="00227733"/>
    <w:rsid w:val="00247E2C"/>
    <w:rsid w:val="00251EBF"/>
    <w:rsid w:val="00252057"/>
    <w:rsid w:val="00261576"/>
    <w:rsid w:val="0028057C"/>
    <w:rsid w:val="0029525D"/>
    <w:rsid w:val="002B20BB"/>
    <w:rsid w:val="002D3567"/>
    <w:rsid w:val="002D51AE"/>
    <w:rsid w:val="002D6C53"/>
    <w:rsid w:val="002D70A4"/>
    <w:rsid w:val="002D7779"/>
    <w:rsid w:val="002F5595"/>
    <w:rsid w:val="00307688"/>
    <w:rsid w:val="00334F6A"/>
    <w:rsid w:val="00341B5C"/>
    <w:rsid w:val="00342AC8"/>
    <w:rsid w:val="00350A10"/>
    <w:rsid w:val="003543DA"/>
    <w:rsid w:val="00373540"/>
    <w:rsid w:val="003B4550"/>
    <w:rsid w:val="003E015A"/>
    <w:rsid w:val="00402A97"/>
    <w:rsid w:val="00407D01"/>
    <w:rsid w:val="00416486"/>
    <w:rsid w:val="004310EA"/>
    <w:rsid w:val="0043727F"/>
    <w:rsid w:val="00450F49"/>
    <w:rsid w:val="00461253"/>
    <w:rsid w:val="004649CB"/>
    <w:rsid w:val="004B64ED"/>
    <w:rsid w:val="005042C2"/>
    <w:rsid w:val="00526FC7"/>
    <w:rsid w:val="00533F41"/>
    <w:rsid w:val="00537935"/>
    <w:rsid w:val="00550AA6"/>
    <w:rsid w:val="00551BAC"/>
    <w:rsid w:val="005824EB"/>
    <w:rsid w:val="00593F93"/>
    <w:rsid w:val="00660386"/>
    <w:rsid w:val="0066052C"/>
    <w:rsid w:val="00665063"/>
    <w:rsid w:val="00671529"/>
    <w:rsid w:val="00696BA0"/>
    <w:rsid w:val="006A3709"/>
    <w:rsid w:val="006E797E"/>
    <w:rsid w:val="007060F9"/>
    <w:rsid w:val="007268F9"/>
    <w:rsid w:val="00735147"/>
    <w:rsid w:val="007719C3"/>
    <w:rsid w:val="007733D3"/>
    <w:rsid w:val="0077639C"/>
    <w:rsid w:val="007B03D4"/>
    <w:rsid w:val="007C52B0"/>
    <w:rsid w:val="007C6663"/>
    <w:rsid w:val="007C78FE"/>
    <w:rsid w:val="007D7ED1"/>
    <w:rsid w:val="007E49AC"/>
    <w:rsid w:val="00803E8A"/>
    <w:rsid w:val="00823D7D"/>
    <w:rsid w:val="00827F2E"/>
    <w:rsid w:val="00883988"/>
    <w:rsid w:val="00913BCC"/>
    <w:rsid w:val="009411B4"/>
    <w:rsid w:val="0099593B"/>
    <w:rsid w:val="009A2493"/>
    <w:rsid w:val="009C2E79"/>
    <w:rsid w:val="009D0139"/>
    <w:rsid w:val="009E62BF"/>
    <w:rsid w:val="009F5CDC"/>
    <w:rsid w:val="00A0297D"/>
    <w:rsid w:val="00A62201"/>
    <w:rsid w:val="00A6743E"/>
    <w:rsid w:val="00A7152F"/>
    <w:rsid w:val="00A775CF"/>
    <w:rsid w:val="00A866C7"/>
    <w:rsid w:val="00AB1EEF"/>
    <w:rsid w:val="00AC5803"/>
    <w:rsid w:val="00AD1C6D"/>
    <w:rsid w:val="00AE6429"/>
    <w:rsid w:val="00AF3D56"/>
    <w:rsid w:val="00B06045"/>
    <w:rsid w:val="00B113A3"/>
    <w:rsid w:val="00B32B45"/>
    <w:rsid w:val="00B53E9F"/>
    <w:rsid w:val="00B952DA"/>
    <w:rsid w:val="00BB2D39"/>
    <w:rsid w:val="00BD2D6D"/>
    <w:rsid w:val="00BE7BDE"/>
    <w:rsid w:val="00C01462"/>
    <w:rsid w:val="00C13198"/>
    <w:rsid w:val="00C33031"/>
    <w:rsid w:val="00C35A27"/>
    <w:rsid w:val="00C43A6E"/>
    <w:rsid w:val="00C44D5C"/>
    <w:rsid w:val="00C60391"/>
    <w:rsid w:val="00C92111"/>
    <w:rsid w:val="00CA7C70"/>
    <w:rsid w:val="00CB1FB9"/>
    <w:rsid w:val="00CC2A3B"/>
    <w:rsid w:val="00CC43B0"/>
    <w:rsid w:val="00CF0863"/>
    <w:rsid w:val="00CF36B2"/>
    <w:rsid w:val="00CF5562"/>
    <w:rsid w:val="00D116A5"/>
    <w:rsid w:val="00D23112"/>
    <w:rsid w:val="00D3552F"/>
    <w:rsid w:val="00D66732"/>
    <w:rsid w:val="00D8390F"/>
    <w:rsid w:val="00DA7116"/>
    <w:rsid w:val="00DB63B0"/>
    <w:rsid w:val="00DD1B9B"/>
    <w:rsid w:val="00DE7956"/>
    <w:rsid w:val="00E02C2B"/>
    <w:rsid w:val="00E139DF"/>
    <w:rsid w:val="00E31D8E"/>
    <w:rsid w:val="00E43A21"/>
    <w:rsid w:val="00E45B2F"/>
    <w:rsid w:val="00E45CBC"/>
    <w:rsid w:val="00E45E3B"/>
    <w:rsid w:val="00E670E4"/>
    <w:rsid w:val="00E90509"/>
    <w:rsid w:val="00E9149F"/>
    <w:rsid w:val="00E91AC6"/>
    <w:rsid w:val="00EC57FC"/>
    <w:rsid w:val="00EC7110"/>
    <w:rsid w:val="00ED6C48"/>
    <w:rsid w:val="00F65F5D"/>
    <w:rsid w:val="00F6720F"/>
    <w:rsid w:val="00F70012"/>
    <w:rsid w:val="00F71827"/>
    <w:rsid w:val="00F745B6"/>
    <w:rsid w:val="00F86A3A"/>
    <w:rsid w:val="00F921D7"/>
    <w:rsid w:val="00FA0215"/>
    <w:rsid w:val="00FA283A"/>
    <w:rsid w:val="00FA4361"/>
    <w:rsid w:val="00FE59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EDC093-7B70-419F-BB6E-84FE1E28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92E46"/>
    <w:pPr>
      <w:suppressAutoHyphens w:val="0"/>
      <w:spacing w:after="0" w:line="240" w:lineRule="auto"/>
      <w:ind w:right="0"/>
      <w:jc w:val="left"/>
      <w:outlineLvl w:val="0"/>
    </w:pPr>
    <w:rPr>
      <w:rFonts w:eastAsiaTheme="minorHAnsi"/>
      <w:lang w:eastAsia="en-US"/>
    </w:r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92E46"/>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C13198"/>
    <w:pPr>
      <w:spacing w:after="100"/>
    </w:pPr>
  </w:style>
  <w:style w:type="paragraph" w:styleId="TOC2">
    <w:name w:val="toc 2"/>
    <w:basedOn w:val="Normal"/>
    <w:next w:val="Normal"/>
    <w:autoRedefine/>
    <w:uiPriority w:val="39"/>
    <w:unhideWhenUsed/>
    <w:rsid w:val="00C13198"/>
    <w:pPr>
      <w:spacing w:after="100"/>
      <w:ind w:left="200"/>
    </w:pPr>
  </w:style>
  <w:style w:type="character" w:styleId="Hyperlink">
    <w:name w:val="Hyperlink"/>
    <w:basedOn w:val="DefaultParagraphFont"/>
    <w:uiPriority w:val="99"/>
    <w:unhideWhenUsed/>
    <w:rsid w:val="00C13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6F6B-D4E3-4F36-A37C-5803873F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31</Pages>
  <Words>12116</Words>
  <Characters>66944</Characters>
  <Application>Microsoft Office Word</Application>
  <DocSecurity>0</DocSecurity>
  <Lines>2018</Lines>
  <Paragraphs>1260</Paragraphs>
  <ScaleCrop>false</ScaleCrop>
  <HeadingPairs>
    <vt:vector size="2" baseType="variant">
      <vt:variant>
        <vt:lpstr>Title</vt:lpstr>
      </vt:variant>
      <vt:variant>
        <vt:i4>1</vt:i4>
      </vt:variant>
    </vt:vector>
  </HeadingPairs>
  <TitlesOfParts>
    <vt:vector size="1" baseType="lpstr">
      <vt:lpstr>1702680</vt:lpstr>
    </vt:vector>
  </TitlesOfParts>
  <Company>DCM</Company>
  <LinksUpToDate>false</LinksUpToDate>
  <CharactersWithSpaces>78244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1702680</dc:title>
  <dc:subject>CERD/C/MRT/8-14</dc:subject>
  <dc:creator>Moses Okello</dc:creator>
  <cp:keywords/>
  <dc:description/>
  <cp:lastModifiedBy>Maria Rosario GATMAYTAN</cp:lastModifiedBy>
  <cp:revision>2</cp:revision>
  <cp:lastPrinted>2017-04-06T08:25:00Z</cp:lastPrinted>
  <dcterms:created xsi:type="dcterms:W3CDTF">2017-04-06T09:47:00Z</dcterms:created>
  <dcterms:modified xsi:type="dcterms:W3CDTF">2017-04-06T09:47:00Z</dcterms:modified>
</cp:coreProperties>
</file>