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</w:pPr>
      <w:r>
        <w:t>Семьдесят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1913-м заседании,</w:t>
      </w:r>
    </w:p>
    <w:p w:rsidR="00000000" w:rsidRDefault="00000000">
      <w:r>
        <w:t>состоявшемся в Центральных учреждениях, Нью-Йорк, в среду, 28 марта 2000 года, в 15 ч. 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 xml:space="preserve">Председатель: </w:t>
      </w:r>
      <w:r>
        <w:rPr>
          <w:lang/>
        </w:rPr>
        <w:t>г</w:t>
      </w:r>
      <w:r>
        <w:rPr>
          <w:lang/>
        </w:rPr>
        <w:noBreakHyphen/>
      </w:r>
      <w:r>
        <w:t>н Бхагвати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jc w:val="left"/>
      </w:pPr>
      <w:r>
        <w:t>Рассмотрение докладов, представленных государствами-участниками в соо</w:t>
      </w:r>
      <w:r>
        <w:t>т</w:t>
      </w:r>
      <w:r>
        <w:t>ветствии со статьей 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ind w:left="1742" w:hanging="475"/>
        <w:jc w:val="left"/>
      </w:pPr>
      <w:r>
        <w:tab/>
        <w:t>Первоначальный доклад Хорватии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DualTxt"/>
        <w:rPr>
          <w:i/>
        </w:rPr>
      </w:pPr>
      <w:r>
        <w:rPr>
          <w:i/>
        </w:rPr>
        <w:t>Заседание открывается в 15 ч. 15 м</w:t>
      </w:r>
    </w:p>
    <w:p w:rsidR="00000000" w:rsidRDefault="00000000">
      <w:pPr>
        <w:pStyle w:val="DualTxt"/>
        <w:spacing w:after="0" w:line="120" w:lineRule="exact"/>
        <w:rPr>
          <w:i/>
          <w:sz w:val="10"/>
        </w:rPr>
      </w:pPr>
    </w:p>
    <w:p w:rsidR="00000000" w:rsidRDefault="00000000">
      <w:pPr>
        <w:pStyle w:val="DualTxt"/>
        <w:spacing w:after="0" w:line="120" w:lineRule="exact"/>
        <w:rPr>
          <w:i/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представленных государствами-участниками в соответствии со статьей 40 Пакта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>Первоначальный доклад Хорватии (продолжение)</w:t>
      </w:r>
      <w:r>
        <w:rPr>
          <w:i w:val="0"/>
        </w:rPr>
        <w:t xml:space="preserve"> (CCPR/C/HRV/99/1, CCPR/C/71/HRV)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>Перечень вопросов</w:t>
      </w:r>
      <w:r>
        <w:rPr>
          <w:i w:val="0"/>
        </w:rPr>
        <w:t xml:space="preserve"> (</w:t>
      </w:r>
      <w:r>
        <w:t>продолжение</w:t>
      </w:r>
      <w:r>
        <w:rPr>
          <w:i w:val="0"/>
        </w:rPr>
        <w:t>) (CCPR/C/71/L/HRV)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b/>
        </w:rPr>
        <w:t>Г</w:t>
      </w:r>
      <w:r>
        <w:rPr>
          <w:b/>
        </w:rPr>
        <w:noBreakHyphen/>
        <w:t>жа Шане</w:t>
      </w:r>
      <w:r>
        <w:t xml:space="preserve"> говорит, что доклад, представле</w:t>
      </w:r>
      <w:r>
        <w:t>н</w:t>
      </w:r>
      <w:r>
        <w:t>ный Хорватией, был очень полным в отношении действующего в настоящее время законодательства, но в нем отсутствовала информация о том, что на самом деле реально происходит в стране, учитывая то, что недавно закончился период ко</w:t>
      </w:r>
      <w:r>
        <w:t>н</w:t>
      </w:r>
      <w:r>
        <w:t>фликта.</w:t>
      </w:r>
    </w:p>
    <w:p w:rsidR="00000000" w:rsidRDefault="00000000">
      <w:pPr>
        <w:pStyle w:val="DualTxt"/>
      </w:pPr>
      <w:r>
        <w:t>2.</w:t>
      </w:r>
      <w:r>
        <w:tab/>
        <w:t>В своем ответе на вопрос делегация лишь в общих чертах упомянула о сложившейся ситуации в области прав человека в Хорватии. Она хотела бы получить объяснение в отношении правовых средств защиты предлагаемых любому лицу, права которого, по мнению Комитета, в соответствии с Факультативным протоколом б</w:t>
      </w:r>
      <w:r>
        <w:t>ы</w:t>
      </w:r>
      <w:r>
        <w:t>ли нарушены.</w:t>
      </w:r>
    </w:p>
    <w:p w:rsidR="00000000" w:rsidRDefault="00000000">
      <w:pPr>
        <w:pStyle w:val="DualTxt"/>
      </w:pPr>
      <w:r>
        <w:t>3.</w:t>
      </w:r>
      <w:r>
        <w:tab/>
        <w:t>Представляется, что в Хорватии Конвенция о гражданских и политических правах квалифицир</w:t>
      </w:r>
      <w:r>
        <w:t>у</w:t>
      </w:r>
      <w:r>
        <w:t>ется ниже, чем Конституция и Европейская конве</w:t>
      </w:r>
      <w:r>
        <w:t>н</w:t>
      </w:r>
      <w:r>
        <w:t>ция о защите прав человека и основных свобод (Е</w:t>
      </w:r>
      <w:r>
        <w:t>в</w:t>
      </w:r>
      <w:r>
        <w:t>ропейская конвенция по правам человека). К сож</w:t>
      </w:r>
      <w:r>
        <w:t>а</w:t>
      </w:r>
      <w:r>
        <w:t>лению, Пакт не был полностью включен во вну</w:t>
      </w:r>
      <w:r>
        <w:t>т</w:t>
      </w:r>
      <w:r>
        <w:t>реннее право или в Конституцию, особенно ст</w:t>
      </w:r>
      <w:r>
        <w:t>а</w:t>
      </w:r>
      <w:r>
        <w:t>тья 26, которая констатирует, что все лица равны перед законом. Ей хотелось бы узнать, каким обр</w:t>
      </w:r>
      <w:r>
        <w:t>а</w:t>
      </w:r>
      <w:r>
        <w:t>зом можно избежать конфликта между Конституц</w:t>
      </w:r>
      <w:r>
        <w:t>и</w:t>
      </w:r>
      <w:r>
        <w:t>ей и Пактом, учитывая различный уровень предо</w:t>
      </w:r>
      <w:r>
        <w:t>с</w:t>
      </w:r>
      <w:r>
        <w:t>тавляемой защиты в иерархическое соотношение между внутренним и международным пр</w:t>
      </w:r>
      <w:r>
        <w:t>а</w:t>
      </w:r>
      <w:r>
        <w:t>вом.</w:t>
      </w:r>
    </w:p>
    <w:p w:rsidR="00000000" w:rsidRDefault="00000000">
      <w:pPr>
        <w:pStyle w:val="DualTxt"/>
      </w:pPr>
      <w:r>
        <w:t>4.</w:t>
      </w:r>
      <w:r>
        <w:tab/>
        <w:t>Что касается вопроса 4 о возвращении беже</w:t>
      </w:r>
      <w:r>
        <w:t>н</w:t>
      </w:r>
      <w:r>
        <w:t>цев, делегация заявила, что это скорее политич</w:t>
      </w:r>
      <w:r>
        <w:t>е</w:t>
      </w:r>
      <w:r>
        <w:t>ская, а не социальная проблема. Однако не было представлено информации о типах требуемых уд</w:t>
      </w:r>
      <w:r>
        <w:t>о</w:t>
      </w:r>
      <w:r>
        <w:t>стоверений личности, и, учитывая ссылку на н</w:t>
      </w:r>
      <w:r>
        <w:t>а</w:t>
      </w:r>
      <w:r>
        <w:t>циональные меньшинства в Конституции, было бы интересно узнать о масштабах влияния концепции меньшинств на концепцию национальности. В ст</w:t>
      </w:r>
      <w:r>
        <w:t>а</w:t>
      </w:r>
      <w:r>
        <w:t>тье 12.4 Пакта говорится, что никто не может быть произвольно лишен права на въезд в свою собс</w:t>
      </w:r>
      <w:r>
        <w:t>т</w:t>
      </w:r>
      <w:r>
        <w:t>венную страну. Однако в этом отношении статья 32 Конституции касается скорее граждан, а не лиц, и поэтому было бы целесообразно узнать критерии для получения гражданства и удостоверений личн</w:t>
      </w:r>
      <w:r>
        <w:t>о</w:t>
      </w:r>
      <w:r>
        <w:t>сти, а также существуют ли пути выяснения, явл</w:t>
      </w:r>
      <w:r>
        <w:t>я</w:t>
      </w:r>
      <w:r>
        <w:t>ется ли лицо, которое хотело бы воспользоваться правом на возвращение в соответствии со стат</w:t>
      </w:r>
      <w:r>
        <w:t>ь</w:t>
      </w:r>
      <w:r>
        <w:t>ей 12.4 сербского или просто хорватского происх</w:t>
      </w:r>
      <w:r>
        <w:t>о</w:t>
      </w:r>
      <w:r>
        <w:t>ждения.</w:t>
      </w:r>
    </w:p>
    <w:p w:rsidR="00000000" w:rsidRDefault="00000000">
      <w:pPr>
        <w:pStyle w:val="DualTxt"/>
      </w:pPr>
      <w:r>
        <w:t>5.</w:t>
      </w:r>
      <w:r>
        <w:tab/>
        <w:t>Из французского варианта пункта 160 доклада (CCPR/C/H</w:t>
      </w:r>
      <w:r>
        <w:rPr>
          <w:lang w:val="en-US"/>
        </w:rPr>
        <w:t>R</w:t>
      </w:r>
      <w:r>
        <w:t>V/99/1) следует, что дети в возрасте 16 лет могут быть призваны в вооруженные силы, и важно, чтобы делегация разъяснила этот м</w:t>
      </w:r>
      <w:r>
        <w:t>о</w:t>
      </w:r>
      <w:r>
        <w:t>мент.</w:t>
      </w:r>
    </w:p>
    <w:p w:rsidR="00000000" w:rsidRDefault="00000000">
      <w:pPr>
        <w:pStyle w:val="DualTxt"/>
      </w:pPr>
      <w:r>
        <w:t>6.</w:t>
      </w:r>
      <w:r>
        <w:tab/>
        <w:t>В докладе представляется большой объем и</w:t>
      </w:r>
      <w:r>
        <w:t>н</w:t>
      </w:r>
      <w:r>
        <w:t>формации, касающейся задержания до суда</w:t>
      </w:r>
      <w:r>
        <w:rPr>
          <w:lang w:val="en-US"/>
        </w:rPr>
        <w:t>,</w:t>
      </w:r>
      <w:r>
        <w:t xml:space="preserve"> в ко</w:t>
      </w:r>
      <w:r>
        <w:t>м</w:t>
      </w:r>
      <w:r>
        <w:t>ментариях в соответствии со статьей 26 Пакта, а не в соответствии со статьей 9, где такая информация должна быть включена. В пункте 618 доклада дел</w:t>
      </w:r>
      <w:r>
        <w:t>а</w:t>
      </w:r>
      <w:r>
        <w:t>ется ссылка на положения о задержании, содерж</w:t>
      </w:r>
      <w:r>
        <w:t>а</w:t>
      </w:r>
      <w:r>
        <w:t>щиеся в законе об уголовном судопроизводстве, к</w:t>
      </w:r>
      <w:r>
        <w:t>о</w:t>
      </w:r>
      <w:r>
        <w:t>торое может быть обязательным или выборочным, и она хотела бы получить дополнительную информ</w:t>
      </w:r>
      <w:r>
        <w:t>а</w:t>
      </w:r>
      <w:r>
        <w:t>цию о тех случаях, когда задержание является об</w:t>
      </w:r>
      <w:r>
        <w:t>я</w:t>
      </w:r>
      <w:r>
        <w:t>зательным.</w:t>
      </w:r>
    </w:p>
    <w:p w:rsidR="00000000" w:rsidRDefault="00000000">
      <w:pPr>
        <w:pStyle w:val="DualTxt"/>
      </w:pPr>
      <w:r>
        <w:t>7.</w:t>
      </w:r>
      <w:r>
        <w:tab/>
        <w:t>Согласно пункту 619 наказание за то, что лицо не предстало перед ведущим расследование судьей в течение 24 часов, является не очень строгим; в целом это должно приводить к немедленному осв</w:t>
      </w:r>
      <w:r>
        <w:t>о</w:t>
      </w:r>
      <w:r>
        <w:t>бождению задержанного лица. Поэтому она была бы благодарна за предоставление дополнительной информации о режиме применения задержания до суда; например, о стадии, на которой адвокат может подключиться к делу о том, имеет ли арестованный возможность получить помощь врача и практикуе</w:t>
      </w:r>
      <w:r>
        <w:t>т</w:t>
      </w:r>
      <w:r>
        <w:t>ся ли одиночное з</w:t>
      </w:r>
      <w:r>
        <w:t>а</w:t>
      </w:r>
      <w:r>
        <w:t>ключение.</w:t>
      </w:r>
    </w:p>
    <w:p w:rsidR="00000000" w:rsidRDefault="00000000">
      <w:pPr>
        <w:pStyle w:val="DualTxt"/>
      </w:pPr>
      <w:r>
        <w:t>8.</w:t>
      </w:r>
      <w:r>
        <w:tab/>
        <w:t>Касаясь положений Пакта о праве на жизнь и о жестоком, бесчеловечном и унижающем достоинс</w:t>
      </w:r>
      <w:r>
        <w:t>т</w:t>
      </w:r>
      <w:r>
        <w:t>во обращении в одном из последних дел</w:t>
      </w:r>
      <w:r>
        <w:rPr>
          <w:lang w:val="en-US"/>
        </w:rPr>
        <w:t>,</w:t>
      </w:r>
      <w:r>
        <w:t xml:space="preserve"> Констит</w:t>
      </w:r>
      <w:r>
        <w:t>у</w:t>
      </w:r>
      <w:r>
        <w:t>ционный суд постановил, что закон об амнистии 1996 год не соответствует Конституции или межд</w:t>
      </w:r>
      <w:r>
        <w:t>у</w:t>
      </w:r>
      <w:r>
        <w:t>народным обязательствам Хорватии, и она хотела бы получить дополнительную информацию в этом отн</w:t>
      </w:r>
      <w:r>
        <w:t>о</w:t>
      </w:r>
      <w:r>
        <w:t>шении.</w:t>
      </w:r>
    </w:p>
    <w:p w:rsidR="00000000" w:rsidRDefault="00000000">
      <w:pPr>
        <w:pStyle w:val="DualTxt"/>
      </w:pPr>
      <w:r>
        <w:t>9.</w:t>
      </w:r>
      <w:r>
        <w:tab/>
        <w:t>Доклад и Конституция являются неполными в том, что касается судебной системы (в последнее время произошли очень важные изменения</w:t>
      </w:r>
      <w:r>
        <w:rPr>
          <w:lang w:val="en-US"/>
        </w:rPr>
        <w:t>,</w:t>
      </w:r>
      <w:r>
        <w:t xml:space="preserve"> и хот</w:t>
      </w:r>
      <w:r>
        <w:t>е</w:t>
      </w:r>
      <w:r>
        <w:t>лось бы получить дополнительную информацию о том, как назначаются судьи, о судебной карьере, о судебном режиме и о различии между адвокатами и судьями</w:t>
      </w:r>
      <w:r>
        <w:rPr>
          <w:lang/>
        </w:rPr>
        <w:t>)</w:t>
      </w:r>
      <w:r>
        <w:t>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Велла </w:t>
      </w:r>
      <w:r>
        <w:t>говорит, что он ознакомился с Ко</w:t>
      </w:r>
      <w:r>
        <w:t>н</w:t>
      </w:r>
      <w:r>
        <w:t>ституцией, проект которой хорошо составлен и п</w:t>
      </w:r>
      <w:r>
        <w:t>о</w:t>
      </w:r>
      <w:r>
        <w:t>казывает направление, в котором движется Хорв</w:t>
      </w:r>
      <w:r>
        <w:t>а</w:t>
      </w:r>
      <w:r>
        <w:t>тия. Однако Комитет просит представить больше информации о том, как ее положения воплощаются в жизнь в целях защиты и поощрения прав челов</w:t>
      </w:r>
      <w:r>
        <w:t>е</w:t>
      </w:r>
      <w:r>
        <w:t>ка, поскольку существуют различия между теорией и практ</w:t>
      </w:r>
      <w:r>
        <w:t>и</w:t>
      </w:r>
      <w:r>
        <w:t>кой.</w:t>
      </w:r>
    </w:p>
    <w:p w:rsidR="00000000" w:rsidRDefault="00000000">
      <w:pPr>
        <w:pStyle w:val="DualTxt"/>
      </w:pPr>
      <w:r>
        <w:t>11.</w:t>
      </w:r>
      <w:r>
        <w:tab/>
        <w:t>В пункте 29 доклада приводятся две таблицы; одна касается уголовных преступлений против св</w:t>
      </w:r>
      <w:r>
        <w:t>о</w:t>
      </w:r>
      <w:r>
        <w:t>боды граждан, а другая — уголовных преступлений против основных прав граждан. Однако перечисл</w:t>
      </w:r>
      <w:r>
        <w:t>я</w:t>
      </w:r>
      <w:r>
        <w:t>ются лишь несколько уголовных преступлений и гораздо большее число проходит под двумя заг</w:t>
      </w:r>
      <w:r>
        <w:t>о</w:t>
      </w:r>
      <w:r>
        <w:t>ловками. Подобным же образом перечислены лишь несколько судебных дел и еще меньше дел, связа</w:t>
      </w:r>
      <w:r>
        <w:t>н</w:t>
      </w:r>
      <w:r>
        <w:t>ных с обвинительными актами и обвинительными приговорами. Тем не менее Комитет получил до</w:t>
      </w:r>
      <w:r>
        <w:t>к</w:t>
      </w:r>
      <w:r>
        <w:t>лады из других источников, касающиеся многочи</w:t>
      </w:r>
      <w:r>
        <w:t>с</w:t>
      </w:r>
      <w:r>
        <w:t>ленных преступлений, совершенных компетентн</w:t>
      </w:r>
      <w:r>
        <w:t>ы</w:t>
      </w:r>
      <w:r>
        <w:t>ми лицами, и где практически не было ничего сд</w:t>
      </w:r>
      <w:r>
        <w:t>е</w:t>
      </w:r>
      <w:r>
        <w:t>лано для расследования этих случаев или для того, чтобы виновные предстали перед судом. Комитет хотел бы получить дополнительную информацию о случаях злоупотреблений, которые имели место при исполнении служебных обязанностей. Они хотел бы получить фактическую и статистическую информ</w:t>
      </w:r>
      <w:r>
        <w:t>а</w:t>
      </w:r>
      <w:r>
        <w:t>цию о роде совершенных злоупотреблений, кем они были совершены и о наказаниях, включая сроки тюремного заключения, которые фактически были опр</w:t>
      </w:r>
      <w:r>
        <w:t>е</w:t>
      </w:r>
      <w:r>
        <w:t>делены.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Г</w:t>
      </w:r>
      <w:r>
        <w:rPr>
          <w:b/>
        </w:rPr>
        <w:noBreakHyphen/>
        <w:t>н Ривас Посада</w:t>
      </w:r>
      <w:r>
        <w:t xml:space="preserve"> говорит, что он хотел бы сослаться на некоторые аспекты, касающиеся ст</w:t>
      </w:r>
      <w:r>
        <w:t>а</w:t>
      </w:r>
      <w:r>
        <w:t>тьи 4 Конвенции о чрезвычайном положении и о том, как они трактуются в хорватском законодател</w:t>
      </w:r>
      <w:r>
        <w:t>ь</w:t>
      </w:r>
      <w:r>
        <w:t>стве. Первоначальный доклад и ответы делегации на соответствующие вопросы вносят неразбериху в отношении точного характера чрезвычайного пол</w:t>
      </w:r>
      <w:r>
        <w:t>о</w:t>
      </w:r>
      <w:r>
        <w:t>жения в Хорватии и его влиянии на уважение и з</w:t>
      </w:r>
      <w:r>
        <w:t>а</w:t>
      </w:r>
      <w:r>
        <w:t>щиту прав человека. Статья 17 Конституции упом</w:t>
      </w:r>
      <w:r>
        <w:t>и</w:t>
      </w:r>
      <w:r>
        <w:t>нает ситуации, когда некоторые права могут быть ограничены без упоминания выражения «чрезв</w:t>
      </w:r>
      <w:r>
        <w:t>ы</w:t>
      </w:r>
      <w:r>
        <w:t>чайное положение». Было бы полезным узнать о правовых средствах защиты, которые предоставл</w:t>
      </w:r>
      <w:r>
        <w:t>я</w:t>
      </w:r>
      <w:r>
        <w:t>ются тем, кто считает, что их права были нарушены в результате объявления чрезвыча</w:t>
      </w:r>
      <w:r>
        <w:t>й</w:t>
      </w:r>
      <w:r>
        <w:t>ного положения.</w:t>
      </w:r>
    </w:p>
    <w:p w:rsidR="00000000" w:rsidRDefault="00000000">
      <w:pPr>
        <w:pStyle w:val="DualTxt"/>
      </w:pPr>
      <w:r>
        <w:t>13.</w:t>
      </w:r>
      <w:r>
        <w:tab/>
        <w:t>В отношении вопроса 8 о имеющихся прав</w:t>
      </w:r>
      <w:r>
        <w:t>о</w:t>
      </w:r>
      <w:r>
        <w:t>вых средствах защиты при подаче жалобы против правоохранительных органов (см. пункт 12 выше) дается информация о деталях, касающихся непр</w:t>
      </w:r>
      <w:r>
        <w:t>а</w:t>
      </w:r>
      <w:r>
        <w:t>вильного поведения полиции, но положение в о</w:t>
      </w:r>
      <w:r>
        <w:t>т</w:t>
      </w:r>
      <w:r>
        <w:t>ношении нарушений, допускаемых вооруженными силами, требует дальнейшего разъяснения; какие были приняты меры для наказания тех, кто виновен, и в отношении возмещения ущерба?</w:t>
      </w: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Медина Кирога </w:t>
      </w:r>
      <w:r>
        <w:t>говорит, что Комитет получил значительную информацию о событиях, которые произошли в 90</w:t>
      </w:r>
      <w:r>
        <w:noBreakHyphen/>
        <w:t>х годах, когда жертвами обычно были сербы; например, разрушение домов в 1995 году, сожжение домов возвращенцев в 1998 году и выселение семей специальными по</w:t>
      </w:r>
      <w:r>
        <w:t>д</w:t>
      </w:r>
      <w:r>
        <w:t>разделениями полиции или армии. Однако он не п</w:t>
      </w:r>
      <w:r>
        <w:t>о</w:t>
      </w:r>
      <w:r>
        <w:t>лучил информации о том, что произошло с автор</w:t>
      </w:r>
      <w:r>
        <w:t>а</w:t>
      </w:r>
      <w:r>
        <w:t>ми таких злоупотреблений, и представляется, что они пользуются полной безнаказанностью, как и в других случаях, касающихся исчезновения, убийств, пыток и бесчеловечного и жестокого о</w:t>
      </w:r>
      <w:r>
        <w:t>б</w:t>
      </w:r>
      <w:r>
        <w:t>ращения. Прилагаются широкомасштабные усилия, направленные на то, чтобы покончить с безнаказа</w:t>
      </w:r>
      <w:r>
        <w:t>н</w:t>
      </w:r>
      <w:r>
        <w:t>ностью, и хотелось бы узнать, почему ничего не д</w:t>
      </w:r>
      <w:r>
        <w:t>е</w:t>
      </w:r>
      <w:r>
        <w:t>лается, почему никому в Хорватии не был вынесен приговор и что г</w:t>
      </w:r>
      <w:r>
        <w:t>о</w:t>
      </w:r>
      <w:r>
        <w:t>сударство предполагает сделать.</w:t>
      </w:r>
    </w:p>
    <w:p w:rsidR="00000000" w:rsidRDefault="00000000">
      <w:pPr>
        <w:pStyle w:val="DualTxt"/>
      </w:pPr>
      <w:r>
        <w:t>15.</w:t>
      </w:r>
      <w:r>
        <w:tab/>
        <w:t>Комитет хотел бы выяснить, рассматривает ли Хорватия вопрос о проведении в жизнь закона об амнистии и будет ли принимать этот закон во вн</w:t>
      </w:r>
      <w:r>
        <w:t>и</w:t>
      </w:r>
      <w:r>
        <w:t>мание все положения международного права, к</w:t>
      </w:r>
      <w:r>
        <w:t>а</w:t>
      </w:r>
      <w:r>
        <w:t>сающиеся невозможности амнистии в случаях о</w:t>
      </w:r>
      <w:r>
        <w:t>п</w:t>
      </w:r>
      <w:r>
        <w:t>ределенных преступл</w:t>
      </w:r>
      <w:r>
        <w:t>е</w:t>
      </w:r>
      <w:r>
        <w:t>ний.</w:t>
      </w:r>
    </w:p>
    <w:p w:rsidR="00000000" w:rsidRDefault="00000000">
      <w:pPr>
        <w:pStyle w:val="DualTxt"/>
      </w:pPr>
      <w:r>
        <w:t>16.</w:t>
      </w:r>
      <w:r>
        <w:tab/>
        <w:t>Представляется, что Конституция, которая в Хорватии котируется выше, чем Пакт, определяет некоторые права, которые не могут быть приост</w:t>
      </w:r>
      <w:r>
        <w:t>а</w:t>
      </w:r>
      <w:r>
        <w:t>новлены во время введения чрезвычайного полож</w:t>
      </w:r>
      <w:r>
        <w:t>е</w:t>
      </w:r>
      <w:r>
        <w:t>ния, но не упоминает права, воплощенные в стат</w:t>
      </w:r>
      <w:r>
        <w:t>ь</w:t>
      </w:r>
      <w:r>
        <w:t>ях 8 или 11 Пакта; поэтому она хотела бы знать, существуют ли средства защиты, должно ли осущ</w:t>
      </w:r>
      <w:r>
        <w:t>е</w:t>
      </w:r>
      <w:r>
        <w:t>ствляться приостановление действия прав, защ</w:t>
      </w:r>
      <w:r>
        <w:t>и</w:t>
      </w:r>
      <w:r>
        <w:t>щаемых в этих двух статьях.</w:t>
      </w:r>
    </w:p>
    <w:p w:rsidR="00000000" w:rsidRDefault="00000000">
      <w:pPr>
        <w:pStyle w:val="DualTxt"/>
      </w:pPr>
      <w:r>
        <w:t>17.</w:t>
      </w:r>
      <w:r>
        <w:tab/>
        <w:t>В соответствии с пунктом 189 доклада в д</w:t>
      </w:r>
      <w:r>
        <w:t>о</w:t>
      </w:r>
      <w:r>
        <w:t>полнение к аресту, вытекающему из ордера на арест, закон об уголовном судопроизводстве также регулирует арест как полицейскую меру во время расследования уголовных преступлений. Такое п</w:t>
      </w:r>
      <w:r>
        <w:t>о</w:t>
      </w:r>
      <w:r>
        <w:t>ведение не соответствует статье 9, и Комитет хотел бы получить дополнительную информацию по эт</w:t>
      </w:r>
      <w:r>
        <w:t>о</w:t>
      </w:r>
      <w:r>
        <w:t>му вопросу.</w:t>
      </w:r>
    </w:p>
    <w:p w:rsidR="00000000" w:rsidRDefault="00000000">
      <w:pPr>
        <w:pStyle w:val="DualTxt"/>
      </w:pPr>
      <w:r>
        <w:t>18.</w:t>
      </w:r>
      <w:r>
        <w:tab/>
        <w:t>Касаясь статьи 14 Конвенции о процедуре ра</w:t>
      </w:r>
      <w:r>
        <w:t>с</w:t>
      </w:r>
      <w:r>
        <w:t>смотрения дела по существу, она выражает удивл</w:t>
      </w:r>
      <w:r>
        <w:t>е</w:t>
      </w:r>
      <w:r>
        <w:t>ние по поводу того, что в таблице, представленной в письменном ответе на вопрос 8, высокая доля с</w:t>
      </w:r>
      <w:r>
        <w:t>у</w:t>
      </w:r>
      <w:r>
        <w:t>дебных разбирательств была приостановлена. Дел</w:t>
      </w:r>
      <w:r>
        <w:t>е</w:t>
      </w:r>
      <w:r>
        <w:t>гация должна пояснить, связаны ли причины прио</w:t>
      </w:r>
      <w:r>
        <w:t>с</w:t>
      </w:r>
      <w:r>
        <w:t>тановления этих дел с жалобами в отношении того, что задержки в судопроизводстве приводят к пр</w:t>
      </w:r>
      <w:r>
        <w:t>и</w:t>
      </w:r>
      <w:r>
        <w:t>менению закона о давности уголовного преследов</w:t>
      </w:r>
      <w:r>
        <w:t>а</w:t>
      </w:r>
      <w:r>
        <w:t>ния и приостановлению судебного разбирательства и в каких случаях задержка была не виной лица, к</w:t>
      </w:r>
      <w:r>
        <w:t>о</w:t>
      </w:r>
      <w:r>
        <w:t>торое направило жалобу, но виной с</w:t>
      </w:r>
      <w:r>
        <w:t>у</w:t>
      </w:r>
      <w:r>
        <w:t>дов.</w:t>
      </w:r>
    </w:p>
    <w:p w:rsidR="00000000" w:rsidRDefault="00000000">
      <w:pPr>
        <w:pStyle w:val="DualTxt"/>
      </w:pPr>
      <w:r>
        <w:t>19.</w:t>
      </w:r>
      <w:r>
        <w:tab/>
        <w:t>Она с удивлением узнала из пункта 343 докл</w:t>
      </w:r>
      <w:r>
        <w:t>а</w:t>
      </w:r>
      <w:r>
        <w:t>да, что несовершеннолетние могут приговариваться к тюремному заключению на срок до 10 лет, и хот</w:t>
      </w:r>
      <w:r>
        <w:t>е</w:t>
      </w:r>
      <w:r>
        <w:t>ла бы услышать коммент</w:t>
      </w:r>
      <w:r>
        <w:t>а</w:t>
      </w:r>
      <w:r>
        <w:t>рии делегации.</w:t>
      </w: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</w:t>
      </w:r>
      <w:r>
        <w:rPr>
          <w:b/>
        </w:rPr>
        <w:noBreakHyphen/>
        <w:t>н Андо</w:t>
      </w:r>
      <w:r>
        <w:t xml:space="preserve"> говорит, что Ховартия является о</w:t>
      </w:r>
      <w:r>
        <w:t>д</w:t>
      </w:r>
      <w:r>
        <w:t>ной из немногих стран, которые «стали правопр</w:t>
      </w:r>
      <w:r>
        <w:t>е</w:t>
      </w:r>
      <w:r>
        <w:t>емниками» по отношению к Пакту после падения предыдущего правового режима, что позволило и</w:t>
      </w:r>
      <w:r>
        <w:t>з</w:t>
      </w:r>
      <w:r>
        <w:t>бежать правового вакуума, который имел место м</w:t>
      </w:r>
      <w:r>
        <w:t>е</w:t>
      </w:r>
      <w:r>
        <w:t>жду падением режима и тем временем, когда новые независимые государства решили «присоединиться к нему».</w:t>
      </w:r>
    </w:p>
    <w:p w:rsidR="00000000" w:rsidRDefault="00000000">
      <w:pPr>
        <w:pStyle w:val="DualTxt"/>
      </w:pPr>
      <w:r>
        <w:t>21.</w:t>
      </w:r>
      <w:r>
        <w:tab/>
        <w:t>Что касается статуса Пакта во внутренней правовой системе, он исходит из того, что Хорватия избирает монистический подход, который объясн</w:t>
      </w:r>
      <w:r>
        <w:t>я</w:t>
      </w:r>
      <w:r>
        <w:t>ет, почему существуют лишь косвенные ссылки на Пакт в юриспруденции Конституционного суда. Это поднимает определенные проблемы, например в о</w:t>
      </w:r>
      <w:r>
        <w:t>т</w:t>
      </w:r>
      <w:r>
        <w:t>ношении статьи 4 Пакта о чрезвычайном полож</w:t>
      </w:r>
      <w:r>
        <w:t>е</w:t>
      </w:r>
      <w:r>
        <w:t>нии, поскольку страна находилась в чрезвычайном положении с момента получения независимости. В статье 17 Конституции говорится, что масштаб о</w:t>
      </w:r>
      <w:r>
        <w:t>г</w:t>
      </w:r>
      <w:r>
        <w:t>раничений индивидуальных прав и свобод должен соответствовать «характеру опасности» и что этот вопрос решается большинством в две трети голосов членов парламента или президентским указом; др</w:t>
      </w:r>
      <w:r>
        <w:t>у</w:t>
      </w:r>
      <w:r>
        <w:t>гими словами, они могут решать масштаб умаления прав, установленных в Пакте, в то время как пол</w:t>
      </w:r>
      <w:r>
        <w:t>о</w:t>
      </w:r>
      <w:r>
        <w:t>жения статьи 4 Пакта, гораздо более стр</w:t>
      </w:r>
      <w:r>
        <w:t>о</w:t>
      </w:r>
      <w:r>
        <w:t>ги.</w:t>
      </w:r>
    </w:p>
    <w:p w:rsidR="00000000" w:rsidRDefault="00000000">
      <w:pPr>
        <w:pStyle w:val="DualTxt"/>
      </w:pPr>
      <w:r>
        <w:t>22.</w:t>
      </w:r>
      <w:r>
        <w:tab/>
        <w:t>Он спрашивает, почему информация о суде</w:t>
      </w:r>
      <w:r>
        <w:t>б</w:t>
      </w:r>
      <w:r>
        <w:t>ных властях и справедливых судебных разбирател</w:t>
      </w:r>
      <w:r>
        <w:t>ь</w:t>
      </w:r>
      <w:r>
        <w:t>ствах, содержащаяся в пункте 611 и далее, в отн</w:t>
      </w:r>
      <w:r>
        <w:t>о</w:t>
      </w:r>
      <w:r>
        <w:t>шении статьи 26 Пакта не была представлена в с</w:t>
      </w:r>
      <w:r>
        <w:t>о</w:t>
      </w:r>
      <w:r>
        <w:t>ответствии со статьей 14. Было бы также полезно для Комитета получить более подробную информ</w:t>
      </w:r>
      <w:r>
        <w:t>а</w:t>
      </w:r>
      <w:r>
        <w:t>цию о составе коллегии адвокатов, ее независим</w:t>
      </w:r>
      <w:r>
        <w:t>о</w:t>
      </w:r>
      <w:r>
        <w:t>сти от правительства и квалификации, необходимой для принятия в ее чл</w:t>
      </w:r>
      <w:r>
        <w:t>е</w:t>
      </w:r>
      <w:r>
        <w:t>ны.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Г-н Ширер</w:t>
      </w:r>
      <w:r>
        <w:t xml:space="preserve"> говорит, что согласно информ</w:t>
      </w:r>
      <w:r>
        <w:t>а</w:t>
      </w:r>
      <w:r>
        <w:t>ции, полученной из других источников, отмечалось значительное улучшение в области прав человека на протяжении последних двух лет. Не умаляя необх</w:t>
      </w:r>
      <w:r>
        <w:t>о</w:t>
      </w:r>
      <w:r>
        <w:t>димости преследовать военные преступления как внутри страны, так и с помощью Международного уголовного трибунала для бывшей Югославии, он считает, что необходимо сконцентрировать вним</w:t>
      </w:r>
      <w:r>
        <w:t>а</w:t>
      </w:r>
      <w:r>
        <w:t>ние на настоящем и будущем, не слишком сосред</w:t>
      </w:r>
      <w:r>
        <w:t>о</w:t>
      </w:r>
      <w:r>
        <w:t>точивая свое внимание на трагических событиях прошл</w:t>
      </w:r>
      <w:r>
        <w:t>о</w:t>
      </w:r>
      <w:r>
        <w:t>го.</w:t>
      </w:r>
    </w:p>
    <w:p w:rsidR="00000000" w:rsidRDefault="00000000">
      <w:pPr>
        <w:pStyle w:val="DualTxt"/>
      </w:pPr>
      <w:r>
        <w:t>24.</w:t>
      </w:r>
      <w:r>
        <w:tab/>
        <w:t>Касаясь ответов на вопрос 4 перечня вопросов о хорватских беженцах сербского происхождения, он хотел бы знать, каково гражданство тех, кто р</w:t>
      </w:r>
      <w:r>
        <w:t>о</w:t>
      </w:r>
      <w:r>
        <w:t>дился на территории Хорватии, когда она была ч</w:t>
      </w:r>
      <w:r>
        <w:t>а</w:t>
      </w:r>
      <w:r>
        <w:t>стью Союзной Республики Югославии, сейчас, к</w:t>
      </w:r>
      <w:r>
        <w:t>о</w:t>
      </w:r>
      <w:r>
        <w:t>гда было создано отдельное и независимое Хорва</w:t>
      </w:r>
      <w:r>
        <w:t>т</w:t>
      </w:r>
      <w:r>
        <w:t>ское государство. Статья 9 Конституции констат</w:t>
      </w:r>
      <w:r>
        <w:t>и</w:t>
      </w:r>
      <w:r>
        <w:t>рует, что вопросы гражданства отсылаются к зак</w:t>
      </w:r>
      <w:r>
        <w:t>о</w:t>
      </w:r>
      <w:r>
        <w:t>ну; однако он хотел бы знать, какие требования предъявляются к гражданству и существуют ли к</w:t>
      </w:r>
      <w:r>
        <w:t>а</w:t>
      </w:r>
      <w:r>
        <w:t>кие-либо вопросы правопреемства государства в отношении гражданства лиц сербского происхожд</w:t>
      </w:r>
      <w:r>
        <w:t>е</w:t>
      </w:r>
      <w:r>
        <w:t>ния, которые родились в Хорватии, но которые были перемещены во время войны и в настоящее время пытаются во</w:t>
      </w:r>
      <w:r>
        <w:t>з</w:t>
      </w:r>
      <w:r>
        <w:t>вратиться.</w:t>
      </w:r>
    </w:p>
    <w:p w:rsidR="00000000" w:rsidRDefault="00000000">
      <w:pPr>
        <w:pStyle w:val="DualTxt"/>
      </w:pPr>
      <w:r>
        <w:t>25.</w:t>
      </w:r>
      <w:r>
        <w:tab/>
        <w:t>Статья 15 Конституции говорит, что нации и меньшинства должны иметь равные права: он был бы признателен делегации за определение слова «нации» в этом контексте.</w:t>
      </w:r>
    </w:p>
    <w:p w:rsidR="00000000" w:rsidRDefault="00000000">
      <w:pPr>
        <w:pStyle w:val="DualTxt"/>
      </w:pPr>
      <w:r>
        <w:t>26.</w:t>
      </w:r>
      <w:r>
        <w:tab/>
        <w:t>Многие сербы и представители других мен</w:t>
      </w:r>
      <w:r>
        <w:t>ь</w:t>
      </w:r>
      <w:r>
        <w:t>шинств, которые бежали из Хорватии во время во</w:t>
      </w:r>
      <w:r>
        <w:t>й</w:t>
      </w:r>
      <w:r>
        <w:t>ны, потеряли свои документы, и было бы полезно иметь информацию об усилиях, направленных на реинтеграцию их в хорватское о</w:t>
      </w:r>
      <w:r>
        <w:t>б</w:t>
      </w:r>
      <w:r>
        <w:t>щество.</w:t>
      </w:r>
    </w:p>
    <w:p w:rsidR="00000000" w:rsidRDefault="00000000">
      <w:pPr>
        <w:pStyle w:val="DualTxt"/>
      </w:pPr>
      <w:r>
        <w:t>27.</w:t>
      </w:r>
      <w:r>
        <w:tab/>
        <w:t>Наконец, в связи с замечанием делегации, что Хорватия страдает от «передозировки истории», он был бы признателен, если бы делегация информ</w:t>
      </w:r>
      <w:r>
        <w:t>и</w:t>
      </w:r>
      <w:r>
        <w:t>ровала Комитет о том, уделялось ли какое-либо внимание разработке национального плана прим</w:t>
      </w:r>
      <w:r>
        <w:t>и</w:t>
      </w:r>
      <w:r>
        <w:t>рения для всех слоев, который бы шел дальше о</w:t>
      </w:r>
      <w:r>
        <w:t>п</w:t>
      </w:r>
      <w:r>
        <w:t>ределения уголовной ответственности и распр</w:t>
      </w:r>
      <w:r>
        <w:t>о</w:t>
      </w:r>
      <w:r>
        <w:t>странялся бы на все общество для того, чтобы п</w:t>
      </w:r>
      <w:r>
        <w:t>о</w:t>
      </w:r>
      <w:r>
        <w:t>мочь н</w:t>
      </w:r>
      <w:r>
        <w:t>а</w:t>
      </w:r>
      <w:r>
        <w:t>ции двигаться вперед.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Г-н Солари Иригойен</w:t>
      </w:r>
      <w:r>
        <w:t xml:space="preserve"> выражает признател</w:t>
      </w:r>
      <w:r>
        <w:t>ь</w:t>
      </w:r>
      <w:r>
        <w:t>ность правительству Хорватии за направление дел</w:t>
      </w:r>
      <w:r>
        <w:t>е</w:t>
      </w:r>
      <w:r>
        <w:t>гации такого высокого уровня для представления ее первоначального доклада. Он с огромным интер</w:t>
      </w:r>
      <w:r>
        <w:t>е</w:t>
      </w:r>
      <w:r>
        <w:t>сом выслушал анализ событий, которые привели к выходу Хорватии из бывшей Югославии и, в посл</w:t>
      </w:r>
      <w:r>
        <w:t>е</w:t>
      </w:r>
      <w:r>
        <w:t>дующем, из вооруженного конфликта. Находясь в составе миссии по поддержанию мира на террит</w:t>
      </w:r>
      <w:r>
        <w:t>о</w:t>
      </w:r>
      <w:r>
        <w:t>риях бывшей Югославии в течение этого периода, он был свидетелем страданий хорватов в лагере б</w:t>
      </w:r>
      <w:r>
        <w:t>е</w:t>
      </w:r>
      <w:r>
        <w:t>женцев в Вуковаре вблизи так называемой Сербской Республики Краины.</w:t>
      </w:r>
    </w:p>
    <w:p w:rsidR="00000000" w:rsidRDefault="00000000">
      <w:pPr>
        <w:pStyle w:val="DualTxt"/>
      </w:pPr>
      <w:r>
        <w:t>29.</w:t>
      </w:r>
      <w:r>
        <w:tab/>
        <w:t>В настоящее время в Хорватии существует н</w:t>
      </w:r>
      <w:r>
        <w:t>о</w:t>
      </w:r>
      <w:r>
        <w:t>вое правительство. Он приветствует конституцио</w:t>
      </w:r>
      <w:r>
        <w:t>н</w:t>
      </w:r>
      <w:r>
        <w:t>ные реформы, направленные на более широкое ра</w:t>
      </w:r>
      <w:r>
        <w:t>з</w:t>
      </w:r>
      <w:r>
        <w:t>витие демократии.</w:t>
      </w:r>
    </w:p>
    <w:p w:rsidR="00000000" w:rsidRDefault="00000000">
      <w:pPr>
        <w:pStyle w:val="DualTxt"/>
      </w:pPr>
      <w:r>
        <w:t>30.</w:t>
      </w:r>
      <w:r>
        <w:tab/>
        <w:t>В то же время вызывает озабоченность, что власти продолжают оказывать противодействие возвращению многих тысяч этнических сербов, к</w:t>
      </w:r>
      <w:r>
        <w:t>о</w:t>
      </w:r>
      <w:r>
        <w:t>торые покинули Хорватию и стали беженцами в Союзной Республике Югославии и в сербском ан</w:t>
      </w:r>
      <w:r>
        <w:t>к</w:t>
      </w:r>
      <w:r>
        <w:t>лаве в Боснии. По сообщениям, эти лица испыт</w:t>
      </w:r>
      <w:r>
        <w:t>ы</w:t>
      </w:r>
      <w:r>
        <w:t>вают трудности в восстановлении своих прав на гражданство в соответствии с законом Хорватии. Отмечаются задержки в выдаче им удостоверений личности. Кроме того, этнические сербы по</w:t>
      </w:r>
      <w:r>
        <w:noBreakHyphen/>
        <w:t>прежнему являются целью спорадических атак. Некоторые из них были убиты в деревнях вблизи Вуковара. Он был бы признателен, если бы пре</w:t>
      </w:r>
      <w:r>
        <w:t>д</w:t>
      </w:r>
      <w:r>
        <w:t>ставляющее доклад государство могло указать, к</w:t>
      </w:r>
      <w:r>
        <w:t>а</w:t>
      </w:r>
      <w:r>
        <w:t>кие новые меры оно предприняло, с тем чтобы п</w:t>
      </w:r>
      <w:r>
        <w:t>о</w:t>
      </w:r>
      <w:r>
        <w:t>ложить конец такому насилию и помочь тем беже</w:t>
      </w:r>
      <w:r>
        <w:t>н</w:t>
      </w:r>
      <w:r>
        <w:t>цам, которые хотят вернуться и получить разреш</w:t>
      </w:r>
      <w:r>
        <w:t>е</w:t>
      </w:r>
      <w:r>
        <w:t>ние на свободное и беспрепятственное возвращ</w:t>
      </w:r>
      <w:r>
        <w:t>е</w:t>
      </w:r>
      <w:r>
        <w:t>ние.</w:t>
      </w:r>
    </w:p>
    <w:p w:rsidR="00000000" w:rsidRDefault="00000000">
      <w:pPr>
        <w:pStyle w:val="DualTxt"/>
      </w:pPr>
      <w:r>
        <w:t>31.</w:t>
      </w:r>
      <w:r>
        <w:tab/>
        <w:t>Хотя государство-участник указало, что пол</w:t>
      </w:r>
      <w:r>
        <w:t>о</w:t>
      </w:r>
      <w:r>
        <w:t>жения Пакта могут применяться в его судах, ему все еще неясен статус Пакта во внутреннем закон</w:t>
      </w:r>
      <w:r>
        <w:t>о</w:t>
      </w:r>
      <w:r>
        <w:t>дательстве. Он не может понять необходимость упоминания о том, что Европейская конвенция по правам человека, какими бы альтруистическими ни были ее цели, не является идентичной Пакту и м</w:t>
      </w:r>
      <w:r>
        <w:t>о</w:t>
      </w:r>
      <w:r>
        <w:t>жет даже вступать в конфликт с его положениями в н</w:t>
      </w:r>
      <w:r>
        <w:t>е</w:t>
      </w:r>
      <w:r>
        <w:t>которых случаях.</w:t>
      </w:r>
    </w:p>
    <w:p w:rsidR="00000000" w:rsidRDefault="00000000">
      <w:pPr>
        <w:pStyle w:val="DualTxt"/>
      </w:pPr>
      <w:r>
        <w:t>32.</w:t>
      </w:r>
      <w:r>
        <w:tab/>
        <w:t>Он был бы признателен за представление д</w:t>
      </w:r>
      <w:r>
        <w:t>о</w:t>
      </w:r>
      <w:r>
        <w:t>полнительной информации о свободе передвиж</w:t>
      </w:r>
      <w:r>
        <w:t>е</w:t>
      </w:r>
      <w:r>
        <w:t>ния, в частности в контексте чрезвычайного пол</w:t>
      </w:r>
      <w:r>
        <w:t>о</w:t>
      </w:r>
      <w:r>
        <w:t>жения. Неясно, соответствует ли Конституция по</w:t>
      </w:r>
      <w:r>
        <w:t>л</w:t>
      </w:r>
      <w:r>
        <w:t>ностью статье 4 Пакта или Конституция имеет пр</w:t>
      </w:r>
      <w:r>
        <w:t>и</w:t>
      </w:r>
      <w:r>
        <w:t>оритет над Пактом в соответствии с хорватским з</w:t>
      </w:r>
      <w:r>
        <w:t>а</w:t>
      </w:r>
      <w:r>
        <w:t>конодательс</w:t>
      </w:r>
      <w:r>
        <w:t>т</w:t>
      </w:r>
      <w:r>
        <w:t>вом.</w:t>
      </w:r>
    </w:p>
    <w:p w:rsidR="00000000" w:rsidRDefault="00000000">
      <w:pPr>
        <w:pStyle w:val="DualTxt"/>
      </w:pPr>
      <w:r>
        <w:t>33.</w:t>
      </w:r>
      <w:r>
        <w:tab/>
        <w:t>Что касается обязательной службы в армии, как это обсуждается в пунктах 158 и 159 доклада, государство-участник должно указать, имеются ли альтернативные и равноценные гражданские слу</w:t>
      </w:r>
      <w:r>
        <w:t>ж</w:t>
      </w:r>
      <w:r>
        <w:t>бы для лиц, отказывающихся идти в армию по р</w:t>
      </w:r>
      <w:r>
        <w:t>е</w:t>
      </w:r>
      <w:r>
        <w:t>лигио</w:t>
      </w:r>
      <w:r>
        <w:t>з</w:t>
      </w:r>
      <w:r>
        <w:t>ным или моральным соображениям.</w:t>
      </w:r>
    </w:p>
    <w:p w:rsidR="00000000" w:rsidRDefault="00000000">
      <w:pPr>
        <w:pStyle w:val="DualTxt"/>
      </w:pPr>
      <w:r>
        <w:t>34.</w:t>
      </w:r>
      <w:r>
        <w:tab/>
        <w:t>Необходимо представить дополнительные данные о случаях насилия, имеющих место в н</w:t>
      </w:r>
      <w:r>
        <w:t>а</w:t>
      </w:r>
      <w:r>
        <w:t>стоящее время, а не сразу после войны. Он был бы признателен за получение информации о якобы плохом обращении с Николаем Милетичем со ст</w:t>
      </w:r>
      <w:r>
        <w:t>о</w:t>
      </w:r>
      <w:r>
        <w:t>роны специальных сил полиции в Дубровнике и о смерти Селика Мужика, хорватского гражданина боснийского происхождения, когда, он, по сообщ</w:t>
      </w:r>
      <w:r>
        <w:t>е</w:t>
      </w:r>
      <w:r>
        <w:t>ниям, находился в руках секретной полиции.</w:t>
      </w:r>
    </w:p>
    <w:p w:rsidR="00000000" w:rsidRDefault="00000000">
      <w:pPr>
        <w:pStyle w:val="DualTxt"/>
      </w:pPr>
      <w:r>
        <w:t>35.</w:t>
      </w:r>
      <w:r>
        <w:tab/>
        <w:t>Государство, представляющее доклад, должно разъяснить свою позицию в отношении приговоров Международного уголовного трибунала для бывшей Югославии, когда они касаются лиц, находящихся на службе в его вооруженных силах. Комитету и</w:t>
      </w:r>
      <w:r>
        <w:t>з</w:t>
      </w:r>
      <w:r>
        <w:t>вестно, что на начальном этапе хорватские комп</w:t>
      </w:r>
      <w:r>
        <w:t>е</w:t>
      </w:r>
      <w:r>
        <w:t>тентные органы не сотрудничали с Трибуналом. В письме Совету Безопасности Председатель Триб</w:t>
      </w:r>
      <w:r>
        <w:t>у</w:t>
      </w:r>
      <w:r>
        <w:t>нала осудил неоднократные попытки как Хорватии, так и Союзной Республики Югославии не выпо</w:t>
      </w:r>
      <w:r>
        <w:t>л</w:t>
      </w:r>
      <w:r>
        <w:t>нять решения Трибунала. Он хотел бы узнать, с</w:t>
      </w:r>
      <w:r>
        <w:t>о</w:t>
      </w:r>
      <w:r>
        <w:t>трудничает ли новое правительство с Трибуналом и если да, то каким образом.</w:t>
      </w:r>
    </w:p>
    <w:p w:rsidR="00000000" w:rsidRDefault="00000000">
      <w:pPr>
        <w:pStyle w:val="DualTxt"/>
      </w:pPr>
      <w:r>
        <w:t>36.</w:t>
      </w:r>
      <w:r>
        <w:tab/>
        <w:t>Наконец, было бы полезно получить полный отчет о деятельности и результатах работы Комит</w:t>
      </w:r>
      <w:r>
        <w:t>е</w:t>
      </w:r>
      <w:r>
        <w:t>та по выявлению задержанных и пропавших без вести лиц в Хорватском регионе Дуная или по крайней мере выяснить, облегчает ли правительство работу К</w:t>
      </w:r>
      <w:r>
        <w:t>о</w:t>
      </w:r>
      <w:r>
        <w:t>митета.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н Крецмер</w:t>
      </w:r>
      <w:r>
        <w:t xml:space="preserve"> говорит, что на Комитет прои</w:t>
      </w:r>
      <w:r>
        <w:t>з</w:t>
      </w:r>
      <w:r>
        <w:t>вели большое впечатление положительные измен</w:t>
      </w:r>
      <w:r>
        <w:t>е</w:t>
      </w:r>
      <w:r>
        <w:t>ния, которые имели место в Хорватии за последние полтора года, и серьезные попытки, направленные на поощрение демократических институтов. Тем не менее на протяжении длительного времени Пакт осуществляется в стране и члены Комитета интер</w:t>
      </w:r>
      <w:r>
        <w:t>е</w:t>
      </w:r>
      <w:r>
        <w:t>суются, что сделало государство-участник для того, чтобы исправить положение с серьезными наруш</w:t>
      </w:r>
      <w:r>
        <w:t>е</w:t>
      </w:r>
      <w:r>
        <w:t>ниями прав человека, которые имели место на его территории начиная с 1991 года и позднее. Был представлен большой объем информации о мерах по выявлению лиц, пропавших без вести, и лиц, п</w:t>
      </w:r>
      <w:r>
        <w:t>о</w:t>
      </w:r>
      <w:r>
        <w:t>дозреваемых в военных преступлениях; однако г</w:t>
      </w:r>
      <w:r>
        <w:t>о</w:t>
      </w:r>
      <w:r>
        <w:t>сударство, представляющее доклад, должно быть более конкретным в отношении представления и</w:t>
      </w:r>
      <w:r>
        <w:t>н</w:t>
      </w:r>
      <w:r>
        <w:t>формации о лицах, которые были отданы под суд и за какие преступления, сколько человек было пр</w:t>
      </w:r>
      <w:r>
        <w:t>и</w:t>
      </w:r>
      <w:r>
        <w:t>говорено или освобождено и какие приговоры были вынесены. Согласно информации, полученной К</w:t>
      </w:r>
      <w:r>
        <w:t>о</w:t>
      </w:r>
      <w:r>
        <w:t>митетом, существует тенденция выдвигать обвин</w:t>
      </w:r>
      <w:r>
        <w:t>е</w:t>
      </w:r>
      <w:r>
        <w:t>ния против лиц сербского этнического происхожд</w:t>
      </w:r>
      <w:r>
        <w:t>е</w:t>
      </w:r>
      <w:r>
        <w:t>ния. Было бы полезно иметь разбивку по этнич</w:t>
      </w:r>
      <w:r>
        <w:t>е</w:t>
      </w:r>
      <w:r>
        <w:t>скому происхождению лиц, отданных под суд. К</w:t>
      </w:r>
      <w:r>
        <w:t>о</w:t>
      </w:r>
      <w:r>
        <w:t>митет также получил сообщение, что несколько сот этнических сербов были убиты в их домах в Краине летом и осенью 1995 года. Необходимо представить дополнительную информацию о том, какие меры были приняты, для того чтобы привлечь виновных к суду.</w:t>
      </w:r>
    </w:p>
    <w:p w:rsidR="00000000" w:rsidRDefault="00000000">
      <w:pPr>
        <w:pStyle w:val="DualTxt"/>
      </w:pPr>
      <w:r>
        <w:t>38.</w:t>
      </w:r>
      <w:r>
        <w:tab/>
        <w:t>Он хотел бы получить информацию о полож</w:t>
      </w:r>
      <w:r>
        <w:t>е</w:t>
      </w:r>
      <w:r>
        <w:t>нии в Хорватских вооруженных силах офицеров и солдат, подозреваемых в участии в военных прест</w:t>
      </w:r>
      <w:r>
        <w:t>у</w:t>
      </w:r>
      <w:r>
        <w:t>плениях. Правительство должно указать, были ли такие лица уволены со службы или они продолжают свою службу, включая лиц, занимающих командные п</w:t>
      </w:r>
      <w:r>
        <w:t>о</w:t>
      </w:r>
      <w:r>
        <w:t>сты.</w:t>
      </w:r>
    </w:p>
    <w:p w:rsidR="00000000" w:rsidRDefault="00000000">
      <w:pPr>
        <w:pStyle w:val="DualTxt"/>
      </w:pPr>
      <w:r>
        <w:t>39.</w:t>
      </w:r>
      <w:r>
        <w:tab/>
        <w:t>Хотя в докладе приводятся данные об услов</w:t>
      </w:r>
      <w:r>
        <w:t>и</w:t>
      </w:r>
      <w:r>
        <w:t>ях содержания в тюрьмах, Комитет получил выз</w:t>
      </w:r>
      <w:r>
        <w:t>ы</w:t>
      </w:r>
      <w:r>
        <w:t>вающие озабоченность сообщения из различных источников об издевательствах одних заключенных над другими. Государство, представляющее доклад, должно указать, какие меры принимаются, для того чтобы предотвратить такие случаи, привлекались ли к ответственности лица, совершающие такие пр</w:t>
      </w:r>
      <w:r>
        <w:t>а</w:t>
      </w:r>
      <w:r>
        <w:t>вонарушения и какими средствами защиты распол</w:t>
      </w:r>
      <w:r>
        <w:t>а</w:t>
      </w:r>
      <w:r>
        <w:t>гают заключенные, если их права в соответствии со статьей 10 Пакта н</w:t>
      </w:r>
      <w:r>
        <w:t>а</w:t>
      </w:r>
      <w:r>
        <w:t>рушаются.</w:t>
      </w:r>
    </w:p>
    <w:p w:rsidR="00000000" w:rsidRDefault="00000000">
      <w:pPr>
        <w:pStyle w:val="DualTxt"/>
      </w:pPr>
      <w:r>
        <w:t>40.</w:t>
      </w:r>
      <w:r>
        <w:tab/>
        <w:t>Наконец, в докладе не приводятся данные о количестве лиц, находящихся в заключении до суда. Комитету важно знать, в отношении какого колич</w:t>
      </w:r>
      <w:r>
        <w:t>е</w:t>
      </w:r>
      <w:r>
        <w:t>ства заключенных таким образом были вынесены приговоры. Полезно выяснить, как долго эти люди находились в тюрьме или в других местах задерж</w:t>
      </w:r>
      <w:r>
        <w:t>а</w:t>
      </w:r>
      <w:r>
        <w:t>ния до того, как их дела были рассмотрены.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Сэр Найджел Родли</w:t>
      </w:r>
      <w:r>
        <w:t xml:space="preserve"> с удовлетворением отм</w:t>
      </w:r>
      <w:r>
        <w:t>е</w:t>
      </w:r>
      <w:r>
        <w:t>чает, что запрещение смертной казни воплощено в Конституции так же, как и свобода совести.</w:t>
      </w:r>
    </w:p>
    <w:p w:rsidR="00000000" w:rsidRDefault="00000000">
      <w:pPr>
        <w:pStyle w:val="DualTxt"/>
      </w:pPr>
      <w:r>
        <w:t>42.</w:t>
      </w:r>
      <w:r>
        <w:tab/>
        <w:t>В своих ответах на вопросы 5 и 9 перечня в</w:t>
      </w:r>
      <w:r>
        <w:t>о</w:t>
      </w:r>
      <w:r>
        <w:t>просов делегация представила лишь общие стат</w:t>
      </w:r>
      <w:r>
        <w:t>и</w:t>
      </w:r>
      <w:r>
        <w:t>стические данные. Остается надеяться, что прав</w:t>
      </w:r>
      <w:r>
        <w:t>и</w:t>
      </w:r>
      <w:r>
        <w:t>тельство в будущем не будет придерживаться такой уклончивой политики в отношении ответов на в</w:t>
      </w:r>
      <w:r>
        <w:t>о</w:t>
      </w:r>
      <w:r>
        <w:t>просы, поставленные г</w:t>
      </w:r>
      <w:r>
        <w:noBreakHyphen/>
        <w:t>ном Велла и г</w:t>
      </w:r>
      <w:r>
        <w:noBreakHyphen/>
        <w:t>ном Крец</w:t>
      </w:r>
      <w:r>
        <w:softHyphen/>
        <w:t>мером.</w:t>
      </w:r>
    </w:p>
    <w:p w:rsidR="00000000" w:rsidRDefault="00000000">
      <w:pPr>
        <w:pStyle w:val="DualTxt"/>
      </w:pPr>
      <w:r>
        <w:t>43.</w:t>
      </w:r>
      <w:r>
        <w:tab/>
        <w:t>Статистические данные, представленные в о</w:t>
      </w:r>
      <w:r>
        <w:t>т</w:t>
      </w:r>
      <w:r>
        <w:t>вете на вопрос 8, представляют интерес и указыв</w:t>
      </w:r>
      <w:r>
        <w:t>а</w:t>
      </w:r>
      <w:r>
        <w:t>ют на то, какие обвинения были выдвинуты против сотрудников правоохранительных органов. Однако государство, представляющее доклад, должно об</w:t>
      </w:r>
      <w:r>
        <w:t>ъ</w:t>
      </w:r>
      <w:r>
        <w:t>яснить, почему не было сделано ссылок на ст</w:t>
      </w:r>
      <w:r>
        <w:t>а</w:t>
      </w:r>
      <w:r>
        <w:t>тью 176 или статью 99 закона об уголовном суд</w:t>
      </w:r>
      <w:r>
        <w:t>о</w:t>
      </w:r>
      <w:r>
        <w:t>производстве. Неясно также, почему максимальный срок приговора за пытки был намного короче, чем за нанесение серьезных телесных повреждений.</w:t>
      </w:r>
    </w:p>
    <w:p w:rsidR="00000000" w:rsidRDefault="00000000">
      <w:pPr>
        <w:pStyle w:val="DualTxt"/>
      </w:pPr>
      <w:r>
        <w:t>44.</w:t>
      </w:r>
      <w:r>
        <w:tab/>
        <w:t>Информация, представленная по осуществл</w:t>
      </w:r>
      <w:r>
        <w:t>е</w:t>
      </w:r>
      <w:r>
        <w:t>нию статьи 9 Пакта, показывает, что в законе с</w:t>
      </w:r>
      <w:r>
        <w:t>о</w:t>
      </w:r>
      <w:r>
        <w:t>держатся достаточные гарантии, такие, как напра</w:t>
      </w:r>
      <w:r>
        <w:t>в</w:t>
      </w:r>
      <w:r>
        <w:t>ление арестованного в суд в течение 24 часов с м</w:t>
      </w:r>
      <w:r>
        <w:t>о</w:t>
      </w:r>
      <w:r>
        <w:t>мента ареста. Однажды судья санкционировал з</w:t>
      </w:r>
      <w:r>
        <w:t>а</w:t>
      </w:r>
      <w:r>
        <w:t>держание, однако неясно, возвращается ли заде</w:t>
      </w:r>
      <w:r>
        <w:t>р</w:t>
      </w:r>
      <w:r>
        <w:t>жанный автоматически под стражу без контроля со стороны полицейских властей или задержание м</w:t>
      </w:r>
      <w:r>
        <w:t>о</w:t>
      </w:r>
      <w:r>
        <w:t>жет быть продлено под юрисдикцией органа, отве</w:t>
      </w:r>
      <w:r>
        <w:t>т</w:t>
      </w:r>
      <w:r>
        <w:t>ственного за арест.</w:t>
      </w:r>
    </w:p>
    <w:p w:rsidR="00000000" w:rsidRDefault="00000000">
      <w:pPr>
        <w:pStyle w:val="DualTxt"/>
      </w:pPr>
      <w:r>
        <w:t>45.</w:t>
      </w:r>
      <w:r>
        <w:tab/>
        <w:t>Что касается пункта 193 доклада, значение фразы «по просьбе подозреваемого» является нея</w:t>
      </w:r>
      <w:r>
        <w:t>с</w:t>
      </w:r>
      <w:r>
        <w:t>ным. Государство, представляющее доклад, должно объяснить, информируется ли подозреваемый авт</w:t>
      </w:r>
      <w:r>
        <w:t>о</w:t>
      </w:r>
      <w:r>
        <w:t>матически о своем праве на адвоката и что следует из такой просьбы.</w:t>
      </w:r>
    </w:p>
    <w:p w:rsidR="00000000" w:rsidRDefault="00000000">
      <w:pPr>
        <w:pStyle w:val="DualTxt"/>
      </w:pPr>
      <w:r>
        <w:t>46.</w:t>
      </w:r>
      <w:r>
        <w:tab/>
        <w:t>Он с удовлетворением отмечает, что, несмотря на продолжающиеся утверждения о нарушении п</w:t>
      </w:r>
      <w:r>
        <w:t>о</w:t>
      </w:r>
      <w:r>
        <w:t>ложений статьи 7 Пакта, неправительственные о</w:t>
      </w:r>
      <w:r>
        <w:t>р</w:t>
      </w:r>
      <w:r>
        <w:t>ганизации признают, что число жалоб сократилось. Он принимает к сведению ссылку в докладе на з</w:t>
      </w:r>
      <w:r>
        <w:t>а</w:t>
      </w:r>
      <w:r>
        <w:t>прещение проведения медицинских или научных экспериментов над людьми без их согласия (пункт 121). Тем не менее было бы полезным выя</w:t>
      </w:r>
      <w:r>
        <w:t>с</w:t>
      </w:r>
      <w:r>
        <w:t>нить, являются ли добровольцы, над которыми пр</w:t>
      </w:r>
      <w:r>
        <w:t>о</w:t>
      </w:r>
      <w:r>
        <w:t>водят медицинские эксперименты, лицами, лише</w:t>
      </w:r>
      <w:r>
        <w:t>н</w:t>
      </w:r>
      <w:r>
        <w:t>ными свободы; если это так, то возникает вопрос, насколько свободным и полным может быть их с</w:t>
      </w:r>
      <w:r>
        <w:t>о</w:t>
      </w:r>
      <w:r>
        <w:t>гласие.</w:t>
      </w:r>
    </w:p>
    <w:p w:rsidR="00000000" w:rsidRDefault="00000000">
      <w:pPr>
        <w:pStyle w:val="DualTxt"/>
      </w:pPr>
      <w:r>
        <w:br w:type="column"/>
        <w:t>47.</w:t>
      </w:r>
      <w:r>
        <w:tab/>
      </w:r>
      <w:r>
        <w:rPr>
          <w:b/>
        </w:rPr>
        <w:t>Г</w:t>
      </w:r>
      <w:r>
        <w:rPr>
          <w:b/>
        </w:rPr>
        <w:noBreakHyphen/>
        <w:t>н Амор</w:t>
      </w:r>
      <w:r>
        <w:t xml:space="preserve"> присоединяется к вопросам, подн</w:t>
      </w:r>
      <w:r>
        <w:t>я</w:t>
      </w:r>
      <w:r>
        <w:t>тым г</w:t>
      </w:r>
      <w:r>
        <w:noBreakHyphen/>
        <w:t>ном Велла и г</w:t>
      </w:r>
      <w:r>
        <w:noBreakHyphen/>
        <w:t>жой Шанэ. Выслушав ответ г</w:t>
      </w:r>
      <w:r>
        <w:t>о</w:t>
      </w:r>
      <w:r>
        <w:t>сударства-участника, он по</w:t>
      </w:r>
      <w:r>
        <w:noBreakHyphen/>
        <w:t>прежнему не понимает статуса Пакта во внутреннем законодательстве г</w:t>
      </w:r>
      <w:r>
        <w:t>о</w:t>
      </w:r>
      <w:r>
        <w:t>сударства. Из статьи 134 Конституции явствует, что должным образом ратифицированные междунаро</w:t>
      </w:r>
      <w:r>
        <w:t>д</w:t>
      </w:r>
      <w:r>
        <w:t>ные договоры являются частью внутреннего прав</w:t>
      </w:r>
      <w:r>
        <w:t>о</w:t>
      </w:r>
      <w:r>
        <w:t>порядка и имеют преимущественную юридическую силу перед законом. Однако делегация, по</w:t>
      </w:r>
      <w:r>
        <w:noBreakHyphen/>
        <w:t>видимому, пыталась указать, что некоторые д</w:t>
      </w:r>
      <w:r>
        <w:t>о</w:t>
      </w:r>
      <w:r>
        <w:t>говоры имеют преимущество перед другими; она ссылалась на Европейскую конвенцию по правам человека, Конвенцию по защите прав человека и основных свобод и на Пакт. Если такое разделение преимуществ существует, необходимо его объя</w:t>
      </w:r>
      <w:r>
        <w:t>с</w:t>
      </w:r>
      <w:r>
        <w:t>нить и обосновать.</w:t>
      </w:r>
    </w:p>
    <w:p w:rsidR="00000000" w:rsidRDefault="00000000">
      <w:pPr>
        <w:pStyle w:val="DualTxt"/>
      </w:pPr>
      <w:r>
        <w:t>48.</w:t>
      </w:r>
      <w:r>
        <w:tab/>
        <w:t>Кроме того, представляется, что пункты 49 и 51 доклада указывают на то, что при определенных обстоятельствах не подается апелляция против р</w:t>
      </w:r>
      <w:r>
        <w:t>е</w:t>
      </w:r>
      <w:r>
        <w:t xml:space="preserve">шений судов. Государство, представляющее доклад, должно объяснить, как это может совмещаться с положениями статьи 14 Пакта. </w:t>
      </w:r>
    </w:p>
    <w:p w:rsidR="00000000" w:rsidRDefault="00000000">
      <w:pPr>
        <w:pStyle w:val="DualTxt"/>
      </w:pPr>
      <w:r>
        <w:t>49.</w:t>
      </w:r>
      <w:r>
        <w:tab/>
        <w:t>Касаясь пункта 4 статьи 12 Пакта, он спраш</w:t>
      </w:r>
      <w:r>
        <w:t>и</w:t>
      </w:r>
      <w:r>
        <w:t>вает, как государство-участник понимает право к</w:t>
      </w:r>
      <w:r>
        <w:t>а</w:t>
      </w:r>
      <w:r>
        <w:t>ждого «на въезд в его собственную страну», вопрос, который затрагивается в пунктах 265 и 278 доклада. Его вопрос не является теоретическим, поскольку многие, кто считает Хорватию своей собственной страной, столкнутся с трудностями при возвращ</w:t>
      </w:r>
      <w:r>
        <w:t>е</w:t>
      </w:r>
      <w:r>
        <w:t>нии. То же самое относится к выбору места жител</w:t>
      </w:r>
      <w:r>
        <w:t>ь</w:t>
      </w:r>
      <w:r>
        <w:t>ства (доклад, пункт 266). Он хотел бы получить и</w:t>
      </w:r>
      <w:r>
        <w:t>н</w:t>
      </w:r>
      <w:r>
        <w:t>формацию о любых ограничениях на постоянное или временное проживание. В докладе также отм</w:t>
      </w:r>
      <w:r>
        <w:t>е</w:t>
      </w:r>
      <w:r>
        <w:t>чается (пункт 276), что в выдаче паспорта может быть отказано по соображениям национальной безопасности или общественного правопорядка, и следует также проя</w:t>
      </w:r>
      <w:r>
        <w:t>с</w:t>
      </w:r>
      <w:r>
        <w:t>нить толкование этих терминов.</w:t>
      </w:r>
    </w:p>
    <w:p w:rsidR="00000000" w:rsidRDefault="00000000">
      <w:pPr>
        <w:pStyle w:val="DualTxt"/>
      </w:pPr>
      <w:r>
        <w:t>50.</w:t>
      </w:r>
      <w:r>
        <w:tab/>
        <w:t>Что касается статьи 18 Пакта, ясно, что Ко</w:t>
      </w:r>
      <w:r>
        <w:t>н</w:t>
      </w:r>
      <w:r>
        <w:t>ституция гарантирует свободу религии и религио</w:t>
      </w:r>
      <w:r>
        <w:t>з</w:t>
      </w:r>
      <w:r>
        <w:t>ных обрядов и их защиту государством. Он хотел бы выяснить, какова доля лиц, принадлежащих к вероисповеданиям, помимо лиц, исповедующих р</w:t>
      </w:r>
      <w:r>
        <w:t>е</w:t>
      </w:r>
      <w:r>
        <w:t>лигию большинства, особенно так называемых н</w:t>
      </w:r>
      <w:r>
        <w:t>о</w:t>
      </w:r>
      <w:r>
        <w:t>вых религиозных движений, и могут ли они также свободно исповедовать свою религию и получать от государства помощь и защиту. Он также хотел бы знать, преподается ли религия в государственных школах; и защищает ли правительство многочи</w:t>
      </w:r>
      <w:r>
        <w:t>с</w:t>
      </w:r>
      <w:r>
        <w:t>ленные религиозные места и памятники всех вер</w:t>
      </w:r>
      <w:r>
        <w:t>о</w:t>
      </w:r>
      <w:r>
        <w:t>исповеданий в этой стране и восстанавливает ли те, которые были повреждены в ходе войны.</w:t>
      </w:r>
    </w:p>
    <w:p w:rsidR="00000000" w:rsidRDefault="00000000">
      <w:pPr>
        <w:pStyle w:val="DualTxt"/>
      </w:pPr>
      <w:r>
        <w:t>51.</w:t>
      </w:r>
      <w:r>
        <w:tab/>
      </w:r>
      <w:r>
        <w:rPr>
          <w:b/>
        </w:rPr>
        <w:t>Г</w:t>
      </w:r>
      <w:r>
        <w:rPr>
          <w:b/>
        </w:rPr>
        <w:noBreakHyphen/>
        <w:t>н Хенкин</w:t>
      </w:r>
      <w:r>
        <w:t xml:space="preserve"> говорит, что он хотел бы пол</w:t>
      </w:r>
      <w:r>
        <w:t>у</w:t>
      </w:r>
      <w:r>
        <w:t>чить заверение в том, что к этническим сербам в этой стране относятся справедливо и они имеют равные права во всех отношениях, как в области гражданских, так и политических прав. Он также хотел бы получить разъяснения в отношении закона о давности уголовного преследования за престу</w:t>
      </w:r>
      <w:r>
        <w:t>п</w:t>
      </w:r>
      <w:r>
        <w:t>ления и распространяется ли иммунитет от привл</w:t>
      </w:r>
      <w:r>
        <w:t>е</w:t>
      </w:r>
      <w:r>
        <w:t>чения к суду на преступления, совершенные в пр</w:t>
      </w:r>
      <w:r>
        <w:t>о</w:t>
      </w:r>
      <w:r>
        <w:t>шлом, включая преступления против человечности; использования заочных судебных разбирательств для привлечения лиц к суду; и любых ограничений в отношении закона с обратной силой и применения их ко всем видам преступлений. Наконец, необх</w:t>
      </w:r>
      <w:r>
        <w:t>о</w:t>
      </w:r>
      <w:r>
        <w:t>димо представить информацию о положении цыган в Хорватии, о правах, которые они имеют, о любых различиях и случаях дискриминации, которой они могут подвергаться, и о планах правительства по решению связанных с ними пр</w:t>
      </w:r>
      <w:r>
        <w:t>о</w:t>
      </w:r>
      <w:r>
        <w:t>блем.</w:t>
      </w:r>
    </w:p>
    <w:p w:rsidR="00000000" w:rsidRDefault="00000000">
      <w:pPr>
        <w:pStyle w:val="DualTxt"/>
      </w:pPr>
      <w:r>
        <w:t>52.</w:t>
      </w:r>
      <w:r>
        <w:tab/>
      </w:r>
      <w:r>
        <w:rPr>
          <w:b/>
        </w:rPr>
        <w:t>Г</w:t>
      </w:r>
      <w:r>
        <w:rPr>
          <w:b/>
        </w:rPr>
        <w:noBreakHyphen/>
        <w:t>н Смердель</w:t>
      </w:r>
      <w:r>
        <w:t xml:space="preserve"> (Хорватия) говорит, что согла</w:t>
      </w:r>
      <w:r>
        <w:t>с</w:t>
      </w:r>
      <w:r>
        <w:t>но статье 141 пересмотренной конституции все м</w:t>
      </w:r>
      <w:r>
        <w:t>е</w:t>
      </w:r>
      <w:r>
        <w:t>ждународные договоры автоматически становятся частью внутреннего законодательства, когда они вступают в силу, и они имеют преимущество перед национальным законодательством и могут неп</w:t>
      </w:r>
      <w:r>
        <w:t>о</w:t>
      </w:r>
      <w:r>
        <w:t>средственно использоваться и применяться судами и другими государственными органами. Он не имел в виду в своих предыдущих выступлениях, что с</w:t>
      </w:r>
      <w:r>
        <w:t>у</w:t>
      </w:r>
      <w:r>
        <w:t>ществует какая-то иерархия между различными д</w:t>
      </w:r>
      <w:r>
        <w:t>о</w:t>
      </w:r>
      <w:r>
        <w:t>кументами о правах человека, скорее он хотел об</w:t>
      </w:r>
      <w:r>
        <w:t>ъ</w:t>
      </w:r>
      <w:r>
        <w:t>яснить, что на практике хорваты, которые считают, что их права были нарушены и которые исчерпали средства внутренней защиты, пытаются обращаться в Европейский суд по правам человека в соответс</w:t>
      </w:r>
      <w:r>
        <w:t>т</w:t>
      </w:r>
      <w:r>
        <w:t>вии с Европейской конвенцией или Европейской социальной хартией, а не в Комитет по правам ч</w:t>
      </w:r>
      <w:r>
        <w:t>е</w:t>
      </w:r>
      <w:r>
        <w:t>ловека в соответствии с Пактом; и формулировать свои апелляции на основе европейских договоров. Однако можно привести лишь несколько случаев, когда международные договоры по правам человека непосредственно используются в обычных судах, поскольку судьи первой инстанции еще не подг</w:t>
      </w:r>
      <w:r>
        <w:t>о</w:t>
      </w:r>
      <w:r>
        <w:t>товлены делать это. Только Конституционный суд, который регулярно заслушивает жалобы о наруш</w:t>
      </w:r>
      <w:r>
        <w:t>е</w:t>
      </w:r>
      <w:r>
        <w:t>нии прав в соответствии с международными дог</w:t>
      </w:r>
      <w:r>
        <w:t>о</w:t>
      </w:r>
      <w:r>
        <w:t>ворами, автоматически пр</w:t>
      </w:r>
      <w:r>
        <w:t>и</w:t>
      </w:r>
      <w:r>
        <w:t>нимает их во внимание.</w:t>
      </w:r>
    </w:p>
    <w:p w:rsidR="00000000" w:rsidRDefault="00000000">
      <w:pPr>
        <w:pStyle w:val="DualTxt"/>
      </w:pPr>
      <w:r>
        <w:t>53.</w:t>
      </w:r>
      <w:r>
        <w:tab/>
        <w:t>Он непосредственно участвовал в разработке конституции 1990 года. Парламент поручил лицам, работающим над подготовкой проекта, включить в него международно признанные нормы, касающи</w:t>
      </w:r>
      <w:r>
        <w:t>е</w:t>
      </w:r>
      <w:r>
        <w:t>ся прав человека, и в проект были включены даже некоторые права, правовой характер которых выз</w:t>
      </w:r>
      <w:r>
        <w:t>ы</w:t>
      </w:r>
      <w:r>
        <w:t>вал сомнения — право на работу, право на справе</w:t>
      </w:r>
      <w:r>
        <w:t>д</w:t>
      </w:r>
      <w:r>
        <w:t>ливое вознаграждение. Часто формулировки ме</w:t>
      </w:r>
      <w:r>
        <w:t>ж</w:t>
      </w:r>
      <w:r>
        <w:t>дународных договоров по правам человека включ</w:t>
      </w:r>
      <w:r>
        <w:t>а</w:t>
      </w:r>
      <w:r>
        <w:t>лись непосредственно в текст конституции, хотя он лично предпочел бы более конкретный текст, п</w:t>
      </w:r>
      <w:r>
        <w:t>о</w:t>
      </w:r>
      <w:r>
        <w:t>скольку конституция должна предлагать более д</w:t>
      </w:r>
      <w:r>
        <w:t>е</w:t>
      </w:r>
      <w:r>
        <w:t>тальные нормы.</w:t>
      </w:r>
    </w:p>
    <w:p w:rsidR="00000000" w:rsidRDefault="00000000">
      <w:pPr>
        <w:pStyle w:val="DualTxt"/>
      </w:pPr>
      <w:r>
        <w:t>54.</w:t>
      </w:r>
      <w:r>
        <w:tab/>
        <w:t>Он как профессор конституционного права с большим удовлетворением отметил, что текст Ко</w:t>
      </w:r>
      <w:r>
        <w:t>н</w:t>
      </w:r>
      <w:r>
        <w:t>ституции, особенно после последних пересмотров, получил одобрение. Многие юристы в Хорватии считают, что в целом раздел билля о правах в ко</w:t>
      </w:r>
      <w:r>
        <w:t>н</w:t>
      </w:r>
      <w:r>
        <w:t>ституции должен быть пересмотрен с тем, чтобы соответствовать формулировкам Пакта и других международных договоров по правам человека; и действительно в 1997 году по рекомендации экспе</w:t>
      </w:r>
      <w:r>
        <w:t>р</w:t>
      </w:r>
      <w:r>
        <w:t>тов Совета Европы это было сделано в отношении статьи 14 Конституции, где в настоящее время фо</w:t>
      </w:r>
      <w:r>
        <w:t>р</w:t>
      </w:r>
      <w:r>
        <w:t>мулировки соответствуют положениям статьи 26 Пакта. Коалиционное правительство, находящееся у власти с 2000 года, придает первоочередное вним</w:t>
      </w:r>
      <w:r>
        <w:t>а</w:t>
      </w:r>
      <w:r>
        <w:t>ние внесению конституционных поправок. С другой стороны, он лично и другие теоретики права счит</w:t>
      </w:r>
      <w:r>
        <w:t>а</w:t>
      </w:r>
      <w:r>
        <w:t>ют, что такая «живая конституция» — новая для Хорватии, которая непрерывно будет проводиться в жизнь с помощью законодательства, практики судов и отношения к ней различных правительственных подразделений, — нуждается в первоначальном п</w:t>
      </w:r>
      <w:r>
        <w:t>е</w:t>
      </w:r>
      <w:r>
        <w:t>риоде стабилизации. Он также считает, что новое правительство, будучи хорошим правительством, не осознает до конца конституционные пробл</w:t>
      </w:r>
      <w:r>
        <w:t>е</w:t>
      </w:r>
      <w:r>
        <w:t>мы.</w:t>
      </w:r>
    </w:p>
    <w:p w:rsidR="00000000" w:rsidRDefault="00000000">
      <w:pPr>
        <w:pStyle w:val="DualTxt"/>
      </w:pPr>
      <w:r>
        <w:t>55.</w:t>
      </w:r>
      <w:r>
        <w:tab/>
        <w:t>Речь идет о заявлении об исключении и сопу</w:t>
      </w:r>
      <w:r>
        <w:t>т</w:t>
      </w:r>
      <w:r>
        <w:t>ствующем умалении установленных прав. С техн</w:t>
      </w:r>
      <w:r>
        <w:t>и</w:t>
      </w:r>
      <w:r>
        <w:t>ческой точки зрения никогда официально не заявл</w:t>
      </w:r>
      <w:r>
        <w:t>я</w:t>
      </w:r>
      <w:r>
        <w:t>лось об исключении, чрезвычайном положении или объявлении войны в Хорватии и не санкциониров</w:t>
      </w:r>
      <w:r>
        <w:t>а</w:t>
      </w:r>
      <w:r>
        <w:t>лось умаление конституционных прав в соответс</w:t>
      </w:r>
      <w:r>
        <w:t>т</w:t>
      </w:r>
      <w:r>
        <w:t>вии со статьей 17 Конституции, которая соответс</w:t>
      </w:r>
      <w:r>
        <w:t>т</w:t>
      </w:r>
      <w:r>
        <w:t>вует статье 4 Пакта и требует одобрения больши</w:t>
      </w:r>
      <w:r>
        <w:t>н</w:t>
      </w:r>
      <w:r>
        <w:t>ством в две трети голосов членов парламента. О</w:t>
      </w:r>
      <w:r>
        <w:t>д</w:t>
      </w:r>
      <w:r>
        <w:t>нако с 1991 по 1996 год в стране фактически дейс</w:t>
      </w:r>
      <w:r>
        <w:t>т</w:t>
      </w:r>
      <w:r>
        <w:t>вовало положение об исключении, установленное президентским указом, и в этот период имел место отход от нормального уголовного судопроизводства и были созданы военные трибуналы. Что касается юридического оправдания умаления, правительство использовало статью 101 Конституции, которая уполномочивает президента издавать указы, име</w:t>
      </w:r>
      <w:r>
        <w:t>ю</w:t>
      </w:r>
      <w:r>
        <w:t>щие силу закона, для того чтобы принять меры, включая пересмотр законодательства, которые тр</w:t>
      </w:r>
      <w:r>
        <w:t>е</w:t>
      </w:r>
      <w:r>
        <w:t>буются в чрезвычайных ситуациях. В статье такими оправдывающими обстоятельствами является во</w:t>
      </w:r>
      <w:r>
        <w:t>й</w:t>
      </w:r>
      <w:r>
        <w:t>на, угроза независимости и территориальной цел</w:t>
      </w:r>
      <w:r>
        <w:t>о</w:t>
      </w:r>
      <w:r>
        <w:t>стности и нарушение нормального функциониров</w:t>
      </w:r>
      <w:r>
        <w:t>а</w:t>
      </w:r>
      <w:r>
        <w:t>ния правительственных органов. В свое время такой правовой подход представлялся как меньший из двух зол, и лишь в 1996 году, после отмены чрезв</w:t>
      </w:r>
      <w:r>
        <w:t>ы</w:t>
      </w:r>
      <w:r>
        <w:t>чайных мер, стали применяться положения Конст</w:t>
      </w:r>
      <w:r>
        <w:t>и</w:t>
      </w:r>
      <w:r>
        <w:t>туции. Что касается средств защиты от нарушения прав человека в этот период, можно сказать, что омбудсмен с 1993 по 1995 год в отличие от своего правопреемника не проявлял излишней активности, однако теоретически можно было обращаться с ж</w:t>
      </w:r>
      <w:r>
        <w:t>а</w:t>
      </w:r>
      <w:r>
        <w:t>лобами во все правительственные учреждения. Н</w:t>
      </w:r>
      <w:r>
        <w:t>и</w:t>
      </w:r>
      <w:r>
        <w:t>кто не обращался за компенсацией в связи с нар</w:t>
      </w:r>
      <w:r>
        <w:t>у</w:t>
      </w:r>
      <w:r>
        <w:t>шением прав человека, учитывая неофициальный характер объявления положения об исключении, но многие стремились получить компенсацию за ущерб, нанесенный собственности, или за ее утрату, а этнический фактор не учитывался при подаче ж</w:t>
      </w:r>
      <w:r>
        <w:t>а</w:t>
      </w:r>
      <w:r>
        <w:t>лоб.</w:t>
      </w:r>
    </w:p>
    <w:p w:rsidR="00000000" w:rsidRDefault="00000000">
      <w:pPr>
        <w:pStyle w:val="DualTxt"/>
      </w:pPr>
      <w:r>
        <w:t>56.</w:t>
      </w:r>
      <w:r>
        <w:tab/>
      </w:r>
      <w:r>
        <w:rPr>
          <w:b/>
        </w:rPr>
        <w:t>Г</w:t>
      </w:r>
      <w:r>
        <w:rPr>
          <w:b/>
        </w:rPr>
        <w:noBreakHyphen/>
        <w:t>н Сочанак</w:t>
      </w:r>
      <w:r>
        <w:t xml:space="preserve"> (Хорватия), отмечая, что его правительство ратифицировало как первый, так и второй Факультативные протоколы к Пакту, гов</w:t>
      </w:r>
      <w:r>
        <w:t>о</w:t>
      </w:r>
      <w:r>
        <w:t>рит, что ему не понятно, почему лишь одно соо</w:t>
      </w:r>
      <w:r>
        <w:t>б</w:t>
      </w:r>
      <w:r>
        <w:t>щение рассматривается Комитетом, в то время как многие хорватские дела были переданы в Европе</w:t>
      </w:r>
      <w:r>
        <w:t>й</w:t>
      </w:r>
      <w:r>
        <w:t>ский суд по правам человека.</w:t>
      </w:r>
    </w:p>
    <w:p w:rsidR="00000000" w:rsidRDefault="00000000">
      <w:pPr>
        <w:pStyle w:val="DualTxt"/>
      </w:pPr>
      <w:r>
        <w:t>57.</w:t>
      </w:r>
      <w:r>
        <w:tab/>
        <w:t>Что касается обязательств, вытекающих из международных договоров по правам человека, Д</w:t>
      </w:r>
      <w:r>
        <w:t>е</w:t>
      </w:r>
      <w:r>
        <w:t>партамент по правам человека, который он возгла</w:t>
      </w:r>
      <w:r>
        <w:t>в</w:t>
      </w:r>
      <w:r>
        <w:t>ляет в министерстве иностранных дел, является центром по разработке и представлению всех п</w:t>
      </w:r>
      <w:r>
        <w:t>е</w:t>
      </w:r>
      <w:r>
        <w:t>риодических докладов и по передаче последующих рекомендаций договорных органов правительству. Кроме того, перед недавно созданным специальным органом — Комиссией по правам человека — п</w:t>
      </w:r>
      <w:r>
        <w:t>о</w:t>
      </w:r>
      <w:r>
        <w:t>ставлена, помимо прочего, задача распространения информации о т</w:t>
      </w:r>
      <w:r>
        <w:t>а</w:t>
      </w:r>
      <w:r>
        <w:t>ких рекомендациях.</w:t>
      </w:r>
    </w:p>
    <w:p w:rsidR="00000000" w:rsidRDefault="00000000">
      <w:pPr>
        <w:pStyle w:val="DualTxt"/>
      </w:pPr>
      <w:r>
        <w:t>58.</w:t>
      </w:r>
      <w:r>
        <w:tab/>
        <w:t>Его правительство осуществляет различные виды деятельности и принимает меры по укрепл</w:t>
      </w:r>
      <w:r>
        <w:t>е</w:t>
      </w:r>
      <w:r>
        <w:t>нию доверия как часть национального процесса примирения и учредило национальный комитет для проведения кампании по повышению осведомле</w:t>
      </w:r>
      <w:r>
        <w:t>н</w:t>
      </w:r>
      <w:r>
        <w:t>ности — инициатива в рамках Пакта стабилизации для Юго-Восточной Европы. Новый орган проведет свою торжественную сессию в середине апреля 2001 года. Она будет охватывать все слои общества: академические, правительственные, парламентские, гражданское общество и неправительственные о</w:t>
      </w:r>
      <w:r>
        <w:t>р</w:t>
      </w:r>
      <w:r>
        <w:t>ганизации в укреплении процесса примирения. В этом контексте он говорит, что беженцы, которые хотят вернуться в Хорватию, могут сделать это и могут обратиться за получением необходимых пр</w:t>
      </w:r>
      <w:r>
        <w:t>о</w:t>
      </w:r>
      <w:r>
        <w:t>ездных документов в хорватские дипломатические представительства за границей. Этот процесс был активизирован, и многие просьбы уже удовлетвор</w:t>
      </w:r>
      <w:r>
        <w:t>е</w:t>
      </w:r>
      <w:r>
        <w:t>ны. Наиболее важными факторами, препятству</w:t>
      </w:r>
      <w:r>
        <w:t>ю</w:t>
      </w:r>
      <w:r>
        <w:t>щими в настоящее время процессу возвращения, являются не политич</w:t>
      </w:r>
      <w:r>
        <w:t>е</w:t>
      </w:r>
      <w:r>
        <w:t>ские, а экономические.</w:t>
      </w:r>
    </w:p>
    <w:p w:rsidR="00000000" w:rsidRDefault="00000000">
      <w:pPr>
        <w:pStyle w:val="DualTxt"/>
      </w:pPr>
      <w:r>
        <w:t>59.</w:t>
      </w:r>
      <w:r>
        <w:tab/>
        <w:t>В ответ на вопрос г</w:t>
      </w:r>
      <w:r>
        <w:noBreakHyphen/>
        <w:t>на Хенкина в отношении цыган он говорит, что цыганское население оцен</w:t>
      </w:r>
      <w:r>
        <w:t>и</w:t>
      </w:r>
      <w:r>
        <w:t>вается между 7000 и 30 000, но более надежные цифры можно будет установить после проведения намечаемой в ближайшее время переписи. Прав</w:t>
      </w:r>
      <w:r>
        <w:t>и</w:t>
      </w:r>
      <w:r>
        <w:t>тельство разрабатывает национальную программу для цыган, с тем чтобы они рассматривались как национальные меньшинства в соответствии с ме</w:t>
      </w:r>
      <w:r>
        <w:t>ж</w:t>
      </w:r>
      <w:r>
        <w:t>дународными стандартами в области здравоохран</w:t>
      </w:r>
      <w:r>
        <w:t>е</w:t>
      </w:r>
      <w:r>
        <w:t>ния, социального обслуживания, жилья, образов</w:t>
      </w:r>
      <w:r>
        <w:t>а</w:t>
      </w:r>
      <w:r>
        <w:t>ния, культуры, интеграции, занятости и информ</w:t>
      </w:r>
      <w:r>
        <w:t>и</w:t>
      </w:r>
      <w:r>
        <w:t>рованности о своих правах. Оно будет продолжать стремиться улучшить положение цыган и весьма вероятно сделает заявление в этом отношении на предстоящей Всемирной конференции по борьбе с расизмом.</w:t>
      </w:r>
    </w:p>
    <w:p w:rsidR="00000000" w:rsidRDefault="00000000">
      <w:pPr>
        <w:pStyle w:val="DualTxt"/>
      </w:pPr>
      <w:r>
        <w:t>60.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Мрчелла </w:t>
      </w:r>
      <w:r>
        <w:t>(Хорватия), отвечая на вопрос, касающийся уголовного права и судопроизводства, говорит, что заочный суд используется редко, но возможен в тех случаях, когда обвинитель убеждает суд в том, что, хотя обвиняемый бежал или не будет присутствовать на заседании суда, тем не менее важно, чтобы суд имел место. Если после суда о</w:t>
      </w:r>
      <w:r>
        <w:t>б</w:t>
      </w:r>
      <w:r>
        <w:t>виняемый возвращается, будет проводиться новое судебное расследование. У него нет данных о кол</w:t>
      </w:r>
      <w:r>
        <w:t>и</w:t>
      </w:r>
      <w:r>
        <w:t>честве таких судов, но за свои 11 лет работы он персонально рассматривал только два таких д</w:t>
      </w:r>
      <w:r>
        <w:t>е</w:t>
      </w:r>
      <w:r>
        <w:t>ла.</w:t>
      </w:r>
    </w:p>
    <w:p w:rsidR="00000000" w:rsidRDefault="00000000">
      <w:pPr>
        <w:pStyle w:val="DualTxt"/>
      </w:pPr>
      <w:r>
        <w:t>61.</w:t>
      </w:r>
      <w:r>
        <w:tab/>
        <w:t>Уголовный кодекс (глава 11) описывает пр</w:t>
      </w:r>
      <w:r>
        <w:t>е</w:t>
      </w:r>
      <w:r>
        <w:t>ступления против свободы и прав человека и гра</w:t>
      </w:r>
      <w:r>
        <w:t>ж</w:t>
      </w:r>
      <w:r>
        <w:t>дан, а также включает три других уголовных пр</w:t>
      </w:r>
      <w:r>
        <w:t>е</w:t>
      </w:r>
      <w:r>
        <w:t>ступления против ценностей, защищаемых межд</w:t>
      </w:r>
      <w:r>
        <w:t>у</w:t>
      </w:r>
      <w:r>
        <w:t>народным правом, а именно: расовые и другие виды дискриминации, рабство и перевозка рабов (соо</w:t>
      </w:r>
      <w:r>
        <w:t>б</w:t>
      </w:r>
      <w:r>
        <w:t>щалось только об одном случае, связанном с час</w:t>
      </w:r>
      <w:r>
        <w:t>т</w:t>
      </w:r>
      <w:r>
        <w:t>ными лицами и довольно специфическими обсто</w:t>
      </w:r>
      <w:r>
        <w:t>я</w:t>
      </w:r>
      <w:r>
        <w:t>тельствами, и это дело в настоящее время рассма</w:t>
      </w:r>
      <w:r>
        <w:t>т</w:t>
      </w:r>
      <w:r>
        <w:t>ривается в суде), и пытки, и другое жестокое, бе</w:t>
      </w:r>
      <w:r>
        <w:t>с</w:t>
      </w:r>
      <w:r>
        <w:t>человечное или унижающее достоинство обращ</w:t>
      </w:r>
      <w:r>
        <w:t>е</w:t>
      </w:r>
      <w:r>
        <w:t>ние. В ответ на вопрос о том, почему наказание за пытки (от 2 до 8 лет) меньше чем за нанесение серьезных телесных повреждений (до 10 лет), он говорит, что пункт 4 статьи 99 предусматривает б</w:t>
      </w:r>
      <w:r>
        <w:t>о</w:t>
      </w:r>
      <w:r>
        <w:t>лее высокое наказание, если физическое насилие приводит к смерти жертвы; однако прокурор может предъявить обвиняемому обвинение и в том и в другом преступлении. Что касается вооруженных сил, он говорит, что прежние военные трибуналы, действовавшие до 1996 года, были упразднены и уголовные преступления, совершенные сотрудн</w:t>
      </w:r>
      <w:r>
        <w:t>и</w:t>
      </w:r>
      <w:r>
        <w:t>ками любого правоохранительного органа, будут впредь судиться обы</w:t>
      </w:r>
      <w:r>
        <w:t>ч</w:t>
      </w:r>
      <w:r>
        <w:t>ными судами.</w:t>
      </w:r>
    </w:p>
    <w:p w:rsidR="00000000" w:rsidRDefault="00000000">
      <w:pPr>
        <w:pStyle w:val="DualTxt"/>
      </w:pPr>
      <w:r>
        <w:t>62.</w:t>
      </w:r>
      <w:r>
        <w:tab/>
        <w:t>Касаясь вопроса содержания под стражей, он говорит, что в соответствии с хорватской правовой системой проводится различие между арестом и с</w:t>
      </w:r>
      <w:r>
        <w:t>о</w:t>
      </w:r>
      <w:r>
        <w:t>держанием под стражей. Закон об уголовном суд</w:t>
      </w:r>
      <w:r>
        <w:t>о</w:t>
      </w:r>
      <w:r>
        <w:t>производстве (статья 87) предусматривает разли</w:t>
      </w:r>
      <w:r>
        <w:t>ч</w:t>
      </w:r>
      <w:r>
        <w:t>ные процедуры для обеспечения присутствия обв</w:t>
      </w:r>
      <w:r>
        <w:t>и</w:t>
      </w:r>
      <w:r>
        <w:t>няемого, включая направление повестки, а также принудительную явку в суд по решению суда, кот</w:t>
      </w:r>
      <w:r>
        <w:t>о</w:t>
      </w:r>
      <w:r>
        <w:t>рая не рассматривается как арест, но в этом случае полиция доставляет обвиняемого в зал суда на два или три часа, в течение которых требуется его пр</w:t>
      </w:r>
      <w:r>
        <w:t>и</w:t>
      </w:r>
      <w:r>
        <w:t>сутствие. Продолжительность фактического ареста полицией (статья 94) не может превышать 24 часов. Обвиняемый имеет право на адвоката и должен быть инфо</w:t>
      </w:r>
      <w:r>
        <w:t>р</w:t>
      </w:r>
      <w:r>
        <w:t>мирован полицией о своих правах.</w:t>
      </w:r>
    </w:p>
    <w:p w:rsidR="00000000" w:rsidRDefault="00000000">
      <w:pPr>
        <w:pStyle w:val="DualTxt"/>
      </w:pPr>
      <w:r>
        <w:t>63.</w:t>
      </w:r>
      <w:r>
        <w:tab/>
        <w:t>После вступления в силу закона об уголовном судопроизводстве обращение полиции с обвиня</w:t>
      </w:r>
      <w:r>
        <w:t>е</w:t>
      </w:r>
      <w:r>
        <w:t>мыми и степень информированности обвиняемых об их правах значительно улучшились, в частности, поскольку то, что обвиняемый говорит без прису</w:t>
      </w:r>
      <w:r>
        <w:t>т</w:t>
      </w:r>
      <w:r>
        <w:t>ствия адвоката, не принимается во внимание в суде. После первоначального ареста обвиняемый осв</w:t>
      </w:r>
      <w:r>
        <w:t>о</w:t>
      </w:r>
      <w:r>
        <w:t>бождается или судья, ведущий расследование, по просьбе прокурора может принять решение о двух дополнительных 24</w:t>
      </w:r>
      <w:r>
        <w:noBreakHyphen/>
        <w:t>часовых периодах временного задержания. В течение этого времени обвиняемый содержится в помещении суда, если нет серьезных оснований считать, что обвиняемый виновен в серьезном преступлении, наказуемом на срок от п</w:t>
      </w:r>
      <w:r>
        <w:t>я</w:t>
      </w:r>
      <w:r>
        <w:t>ти и более лет тюремного заключения, и в этом сл</w:t>
      </w:r>
      <w:r>
        <w:t>у</w:t>
      </w:r>
      <w:r>
        <w:t>чае он может содержаться в полицейском участке. Содержание под стражей более не является обяз</w:t>
      </w:r>
      <w:r>
        <w:t>а</w:t>
      </w:r>
      <w:r>
        <w:t>тельным в результате поправки к закону, вступи</w:t>
      </w:r>
      <w:r>
        <w:t>в</w:t>
      </w:r>
      <w:r>
        <w:t>шему в силу 27 октября 1999 года. Единственным подлежащим продлению сроком содержания под стражей является содержание по решению суда в течение уголовного расследования, которое может длиться максимум шесть месяцев и подлежит п</w:t>
      </w:r>
      <w:r>
        <w:t>е</w:t>
      </w:r>
      <w:r>
        <w:t>риодическому пересмотру судом. Даже если рассл</w:t>
      </w:r>
      <w:r>
        <w:t>е</w:t>
      </w:r>
      <w:r>
        <w:t>дование не было завершено к концу шестимесячн</w:t>
      </w:r>
      <w:r>
        <w:t>о</w:t>
      </w:r>
      <w:r>
        <w:t>го периода, обвиняемый должен быть освобожден.</w:t>
      </w:r>
    </w:p>
    <w:p w:rsidR="00000000" w:rsidRDefault="00000000">
      <w:pPr>
        <w:pStyle w:val="DualTxt"/>
      </w:pPr>
      <w:r>
        <w:t>64.</w:t>
      </w:r>
      <w:r>
        <w:tab/>
        <w:t>В целом содержание под стражей — это кра</w:t>
      </w:r>
      <w:r>
        <w:t>й</w:t>
      </w:r>
      <w:r>
        <w:t>няя мера в течение уголовного судопроизводства до суда. Судам следует избегать ее, если для этого с</w:t>
      </w:r>
      <w:r>
        <w:t>у</w:t>
      </w:r>
      <w:r>
        <w:t>ществуют разумные обстоятельства в соответствии с европейскими нормами, касающимися принципа пропорциональности; например, учитывая серье</w:t>
      </w:r>
      <w:r>
        <w:t>з</w:t>
      </w:r>
      <w:r>
        <w:t>ность преступления и возможный приговор. Вкл</w:t>
      </w:r>
      <w:r>
        <w:t>ю</w:t>
      </w:r>
      <w:r>
        <w:t>чая шестимесячное содержание под стражей в п</w:t>
      </w:r>
      <w:r>
        <w:t>е</w:t>
      </w:r>
      <w:r>
        <w:t>риод расследования, общая продолжительность с</w:t>
      </w:r>
      <w:r>
        <w:t>о</w:t>
      </w:r>
      <w:r>
        <w:t>держания под стражей может варьироваться в зав</w:t>
      </w:r>
      <w:r>
        <w:t>и</w:t>
      </w:r>
      <w:r>
        <w:t>симости от серьезности уголовного преступления. Максимум семь месяцев за преступление, наказу</w:t>
      </w:r>
      <w:r>
        <w:t>е</w:t>
      </w:r>
      <w:r>
        <w:t>мое тюремным заключением на срок не менее трех лет, один год на срок менее пяти лет, один год и шесть месяцев на срок менее восьми лет, два года на срок более восьми лет и два года и шесть мес</w:t>
      </w:r>
      <w:r>
        <w:t>я</w:t>
      </w:r>
      <w:r>
        <w:t>цев на более длительный срок. В Хорватии не пра</w:t>
      </w:r>
      <w:r>
        <w:t>к</w:t>
      </w:r>
      <w:r>
        <w:t>тикуется приговор к смертной казни, и максимал</w:t>
      </w:r>
      <w:r>
        <w:t>ь</w:t>
      </w:r>
      <w:r>
        <w:t>ный срок тюремного заключения составляет от 20 до 40 лет.</w:t>
      </w:r>
    </w:p>
    <w:p w:rsidR="00000000" w:rsidRDefault="00000000">
      <w:pPr>
        <w:pStyle w:val="DualTxt"/>
      </w:pPr>
      <w:r>
        <w:t>65.</w:t>
      </w:r>
      <w:r>
        <w:tab/>
        <w:t>В его практике имел место только один сл</w:t>
      </w:r>
      <w:r>
        <w:t>у</w:t>
      </w:r>
      <w:r>
        <w:t>чай, когда человек содержался под стражей нез</w:t>
      </w:r>
      <w:r>
        <w:t>а</w:t>
      </w:r>
      <w:r>
        <w:t>конно: содержание обвиняемого под стражей по н</w:t>
      </w:r>
      <w:r>
        <w:t>е</w:t>
      </w:r>
      <w:r>
        <w:t>которым причинам не было оформлено надлеж</w:t>
      </w:r>
      <w:r>
        <w:t>а</w:t>
      </w:r>
      <w:r>
        <w:t>щим образом, и в соответствии со статьей 117 зак</w:t>
      </w:r>
      <w:r>
        <w:t>о</w:t>
      </w:r>
      <w:r>
        <w:t>на об уголовном судопроизводстве он приказал н</w:t>
      </w:r>
      <w:r>
        <w:t>е</w:t>
      </w:r>
      <w:r>
        <w:t>медленно освободить заключенного; в дополнение он говорит, что в Хорватии не практикуется секре</w:t>
      </w:r>
      <w:r>
        <w:t>т</w:t>
      </w:r>
      <w:r>
        <w:t>ное содержание под стражей. Далее он отмечает, что существует специальное положение, касающе</w:t>
      </w:r>
      <w:r>
        <w:t>е</w:t>
      </w:r>
      <w:r>
        <w:t>ся несовершеннолетних, и объясняет, что в Хорв</w:t>
      </w:r>
      <w:r>
        <w:t>а</w:t>
      </w:r>
      <w:r>
        <w:t>тии проводится различие между несовершенноле</w:t>
      </w:r>
      <w:r>
        <w:t>т</w:t>
      </w:r>
      <w:r>
        <w:t>ними в возрасте от 14 до 16 лет и несовершенн</w:t>
      </w:r>
      <w:r>
        <w:t>о</w:t>
      </w:r>
      <w:r>
        <w:t>летними от 16 до 18 лет, а также между молодыми людьми в возрасте от 18 до 21 года. Несовершенн</w:t>
      </w:r>
      <w:r>
        <w:t>о</w:t>
      </w:r>
      <w:r>
        <w:t>летний не может быть судим как взрослый и, хотя он может быть приговорен к тюремному заключ</w:t>
      </w:r>
      <w:r>
        <w:t>е</w:t>
      </w:r>
      <w:r>
        <w:t>нию, это будет специальная тюрьма для несове</w:t>
      </w:r>
      <w:r>
        <w:t>р</w:t>
      </w:r>
      <w:r>
        <w:t>шеннолетних, причем максимальный срок тюре</w:t>
      </w:r>
      <w:r>
        <w:t>м</w:t>
      </w:r>
      <w:r>
        <w:t>ного заключения составляет три года, даже в случ</w:t>
      </w:r>
      <w:r>
        <w:t>а</w:t>
      </w:r>
      <w:r>
        <w:t>ях убийства.</w:t>
      </w:r>
    </w:p>
    <w:p w:rsidR="00000000" w:rsidRDefault="00000000">
      <w:pPr>
        <w:pStyle w:val="DualTxt"/>
      </w:pPr>
      <w:r>
        <w:t>66.</w:t>
      </w:r>
      <w:r>
        <w:tab/>
        <w:t>Что касается судебной системы и вопросов, связанных с повышением квалификации судей и взаимоотношений между обвинением и судами, он отмечает, что обвинители являются гражданскими служащими, на которых распространяется офиц</w:t>
      </w:r>
      <w:r>
        <w:t>и</w:t>
      </w:r>
      <w:r>
        <w:t>альная иерархия, тогда как судебная власть является отдельной правительственной структурой в соо</w:t>
      </w:r>
      <w:r>
        <w:t>т</w:t>
      </w:r>
      <w:r>
        <w:t>ветствии с принципами разделения властных по</w:t>
      </w:r>
      <w:r>
        <w:t>л</w:t>
      </w:r>
      <w:r>
        <w:t>номочий. Государственный совет по вопросам права несет ответственность за подбор судей, но прерог</w:t>
      </w:r>
      <w:r>
        <w:t>а</w:t>
      </w:r>
      <w:r>
        <w:t>тивы совета были пересмотрены в связи с несоо</w:t>
      </w:r>
      <w:r>
        <w:t>т</w:t>
      </w:r>
      <w:r>
        <w:t>ветствием 24 решений, которые были отменены Конституционным судом за процессуальные оши</w:t>
      </w:r>
      <w:r>
        <w:t>б</w:t>
      </w:r>
      <w:r>
        <w:t>ки. До настоящего времени ни один из судей не был назначен новым Советом. Совет несет также отве</w:t>
      </w:r>
      <w:r>
        <w:t>т</w:t>
      </w:r>
      <w:r>
        <w:t>ственность за контроль над работой судей и в н</w:t>
      </w:r>
      <w:r>
        <w:t>е</w:t>
      </w:r>
      <w:r>
        <w:t>скольких случаях он принял дисциплина</w:t>
      </w:r>
      <w:r>
        <w:t>р</w:t>
      </w:r>
      <w:r>
        <w:t>ные меры.</w:t>
      </w:r>
    </w:p>
    <w:p w:rsidR="00000000" w:rsidRDefault="00000000">
      <w:pPr>
        <w:pStyle w:val="DualTxt"/>
      </w:pPr>
      <w:r>
        <w:t>67.</w:t>
      </w:r>
      <w:r>
        <w:tab/>
        <w:t>Судебная система имеет два уровня судов: м</w:t>
      </w:r>
      <w:r>
        <w:t>у</w:t>
      </w:r>
      <w:r>
        <w:t>ниципальные и гражданские суды, которые ра</w:t>
      </w:r>
      <w:r>
        <w:t>с</w:t>
      </w:r>
      <w:r>
        <w:t>сматривают гражданские дела, международные и преступления, наказуемые на срок до 10 лет тюре</w:t>
      </w:r>
      <w:r>
        <w:t>м</w:t>
      </w:r>
      <w:r>
        <w:t>ного заключения, и окружные суды, которые явл</w:t>
      </w:r>
      <w:r>
        <w:t>я</w:t>
      </w:r>
      <w:r>
        <w:t>ются апелляционными судами для муниципальных судов, но несут также ответственность за расслед</w:t>
      </w:r>
      <w:r>
        <w:t>о</w:t>
      </w:r>
      <w:r>
        <w:t>вание и являются судами первой инстанции в отн</w:t>
      </w:r>
      <w:r>
        <w:t>о</w:t>
      </w:r>
      <w:r>
        <w:t>шении уголовных преступлений, наказуемых т</w:t>
      </w:r>
      <w:r>
        <w:t>ю</w:t>
      </w:r>
      <w:r>
        <w:t>ремным заключением на срок более 10 лет. Кроме того, существуют административные, коммерческие и высокие коммерческие суды, Верховный суд и Конституционный суд, который не является часть, судебной системы, но который может отменять р</w:t>
      </w:r>
      <w:r>
        <w:t>е</w:t>
      </w:r>
      <w:r>
        <w:t>шения Верховного суда.</w:t>
      </w:r>
    </w:p>
    <w:p w:rsidR="00000000" w:rsidRDefault="00000000">
      <w:pPr>
        <w:pStyle w:val="DualTxt"/>
      </w:pPr>
      <w:r>
        <w:t>68.</w:t>
      </w:r>
      <w:r>
        <w:tab/>
        <w:t>В настоящее время имеется ряд нерассмотре</w:t>
      </w:r>
      <w:r>
        <w:t>н</w:t>
      </w:r>
      <w:r>
        <w:t>ных дел, которые должны быть заслушаны судами, в частности в ходе гражданского судопроизводства, тогда как уголовное судопроизводство должно ра</w:t>
      </w:r>
      <w:r>
        <w:t>с</w:t>
      </w:r>
      <w:r>
        <w:t>сматривать дела безотлагательно, поскольку, если заключенный содержится под стражей, его дело имеет более высокий приоритет. Он отмечает, что Пакт и международные договоры в соответствии с Конституцией могут непосредственно использ</w:t>
      </w:r>
      <w:r>
        <w:t>о</w:t>
      </w:r>
      <w:r>
        <w:t>ваться судами, хотя до настоящего времени они редко это делают. Он, однако, указывает, что около 60 процентов судей в муниципальных судах раб</w:t>
      </w:r>
      <w:r>
        <w:t>о</w:t>
      </w:r>
      <w:r>
        <w:t>тают в них менее пяти лет и поэтому со временем и с более лучшей их подготовкой ситуация должна продолжать улучшаться.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18 ч. 00 м.</w:t>
      </w:r>
    </w:p>
    <w:p w:rsidR="00000000" w:rsidRDefault="00000000"/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NO&gt;&gt;N0130958R&lt;&lt;ODS JOB NO&gt;&gt;</w:t>
      </w:r>
    </w:p>
    <w:p w:rsidR="00000000" w:rsidRDefault="00000000">
      <w:pPr>
        <w:pStyle w:val="CommentText"/>
      </w:pPr>
      <w:r>
        <w:t>&lt;&lt;ODS DOC SYMBOL1&gt;&gt;CCPR/C/SR.1913&lt;&lt;ODS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01-30958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*0130958*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/C/SR.1913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11</w:t>
          </w:r>
          <w:r>
            <w:t xml:space="preserve"> January 2002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8/01/2002 9:48: AM"/>
    <w:docVar w:name="DocCategory" w:val="SROthers"/>
    <w:docVar w:name="DocType" w:val="Final"/>
    <w:docVar w:name="JobNo" w:val="0130958R"/>
    <w:docVar w:name="OandT" w:val="Filippova"/>
    <w:docVar w:name="Symbol1" w:val="CCPR/C/SR.191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5195</Words>
  <Characters>33252</Characters>
  <Application>Microsoft Office Word</Application>
  <DocSecurity>4</DocSecurity>
  <Lines>875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40005</CharactersWithSpaces>
  <SharedDoc>false</SharedDoc>
  <HLinks>
    <vt:vector size="6" baseType="variant">
      <vt:variant>
        <vt:i4>4522087</vt:i4>
      </vt:variant>
      <vt:variant>
        <vt:i4>80082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2002-01-10T16:12:00Z</cp:lastPrinted>
  <dcterms:created xsi:type="dcterms:W3CDTF">2002-01-10T16:12:00Z</dcterms:created>
  <dcterms:modified xsi:type="dcterms:W3CDTF">2002-01-10T16:13:00Z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0130958</vt:lpwstr>
  </property>
  <property fmtid="{D5CDD505-2E9C-101B-9397-08002B2CF9AE}" pid="3" name="Symbol1">
    <vt:lpwstr>CCPR/C/SR.1913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Savina</vt:lpwstr>
  </property>
</Properties>
</file>