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3B37A6">
                <w:t>C/SR.1880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3B37A6">
              <w:rPr>
                <w:sz w:val="20"/>
                <w:lang w:val="en-US"/>
              </w:rPr>
              <w:fldChar w:fldCharType="separate"/>
            </w:r>
            <w:r w:rsidR="003B37A6">
              <w:rPr>
                <w:sz w:val="20"/>
                <w:lang w:val="en-US"/>
              </w:rPr>
              <w:t>14 June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93451A" w:rsidRDefault="0093451A" w:rsidP="0093451A">
      <w:pPr>
        <w:spacing w:before="120"/>
        <w:rPr>
          <w:b/>
          <w:sz w:val="24"/>
        </w:rPr>
      </w:pPr>
      <w:r>
        <w:rPr>
          <w:b/>
          <w:sz w:val="24"/>
        </w:rPr>
        <w:t xml:space="preserve">Комитет по ликвидации расовой </w:t>
      </w:r>
      <w:r w:rsidR="001D13C0" w:rsidRPr="001D13C0">
        <w:rPr>
          <w:b/>
          <w:sz w:val="24"/>
        </w:rPr>
        <w:br/>
      </w:r>
      <w:r>
        <w:rPr>
          <w:b/>
          <w:sz w:val="24"/>
        </w:rPr>
        <w:t>дискриминации</w:t>
      </w:r>
    </w:p>
    <w:p w:rsidR="0093451A" w:rsidRPr="002F581F" w:rsidRDefault="0093451A" w:rsidP="0093451A">
      <w:pPr>
        <w:rPr>
          <w:b/>
        </w:rPr>
      </w:pPr>
      <w:r w:rsidRPr="002F581F">
        <w:rPr>
          <w:b/>
        </w:rPr>
        <w:t>Семьдесят третья сессия</w:t>
      </w:r>
    </w:p>
    <w:p w:rsidR="0093451A" w:rsidRPr="002F581F" w:rsidRDefault="0093451A" w:rsidP="0093451A">
      <w:pPr>
        <w:spacing w:before="120"/>
        <w:rPr>
          <w:b/>
        </w:rPr>
      </w:pPr>
      <w:r>
        <w:rPr>
          <w:b/>
        </w:rPr>
        <w:t>Краткий отчет о 18</w:t>
      </w:r>
      <w:r w:rsidRPr="002F581F">
        <w:rPr>
          <w:b/>
        </w:rPr>
        <w:t>8</w:t>
      </w:r>
      <w:r>
        <w:rPr>
          <w:b/>
        </w:rPr>
        <w:t>0</w:t>
      </w:r>
      <w:r w:rsidRPr="002F581F">
        <w:rPr>
          <w:b/>
        </w:rPr>
        <w:t>-м заседании,</w:t>
      </w:r>
    </w:p>
    <w:p w:rsidR="0093451A" w:rsidRPr="002F581F" w:rsidRDefault="0093451A" w:rsidP="0093451A">
      <w:r w:rsidRPr="002F581F">
        <w:t>состоявшемся во Дворце Вильсона в Женеве</w:t>
      </w:r>
    </w:p>
    <w:p w:rsidR="0093451A" w:rsidRPr="002F581F" w:rsidRDefault="0093451A" w:rsidP="0093451A">
      <w:r>
        <w:t xml:space="preserve">в среду, </w:t>
      </w:r>
      <w:r w:rsidRPr="002F581F">
        <w:t>3</w:t>
      </w:r>
      <w:r>
        <w:t>0 июля</w:t>
      </w:r>
      <w:r w:rsidRPr="002F581F">
        <w:t xml:space="preserve"> 2008 года, в 15 ч. 00 м.</w:t>
      </w:r>
    </w:p>
    <w:p w:rsidR="0093451A" w:rsidRPr="002F581F" w:rsidRDefault="0093451A" w:rsidP="0093451A">
      <w:pPr>
        <w:spacing w:before="120"/>
      </w:pPr>
      <w:r w:rsidRPr="002F581F">
        <w:rPr>
          <w:i/>
        </w:rPr>
        <w:t xml:space="preserve">Председатель: </w:t>
      </w:r>
      <w:r>
        <w:rPr>
          <w:i/>
        </w:rPr>
        <w:tab/>
      </w:r>
      <w:r w:rsidRPr="002F581F">
        <w:t>г-жа Дах</w:t>
      </w:r>
    </w:p>
    <w:p w:rsidR="0093451A" w:rsidRDefault="0093451A" w:rsidP="0093451A">
      <w:pPr>
        <w:suppressAutoHyphens/>
        <w:spacing w:before="360" w:after="240"/>
        <w:rPr>
          <w:sz w:val="28"/>
        </w:rPr>
      </w:pPr>
      <w:r>
        <w:rPr>
          <w:sz w:val="28"/>
        </w:rPr>
        <w:t>Содержание</w:t>
      </w:r>
    </w:p>
    <w:p w:rsidR="0093451A" w:rsidRDefault="0093451A" w:rsidP="0093451A">
      <w:pPr>
        <w:pStyle w:val="SingleTxtGR"/>
      </w:pPr>
      <w:r>
        <w:t>Рассмотрение докладов, замечаний и информации, представляемых государс</w:t>
      </w:r>
      <w:r>
        <w:t>т</w:t>
      </w:r>
      <w:r>
        <w:t xml:space="preserve">вами-участниками в соответствии со статьей 9 Конвенции </w:t>
      </w:r>
      <w:r>
        <w:rPr>
          <w:i/>
        </w:rPr>
        <w:t>(продо</w:t>
      </w:r>
      <w:r>
        <w:rPr>
          <w:i/>
        </w:rPr>
        <w:t>л</w:t>
      </w:r>
      <w:r>
        <w:rPr>
          <w:i/>
        </w:rPr>
        <w:t>жение)</w:t>
      </w:r>
    </w:p>
    <w:p w:rsidR="0093451A" w:rsidRPr="00713F14" w:rsidRDefault="0093451A" w:rsidP="0093451A">
      <w:pPr>
        <w:pStyle w:val="SingleTxtGR"/>
        <w:ind w:left="1701"/>
      </w:pPr>
      <w:r>
        <w:rPr>
          <w:i/>
        </w:rPr>
        <w:t>Шест</w:t>
      </w:r>
      <w:r w:rsidR="001D13C0">
        <w:rPr>
          <w:i/>
        </w:rPr>
        <w:t>ой</w:t>
      </w:r>
      <w:r>
        <w:rPr>
          <w:i/>
        </w:rPr>
        <w:t xml:space="preserve">-семнадцатый периодические доклады Того </w:t>
      </w:r>
    </w:p>
    <w:p w:rsidR="0093451A" w:rsidRDefault="0093451A" w:rsidP="0093451A">
      <w:pPr>
        <w:spacing w:line="720" w:lineRule="auto"/>
      </w:pPr>
    </w:p>
    <w:p w:rsidR="0093451A" w:rsidRPr="001D13C0" w:rsidRDefault="0093451A" w:rsidP="001D13C0">
      <w:pPr>
        <w:pStyle w:val="SingleTxtGR"/>
        <w:rPr>
          <w:i/>
        </w:rPr>
      </w:pPr>
      <w:r>
        <w:br w:type="page"/>
      </w:r>
      <w:r w:rsidRPr="001D13C0">
        <w:rPr>
          <w:i/>
        </w:rPr>
        <w:t>Заседание открывается в 15 ч. 15 м.</w:t>
      </w:r>
    </w:p>
    <w:p w:rsidR="0093451A" w:rsidRPr="002529C2" w:rsidRDefault="001D13C0" w:rsidP="001D13C0">
      <w:pPr>
        <w:pStyle w:val="H23GR"/>
      </w:pPr>
      <w:r>
        <w:tab/>
      </w:r>
      <w:r>
        <w:tab/>
      </w:r>
      <w:r w:rsidR="0093451A" w:rsidRPr="008C5A00">
        <w:t>Рассмотрение докладов, замечаний и информации, представляемых государствами-участниками в соответствии со статьей 9 Конвенции</w:t>
      </w:r>
      <w:r w:rsidR="0093451A" w:rsidRPr="002529C2">
        <w:t xml:space="preserve"> </w:t>
      </w:r>
      <w:r w:rsidR="0093451A" w:rsidRPr="00341631">
        <w:rPr>
          <w:b w:val="0"/>
          <w:i/>
        </w:rPr>
        <w:t>(продолжение)</w:t>
      </w:r>
    </w:p>
    <w:p w:rsidR="0093451A" w:rsidRDefault="0093451A" w:rsidP="001D13C0">
      <w:pPr>
        <w:pStyle w:val="SingleTxtGR"/>
      </w:pPr>
      <w:r w:rsidRPr="00341631">
        <w:rPr>
          <w:i/>
        </w:rPr>
        <w:t>Шест</w:t>
      </w:r>
      <w:r w:rsidR="00341631" w:rsidRPr="00341631">
        <w:rPr>
          <w:i/>
        </w:rPr>
        <w:t>ой</w:t>
      </w:r>
      <w:r w:rsidRPr="00341631">
        <w:rPr>
          <w:i/>
        </w:rPr>
        <w:t>-семнадцатый периодические доклады Того</w:t>
      </w:r>
      <w:r>
        <w:t xml:space="preserve"> </w:t>
      </w:r>
      <w:r w:rsidRPr="008C5A00">
        <w:t>(</w:t>
      </w:r>
      <w:r w:rsidRPr="002529C2">
        <w:rPr>
          <w:lang w:val="en-US"/>
        </w:rPr>
        <w:t>CERD</w:t>
      </w:r>
      <w:r w:rsidRPr="008C5A00">
        <w:t>/</w:t>
      </w:r>
      <w:r w:rsidRPr="002529C2">
        <w:rPr>
          <w:lang w:val="en-US"/>
        </w:rPr>
        <w:t>C</w:t>
      </w:r>
      <w:r w:rsidRPr="008C5A00">
        <w:t>/</w:t>
      </w:r>
      <w:r w:rsidRPr="002529C2">
        <w:rPr>
          <w:lang w:val="en-US"/>
        </w:rPr>
        <w:t>TGO</w:t>
      </w:r>
      <w:r w:rsidRPr="008C5A00">
        <w:t xml:space="preserve">/17; </w:t>
      </w:r>
      <w:r w:rsidRPr="002529C2">
        <w:rPr>
          <w:lang w:val="en-US"/>
        </w:rPr>
        <w:t>CERD</w:t>
      </w:r>
      <w:r w:rsidRPr="008C5A00">
        <w:t>/</w:t>
      </w:r>
      <w:r w:rsidRPr="002529C2">
        <w:rPr>
          <w:lang w:val="en-US"/>
        </w:rPr>
        <w:t>C</w:t>
      </w:r>
      <w:r w:rsidRPr="008C5A00">
        <w:t>/</w:t>
      </w:r>
      <w:r w:rsidRPr="002529C2">
        <w:rPr>
          <w:lang w:val="en-US"/>
        </w:rPr>
        <w:t>TGO</w:t>
      </w:r>
      <w:r w:rsidRPr="008C5A00">
        <w:t>/</w:t>
      </w:r>
      <w:r w:rsidRPr="002529C2">
        <w:rPr>
          <w:lang w:val="en-US"/>
        </w:rPr>
        <w:t>Q</w:t>
      </w:r>
      <w:r w:rsidRPr="008C5A00">
        <w:t xml:space="preserve">/17 </w:t>
      </w:r>
      <w:r>
        <w:t>и</w:t>
      </w:r>
      <w:r w:rsidRPr="008C5A00">
        <w:t xml:space="preserve"> </w:t>
      </w:r>
      <w:r w:rsidRPr="002529C2">
        <w:rPr>
          <w:lang w:val="en-US"/>
        </w:rPr>
        <w:t>Add</w:t>
      </w:r>
      <w:r w:rsidRPr="008C5A00">
        <w:t xml:space="preserve">.1; </w:t>
      </w:r>
      <w:r w:rsidRPr="002529C2">
        <w:rPr>
          <w:lang w:val="en-US"/>
        </w:rPr>
        <w:t>HRI</w:t>
      </w:r>
      <w:r w:rsidRPr="008C5A00">
        <w:t>/</w:t>
      </w:r>
      <w:r w:rsidRPr="002529C2">
        <w:rPr>
          <w:lang w:val="en-US"/>
        </w:rPr>
        <w:t>CORE</w:t>
      </w:r>
      <w:r w:rsidRPr="008C5A00">
        <w:t>/1/</w:t>
      </w:r>
      <w:r w:rsidRPr="002529C2">
        <w:rPr>
          <w:lang w:val="en-US"/>
        </w:rPr>
        <w:t>Add</w:t>
      </w:r>
      <w:r w:rsidRPr="008C5A00">
        <w:t>.38/</w:t>
      </w:r>
      <w:r w:rsidRPr="002529C2">
        <w:rPr>
          <w:lang w:val="en-US"/>
        </w:rPr>
        <w:t>Rev</w:t>
      </w:r>
      <w:r w:rsidRPr="008C5A00">
        <w:t>.1)</w:t>
      </w:r>
    </w:p>
    <w:p w:rsidR="0093451A" w:rsidRPr="008C5A00" w:rsidRDefault="0093451A" w:rsidP="001D13C0">
      <w:pPr>
        <w:pStyle w:val="SingleTxtGR"/>
      </w:pPr>
      <w:r>
        <w:t>1.</w:t>
      </w:r>
      <w:r>
        <w:tab/>
      </w:r>
      <w:r w:rsidRPr="00341631">
        <w:rPr>
          <w:i/>
        </w:rPr>
        <w:t>По приглашению Председателя члены делегации Того занимают места за столом Комитета.</w:t>
      </w:r>
    </w:p>
    <w:p w:rsidR="0093451A" w:rsidRDefault="0093451A" w:rsidP="001D13C0">
      <w:pPr>
        <w:pStyle w:val="SingleTxtGR"/>
      </w:pPr>
      <w:r>
        <w:t>2.</w:t>
      </w:r>
      <w:r>
        <w:tab/>
      </w:r>
      <w:r>
        <w:rPr>
          <w:b/>
        </w:rPr>
        <w:t xml:space="preserve">Г-жа Айдам </w:t>
      </w:r>
      <w:r>
        <w:t xml:space="preserve">(Того), поблагодарив Комитет за то, что он разрешил ее стране представить </w:t>
      </w:r>
      <w:r w:rsidR="00341631">
        <w:t xml:space="preserve">единый </w:t>
      </w:r>
      <w:r>
        <w:t>документ (</w:t>
      </w:r>
      <w:r w:rsidRPr="002529C2">
        <w:rPr>
          <w:lang w:val="en-US"/>
        </w:rPr>
        <w:t>CERD</w:t>
      </w:r>
      <w:r w:rsidRPr="008C5A00">
        <w:t>/</w:t>
      </w:r>
      <w:r w:rsidRPr="002529C2">
        <w:rPr>
          <w:lang w:val="en-US"/>
        </w:rPr>
        <w:t>C</w:t>
      </w:r>
      <w:r w:rsidRPr="008C5A00">
        <w:t>/</w:t>
      </w:r>
      <w:r w:rsidRPr="002529C2">
        <w:rPr>
          <w:lang w:val="en-US"/>
        </w:rPr>
        <w:t>TGO</w:t>
      </w:r>
      <w:r>
        <w:t>/17), включающий в себя шест</w:t>
      </w:r>
      <w:r w:rsidR="00341631">
        <w:t>ой</w:t>
      </w:r>
      <w:r>
        <w:t>-семнадцатый доклады Того, поясняет, что задержка с представлением доклада была вызвана затянувшимся социально-политическим кризисом, пр</w:t>
      </w:r>
      <w:r>
        <w:t>о</w:t>
      </w:r>
      <w:r>
        <w:t xml:space="preserve">должавшимся с 1990 года по 2007 год. Проблемы, </w:t>
      </w:r>
      <w:r w:rsidR="00341631">
        <w:t xml:space="preserve">вставшие </w:t>
      </w:r>
      <w:r>
        <w:t>перед страной, д</w:t>
      </w:r>
      <w:r>
        <w:t>о</w:t>
      </w:r>
      <w:r>
        <w:t>полнительно усугубились вследствие экономических санкций, введенных Е</w:t>
      </w:r>
      <w:r>
        <w:t>в</w:t>
      </w:r>
      <w:r>
        <w:t>ропейским союзом в 1993 году за недостаточную приверженность Того дем</w:t>
      </w:r>
      <w:r>
        <w:t>о</w:t>
      </w:r>
      <w:r>
        <w:t>кратии.</w:t>
      </w:r>
    </w:p>
    <w:p w:rsidR="0093451A" w:rsidRDefault="0093451A" w:rsidP="001D13C0">
      <w:pPr>
        <w:pStyle w:val="SingleTxtGR"/>
      </w:pPr>
      <w:r>
        <w:t>3.</w:t>
      </w:r>
      <w:r>
        <w:tab/>
        <w:t>14 апреля 2004 года Того взял</w:t>
      </w:r>
      <w:r w:rsidR="00341631">
        <w:t>о на себ</w:t>
      </w:r>
      <w:r>
        <w:t>я обязательства, направленные на укрепление демократического климата и верховенства права, более эффекти</w:t>
      </w:r>
      <w:r>
        <w:t>в</w:t>
      </w:r>
      <w:r>
        <w:t xml:space="preserve">ное </w:t>
      </w:r>
      <w:r w:rsidR="00341631">
        <w:t xml:space="preserve">соблюдение </w:t>
      </w:r>
      <w:r>
        <w:t>прав человека и нормализацию отношений с Европейским со</w:t>
      </w:r>
      <w:r>
        <w:t>ю</w:t>
      </w:r>
      <w:r>
        <w:t>зом. Национальный диалог, развернутый правительством в порядке выпо</w:t>
      </w:r>
      <w:r>
        <w:t>л</w:t>
      </w:r>
      <w:r>
        <w:t>нения этих обязательств</w:t>
      </w:r>
      <w:r w:rsidR="00341631">
        <w:t>,</w:t>
      </w:r>
      <w:r>
        <w:t xml:space="preserve"> в конечном итоге привел к подписанию 20 августа 2006 года Общего политического соглашения, осуществление которого позволило прове</w:t>
      </w:r>
      <w:r>
        <w:t>с</w:t>
      </w:r>
      <w:r>
        <w:t xml:space="preserve">ти 14 октября 2007 года выборы в законодательный орган. Создание в 2006 году </w:t>
      </w:r>
      <w:r w:rsidR="00341631">
        <w:t>С</w:t>
      </w:r>
      <w:r>
        <w:t>транового отделения Управления Верховного комиссара Организации Объ</w:t>
      </w:r>
      <w:r>
        <w:t>е</w:t>
      </w:r>
      <w:r>
        <w:t>диненных Наций по правам человека (УВКПЧ) в Того содействовало улучш</w:t>
      </w:r>
      <w:r>
        <w:t>е</w:t>
      </w:r>
      <w:r>
        <w:t>нию положения в области прав человека и способств</w:t>
      </w:r>
      <w:r w:rsidR="00E314DF">
        <w:t>овало успеху выборов 2007 </w:t>
      </w:r>
      <w:r>
        <w:t>года. Совместные усилия правительства и этого Отделения обеспечили условия для подлинного национального примирения.</w:t>
      </w:r>
    </w:p>
    <w:p w:rsidR="0093451A" w:rsidRDefault="0093451A" w:rsidP="001D13C0">
      <w:pPr>
        <w:pStyle w:val="SingleTxtGR"/>
      </w:pPr>
      <w:r>
        <w:t>4.</w:t>
      </w:r>
      <w:r>
        <w:tab/>
        <w:t xml:space="preserve">Того </w:t>
      </w:r>
      <w:r w:rsidR="00341631">
        <w:t xml:space="preserve">при поддержке УВКПЧ </w:t>
      </w:r>
      <w:r>
        <w:t>работает над выполнением своих обяз</w:t>
      </w:r>
      <w:r>
        <w:t>а</w:t>
      </w:r>
      <w:r>
        <w:t>тельств в соответствии с международными договорами по правам человека. Н</w:t>
      </w:r>
      <w:r>
        <w:t>а</w:t>
      </w:r>
      <w:r>
        <w:t>стоящий доклад был подготовлен межминистерской комиссией. Трудности, к</w:t>
      </w:r>
      <w:r>
        <w:t>о</w:t>
      </w:r>
      <w:r>
        <w:t>торые могли отразиться на содержании доклада, включают в себя существ</w:t>
      </w:r>
      <w:r>
        <w:t>о</w:t>
      </w:r>
      <w:r>
        <w:t>вавшие в стране в отчетный период</w:t>
      </w:r>
      <w:r w:rsidR="00341631">
        <w:t xml:space="preserve"> условия</w:t>
      </w:r>
      <w:r>
        <w:t>, нехватку ресурсов, нехватку эк</w:t>
      </w:r>
      <w:r>
        <w:t>с</w:t>
      </w:r>
      <w:r>
        <w:t>пертного опыта в деле подготовки докладов и недостаток соответствующих п</w:t>
      </w:r>
      <w:r>
        <w:t>о</w:t>
      </w:r>
      <w:r>
        <w:t>следних данных.</w:t>
      </w:r>
    </w:p>
    <w:p w:rsidR="0093451A" w:rsidRDefault="0093451A" w:rsidP="001D13C0">
      <w:pPr>
        <w:pStyle w:val="SingleTxtGR"/>
      </w:pPr>
      <w:r>
        <w:t>5.</w:t>
      </w:r>
      <w:r>
        <w:tab/>
        <w:t>Обращая внимание на информацию, содержащуюся в письменных отв</w:t>
      </w:r>
      <w:r>
        <w:t>е</w:t>
      </w:r>
      <w:r>
        <w:t>тах</w:t>
      </w:r>
      <w:r w:rsidRPr="00685E52">
        <w:t xml:space="preserve"> </w:t>
      </w:r>
      <w:r>
        <w:t>(</w:t>
      </w:r>
      <w:r w:rsidRPr="002529C2">
        <w:rPr>
          <w:lang w:val="en-US"/>
        </w:rPr>
        <w:t>CERD</w:t>
      </w:r>
      <w:r w:rsidRPr="008C5A00">
        <w:t>/</w:t>
      </w:r>
      <w:r w:rsidRPr="002529C2">
        <w:rPr>
          <w:lang w:val="en-US"/>
        </w:rPr>
        <w:t>C</w:t>
      </w:r>
      <w:r w:rsidRPr="008C5A00">
        <w:t>/</w:t>
      </w:r>
      <w:r w:rsidRPr="002529C2">
        <w:rPr>
          <w:lang w:val="en-US"/>
        </w:rPr>
        <w:t>TGO</w:t>
      </w:r>
      <w:r w:rsidRPr="008C5A00">
        <w:t>/</w:t>
      </w:r>
      <w:r w:rsidRPr="002529C2">
        <w:rPr>
          <w:lang w:val="en-US"/>
        </w:rPr>
        <w:t>Q</w:t>
      </w:r>
      <w:r w:rsidRPr="008C5A00">
        <w:t>/17</w:t>
      </w:r>
      <w:r w:rsidR="00D36D77">
        <w:t>/</w:t>
      </w:r>
      <w:r w:rsidR="00D36D77">
        <w:rPr>
          <w:lang w:val="en-US"/>
        </w:rPr>
        <w:t>Add</w:t>
      </w:r>
      <w:r w:rsidR="00D36D77" w:rsidRPr="00D36D77">
        <w:t>.1</w:t>
      </w:r>
      <w:r w:rsidR="00E314DF">
        <w:t>), оно</w:t>
      </w:r>
      <w:r>
        <w:t xml:space="preserve"> говорит, что в настоящее время идет пр</w:t>
      </w:r>
      <w:r>
        <w:t>о</w:t>
      </w:r>
      <w:r>
        <w:t>цесс инкорпорирования в Уголовный кодекс определения расовой дискримин</w:t>
      </w:r>
      <w:r>
        <w:t>а</w:t>
      </w:r>
      <w:r>
        <w:t>ции в соответствии со статьей 1 Конвенции. Уголовный кодекс с внесенными попра</w:t>
      </w:r>
      <w:r>
        <w:t>в</w:t>
      </w:r>
      <w:r>
        <w:t>ками будет включать в себя новые наказания за дискриминационные действия. Учитывая отсутствие судебных пр</w:t>
      </w:r>
      <w:r>
        <w:t>е</w:t>
      </w:r>
      <w:r>
        <w:t>следований в соответствии со статьей 59 Уголовного кодекса, Кодекс с внесенными в него поправками станет предметом информационно-просветительской кампании с целью обеспечения того, чтобы отдельные лица были осведомлены, что они могу</w:t>
      </w:r>
      <w:r w:rsidR="00D36D77">
        <w:t>т осуществлять свои права в судебном порядке</w:t>
      </w:r>
      <w:r>
        <w:t>.</w:t>
      </w:r>
    </w:p>
    <w:p w:rsidR="0093451A" w:rsidRDefault="0093451A" w:rsidP="001D13C0">
      <w:pPr>
        <w:pStyle w:val="SingleTxtGR"/>
      </w:pPr>
      <w:r>
        <w:t>6.</w:t>
      </w:r>
      <w:r>
        <w:tab/>
        <w:t>Дискриминационные положения, содержащиеся в Кодексе о гражданстве и Кодексе законов о личности и семье, больше не будут применяться, в резул</w:t>
      </w:r>
      <w:r>
        <w:t>ь</w:t>
      </w:r>
      <w:r>
        <w:t>тате чего женщины смогут передавать гражданство своим детям и осущест</w:t>
      </w:r>
      <w:r>
        <w:t>в</w:t>
      </w:r>
      <w:r>
        <w:t>лять наследование таким же образом, как и мужчины. Планируемые поправки к Уголовному кодексу будут пред</w:t>
      </w:r>
      <w:r>
        <w:t>у</w:t>
      </w:r>
      <w:r>
        <w:t xml:space="preserve">сматривать возбуждение уголовных санкций за сохраняющуюся дискриминацию в этих областях. </w:t>
      </w:r>
    </w:p>
    <w:p w:rsidR="0093451A" w:rsidRDefault="0093451A" w:rsidP="001D13C0">
      <w:pPr>
        <w:pStyle w:val="SingleTxtGR"/>
      </w:pPr>
      <w:r>
        <w:t>7.</w:t>
      </w:r>
      <w:r>
        <w:tab/>
        <w:t>Положения международных договоров, ратифицированных Того, всегда имеют преимущественную силу по сравнению с положениями внутреннего з</w:t>
      </w:r>
      <w:r>
        <w:t>а</w:t>
      </w:r>
      <w:r>
        <w:t>конодательства. Положения, предполагающие лишь</w:t>
      </w:r>
      <w:r w:rsidR="00D36D77">
        <w:t xml:space="preserve"> закрепление за гражданами соответствующих прав, </w:t>
      </w:r>
      <w:r>
        <w:t>имеют прямое действие, и на них можно непосредс</w:t>
      </w:r>
      <w:r>
        <w:t>т</w:t>
      </w:r>
      <w:r>
        <w:t>венно ссылаться в судах; применение положений, криминализирующих некот</w:t>
      </w:r>
      <w:r>
        <w:t>о</w:t>
      </w:r>
      <w:r>
        <w:t>рые акты, обусловливается изменением национального законодательства с ц</w:t>
      </w:r>
      <w:r>
        <w:t>е</w:t>
      </w:r>
      <w:r>
        <w:t>лью обеспечения возможности для установления надлежащих уголовных сан</w:t>
      </w:r>
      <w:r>
        <w:t>к</w:t>
      </w:r>
      <w:r>
        <w:t>ций.</w:t>
      </w:r>
    </w:p>
    <w:p w:rsidR="0093451A" w:rsidRPr="008C5A00" w:rsidRDefault="0093451A" w:rsidP="001D13C0">
      <w:pPr>
        <w:pStyle w:val="SingleTxtGR"/>
      </w:pPr>
      <w:r>
        <w:t>8.</w:t>
      </w:r>
      <w:r>
        <w:tab/>
      </w:r>
      <w:r w:rsidR="00D36D77">
        <w:t>Ввиду</w:t>
      </w:r>
      <w:r>
        <w:t xml:space="preserve"> актов дискриминации, совершенных в Того в недавнем прошлом, проходят консультации </w:t>
      </w:r>
      <w:r w:rsidR="00D36D77">
        <w:t>на предмет создания к</w:t>
      </w:r>
      <w:r>
        <w:t>омиссии по установлению ист</w:t>
      </w:r>
      <w:r>
        <w:t>и</w:t>
      </w:r>
      <w:r>
        <w:t>ны, справед</w:t>
      </w:r>
      <w:r w:rsidR="00D36D77">
        <w:t xml:space="preserve">ливости и </w:t>
      </w:r>
      <w:r>
        <w:t>примирению. Меры по борьбе с расовой дискриминац</w:t>
      </w:r>
      <w:r>
        <w:t>и</w:t>
      </w:r>
      <w:r>
        <w:t>ей будет осуществлять Верховный комиссариат по примирению и укреплению н</w:t>
      </w:r>
      <w:r>
        <w:t>а</w:t>
      </w:r>
      <w:r>
        <w:t>ционального един</w:t>
      </w:r>
      <w:r w:rsidR="00D36D77">
        <w:t>ства, учрежденный на основании У</w:t>
      </w:r>
      <w:r>
        <w:t>каза</w:t>
      </w:r>
      <w:r w:rsidRPr="00B16D29">
        <w:t xml:space="preserve"> </w:t>
      </w:r>
      <w:r>
        <w:t>№ 2008-032/PR от</w:t>
      </w:r>
      <w:r w:rsidR="00D36D77">
        <w:t xml:space="preserve"> 11 </w:t>
      </w:r>
      <w:r w:rsidRPr="00F71ED0">
        <w:t>марта 2008 года.</w:t>
      </w:r>
    </w:p>
    <w:p w:rsidR="0093451A" w:rsidRDefault="0093451A" w:rsidP="001D13C0">
      <w:pPr>
        <w:pStyle w:val="SingleTxtGR"/>
      </w:pPr>
      <w:r>
        <w:t>9.</w:t>
      </w:r>
      <w:r>
        <w:tab/>
        <w:t xml:space="preserve">Был принят и </w:t>
      </w:r>
      <w:r w:rsidR="00D36D77">
        <w:t>обнародован З</w:t>
      </w:r>
      <w:r>
        <w:t>а</w:t>
      </w:r>
      <w:r w:rsidR="00E314DF">
        <w:t>кон № 2005-004 от 9 февраля 2005</w:t>
      </w:r>
      <w:r>
        <w:t xml:space="preserve"> года, вносящий поправки в </w:t>
      </w:r>
      <w:r w:rsidR="00D36D77">
        <w:t>З</w:t>
      </w:r>
      <w:r>
        <w:t>акон № 96-12 от 11 декабря 1996 года о членском сост</w:t>
      </w:r>
      <w:r>
        <w:t>а</w:t>
      </w:r>
      <w:r>
        <w:t>ве, организационной структуре и порядке функционирования Национальной комиссии по правам человека (НКПЧ). Он обеспечил независимость Наци</w:t>
      </w:r>
      <w:r>
        <w:t>о</w:t>
      </w:r>
      <w:r>
        <w:t>нальной комиссии по правам человека и, таким образом, выполнение одного из 22 обязательств, взятых на себя правительством в рамках заключенного им с</w:t>
      </w:r>
      <w:r>
        <w:t>о</w:t>
      </w:r>
      <w:r>
        <w:t>глашения с Европейским союзом. В 2008 году Международный координацио</w:t>
      </w:r>
      <w:r>
        <w:t>н</w:t>
      </w:r>
      <w:r>
        <w:t>ный комитет национальных учреждений, занимающихся поощрением и защ</w:t>
      </w:r>
      <w:r>
        <w:t>и</w:t>
      </w:r>
      <w:r>
        <w:t>той прав человека, предоставил Национальной комиссии по правам человека Того аккредитационный статус А. В августе 2001 года в преддверии Всемирной ко</w:t>
      </w:r>
      <w:r>
        <w:t>н</w:t>
      </w:r>
      <w:r>
        <w:t>ференции по борьбе против расизма, расовой дискриминации, ксенофобии и связанной с ними нетерпимости НКПЧ организовала рабочее совещание, п</w:t>
      </w:r>
      <w:r>
        <w:t>о</w:t>
      </w:r>
      <w:r>
        <w:t xml:space="preserve">священное ликвидации расовой дискриминации. В </w:t>
      </w:r>
      <w:r w:rsidR="008E0CED">
        <w:t xml:space="preserve">рамках </w:t>
      </w:r>
      <w:r>
        <w:t xml:space="preserve">НКПЧ существует подкомиссия по борьбе с расовой, этнической и религиозной дискриминацией и </w:t>
      </w:r>
      <w:r w:rsidR="008E0CED">
        <w:t xml:space="preserve">пагубной </w:t>
      </w:r>
      <w:r>
        <w:t>кул</w:t>
      </w:r>
      <w:r>
        <w:t>ь</w:t>
      </w:r>
      <w:r>
        <w:t xml:space="preserve">турной практикой. </w:t>
      </w:r>
    </w:p>
    <w:p w:rsidR="0093451A" w:rsidRDefault="0093451A" w:rsidP="001D13C0">
      <w:pPr>
        <w:pStyle w:val="SingleTxtGR"/>
      </w:pPr>
      <w:r>
        <w:t>10.</w:t>
      </w:r>
      <w:r>
        <w:tab/>
        <w:t>При поддержке Программы развития Организации Объединенных Наций (ПРООН) правительство санкционировало проведение исследования по вопр</w:t>
      </w:r>
      <w:r>
        <w:t>о</w:t>
      </w:r>
      <w:r>
        <w:t>су о межэтнической напряженности, выводы которого</w:t>
      </w:r>
      <w:r w:rsidR="008E0CED">
        <w:t xml:space="preserve"> будут использоваться в работе с</w:t>
      </w:r>
      <w:r>
        <w:t xml:space="preserve"> цел</w:t>
      </w:r>
      <w:r w:rsidR="008E0CED">
        <w:t>ью</w:t>
      </w:r>
      <w:r>
        <w:t xml:space="preserve"> создания комиссии по установлению истины, справедливости и примирению. Анализ представительства этнических групп в сфере государс</w:t>
      </w:r>
      <w:r>
        <w:t>т</w:t>
      </w:r>
      <w:r>
        <w:t>венного администрирования позволил правительству предложить такие реш</w:t>
      </w:r>
      <w:r>
        <w:t>е</w:t>
      </w:r>
      <w:r>
        <w:t>ния, как целенаправленная борьба с торговлей детьми и низким уровнем обр</w:t>
      </w:r>
      <w:r>
        <w:t>а</w:t>
      </w:r>
      <w:r>
        <w:t>зования девочек в некоторых географических районах. Принятые меры вкл</w:t>
      </w:r>
      <w:r>
        <w:t>ю</w:t>
      </w:r>
      <w:r>
        <w:t>ча</w:t>
      </w:r>
      <w:r w:rsidR="008E0CED">
        <w:t>ют</w:t>
      </w:r>
      <w:r>
        <w:t xml:space="preserve"> в себя сокращение платы за школьное образование для девочек, создание цен</w:t>
      </w:r>
      <w:r w:rsidR="008E0CED">
        <w:t>тров здравоохранения и принятие</w:t>
      </w:r>
      <w:r>
        <w:t xml:space="preserve"> закона</w:t>
      </w:r>
      <w:r w:rsidR="008E0CED">
        <w:t xml:space="preserve"> о борьбе с торговлей людьми и К</w:t>
      </w:r>
      <w:r>
        <w:t>о</w:t>
      </w:r>
      <w:r>
        <w:t>декса</w:t>
      </w:r>
      <w:r w:rsidR="008E0CED">
        <w:t xml:space="preserve"> прав </w:t>
      </w:r>
      <w:r>
        <w:t>ребенка.</w:t>
      </w:r>
    </w:p>
    <w:p w:rsidR="0093451A" w:rsidRDefault="0093451A" w:rsidP="001D13C0">
      <w:pPr>
        <w:pStyle w:val="SingleTxtGR"/>
      </w:pPr>
      <w:r>
        <w:t>11.</w:t>
      </w:r>
      <w:r>
        <w:tab/>
      </w:r>
      <w:r w:rsidR="008E0CED">
        <w:t>Разр</w:t>
      </w:r>
      <w:r>
        <w:t>аб</w:t>
      </w:r>
      <w:r w:rsidR="008E0CED">
        <w:t>атывается</w:t>
      </w:r>
      <w:r>
        <w:t xml:space="preserve"> политика позитивных действий, направленная на пр</w:t>
      </w:r>
      <w:r>
        <w:t>е</w:t>
      </w:r>
      <w:r>
        <w:t xml:space="preserve">одоление различий в представленности этнических групп в государственной администрации и армии. Например, в регионах </w:t>
      </w:r>
      <w:r w:rsidR="008E0CED">
        <w:t xml:space="preserve">проводятся </w:t>
      </w:r>
      <w:r>
        <w:t>конкурсные приз</w:t>
      </w:r>
      <w:r>
        <w:t>ы</w:t>
      </w:r>
      <w:r>
        <w:t>вы военнослужащих,</w:t>
      </w:r>
      <w:r w:rsidR="008E0CED">
        <w:t xml:space="preserve"> при этом предпочтение отдается </w:t>
      </w:r>
      <w:r>
        <w:t>местным кадрам с целью создания армии, являющейся истинно республиканской и аполитичной по св</w:t>
      </w:r>
      <w:r>
        <w:t>о</w:t>
      </w:r>
      <w:r>
        <w:t>ему характеру. Подготовка по правам человека и семинары по вопросам межд</w:t>
      </w:r>
      <w:r>
        <w:t>у</w:t>
      </w:r>
      <w:r>
        <w:t>народного гуманитарного права помог</w:t>
      </w:r>
      <w:r w:rsidR="008E0CED">
        <w:t>ают</w:t>
      </w:r>
      <w:r>
        <w:t xml:space="preserve"> изменить существующие </w:t>
      </w:r>
      <w:r w:rsidR="008E0CED">
        <w:t xml:space="preserve">взгляды </w:t>
      </w:r>
      <w:r>
        <w:t>и поведение. Средства ма</w:t>
      </w:r>
      <w:r w:rsidR="008E0CED">
        <w:t>ссовой информации способствуют</w:t>
      </w:r>
      <w:r>
        <w:t xml:space="preserve"> деятельности по п</w:t>
      </w:r>
      <w:r>
        <w:t>о</w:t>
      </w:r>
      <w:r>
        <w:t xml:space="preserve">вышению осведомленности посредством </w:t>
      </w:r>
      <w:r w:rsidR="00764AFB">
        <w:t xml:space="preserve">трансляции </w:t>
      </w:r>
      <w:r>
        <w:t>программ, направленных на поощрение межэтнической терпимости.</w:t>
      </w:r>
    </w:p>
    <w:p w:rsidR="0093451A" w:rsidRDefault="0093451A" w:rsidP="001D13C0">
      <w:pPr>
        <w:pStyle w:val="SingleTxtGR"/>
      </w:pPr>
      <w:r>
        <w:t>12.</w:t>
      </w:r>
      <w:r>
        <w:tab/>
        <w:t>Хотя настоящий доклад был составлен без вклада со стороны НПО, пр</w:t>
      </w:r>
      <w:r>
        <w:t>и</w:t>
      </w:r>
      <w:r>
        <w:t>нимаются меры для обеспечения того, чтобы они были вовлечены в подготовку будущих докладов. При содействии партнеров по развитию Того, в</w:t>
      </w:r>
      <w:r w:rsidR="00764AFB">
        <w:t xml:space="preserve">ключая </w:t>
      </w:r>
      <w:r w:rsidR="00E314DF">
        <w:br/>
      </w:r>
      <w:r>
        <w:t>Фран</w:t>
      </w:r>
      <w:r w:rsidR="00764AFB">
        <w:t>цию</w:t>
      </w:r>
      <w:r>
        <w:t>, Европейск</w:t>
      </w:r>
      <w:r w:rsidR="00764AFB">
        <w:t>ий</w:t>
      </w:r>
      <w:r>
        <w:t xml:space="preserve"> союз и ПРООН</w:t>
      </w:r>
      <w:r w:rsidR="00764AFB">
        <w:t xml:space="preserve">, реализуется программа мер по </w:t>
      </w:r>
      <w:r>
        <w:t>сове</w:t>
      </w:r>
      <w:r>
        <w:t>р</w:t>
      </w:r>
      <w:r>
        <w:t>шенствованию судебной системы, в том числе посредством модернизации зак</w:t>
      </w:r>
      <w:r>
        <w:t>о</w:t>
      </w:r>
      <w:r>
        <w:t>нодательства. Правительство предпринимает шаги для улучшения професси</w:t>
      </w:r>
      <w:r>
        <w:t>о</w:t>
      </w:r>
      <w:r>
        <w:t>нальной подготовки и кадровой базы в юридической области</w:t>
      </w:r>
      <w:r w:rsidR="00764AFB">
        <w:t xml:space="preserve">, в частности, </w:t>
      </w:r>
      <w:r>
        <w:t xml:space="preserve"> п</w:t>
      </w:r>
      <w:r>
        <w:t>у</w:t>
      </w:r>
      <w:r>
        <w:t>тем создания библиотек, организации ежегодного конкурса для будущих маг</w:t>
      </w:r>
      <w:r>
        <w:t>и</w:t>
      </w:r>
      <w:r>
        <w:t>стратов и обеспечения надлежащего продвижения по службе работников юр</w:t>
      </w:r>
      <w:r>
        <w:t>и</w:t>
      </w:r>
      <w:r>
        <w:t>дической профессии.</w:t>
      </w:r>
    </w:p>
    <w:p w:rsidR="0093451A" w:rsidRDefault="0093451A" w:rsidP="001D13C0">
      <w:pPr>
        <w:pStyle w:val="SingleTxtGR"/>
      </w:pPr>
      <w:r>
        <w:t>13.</w:t>
      </w:r>
      <w:r>
        <w:tab/>
        <w:t>Правительство рассматривает возможность того, чтобы сделать заявление в отн</w:t>
      </w:r>
      <w:r>
        <w:t>о</w:t>
      </w:r>
      <w:r>
        <w:t>шении статьи 14 Конвенции.</w:t>
      </w:r>
    </w:p>
    <w:p w:rsidR="0093451A" w:rsidRDefault="0093451A" w:rsidP="001D13C0">
      <w:pPr>
        <w:pStyle w:val="SingleTxtGR"/>
      </w:pPr>
      <w:r>
        <w:t>14.</w:t>
      </w:r>
      <w:r>
        <w:tab/>
        <w:t>Усилиям по повышению осведомленности о правах человека в школах препятствуют трудности, с которыми сталкивается страна. Правительством ра</w:t>
      </w:r>
      <w:r>
        <w:t>з</w:t>
      </w:r>
      <w:r>
        <w:t>работаны и приняты документы для преподавания прав человека. В интересах обеспечения свободных, демократических и транспарентных выборов распр</w:t>
      </w:r>
      <w:r>
        <w:t>о</w:t>
      </w:r>
      <w:r>
        <w:t>страняется избирательный кодекс.</w:t>
      </w:r>
    </w:p>
    <w:p w:rsidR="0093451A" w:rsidRDefault="0093451A" w:rsidP="001D13C0">
      <w:pPr>
        <w:pStyle w:val="SingleTxtGR"/>
      </w:pPr>
      <w:r>
        <w:t>15.</w:t>
      </w:r>
      <w:r>
        <w:tab/>
        <w:t xml:space="preserve">Осуществление обязательств, </w:t>
      </w:r>
      <w:r w:rsidR="00764AFB">
        <w:t xml:space="preserve">принятых </w:t>
      </w:r>
      <w:r>
        <w:t>20 августа 2006 года, включая введение кодекса поведения для обеспечения надлежащей в этическом отнош</w:t>
      </w:r>
      <w:r>
        <w:t>е</w:t>
      </w:r>
      <w:r>
        <w:t>нии работы средств массовой информации и запрещение всех форм дискрим</w:t>
      </w:r>
      <w:r>
        <w:t>и</w:t>
      </w:r>
      <w:r>
        <w:t>нации, позволил</w:t>
      </w:r>
      <w:r w:rsidR="00764AFB">
        <w:t>о</w:t>
      </w:r>
      <w:r>
        <w:t xml:space="preserve"> мирно провести в октябре 2007 года свободные, демократ</w:t>
      </w:r>
      <w:r>
        <w:t>и</w:t>
      </w:r>
      <w:r>
        <w:t>ческие и транспарентные выборы.</w:t>
      </w:r>
    </w:p>
    <w:p w:rsidR="0093451A" w:rsidRPr="00513FA1" w:rsidRDefault="0093451A" w:rsidP="001D13C0">
      <w:pPr>
        <w:pStyle w:val="SingleTxtGR"/>
      </w:pPr>
      <w:r>
        <w:t>16.</w:t>
      </w:r>
      <w:r>
        <w:tab/>
        <w:t>В целях дальнейшего поощрения равного представительства женщин в ходе избирательного процесса и национальной гражданской жизни была введ</w:t>
      </w:r>
      <w:r>
        <w:t>е</w:t>
      </w:r>
      <w:r>
        <w:t>на квота для же</w:t>
      </w:r>
      <w:r>
        <w:t>н</w:t>
      </w:r>
      <w:r>
        <w:t>щин-кандидатов.</w:t>
      </w:r>
    </w:p>
    <w:p w:rsidR="00564544" w:rsidRDefault="00564544" w:rsidP="001D13C0">
      <w:pPr>
        <w:pStyle w:val="SingleTxtGR"/>
      </w:pPr>
      <w:r>
        <w:t>17.</w:t>
      </w:r>
      <w:r>
        <w:tab/>
        <w:t>В 2008 году было организовано рабочее совещание для членов межмин</w:t>
      </w:r>
      <w:r>
        <w:t>и</w:t>
      </w:r>
      <w:r>
        <w:t xml:space="preserve">стерской комиссии по вопросам методов подготовки докладов для органов по наблюдению за осуществлением договоров. Оно позволило участникам лучше понять содержание договоров, их собственные роли и обязанности в </w:t>
      </w:r>
      <w:r w:rsidR="00764AFB">
        <w:t xml:space="preserve">процессе составления </w:t>
      </w:r>
      <w:r>
        <w:t>периодических докладов, важность Конвенции о ликвидации всех форм расовой дискриминации и необходимость принятия Конвенции во вним</w:t>
      </w:r>
      <w:r>
        <w:t>а</w:t>
      </w:r>
      <w:r>
        <w:t>ние при разр</w:t>
      </w:r>
      <w:r>
        <w:t>а</w:t>
      </w:r>
      <w:r>
        <w:t>ботке национального законодательства.</w:t>
      </w:r>
    </w:p>
    <w:p w:rsidR="00564544" w:rsidRDefault="00564544" w:rsidP="001D13C0">
      <w:pPr>
        <w:pStyle w:val="SingleTxtGR"/>
      </w:pPr>
      <w:r>
        <w:t>18.</w:t>
      </w:r>
      <w:r>
        <w:tab/>
        <w:t>Хотя с момента представления доклада были достигнуты значительны</w:t>
      </w:r>
      <w:r w:rsidR="00E314DF">
        <w:t>е</w:t>
      </w:r>
      <w:r>
        <w:t xml:space="preserve"> улучшения, еще многое предстоит сделать, прежде чем Того </w:t>
      </w:r>
      <w:r w:rsidR="00764AFB">
        <w:t>с</w:t>
      </w:r>
      <w:r>
        <w:t xml:space="preserve">может добиться своей цели </w:t>
      </w:r>
      <w:r w:rsidR="00E314DF">
        <w:t xml:space="preserve">− </w:t>
      </w:r>
      <w:r>
        <w:t>стать образцовым государством. Вместе с тем приверженность правительства осуществлению договоров по правам человека является необр</w:t>
      </w:r>
      <w:r>
        <w:t>а</w:t>
      </w:r>
      <w:r>
        <w:t>тимой. Она настоятельно призвала всех партнеров по развитию поддержать Т</w:t>
      </w:r>
      <w:r>
        <w:t>о</w:t>
      </w:r>
      <w:r>
        <w:t xml:space="preserve">го в </w:t>
      </w:r>
      <w:r w:rsidR="00764AFB">
        <w:t xml:space="preserve">его </w:t>
      </w:r>
      <w:r>
        <w:t>усилиях по обесп</w:t>
      </w:r>
      <w:r>
        <w:t>е</w:t>
      </w:r>
      <w:r>
        <w:t xml:space="preserve">чению прав человека для своих граждан. </w:t>
      </w:r>
    </w:p>
    <w:p w:rsidR="00564544" w:rsidRDefault="00564544" w:rsidP="001D13C0">
      <w:pPr>
        <w:pStyle w:val="SingleTxtGR"/>
      </w:pPr>
      <w:r>
        <w:t>19.</w:t>
      </w:r>
      <w:r>
        <w:tab/>
      </w:r>
      <w:r>
        <w:rPr>
          <w:b/>
        </w:rPr>
        <w:t>Г-н Кунте</w:t>
      </w:r>
      <w:r>
        <w:t xml:space="preserve"> (Того) говорит, что запрещение расовой дискриминации явл</w:t>
      </w:r>
      <w:r>
        <w:t>я</w:t>
      </w:r>
      <w:r>
        <w:t>ется принципо</w:t>
      </w:r>
      <w:r w:rsidR="00764AFB">
        <w:t>м</w:t>
      </w:r>
      <w:r>
        <w:t>,</w:t>
      </w:r>
      <w:r w:rsidR="00764AFB">
        <w:t xml:space="preserve"> закрепленным в международных но</w:t>
      </w:r>
      <w:r>
        <w:t>рмативно-правовых а</w:t>
      </w:r>
      <w:r>
        <w:t>к</w:t>
      </w:r>
      <w:r>
        <w:t xml:space="preserve">тах, </w:t>
      </w:r>
      <w:r w:rsidR="00764AFB">
        <w:t xml:space="preserve">участником </w:t>
      </w:r>
      <w:r>
        <w:t>которых является Того, и во внутреннем законодательстве, включая Конституцию. Расовая дискриминация в Того не строится на основе цвета кожи, а принимает форму трайбализма и регионализма. Национальная комиссия по правам человека (НКПЧ), Председателем которой он является, ведет работу с целью искоренения проблемы путем проведения информационно-просветительских кампаний, последняя из которых позволила добиться удовл</w:t>
      </w:r>
      <w:r>
        <w:t>е</w:t>
      </w:r>
      <w:r>
        <w:t>творительного прогресса в деле обеспечения проведения выборов, свободных от трайбализма. Армия была открыта к</w:t>
      </w:r>
      <w:r w:rsidR="001543C8">
        <w:t>ак для женщин, так и для мужчин</w:t>
      </w:r>
      <w:r>
        <w:t xml:space="preserve"> и н</w:t>
      </w:r>
      <w:r>
        <w:t>а</w:t>
      </w:r>
      <w:r>
        <w:t>считывает в своих рядах представителей всех этнических групп и всех реги</w:t>
      </w:r>
      <w:r>
        <w:t>о</w:t>
      </w:r>
      <w:r>
        <w:t>нов. Недискриминация служит основой социального сплочения и национальн</w:t>
      </w:r>
      <w:r>
        <w:t>о</w:t>
      </w:r>
      <w:r>
        <w:t>го единства. Применение политики позитивных действий надо приветс</w:t>
      </w:r>
      <w:r>
        <w:t>т</w:t>
      </w:r>
      <w:r>
        <w:t>вовать, однако этническая принадлежность того или иного кандидата никогда не дол</w:t>
      </w:r>
      <w:r>
        <w:t>ж</w:t>
      </w:r>
      <w:r>
        <w:t>на перевешивать личн</w:t>
      </w:r>
      <w:r w:rsidR="006F0A59">
        <w:t>ые качества</w:t>
      </w:r>
      <w:r>
        <w:t>. Особого внимания заслуживает судьба л</w:t>
      </w:r>
      <w:r>
        <w:t>ю</w:t>
      </w:r>
      <w:r>
        <w:t xml:space="preserve">дей с </w:t>
      </w:r>
      <w:r w:rsidR="006F0A59">
        <w:t xml:space="preserve">инвалидностью, </w:t>
      </w:r>
      <w:r>
        <w:t>проживающи</w:t>
      </w:r>
      <w:r w:rsidR="006F0A59">
        <w:t>х</w:t>
      </w:r>
      <w:r>
        <w:t xml:space="preserve"> в Того. Он просит международное соо</w:t>
      </w:r>
      <w:r>
        <w:t>б</w:t>
      </w:r>
      <w:r>
        <w:t>щество по</w:t>
      </w:r>
      <w:r>
        <w:noBreakHyphen/>
        <w:t xml:space="preserve">прежнему оказывать поддержку его стране, в частности в </w:t>
      </w:r>
      <w:r w:rsidR="006F0A59">
        <w:t xml:space="preserve">контексте </w:t>
      </w:r>
      <w:r>
        <w:t>процесса национального примир</w:t>
      </w:r>
      <w:r>
        <w:t>е</w:t>
      </w:r>
      <w:r>
        <w:t>ния.</w:t>
      </w:r>
    </w:p>
    <w:p w:rsidR="00564544" w:rsidRDefault="00564544" w:rsidP="001D13C0">
      <w:pPr>
        <w:pStyle w:val="SingleTxtGR"/>
      </w:pPr>
      <w:r>
        <w:t>20.</w:t>
      </w:r>
      <w:r>
        <w:tab/>
      </w:r>
      <w:r>
        <w:rPr>
          <w:b/>
        </w:rPr>
        <w:t>Г-н де Гутт</w:t>
      </w:r>
      <w:r>
        <w:t xml:space="preserve"> (Докладчик по стране) говорит, что, хотя Того пережило п</w:t>
      </w:r>
      <w:r>
        <w:t>е</w:t>
      </w:r>
      <w:r>
        <w:t xml:space="preserve">риод сильного кризиса, численный состав и высокий уровень делегации, как представляется, отражают его приверженность возобновления эффективного диалога с Комитетом. Он с удовлетворением отмечает созыв в Того в декабре 2007 года регионального семинара </w:t>
      </w:r>
      <w:r w:rsidR="006F0A59">
        <w:t xml:space="preserve">экспертов </w:t>
      </w:r>
      <w:r>
        <w:t>по вопросам осуществления Ду</w:t>
      </w:r>
      <w:r>
        <w:t>р</w:t>
      </w:r>
      <w:r>
        <w:t>банской декларации и Программы действий и деятельности на пути к провед</w:t>
      </w:r>
      <w:r>
        <w:t>е</w:t>
      </w:r>
      <w:r>
        <w:t>нию Кон</w:t>
      </w:r>
      <w:r w:rsidR="006F0A59">
        <w:t>ферен</w:t>
      </w:r>
      <w:r>
        <w:t>ции по обзору Дурбанского пр</w:t>
      </w:r>
      <w:r>
        <w:t>о</w:t>
      </w:r>
      <w:r>
        <w:t>цесса в 2009 году.</w:t>
      </w:r>
    </w:p>
    <w:p w:rsidR="00564544" w:rsidRDefault="00564544" w:rsidP="001D13C0">
      <w:pPr>
        <w:pStyle w:val="SingleTxtGR"/>
      </w:pPr>
      <w:r>
        <w:t>21.</w:t>
      </w:r>
      <w:r>
        <w:tab/>
        <w:t xml:space="preserve">Он </w:t>
      </w:r>
      <w:r w:rsidR="006F0A59">
        <w:t>по</w:t>
      </w:r>
      <w:r>
        <w:t>строи</w:t>
      </w:r>
      <w:r w:rsidR="006F0A59">
        <w:t>л</w:t>
      </w:r>
      <w:r>
        <w:t xml:space="preserve"> свой анализ положения в Того не только на докладе </w:t>
      </w:r>
      <w:r w:rsidRPr="00C87190">
        <w:t>(</w:t>
      </w:r>
      <w:r>
        <w:rPr>
          <w:lang w:val="en-US"/>
        </w:rPr>
        <w:t>CERD</w:t>
      </w:r>
      <w:r w:rsidRPr="00C87190">
        <w:t>/</w:t>
      </w:r>
      <w:r>
        <w:rPr>
          <w:lang w:val="en-US"/>
        </w:rPr>
        <w:t>C</w:t>
      </w:r>
      <w:r w:rsidRPr="00C87190">
        <w:t>/</w:t>
      </w:r>
      <w:r>
        <w:rPr>
          <w:lang w:val="en-US"/>
        </w:rPr>
        <w:t>TGO</w:t>
      </w:r>
      <w:r w:rsidRPr="00C87190">
        <w:t>/17)</w:t>
      </w:r>
      <w:r>
        <w:t xml:space="preserve"> и письменных ответах </w:t>
      </w:r>
      <w:r w:rsidRPr="008B13ED">
        <w:t>(</w:t>
      </w:r>
      <w:r>
        <w:rPr>
          <w:lang w:val="en-US"/>
        </w:rPr>
        <w:t>CERD</w:t>
      </w:r>
      <w:r w:rsidRPr="008B13ED">
        <w:t>/</w:t>
      </w:r>
      <w:r>
        <w:rPr>
          <w:lang w:val="en-US"/>
        </w:rPr>
        <w:t>C</w:t>
      </w:r>
      <w:r w:rsidRPr="008B13ED">
        <w:t>/</w:t>
      </w:r>
      <w:r>
        <w:rPr>
          <w:lang w:val="en-US"/>
        </w:rPr>
        <w:t>TGO</w:t>
      </w:r>
      <w:r w:rsidRPr="008B13ED">
        <w:t>/</w:t>
      </w:r>
      <w:r>
        <w:rPr>
          <w:lang w:val="en-US"/>
        </w:rPr>
        <w:t>Q</w:t>
      </w:r>
      <w:r w:rsidRPr="008B13ED">
        <w:t>/17/</w:t>
      </w:r>
      <w:r>
        <w:rPr>
          <w:lang w:val="en-US"/>
        </w:rPr>
        <w:t>Add</w:t>
      </w:r>
      <w:r w:rsidRPr="008B13ED">
        <w:t>.1)</w:t>
      </w:r>
      <w:r>
        <w:t>, но и на заключительных замечаниях других экспертных органов, которым Того пре</w:t>
      </w:r>
      <w:r>
        <w:t>д</w:t>
      </w:r>
      <w:r>
        <w:t>ставляло доклады в отчетный период, и на исследованиях, представленных НПО. В докладе содержатся подробные данные о политических и законод</w:t>
      </w:r>
      <w:r>
        <w:t>а</w:t>
      </w:r>
      <w:r>
        <w:t xml:space="preserve">тельных изменениях в стране до </w:t>
      </w:r>
      <w:r w:rsidRPr="00082B62">
        <w:t>1999</w:t>
      </w:r>
      <w:r>
        <w:rPr>
          <w:lang w:val="en-US"/>
        </w:rPr>
        <w:t> </w:t>
      </w:r>
      <w:r w:rsidRPr="00082B62">
        <w:t>год</w:t>
      </w:r>
      <w:r>
        <w:t>а, однако отсутствует информация, о</w:t>
      </w:r>
      <w:r>
        <w:t>х</w:t>
      </w:r>
      <w:r>
        <w:t>ватывающая изменения за последнюю часть отчетного периода. Базовый док</w:t>
      </w:r>
      <w:r>
        <w:t>у</w:t>
      </w:r>
      <w:r>
        <w:t>мент (</w:t>
      </w:r>
      <w:r>
        <w:rPr>
          <w:lang w:val="en-US"/>
        </w:rPr>
        <w:t>HRI</w:t>
      </w:r>
      <w:r w:rsidRPr="00082B62">
        <w:t>/</w:t>
      </w:r>
      <w:r>
        <w:rPr>
          <w:lang w:val="en-US"/>
        </w:rPr>
        <w:t>CORE</w:t>
      </w:r>
      <w:r w:rsidRPr="00082B62">
        <w:t>/1/</w:t>
      </w:r>
      <w:r>
        <w:rPr>
          <w:lang w:val="en-US"/>
        </w:rPr>
        <w:t>Add</w:t>
      </w:r>
      <w:r w:rsidRPr="00082B62">
        <w:t>.38/</w:t>
      </w:r>
      <w:r>
        <w:rPr>
          <w:lang w:val="en-US"/>
        </w:rPr>
        <w:t>Rev</w:t>
      </w:r>
      <w:r w:rsidRPr="00082B62">
        <w:t>.1</w:t>
      </w:r>
      <w:r>
        <w:t>) включает некоторую необходимую информ</w:t>
      </w:r>
      <w:r>
        <w:t>а</w:t>
      </w:r>
      <w:r>
        <w:t>цию о демографическом и этническом составе населения страны. Численность населения, согласно име</w:t>
      </w:r>
      <w:r>
        <w:t>ю</w:t>
      </w:r>
      <w:r>
        <w:t>щимся данным, составляет 6 млн. человек.</w:t>
      </w:r>
    </w:p>
    <w:p w:rsidR="00564544" w:rsidRDefault="00564544" w:rsidP="001D13C0">
      <w:pPr>
        <w:pStyle w:val="SingleTxtGR"/>
      </w:pPr>
      <w:r>
        <w:t>22.</w:t>
      </w:r>
      <w:r>
        <w:tab/>
        <w:t>Он приветствует подписание Общего политического соглашения 20 авг</w:t>
      </w:r>
      <w:r>
        <w:t>у</w:t>
      </w:r>
      <w:r>
        <w:t>ста 2006 года и успешное проведение выборов 14 октября 2007 года.</w:t>
      </w:r>
      <w:r w:rsidR="006F0A59">
        <w:t xml:space="preserve"> Задейств</w:t>
      </w:r>
      <w:r w:rsidR="006F0A59">
        <w:t>о</w:t>
      </w:r>
      <w:r w:rsidR="006F0A59">
        <w:t xml:space="preserve">вание </w:t>
      </w:r>
      <w:r>
        <w:t>вновь международных партнеров отныне будет зависеть от способности страны пр</w:t>
      </w:r>
      <w:r>
        <w:t>о</w:t>
      </w:r>
      <w:r>
        <w:t>вести все необходимые реформы.</w:t>
      </w:r>
    </w:p>
    <w:p w:rsidR="00564544" w:rsidRDefault="00564544" w:rsidP="001D13C0">
      <w:pPr>
        <w:pStyle w:val="SingleTxtGR"/>
      </w:pPr>
      <w:r>
        <w:t>23.</w:t>
      </w:r>
      <w:r>
        <w:tab/>
        <w:t>Согласно докладу, экономическая ситуация в Того ухудшилась после пр</w:t>
      </w:r>
      <w:r>
        <w:t>и</w:t>
      </w:r>
      <w:r>
        <w:t>остановления оказания внешней помощи в 1993 году и девальвации франка КФА в 1994 году. Внешний долг ле</w:t>
      </w:r>
      <w:r w:rsidR="00F65E12">
        <w:t>жит</w:t>
      </w:r>
      <w:r>
        <w:t xml:space="preserve"> тяжелым бременем на Того и потреб</w:t>
      </w:r>
      <w:r>
        <w:t>о</w:t>
      </w:r>
      <w:r>
        <w:t>вал нового взаимодействия со Всемирным банком.</w:t>
      </w:r>
    </w:p>
    <w:p w:rsidR="0093451A" w:rsidRDefault="00F65E12" w:rsidP="001D13C0">
      <w:pPr>
        <w:pStyle w:val="SingleTxtGR"/>
      </w:pPr>
      <w:r>
        <w:t>24.</w:t>
      </w:r>
      <w:r>
        <w:tab/>
        <w:t>В докладе откровенно признае</w:t>
      </w:r>
      <w:r w:rsidR="00564544">
        <w:t xml:space="preserve">тся </w:t>
      </w:r>
      <w:r>
        <w:t xml:space="preserve">острота проблемы </w:t>
      </w:r>
      <w:r w:rsidR="00564544">
        <w:t>нетерпимости на э</w:t>
      </w:r>
      <w:r w:rsidR="00564544">
        <w:t>т</w:t>
      </w:r>
      <w:r w:rsidR="00564544">
        <w:t>нической почве, с которой стране пришлось бороться в период ее перехода к демократии в начале 1990-х годов</w:t>
      </w:r>
      <w:r>
        <w:t>,</w:t>
      </w:r>
      <w:r w:rsidR="001543C8">
        <w:t xml:space="preserve"> и упоминаю</w:t>
      </w:r>
      <w:r w:rsidR="00564544">
        <w:t>тся связанные с этим "убийства, охота за людьми и перемещение отдельных групп населения".</w:t>
      </w:r>
      <w:r>
        <w:t xml:space="preserve"> </w:t>
      </w:r>
      <w:r w:rsidR="0093451A">
        <w:t>В нем аналоги</w:t>
      </w:r>
      <w:r w:rsidR="0093451A">
        <w:t>ч</w:t>
      </w:r>
      <w:r w:rsidR="0093451A">
        <w:t xml:space="preserve">ным образом </w:t>
      </w:r>
      <w:r>
        <w:t xml:space="preserve">откровенно </w:t>
      </w:r>
      <w:r w:rsidR="0093451A">
        <w:t>признается (пункты 202−208) то, что преступность, связанная с насилием, по-прежнему существует, несмотря на принятие мног</w:t>
      </w:r>
      <w:r w:rsidR="0093451A">
        <w:t>о</w:t>
      </w:r>
      <w:r w:rsidR="0093451A">
        <w:t xml:space="preserve">численных мер для борьбы с ней. Он спрашивает, почему не было возбуждено никаких уголовных преследований </w:t>
      </w:r>
      <w:r>
        <w:t>в отношении</w:t>
      </w:r>
      <w:r w:rsidR="0093451A">
        <w:t xml:space="preserve"> политически</w:t>
      </w:r>
      <w:r>
        <w:t>х лидеров</w:t>
      </w:r>
      <w:r w:rsidR="0093451A">
        <w:t>, кот</w:t>
      </w:r>
      <w:r w:rsidR="0093451A">
        <w:t>о</w:t>
      </w:r>
      <w:r w:rsidR="0093451A">
        <w:t>рые разжигали расовую ненависть в прошлом.</w:t>
      </w:r>
    </w:p>
    <w:p w:rsidR="0093451A" w:rsidRDefault="0093451A" w:rsidP="001D13C0">
      <w:pPr>
        <w:pStyle w:val="SingleTxtGR"/>
      </w:pPr>
      <w:r>
        <w:t>25.</w:t>
      </w:r>
      <w:r>
        <w:tab/>
        <w:t>Отмечая, что в июле 2006 года Комитет против пыток подчеркнул н</w:t>
      </w:r>
      <w:r>
        <w:t>е</w:t>
      </w:r>
      <w:r>
        <w:t>удовлетворительные услови</w:t>
      </w:r>
      <w:r w:rsidR="00F65E12">
        <w:t>я</w:t>
      </w:r>
      <w:r>
        <w:t xml:space="preserve"> в рамках пенитенциарной системы, он выражает обеспокоенность по поводу нехватки ресурсов и подготовки, которые не позв</w:t>
      </w:r>
      <w:r>
        <w:t>о</w:t>
      </w:r>
      <w:r>
        <w:t>ляют работникам магистратуры должным образом выполнять свои функции и влекут за собой ненадлежащую готовность заключенных к тому, чтобы возвр</w:t>
      </w:r>
      <w:r>
        <w:t>а</w:t>
      </w:r>
      <w:r>
        <w:t>титься в общество после освобождения. Он также выражает обеспокоенность по поводу отсутствия эффективного участия граждан и недопредставленности женщин и некоторых этнических групп в органах исполнительной власти, Н</w:t>
      </w:r>
      <w:r>
        <w:t>а</w:t>
      </w:r>
      <w:r>
        <w:t xml:space="preserve">циональном собрании и государственных учреждениях. </w:t>
      </w:r>
    </w:p>
    <w:p w:rsidR="0093451A" w:rsidRDefault="0093451A" w:rsidP="001D13C0">
      <w:pPr>
        <w:pStyle w:val="SingleTxtGR"/>
      </w:pPr>
      <w:r>
        <w:t>26.</w:t>
      </w:r>
      <w:r>
        <w:tab/>
        <w:t>В мае 2001 года Комитет по экономическим, социальным и культурным правам отметил существование в Того социальной дискриминации на основе этнической пр</w:t>
      </w:r>
      <w:r>
        <w:t>и</w:t>
      </w:r>
      <w:r>
        <w:t>надлежности, особенно между народами юга и севера. Такая дискриминация может пор</w:t>
      </w:r>
      <w:r w:rsidR="00F65E12">
        <w:t xml:space="preserve">ождать </w:t>
      </w:r>
      <w:r>
        <w:t>межэтническое насилие. Комитет по правам человека и Комитет по ликвидации дискриминации в отношении женщин ан</w:t>
      </w:r>
      <w:r>
        <w:t>а</w:t>
      </w:r>
      <w:r>
        <w:t>логичным образом выражали ряд обеспокоен</w:t>
      </w:r>
      <w:r w:rsidR="00F65E12">
        <w:t>ностей, которые он разделяет. В </w:t>
      </w:r>
      <w:r>
        <w:t>докладе признаются проблемы с прессой, а также распространение инфекц</w:t>
      </w:r>
      <w:r>
        <w:t>и</w:t>
      </w:r>
      <w:r>
        <w:t>онных заболеваний, усугубляющееся отсутствием доступа к безопасной пить</w:t>
      </w:r>
      <w:r>
        <w:t>е</w:t>
      </w:r>
      <w:r>
        <w:t xml:space="preserve">вой воде и нехваткой медицинских специалистов. </w:t>
      </w:r>
    </w:p>
    <w:p w:rsidR="0093451A" w:rsidRDefault="0093451A" w:rsidP="001D13C0">
      <w:pPr>
        <w:pStyle w:val="SingleTxtGR"/>
      </w:pPr>
      <w:r>
        <w:t>27.</w:t>
      </w:r>
      <w:r>
        <w:tab/>
        <w:t>Необходимы статистические данные, дающие более четкую картину д</w:t>
      </w:r>
      <w:r>
        <w:t>е</w:t>
      </w:r>
      <w:r>
        <w:t>мографич</w:t>
      </w:r>
      <w:r>
        <w:t>е</w:t>
      </w:r>
      <w:r>
        <w:t>ского и этнического состава населения страны. Он спрашивает, включает ли тоголезское законодательство такое определение расовой дискр</w:t>
      </w:r>
      <w:r>
        <w:t>и</w:t>
      </w:r>
      <w:r>
        <w:t>минации, которое полностью согласуется с положениями статьи 1 Конвенции, входит ли Конвенция в число нормативно-правовых актов, которые могут пр</w:t>
      </w:r>
      <w:r>
        <w:t>и</w:t>
      </w:r>
      <w:r>
        <w:t>меняться непосредственно, и можно ли на ее положения напрямую ссылаться в национальных судах и трибуналах в целом или ча</w:t>
      </w:r>
      <w:r>
        <w:t>с</w:t>
      </w:r>
      <w:r>
        <w:t>тично. Отмечались ли в Того случаи применения содержащихся в статье 7 его Конституции положений, к</w:t>
      </w:r>
      <w:r>
        <w:t>о</w:t>
      </w:r>
      <w:r>
        <w:t xml:space="preserve">торые формально запрещают </w:t>
      </w:r>
      <w:r w:rsidR="00F65E12">
        <w:t xml:space="preserve">самоидентификацию </w:t>
      </w:r>
      <w:r>
        <w:t xml:space="preserve">всех кандидатов </w:t>
      </w:r>
      <w:r w:rsidR="00F65E12">
        <w:t>с</w:t>
      </w:r>
      <w:r>
        <w:t xml:space="preserve"> какой-либо этническ</w:t>
      </w:r>
      <w:r w:rsidR="00F65E12">
        <w:t>ой группой</w:t>
      </w:r>
      <w:r>
        <w:t xml:space="preserve"> или </w:t>
      </w:r>
      <w:r w:rsidR="00F65E12">
        <w:t>религией</w:t>
      </w:r>
      <w:r>
        <w:t>?</w:t>
      </w:r>
    </w:p>
    <w:p w:rsidR="0093451A" w:rsidRDefault="0093451A" w:rsidP="001D13C0">
      <w:pPr>
        <w:pStyle w:val="SingleTxtGR"/>
      </w:pPr>
      <w:r>
        <w:t>28.</w:t>
      </w:r>
      <w:r>
        <w:tab/>
        <w:t>Он хотел бы получить дополнительную информацию о деятельности Верховного комиссариата по примирению и укреплению национального еди</w:t>
      </w:r>
      <w:r>
        <w:t>н</w:t>
      </w:r>
      <w:r>
        <w:t>ства и мерах, предусматриваемых для ослабления межэтнической напряженн</w:t>
      </w:r>
      <w:r>
        <w:t>о</w:t>
      </w:r>
      <w:r>
        <w:t>сти, борьбы с безнаказанностью и интеграции борьбы против расовой дискр</w:t>
      </w:r>
      <w:r>
        <w:t>и</w:t>
      </w:r>
      <w:r>
        <w:t>минации в программы, принятые правительством. Государство-участник след</w:t>
      </w:r>
      <w:r>
        <w:t>у</w:t>
      </w:r>
      <w:r>
        <w:t xml:space="preserve">ет поздравить с получением аккредитационного статуса А </w:t>
      </w:r>
      <w:r w:rsidR="00F65E12">
        <w:t xml:space="preserve">со стороны </w:t>
      </w:r>
      <w:r>
        <w:t>Межд</w:t>
      </w:r>
      <w:r>
        <w:t>у</w:t>
      </w:r>
      <w:r>
        <w:t>народного координационного комитета национальных правозащитных учре</w:t>
      </w:r>
      <w:r>
        <w:t>ж</w:t>
      </w:r>
      <w:r>
        <w:t>дений.</w:t>
      </w:r>
    </w:p>
    <w:p w:rsidR="0093451A" w:rsidRDefault="0093451A" w:rsidP="001D13C0">
      <w:pPr>
        <w:pStyle w:val="SingleTxtGR"/>
      </w:pPr>
      <w:r>
        <w:t>29.</w:t>
      </w:r>
      <w:r>
        <w:tab/>
        <w:t>Заявление о том, что явление расовой дискриминации не имеет в Того широкого распространения (пункт 176 доклада), представляется странным на фоне откровенного признания в других пунктах доклада факта существования межэтнической напряженности. Он хотел бы узнать, каких результатов доб</w:t>
      </w:r>
      <w:r>
        <w:t>и</w:t>
      </w:r>
      <w:r>
        <w:t>лась Национальная комиссия по правам человека, какими являются функции и состав Комиссии по установлению истины, справедливости и примирению и когда она начнет свою работу. Он с удовлетворением отмечает меры, принятые для обеспечения того, чтобы проживающие в стране этнические группы были лучше представлены на гражданской службе и в армии.</w:t>
      </w:r>
    </w:p>
    <w:p w:rsidR="0093451A" w:rsidRDefault="0093451A" w:rsidP="001D13C0">
      <w:pPr>
        <w:pStyle w:val="SingleTxtGR"/>
      </w:pPr>
      <w:r>
        <w:t>30.</w:t>
      </w:r>
      <w:r>
        <w:tab/>
        <w:t>Статья 4 Конвенции, как представляется, не в полной мере принята во внимание, в частности предусмотренный ею запрет в отношении финансиров</w:t>
      </w:r>
      <w:r>
        <w:t>а</w:t>
      </w:r>
      <w:r>
        <w:t>ния расистской де</w:t>
      </w:r>
      <w:r>
        <w:t>я</w:t>
      </w:r>
      <w:r>
        <w:t>тельности и расистской пропаганды. Он хотел бы узнать сроки принятия поправок к Уголовному кодексу, с тем чтобы предусмотреть определение расовой дискриминации.</w:t>
      </w:r>
    </w:p>
    <w:p w:rsidR="0093451A" w:rsidRDefault="0093451A" w:rsidP="001D13C0">
      <w:pPr>
        <w:pStyle w:val="SingleTxtGR"/>
      </w:pPr>
      <w:r>
        <w:t>31.</w:t>
      </w:r>
      <w:r>
        <w:tab/>
        <w:t>Он просит представить обновленные сведения о жалобах, поданных в п</w:t>
      </w:r>
      <w:r>
        <w:t>е</w:t>
      </w:r>
      <w:r>
        <w:t xml:space="preserve">риод после представления доклада. Были ли проведены какие-либо судебные преследования в связи с </w:t>
      </w:r>
      <w:r w:rsidR="00B51113">
        <w:t>опубликованием "</w:t>
      </w:r>
      <w:r>
        <w:t>тенденциозны</w:t>
      </w:r>
      <w:r w:rsidR="00B51113">
        <w:t>х</w:t>
      </w:r>
      <w:r>
        <w:t xml:space="preserve"> стат</w:t>
      </w:r>
      <w:r w:rsidR="00B51113">
        <w:t>ей</w:t>
      </w:r>
      <w:r>
        <w:t xml:space="preserve"> с призыв</w:t>
      </w:r>
      <w:r>
        <w:t>а</w:t>
      </w:r>
      <w:r>
        <w:t>ми, разжигающими этническую и племенную рознь</w:t>
      </w:r>
      <w:r w:rsidR="00B51113">
        <w:t>"</w:t>
      </w:r>
      <w:r w:rsidR="001543C8">
        <w:t>, о которых говорится в пун</w:t>
      </w:r>
      <w:r w:rsidR="001543C8">
        <w:t>к</w:t>
      </w:r>
      <w:r w:rsidR="001543C8">
        <w:t>те </w:t>
      </w:r>
      <w:r>
        <w:t>176 доклада? Какова роль аудиовизуальных средств массовой информации в деле разжигания или борьбы против межэтнической напряженности?</w:t>
      </w:r>
    </w:p>
    <w:p w:rsidR="0093451A" w:rsidRPr="006429AD" w:rsidRDefault="0093451A" w:rsidP="001D13C0">
      <w:pPr>
        <w:pStyle w:val="SingleTxtGR"/>
      </w:pPr>
      <w:r>
        <w:t>32.</w:t>
      </w:r>
      <w:r>
        <w:tab/>
        <w:t>Значительная часть обильной информации о применении статьи 5 являе</w:t>
      </w:r>
      <w:r>
        <w:t>т</w:t>
      </w:r>
      <w:r>
        <w:t>ся общей по своему характеру. Он спрашивает, планирует ли правительство и</w:t>
      </w:r>
      <w:r>
        <w:t>с</w:t>
      </w:r>
      <w:r>
        <w:t>ключить все дискриминационные положения из Кодекса о гражданстве, с тем чтобы привести его в полное соответствие с Конвенцией, и что оно планирует сделать для обеспечения справедливого участия в деятельности государстве</w:t>
      </w:r>
      <w:r>
        <w:t>н</w:t>
      </w:r>
      <w:r>
        <w:t>ных органов.</w:t>
      </w:r>
    </w:p>
    <w:p w:rsidR="0093451A" w:rsidRDefault="0093451A" w:rsidP="001D13C0">
      <w:pPr>
        <w:pStyle w:val="SingleTxtGR"/>
      </w:pPr>
      <w:r>
        <w:t>33.</w:t>
      </w:r>
      <w:r>
        <w:tab/>
        <w:t>Представленная информация в отношении судебных преследований за торговлю детьми приветствуется, однако необходима дополнительная информ</w:t>
      </w:r>
      <w:r>
        <w:t>а</w:t>
      </w:r>
      <w:r>
        <w:t>ция о детях, принуждаемых к работе в качестве домашней прислуги, возбу</w:t>
      </w:r>
      <w:r>
        <w:t>ж</w:t>
      </w:r>
      <w:r>
        <w:t>денных уголовных санкциях и мерах с целью обеспечения защиты и возмещ</w:t>
      </w:r>
      <w:r>
        <w:t>е</w:t>
      </w:r>
      <w:r>
        <w:t>ния для жертв. Необходима также дополнительная информация о пелхах, кот</w:t>
      </w:r>
      <w:r>
        <w:t>о</w:t>
      </w:r>
      <w:r>
        <w:t>рые, как указано в письменных ответах, я</w:t>
      </w:r>
      <w:r>
        <w:t>в</w:t>
      </w:r>
      <w:r>
        <w:t>ляются народом, ведущим племенной образ жизни, и о землях, являющихся "коллективной собственностью общин коренных народов" (пункт 286 доклада). Следует в более полной мере разъя</w:t>
      </w:r>
      <w:r>
        <w:t>с</w:t>
      </w:r>
      <w:r>
        <w:t>нить принимаемые при поддержке ПРООН меры с целью модернизации суде</w:t>
      </w:r>
      <w:r>
        <w:t>б</w:t>
      </w:r>
      <w:r>
        <w:t xml:space="preserve">ной системы. </w:t>
      </w:r>
    </w:p>
    <w:p w:rsidR="0093451A" w:rsidRDefault="0093451A" w:rsidP="001D13C0">
      <w:pPr>
        <w:pStyle w:val="SingleTxtGR"/>
      </w:pPr>
      <w:r>
        <w:t>34.</w:t>
      </w:r>
      <w:r>
        <w:tab/>
        <w:t xml:space="preserve">Он спрашивает, какие меры были приняты правительством </w:t>
      </w:r>
      <w:r w:rsidR="00B51113">
        <w:t xml:space="preserve">для </w:t>
      </w:r>
      <w:r>
        <w:t>повыш</w:t>
      </w:r>
      <w:r>
        <w:t>е</w:t>
      </w:r>
      <w:r>
        <w:t>ния осведомленности о средствах правовой защиты, имеющихся в распоряж</w:t>
      </w:r>
      <w:r>
        <w:t>е</w:t>
      </w:r>
      <w:r>
        <w:t>нии жертв, с учетом того, что пока не было отмечено ни одной связанной с р</w:t>
      </w:r>
      <w:r>
        <w:t>а</w:t>
      </w:r>
      <w:r>
        <w:t>совой дискриминацией жалобы, направленной либо в суд, либо в учреждения внесудебной защиты (пункт 351 доклада). Планирует ли Того в ближайшем б</w:t>
      </w:r>
      <w:r>
        <w:t>у</w:t>
      </w:r>
      <w:r>
        <w:t>дущем сделать заявление по статье 14 Конвенции? Будет приветствоваться б</w:t>
      </w:r>
      <w:r>
        <w:t>о</w:t>
      </w:r>
      <w:r>
        <w:t xml:space="preserve">лее подробная информация о принятой в 2007 году национальной программе для повышения </w:t>
      </w:r>
      <w:r w:rsidR="00B51113">
        <w:t>осведомленности</w:t>
      </w:r>
      <w:r>
        <w:t xml:space="preserve"> населения о правах человека, мерах с целью включения преподавания прав человека в школьные учебные планы и трансл</w:t>
      </w:r>
      <w:r>
        <w:t>я</w:t>
      </w:r>
      <w:r>
        <w:t>ции средствами массовой информации программ с целью поощрения терпим</w:t>
      </w:r>
      <w:r>
        <w:t>о</w:t>
      </w:r>
      <w:r>
        <w:t>сти. Наконец, он спрашивает, почему НПО не были вовлечены в разр</w:t>
      </w:r>
      <w:r>
        <w:t>а</w:t>
      </w:r>
      <w:r>
        <w:t>ботку доклада.</w:t>
      </w:r>
    </w:p>
    <w:p w:rsidR="0093451A" w:rsidRDefault="0093451A" w:rsidP="001D13C0">
      <w:pPr>
        <w:pStyle w:val="SingleTxtGR"/>
      </w:pPr>
      <w:r>
        <w:t>35.</w:t>
      </w:r>
      <w:r>
        <w:tab/>
      </w:r>
      <w:r>
        <w:rPr>
          <w:b/>
        </w:rPr>
        <w:t>Г-н Торнберри</w:t>
      </w:r>
      <w:r>
        <w:t xml:space="preserve"> говорит, что в докладе описывается драматическая ка</w:t>
      </w:r>
      <w:r>
        <w:t>р</w:t>
      </w:r>
      <w:r>
        <w:t>тина этнического конфликта, и государство-участник заслуживает похвалы за свою откровенность. В ответе Того на существующую проблему делается а</w:t>
      </w:r>
      <w:r>
        <w:t>к</w:t>
      </w:r>
      <w:r>
        <w:t>цент на национальное единство, примирение, прощение и просвещение. Вместе с тем вспышки насилия на этнической почве не происходят беспричинно. Идеи, вынашиваемые политиками и средствами массовой информации, которые сы</w:t>
      </w:r>
      <w:r>
        <w:t>г</w:t>
      </w:r>
      <w:r>
        <w:t xml:space="preserve">рали свою роль в разжигании этнической ненависти, не нашли бы резонанса, если бы межэтническая напряженность уже не существовала. </w:t>
      </w:r>
      <w:r w:rsidR="00475BC4">
        <w:t xml:space="preserve">В этом контексте он спрашивает, считается ли в этом отношении обусловливающим фактором доминирующее положение определенных этнических групп и ослабило ли или же обострило межэтническую напряженность осуществление Закона 1998 года о децентрализации (пункт 175 доклада). </w:t>
      </w:r>
      <w:r>
        <w:t>Он предлагает делегации высказать свои комментарии в целом по поводу взаимосвязи между национальным еди</w:t>
      </w:r>
      <w:r>
        <w:t>н</w:t>
      </w:r>
      <w:r>
        <w:t>ством и децентрализацией в Того: обеспечение национального единства за счет использования культурного богатства разнообразного населения очень сильно отличается от подавления проявлений мес</w:t>
      </w:r>
      <w:r>
        <w:t>т</w:t>
      </w:r>
      <w:r>
        <w:t xml:space="preserve">ной культуры. </w:t>
      </w:r>
    </w:p>
    <w:p w:rsidR="0093451A" w:rsidRDefault="0093451A" w:rsidP="001D13C0">
      <w:pPr>
        <w:pStyle w:val="SingleTxtGR"/>
      </w:pPr>
      <w:r>
        <w:t>36.</w:t>
      </w:r>
      <w:r>
        <w:tab/>
        <w:t>Он анализирует вопрос со ссылкой в пункте 357 на мир, где "стираются террит</w:t>
      </w:r>
      <w:r>
        <w:t>о</w:t>
      </w:r>
      <w:r>
        <w:t>риальные границы, а также расовые, этнические и языковые различия"; такие различия составляют один из основополагающих аспектов человеческого существования, и ва</w:t>
      </w:r>
      <w:r>
        <w:t>ж</w:t>
      </w:r>
      <w:r>
        <w:t>ность культурного разнообразия признана Организацией Объединенных Наций по в</w:t>
      </w:r>
      <w:r>
        <w:t>о</w:t>
      </w:r>
      <w:r>
        <w:t>просам образования, науки и культуры (ЮНЕСКО) и другими органами. Можно одн</w:t>
      </w:r>
      <w:r>
        <w:t>о</w:t>
      </w:r>
      <w:r>
        <w:t xml:space="preserve">временно по достоинству оценивать различия и осуждать дискриминацию. </w:t>
      </w:r>
    </w:p>
    <w:p w:rsidR="0093451A" w:rsidRDefault="0093451A" w:rsidP="001D13C0">
      <w:pPr>
        <w:pStyle w:val="SingleTxtGR"/>
      </w:pPr>
      <w:r>
        <w:t>37.</w:t>
      </w:r>
      <w:r>
        <w:tab/>
      </w:r>
      <w:r>
        <w:rPr>
          <w:b/>
        </w:rPr>
        <w:t>Г-н Амир</w:t>
      </w:r>
      <w:r>
        <w:t xml:space="preserve"> говорит, что этнический конфликт − это общая тема в докладах африканских государств-участников, получаемых Комитетом, и прискорбное препятствие на пути развития и роста. Для будущего Африки жизненно важно, чтобы правительства мобилизовали политическую волю с целью преодоления межэтнической напряженности и укрепления национального единства. Сущес</w:t>
      </w:r>
      <w:r>
        <w:t>т</w:t>
      </w:r>
      <w:r>
        <w:t>вует разительный контраст между тем, чего добились европейские страны, к</w:t>
      </w:r>
      <w:r>
        <w:t>о</w:t>
      </w:r>
      <w:r>
        <w:t>торым удалось оставить в стороне свои ра</w:t>
      </w:r>
      <w:r>
        <w:t>з</w:t>
      </w:r>
      <w:r>
        <w:t xml:space="preserve">личия после второй мировой войны, и тем, чего добилась Африка, которая не смогла оставить в стороне этнические различия. Африке необходимо прийти к механизму мирного урегулирования конфликтов, учитывающему общую принадлежность конкретных стран </w:t>
      </w:r>
      <w:r w:rsidR="00B51113">
        <w:t xml:space="preserve">к </w:t>
      </w:r>
      <w:r>
        <w:t>одн</w:t>
      </w:r>
      <w:r>
        <w:t>о</w:t>
      </w:r>
      <w:r>
        <w:t xml:space="preserve">му континенту. Поощрение демократии и свободы выражения мнений станет для Африки подспорьем </w:t>
      </w:r>
      <w:r w:rsidR="00B51113">
        <w:t xml:space="preserve">в деле </w:t>
      </w:r>
      <w:r>
        <w:t>наращивания потенциала для модернизации и, таким образом, преодоления межэтнической напряженности, которая настолько сдерживает развитие Африканского континента.</w:t>
      </w:r>
    </w:p>
    <w:p w:rsidR="0093451A" w:rsidRDefault="0093451A" w:rsidP="001D13C0">
      <w:pPr>
        <w:pStyle w:val="SingleTxtGR"/>
      </w:pPr>
      <w:r>
        <w:t>38.</w:t>
      </w:r>
      <w:r>
        <w:tab/>
      </w:r>
      <w:r>
        <w:rPr>
          <w:b/>
        </w:rPr>
        <w:t>Г-н Линдгрен Алвис</w:t>
      </w:r>
      <w:r>
        <w:t xml:space="preserve"> говорит, что он был ошеломлен содержащимся в пункте 148 доклада заявлением о том, что расовая дискриминация "была пор</w:t>
      </w:r>
      <w:r>
        <w:t>о</w:t>
      </w:r>
      <w:r>
        <w:t>ждением системы деколонизации Африки": она существует долгое время. И он соглашается с г-ном Амиром в том, что национальное единство неизменно я</w:t>
      </w:r>
      <w:r>
        <w:t>в</w:t>
      </w:r>
      <w:r>
        <w:t>ляется предметом, вызывающим обеспокоенность, когда Комитет рассматривает доклады, представляемые африканскими государствами-участниками.</w:t>
      </w:r>
      <w:r w:rsidR="00B51113">
        <w:t xml:space="preserve"> </w:t>
      </w:r>
      <w:r>
        <w:t>Призн</w:t>
      </w:r>
      <w:r>
        <w:t>а</w:t>
      </w:r>
      <w:r>
        <w:t>вая важность воспевания культурных различий, он говорит, что, по его мнению, страны, пережившие такие трагические события, как Того, должны делать все возможное для поощрения единства. Хотя доклад является подробным, знач</w:t>
      </w:r>
      <w:r>
        <w:t>и</w:t>
      </w:r>
      <w:r>
        <w:t>тельная часть содержащейся в нем информации носит исторический характер; он приветствовал бы б</w:t>
      </w:r>
      <w:r>
        <w:t>о</w:t>
      </w:r>
      <w:r>
        <w:t>лее свежий анализ положения в стране.</w:t>
      </w:r>
    </w:p>
    <w:p w:rsidR="0093451A" w:rsidRDefault="0093451A" w:rsidP="001D13C0">
      <w:pPr>
        <w:pStyle w:val="SingleTxtGR"/>
      </w:pPr>
      <w:r>
        <w:t>39.</w:t>
      </w:r>
      <w:r>
        <w:tab/>
      </w:r>
      <w:r>
        <w:rPr>
          <w:b/>
        </w:rPr>
        <w:t>Г-н Дьякону</w:t>
      </w:r>
      <w:r>
        <w:t xml:space="preserve"> говорит, что воодушевляет тот факт, что в Того есть м</w:t>
      </w:r>
      <w:r>
        <w:t>и</w:t>
      </w:r>
      <w:r>
        <w:t>нистр по правам человека, и тем более важно то, что этот пост занимает же</w:t>
      </w:r>
      <w:r>
        <w:t>н</w:t>
      </w:r>
      <w:r>
        <w:t>щина. Правительство, похоже, осознает проблемы найма персонала на гражда</w:t>
      </w:r>
      <w:r>
        <w:t>н</w:t>
      </w:r>
      <w:r>
        <w:t>скую службу и имеет програ</w:t>
      </w:r>
      <w:r>
        <w:t>м</w:t>
      </w:r>
      <w:r>
        <w:t xml:space="preserve">му для преодоления такой несбалансированности, однако также сообщает об отсутствии специальных мер защиты в отношении отдельных расовых, этнических групп или </w:t>
      </w:r>
      <w:r w:rsidR="00B51113">
        <w:t>каких-либо категорий лиц (пункт </w:t>
      </w:r>
      <w:r>
        <w:t>150 доклада). Представляется вероятным, что только что упомянутая программа может включать в себя как раз такие с</w:t>
      </w:r>
      <w:r w:rsidR="00B51113">
        <w:t xml:space="preserve">пециальные </w:t>
      </w:r>
      <w:r w:rsidR="001543C8">
        <w:t>меры, и</w:t>
      </w:r>
      <w:r>
        <w:t xml:space="preserve"> если она их не включает, то должна включать. </w:t>
      </w:r>
    </w:p>
    <w:p w:rsidR="0093451A" w:rsidRDefault="0093451A" w:rsidP="001D13C0">
      <w:pPr>
        <w:pStyle w:val="SingleTxtGR"/>
      </w:pPr>
      <w:r>
        <w:t>40.</w:t>
      </w:r>
      <w:r>
        <w:tab/>
        <w:t xml:space="preserve">Определения </w:t>
      </w:r>
      <w:r w:rsidR="00B51113">
        <w:t>расовой дискриминации, содержащи</w:t>
      </w:r>
      <w:r>
        <w:t>еся в Конституции и Уголовном кодексе, как представл</w:t>
      </w:r>
      <w:r w:rsidR="00B51113">
        <w:t>яется, лишь отчасти соответствую</w:t>
      </w:r>
      <w:r>
        <w:t>т требов</w:t>
      </w:r>
      <w:r>
        <w:t>а</w:t>
      </w:r>
      <w:r>
        <w:t>ниям статьи 4. В частности, положения, упоминаемые в пунктах 168 и 169 до</w:t>
      </w:r>
      <w:r>
        <w:t>к</w:t>
      </w:r>
      <w:r>
        <w:t xml:space="preserve">лада, неравнозначны объявлению </w:t>
      </w:r>
      <w:r w:rsidR="00475BC4">
        <w:t xml:space="preserve">незаконности </w:t>
      </w:r>
      <w:r>
        <w:t>дискриминации. Он просит представить дополнительную информацию о статусе коренных народов в Того и о языке (языках) преподавания в системе образования. Ликвидация р</w:t>
      </w:r>
      <w:r>
        <w:t>а</w:t>
      </w:r>
      <w:r>
        <w:t>совой дискриминации является именно тем идеалом, к которому нужно стремиться, однако это</w:t>
      </w:r>
      <w:r w:rsidR="00475BC4">
        <w:t>го</w:t>
      </w:r>
      <w:r>
        <w:t xml:space="preserve"> крайне трудно добиться. Соответственно Комитет никогда не был склонен соглашаться с утверждениями об отсутствии расовой дискриминации в о</w:t>
      </w:r>
      <w:r>
        <w:t>т</w:t>
      </w:r>
      <w:r>
        <w:t xml:space="preserve">дельно взятой стране. </w:t>
      </w:r>
    </w:p>
    <w:p w:rsidR="0093451A" w:rsidRDefault="0093451A" w:rsidP="001D13C0">
      <w:pPr>
        <w:pStyle w:val="SingleTxtGR"/>
      </w:pPr>
      <w:r>
        <w:t>41.</w:t>
      </w:r>
      <w:r>
        <w:tab/>
      </w:r>
      <w:r>
        <w:rPr>
          <w:b/>
        </w:rPr>
        <w:t>Г-н Петер</w:t>
      </w:r>
      <w:r>
        <w:t xml:space="preserve"> спрашивает, почему в письменных ответах содержатся данные о населении за период с 1981 года, когда в других источниках имеются более свежие данные. Он согласен, что делегации следует дополнительно прокомме</w:t>
      </w:r>
      <w:r>
        <w:t>н</w:t>
      </w:r>
      <w:r>
        <w:t>тировать содержащ</w:t>
      </w:r>
      <w:r w:rsidR="00475BC4">
        <w:t>ее</w:t>
      </w:r>
      <w:r>
        <w:t>ся в пункте 148 заявление о том, что "расовая дискрим</w:t>
      </w:r>
      <w:r>
        <w:t>и</w:t>
      </w:r>
      <w:r>
        <w:t>нация была порождением системы деколонизации Африки". Он просит пре</w:t>
      </w:r>
      <w:r>
        <w:t>д</w:t>
      </w:r>
      <w:r>
        <w:t>ставить разъяснения по поводу каких-либо ограничений возможной продолж</w:t>
      </w:r>
      <w:r>
        <w:t>и</w:t>
      </w:r>
      <w:r>
        <w:t>тельности пребывания президента в своей должности. Хотя денежные стимулы для обеспечения посещаемости школ следует приветствовать, он хотел бы знать, что делается в целях преодоления культурных барьеров для образ</w:t>
      </w:r>
      <w:r>
        <w:t>о</w:t>
      </w:r>
      <w:r>
        <w:t>вания девочек. Менее строгие критерии</w:t>
      </w:r>
      <w:r w:rsidR="00475BC4" w:rsidRPr="00475BC4">
        <w:t xml:space="preserve"> </w:t>
      </w:r>
      <w:r w:rsidR="00475BC4">
        <w:t>приема</w:t>
      </w:r>
      <w:r>
        <w:t xml:space="preserve"> для девочек могут быть одним из п</w:t>
      </w:r>
      <w:r>
        <w:t>у</w:t>
      </w:r>
      <w:r>
        <w:t>тей расширения их доступа к университетскому образованию, в р</w:t>
      </w:r>
      <w:r>
        <w:t>е</w:t>
      </w:r>
      <w:r>
        <w:t>зультате чего будет исправлена историческая ошибка.</w:t>
      </w:r>
    </w:p>
    <w:p w:rsidR="0093451A" w:rsidRDefault="0093451A" w:rsidP="001D13C0">
      <w:pPr>
        <w:pStyle w:val="SingleTxtGR"/>
      </w:pPr>
      <w:r>
        <w:t>42.</w:t>
      </w:r>
      <w:r>
        <w:tab/>
        <w:t>Осталась ли неизменной позиция Того по поводу целесообразности пр</w:t>
      </w:r>
      <w:r>
        <w:t>и</w:t>
      </w:r>
      <w:r>
        <w:t>менения смертной казни? Он выражает удивление тем, что девушка-иностранка в возрасте до 18 лет может выйти замуж за тоголезца и приобрести тоголезское гражданство без согласия ее родителей (пункт 249 доклада). Может ли ин</w:t>
      </w:r>
      <w:r>
        <w:t>о</w:t>
      </w:r>
      <w:r>
        <w:t>странец, который женится на девушке-тоголезке моложе 18 лет (пункт 250), за счет этого приобрести тоголезское гражданство? Вызывает изумление, что н</w:t>
      </w:r>
      <w:r>
        <w:t>е</w:t>
      </w:r>
      <w:r>
        <w:t>совершеннолетний может считаться дееспособным для дачи согласия на брак (пункт 252), в частности в свете ратификации Того А</w:t>
      </w:r>
      <w:r>
        <w:t>ф</w:t>
      </w:r>
      <w:r>
        <w:t>риканской хартии прав и основ благосостояния ребенка,</w:t>
      </w:r>
      <w:r w:rsidR="00475BC4">
        <w:t xml:space="preserve"> которая</w:t>
      </w:r>
      <w:r>
        <w:t xml:space="preserve"> объявляет, что каждый человек моложе 18 лет является несовершеннолетним. </w:t>
      </w:r>
    </w:p>
    <w:p w:rsidR="0093451A" w:rsidRDefault="0093451A" w:rsidP="001D13C0">
      <w:pPr>
        <w:pStyle w:val="SingleTxtGR"/>
      </w:pPr>
      <w:r>
        <w:t>43.</w:t>
      </w:r>
      <w:r>
        <w:tab/>
        <w:t>Он просит представить разъяснения позиции правительства по поводу норм обычного права, касающ</w:t>
      </w:r>
      <w:r w:rsidR="00475BC4">
        <w:t>их</w:t>
      </w:r>
      <w:r>
        <w:t>ся наследования (пункт 256), и по поводу т</w:t>
      </w:r>
      <w:r>
        <w:t>о</w:t>
      </w:r>
      <w:r>
        <w:t>го, что делается для преодоления серьезной дискриминации в отношении дев</w:t>
      </w:r>
      <w:r>
        <w:t>о</w:t>
      </w:r>
      <w:r>
        <w:t>чек, которую эти нормы предполагают. Запрещает ли Конституция такую дискрим</w:t>
      </w:r>
      <w:r>
        <w:t>и</w:t>
      </w:r>
      <w:r>
        <w:t>нацию? Если да, то имеет ли преимущественную силу Конституция или нормы обычного права?</w:t>
      </w:r>
    </w:p>
    <w:p w:rsidR="0093451A" w:rsidRDefault="0093451A" w:rsidP="001D13C0">
      <w:pPr>
        <w:pStyle w:val="SingleTxtGR"/>
      </w:pPr>
      <w:r>
        <w:t>44.</w:t>
      </w:r>
      <w:r>
        <w:tab/>
      </w:r>
      <w:r>
        <w:rPr>
          <w:b/>
        </w:rPr>
        <w:t>Председатель</w:t>
      </w:r>
      <w:r>
        <w:t xml:space="preserve"> предлагает делегации подготовить свои ответы, которые Комитет рассмотрит на своем следующем заседании.</w:t>
      </w:r>
    </w:p>
    <w:p w:rsidR="0093451A" w:rsidRDefault="0093451A" w:rsidP="001D13C0">
      <w:pPr>
        <w:pStyle w:val="SingleTxtGR"/>
        <w:rPr>
          <w:i/>
        </w:rPr>
      </w:pPr>
      <w:r w:rsidRPr="00475BC4">
        <w:rPr>
          <w:i/>
        </w:rPr>
        <w:t>Заседание закрывается в 17 ч. 30 м.</w:t>
      </w:r>
    </w:p>
    <w:p w:rsidR="00475BC4" w:rsidRPr="00475BC4" w:rsidRDefault="00475BC4" w:rsidP="00475B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5BC4" w:rsidRPr="00475BC4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0" w:rsidRDefault="001D13C0">
      <w:r>
        <w:rPr>
          <w:lang w:val="en-US"/>
        </w:rPr>
        <w:tab/>
      </w:r>
      <w:r>
        <w:separator/>
      </w:r>
    </w:p>
  </w:endnote>
  <w:endnote w:type="continuationSeparator" w:id="0">
    <w:p w:rsidR="001D13C0" w:rsidRDefault="001D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0" w:rsidRPr="009A6F4A" w:rsidRDefault="001D13C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3C8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GE.09-46696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0" w:rsidRPr="009A6F4A" w:rsidRDefault="001D13C0">
    <w:pPr>
      <w:pStyle w:val="Footer"/>
      <w:rPr>
        <w:lang w:val="en-US"/>
      </w:rPr>
    </w:pPr>
    <w:r>
      <w:rPr>
        <w:lang w:val="en-US"/>
      </w:rPr>
      <w:t>GE.09-46696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ED0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0" w:rsidRDefault="001D13C0" w:rsidP="00564544">
    <w:pPr>
      <w:pStyle w:val="Footer"/>
      <w:rPr>
        <w:sz w:val="20"/>
        <w:lang w:val="ru-RU"/>
      </w:rPr>
    </w:pPr>
    <w:r>
      <w:rPr>
        <w:sz w:val="20"/>
        <w:lang w:val="ru-RU"/>
      </w:rPr>
      <w:t>________________________________________________________________________________________________</w:t>
    </w:r>
  </w:p>
  <w:p w:rsidR="001D13C0" w:rsidRDefault="001D13C0" w:rsidP="00564544">
    <w:pPr>
      <w:pStyle w:val="SingleTxtGR"/>
    </w:pPr>
    <w:r>
      <w:t>В настоящий отчет могут вноситься поправки.</w:t>
    </w:r>
  </w:p>
  <w:p w:rsidR="001D13C0" w:rsidRDefault="001D13C0" w:rsidP="00564544">
    <w:pPr>
      <w:pStyle w:val="SingleTxtGR"/>
    </w:pPr>
    <w:r>
      <w:t>Поправки должны представляться на одном из рабочих языков. Они должны быть изложены в пояснительной записке, а также внесены в один из экземпл</w:t>
    </w:r>
    <w:r>
      <w:t>я</w:t>
    </w:r>
    <w:r>
      <w:t xml:space="preserve">ров отчета. Поправки должны направляться </w:t>
    </w:r>
    <w:r w:rsidRPr="001D13C0">
      <w:rPr>
        <w:i/>
      </w:rPr>
      <w:t>в течение одной недели с момента выпуска настоящего документа</w:t>
    </w:r>
    <w:r>
      <w:t xml:space="preserve"> в</w:t>
    </w:r>
    <w:r w:rsidRPr="001D13C0">
      <w:t xml:space="preserve"> Группу редакционного контроля, ко</w:t>
    </w:r>
    <w:r>
      <w:t>мната Е.4108, Дворец Наций, Женева.</w:t>
    </w:r>
  </w:p>
  <w:p w:rsidR="001D13C0" w:rsidRPr="00E309C4" w:rsidRDefault="001D13C0" w:rsidP="00564544">
    <w:pPr>
      <w:pStyle w:val="SingleTxtGR"/>
    </w:pPr>
    <w:r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</w:t>
    </w:r>
    <w:r>
      <w:t>н</w:t>
    </w:r>
    <w:r>
      <w:t>чания сессии.</w:t>
    </w:r>
  </w:p>
  <w:p w:rsidR="001D13C0" w:rsidRPr="009A6F4A" w:rsidRDefault="001D13C0">
    <w:pPr>
      <w:pStyle w:val="Footer"/>
      <w:rPr>
        <w:sz w:val="20"/>
        <w:lang w:val="en-US"/>
      </w:rPr>
    </w:pPr>
    <w:r>
      <w:rPr>
        <w:sz w:val="20"/>
        <w:lang w:val="en-US"/>
      </w:rPr>
      <w:t>GE.09-46696  (R)  140610  140610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0" w:rsidRPr="00F71F63" w:rsidRDefault="001D13C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D13C0" w:rsidRPr="00F71F63" w:rsidRDefault="001D13C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D13C0" w:rsidRPr="00635E86" w:rsidRDefault="001D13C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0" w:rsidRPr="00AA312E" w:rsidRDefault="001D13C0">
    <w:pPr>
      <w:pStyle w:val="Header"/>
      <w:rPr>
        <w:lang w:val="en-US"/>
      </w:rPr>
    </w:pPr>
    <w:r>
      <w:rPr>
        <w:lang w:val="en-US"/>
      </w:rPr>
      <w:t>CERD/</w:t>
    </w:r>
    <w:r w:rsidRPr="00AA312E">
      <w:rPr>
        <w:lang w:val="en-US"/>
      </w:rPr>
      <w:t>C/SR.1880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0" w:rsidRPr="00AA312E" w:rsidRDefault="001D13C0">
    <w:pPr>
      <w:pStyle w:val="Header"/>
      <w:rPr>
        <w:lang w:val="en-US"/>
      </w:rPr>
    </w:pPr>
    <w:r>
      <w:rPr>
        <w:lang w:val="en-US"/>
      </w:rPr>
      <w:tab/>
      <w:t>CERD/</w:t>
    </w:r>
    <w:r w:rsidRPr="00AA312E">
      <w:rPr>
        <w:lang w:val="en-US"/>
      </w:rPr>
      <w:t>C/SR.1880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A6"/>
    <w:rsid w:val="000033D8"/>
    <w:rsid w:val="00005C1C"/>
    <w:rsid w:val="00007ED0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43C8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13C0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163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37A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75BC4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4544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0A59"/>
    <w:rsid w:val="006F5FBF"/>
    <w:rsid w:val="0070327E"/>
    <w:rsid w:val="00707B5F"/>
    <w:rsid w:val="00735602"/>
    <w:rsid w:val="007511D7"/>
    <w:rsid w:val="0075279B"/>
    <w:rsid w:val="00753748"/>
    <w:rsid w:val="00762446"/>
    <w:rsid w:val="00764AFB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B7A4B"/>
    <w:rsid w:val="008C7B87"/>
    <w:rsid w:val="008D6A7A"/>
    <w:rsid w:val="008E0CED"/>
    <w:rsid w:val="008E3E87"/>
    <w:rsid w:val="008E7F13"/>
    <w:rsid w:val="008F3185"/>
    <w:rsid w:val="00915B0A"/>
    <w:rsid w:val="00926904"/>
    <w:rsid w:val="0093451A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312E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1113"/>
    <w:rsid w:val="00B81305"/>
    <w:rsid w:val="00BB17DC"/>
    <w:rsid w:val="00BB1AF9"/>
    <w:rsid w:val="00BB4C4A"/>
    <w:rsid w:val="00BD3CAE"/>
    <w:rsid w:val="00BD427F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6D77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14DF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65E12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9</Pages>
  <Words>3839</Words>
  <Characters>21884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Blagodatskikh</dc:creator>
  <cp:keywords/>
  <dc:description/>
  <cp:lastModifiedBy>Anna Blagodatskikh</cp:lastModifiedBy>
  <cp:revision>2</cp:revision>
  <cp:lastPrinted>2010-06-14T12:24:00Z</cp:lastPrinted>
  <dcterms:created xsi:type="dcterms:W3CDTF">2010-06-14T13:12:00Z</dcterms:created>
  <dcterms:modified xsi:type="dcterms:W3CDTF">2010-06-14T13:12:00Z</dcterms:modified>
</cp:coreProperties>
</file>