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80"/>
        <w:gridCol w:w="2273"/>
        <w:gridCol w:w="3267"/>
        <w:gridCol w:w="2819"/>
      </w:tblGrid>
      <w:tr w:rsidR="00C21DAA">
        <w:trPr>
          <w:trHeight w:hRule="exact" w:val="851"/>
        </w:trPr>
        <w:tc>
          <w:tcPr>
            <w:tcW w:w="1280" w:type="dxa"/>
            <w:tcBorders>
              <w:bottom w:val="single" w:sz="4" w:space="0" w:color="auto"/>
            </w:tcBorders>
            <w:shd w:val="clear" w:color="auto" w:fill="auto"/>
          </w:tcPr>
          <w:p w:rsidR="00C21DAA" w:rsidRDefault="00C21DAA">
            <w:pPr>
              <w:suppressAutoHyphens/>
            </w:pPr>
          </w:p>
        </w:tc>
        <w:tc>
          <w:tcPr>
            <w:tcW w:w="2273" w:type="dxa"/>
            <w:tcBorders>
              <w:bottom w:val="single" w:sz="4" w:space="0" w:color="auto"/>
            </w:tcBorders>
            <w:shd w:val="clear" w:color="auto" w:fill="auto"/>
            <w:vAlign w:val="bottom"/>
          </w:tcPr>
          <w:p w:rsidR="00C21DAA" w:rsidRDefault="00115B35">
            <w:pPr>
              <w:suppressAutoHyphens/>
              <w:spacing w:after="80" w:line="300" w:lineRule="exact"/>
              <w:rPr>
                <w:sz w:val="28"/>
              </w:rPr>
            </w:pPr>
            <w:r>
              <w:rPr>
                <w:sz w:val="28"/>
              </w:rPr>
              <w:t>Naciones Unidas</w:t>
            </w:r>
          </w:p>
        </w:tc>
        <w:tc>
          <w:tcPr>
            <w:tcW w:w="6086" w:type="dxa"/>
            <w:gridSpan w:val="2"/>
            <w:tcBorders>
              <w:bottom w:val="single" w:sz="4" w:space="0" w:color="auto"/>
            </w:tcBorders>
            <w:shd w:val="clear" w:color="auto" w:fill="auto"/>
            <w:vAlign w:val="bottom"/>
          </w:tcPr>
          <w:p w:rsidR="00C21DAA" w:rsidRDefault="00115B35">
            <w:pPr>
              <w:suppressAutoHyphens/>
              <w:jc w:val="right"/>
            </w:pPr>
            <w:r>
              <w:rPr>
                <w:sz w:val="40"/>
              </w:rPr>
              <w:t>CRC</w:t>
            </w:r>
            <w:r>
              <w:t>/C/ARG/5-6</w:t>
            </w:r>
          </w:p>
        </w:tc>
      </w:tr>
      <w:tr w:rsidR="00C21DAA">
        <w:trPr>
          <w:trHeight w:hRule="exact" w:val="2835"/>
        </w:trPr>
        <w:tc>
          <w:tcPr>
            <w:tcW w:w="1280" w:type="dxa"/>
            <w:tcBorders>
              <w:top w:val="single" w:sz="4" w:space="0" w:color="auto"/>
              <w:bottom w:val="single" w:sz="12" w:space="0" w:color="auto"/>
            </w:tcBorders>
            <w:shd w:val="clear" w:color="auto" w:fill="auto"/>
          </w:tcPr>
          <w:p w:rsidR="00C21DAA" w:rsidRDefault="00A45CE4">
            <w:pPr>
              <w:suppressAutoHyphens/>
              <w:spacing w:before="120"/>
              <w:jc w:val="center"/>
            </w:pPr>
            <w:r>
              <w:rPr>
                <w:noProof/>
                <w:lang w:eastAsia="zh-CN"/>
              </w:rPr>
              <w:drawing>
                <wp:inline distT="0" distB="0" distL="0" distR="0" wp14:anchorId="15DF1A5E" wp14:editId="2B033F4C">
                  <wp:extent cx="723900" cy="590550"/>
                  <wp:effectExtent l="0" t="0" r="0" b="0"/>
                  <wp:docPr id="14"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59055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shd w:val="clear" w:color="auto" w:fill="auto"/>
          </w:tcPr>
          <w:p w:rsidR="00C21DAA" w:rsidRDefault="00115B35">
            <w:pPr>
              <w:suppressAutoHyphens/>
              <w:spacing w:before="120" w:line="440" w:lineRule="exact"/>
              <w:rPr>
                <w:b/>
                <w:sz w:val="40"/>
                <w:szCs w:val="40"/>
              </w:rPr>
            </w:pPr>
            <w:r>
              <w:rPr>
                <w:b/>
                <w:sz w:val="40"/>
                <w:szCs w:val="40"/>
              </w:rPr>
              <w:t>Convención sobre los</w:t>
            </w:r>
            <w:r>
              <w:rPr>
                <w:b/>
                <w:sz w:val="40"/>
                <w:szCs w:val="40"/>
              </w:rPr>
              <w:br/>
              <w:t>Derechos del Niño</w:t>
            </w:r>
          </w:p>
        </w:tc>
        <w:tc>
          <w:tcPr>
            <w:tcW w:w="2819" w:type="dxa"/>
            <w:tcBorders>
              <w:top w:val="single" w:sz="4" w:space="0" w:color="auto"/>
              <w:bottom w:val="single" w:sz="12" w:space="0" w:color="auto"/>
            </w:tcBorders>
            <w:shd w:val="clear" w:color="auto" w:fill="auto"/>
          </w:tcPr>
          <w:p w:rsidR="00C21DAA" w:rsidRDefault="00115B35" w:rsidP="00AD620F">
            <w:pPr>
              <w:suppressAutoHyphens/>
              <w:spacing w:before="120" w:line="240" w:lineRule="exact"/>
            </w:pPr>
            <w:r>
              <w:t>Distr. general</w:t>
            </w:r>
          </w:p>
          <w:p w:rsidR="00C21DAA" w:rsidRDefault="008C4B84" w:rsidP="00F369EE">
            <w:pPr>
              <w:suppressAutoHyphens/>
              <w:spacing w:line="240" w:lineRule="exact"/>
            </w:pPr>
            <w:r>
              <w:t>3</w:t>
            </w:r>
            <w:r w:rsidR="00130607">
              <w:t>1</w:t>
            </w:r>
            <w:r w:rsidR="00115B35">
              <w:t xml:space="preserve"> de</w:t>
            </w:r>
            <w:r>
              <w:t xml:space="preserve"> octu</w:t>
            </w:r>
            <w:r w:rsidR="00115B35">
              <w:t>bre de 2017</w:t>
            </w:r>
          </w:p>
          <w:p w:rsidR="00C21DAA" w:rsidRDefault="00C21DAA">
            <w:pPr>
              <w:suppressAutoHyphens/>
              <w:spacing w:line="240" w:lineRule="exact"/>
            </w:pPr>
          </w:p>
          <w:p w:rsidR="00C21DAA" w:rsidRDefault="00115B35">
            <w:pPr>
              <w:suppressAutoHyphens/>
              <w:spacing w:line="240" w:lineRule="exact"/>
            </w:pPr>
            <w:r>
              <w:t>Original: español</w:t>
            </w:r>
          </w:p>
          <w:p w:rsidR="00C21DAA" w:rsidRDefault="00115B35">
            <w:pPr>
              <w:suppressAutoHyphens/>
              <w:spacing w:line="240" w:lineRule="exact"/>
            </w:pPr>
            <w:r>
              <w:t>Español, francés e inglés únicamente</w:t>
            </w:r>
          </w:p>
        </w:tc>
      </w:tr>
    </w:tbl>
    <w:p w:rsidR="00C21DAA" w:rsidRDefault="00115B35">
      <w:pPr>
        <w:spacing w:before="120"/>
        <w:rPr>
          <w:b/>
          <w:sz w:val="24"/>
          <w:szCs w:val="24"/>
        </w:rPr>
      </w:pPr>
      <w:r>
        <w:rPr>
          <w:b/>
          <w:sz w:val="24"/>
          <w:szCs w:val="24"/>
        </w:rPr>
        <w:t>Comité de los Derechos del Niño</w:t>
      </w:r>
    </w:p>
    <w:p w:rsidR="00C21DAA" w:rsidRDefault="00115B35">
      <w:pPr>
        <w:pStyle w:val="HMG"/>
        <w:rPr>
          <w:rFonts w:eastAsia="Calibri"/>
          <w:w w:val="103"/>
          <w:lang w:eastAsia="en-US"/>
        </w:rPr>
      </w:pPr>
      <w:r>
        <w:rPr>
          <w:rFonts w:eastAsia="Calibri"/>
          <w:w w:val="103"/>
          <w:lang w:eastAsia="en-US"/>
        </w:rPr>
        <w:tab/>
      </w:r>
      <w:r>
        <w:rPr>
          <w:rFonts w:eastAsia="Calibri"/>
          <w:w w:val="103"/>
          <w:lang w:eastAsia="en-US"/>
        </w:rPr>
        <w:tab/>
      </w:r>
      <w:r w:rsidR="00800CE6">
        <w:rPr>
          <w:rFonts w:eastAsia="Calibri"/>
          <w:w w:val="103"/>
          <w:lang w:eastAsia="en-US"/>
        </w:rPr>
        <w:t xml:space="preserve">Quinto y sexto informes periódicos combinados que la Argentina debía presentar en 2016 </w:t>
      </w:r>
      <w:r>
        <w:rPr>
          <w:rFonts w:eastAsia="Calibri"/>
          <w:w w:val="103"/>
          <w:lang w:eastAsia="en-US"/>
        </w:rPr>
        <w:t>en virtud del artículo 4</w:t>
      </w:r>
      <w:bookmarkStart w:id="0" w:name="_GoBack"/>
      <w:bookmarkEnd w:id="0"/>
      <w:r>
        <w:rPr>
          <w:rFonts w:eastAsia="Calibri"/>
          <w:w w:val="103"/>
          <w:lang w:eastAsia="en-US"/>
        </w:rPr>
        <w:t>4 de la Convención</w:t>
      </w:r>
      <w:r>
        <w:rPr>
          <w:rStyle w:val="Refdenotaalpie"/>
          <w:b w:val="0"/>
          <w:bCs/>
          <w:sz w:val="20"/>
          <w:vertAlign w:val="baseline"/>
        </w:rPr>
        <w:footnoteReference w:customMarkFollows="1" w:id="1"/>
        <w:t>*</w:t>
      </w:r>
      <w:r>
        <w:rPr>
          <w:b w:val="0"/>
          <w:position w:val="4"/>
          <w:sz w:val="20"/>
        </w:rPr>
        <w:t>,</w:t>
      </w:r>
      <w:r>
        <w:rPr>
          <w:b w:val="0"/>
          <w:sz w:val="20"/>
        </w:rPr>
        <w:t xml:space="preserve"> </w:t>
      </w:r>
      <w:r>
        <w:rPr>
          <w:rStyle w:val="Refdenotaalpie"/>
          <w:b w:val="0"/>
          <w:bCs/>
          <w:sz w:val="20"/>
          <w:vertAlign w:val="baseline"/>
        </w:rPr>
        <w:footnoteReference w:customMarkFollows="1" w:id="2"/>
        <w:t>**</w:t>
      </w:r>
    </w:p>
    <w:p w:rsidR="00C21DAA" w:rsidRDefault="00115B35">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right"/>
        <w:rPr>
          <w:rFonts w:eastAsia="Calibri"/>
          <w:w w:val="103"/>
          <w:kern w:val="14"/>
          <w:szCs w:val="22"/>
          <w:lang w:eastAsia="en-US"/>
        </w:rPr>
      </w:pPr>
      <w:r>
        <w:rPr>
          <w:rFonts w:eastAsia="Calibri"/>
          <w:w w:val="103"/>
          <w:kern w:val="14"/>
          <w:szCs w:val="22"/>
          <w:lang w:eastAsia="en-US"/>
        </w:rPr>
        <w:t>[Fecha de recepción: 19 de diciembre de 2016]</w:t>
      </w:r>
    </w:p>
    <w:p w:rsidR="00C21DAA" w:rsidRDefault="00A45CE4">
      <w:r>
        <w:rPr>
          <w:noProof/>
          <w:lang w:eastAsia="zh-CN"/>
        </w:rPr>
        <w:drawing>
          <wp:anchor distT="0" distB="0" distL="114300" distR="114300" simplePos="0" relativeHeight="251659264" behindDoc="0" locked="1" layoutInCell="1" allowOverlap="1" wp14:anchorId="6892A1EF" wp14:editId="5C5B311A">
            <wp:simplePos x="0" y="0"/>
            <wp:positionH relativeFrom="margin">
              <wp:posOffset>5039995</wp:posOffset>
            </wp:positionH>
            <wp:positionV relativeFrom="margin">
              <wp:posOffset>10043795</wp:posOffset>
            </wp:positionV>
            <wp:extent cx="1085850" cy="228600"/>
            <wp:effectExtent l="0" t="0" r="0" b="0"/>
            <wp:wrapNone/>
            <wp:docPr id="15" name="Imagen 1"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cycle_Span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p>
    <w:p w:rsidR="00C21DAA" w:rsidRDefault="00115B35">
      <w:pPr>
        <w:pStyle w:val="HChG"/>
        <w:rPr>
          <w:rFonts w:eastAsia="Calibri"/>
          <w:w w:val="103"/>
          <w:lang w:eastAsia="en-US"/>
        </w:rPr>
      </w:pPr>
      <w:r>
        <w:br w:type="page"/>
      </w:r>
      <w:r>
        <w:rPr>
          <w:rFonts w:eastAsia="Calibri"/>
          <w:b w:val="0"/>
          <w:w w:val="103"/>
          <w:lang w:eastAsia="en-US"/>
        </w:rPr>
        <w:lastRenderedPageBreak/>
        <w:t>Índice</w:t>
      </w:r>
    </w:p>
    <w:p w:rsidR="00C21DAA" w:rsidRDefault="00115B35">
      <w:pPr>
        <w:tabs>
          <w:tab w:val="right" w:pos="9638"/>
        </w:tabs>
        <w:spacing w:after="120"/>
        <w:ind w:left="283"/>
        <w:rPr>
          <w:rFonts w:eastAsia="Calibri"/>
          <w:w w:val="103"/>
          <w:sz w:val="18"/>
          <w:lang w:eastAsia="en-US"/>
        </w:rPr>
      </w:pPr>
      <w:r>
        <w:rPr>
          <w:rFonts w:eastAsia="Calibri"/>
          <w:i/>
          <w:w w:val="103"/>
          <w:sz w:val="18"/>
          <w:lang w:eastAsia="en-US"/>
        </w:rPr>
        <w:tab/>
        <w:t>Página</w:t>
      </w:r>
    </w:p>
    <w:p w:rsidR="00C21DAA" w:rsidRDefault="00115B35">
      <w:pPr>
        <w:tabs>
          <w:tab w:val="right" w:pos="850"/>
          <w:tab w:val="left" w:pos="1134"/>
          <w:tab w:val="left" w:pos="1559"/>
          <w:tab w:val="left" w:pos="1984"/>
          <w:tab w:val="left" w:leader="dot" w:pos="8787"/>
          <w:tab w:val="right" w:pos="9638"/>
        </w:tabs>
        <w:spacing w:after="120"/>
      </w:pPr>
      <w:r>
        <w:tab/>
      </w:r>
      <w:r>
        <w:tab/>
        <w:t>Introducción</w:t>
      </w:r>
      <w:r>
        <w:tab/>
      </w:r>
      <w:r>
        <w:tab/>
        <w:t>3</w:t>
      </w:r>
    </w:p>
    <w:p w:rsidR="00C21DAA" w:rsidRDefault="00115B35">
      <w:pPr>
        <w:tabs>
          <w:tab w:val="right" w:pos="850"/>
          <w:tab w:val="left" w:pos="1134"/>
          <w:tab w:val="left" w:pos="1559"/>
          <w:tab w:val="left" w:pos="1984"/>
          <w:tab w:val="left" w:leader="dot" w:pos="8787"/>
          <w:tab w:val="right" w:pos="9638"/>
        </w:tabs>
        <w:spacing w:after="120"/>
      </w:pPr>
      <w:r>
        <w:tab/>
      </w:r>
      <w:r>
        <w:tab/>
        <w:t>Aspectos generales</w:t>
      </w:r>
      <w:r>
        <w:tab/>
      </w:r>
      <w:r>
        <w:tab/>
        <w:t>4</w:t>
      </w:r>
    </w:p>
    <w:p w:rsidR="00C21DAA" w:rsidRDefault="00115B35">
      <w:pPr>
        <w:tabs>
          <w:tab w:val="right" w:pos="850"/>
          <w:tab w:val="left" w:pos="1134"/>
          <w:tab w:val="left" w:pos="1559"/>
          <w:tab w:val="left" w:pos="1984"/>
          <w:tab w:val="left" w:leader="dot" w:pos="8787"/>
          <w:tab w:val="right" w:pos="9638"/>
        </w:tabs>
        <w:spacing w:after="120"/>
      </w:pPr>
      <w:r>
        <w:tab/>
      </w:r>
      <w:r>
        <w:tab/>
        <w:t xml:space="preserve">Seguimiento de las principales áreas de preocupación y recomendaciones </w:t>
      </w:r>
      <w:r>
        <w:br/>
      </w:r>
      <w:r>
        <w:tab/>
      </w:r>
      <w:r>
        <w:tab/>
        <w:t>al tercer y cuarto informe combinado argentino</w:t>
      </w:r>
      <w:r>
        <w:tab/>
      </w:r>
      <w:r>
        <w:tab/>
        <w:t>4</w:t>
      </w:r>
    </w:p>
    <w:p w:rsidR="00C21DAA" w:rsidRDefault="00115B35">
      <w:pPr>
        <w:pStyle w:val="H56G"/>
      </w:pPr>
      <w:r>
        <w:tab/>
        <w:t>Anexos</w:t>
      </w:r>
      <w:r>
        <w:tab/>
      </w:r>
    </w:p>
    <w:p w:rsidR="00C21DAA" w:rsidRDefault="00115B35">
      <w:pPr>
        <w:tabs>
          <w:tab w:val="right" w:pos="850"/>
          <w:tab w:val="left" w:pos="1134"/>
          <w:tab w:val="left" w:pos="1559"/>
          <w:tab w:val="left" w:pos="1984"/>
          <w:tab w:val="left" w:leader="dot" w:pos="8787"/>
          <w:tab w:val="right" w:pos="9638"/>
        </w:tabs>
        <w:spacing w:after="120"/>
      </w:pPr>
      <w:r>
        <w:tab/>
      </w:r>
      <w:r>
        <w:tab/>
        <w:t>Glosarios</w:t>
      </w:r>
      <w:r>
        <w:tab/>
      </w:r>
      <w:r>
        <w:tab/>
      </w:r>
      <w:r>
        <w:tab/>
      </w:r>
    </w:p>
    <w:p w:rsidR="00C21DAA" w:rsidRDefault="00115B35">
      <w:pPr>
        <w:tabs>
          <w:tab w:val="right" w:pos="850"/>
          <w:tab w:val="left" w:pos="1134"/>
          <w:tab w:val="left" w:pos="1559"/>
          <w:tab w:val="left" w:pos="1984"/>
          <w:tab w:val="left" w:leader="dot" w:pos="8787"/>
          <w:tab w:val="right" w:pos="9638"/>
        </w:tabs>
        <w:spacing w:after="120"/>
      </w:pPr>
      <w:r>
        <w:tab/>
      </w:r>
      <w:r>
        <w:tab/>
      </w:r>
      <w:r>
        <w:rPr>
          <w:color w:val="000000"/>
          <w:lang w:val="es-ES_tradnl"/>
        </w:rPr>
        <w:t>Avances legislativos</w:t>
      </w:r>
      <w:r>
        <w:t xml:space="preserve"> Anexos</w:t>
      </w:r>
      <w:r>
        <w:tab/>
      </w:r>
      <w:r>
        <w:tab/>
      </w:r>
      <w:r>
        <w:tab/>
      </w:r>
    </w:p>
    <w:p w:rsidR="00C21DAA" w:rsidRDefault="00115B35">
      <w:pPr>
        <w:tabs>
          <w:tab w:val="right" w:pos="850"/>
          <w:tab w:val="left" w:pos="1134"/>
          <w:tab w:val="left" w:pos="1559"/>
          <w:tab w:val="left" w:pos="1984"/>
          <w:tab w:val="left" w:leader="dot" w:pos="8787"/>
          <w:tab w:val="right" w:pos="9638"/>
        </w:tabs>
        <w:spacing w:after="120"/>
      </w:pPr>
      <w:r>
        <w:tab/>
      </w:r>
      <w:r>
        <w:tab/>
      </w:r>
      <w:r>
        <w:rPr>
          <w:color w:val="000000"/>
          <w:lang w:val="es-ES_tradnl"/>
        </w:rPr>
        <w:t>Legislación Nacional, Estadísticas, Programas y Otros</w:t>
      </w:r>
      <w:r>
        <w:t xml:space="preserve"> </w:t>
      </w:r>
      <w:r>
        <w:tab/>
      </w:r>
      <w:r>
        <w:tab/>
      </w:r>
      <w:r>
        <w:tab/>
      </w:r>
    </w:p>
    <w:p w:rsidR="00C21DAA" w:rsidRDefault="00115B35">
      <w:pPr>
        <w:pStyle w:val="HChG"/>
        <w:rPr>
          <w:lang w:val="es-MX" w:eastAsia="en-US"/>
        </w:rPr>
      </w:pPr>
      <w:r>
        <w:br w:type="page"/>
      </w:r>
      <w:r>
        <w:lastRenderedPageBreak/>
        <w:tab/>
      </w:r>
      <w:r>
        <w:rPr>
          <w:lang w:val="es-MX" w:eastAsia="en-US"/>
        </w:rPr>
        <w:t>I.</w:t>
      </w:r>
      <w:r>
        <w:rPr>
          <w:lang w:val="es-MX" w:eastAsia="en-US"/>
        </w:rPr>
        <w:tab/>
        <w:t>Introducción</w:t>
      </w:r>
    </w:p>
    <w:p w:rsidR="00C21DAA" w:rsidRPr="00FE07FE" w:rsidRDefault="00FE07FE" w:rsidP="00500FFB">
      <w:pPr>
        <w:pStyle w:val="SingleTxtG"/>
        <w:rPr>
          <w:i/>
          <w:lang w:val="es-MX" w:eastAsia="en-US"/>
        </w:rPr>
      </w:pPr>
      <w:r w:rsidRPr="00500FFB">
        <w:rPr>
          <w:lang w:val="es-MX" w:eastAsia="en-US"/>
        </w:rPr>
        <w:t>1.</w:t>
      </w:r>
      <w:r w:rsidRPr="00500FFB">
        <w:rPr>
          <w:lang w:val="es-MX" w:eastAsia="en-US"/>
        </w:rPr>
        <w:tab/>
      </w:r>
      <w:r w:rsidR="00115B35" w:rsidRPr="00FE07FE">
        <w:rPr>
          <w:lang w:val="es-MX" w:eastAsia="en-US"/>
        </w:rPr>
        <w:t xml:space="preserve">En el año 2005 se promulgó la Ley Nacional de Protección Integral de los Derechos de las Niñas, Niños y Adolescentes </w:t>
      </w:r>
      <w:r w:rsidR="007C1E21">
        <w:rPr>
          <w:lang w:val="es-MX" w:eastAsia="en-US"/>
        </w:rPr>
        <w:t xml:space="preserve">núm. </w:t>
      </w:r>
      <w:r w:rsidR="00115B35" w:rsidRPr="00FE07FE">
        <w:rPr>
          <w:lang w:val="es-MX" w:eastAsia="en-US"/>
        </w:rPr>
        <w:t xml:space="preserve">26061, se creó </w:t>
      </w:r>
      <w:r w:rsidR="00115B35" w:rsidRPr="00FE07FE">
        <w:rPr>
          <w:lang w:val="es-AR" w:eastAsia="en-US"/>
        </w:rPr>
        <w:t>la Secretaria Nacional de Niñez, Adolescencia y Familia –</w:t>
      </w:r>
      <w:r w:rsidR="00C37936">
        <w:rPr>
          <w:lang w:val="es-AR" w:eastAsia="en-US"/>
        </w:rPr>
        <w:t xml:space="preserve"> </w:t>
      </w:r>
      <w:r w:rsidR="00115B35" w:rsidRPr="00FE07FE">
        <w:rPr>
          <w:lang w:val="es-AR" w:eastAsia="en-US"/>
        </w:rPr>
        <w:t>SENAF y se le encomendó la realización de los informes</w:t>
      </w:r>
      <w:r w:rsidR="00115B35" w:rsidRPr="00FE07FE">
        <w:rPr>
          <w:lang w:val="es-MX" w:eastAsia="en-US"/>
        </w:rPr>
        <w:t xml:space="preserve"> previstos en el artículo 44 de la CDN y ser depositaria de las recomendaciones que se efectúen</w:t>
      </w:r>
      <w:r w:rsidR="00115B35" w:rsidRPr="00FE07FE">
        <w:rPr>
          <w:i/>
          <w:lang w:val="es-MX" w:eastAsia="en-US"/>
        </w:rPr>
        <w:t>.</w:t>
      </w:r>
    </w:p>
    <w:p w:rsidR="00C21DAA" w:rsidRPr="00FE07FE" w:rsidRDefault="00FE07FE" w:rsidP="00500FFB">
      <w:pPr>
        <w:pStyle w:val="SingleTxtG"/>
        <w:rPr>
          <w:lang w:val="es-MX" w:eastAsia="en-US"/>
        </w:rPr>
      </w:pPr>
      <w:r w:rsidRPr="00500FFB">
        <w:rPr>
          <w:lang w:val="es-MX" w:eastAsia="en-US"/>
        </w:rPr>
        <w:t>2.</w:t>
      </w:r>
      <w:r w:rsidRPr="00500FFB">
        <w:rPr>
          <w:lang w:val="es-MX" w:eastAsia="en-US"/>
        </w:rPr>
        <w:tab/>
      </w:r>
      <w:r w:rsidR="00115B35" w:rsidRPr="00FE07FE">
        <w:rPr>
          <w:lang w:val="es-MX" w:eastAsia="en-US"/>
        </w:rPr>
        <w:t>Por ello, la SENAF convocó al Poder Ejecutivo Nacional, a los gobiernos provinciales, la Ciudad Autónoma de Buenos Aires (CABA), a los organismos gubernamentales descentralizados, a las organizaciones sociales y niños</w:t>
      </w:r>
      <w:r w:rsidR="00115B35" w:rsidRPr="00FE07FE">
        <w:rPr>
          <w:rStyle w:val="Refdenotaalpie"/>
        </w:rPr>
        <w:footnoteReference w:id="3"/>
      </w:r>
      <w:r w:rsidR="00115B35" w:rsidRPr="00FE07FE">
        <w:rPr>
          <w:lang w:val="es-MX" w:eastAsia="en-US"/>
        </w:rPr>
        <w:t xml:space="preserve"> de todo el país, a realizar aportes para la confección del presente V y VI Informe Periódico.</w:t>
      </w:r>
    </w:p>
    <w:p w:rsidR="00C21DAA" w:rsidRPr="00FE07FE" w:rsidRDefault="00FE07FE" w:rsidP="00500FFB">
      <w:pPr>
        <w:pStyle w:val="SingleTxtG"/>
        <w:rPr>
          <w:lang w:val="es-MX" w:eastAsia="en-US"/>
        </w:rPr>
      </w:pPr>
      <w:r w:rsidRPr="00500FFB">
        <w:rPr>
          <w:lang w:val="es-MX" w:eastAsia="en-US"/>
        </w:rPr>
        <w:t>3.</w:t>
      </w:r>
      <w:r w:rsidRPr="00500FFB">
        <w:rPr>
          <w:lang w:val="es-MX" w:eastAsia="en-US"/>
        </w:rPr>
        <w:tab/>
      </w:r>
      <w:r w:rsidR="00115B35" w:rsidRPr="00FE07FE">
        <w:rPr>
          <w:lang w:val="es-MX" w:eastAsia="en-US"/>
        </w:rPr>
        <w:t xml:space="preserve">En diciembre del 2015, asumieron nuevas autoridades del Estado Nacional, y por ende, en la Secretaria Nacional de Niñez, Adolescencia y Familia. Desde esta gestión se comparten las observaciones realizadas por el Comité de los Derechos del Niño, como así también la necesidad de aunar esfuerzos a nivel federal para garantizar integralmente los derechos de los niños. En este orden de ideas, se asume el desafío de trabajar en ejes que tiendan a prevenir y eliminar cualquier forma de violencia, como son la creación y fortalecimiento de Centros de Primera Infancia en todo el país, la implementación a nivel federal de Centros de Adolescentes donde los mismos puedan contar con espacios de recreación, deporte y desarrollo artístico. Asimismo, la federalización de la línea 102 a los fines de que todas las provincias fortalezcan e implementen ese espacio de escucha y contención destinado fundamentalmente a niños. Esta última acción no se puede pensar en forma aislada, sino que necesariamente debe sumarse a ella el fortalecimiento de los sistemas de protección. En la misma línea, se generó el Plan Nacional de creación de Centros de Admisión y Derivación, a los fines de evitar en todas las jurisdicciones el ingreso de niños en dependencias policiales. </w:t>
      </w:r>
    </w:p>
    <w:p w:rsidR="00C21DAA" w:rsidRPr="00FE07FE" w:rsidRDefault="00FE07FE" w:rsidP="00500FFB">
      <w:pPr>
        <w:pStyle w:val="SingleTxtG"/>
        <w:rPr>
          <w:lang w:val="es-MX" w:eastAsia="en-US"/>
        </w:rPr>
      </w:pPr>
      <w:r w:rsidRPr="00500FFB">
        <w:rPr>
          <w:lang w:val="es-MX" w:eastAsia="en-US"/>
        </w:rPr>
        <w:t>4.</w:t>
      </w:r>
      <w:r w:rsidRPr="00500FFB">
        <w:rPr>
          <w:lang w:val="es-MX" w:eastAsia="en-US"/>
        </w:rPr>
        <w:tab/>
      </w:r>
      <w:r w:rsidR="00115B35" w:rsidRPr="00FE07FE">
        <w:rPr>
          <w:lang w:val="es-MX" w:eastAsia="en-US"/>
        </w:rPr>
        <w:t xml:space="preserve">En relación al derecho a ser escuchado y de participación de los niños, se realizaron foros de adolescentes en todas las provincias del país, asistiendo a los mismos 250 adolescentes de distintos municipios de cada una de las provincias. En el 2016 asistieron un total de más de 5000 adolescentes que sumaran sus conclusiones a la confección del Plan Nacional de Acción 2016-2019. </w:t>
      </w:r>
    </w:p>
    <w:p w:rsidR="00C21DAA" w:rsidRPr="00FE07FE" w:rsidRDefault="00FE07FE" w:rsidP="00500FFB">
      <w:pPr>
        <w:pStyle w:val="SingleTxtG"/>
        <w:rPr>
          <w:lang w:val="es-MX" w:eastAsia="en-US"/>
        </w:rPr>
      </w:pPr>
      <w:r w:rsidRPr="00500FFB">
        <w:rPr>
          <w:lang w:val="es-MX" w:eastAsia="en-US"/>
        </w:rPr>
        <w:t>5.</w:t>
      </w:r>
      <w:r w:rsidRPr="00500FFB">
        <w:rPr>
          <w:lang w:val="es-MX" w:eastAsia="en-US"/>
        </w:rPr>
        <w:tab/>
      </w:r>
      <w:r w:rsidR="00115B35" w:rsidRPr="00FE07FE">
        <w:rPr>
          <w:lang w:val="es-MX" w:eastAsia="en-US"/>
        </w:rPr>
        <w:t xml:space="preserve">En el marco del Consejo Federal, se realizaron encuentros periódicos, generándose un espacio de intercambio de problemáticas y sugerencias como así también de formación y capacitación en las principales temáticas que incumben a la infancia y adolescencia. En el mismo, se firmaron actas compromisos sobre los principales temas a abordar en conjunto. Uno de ellos fue la necesaria reforma de la normativa penal juvenil. Por ello, se acordaron lineamientos y se circuló entre todos los representantes del mismo un proyecto de ley propiciado por la SENAF, a los fines de que se llegué a un consenso entre todos los representantes provinciales sobre los términos del mismo. </w:t>
      </w:r>
    </w:p>
    <w:p w:rsidR="00C21DAA" w:rsidRPr="00FE07FE" w:rsidRDefault="00FE07FE" w:rsidP="00500FFB">
      <w:pPr>
        <w:pStyle w:val="SingleTxtG"/>
        <w:rPr>
          <w:lang w:val="es-MX" w:eastAsia="en-US"/>
        </w:rPr>
      </w:pPr>
      <w:r w:rsidRPr="00500FFB">
        <w:rPr>
          <w:lang w:val="es-MX" w:eastAsia="en-US"/>
        </w:rPr>
        <w:t>6.</w:t>
      </w:r>
      <w:r w:rsidRPr="00500FFB">
        <w:rPr>
          <w:lang w:val="es-MX" w:eastAsia="en-US"/>
        </w:rPr>
        <w:tab/>
      </w:r>
      <w:r w:rsidR="00115B35" w:rsidRPr="00FE07FE">
        <w:rPr>
          <w:lang w:val="es-MX" w:eastAsia="en-US"/>
        </w:rPr>
        <w:t>Uno de los ejes que atraviesan todas las políticas propiciadas desde la SENAF es la problemática de la violencia. La misma es abordada desde distintas áreas, siendo cada una de ellas de relevancia y estando relacionadas en la ejecución de estrategias. Capacitación, promoción y prevención, son áreas que requieren mayor atención y desarrollo. Resulta importante el trabajo en los ámbitos de fortalecimiento familiar y fortalecimiento de redes interinstitucionales.</w:t>
      </w:r>
    </w:p>
    <w:p w:rsidR="00C21DAA" w:rsidRPr="00FE07FE" w:rsidRDefault="00FE07FE" w:rsidP="00500FFB">
      <w:pPr>
        <w:pStyle w:val="SingleTxtG"/>
        <w:rPr>
          <w:lang w:val="es-MX" w:eastAsia="en-US"/>
        </w:rPr>
      </w:pPr>
      <w:r w:rsidRPr="00500FFB">
        <w:rPr>
          <w:lang w:val="es-MX" w:eastAsia="en-US"/>
        </w:rPr>
        <w:t>7.</w:t>
      </w:r>
      <w:r w:rsidRPr="00500FFB">
        <w:rPr>
          <w:lang w:val="es-MX" w:eastAsia="en-US"/>
        </w:rPr>
        <w:tab/>
      </w:r>
      <w:r w:rsidR="00115B35" w:rsidRPr="00FE07FE">
        <w:rPr>
          <w:lang w:val="es-MX" w:eastAsia="en-US"/>
        </w:rPr>
        <w:t>Otro de los ejes de trabajo es el Plan Nacional de Capacitación, para fortalecer a las áreas locales en las temáticas que abordan para dar respuesta a la demanda e intervención cotidiana.</w:t>
      </w:r>
    </w:p>
    <w:p w:rsidR="00C21DAA" w:rsidRPr="00FE07FE" w:rsidRDefault="00FE07FE" w:rsidP="00500FFB">
      <w:pPr>
        <w:pStyle w:val="SingleTxtG"/>
        <w:rPr>
          <w:lang w:val="es-MX" w:eastAsia="en-US"/>
        </w:rPr>
      </w:pPr>
      <w:r w:rsidRPr="00500FFB">
        <w:rPr>
          <w:lang w:val="es-MX" w:eastAsia="en-US"/>
        </w:rPr>
        <w:t>8.</w:t>
      </w:r>
      <w:r w:rsidRPr="00500FFB">
        <w:rPr>
          <w:lang w:val="es-MX" w:eastAsia="en-US"/>
        </w:rPr>
        <w:tab/>
      </w:r>
      <w:r w:rsidR="00115B35" w:rsidRPr="00FE07FE">
        <w:rPr>
          <w:lang w:val="es-MX" w:eastAsia="en-US"/>
        </w:rPr>
        <w:t xml:space="preserve">Asimismo, se planteó como objetivo el desarrollo de políticas que atiendan a los niños y sus familias, fortaleciendo a las mismas con acciones y programas que recojan sus </w:t>
      </w:r>
      <w:r w:rsidR="00115B35" w:rsidRPr="00FE07FE">
        <w:rPr>
          <w:lang w:val="es-MX" w:eastAsia="en-US"/>
        </w:rPr>
        <w:lastRenderedPageBreak/>
        <w:t>demandas, y se aborden con ellas sobre modelos de crianza, vínculos tempranos y responsabilidad parental.</w:t>
      </w:r>
    </w:p>
    <w:p w:rsidR="00C21DAA" w:rsidRPr="00FE07FE" w:rsidRDefault="00FE07FE" w:rsidP="00500FFB">
      <w:pPr>
        <w:pStyle w:val="SingleTxtG"/>
        <w:rPr>
          <w:lang w:val="es-MX" w:eastAsia="en-US"/>
        </w:rPr>
      </w:pPr>
      <w:r w:rsidRPr="00500FFB">
        <w:rPr>
          <w:lang w:val="es-MX" w:eastAsia="en-US"/>
        </w:rPr>
        <w:t>9.</w:t>
      </w:r>
      <w:r w:rsidRPr="00500FFB">
        <w:rPr>
          <w:lang w:val="es-MX" w:eastAsia="en-US"/>
        </w:rPr>
        <w:tab/>
      </w:r>
      <w:r w:rsidR="00115B35" w:rsidRPr="00FE07FE">
        <w:rPr>
          <w:lang w:val="es-MX" w:eastAsia="en-US"/>
        </w:rPr>
        <w:t xml:space="preserve">El fortalecimiento de los sistemas de protección de derechos de cada una de las jurisdicciones, implica la capacitación a los operadores de los mismos, realizando protocolos de intervención, integrando los sistemas de protección con el sistema penal juvenil a los fines de que se efectivice un abordaje integral de los derechos y garantías de los niños y sus familias. </w:t>
      </w:r>
    </w:p>
    <w:p w:rsidR="00C21DAA" w:rsidRPr="00FE07FE" w:rsidRDefault="00115B35">
      <w:pPr>
        <w:pStyle w:val="HChG"/>
        <w:rPr>
          <w:lang w:val="es-MX" w:eastAsia="en-US"/>
        </w:rPr>
      </w:pPr>
      <w:r w:rsidRPr="00FE07FE">
        <w:rPr>
          <w:lang w:val="es-MX" w:eastAsia="en-US"/>
        </w:rPr>
        <w:tab/>
        <w:t>II.</w:t>
      </w:r>
      <w:r w:rsidRPr="00FE07FE">
        <w:rPr>
          <w:lang w:val="es-MX" w:eastAsia="en-US"/>
        </w:rPr>
        <w:tab/>
        <w:t>Aspectos generales</w:t>
      </w:r>
    </w:p>
    <w:p w:rsidR="00C21DAA" w:rsidRPr="00FE07FE" w:rsidRDefault="00115B35">
      <w:pPr>
        <w:pStyle w:val="H1G"/>
        <w:rPr>
          <w:lang w:val="es-MX" w:eastAsia="en-US"/>
        </w:rPr>
      </w:pPr>
      <w:r w:rsidRPr="00FE07FE">
        <w:rPr>
          <w:lang w:val="es-MX" w:eastAsia="en-US"/>
        </w:rPr>
        <w:tab/>
      </w:r>
      <w:r w:rsidRPr="00FE07FE">
        <w:rPr>
          <w:lang w:val="es-MX" w:eastAsia="en-US"/>
        </w:rPr>
        <w:tab/>
        <w:t>Aspectos demográficos</w:t>
      </w:r>
    </w:p>
    <w:p w:rsidR="00C21DAA" w:rsidRPr="00FE07FE" w:rsidRDefault="00FE07FE" w:rsidP="00500FFB">
      <w:pPr>
        <w:pStyle w:val="SingleTxtG"/>
        <w:rPr>
          <w:lang w:val="es-MX" w:eastAsia="en-US"/>
        </w:rPr>
      </w:pPr>
      <w:r w:rsidRPr="00500FFB">
        <w:rPr>
          <w:lang w:val="es-MX" w:eastAsia="en-US"/>
        </w:rPr>
        <w:t>10.</w:t>
      </w:r>
      <w:r w:rsidRPr="00500FFB">
        <w:rPr>
          <w:lang w:val="es-MX" w:eastAsia="en-US"/>
        </w:rPr>
        <w:tab/>
      </w:r>
      <w:r w:rsidR="00115B35" w:rsidRPr="00FE07FE">
        <w:rPr>
          <w:lang w:val="es-MX" w:eastAsia="en-US"/>
        </w:rPr>
        <w:t xml:space="preserve">La información provista por el Censo Nacional de Población, Hogares y Viviendas 2010, realizado por el Instituto Nacional de Estadísticas y Censos (INDEC) indica que la población total de la República Argentina es de 40.117.096 habitantes y determinó que existían en el país 12.333.747 personas menores de 18 años. </w:t>
      </w:r>
    </w:p>
    <w:p w:rsidR="00C21DAA" w:rsidRPr="00FE07FE" w:rsidRDefault="00115B35">
      <w:pPr>
        <w:pStyle w:val="HChG"/>
        <w:rPr>
          <w:lang w:eastAsia="en-US"/>
        </w:rPr>
      </w:pPr>
      <w:r w:rsidRPr="00FE07FE">
        <w:rPr>
          <w:lang w:eastAsia="en-US"/>
        </w:rPr>
        <w:tab/>
        <w:t>III.</w:t>
      </w:r>
      <w:r w:rsidRPr="00FE07FE">
        <w:rPr>
          <w:lang w:eastAsia="en-US"/>
        </w:rPr>
        <w:tab/>
        <w:t>Seguimiento de las principales áreas de preocupación y recomendaciones al tercer y cuarto informe combinado argentino</w:t>
      </w:r>
    </w:p>
    <w:p w:rsidR="00C21DAA" w:rsidRPr="00FE07FE" w:rsidRDefault="00115B35">
      <w:pPr>
        <w:pStyle w:val="H1G"/>
        <w:rPr>
          <w:lang w:eastAsia="en-US"/>
        </w:rPr>
      </w:pPr>
      <w:r w:rsidRPr="00FE07FE">
        <w:rPr>
          <w:lang w:eastAsia="en-US"/>
        </w:rPr>
        <w:tab/>
        <w:t>A.</w:t>
      </w:r>
      <w:r w:rsidRPr="00FE07FE">
        <w:rPr>
          <w:lang w:eastAsia="en-US"/>
        </w:rPr>
        <w:tab/>
        <w:t xml:space="preserve">Medidas generales de aplicación </w:t>
      </w:r>
      <w:r w:rsidR="00C37936">
        <w:rPr>
          <w:lang w:eastAsia="en-US"/>
        </w:rPr>
        <w:t>(</w:t>
      </w:r>
      <w:r w:rsidRPr="00FE07FE">
        <w:rPr>
          <w:lang w:eastAsia="en-US"/>
        </w:rPr>
        <w:t>Art.</w:t>
      </w:r>
      <w:r w:rsidR="00C37936">
        <w:rPr>
          <w:lang w:eastAsia="en-US"/>
        </w:rPr>
        <w:t xml:space="preserve"> </w:t>
      </w:r>
      <w:r w:rsidRPr="00FE07FE">
        <w:rPr>
          <w:lang w:eastAsia="en-US"/>
        </w:rPr>
        <w:t>4, 42 y 44 (párrafo 6) de la Convención</w:t>
      </w:r>
      <w:r w:rsidR="00C37936">
        <w:rPr>
          <w:lang w:eastAsia="en-US"/>
        </w:rPr>
        <w:t>)</w:t>
      </w:r>
    </w:p>
    <w:p w:rsidR="00C21DAA" w:rsidRPr="00FE07FE" w:rsidRDefault="00115B35">
      <w:pPr>
        <w:pStyle w:val="H23G"/>
        <w:rPr>
          <w:lang w:eastAsia="en-US"/>
        </w:rPr>
      </w:pPr>
      <w:r w:rsidRPr="00FE07FE">
        <w:rPr>
          <w:lang w:eastAsia="en-US"/>
        </w:rPr>
        <w:tab/>
      </w:r>
      <w:r w:rsidRPr="00FE07FE">
        <w:rPr>
          <w:lang w:eastAsia="en-US"/>
        </w:rPr>
        <w:tab/>
        <w:t>Recomendaciones anteriores del Comité</w:t>
      </w:r>
    </w:p>
    <w:p w:rsidR="00C21DAA" w:rsidRPr="00FE07FE" w:rsidRDefault="00115B35">
      <w:pPr>
        <w:pStyle w:val="H4G"/>
        <w:rPr>
          <w:lang w:eastAsia="en-US"/>
        </w:rPr>
      </w:pPr>
      <w:r w:rsidRPr="00FE07FE">
        <w:rPr>
          <w:lang w:eastAsia="en-US"/>
        </w:rPr>
        <w:tab/>
      </w:r>
      <w:r w:rsidRPr="00FE07FE">
        <w:rPr>
          <w:lang w:eastAsia="en-US"/>
        </w:rPr>
        <w:tab/>
        <w:t xml:space="preserve">Párrafo 8  </w:t>
      </w:r>
    </w:p>
    <w:p w:rsidR="00C21DAA" w:rsidRPr="00FE07FE" w:rsidRDefault="00FE07FE" w:rsidP="00500FFB">
      <w:pPr>
        <w:pStyle w:val="SingleTxtG"/>
        <w:rPr>
          <w:lang w:val="es-MX" w:eastAsia="en-US"/>
        </w:rPr>
      </w:pPr>
      <w:r w:rsidRPr="00500FFB">
        <w:rPr>
          <w:lang w:val="es-MX" w:eastAsia="en-US"/>
        </w:rPr>
        <w:t>11.</w:t>
      </w:r>
      <w:r w:rsidRPr="00500FFB">
        <w:rPr>
          <w:lang w:val="es-MX" w:eastAsia="en-US"/>
        </w:rPr>
        <w:tab/>
      </w:r>
      <w:r w:rsidR="00115B35" w:rsidRPr="00FE07FE">
        <w:rPr>
          <w:lang w:val="es-MX" w:eastAsia="en-US"/>
        </w:rPr>
        <w:t>La República Argentina ha tomado las medidas necesarias y suficientes para dar curso a las recomendaciones de las observaciones finales (CRC/C/15/Add.187) del segundo informe periódico (CRC/C/70/Add.10)</w:t>
      </w:r>
      <w:r w:rsidR="00FF72C4">
        <w:rPr>
          <w:lang w:val="es-MX" w:eastAsia="en-US"/>
        </w:rPr>
        <w:t>.</w:t>
      </w:r>
    </w:p>
    <w:p w:rsidR="00C21DAA" w:rsidRPr="00FE07FE" w:rsidRDefault="00FE07FE" w:rsidP="00500FFB">
      <w:pPr>
        <w:pStyle w:val="SingleTxtG"/>
        <w:rPr>
          <w:lang w:val="es-MX" w:eastAsia="en-US"/>
        </w:rPr>
      </w:pPr>
      <w:r w:rsidRPr="00500FFB">
        <w:rPr>
          <w:lang w:val="es-MX" w:eastAsia="en-US"/>
        </w:rPr>
        <w:t>12.</w:t>
      </w:r>
      <w:r w:rsidRPr="00500FFB">
        <w:rPr>
          <w:lang w:val="es-MX" w:eastAsia="en-US"/>
        </w:rPr>
        <w:tab/>
      </w:r>
      <w:r w:rsidR="00115B35" w:rsidRPr="00FE07FE">
        <w:rPr>
          <w:i/>
          <w:lang w:val="es-MX" w:eastAsia="en-US"/>
        </w:rPr>
        <w:t>Párrafo 16</w:t>
      </w:r>
      <w:r w:rsidR="00115B35" w:rsidRPr="00FE07FE">
        <w:rPr>
          <w:lang w:val="es-MX" w:eastAsia="en-US"/>
        </w:rPr>
        <w:t xml:space="preserve"> (CRC/C/15/Add.187): se promulgó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26061 y se crearon organismos administrativos provinciales de promoción y protección de derechos del niño en las 24 jurisdicciones, coordinando sus políticas en el Consejo Federal de Niñez, Adolescencia y Familia </w:t>
      </w:r>
      <w:r w:rsidR="00D67A98">
        <w:rPr>
          <w:lang w:val="es-MX" w:eastAsia="en-US"/>
        </w:rPr>
        <w:t>–</w:t>
      </w:r>
      <w:r w:rsidR="00115B35" w:rsidRPr="00FE07FE">
        <w:rPr>
          <w:lang w:val="es-MX" w:eastAsia="en-US"/>
        </w:rPr>
        <w:t xml:space="preserve"> COFENAF. (Ver ANEXO III y párrafo 16</w:t>
      </w:r>
      <w:r w:rsidR="00D5464A">
        <w:rPr>
          <w:lang w:val="es-MX" w:eastAsia="en-US"/>
        </w:rPr>
        <w:t>.</w:t>
      </w:r>
      <w:r w:rsidR="00115B35" w:rsidRPr="00FE07FE">
        <w:rPr>
          <w:lang w:val="es-MX" w:eastAsia="en-US"/>
        </w:rPr>
        <w:t xml:space="preserve">) </w:t>
      </w:r>
    </w:p>
    <w:p w:rsidR="00C21DAA" w:rsidRPr="00FE07FE" w:rsidRDefault="00FE07FE" w:rsidP="00500FFB">
      <w:pPr>
        <w:pStyle w:val="SingleTxtG"/>
        <w:rPr>
          <w:lang w:val="es-MX" w:eastAsia="en-US"/>
        </w:rPr>
      </w:pPr>
      <w:r w:rsidRPr="00500FFB">
        <w:rPr>
          <w:lang w:val="es-MX" w:eastAsia="en-US"/>
        </w:rPr>
        <w:t>13.</w:t>
      </w:r>
      <w:r w:rsidRPr="00500FFB">
        <w:rPr>
          <w:lang w:val="es-MX" w:eastAsia="en-US"/>
        </w:rPr>
        <w:tab/>
      </w:r>
      <w:r w:rsidR="00115B35" w:rsidRPr="00FE07FE">
        <w:rPr>
          <w:i/>
          <w:lang w:val="es-MX" w:eastAsia="en-US"/>
        </w:rPr>
        <w:t>Párrafos 41 y 43</w:t>
      </w:r>
      <w:r w:rsidR="00115B35" w:rsidRPr="00FE07FE">
        <w:rPr>
          <w:lang w:val="es-MX" w:eastAsia="en-US"/>
        </w:rPr>
        <w:t xml:space="preserve"> (CRC/C/15/Add.187): se fortalecieron los organismos de protección local, se implementaron medidas de protección integral, que garantizan y restituyen los derechos vulnerados; se estableció que las medidas excepcionales de separación familiar se tomarán una vez agotadas todas las medidas de protección y son utilizadas como medida extrema, no pudiendo exceder los 90 días</w:t>
      </w:r>
      <w:r w:rsidR="00115B35" w:rsidRPr="00FE07FE">
        <w:rPr>
          <w:rStyle w:val="Refdenotaalpie"/>
        </w:rPr>
        <w:footnoteReference w:id="4"/>
      </w:r>
      <w:r w:rsidR="00115B35" w:rsidRPr="00FE07FE">
        <w:rPr>
          <w:lang w:val="es-MX" w:eastAsia="en-US"/>
        </w:rPr>
        <w:t xml:space="preserve">, garantizando que la separación del núcleo familiar no obedezca a situaciones de pobreza, las que deben ser subsanadas por las políticas estatales. El sistema posee modalidades de alojamiento alternativas para niños sin cuidados parentales (familias de acogimiento, instituciones convivenciales públicas y de gestión privada conveniadas con el Estado), ambas con mecanismos de control del Poder Ejecutivo y del Judicial. </w:t>
      </w:r>
    </w:p>
    <w:p w:rsidR="00C21DAA" w:rsidRPr="00FE07FE" w:rsidRDefault="00FE07FE" w:rsidP="00500FFB">
      <w:pPr>
        <w:pStyle w:val="SingleTxtG"/>
        <w:rPr>
          <w:lang w:val="es-MX" w:eastAsia="en-US"/>
        </w:rPr>
      </w:pPr>
      <w:r w:rsidRPr="00500FFB">
        <w:rPr>
          <w:lang w:val="es-MX" w:eastAsia="en-US"/>
        </w:rPr>
        <w:t>14.</w:t>
      </w:r>
      <w:r w:rsidRPr="00500FFB">
        <w:rPr>
          <w:lang w:val="es-MX" w:eastAsia="en-US"/>
        </w:rPr>
        <w:tab/>
      </w:r>
      <w:r w:rsidR="00115B35" w:rsidRPr="00FE07FE">
        <w:rPr>
          <w:lang w:val="es-MX" w:eastAsia="en-US"/>
        </w:rPr>
        <w:t>Respecto a los niños en conflicto con la ley penal y su protección integral, se cuenta, de acuerdo a la medida judicial dispuesta, con: Residencias Socioeducativas; Programas de Supervisión y Monitoreo y/o los Dispositivos de Privación de la Libertad. (Ver párrafo 80</w:t>
      </w:r>
      <w:r w:rsidR="00D5464A">
        <w:rPr>
          <w:lang w:val="es-MX" w:eastAsia="en-US"/>
        </w:rPr>
        <w:t>.</w:t>
      </w:r>
      <w:r w:rsidR="00115B35" w:rsidRPr="00FE07FE">
        <w:rPr>
          <w:lang w:val="es-MX" w:eastAsia="en-US"/>
        </w:rPr>
        <w:t xml:space="preserve">) Al tratarse en ambos casos de niños o adolescentes en situación de vulnerabilidad, tanto el sistema penal como el sistema de protección intervienen en forma conjunta a los fines de proteger y restituir derechos. En el marco del COFENAF, se contó con la presencia del Dr. Nicolás Espejo, asesor de la representante especial de la </w:t>
      </w:r>
      <w:r w:rsidR="00115B35" w:rsidRPr="00FE07FE">
        <w:rPr>
          <w:lang w:val="es-MX" w:eastAsia="en-US"/>
        </w:rPr>
        <w:lastRenderedPageBreak/>
        <w:t xml:space="preserve">Secretaria General sobre Violencia en la ONU, quien expuso acerca de la articulación del sistema de protección integral y el sistema penal juvenil, teniendo en miras la satisfacción de los derechos de niños. Por su parte, la provincia de Buenos Aires trabaja fortaleciendo la interacción entre el sistema de responsabilidad penal juvenil y el sistema de protección de derechos. En la provincia de Buenos Aires, se llevan a cabo estrategias de integración comunitaria que ofrecen espacios de capacitación y contención de los adolescentes alojados, lo que implica un control social implícito sobre la dinámica de funcionamiento de los centros socioeducativos de régimen cerrado. En el ámbito de la justicia de la provincia de Buenos Aires, la Defensoría ante Casación toma conocimiento de los casos de tortura y tratamientos inhumanos que se registran en la provincia, contando con un registro desde el año 2008. La Defensoría produce un informe anual sobre los casos registrados. </w:t>
      </w:r>
    </w:p>
    <w:p w:rsidR="00C21DAA" w:rsidRPr="00FE07FE" w:rsidRDefault="00FE07FE" w:rsidP="00500FFB">
      <w:pPr>
        <w:pStyle w:val="SingleTxtG"/>
        <w:rPr>
          <w:lang w:val="es-MX" w:eastAsia="en-US"/>
        </w:rPr>
      </w:pPr>
      <w:r w:rsidRPr="00500FFB">
        <w:rPr>
          <w:lang w:val="es-MX" w:eastAsia="en-US"/>
        </w:rPr>
        <w:t>15.</w:t>
      </w:r>
      <w:r w:rsidRPr="00500FFB">
        <w:rPr>
          <w:lang w:val="es-MX" w:eastAsia="en-US"/>
        </w:rPr>
        <w:tab/>
      </w:r>
      <w:r w:rsidR="00115B35" w:rsidRPr="00FE07FE">
        <w:rPr>
          <w:i/>
          <w:lang w:val="es-MX" w:eastAsia="en-US"/>
        </w:rPr>
        <w:t>Párrafo 51</w:t>
      </w:r>
      <w:r w:rsidR="00115B35" w:rsidRPr="00FE07FE">
        <w:rPr>
          <w:lang w:val="es-MX" w:eastAsia="en-US"/>
        </w:rPr>
        <w:t xml:space="preserve"> (CRC/C/15/Add.187): a través del Programa Nacional de Salud Sexual Integral en la Adolescencia – PNSIA con el Programa de Salud Escolar PROSANE, se controla el seguimiento de la población desde los 11 años y adolescentes en el ámbito educativo. Se realizan capacitaciones en la temática, se fortalecieron espacios de atención a la salud adolecentes en 18 provincias y regiones sanitarias en Buenos Aires; capacitaciones en Seguro Público de Salud SUMAR para equipos de salud sobre derechos y gestión de servicios amigables para adolescentes</w:t>
      </w:r>
      <w:r w:rsidR="00115B35" w:rsidRPr="00FE07FE">
        <w:rPr>
          <w:rStyle w:val="Refdenotaalpie"/>
        </w:rPr>
        <w:footnoteReference w:id="5"/>
      </w:r>
      <w:r w:rsidR="00115B35" w:rsidRPr="00FE07FE">
        <w:rPr>
          <w:lang w:val="es-MX" w:eastAsia="en-US"/>
        </w:rPr>
        <w:t>; se realizaron talleres acerca del nuevo Código Civil y Comercial de la Nación (CCCN) sobre los derechos sexuales y reproductivos de adolescentes; se dictaron los “lineamientos para la atención integral de adolescentes en espacios de salud amigable y de calidad”</w:t>
      </w:r>
      <w:r w:rsidR="00115B35" w:rsidRPr="00FE07FE">
        <w:rPr>
          <w:rStyle w:val="Refdenotaalpie"/>
        </w:rPr>
        <w:footnoteReference w:id="6"/>
      </w:r>
      <w:r w:rsidR="00115B35" w:rsidRPr="00FE07FE">
        <w:rPr>
          <w:lang w:val="es-MX" w:eastAsia="en-US"/>
        </w:rPr>
        <w:t xml:space="preserve"> y “lineamientos sobre los derechos y acceso de adolecentes al sistema de salud”</w:t>
      </w:r>
      <w:r w:rsidR="00115B35" w:rsidRPr="00FE07FE">
        <w:rPr>
          <w:rStyle w:val="Refdenotaalpie"/>
        </w:rPr>
        <w:footnoteReference w:id="7"/>
      </w:r>
      <w:r w:rsidR="00115B35" w:rsidRPr="00FE07FE">
        <w:rPr>
          <w:lang w:val="es-MX" w:eastAsia="en-US"/>
        </w:rPr>
        <w:t xml:space="preserve">. </w:t>
      </w:r>
    </w:p>
    <w:p w:rsidR="00C21DAA" w:rsidRPr="00FE07FE" w:rsidRDefault="00FE07FE" w:rsidP="00500FFB">
      <w:pPr>
        <w:pStyle w:val="SingleTxtG"/>
        <w:rPr>
          <w:lang w:val="es-MX" w:eastAsia="en-US"/>
        </w:rPr>
      </w:pPr>
      <w:r w:rsidRPr="00500FFB">
        <w:rPr>
          <w:lang w:val="es-MX" w:eastAsia="en-US"/>
        </w:rPr>
        <w:t>16.</w:t>
      </w:r>
      <w:r w:rsidRPr="00500FFB">
        <w:rPr>
          <w:lang w:val="es-MX" w:eastAsia="en-US"/>
        </w:rPr>
        <w:tab/>
      </w:r>
      <w:r w:rsidR="00115B35" w:rsidRPr="00FE07FE">
        <w:rPr>
          <w:lang w:val="es-MX" w:eastAsia="en-US"/>
        </w:rPr>
        <w:t xml:space="preserve">Sobre los programas de lucha contra el VIH/SIDA y las enfermedades de transmisión sexual el MS cuenta con una Dirección Nacional de SIDA, que trabaja en conjunto con el programa PNSIA. Entre el 2003 y el 2013 la cantidad de niños/as y adolescentes con VIH fue de 4.461 personas entre 0-19 años de los cuales un 56% tienen entre 15-19 años, prevaleciendo la enfermedad en las mujeres debido al acceso diferencial a la prueba de VIH en el control prenatal. </w:t>
      </w:r>
    </w:p>
    <w:p w:rsidR="00C21DAA" w:rsidRPr="00FE07FE" w:rsidRDefault="00115B35">
      <w:pPr>
        <w:pStyle w:val="Ttulo1"/>
        <w:rPr>
          <w:rFonts w:eastAsia="Calibri"/>
          <w:noProof/>
          <w:lang w:val="es-AR" w:eastAsia="es-AR"/>
        </w:rPr>
      </w:pPr>
      <w:r w:rsidRPr="00FE07FE">
        <w:rPr>
          <w:rFonts w:eastAsia="Calibri"/>
          <w:noProof/>
          <w:lang w:val="es-AR" w:eastAsia="es-AR"/>
        </w:rPr>
        <w:t>Tabla 9</w:t>
      </w:r>
    </w:p>
    <w:p w:rsidR="00C21DAA" w:rsidRPr="00FE07FE" w:rsidRDefault="00115B35" w:rsidP="00500FFB">
      <w:pPr>
        <w:pStyle w:val="SingleTxtG"/>
        <w:jc w:val="left"/>
        <w:rPr>
          <w:rFonts w:eastAsia="Calibri"/>
          <w:b/>
          <w:noProof/>
          <w:lang w:val="es-AR" w:eastAsia="es-AR"/>
        </w:rPr>
      </w:pPr>
      <w:r w:rsidRPr="00FE07FE">
        <w:rPr>
          <w:rFonts w:eastAsia="Calibri"/>
          <w:b/>
          <w:noProof/>
          <w:lang w:val="es-AR" w:eastAsia="es-AR"/>
        </w:rPr>
        <w:t>Evolución de la tasa de diagnótico de VIH por 100</w:t>
      </w:r>
      <w:r w:rsidR="00594EB2">
        <w:rPr>
          <w:rFonts w:eastAsia="Calibri"/>
          <w:b/>
          <w:noProof/>
          <w:lang w:val="es-AR" w:eastAsia="es-AR"/>
        </w:rPr>
        <w:t xml:space="preserve">.000 </w:t>
      </w:r>
      <w:r w:rsidRPr="00FE07FE">
        <w:rPr>
          <w:rFonts w:eastAsia="Calibri"/>
          <w:b/>
          <w:noProof/>
          <w:lang w:val="es-AR" w:eastAsia="es-AR"/>
        </w:rPr>
        <w:t xml:space="preserve">habitantes en </w:t>
      </w:r>
      <w:r w:rsidR="00594EB2">
        <w:rPr>
          <w:rFonts w:eastAsia="Calibri"/>
          <w:b/>
          <w:noProof/>
          <w:lang w:val="es-AR" w:eastAsia="es-AR"/>
        </w:rPr>
        <w:br/>
      </w:r>
      <w:r w:rsidRPr="00FE07FE">
        <w:rPr>
          <w:rFonts w:eastAsia="Calibri"/>
          <w:b/>
          <w:noProof/>
          <w:lang w:val="es-AR" w:eastAsia="es-AR"/>
        </w:rPr>
        <w:t>adolescentes de 10 a 14 años desde el año 2004 al 2014</w:t>
      </w:r>
    </w:p>
    <w:tbl>
      <w:tblPr>
        <w:tblW w:w="7369" w:type="dxa"/>
        <w:tblInd w:w="1134" w:type="dxa"/>
        <w:tblLayout w:type="fixed"/>
        <w:tblCellMar>
          <w:left w:w="0" w:type="dxa"/>
          <w:right w:w="0" w:type="dxa"/>
        </w:tblCellMar>
        <w:tblLook w:val="04A0" w:firstRow="1" w:lastRow="0" w:firstColumn="1" w:lastColumn="0" w:noHBand="0" w:noVBand="1"/>
      </w:tblPr>
      <w:tblGrid>
        <w:gridCol w:w="1540"/>
        <w:gridCol w:w="518"/>
        <w:gridCol w:w="546"/>
        <w:gridCol w:w="515"/>
        <w:gridCol w:w="544"/>
        <w:gridCol w:w="523"/>
        <w:gridCol w:w="503"/>
        <w:gridCol w:w="523"/>
        <w:gridCol w:w="538"/>
        <w:gridCol w:w="538"/>
        <w:gridCol w:w="574"/>
        <w:gridCol w:w="507"/>
      </w:tblGrid>
      <w:tr w:rsidR="00594EB2" w:rsidRPr="00FE07FE" w:rsidTr="00500FFB">
        <w:trPr>
          <w:tblHeader/>
        </w:trPr>
        <w:tc>
          <w:tcPr>
            <w:tcW w:w="1540"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rPr>
                <w:i/>
                <w:sz w:val="16"/>
                <w:lang w:val="es-AR" w:eastAsia="es-AR"/>
              </w:rPr>
            </w:pPr>
            <w:r w:rsidRPr="00FE07FE">
              <w:rPr>
                <w:i/>
                <w:sz w:val="16"/>
                <w:lang w:val="es-AR" w:eastAsia="es-AR"/>
              </w:rPr>
              <w:t>Tasa de Diagnóstico</w:t>
            </w:r>
          </w:p>
        </w:tc>
        <w:tc>
          <w:tcPr>
            <w:tcW w:w="518"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2004</w:t>
            </w:r>
          </w:p>
        </w:tc>
        <w:tc>
          <w:tcPr>
            <w:tcW w:w="546"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2005</w:t>
            </w:r>
          </w:p>
        </w:tc>
        <w:tc>
          <w:tcPr>
            <w:tcW w:w="515"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2006</w:t>
            </w:r>
          </w:p>
        </w:tc>
        <w:tc>
          <w:tcPr>
            <w:tcW w:w="544"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2007</w:t>
            </w:r>
          </w:p>
        </w:tc>
        <w:tc>
          <w:tcPr>
            <w:tcW w:w="523"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2008</w:t>
            </w:r>
          </w:p>
        </w:tc>
        <w:tc>
          <w:tcPr>
            <w:tcW w:w="503"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2009</w:t>
            </w:r>
          </w:p>
        </w:tc>
        <w:tc>
          <w:tcPr>
            <w:tcW w:w="523"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2010</w:t>
            </w:r>
          </w:p>
        </w:tc>
        <w:tc>
          <w:tcPr>
            <w:tcW w:w="538"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2011</w:t>
            </w:r>
          </w:p>
        </w:tc>
        <w:tc>
          <w:tcPr>
            <w:tcW w:w="538"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2012</w:t>
            </w:r>
          </w:p>
        </w:tc>
        <w:tc>
          <w:tcPr>
            <w:tcW w:w="574"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2013</w:t>
            </w:r>
          </w:p>
        </w:tc>
        <w:tc>
          <w:tcPr>
            <w:tcW w:w="507"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2014</w:t>
            </w:r>
          </w:p>
        </w:tc>
      </w:tr>
      <w:tr w:rsidR="00594EB2" w:rsidRPr="00FE07FE" w:rsidTr="00500FFB">
        <w:tc>
          <w:tcPr>
            <w:tcW w:w="1540" w:type="dxa"/>
            <w:tcBorders>
              <w:top w:val="single" w:sz="12" w:space="0" w:color="auto"/>
            </w:tcBorders>
            <w:shd w:val="clear" w:color="auto" w:fill="auto"/>
            <w:hideMark/>
          </w:tcPr>
          <w:p w:rsidR="00C21DAA" w:rsidRPr="00FE07FE" w:rsidRDefault="00115B35">
            <w:pPr>
              <w:spacing w:before="40" w:after="40" w:line="220" w:lineRule="exact"/>
              <w:rPr>
                <w:sz w:val="18"/>
                <w:lang w:val="es-AR" w:eastAsia="es-AR"/>
              </w:rPr>
            </w:pPr>
            <w:r w:rsidRPr="00FE07FE">
              <w:rPr>
                <w:sz w:val="18"/>
                <w:lang w:val="es-AR" w:eastAsia="es-AR"/>
              </w:rPr>
              <w:t>Varones</w:t>
            </w:r>
          </w:p>
        </w:tc>
        <w:tc>
          <w:tcPr>
            <w:tcW w:w="518"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0,9</w:t>
            </w:r>
          </w:p>
        </w:tc>
        <w:tc>
          <w:tcPr>
            <w:tcW w:w="546"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0,7</w:t>
            </w:r>
          </w:p>
        </w:tc>
        <w:tc>
          <w:tcPr>
            <w:tcW w:w="515"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0,6</w:t>
            </w:r>
          </w:p>
        </w:tc>
        <w:tc>
          <w:tcPr>
            <w:tcW w:w="544"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0,3</w:t>
            </w:r>
          </w:p>
        </w:tc>
        <w:tc>
          <w:tcPr>
            <w:tcW w:w="523"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0,6</w:t>
            </w:r>
          </w:p>
        </w:tc>
        <w:tc>
          <w:tcPr>
            <w:tcW w:w="503"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0,9</w:t>
            </w:r>
          </w:p>
        </w:tc>
        <w:tc>
          <w:tcPr>
            <w:tcW w:w="523"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0,7</w:t>
            </w:r>
          </w:p>
        </w:tc>
        <w:tc>
          <w:tcPr>
            <w:tcW w:w="538"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0,4</w:t>
            </w:r>
          </w:p>
        </w:tc>
        <w:tc>
          <w:tcPr>
            <w:tcW w:w="538"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0,45</w:t>
            </w:r>
          </w:p>
        </w:tc>
        <w:tc>
          <w:tcPr>
            <w:tcW w:w="574"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0,5</w:t>
            </w:r>
          </w:p>
        </w:tc>
        <w:tc>
          <w:tcPr>
            <w:tcW w:w="507"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w:t>
            </w:r>
          </w:p>
        </w:tc>
      </w:tr>
      <w:tr w:rsidR="00594EB2" w:rsidRPr="00FE07FE" w:rsidTr="00594EB2">
        <w:tc>
          <w:tcPr>
            <w:tcW w:w="1540" w:type="dxa"/>
            <w:tcBorders>
              <w:bottom w:val="single" w:sz="4" w:space="0" w:color="auto"/>
            </w:tcBorders>
            <w:shd w:val="clear" w:color="auto" w:fill="auto"/>
            <w:hideMark/>
          </w:tcPr>
          <w:p w:rsidR="00C21DAA" w:rsidRPr="00FE07FE" w:rsidRDefault="00115B35">
            <w:pPr>
              <w:spacing w:before="40" w:after="40" w:line="220" w:lineRule="exact"/>
              <w:rPr>
                <w:sz w:val="18"/>
                <w:lang w:val="es-AR" w:eastAsia="es-AR"/>
              </w:rPr>
            </w:pPr>
            <w:r w:rsidRPr="00FE07FE">
              <w:rPr>
                <w:sz w:val="18"/>
                <w:lang w:val="es-AR" w:eastAsia="es-AR"/>
              </w:rPr>
              <w:t>Mujeres</w:t>
            </w:r>
          </w:p>
        </w:tc>
        <w:tc>
          <w:tcPr>
            <w:tcW w:w="518"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1,4</w:t>
            </w:r>
          </w:p>
        </w:tc>
        <w:tc>
          <w:tcPr>
            <w:tcW w:w="546"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0,7</w:t>
            </w:r>
          </w:p>
        </w:tc>
        <w:tc>
          <w:tcPr>
            <w:tcW w:w="515"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1,2</w:t>
            </w:r>
          </w:p>
        </w:tc>
        <w:tc>
          <w:tcPr>
            <w:tcW w:w="544"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0,5</w:t>
            </w:r>
          </w:p>
        </w:tc>
        <w:tc>
          <w:tcPr>
            <w:tcW w:w="523"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0,65</w:t>
            </w:r>
          </w:p>
        </w:tc>
        <w:tc>
          <w:tcPr>
            <w:tcW w:w="503"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0,9</w:t>
            </w:r>
          </w:p>
        </w:tc>
        <w:tc>
          <w:tcPr>
            <w:tcW w:w="523"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1</w:t>
            </w:r>
          </w:p>
        </w:tc>
        <w:tc>
          <w:tcPr>
            <w:tcW w:w="538"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1</w:t>
            </w:r>
          </w:p>
        </w:tc>
        <w:tc>
          <w:tcPr>
            <w:tcW w:w="538"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0,75</w:t>
            </w:r>
          </w:p>
        </w:tc>
        <w:tc>
          <w:tcPr>
            <w:tcW w:w="574"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0,6</w:t>
            </w:r>
          </w:p>
        </w:tc>
        <w:tc>
          <w:tcPr>
            <w:tcW w:w="507"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0,4</w:t>
            </w:r>
          </w:p>
        </w:tc>
      </w:tr>
      <w:tr w:rsidR="00594EB2" w:rsidRPr="00594EB2" w:rsidTr="00594EB2">
        <w:tc>
          <w:tcPr>
            <w:tcW w:w="1540" w:type="dxa"/>
            <w:tcBorders>
              <w:top w:val="single" w:sz="4" w:space="0" w:color="auto"/>
              <w:bottom w:val="single" w:sz="12" w:space="0" w:color="auto"/>
            </w:tcBorders>
            <w:shd w:val="clear" w:color="auto" w:fill="auto"/>
            <w:hideMark/>
          </w:tcPr>
          <w:p w:rsidR="00C21DAA" w:rsidRPr="00500FFB" w:rsidRDefault="00115B35" w:rsidP="00500FFB">
            <w:pPr>
              <w:spacing w:before="80" w:after="80" w:line="220" w:lineRule="exact"/>
              <w:ind w:left="284"/>
              <w:rPr>
                <w:b/>
                <w:sz w:val="18"/>
                <w:lang w:val="es-AR" w:eastAsia="es-AR"/>
              </w:rPr>
            </w:pPr>
            <w:r w:rsidRPr="00500FFB">
              <w:rPr>
                <w:b/>
                <w:sz w:val="18"/>
                <w:lang w:val="es-AR" w:eastAsia="es-AR"/>
              </w:rPr>
              <w:t>Total</w:t>
            </w:r>
          </w:p>
        </w:tc>
        <w:tc>
          <w:tcPr>
            <w:tcW w:w="518"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1,2</w:t>
            </w:r>
          </w:p>
        </w:tc>
        <w:tc>
          <w:tcPr>
            <w:tcW w:w="546"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0,7</w:t>
            </w:r>
          </w:p>
        </w:tc>
        <w:tc>
          <w:tcPr>
            <w:tcW w:w="515"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0,9</w:t>
            </w:r>
          </w:p>
        </w:tc>
        <w:tc>
          <w:tcPr>
            <w:tcW w:w="544"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0,4</w:t>
            </w:r>
          </w:p>
        </w:tc>
        <w:tc>
          <w:tcPr>
            <w:tcW w:w="523"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0,6</w:t>
            </w:r>
          </w:p>
        </w:tc>
        <w:tc>
          <w:tcPr>
            <w:tcW w:w="503"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0,9</w:t>
            </w:r>
          </w:p>
        </w:tc>
        <w:tc>
          <w:tcPr>
            <w:tcW w:w="523"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0,9</w:t>
            </w:r>
          </w:p>
        </w:tc>
        <w:tc>
          <w:tcPr>
            <w:tcW w:w="538"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0,7</w:t>
            </w:r>
          </w:p>
        </w:tc>
        <w:tc>
          <w:tcPr>
            <w:tcW w:w="538"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0,6</w:t>
            </w:r>
          </w:p>
        </w:tc>
        <w:tc>
          <w:tcPr>
            <w:tcW w:w="574"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0,55</w:t>
            </w:r>
          </w:p>
        </w:tc>
        <w:tc>
          <w:tcPr>
            <w:tcW w:w="507"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0,2</w:t>
            </w:r>
          </w:p>
        </w:tc>
      </w:tr>
    </w:tbl>
    <w:p w:rsidR="00C21DAA" w:rsidRPr="00FE07FE" w:rsidRDefault="00115B35" w:rsidP="00500FFB">
      <w:pPr>
        <w:pStyle w:val="Ttulo1"/>
        <w:spacing w:before="240"/>
        <w:rPr>
          <w:rFonts w:eastAsia="Calibri"/>
          <w:noProof/>
          <w:lang w:val="es-AR" w:eastAsia="en-US"/>
        </w:rPr>
      </w:pPr>
      <w:r w:rsidRPr="00FE07FE">
        <w:rPr>
          <w:rFonts w:eastAsia="Calibri"/>
          <w:noProof/>
          <w:lang w:val="es-AR" w:eastAsia="en-US"/>
        </w:rPr>
        <w:t>Tabla 10</w:t>
      </w:r>
    </w:p>
    <w:p w:rsidR="00C21DAA" w:rsidRPr="00FE07FE" w:rsidRDefault="00115B35" w:rsidP="00500FFB">
      <w:pPr>
        <w:pStyle w:val="SingleTxtG"/>
        <w:jc w:val="left"/>
        <w:rPr>
          <w:rFonts w:eastAsia="Calibri"/>
          <w:b/>
          <w:noProof/>
          <w:lang w:val="es-AR" w:eastAsia="es-AR"/>
        </w:rPr>
      </w:pPr>
      <w:r w:rsidRPr="00FE07FE">
        <w:rPr>
          <w:rFonts w:eastAsia="Calibri"/>
          <w:b/>
          <w:noProof/>
          <w:lang w:val="es-AR" w:eastAsia="es-AR"/>
        </w:rPr>
        <w:t>Evolución de la tasa de diagnótico de VIH por 100</w:t>
      </w:r>
      <w:r w:rsidR="00594EB2">
        <w:rPr>
          <w:rFonts w:eastAsia="Calibri"/>
          <w:b/>
          <w:noProof/>
          <w:lang w:val="es-AR" w:eastAsia="es-AR"/>
        </w:rPr>
        <w:t>.000</w:t>
      </w:r>
      <w:r w:rsidRPr="00FE07FE">
        <w:rPr>
          <w:rFonts w:eastAsia="Calibri"/>
          <w:b/>
          <w:noProof/>
          <w:lang w:val="es-AR" w:eastAsia="es-AR"/>
        </w:rPr>
        <w:t xml:space="preserve"> habitantes en </w:t>
      </w:r>
      <w:r w:rsidR="00594EB2">
        <w:rPr>
          <w:rFonts w:eastAsia="Calibri"/>
          <w:b/>
          <w:noProof/>
          <w:lang w:val="es-AR" w:eastAsia="es-AR"/>
        </w:rPr>
        <w:br/>
      </w:r>
      <w:r w:rsidRPr="00FE07FE">
        <w:rPr>
          <w:rFonts w:eastAsia="Calibri"/>
          <w:b/>
          <w:noProof/>
          <w:lang w:val="es-AR" w:eastAsia="es-AR"/>
        </w:rPr>
        <w:t>adolescentes de 15 a 19 años desde el año 2004 al 2014</w:t>
      </w:r>
    </w:p>
    <w:tbl>
      <w:tblPr>
        <w:tblW w:w="7370" w:type="dxa"/>
        <w:tblInd w:w="1134" w:type="dxa"/>
        <w:tblLayout w:type="fixed"/>
        <w:tblCellMar>
          <w:left w:w="0" w:type="dxa"/>
          <w:right w:w="0" w:type="dxa"/>
        </w:tblCellMar>
        <w:tblLook w:val="04A0" w:firstRow="1" w:lastRow="0" w:firstColumn="1" w:lastColumn="0" w:noHBand="0" w:noVBand="1"/>
      </w:tblPr>
      <w:tblGrid>
        <w:gridCol w:w="1526"/>
        <w:gridCol w:w="530"/>
        <w:gridCol w:w="530"/>
        <w:gridCol w:w="532"/>
        <w:gridCol w:w="531"/>
        <w:gridCol w:w="532"/>
        <w:gridCol w:w="531"/>
        <w:gridCol w:w="532"/>
        <w:gridCol w:w="531"/>
        <w:gridCol w:w="532"/>
        <w:gridCol w:w="531"/>
        <w:gridCol w:w="532"/>
      </w:tblGrid>
      <w:tr w:rsidR="00C21DAA" w:rsidRPr="00FE07FE">
        <w:trPr>
          <w:tblHeader/>
        </w:trPr>
        <w:tc>
          <w:tcPr>
            <w:tcW w:w="1843"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rPr>
                <w:i/>
                <w:sz w:val="16"/>
                <w:lang w:val="es-AR" w:eastAsia="es-AR"/>
              </w:rPr>
            </w:pPr>
            <w:r w:rsidRPr="00FE07FE">
              <w:rPr>
                <w:i/>
                <w:sz w:val="16"/>
                <w:lang w:val="es-AR" w:eastAsia="es-AR"/>
              </w:rPr>
              <w:t>Tasa de Diagnóstico</w:t>
            </w:r>
          </w:p>
        </w:tc>
        <w:tc>
          <w:tcPr>
            <w:tcW w:w="638"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2004</w:t>
            </w:r>
          </w:p>
        </w:tc>
        <w:tc>
          <w:tcPr>
            <w:tcW w:w="638"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2005</w:t>
            </w:r>
          </w:p>
        </w:tc>
        <w:tc>
          <w:tcPr>
            <w:tcW w:w="639"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2006</w:t>
            </w:r>
          </w:p>
        </w:tc>
        <w:tc>
          <w:tcPr>
            <w:tcW w:w="638"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2007</w:t>
            </w:r>
          </w:p>
        </w:tc>
        <w:tc>
          <w:tcPr>
            <w:tcW w:w="639"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2008</w:t>
            </w:r>
          </w:p>
        </w:tc>
        <w:tc>
          <w:tcPr>
            <w:tcW w:w="638"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2009</w:t>
            </w:r>
          </w:p>
        </w:tc>
        <w:tc>
          <w:tcPr>
            <w:tcW w:w="639"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2010</w:t>
            </w:r>
          </w:p>
        </w:tc>
        <w:tc>
          <w:tcPr>
            <w:tcW w:w="638"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2011</w:t>
            </w:r>
          </w:p>
        </w:tc>
        <w:tc>
          <w:tcPr>
            <w:tcW w:w="639"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2012</w:t>
            </w:r>
          </w:p>
        </w:tc>
        <w:tc>
          <w:tcPr>
            <w:tcW w:w="638"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2013</w:t>
            </w:r>
          </w:p>
        </w:tc>
        <w:tc>
          <w:tcPr>
            <w:tcW w:w="639" w:type="dxa"/>
            <w:tcBorders>
              <w:top w:val="single" w:sz="4" w:space="0" w:color="auto"/>
              <w:bottom w:val="single" w:sz="12" w:space="0" w:color="auto"/>
            </w:tcBorders>
            <w:shd w:val="clear" w:color="auto" w:fill="auto"/>
            <w:vAlign w:val="bottom"/>
            <w:hideMark/>
          </w:tcPr>
          <w:p w:rsidR="00C21DAA" w:rsidRPr="00FE07FE" w:rsidRDefault="00115B35">
            <w:pPr>
              <w:spacing w:before="80" w:after="80" w:line="200" w:lineRule="exact"/>
              <w:jc w:val="right"/>
              <w:rPr>
                <w:i/>
                <w:sz w:val="16"/>
                <w:lang w:val="es-AR" w:eastAsia="es-AR"/>
              </w:rPr>
            </w:pPr>
            <w:r w:rsidRPr="00FE07FE">
              <w:rPr>
                <w:i/>
                <w:sz w:val="16"/>
                <w:lang w:val="es-AR" w:eastAsia="es-AR"/>
              </w:rPr>
              <w:t>2014</w:t>
            </w:r>
          </w:p>
        </w:tc>
      </w:tr>
      <w:tr w:rsidR="00C21DAA" w:rsidRPr="00FE07FE">
        <w:tc>
          <w:tcPr>
            <w:tcW w:w="1843" w:type="dxa"/>
            <w:tcBorders>
              <w:top w:val="single" w:sz="12" w:space="0" w:color="auto"/>
            </w:tcBorders>
            <w:shd w:val="clear" w:color="auto" w:fill="auto"/>
            <w:hideMark/>
          </w:tcPr>
          <w:p w:rsidR="00C21DAA" w:rsidRPr="00FE07FE" w:rsidRDefault="00115B35">
            <w:pPr>
              <w:spacing w:before="40" w:after="40" w:line="220" w:lineRule="exact"/>
              <w:rPr>
                <w:sz w:val="18"/>
                <w:lang w:val="es-AR" w:eastAsia="es-AR"/>
              </w:rPr>
            </w:pPr>
            <w:r w:rsidRPr="00FE07FE">
              <w:rPr>
                <w:sz w:val="18"/>
                <w:lang w:val="es-AR" w:eastAsia="es-AR"/>
              </w:rPr>
              <w:t>Varones</w:t>
            </w:r>
          </w:p>
        </w:tc>
        <w:tc>
          <w:tcPr>
            <w:tcW w:w="638"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4,6</w:t>
            </w:r>
          </w:p>
        </w:tc>
        <w:tc>
          <w:tcPr>
            <w:tcW w:w="638"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4,5</w:t>
            </w:r>
          </w:p>
        </w:tc>
        <w:tc>
          <w:tcPr>
            <w:tcW w:w="639"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5</w:t>
            </w:r>
          </w:p>
        </w:tc>
        <w:tc>
          <w:tcPr>
            <w:tcW w:w="638"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4,9</w:t>
            </w:r>
          </w:p>
        </w:tc>
        <w:tc>
          <w:tcPr>
            <w:tcW w:w="639"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5,2</w:t>
            </w:r>
          </w:p>
        </w:tc>
        <w:tc>
          <w:tcPr>
            <w:tcW w:w="638"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5,5</w:t>
            </w:r>
          </w:p>
        </w:tc>
        <w:tc>
          <w:tcPr>
            <w:tcW w:w="639"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7,8</w:t>
            </w:r>
          </w:p>
        </w:tc>
        <w:tc>
          <w:tcPr>
            <w:tcW w:w="638"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6,6</w:t>
            </w:r>
          </w:p>
        </w:tc>
        <w:tc>
          <w:tcPr>
            <w:tcW w:w="639"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6,4</w:t>
            </w:r>
          </w:p>
        </w:tc>
        <w:tc>
          <w:tcPr>
            <w:tcW w:w="638"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5,4</w:t>
            </w:r>
          </w:p>
        </w:tc>
        <w:tc>
          <w:tcPr>
            <w:tcW w:w="639" w:type="dxa"/>
            <w:tcBorders>
              <w:top w:val="single" w:sz="12"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4,2</w:t>
            </w:r>
          </w:p>
        </w:tc>
      </w:tr>
      <w:tr w:rsidR="00C21DAA" w:rsidRPr="00FE07FE" w:rsidTr="00500FFB">
        <w:tc>
          <w:tcPr>
            <w:tcW w:w="1843" w:type="dxa"/>
            <w:tcBorders>
              <w:bottom w:val="single" w:sz="4" w:space="0" w:color="auto"/>
            </w:tcBorders>
            <w:shd w:val="clear" w:color="auto" w:fill="auto"/>
            <w:hideMark/>
          </w:tcPr>
          <w:p w:rsidR="00C21DAA" w:rsidRPr="00FE07FE" w:rsidRDefault="00115B35">
            <w:pPr>
              <w:spacing w:before="40" w:after="40" w:line="220" w:lineRule="exact"/>
              <w:rPr>
                <w:sz w:val="18"/>
                <w:lang w:val="es-AR" w:eastAsia="es-AR"/>
              </w:rPr>
            </w:pPr>
            <w:r w:rsidRPr="00FE07FE">
              <w:rPr>
                <w:sz w:val="18"/>
                <w:lang w:val="es-AR" w:eastAsia="es-AR"/>
              </w:rPr>
              <w:t>Mujeres</w:t>
            </w:r>
          </w:p>
        </w:tc>
        <w:tc>
          <w:tcPr>
            <w:tcW w:w="638"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8,5</w:t>
            </w:r>
          </w:p>
        </w:tc>
        <w:tc>
          <w:tcPr>
            <w:tcW w:w="638"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8,6</w:t>
            </w:r>
          </w:p>
        </w:tc>
        <w:tc>
          <w:tcPr>
            <w:tcW w:w="639"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7,9</w:t>
            </w:r>
          </w:p>
        </w:tc>
        <w:tc>
          <w:tcPr>
            <w:tcW w:w="638"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8,3</w:t>
            </w:r>
          </w:p>
        </w:tc>
        <w:tc>
          <w:tcPr>
            <w:tcW w:w="639"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9,1</w:t>
            </w:r>
          </w:p>
        </w:tc>
        <w:tc>
          <w:tcPr>
            <w:tcW w:w="638"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8,7</w:t>
            </w:r>
          </w:p>
        </w:tc>
        <w:tc>
          <w:tcPr>
            <w:tcW w:w="639"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5,6</w:t>
            </w:r>
          </w:p>
        </w:tc>
        <w:tc>
          <w:tcPr>
            <w:tcW w:w="638"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9,6</w:t>
            </w:r>
          </w:p>
        </w:tc>
        <w:tc>
          <w:tcPr>
            <w:tcW w:w="639"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7,6</w:t>
            </w:r>
          </w:p>
        </w:tc>
        <w:tc>
          <w:tcPr>
            <w:tcW w:w="638"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7,4</w:t>
            </w:r>
          </w:p>
        </w:tc>
        <w:tc>
          <w:tcPr>
            <w:tcW w:w="639" w:type="dxa"/>
            <w:tcBorders>
              <w:bottom w:val="single" w:sz="4" w:space="0" w:color="auto"/>
            </w:tcBorders>
            <w:shd w:val="clear" w:color="auto" w:fill="auto"/>
            <w:vAlign w:val="bottom"/>
            <w:hideMark/>
          </w:tcPr>
          <w:p w:rsidR="00C21DAA" w:rsidRPr="00FE07FE" w:rsidRDefault="00115B35">
            <w:pPr>
              <w:spacing w:before="40" w:after="40" w:line="220" w:lineRule="exact"/>
              <w:jc w:val="right"/>
              <w:rPr>
                <w:sz w:val="18"/>
                <w:lang w:val="es-AR" w:eastAsia="es-AR"/>
              </w:rPr>
            </w:pPr>
            <w:r w:rsidRPr="00FE07FE">
              <w:rPr>
                <w:sz w:val="18"/>
                <w:lang w:val="es-AR" w:eastAsia="es-AR"/>
              </w:rPr>
              <w:t>4,2</w:t>
            </w:r>
          </w:p>
        </w:tc>
      </w:tr>
      <w:tr w:rsidR="00C21DAA" w:rsidRPr="00FE07FE" w:rsidTr="00500FFB">
        <w:tc>
          <w:tcPr>
            <w:tcW w:w="1843" w:type="dxa"/>
            <w:tcBorders>
              <w:top w:val="single" w:sz="4" w:space="0" w:color="auto"/>
              <w:bottom w:val="single" w:sz="12" w:space="0" w:color="auto"/>
            </w:tcBorders>
            <w:shd w:val="clear" w:color="auto" w:fill="auto"/>
            <w:hideMark/>
          </w:tcPr>
          <w:p w:rsidR="00C21DAA" w:rsidRPr="00FE07FE" w:rsidRDefault="00115B35" w:rsidP="00500FFB">
            <w:pPr>
              <w:spacing w:before="80" w:after="80" w:line="220" w:lineRule="exact"/>
              <w:ind w:left="284"/>
              <w:rPr>
                <w:sz w:val="18"/>
                <w:lang w:val="es-AR" w:eastAsia="es-AR"/>
              </w:rPr>
            </w:pPr>
            <w:r w:rsidRPr="00500FFB">
              <w:rPr>
                <w:b/>
                <w:sz w:val="18"/>
                <w:lang w:val="es-AR" w:eastAsia="es-AR"/>
              </w:rPr>
              <w:t>Total</w:t>
            </w:r>
          </w:p>
        </w:tc>
        <w:tc>
          <w:tcPr>
            <w:tcW w:w="638"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6,6</w:t>
            </w:r>
          </w:p>
        </w:tc>
        <w:tc>
          <w:tcPr>
            <w:tcW w:w="638"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6,6</w:t>
            </w:r>
          </w:p>
        </w:tc>
        <w:tc>
          <w:tcPr>
            <w:tcW w:w="639"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6,5</w:t>
            </w:r>
          </w:p>
        </w:tc>
        <w:tc>
          <w:tcPr>
            <w:tcW w:w="638"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6,6</w:t>
            </w:r>
          </w:p>
        </w:tc>
        <w:tc>
          <w:tcPr>
            <w:tcW w:w="639"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7,1</w:t>
            </w:r>
          </w:p>
        </w:tc>
        <w:tc>
          <w:tcPr>
            <w:tcW w:w="638"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7,1</w:t>
            </w:r>
          </w:p>
        </w:tc>
        <w:tc>
          <w:tcPr>
            <w:tcW w:w="639"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6,7</w:t>
            </w:r>
          </w:p>
        </w:tc>
        <w:tc>
          <w:tcPr>
            <w:tcW w:w="638"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8,1</w:t>
            </w:r>
          </w:p>
        </w:tc>
        <w:tc>
          <w:tcPr>
            <w:tcW w:w="639"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7</w:t>
            </w:r>
          </w:p>
        </w:tc>
        <w:tc>
          <w:tcPr>
            <w:tcW w:w="638"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6,4</w:t>
            </w:r>
          </w:p>
        </w:tc>
        <w:tc>
          <w:tcPr>
            <w:tcW w:w="639"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jc w:val="right"/>
              <w:rPr>
                <w:b/>
                <w:sz w:val="18"/>
                <w:lang w:val="es-AR" w:eastAsia="es-AR"/>
              </w:rPr>
            </w:pPr>
            <w:r w:rsidRPr="00500FFB">
              <w:rPr>
                <w:b/>
                <w:sz w:val="18"/>
                <w:lang w:val="es-AR" w:eastAsia="es-AR"/>
              </w:rPr>
              <w:t>4,2</w:t>
            </w:r>
          </w:p>
        </w:tc>
      </w:tr>
    </w:tbl>
    <w:p w:rsidR="00C21DAA" w:rsidRPr="00FE07FE" w:rsidRDefault="00115B35" w:rsidP="00500FFB">
      <w:pPr>
        <w:pStyle w:val="SingleTxtG"/>
        <w:spacing w:before="120" w:after="240" w:line="220" w:lineRule="exact"/>
        <w:ind w:firstLine="170"/>
        <w:rPr>
          <w:rFonts w:ascii="Calibri" w:eastAsia="Calibri" w:hAnsi="Calibri"/>
          <w:sz w:val="18"/>
          <w:szCs w:val="18"/>
          <w:lang w:val="es-AR" w:eastAsia="en-US"/>
        </w:rPr>
      </w:pPr>
      <w:r w:rsidRPr="00FE07FE">
        <w:rPr>
          <w:rFonts w:eastAsia="Calibri"/>
          <w:i/>
          <w:sz w:val="18"/>
          <w:szCs w:val="18"/>
          <w:lang w:val="es-AR" w:eastAsia="en-US"/>
        </w:rPr>
        <w:t>Fuente</w:t>
      </w:r>
      <w:r w:rsidRPr="00500FFB">
        <w:rPr>
          <w:rFonts w:eastAsia="Calibri"/>
          <w:i/>
          <w:sz w:val="18"/>
          <w:szCs w:val="18"/>
          <w:lang w:val="es-AR" w:eastAsia="en-US"/>
        </w:rPr>
        <w:t>:</w:t>
      </w:r>
      <w:r w:rsidRPr="00FE07FE">
        <w:rPr>
          <w:rFonts w:eastAsia="Calibri"/>
          <w:sz w:val="18"/>
          <w:szCs w:val="18"/>
          <w:lang w:val="es-AR" w:eastAsia="en-US"/>
        </w:rPr>
        <w:t xml:space="preserve"> Elaboración en base a datos suministrados por la Dirección Nacional de Sida y ETS</w:t>
      </w:r>
      <w:r w:rsidR="00542A88">
        <w:rPr>
          <w:rFonts w:eastAsia="Calibri"/>
          <w:sz w:val="18"/>
          <w:szCs w:val="18"/>
          <w:lang w:val="es-AR" w:eastAsia="en-US"/>
        </w:rPr>
        <w:t>.</w:t>
      </w:r>
    </w:p>
    <w:p w:rsidR="00C21DAA" w:rsidRPr="00FE07FE" w:rsidRDefault="00FE07FE" w:rsidP="00500FFB">
      <w:pPr>
        <w:pStyle w:val="SingleTxtG"/>
        <w:rPr>
          <w:lang w:val="es-MX" w:eastAsia="en-US"/>
        </w:rPr>
      </w:pPr>
      <w:r w:rsidRPr="00500FFB">
        <w:rPr>
          <w:lang w:val="es-MX" w:eastAsia="en-US"/>
        </w:rPr>
        <w:lastRenderedPageBreak/>
        <w:t>17.</w:t>
      </w:r>
      <w:r w:rsidRPr="00500FFB">
        <w:rPr>
          <w:lang w:val="es-MX" w:eastAsia="en-US"/>
        </w:rPr>
        <w:tab/>
      </w:r>
      <w:r w:rsidR="00115B35" w:rsidRPr="00FE07FE">
        <w:rPr>
          <w:i/>
          <w:lang w:val="es-MX" w:eastAsia="en-US"/>
        </w:rPr>
        <w:t>Párrafo 57</w:t>
      </w:r>
      <w:r w:rsidR="00115B35" w:rsidRPr="00FE07FE">
        <w:rPr>
          <w:lang w:val="es-MX" w:eastAsia="en-US"/>
        </w:rPr>
        <w:t xml:space="preserve"> (CRC/C/15/Add.187): La </w:t>
      </w:r>
      <w:r w:rsidR="00D5464A">
        <w:rPr>
          <w:lang w:val="es-MX" w:eastAsia="en-US"/>
        </w:rPr>
        <w:t>L</w:t>
      </w:r>
      <w:r w:rsidR="00115B35" w:rsidRPr="00FE07FE">
        <w:rPr>
          <w:lang w:val="es-MX" w:eastAsia="en-US"/>
        </w:rPr>
        <w:t xml:space="preserve">ey </w:t>
      </w:r>
      <w:r w:rsidR="00D5464A">
        <w:rPr>
          <w:lang w:val="es-MX" w:eastAsia="en-US"/>
        </w:rPr>
        <w:t xml:space="preserve">núm. </w:t>
      </w:r>
      <w:r w:rsidR="00115B35" w:rsidRPr="00FE07FE">
        <w:rPr>
          <w:lang w:val="es-MX" w:eastAsia="en-US"/>
        </w:rPr>
        <w:t xml:space="preserve">26206 estableció en sus artículos 52, 53 y 54 la protección y fomento de la educación intercultural bilingüe – EIB, creando el Programa por los Derechos de la Niñez y la Adolescencia, elaborando materiales y capacitando a docentes con apoyo del Instituto Nacional Contra la Discriminación y la Xenofobia y el Racismo </w:t>
      </w:r>
      <w:r w:rsidR="003309C9">
        <w:rPr>
          <w:lang w:val="es-MX" w:eastAsia="en-US"/>
        </w:rPr>
        <w:t>—</w:t>
      </w:r>
      <w:r w:rsidR="00115B35" w:rsidRPr="00FE07FE">
        <w:rPr>
          <w:lang w:val="es-MX" w:eastAsia="en-US"/>
        </w:rPr>
        <w:t>INADI</w:t>
      </w:r>
      <w:r w:rsidR="003309C9">
        <w:rPr>
          <w:lang w:val="es-MX" w:eastAsia="en-US"/>
        </w:rPr>
        <w:t>—</w:t>
      </w:r>
      <w:r w:rsidR="00115B35" w:rsidRPr="00FE07FE">
        <w:rPr>
          <w:lang w:val="es-MX" w:eastAsia="en-US"/>
        </w:rPr>
        <w:t xml:space="preserve"> y la Secretaría de Derechos Humanos sobre no</w:t>
      </w:r>
      <w:r w:rsidR="00D67A98">
        <w:rPr>
          <w:lang w:val="es-MX" w:eastAsia="en-US"/>
        </w:rPr>
        <w:t xml:space="preserve"> </w:t>
      </w:r>
      <w:r w:rsidR="00115B35" w:rsidRPr="00FE07FE">
        <w:rPr>
          <w:lang w:val="es-MX" w:eastAsia="en-US"/>
        </w:rPr>
        <w:t xml:space="preserve">discriminación. La Campaña “La escuela contra el Racismo” distribuyó en 24.000 establecimientos nacionales los Cuadernillos </w:t>
      </w:r>
      <w:r w:rsidR="00115B35" w:rsidRPr="00FE07FE">
        <w:rPr>
          <w:i/>
          <w:lang w:val="es-MX" w:eastAsia="en-US"/>
        </w:rPr>
        <w:t xml:space="preserve">“Hacia una Argentina Intercultural”, </w:t>
      </w:r>
      <w:r w:rsidR="00115B35" w:rsidRPr="00FE07FE">
        <w:rPr>
          <w:lang w:val="es-MX" w:eastAsia="en-US"/>
        </w:rPr>
        <w:t>la Guía</w:t>
      </w:r>
      <w:r w:rsidR="00115B35" w:rsidRPr="00FE07FE">
        <w:rPr>
          <w:i/>
          <w:lang w:val="es-MX" w:eastAsia="en-US"/>
        </w:rPr>
        <w:t xml:space="preserve"> “Somos Iguales y Diferentes”</w:t>
      </w:r>
      <w:r w:rsidR="00115B35" w:rsidRPr="00FE07FE">
        <w:rPr>
          <w:lang w:val="es-MX" w:eastAsia="en-US"/>
        </w:rPr>
        <w:t xml:space="preserve">, el cuadernillo </w:t>
      </w:r>
      <w:r w:rsidR="00115B35" w:rsidRPr="00FE07FE">
        <w:rPr>
          <w:i/>
          <w:lang w:val="es-MX" w:eastAsia="en-US"/>
        </w:rPr>
        <w:t>“Mirar y que te miren, pensar y que te piensen”</w:t>
      </w:r>
      <w:r w:rsidR="00115B35" w:rsidRPr="00FE07FE">
        <w:rPr>
          <w:lang w:val="es-MX" w:eastAsia="en-US"/>
        </w:rPr>
        <w:t xml:space="preserve">; la guía pedagógica, el archivo fílmico Pedagógico y el Afiche </w:t>
      </w:r>
      <w:r w:rsidR="00115B35" w:rsidRPr="00FE07FE">
        <w:rPr>
          <w:i/>
          <w:lang w:val="es-MX" w:eastAsia="en-US"/>
        </w:rPr>
        <w:t>“Donde está el Racismo”</w:t>
      </w:r>
      <w:r w:rsidR="00115B35" w:rsidRPr="00FE07FE">
        <w:rPr>
          <w:lang w:val="es-MX" w:eastAsia="en-US"/>
        </w:rPr>
        <w:t xml:space="preserve">. </w:t>
      </w:r>
    </w:p>
    <w:p w:rsidR="00C21DAA" w:rsidRPr="00FE07FE" w:rsidRDefault="00FE07FE" w:rsidP="00500FFB">
      <w:pPr>
        <w:pStyle w:val="SingleTxtG"/>
        <w:rPr>
          <w:lang w:val="es-MX" w:eastAsia="en-US"/>
        </w:rPr>
      </w:pPr>
      <w:r w:rsidRPr="00500FFB">
        <w:rPr>
          <w:lang w:val="es-MX" w:eastAsia="en-US"/>
        </w:rPr>
        <w:t>18.</w:t>
      </w:r>
      <w:r w:rsidRPr="00500FFB">
        <w:rPr>
          <w:lang w:val="es-MX" w:eastAsia="en-US"/>
        </w:rPr>
        <w:tab/>
      </w:r>
      <w:r w:rsidR="00115B35" w:rsidRPr="00FE07FE">
        <w:rPr>
          <w:lang w:val="es-MX" w:eastAsia="en-US"/>
        </w:rPr>
        <w:t xml:space="preserve">En 2014, se confeccionaron ejemplares de los Derechos del Niño, </w:t>
      </w:r>
      <w:r w:rsidR="00115B35" w:rsidRPr="00FE07FE">
        <w:rPr>
          <w:b/>
          <w:lang w:val="es-MX" w:eastAsia="en-US"/>
        </w:rPr>
        <w:t>en siete lenguas originarias</w:t>
      </w:r>
      <w:r w:rsidR="00115B35" w:rsidRPr="00FE07FE">
        <w:rPr>
          <w:rStyle w:val="Refdenotaalpie"/>
        </w:rPr>
        <w:footnoteReference w:id="8"/>
      </w:r>
      <w:r w:rsidR="00115B35" w:rsidRPr="00FE07FE">
        <w:rPr>
          <w:lang w:val="es-MX" w:eastAsia="en-US"/>
        </w:rPr>
        <w:t xml:space="preserve">, con ilustraciones del personaje popular “Mafalda” para maestros criollos, auxiliares indígenas y el Maestro Especial de la Modalidad Aborigen – MEMA, quienes preparan las clases teniendo en cuenta los contextos culturales. </w:t>
      </w:r>
    </w:p>
    <w:p w:rsidR="00C21DAA" w:rsidRPr="00FE07FE" w:rsidRDefault="00FE07FE" w:rsidP="00500FFB">
      <w:pPr>
        <w:pStyle w:val="SingleTxtG"/>
        <w:rPr>
          <w:lang w:val="es-MX" w:eastAsia="en-US"/>
        </w:rPr>
      </w:pPr>
      <w:r w:rsidRPr="00500FFB">
        <w:rPr>
          <w:lang w:val="es-MX" w:eastAsia="en-US"/>
        </w:rPr>
        <w:t>19.</w:t>
      </w:r>
      <w:r w:rsidRPr="00500FFB">
        <w:rPr>
          <w:lang w:val="es-MX" w:eastAsia="en-US"/>
        </w:rPr>
        <w:tab/>
      </w:r>
      <w:r w:rsidR="00115B35" w:rsidRPr="00FE07FE">
        <w:rPr>
          <w:lang w:val="es-MX" w:eastAsia="en-US"/>
        </w:rPr>
        <w:t xml:space="preserve">La Resolución </w:t>
      </w:r>
      <w:r w:rsidR="006D286C">
        <w:rPr>
          <w:lang w:val="es-MX" w:eastAsia="en-US"/>
        </w:rPr>
        <w:t xml:space="preserve">núm. </w:t>
      </w:r>
      <w:r w:rsidR="006D286C" w:rsidRPr="00FE07FE">
        <w:rPr>
          <w:lang w:val="es-MX" w:eastAsia="en-US"/>
        </w:rPr>
        <w:t>1119</w:t>
      </w:r>
      <w:r w:rsidR="00115B35" w:rsidRPr="00FE07FE">
        <w:rPr>
          <w:lang w:val="es-MX" w:eastAsia="en-US"/>
        </w:rPr>
        <w:t xml:space="preserve">/10 del Ministerio de Educación y Deportes de la Nación (MED) reconoce al Consejo Educativo Autónomo de Pueblos Indígenas – CEAPI, como entidad representativa de los pueblos aborígenes </w:t>
      </w:r>
      <w:r w:rsidR="00115B35" w:rsidRPr="00FE07FE">
        <w:rPr>
          <w:b/>
          <w:lang w:val="es-MX" w:eastAsia="en-US"/>
        </w:rPr>
        <w:t>ante el ministerio</w:t>
      </w:r>
      <w:r w:rsidR="00115B35" w:rsidRPr="00FE07FE">
        <w:rPr>
          <w:lang w:val="es-MX" w:eastAsia="en-US"/>
        </w:rPr>
        <w:t>. Se trabajó en 360 proyectos pedagógicos-institucionales para la población aborigen y capacitaciones con 6</w:t>
      </w:r>
      <w:r w:rsidR="00C37936">
        <w:rPr>
          <w:lang w:val="es-MX" w:eastAsia="en-US"/>
        </w:rPr>
        <w:t>.</w:t>
      </w:r>
      <w:r w:rsidR="00115B35" w:rsidRPr="00FE07FE">
        <w:rPr>
          <w:lang w:val="es-MX" w:eastAsia="en-US"/>
        </w:rPr>
        <w:t>687 docentes indígenas y no indígenas de nivel inicial, primaria y secundaria en 1</w:t>
      </w:r>
      <w:r w:rsidR="00C37936">
        <w:rPr>
          <w:lang w:val="es-MX" w:eastAsia="en-US"/>
        </w:rPr>
        <w:t>.</w:t>
      </w:r>
      <w:r w:rsidR="00115B35" w:rsidRPr="00FE07FE">
        <w:rPr>
          <w:lang w:val="es-MX" w:eastAsia="en-US"/>
        </w:rPr>
        <w:t xml:space="preserve">215 unidades educativa incorporándose en la política curricular en consenso con los Consejos Educativos Autónomos de Pueblos Aborígenes. </w:t>
      </w:r>
    </w:p>
    <w:p w:rsidR="00C21DAA" w:rsidRPr="00FE07FE" w:rsidRDefault="00FE07FE" w:rsidP="00500FFB">
      <w:pPr>
        <w:pStyle w:val="SingleTxtG"/>
        <w:rPr>
          <w:lang w:val="es-MX" w:eastAsia="en-US"/>
        </w:rPr>
      </w:pPr>
      <w:r w:rsidRPr="00500FFB">
        <w:rPr>
          <w:lang w:val="es-MX" w:eastAsia="en-US"/>
        </w:rPr>
        <w:t>20.</w:t>
      </w:r>
      <w:r w:rsidRPr="00500FFB">
        <w:rPr>
          <w:lang w:val="es-MX" w:eastAsia="en-US"/>
        </w:rPr>
        <w:tab/>
      </w:r>
      <w:r w:rsidR="00115B35" w:rsidRPr="00FE07FE">
        <w:rPr>
          <w:lang w:val="es-MX" w:eastAsia="en-US"/>
        </w:rPr>
        <w:t>Se otorgaron 61</w:t>
      </w:r>
      <w:r w:rsidR="00C37936">
        <w:rPr>
          <w:lang w:val="es-MX" w:eastAsia="en-US"/>
        </w:rPr>
        <w:t>.</w:t>
      </w:r>
      <w:r w:rsidR="00115B35" w:rsidRPr="00FE07FE">
        <w:rPr>
          <w:lang w:val="es-MX" w:eastAsia="en-US"/>
        </w:rPr>
        <w:t xml:space="preserve">841 becas para estudiantes indígenas, 17.571 becas para formación docente para pueblos originarios que asisten a profesorados de nivel inicial, primario y secundario de todo el país; se editaron 110.500 ejemplares sobre la EIB. Se adoptó la bi-alfabetización simultánea en castellano y lengua indígena desarrollándose la Alfabetización Inicial en contextos plurilingües en Salta, Jujuy, Formosa, Chaco, Misiones, Corrientes, Chubut, y Santiago del Estero. Asimismo, se realizó la XVII edición de los juegos ancestrales mapuches en las escuelas de las mesetas y cordillera de Chubut, declarada de interés educativo nacional. </w:t>
      </w:r>
    </w:p>
    <w:p w:rsidR="00C21DAA" w:rsidRPr="00FE07FE" w:rsidRDefault="00115B35">
      <w:pPr>
        <w:pStyle w:val="SingleTxtG"/>
        <w:rPr>
          <w:b/>
          <w:lang w:eastAsia="en-US"/>
        </w:rPr>
      </w:pPr>
      <w:r w:rsidRPr="00FE07FE">
        <w:rPr>
          <w:b/>
          <w:lang w:eastAsia="en-US"/>
        </w:rPr>
        <w:t>La matrícula indígena 2014</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088"/>
        <w:gridCol w:w="1455"/>
        <w:gridCol w:w="2024"/>
        <w:gridCol w:w="1803"/>
      </w:tblGrid>
      <w:tr w:rsidR="00594EB2" w:rsidRPr="00594EB2" w:rsidTr="00500FFB">
        <w:trPr>
          <w:trHeight w:val="240"/>
          <w:tblHeader/>
        </w:trPr>
        <w:tc>
          <w:tcPr>
            <w:tcW w:w="2088" w:type="dxa"/>
            <w:tcBorders>
              <w:top w:val="single" w:sz="4" w:space="0" w:color="auto"/>
              <w:bottom w:val="nil"/>
            </w:tcBorders>
            <w:shd w:val="clear" w:color="auto" w:fill="auto"/>
            <w:vAlign w:val="bottom"/>
            <w:hideMark/>
          </w:tcPr>
          <w:p w:rsidR="00C21DAA" w:rsidRPr="00594EB2" w:rsidRDefault="00115B35" w:rsidP="00500FFB">
            <w:pPr>
              <w:spacing w:before="80" w:after="80" w:line="200" w:lineRule="exact"/>
              <w:rPr>
                <w:i/>
                <w:sz w:val="16"/>
                <w:lang w:val="es-AR" w:eastAsia="es-AR"/>
              </w:rPr>
            </w:pPr>
            <w:r w:rsidRPr="00594EB2">
              <w:rPr>
                <w:i/>
                <w:sz w:val="16"/>
                <w:lang w:val="es-AR" w:eastAsia="es-AR"/>
              </w:rPr>
              <w:t>Nivel</w:t>
            </w:r>
          </w:p>
        </w:tc>
        <w:tc>
          <w:tcPr>
            <w:tcW w:w="1455" w:type="dxa"/>
            <w:tcBorders>
              <w:top w:val="single" w:sz="4" w:space="0" w:color="auto"/>
              <w:bottom w:val="nil"/>
            </w:tcBorders>
            <w:shd w:val="clear" w:color="auto" w:fill="auto"/>
            <w:vAlign w:val="bottom"/>
            <w:hideMark/>
          </w:tcPr>
          <w:p w:rsidR="00C21DAA" w:rsidRPr="00594EB2" w:rsidRDefault="00115B35" w:rsidP="00500FFB">
            <w:pPr>
              <w:spacing w:before="80" w:after="80" w:line="200" w:lineRule="exact"/>
              <w:ind w:left="113"/>
              <w:rPr>
                <w:i/>
                <w:sz w:val="16"/>
                <w:lang w:val="es-AR" w:eastAsia="es-AR"/>
              </w:rPr>
            </w:pPr>
            <w:r w:rsidRPr="00594EB2">
              <w:rPr>
                <w:i/>
                <w:sz w:val="16"/>
                <w:lang w:val="es-AR" w:eastAsia="es-AR"/>
              </w:rPr>
              <w:t>Ámbito</w:t>
            </w:r>
          </w:p>
        </w:tc>
        <w:tc>
          <w:tcPr>
            <w:tcW w:w="2024" w:type="dxa"/>
            <w:tcBorders>
              <w:top w:val="single" w:sz="4" w:space="0" w:color="auto"/>
              <w:bottom w:val="nil"/>
            </w:tcBorders>
            <w:shd w:val="clear" w:color="auto" w:fill="auto"/>
            <w:vAlign w:val="bottom"/>
            <w:hideMark/>
          </w:tcPr>
          <w:p w:rsidR="00C21DAA" w:rsidRPr="00594EB2" w:rsidRDefault="00115B35" w:rsidP="00500FFB">
            <w:pPr>
              <w:spacing w:before="80" w:after="80" w:line="200" w:lineRule="exact"/>
              <w:ind w:left="113"/>
              <w:jc w:val="right"/>
              <w:rPr>
                <w:i/>
                <w:sz w:val="16"/>
                <w:lang w:val="es-AR" w:eastAsia="es-AR"/>
              </w:rPr>
            </w:pPr>
            <w:r w:rsidRPr="00594EB2">
              <w:rPr>
                <w:i/>
                <w:sz w:val="16"/>
                <w:lang w:val="es-AR" w:eastAsia="es-AR"/>
              </w:rPr>
              <w:t>Unidades educativas</w:t>
            </w:r>
          </w:p>
        </w:tc>
        <w:tc>
          <w:tcPr>
            <w:tcW w:w="1803" w:type="dxa"/>
            <w:tcBorders>
              <w:top w:val="single" w:sz="4" w:space="0" w:color="auto"/>
              <w:bottom w:val="nil"/>
            </w:tcBorders>
            <w:shd w:val="clear" w:color="auto" w:fill="auto"/>
            <w:vAlign w:val="bottom"/>
            <w:hideMark/>
          </w:tcPr>
          <w:p w:rsidR="00C21DAA" w:rsidRPr="00594EB2" w:rsidRDefault="00115B35" w:rsidP="00500FFB">
            <w:pPr>
              <w:spacing w:before="80" w:after="80" w:line="200" w:lineRule="exact"/>
              <w:ind w:left="113"/>
              <w:jc w:val="right"/>
              <w:rPr>
                <w:i/>
                <w:sz w:val="16"/>
                <w:lang w:val="es-AR" w:eastAsia="es-AR"/>
              </w:rPr>
            </w:pPr>
            <w:r w:rsidRPr="00594EB2">
              <w:rPr>
                <w:i/>
                <w:sz w:val="16"/>
                <w:lang w:val="es-AR" w:eastAsia="es-AR"/>
              </w:rPr>
              <w:t>Alumnos indígenas</w:t>
            </w:r>
          </w:p>
        </w:tc>
      </w:tr>
      <w:tr w:rsidR="00594EB2" w:rsidRPr="00594EB2" w:rsidTr="00500FFB">
        <w:trPr>
          <w:trHeight w:val="240"/>
        </w:trPr>
        <w:tc>
          <w:tcPr>
            <w:tcW w:w="2088" w:type="dxa"/>
            <w:vMerge w:val="restart"/>
            <w:tcBorders>
              <w:top w:val="single" w:sz="12" w:space="0" w:color="auto"/>
            </w:tcBorders>
            <w:shd w:val="clear" w:color="auto" w:fill="auto"/>
            <w:hideMark/>
          </w:tcPr>
          <w:p w:rsidR="00C21DAA" w:rsidRPr="00500FFB" w:rsidRDefault="00115B35" w:rsidP="00500FFB">
            <w:pPr>
              <w:spacing w:before="40" w:after="40" w:line="220" w:lineRule="exact"/>
              <w:rPr>
                <w:sz w:val="18"/>
                <w:lang w:val="es-AR" w:eastAsia="es-AR"/>
              </w:rPr>
            </w:pPr>
            <w:r w:rsidRPr="00500FFB">
              <w:rPr>
                <w:sz w:val="18"/>
                <w:lang w:val="es-AR" w:eastAsia="es-AR"/>
              </w:rPr>
              <w:t>Inicial</w:t>
            </w:r>
          </w:p>
        </w:tc>
        <w:tc>
          <w:tcPr>
            <w:tcW w:w="1455" w:type="dxa"/>
            <w:tcBorders>
              <w:top w:val="single" w:sz="12" w:space="0" w:color="auto"/>
            </w:tcBorders>
            <w:shd w:val="clear" w:color="auto" w:fill="auto"/>
            <w:vAlign w:val="bottom"/>
            <w:hideMark/>
          </w:tcPr>
          <w:p w:rsidR="00C21DAA" w:rsidRPr="00500FFB" w:rsidRDefault="00115B35" w:rsidP="00500FFB">
            <w:pPr>
              <w:spacing w:before="40" w:after="40" w:line="220" w:lineRule="exact"/>
              <w:ind w:left="113"/>
              <w:rPr>
                <w:sz w:val="18"/>
                <w:lang w:val="es-AR" w:eastAsia="es-AR"/>
              </w:rPr>
            </w:pPr>
            <w:r w:rsidRPr="00500FFB">
              <w:rPr>
                <w:sz w:val="18"/>
                <w:lang w:val="es-AR" w:eastAsia="es-AR"/>
              </w:rPr>
              <w:t>Rural</w:t>
            </w:r>
          </w:p>
        </w:tc>
        <w:tc>
          <w:tcPr>
            <w:tcW w:w="2024" w:type="dxa"/>
            <w:tcBorders>
              <w:top w:val="single" w:sz="12"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542</w:t>
            </w:r>
          </w:p>
        </w:tc>
        <w:tc>
          <w:tcPr>
            <w:tcW w:w="1803" w:type="dxa"/>
            <w:tcBorders>
              <w:top w:val="single" w:sz="12"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8</w:t>
            </w:r>
            <w:r w:rsidR="00594EB2">
              <w:rPr>
                <w:sz w:val="18"/>
                <w:lang w:val="es-AR" w:eastAsia="es-AR"/>
              </w:rPr>
              <w:t xml:space="preserve"> </w:t>
            </w:r>
            <w:r w:rsidRPr="00500FFB">
              <w:rPr>
                <w:sz w:val="18"/>
                <w:lang w:val="es-AR" w:eastAsia="es-AR"/>
              </w:rPr>
              <w:t>349</w:t>
            </w:r>
          </w:p>
        </w:tc>
      </w:tr>
      <w:tr w:rsidR="00594EB2" w:rsidRPr="00594EB2" w:rsidTr="00500FFB">
        <w:trPr>
          <w:trHeight w:val="240"/>
        </w:trPr>
        <w:tc>
          <w:tcPr>
            <w:tcW w:w="2088" w:type="dxa"/>
            <w:vMerge/>
            <w:tcBorders>
              <w:top w:val="nil"/>
              <w:bottom w:val="single" w:sz="4" w:space="0" w:color="auto"/>
            </w:tcBorders>
            <w:shd w:val="clear" w:color="auto" w:fill="auto"/>
            <w:hideMark/>
          </w:tcPr>
          <w:p w:rsidR="00C21DAA" w:rsidRPr="00500FFB" w:rsidRDefault="00C21DAA" w:rsidP="00500FFB">
            <w:pPr>
              <w:spacing w:before="40" w:after="40" w:line="220" w:lineRule="exact"/>
              <w:rPr>
                <w:sz w:val="18"/>
                <w:lang w:val="es-AR" w:eastAsia="es-AR"/>
              </w:rPr>
            </w:pPr>
          </w:p>
        </w:tc>
        <w:tc>
          <w:tcPr>
            <w:tcW w:w="1455" w:type="dxa"/>
            <w:tcBorders>
              <w:bottom w:val="single" w:sz="4" w:space="0" w:color="auto"/>
            </w:tcBorders>
            <w:shd w:val="clear" w:color="auto" w:fill="auto"/>
            <w:vAlign w:val="bottom"/>
            <w:hideMark/>
          </w:tcPr>
          <w:p w:rsidR="00C21DAA" w:rsidRPr="00500FFB" w:rsidRDefault="00115B35" w:rsidP="00500FFB">
            <w:pPr>
              <w:spacing w:before="40" w:after="40" w:line="220" w:lineRule="exact"/>
              <w:ind w:left="113"/>
              <w:rPr>
                <w:sz w:val="18"/>
                <w:lang w:val="es-AR" w:eastAsia="es-AR"/>
              </w:rPr>
            </w:pPr>
            <w:r w:rsidRPr="00500FFB">
              <w:rPr>
                <w:sz w:val="18"/>
                <w:lang w:val="es-AR" w:eastAsia="es-AR"/>
              </w:rPr>
              <w:t>Urbano</w:t>
            </w:r>
          </w:p>
        </w:tc>
        <w:tc>
          <w:tcPr>
            <w:tcW w:w="2024" w:type="dxa"/>
            <w:tcBorders>
              <w:bottom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180</w:t>
            </w:r>
          </w:p>
        </w:tc>
        <w:tc>
          <w:tcPr>
            <w:tcW w:w="1803" w:type="dxa"/>
            <w:tcBorders>
              <w:bottom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14</w:t>
            </w:r>
            <w:r w:rsidR="00594EB2">
              <w:rPr>
                <w:sz w:val="18"/>
                <w:lang w:val="es-AR" w:eastAsia="es-AR"/>
              </w:rPr>
              <w:t xml:space="preserve"> </w:t>
            </w:r>
            <w:r w:rsidRPr="00500FFB">
              <w:rPr>
                <w:sz w:val="18"/>
                <w:lang w:val="es-AR" w:eastAsia="es-AR"/>
              </w:rPr>
              <w:t>030</w:t>
            </w:r>
          </w:p>
        </w:tc>
      </w:tr>
      <w:tr w:rsidR="00594EB2" w:rsidRPr="003773E2" w:rsidTr="00500FFB">
        <w:trPr>
          <w:trHeight w:val="240"/>
        </w:trPr>
        <w:tc>
          <w:tcPr>
            <w:tcW w:w="2088" w:type="dxa"/>
            <w:tcBorders>
              <w:top w:val="single" w:sz="4" w:space="0" w:color="auto"/>
              <w:bottom w:val="single" w:sz="4" w:space="0" w:color="auto"/>
            </w:tcBorders>
            <w:shd w:val="clear" w:color="auto" w:fill="auto"/>
            <w:hideMark/>
          </w:tcPr>
          <w:p w:rsidR="00C21DAA" w:rsidRPr="00500FFB" w:rsidRDefault="00115B35" w:rsidP="00500FFB">
            <w:pPr>
              <w:spacing w:before="80" w:after="80" w:line="220" w:lineRule="exact"/>
              <w:ind w:left="284"/>
              <w:rPr>
                <w:b/>
                <w:sz w:val="18"/>
                <w:lang w:val="es-AR" w:eastAsia="es-AR"/>
              </w:rPr>
            </w:pPr>
            <w:r w:rsidRPr="00500FFB">
              <w:rPr>
                <w:b/>
                <w:sz w:val="18"/>
                <w:lang w:val="es-AR" w:eastAsia="es-AR"/>
              </w:rPr>
              <w:t>Total</w:t>
            </w:r>
          </w:p>
        </w:tc>
        <w:tc>
          <w:tcPr>
            <w:tcW w:w="1455" w:type="dxa"/>
            <w:tcBorders>
              <w:top w:val="single" w:sz="4" w:space="0" w:color="auto"/>
              <w:bottom w:val="single" w:sz="4" w:space="0" w:color="auto"/>
            </w:tcBorders>
            <w:shd w:val="clear" w:color="auto" w:fill="auto"/>
            <w:vAlign w:val="bottom"/>
            <w:hideMark/>
          </w:tcPr>
          <w:p w:rsidR="00C21DAA" w:rsidRPr="00500FFB" w:rsidRDefault="00C21DAA" w:rsidP="00500FFB">
            <w:pPr>
              <w:spacing w:before="80" w:after="80" w:line="220" w:lineRule="exact"/>
              <w:ind w:left="113"/>
              <w:jc w:val="right"/>
              <w:rPr>
                <w:b/>
                <w:sz w:val="18"/>
                <w:lang w:val="es-AR" w:eastAsia="es-AR"/>
              </w:rPr>
            </w:pPr>
          </w:p>
        </w:tc>
        <w:tc>
          <w:tcPr>
            <w:tcW w:w="2024" w:type="dxa"/>
            <w:tcBorders>
              <w:top w:val="single" w:sz="4" w:space="0" w:color="auto"/>
              <w:bottom w:val="single" w:sz="4" w:space="0" w:color="auto"/>
            </w:tcBorders>
            <w:shd w:val="clear" w:color="auto" w:fill="auto"/>
            <w:vAlign w:val="bottom"/>
            <w:hideMark/>
          </w:tcPr>
          <w:p w:rsidR="00C21DAA" w:rsidRPr="00500FFB" w:rsidRDefault="00115B35" w:rsidP="00500FFB">
            <w:pPr>
              <w:spacing w:before="80" w:after="80" w:line="220" w:lineRule="exact"/>
              <w:ind w:left="113"/>
              <w:jc w:val="right"/>
              <w:rPr>
                <w:b/>
                <w:sz w:val="18"/>
                <w:lang w:val="es-AR" w:eastAsia="es-AR"/>
              </w:rPr>
            </w:pPr>
            <w:r w:rsidRPr="00500FFB">
              <w:rPr>
                <w:b/>
                <w:sz w:val="18"/>
                <w:lang w:val="es-AR" w:eastAsia="es-AR"/>
              </w:rPr>
              <w:t>722</w:t>
            </w:r>
          </w:p>
        </w:tc>
        <w:tc>
          <w:tcPr>
            <w:tcW w:w="1803" w:type="dxa"/>
            <w:tcBorders>
              <w:top w:val="single" w:sz="4" w:space="0" w:color="auto"/>
              <w:bottom w:val="single" w:sz="4" w:space="0" w:color="auto"/>
            </w:tcBorders>
            <w:shd w:val="clear" w:color="auto" w:fill="auto"/>
            <w:vAlign w:val="bottom"/>
            <w:hideMark/>
          </w:tcPr>
          <w:p w:rsidR="00C21DAA" w:rsidRPr="00500FFB" w:rsidRDefault="00115B35" w:rsidP="00500FFB">
            <w:pPr>
              <w:spacing w:before="80" w:after="80" w:line="220" w:lineRule="exact"/>
              <w:ind w:left="113"/>
              <w:jc w:val="right"/>
              <w:rPr>
                <w:b/>
                <w:sz w:val="18"/>
                <w:lang w:val="es-AR" w:eastAsia="es-AR"/>
              </w:rPr>
            </w:pPr>
            <w:r w:rsidRPr="00500FFB">
              <w:rPr>
                <w:b/>
                <w:sz w:val="18"/>
                <w:lang w:val="es-AR" w:eastAsia="es-AR"/>
              </w:rPr>
              <w:t>22</w:t>
            </w:r>
            <w:r w:rsidR="00594EB2" w:rsidRPr="00500FFB">
              <w:rPr>
                <w:b/>
                <w:sz w:val="18"/>
                <w:lang w:val="es-AR" w:eastAsia="es-AR"/>
              </w:rPr>
              <w:t xml:space="preserve"> </w:t>
            </w:r>
            <w:r w:rsidRPr="00500FFB">
              <w:rPr>
                <w:b/>
                <w:sz w:val="18"/>
                <w:lang w:val="es-AR" w:eastAsia="es-AR"/>
              </w:rPr>
              <w:t>379</w:t>
            </w:r>
          </w:p>
        </w:tc>
      </w:tr>
      <w:tr w:rsidR="00594EB2" w:rsidRPr="00594EB2" w:rsidTr="00500FFB">
        <w:trPr>
          <w:trHeight w:val="240"/>
        </w:trPr>
        <w:tc>
          <w:tcPr>
            <w:tcW w:w="2088" w:type="dxa"/>
            <w:vMerge w:val="restart"/>
            <w:tcBorders>
              <w:top w:val="single" w:sz="4" w:space="0" w:color="auto"/>
            </w:tcBorders>
            <w:shd w:val="clear" w:color="auto" w:fill="auto"/>
            <w:hideMark/>
          </w:tcPr>
          <w:p w:rsidR="00C21DAA" w:rsidRPr="00500FFB" w:rsidRDefault="00115B35" w:rsidP="00500FFB">
            <w:pPr>
              <w:spacing w:before="40" w:after="40" w:line="220" w:lineRule="exact"/>
              <w:rPr>
                <w:sz w:val="18"/>
                <w:lang w:val="es-AR" w:eastAsia="es-AR"/>
              </w:rPr>
            </w:pPr>
            <w:r w:rsidRPr="00500FFB">
              <w:rPr>
                <w:sz w:val="18"/>
                <w:lang w:val="es-AR" w:eastAsia="es-AR"/>
              </w:rPr>
              <w:t>Primario</w:t>
            </w:r>
          </w:p>
        </w:tc>
        <w:tc>
          <w:tcPr>
            <w:tcW w:w="1455" w:type="dxa"/>
            <w:tcBorders>
              <w:top w:val="single" w:sz="4" w:space="0" w:color="auto"/>
            </w:tcBorders>
            <w:shd w:val="clear" w:color="auto" w:fill="auto"/>
            <w:vAlign w:val="bottom"/>
            <w:hideMark/>
          </w:tcPr>
          <w:p w:rsidR="00C21DAA" w:rsidRPr="00500FFB" w:rsidRDefault="00115B35" w:rsidP="00500FFB">
            <w:pPr>
              <w:spacing w:before="40" w:after="40" w:line="220" w:lineRule="exact"/>
              <w:ind w:left="113"/>
              <w:rPr>
                <w:sz w:val="18"/>
                <w:lang w:val="es-AR" w:eastAsia="es-AR"/>
              </w:rPr>
            </w:pPr>
            <w:r w:rsidRPr="00500FFB">
              <w:rPr>
                <w:sz w:val="18"/>
                <w:lang w:val="es-AR" w:eastAsia="es-AR"/>
              </w:rPr>
              <w:t xml:space="preserve">Rural </w:t>
            </w:r>
          </w:p>
        </w:tc>
        <w:tc>
          <w:tcPr>
            <w:tcW w:w="2024" w:type="dxa"/>
            <w:tcBorders>
              <w:top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661</w:t>
            </w:r>
          </w:p>
        </w:tc>
        <w:tc>
          <w:tcPr>
            <w:tcW w:w="1803" w:type="dxa"/>
            <w:tcBorders>
              <w:top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32</w:t>
            </w:r>
            <w:r w:rsidR="00594EB2">
              <w:rPr>
                <w:sz w:val="18"/>
                <w:lang w:val="es-AR" w:eastAsia="es-AR"/>
              </w:rPr>
              <w:t xml:space="preserve"> </w:t>
            </w:r>
            <w:r w:rsidRPr="00500FFB">
              <w:rPr>
                <w:sz w:val="18"/>
                <w:lang w:val="es-AR" w:eastAsia="es-AR"/>
              </w:rPr>
              <w:t>800</w:t>
            </w:r>
          </w:p>
        </w:tc>
      </w:tr>
      <w:tr w:rsidR="00594EB2" w:rsidRPr="00594EB2" w:rsidTr="00500FFB">
        <w:trPr>
          <w:trHeight w:val="240"/>
        </w:trPr>
        <w:tc>
          <w:tcPr>
            <w:tcW w:w="2088" w:type="dxa"/>
            <w:vMerge/>
            <w:tcBorders>
              <w:bottom w:val="single" w:sz="4" w:space="0" w:color="auto"/>
            </w:tcBorders>
            <w:shd w:val="clear" w:color="auto" w:fill="auto"/>
            <w:hideMark/>
          </w:tcPr>
          <w:p w:rsidR="00C21DAA" w:rsidRPr="00500FFB" w:rsidRDefault="00C21DAA" w:rsidP="00500FFB">
            <w:pPr>
              <w:spacing w:before="40" w:after="40" w:line="220" w:lineRule="exact"/>
              <w:rPr>
                <w:sz w:val="18"/>
                <w:lang w:val="es-AR" w:eastAsia="es-AR"/>
              </w:rPr>
            </w:pPr>
          </w:p>
        </w:tc>
        <w:tc>
          <w:tcPr>
            <w:tcW w:w="1455" w:type="dxa"/>
            <w:tcBorders>
              <w:bottom w:val="single" w:sz="4" w:space="0" w:color="auto"/>
            </w:tcBorders>
            <w:shd w:val="clear" w:color="auto" w:fill="auto"/>
            <w:vAlign w:val="bottom"/>
            <w:hideMark/>
          </w:tcPr>
          <w:p w:rsidR="00C21DAA" w:rsidRPr="00500FFB" w:rsidRDefault="00115B35" w:rsidP="00500FFB">
            <w:pPr>
              <w:spacing w:before="40" w:after="40" w:line="220" w:lineRule="exact"/>
              <w:ind w:left="113"/>
              <w:rPr>
                <w:sz w:val="18"/>
                <w:lang w:val="es-AR" w:eastAsia="es-AR"/>
              </w:rPr>
            </w:pPr>
            <w:r w:rsidRPr="00500FFB">
              <w:rPr>
                <w:sz w:val="18"/>
                <w:lang w:val="es-AR" w:eastAsia="es-AR"/>
              </w:rPr>
              <w:t>Urbano</w:t>
            </w:r>
          </w:p>
        </w:tc>
        <w:tc>
          <w:tcPr>
            <w:tcW w:w="2024" w:type="dxa"/>
            <w:tcBorders>
              <w:bottom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92</w:t>
            </w:r>
          </w:p>
        </w:tc>
        <w:tc>
          <w:tcPr>
            <w:tcW w:w="1803" w:type="dxa"/>
            <w:tcBorders>
              <w:bottom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11</w:t>
            </w:r>
            <w:r w:rsidR="00594EB2">
              <w:rPr>
                <w:sz w:val="18"/>
                <w:lang w:val="es-AR" w:eastAsia="es-AR"/>
              </w:rPr>
              <w:t xml:space="preserve"> </w:t>
            </w:r>
            <w:r w:rsidRPr="00500FFB">
              <w:rPr>
                <w:sz w:val="18"/>
                <w:lang w:val="es-AR" w:eastAsia="es-AR"/>
              </w:rPr>
              <w:t>784</w:t>
            </w:r>
          </w:p>
        </w:tc>
      </w:tr>
      <w:tr w:rsidR="00594EB2" w:rsidRPr="003773E2" w:rsidTr="00500FFB">
        <w:trPr>
          <w:trHeight w:val="240"/>
        </w:trPr>
        <w:tc>
          <w:tcPr>
            <w:tcW w:w="2088" w:type="dxa"/>
            <w:tcBorders>
              <w:top w:val="single" w:sz="4" w:space="0" w:color="auto"/>
              <w:bottom w:val="single" w:sz="4" w:space="0" w:color="auto"/>
            </w:tcBorders>
            <w:shd w:val="clear" w:color="auto" w:fill="auto"/>
            <w:hideMark/>
          </w:tcPr>
          <w:p w:rsidR="00C21DAA" w:rsidRPr="00500FFB" w:rsidRDefault="00115B35" w:rsidP="00500FFB">
            <w:pPr>
              <w:spacing w:before="80" w:after="80" w:line="220" w:lineRule="exact"/>
              <w:ind w:left="284"/>
              <w:rPr>
                <w:b/>
                <w:sz w:val="18"/>
                <w:lang w:val="es-AR" w:eastAsia="es-AR"/>
              </w:rPr>
            </w:pPr>
            <w:r w:rsidRPr="00500FFB">
              <w:rPr>
                <w:b/>
                <w:sz w:val="18"/>
                <w:lang w:val="es-AR" w:eastAsia="es-AR"/>
              </w:rPr>
              <w:t>Total</w:t>
            </w:r>
          </w:p>
        </w:tc>
        <w:tc>
          <w:tcPr>
            <w:tcW w:w="1455" w:type="dxa"/>
            <w:tcBorders>
              <w:top w:val="single" w:sz="4" w:space="0" w:color="auto"/>
              <w:bottom w:val="single" w:sz="4" w:space="0" w:color="auto"/>
            </w:tcBorders>
            <w:shd w:val="clear" w:color="auto" w:fill="auto"/>
            <w:vAlign w:val="bottom"/>
            <w:hideMark/>
          </w:tcPr>
          <w:p w:rsidR="00C21DAA" w:rsidRPr="00500FFB" w:rsidRDefault="00C21DAA" w:rsidP="00500FFB">
            <w:pPr>
              <w:spacing w:before="80" w:after="80" w:line="220" w:lineRule="exact"/>
              <w:ind w:left="113"/>
              <w:jc w:val="right"/>
              <w:rPr>
                <w:b/>
                <w:sz w:val="18"/>
                <w:lang w:val="es-AR" w:eastAsia="es-AR"/>
              </w:rPr>
            </w:pPr>
          </w:p>
        </w:tc>
        <w:tc>
          <w:tcPr>
            <w:tcW w:w="2024" w:type="dxa"/>
            <w:tcBorders>
              <w:top w:val="single" w:sz="4" w:space="0" w:color="auto"/>
              <w:bottom w:val="single" w:sz="4" w:space="0" w:color="auto"/>
            </w:tcBorders>
            <w:shd w:val="clear" w:color="auto" w:fill="auto"/>
            <w:vAlign w:val="bottom"/>
            <w:hideMark/>
          </w:tcPr>
          <w:p w:rsidR="00C21DAA" w:rsidRPr="00500FFB" w:rsidRDefault="00115B35" w:rsidP="00500FFB">
            <w:pPr>
              <w:spacing w:before="80" w:after="80" w:line="220" w:lineRule="exact"/>
              <w:ind w:left="113"/>
              <w:jc w:val="right"/>
              <w:rPr>
                <w:b/>
                <w:sz w:val="18"/>
                <w:lang w:val="es-AR" w:eastAsia="es-AR"/>
              </w:rPr>
            </w:pPr>
            <w:r w:rsidRPr="00500FFB">
              <w:rPr>
                <w:b/>
                <w:sz w:val="18"/>
                <w:lang w:val="es-AR" w:eastAsia="es-AR"/>
              </w:rPr>
              <w:t>753</w:t>
            </w:r>
          </w:p>
        </w:tc>
        <w:tc>
          <w:tcPr>
            <w:tcW w:w="1803" w:type="dxa"/>
            <w:tcBorders>
              <w:top w:val="single" w:sz="4" w:space="0" w:color="auto"/>
              <w:bottom w:val="single" w:sz="4" w:space="0" w:color="auto"/>
            </w:tcBorders>
            <w:shd w:val="clear" w:color="auto" w:fill="auto"/>
            <w:vAlign w:val="bottom"/>
            <w:hideMark/>
          </w:tcPr>
          <w:p w:rsidR="00C21DAA" w:rsidRPr="00500FFB" w:rsidRDefault="00115B35" w:rsidP="00500FFB">
            <w:pPr>
              <w:spacing w:before="80" w:after="80" w:line="220" w:lineRule="exact"/>
              <w:ind w:left="113"/>
              <w:jc w:val="right"/>
              <w:rPr>
                <w:b/>
                <w:sz w:val="18"/>
                <w:lang w:val="es-AR" w:eastAsia="es-AR"/>
              </w:rPr>
            </w:pPr>
            <w:r w:rsidRPr="00500FFB">
              <w:rPr>
                <w:b/>
                <w:sz w:val="18"/>
                <w:lang w:val="es-AR" w:eastAsia="es-AR"/>
              </w:rPr>
              <w:t>44</w:t>
            </w:r>
            <w:r w:rsidR="00594EB2" w:rsidRPr="00500FFB">
              <w:rPr>
                <w:b/>
                <w:sz w:val="18"/>
                <w:lang w:val="es-AR" w:eastAsia="es-AR"/>
              </w:rPr>
              <w:t xml:space="preserve"> </w:t>
            </w:r>
            <w:r w:rsidRPr="00500FFB">
              <w:rPr>
                <w:b/>
                <w:sz w:val="18"/>
                <w:lang w:val="es-AR" w:eastAsia="es-AR"/>
              </w:rPr>
              <w:t>584</w:t>
            </w:r>
          </w:p>
        </w:tc>
      </w:tr>
      <w:tr w:rsidR="00594EB2" w:rsidRPr="00594EB2" w:rsidTr="00500FFB">
        <w:trPr>
          <w:trHeight w:val="240"/>
        </w:trPr>
        <w:tc>
          <w:tcPr>
            <w:tcW w:w="2088" w:type="dxa"/>
            <w:vMerge w:val="restart"/>
            <w:tcBorders>
              <w:top w:val="single" w:sz="4" w:space="0" w:color="auto"/>
            </w:tcBorders>
            <w:shd w:val="clear" w:color="auto" w:fill="auto"/>
            <w:hideMark/>
          </w:tcPr>
          <w:p w:rsidR="00C21DAA" w:rsidRPr="00500FFB" w:rsidRDefault="00115B35" w:rsidP="00500FFB">
            <w:pPr>
              <w:spacing w:before="40" w:after="40" w:line="220" w:lineRule="exact"/>
              <w:rPr>
                <w:sz w:val="18"/>
                <w:lang w:val="es-AR" w:eastAsia="es-AR"/>
              </w:rPr>
            </w:pPr>
            <w:r w:rsidRPr="00500FFB">
              <w:rPr>
                <w:sz w:val="18"/>
                <w:lang w:val="es-AR" w:eastAsia="es-AR"/>
              </w:rPr>
              <w:t>Secundario</w:t>
            </w:r>
          </w:p>
        </w:tc>
        <w:tc>
          <w:tcPr>
            <w:tcW w:w="1455" w:type="dxa"/>
            <w:tcBorders>
              <w:top w:val="single" w:sz="4" w:space="0" w:color="auto"/>
            </w:tcBorders>
            <w:shd w:val="clear" w:color="auto" w:fill="auto"/>
            <w:vAlign w:val="bottom"/>
            <w:hideMark/>
          </w:tcPr>
          <w:p w:rsidR="00C21DAA" w:rsidRPr="00500FFB" w:rsidRDefault="00115B35" w:rsidP="00500FFB">
            <w:pPr>
              <w:spacing w:before="40" w:after="40" w:line="220" w:lineRule="exact"/>
              <w:ind w:left="113"/>
              <w:rPr>
                <w:sz w:val="18"/>
                <w:lang w:val="es-AR" w:eastAsia="es-AR"/>
              </w:rPr>
            </w:pPr>
            <w:r w:rsidRPr="00500FFB">
              <w:rPr>
                <w:sz w:val="18"/>
                <w:lang w:val="es-AR" w:eastAsia="es-AR"/>
              </w:rPr>
              <w:t xml:space="preserve">Rural </w:t>
            </w:r>
          </w:p>
        </w:tc>
        <w:tc>
          <w:tcPr>
            <w:tcW w:w="2024" w:type="dxa"/>
            <w:tcBorders>
              <w:top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195</w:t>
            </w:r>
          </w:p>
        </w:tc>
        <w:tc>
          <w:tcPr>
            <w:tcW w:w="1803" w:type="dxa"/>
            <w:tcBorders>
              <w:top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9</w:t>
            </w:r>
            <w:r w:rsidR="00594EB2">
              <w:rPr>
                <w:sz w:val="18"/>
                <w:lang w:val="es-AR" w:eastAsia="es-AR"/>
              </w:rPr>
              <w:t xml:space="preserve"> </w:t>
            </w:r>
            <w:r w:rsidRPr="00500FFB">
              <w:rPr>
                <w:sz w:val="18"/>
                <w:lang w:val="es-AR" w:eastAsia="es-AR"/>
              </w:rPr>
              <w:t>473</w:t>
            </w:r>
          </w:p>
        </w:tc>
      </w:tr>
      <w:tr w:rsidR="00594EB2" w:rsidRPr="00594EB2" w:rsidTr="00500FFB">
        <w:trPr>
          <w:trHeight w:val="240"/>
        </w:trPr>
        <w:tc>
          <w:tcPr>
            <w:tcW w:w="2088" w:type="dxa"/>
            <w:vMerge/>
            <w:tcBorders>
              <w:bottom w:val="single" w:sz="4" w:space="0" w:color="auto"/>
            </w:tcBorders>
            <w:shd w:val="clear" w:color="auto" w:fill="auto"/>
            <w:hideMark/>
          </w:tcPr>
          <w:p w:rsidR="00C21DAA" w:rsidRPr="00500FFB" w:rsidRDefault="00C21DAA" w:rsidP="00500FFB">
            <w:pPr>
              <w:spacing w:before="40" w:after="40" w:line="220" w:lineRule="exact"/>
              <w:rPr>
                <w:sz w:val="18"/>
                <w:lang w:val="es-AR" w:eastAsia="es-AR"/>
              </w:rPr>
            </w:pPr>
          </w:p>
        </w:tc>
        <w:tc>
          <w:tcPr>
            <w:tcW w:w="1455" w:type="dxa"/>
            <w:tcBorders>
              <w:bottom w:val="single" w:sz="4" w:space="0" w:color="auto"/>
            </w:tcBorders>
            <w:shd w:val="clear" w:color="auto" w:fill="auto"/>
            <w:vAlign w:val="bottom"/>
            <w:hideMark/>
          </w:tcPr>
          <w:p w:rsidR="00C21DAA" w:rsidRPr="00500FFB" w:rsidRDefault="00115B35" w:rsidP="00500FFB">
            <w:pPr>
              <w:spacing w:before="40" w:after="40" w:line="220" w:lineRule="exact"/>
              <w:ind w:left="113"/>
              <w:rPr>
                <w:sz w:val="18"/>
                <w:lang w:val="es-AR" w:eastAsia="es-AR"/>
              </w:rPr>
            </w:pPr>
            <w:r w:rsidRPr="00500FFB">
              <w:rPr>
                <w:sz w:val="18"/>
                <w:lang w:val="es-AR" w:eastAsia="es-AR"/>
              </w:rPr>
              <w:t>Urbano</w:t>
            </w:r>
          </w:p>
        </w:tc>
        <w:tc>
          <w:tcPr>
            <w:tcW w:w="2024" w:type="dxa"/>
            <w:tcBorders>
              <w:bottom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42</w:t>
            </w:r>
          </w:p>
        </w:tc>
        <w:tc>
          <w:tcPr>
            <w:tcW w:w="1803" w:type="dxa"/>
            <w:tcBorders>
              <w:bottom w:val="single" w:sz="4" w:space="0" w:color="auto"/>
            </w:tcBorders>
            <w:shd w:val="clear" w:color="auto" w:fill="auto"/>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5</w:t>
            </w:r>
            <w:r w:rsidR="00594EB2">
              <w:rPr>
                <w:sz w:val="18"/>
                <w:lang w:val="es-AR" w:eastAsia="es-AR"/>
              </w:rPr>
              <w:t xml:space="preserve"> </w:t>
            </w:r>
            <w:r w:rsidRPr="00500FFB">
              <w:rPr>
                <w:sz w:val="18"/>
                <w:lang w:val="es-AR" w:eastAsia="es-AR"/>
              </w:rPr>
              <w:t>020</w:t>
            </w:r>
          </w:p>
        </w:tc>
      </w:tr>
      <w:tr w:rsidR="00594EB2" w:rsidRPr="003773E2" w:rsidTr="00500FFB">
        <w:trPr>
          <w:trHeight w:val="240"/>
        </w:trPr>
        <w:tc>
          <w:tcPr>
            <w:tcW w:w="2088" w:type="dxa"/>
            <w:tcBorders>
              <w:top w:val="single" w:sz="4" w:space="0" w:color="auto"/>
              <w:bottom w:val="single" w:sz="4" w:space="0" w:color="auto"/>
            </w:tcBorders>
            <w:shd w:val="clear" w:color="auto" w:fill="auto"/>
            <w:hideMark/>
          </w:tcPr>
          <w:p w:rsidR="00C21DAA" w:rsidRPr="00500FFB" w:rsidRDefault="00115B35" w:rsidP="00500FFB">
            <w:pPr>
              <w:spacing w:before="80" w:after="80" w:line="220" w:lineRule="exact"/>
              <w:ind w:left="284"/>
              <w:rPr>
                <w:b/>
                <w:sz w:val="18"/>
                <w:lang w:val="es-AR" w:eastAsia="es-AR"/>
              </w:rPr>
            </w:pPr>
            <w:r w:rsidRPr="00500FFB">
              <w:rPr>
                <w:b/>
                <w:sz w:val="18"/>
                <w:lang w:val="es-AR" w:eastAsia="es-AR"/>
              </w:rPr>
              <w:t>Total</w:t>
            </w:r>
          </w:p>
        </w:tc>
        <w:tc>
          <w:tcPr>
            <w:tcW w:w="1455" w:type="dxa"/>
            <w:tcBorders>
              <w:top w:val="single" w:sz="4" w:space="0" w:color="auto"/>
              <w:bottom w:val="single" w:sz="4" w:space="0" w:color="auto"/>
            </w:tcBorders>
            <w:shd w:val="clear" w:color="auto" w:fill="auto"/>
            <w:vAlign w:val="bottom"/>
            <w:hideMark/>
          </w:tcPr>
          <w:p w:rsidR="00C21DAA" w:rsidRPr="00500FFB" w:rsidRDefault="00C21DAA" w:rsidP="00500FFB">
            <w:pPr>
              <w:spacing w:before="80" w:after="80" w:line="220" w:lineRule="exact"/>
              <w:ind w:left="113"/>
              <w:jc w:val="right"/>
              <w:rPr>
                <w:b/>
                <w:sz w:val="18"/>
                <w:lang w:val="es-AR" w:eastAsia="es-AR"/>
              </w:rPr>
            </w:pPr>
          </w:p>
        </w:tc>
        <w:tc>
          <w:tcPr>
            <w:tcW w:w="2024" w:type="dxa"/>
            <w:tcBorders>
              <w:top w:val="single" w:sz="4" w:space="0" w:color="auto"/>
              <w:bottom w:val="single" w:sz="4" w:space="0" w:color="auto"/>
            </w:tcBorders>
            <w:shd w:val="clear" w:color="auto" w:fill="auto"/>
            <w:vAlign w:val="bottom"/>
            <w:hideMark/>
          </w:tcPr>
          <w:p w:rsidR="00C21DAA" w:rsidRPr="00500FFB" w:rsidRDefault="00115B35" w:rsidP="00500FFB">
            <w:pPr>
              <w:spacing w:before="80" w:after="80" w:line="220" w:lineRule="exact"/>
              <w:ind w:left="113"/>
              <w:jc w:val="right"/>
              <w:rPr>
                <w:b/>
                <w:sz w:val="18"/>
                <w:lang w:val="es-AR" w:eastAsia="es-AR"/>
              </w:rPr>
            </w:pPr>
            <w:r w:rsidRPr="00500FFB">
              <w:rPr>
                <w:b/>
                <w:sz w:val="18"/>
                <w:lang w:val="es-AR" w:eastAsia="es-AR"/>
              </w:rPr>
              <w:t>237</w:t>
            </w:r>
          </w:p>
        </w:tc>
        <w:tc>
          <w:tcPr>
            <w:tcW w:w="1803" w:type="dxa"/>
            <w:tcBorders>
              <w:top w:val="single" w:sz="4" w:space="0" w:color="auto"/>
              <w:bottom w:val="single" w:sz="4" w:space="0" w:color="auto"/>
            </w:tcBorders>
            <w:shd w:val="clear" w:color="auto" w:fill="auto"/>
            <w:vAlign w:val="bottom"/>
            <w:hideMark/>
          </w:tcPr>
          <w:p w:rsidR="00C21DAA" w:rsidRPr="00500FFB" w:rsidRDefault="00115B35" w:rsidP="00500FFB">
            <w:pPr>
              <w:spacing w:before="80" w:after="80" w:line="220" w:lineRule="exact"/>
              <w:ind w:left="113"/>
              <w:jc w:val="right"/>
              <w:rPr>
                <w:b/>
                <w:sz w:val="18"/>
                <w:lang w:val="es-AR" w:eastAsia="es-AR"/>
              </w:rPr>
            </w:pPr>
            <w:r w:rsidRPr="00500FFB">
              <w:rPr>
                <w:b/>
                <w:sz w:val="18"/>
                <w:lang w:val="es-AR" w:eastAsia="es-AR"/>
              </w:rPr>
              <w:t>14</w:t>
            </w:r>
            <w:r w:rsidR="00594EB2" w:rsidRPr="00500FFB">
              <w:rPr>
                <w:b/>
                <w:sz w:val="18"/>
                <w:lang w:val="es-AR" w:eastAsia="es-AR"/>
              </w:rPr>
              <w:t xml:space="preserve"> </w:t>
            </w:r>
            <w:r w:rsidRPr="00500FFB">
              <w:rPr>
                <w:b/>
                <w:sz w:val="18"/>
                <w:lang w:val="es-AR" w:eastAsia="es-AR"/>
              </w:rPr>
              <w:t>493</w:t>
            </w:r>
          </w:p>
        </w:tc>
      </w:tr>
      <w:tr w:rsidR="00594EB2" w:rsidRPr="003773E2" w:rsidTr="00500FFB">
        <w:trPr>
          <w:trHeight w:val="240"/>
        </w:trPr>
        <w:tc>
          <w:tcPr>
            <w:tcW w:w="2088" w:type="dxa"/>
            <w:tcBorders>
              <w:top w:val="single" w:sz="4" w:space="0" w:color="auto"/>
              <w:bottom w:val="single" w:sz="12" w:space="0" w:color="auto"/>
            </w:tcBorders>
            <w:shd w:val="clear" w:color="auto" w:fill="auto"/>
            <w:hideMark/>
          </w:tcPr>
          <w:p w:rsidR="00C21DAA" w:rsidRPr="00500FFB" w:rsidRDefault="00115B35" w:rsidP="00500FFB">
            <w:pPr>
              <w:spacing w:before="80" w:after="80" w:line="220" w:lineRule="exact"/>
              <w:ind w:left="284"/>
              <w:rPr>
                <w:b/>
                <w:sz w:val="18"/>
                <w:lang w:val="es-AR" w:eastAsia="es-AR"/>
              </w:rPr>
            </w:pPr>
            <w:r w:rsidRPr="00500FFB">
              <w:rPr>
                <w:b/>
                <w:sz w:val="18"/>
                <w:lang w:val="es-AR" w:eastAsia="es-AR"/>
              </w:rPr>
              <w:t>Total</w:t>
            </w:r>
          </w:p>
        </w:tc>
        <w:tc>
          <w:tcPr>
            <w:tcW w:w="1455" w:type="dxa"/>
            <w:tcBorders>
              <w:top w:val="single" w:sz="4" w:space="0" w:color="auto"/>
              <w:bottom w:val="single" w:sz="12" w:space="0" w:color="auto"/>
            </w:tcBorders>
            <w:shd w:val="clear" w:color="auto" w:fill="auto"/>
            <w:vAlign w:val="bottom"/>
            <w:hideMark/>
          </w:tcPr>
          <w:p w:rsidR="00C21DAA" w:rsidRPr="00500FFB" w:rsidRDefault="00C21DAA" w:rsidP="00500FFB">
            <w:pPr>
              <w:spacing w:before="80" w:after="80" w:line="220" w:lineRule="exact"/>
              <w:ind w:left="113"/>
              <w:jc w:val="right"/>
              <w:rPr>
                <w:b/>
                <w:sz w:val="18"/>
                <w:lang w:val="es-AR" w:eastAsia="es-AR"/>
              </w:rPr>
            </w:pPr>
          </w:p>
        </w:tc>
        <w:tc>
          <w:tcPr>
            <w:tcW w:w="2024"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ind w:left="113"/>
              <w:jc w:val="right"/>
              <w:rPr>
                <w:b/>
                <w:sz w:val="18"/>
                <w:lang w:val="es-AR" w:eastAsia="es-AR"/>
              </w:rPr>
            </w:pPr>
            <w:r w:rsidRPr="00500FFB">
              <w:rPr>
                <w:b/>
                <w:sz w:val="18"/>
                <w:lang w:val="es-AR" w:eastAsia="es-AR"/>
              </w:rPr>
              <w:t>1</w:t>
            </w:r>
            <w:r w:rsidR="00594EB2" w:rsidRPr="00500FFB">
              <w:rPr>
                <w:b/>
                <w:sz w:val="18"/>
                <w:lang w:val="es-AR" w:eastAsia="es-AR"/>
              </w:rPr>
              <w:t xml:space="preserve"> </w:t>
            </w:r>
            <w:r w:rsidRPr="00500FFB">
              <w:rPr>
                <w:b/>
                <w:sz w:val="18"/>
                <w:lang w:val="es-AR" w:eastAsia="es-AR"/>
              </w:rPr>
              <w:t>712</w:t>
            </w:r>
          </w:p>
        </w:tc>
        <w:tc>
          <w:tcPr>
            <w:tcW w:w="1803"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20" w:lineRule="exact"/>
              <w:ind w:left="113"/>
              <w:jc w:val="right"/>
              <w:rPr>
                <w:b/>
                <w:sz w:val="18"/>
                <w:lang w:val="es-AR" w:eastAsia="es-AR"/>
              </w:rPr>
            </w:pPr>
            <w:r w:rsidRPr="00500FFB">
              <w:rPr>
                <w:b/>
                <w:sz w:val="18"/>
                <w:lang w:val="es-AR" w:eastAsia="es-AR"/>
              </w:rPr>
              <w:t>81</w:t>
            </w:r>
            <w:r w:rsidR="00594EB2" w:rsidRPr="00500FFB">
              <w:rPr>
                <w:b/>
                <w:sz w:val="18"/>
                <w:lang w:val="es-AR" w:eastAsia="es-AR"/>
              </w:rPr>
              <w:t xml:space="preserve"> </w:t>
            </w:r>
            <w:r w:rsidRPr="00500FFB">
              <w:rPr>
                <w:b/>
                <w:sz w:val="18"/>
                <w:lang w:val="es-AR" w:eastAsia="es-AR"/>
              </w:rPr>
              <w:t>456</w:t>
            </w:r>
          </w:p>
        </w:tc>
      </w:tr>
    </w:tbl>
    <w:p w:rsidR="00C21DAA" w:rsidRPr="00FE07FE" w:rsidRDefault="00FE07FE" w:rsidP="00500FFB">
      <w:pPr>
        <w:pStyle w:val="SingleTxtG"/>
        <w:spacing w:before="240"/>
        <w:rPr>
          <w:lang w:val="es-MX" w:eastAsia="en-US"/>
        </w:rPr>
      </w:pPr>
      <w:r w:rsidRPr="00500FFB">
        <w:rPr>
          <w:lang w:val="es-MX" w:eastAsia="en-US"/>
        </w:rPr>
        <w:t>21.</w:t>
      </w:r>
      <w:r w:rsidRPr="00500FFB">
        <w:rPr>
          <w:lang w:val="es-MX" w:eastAsia="en-US"/>
        </w:rPr>
        <w:tab/>
      </w:r>
      <w:r w:rsidR="00115B35" w:rsidRPr="00FE07FE">
        <w:rPr>
          <w:i/>
          <w:lang w:val="es-MX" w:eastAsia="en-US"/>
        </w:rPr>
        <w:t xml:space="preserve">Párrafo 61 </w:t>
      </w:r>
      <w:r w:rsidR="00115B35" w:rsidRPr="00FE07FE">
        <w:rPr>
          <w:lang w:val="es-MX" w:eastAsia="en-US"/>
        </w:rPr>
        <w:t xml:space="preserve">(CRC/C/15/Add.187): A través de la modificación del Código Civil, se establece en el capítulo 3° art. 611 la </w:t>
      </w:r>
      <w:r w:rsidR="00115B35" w:rsidRPr="00FE07FE">
        <w:rPr>
          <w:b/>
          <w:lang w:val="es-MX" w:eastAsia="en-US"/>
        </w:rPr>
        <w:t>estricta prohibición de la entrega directa de niños, niñas y adolescentes</w:t>
      </w:r>
      <w:r w:rsidR="00115B35" w:rsidRPr="00FE07FE">
        <w:rPr>
          <w:lang w:val="es-MX" w:eastAsia="en-US"/>
        </w:rPr>
        <w:t xml:space="preserve">. También se sancionó la </w:t>
      </w:r>
      <w:r w:rsidR="006D286C">
        <w:rPr>
          <w:lang w:val="es-MX" w:eastAsia="en-US"/>
        </w:rPr>
        <w:t>L</w:t>
      </w:r>
      <w:r w:rsidR="00115B35" w:rsidRPr="00FE07FE">
        <w:rPr>
          <w:lang w:val="es-MX" w:eastAsia="en-US"/>
        </w:rPr>
        <w:t xml:space="preserve">ey </w:t>
      </w:r>
      <w:r w:rsidR="006D286C">
        <w:rPr>
          <w:lang w:val="es-MX" w:eastAsia="en-US"/>
        </w:rPr>
        <w:t xml:space="preserve">núm. </w:t>
      </w:r>
      <w:r w:rsidR="00115B35" w:rsidRPr="00FE07FE">
        <w:rPr>
          <w:lang w:val="es-MX" w:eastAsia="en-US"/>
        </w:rPr>
        <w:t xml:space="preserve">26847 que incorpora el artículo 148 </w:t>
      </w:r>
      <w:r w:rsidR="00115B35" w:rsidRPr="00500FFB">
        <w:rPr>
          <w:i/>
          <w:lang w:val="es-MX" w:eastAsia="en-US"/>
        </w:rPr>
        <w:t>bis</w:t>
      </w:r>
      <w:r w:rsidR="00115B35" w:rsidRPr="00FE07FE">
        <w:rPr>
          <w:lang w:val="es-MX" w:eastAsia="en-US"/>
        </w:rPr>
        <w:t xml:space="preserve"> al Código Penal, estableciendo una pena a los adultos que se aprovechen económicamente de una niña o niño.</w:t>
      </w:r>
    </w:p>
    <w:p w:rsidR="00C21DAA" w:rsidRPr="00FE07FE" w:rsidRDefault="00FE07FE" w:rsidP="00500FFB">
      <w:pPr>
        <w:pStyle w:val="SingleTxtG"/>
        <w:rPr>
          <w:lang w:val="es-MX" w:eastAsia="en-US"/>
        </w:rPr>
      </w:pPr>
      <w:r w:rsidRPr="00500FFB">
        <w:rPr>
          <w:lang w:val="es-MX" w:eastAsia="en-US"/>
        </w:rPr>
        <w:lastRenderedPageBreak/>
        <w:t>22.</w:t>
      </w:r>
      <w:r w:rsidRPr="00500FFB">
        <w:rPr>
          <w:lang w:val="es-MX" w:eastAsia="en-US"/>
        </w:rPr>
        <w:tab/>
      </w:r>
      <w:r w:rsidR="00115B35" w:rsidRPr="00FE07FE">
        <w:rPr>
          <w:lang w:val="es-MX" w:eastAsia="en-US"/>
        </w:rPr>
        <w:t xml:space="preserve">En 2014, el Observatorio de Trabajo Infantil y Adolescente realizó un estudio sobre explotación económica “Situación del trabajo infantil en el total urbano nacional </w:t>
      </w:r>
      <w:r w:rsidR="00D67A98">
        <w:rPr>
          <w:lang w:val="es-MX" w:eastAsia="en-US"/>
        </w:rPr>
        <w:t>–</w:t>
      </w:r>
      <w:r w:rsidR="00115B35" w:rsidRPr="00FE07FE">
        <w:rPr>
          <w:lang w:val="es-MX" w:eastAsia="en-US"/>
        </w:rPr>
        <w:t xml:space="preserve"> Informe de resultados del MANNyA”</w:t>
      </w:r>
      <w:r w:rsidR="00115B35" w:rsidRPr="00FE07FE">
        <w:rPr>
          <w:rStyle w:val="Refdenotaalpie"/>
        </w:rPr>
        <w:footnoteReference w:id="9"/>
      </w:r>
      <w:r w:rsidR="00115B35" w:rsidRPr="00FE07FE">
        <w:rPr>
          <w:lang w:val="es-MX" w:eastAsia="en-US"/>
        </w:rPr>
        <w:t xml:space="preserve">. </w:t>
      </w:r>
    </w:p>
    <w:p w:rsidR="00C21DAA" w:rsidRPr="00FE07FE" w:rsidRDefault="00FE07FE" w:rsidP="00500FFB">
      <w:pPr>
        <w:pStyle w:val="SingleTxtG"/>
        <w:rPr>
          <w:lang w:val="es-MX" w:eastAsia="en-US"/>
        </w:rPr>
      </w:pPr>
      <w:r w:rsidRPr="00500FFB">
        <w:rPr>
          <w:lang w:val="es-MX" w:eastAsia="en-US"/>
        </w:rPr>
        <w:t>23.</w:t>
      </w:r>
      <w:r w:rsidRPr="00500FFB">
        <w:rPr>
          <w:lang w:val="es-MX" w:eastAsia="en-US"/>
        </w:rPr>
        <w:tab/>
      </w:r>
      <w:r w:rsidR="00115B35" w:rsidRPr="00FE07FE">
        <w:rPr>
          <w:lang w:val="es-MX" w:eastAsia="en-US"/>
        </w:rPr>
        <w:t xml:space="preserve">Entre 2008-2016, en cuanto al delito de trata, la Oficina de Rescate intervino en la asistencia de 10.377 presuntas víctimas de trata, 975 personas menores 18 años de edad. Todas las provincias cuentan con dispositivos para la atención y asistencia a la víctima, reuniéndose periódicamente en encuentros organizados por la SENNAF donde asisten todos los puntos focales del país. Se trabaja en la implementación efectiva de la Línea de ayuda 102 en todas las provincias con la asistencia de UNICEF y Child Help International. Se realizaron acciones en el marco del convenio de cooperación entre SENAF, OIM y UNICEF: capacitación a altas autoridades provinciales, encuentros regionales para la implementación de protocolos locales de asistencia, fortalecimiento de equipos técnicos, jornada nacional de intercambio de experiencias y presentación de protocolos. </w:t>
      </w:r>
    </w:p>
    <w:p w:rsidR="00C21DAA" w:rsidRPr="00FE07FE" w:rsidRDefault="00FE07FE" w:rsidP="00500FFB">
      <w:pPr>
        <w:pStyle w:val="SingleTxtG"/>
        <w:rPr>
          <w:lang w:val="es-MX" w:eastAsia="en-US"/>
        </w:rPr>
      </w:pPr>
      <w:r w:rsidRPr="00500FFB">
        <w:rPr>
          <w:lang w:val="es-MX" w:eastAsia="en-US"/>
        </w:rPr>
        <w:t>24.</w:t>
      </w:r>
      <w:r w:rsidRPr="00500FFB">
        <w:rPr>
          <w:lang w:val="es-MX" w:eastAsia="en-US"/>
        </w:rPr>
        <w:tab/>
      </w:r>
      <w:r w:rsidR="00115B35" w:rsidRPr="00FE07FE">
        <w:rPr>
          <w:lang w:val="es-MX" w:eastAsia="en-US"/>
        </w:rPr>
        <w:t>En 2012 se modificaron las penas previstas para el delito de trata de personas, y se eliminó la figura del “consentimiento”. Asimismo, se creó el Consejo Federal para la Lucha contra la Trata de Personas, para asistir y garantizar los derechos de las víctimas y la línea telefónica especial 145. (Ver párrafo 76</w:t>
      </w:r>
      <w:r w:rsidR="00D5464A">
        <w:rPr>
          <w:lang w:val="es-MX" w:eastAsia="en-US"/>
        </w:rPr>
        <w:t>.</w:t>
      </w:r>
      <w:r w:rsidR="00115B35" w:rsidRPr="00FE07FE">
        <w:rPr>
          <w:lang w:val="es-MX" w:eastAsia="en-US"/>
        </w:rPr>
        <w:t xml:space="preserve">) En el año 2013 se conformó el Comité Ejecutivo para la Lucha contra la Trata de Personas. En el 2016, se realizó la campaña “La trata de personas no se ve a simple vista”. </w:t>
      </w:r>
    </w:p>
    <w:p w:rsidR="00C21DAA" w:rsidRPr="00FE07FE" w:rsidRDefault="00FE07FE" w:rsidP="00500FFB">
      <w:pPr>
        <w:pStyle w:val="SingleTxtG"/>
        <w:rPr>
          <w:lang w:val="es-MX" w:eastAsia="en-US"/>
        </w:rPr>
      </w:pPr>
      <w:r w:rsidRPr="00500FFB">
        <w:rPr>
          <w:lang w:val="es-MX" w:eastAsia="en-US"/>
        </w:rPr>
        <w:t>25.</w:t>
      </w:r>
      <w:r w:rsidRPr="00500FFB">
        <w:rPr>
          <w:lang w:val="es-MX" w:eastAsia="en-US"/>
        </w:rPr>
        <w:tab/>
      </w:r>
      <w:r w:rsidR="00115B35" w:rsidRPr="00FE07FE">
        <w:rPr>
          <w:lang w:val="es-MX" w:eastAsia="en-US"/>
        </w:rPr>
        <w:t xml:space="preserve">Desde la SENAF se integran los Comités de Frontera, a los fines de articular políticas de prevención en los pasos fronterizos. </w:t>
      </w:r>
    </w:p>
    <w:p w:rsidR="00C21DAA" w:rsidRPr="00FE07FE" w:rsidRDefault="00FE07FE" w:rsidP="00500FFB">
      <w:pPr>
        <w:pStyle w:val="SingleTxtG"/>
        <w:rPr>
          <w:lang w:val="es-MX" w:eastAsia="en-US"/>
        </w:rPr>
      </w:pPr>
      <w:r w:rsidRPr="00500FFB">
        <w:rPr>
          <w:lang w:val="es-MX" w:eastAsia="en-US"/>
        </w:rPr>
        <w:t>26.</w:t>
      </w:r>
      <w:r w:rsidRPr="00500FFB">
        <w:rPr>
          <w:lang w:val="es-MX" w:eastAsia="en-US"/>
        </w:rPr>
        <w:tab/>
      </w:r>
      <w:r w:rsidR="00115B35" w:rsidRPr="00FE07FE">
        <w:rPr>
          <w:i/>
          <w:lang w:val="es-MX" w:eastAsia="en-US"/>
        </w:rPr>
        <w:t>Párrafo 63</w:t>
      </w:r>
      <w:r w:rsidR="00115B35" w:rsidRPr="00FE07FE">
        <w:rPr>
          <w:lang w:val="es-MX" w:eastAsia="en-US"/>
        </w:rPr>
        <w:t xml:space="preserve"> (CRC/C/15/Add.187): En 2012 se creó en CABA el Centro de Admisión y Derivación, que funciona como dispositivo especializado del organismo de niñez para el ingreso al sistema penal juvenil a partir del momento de la aprehensión evitando el ingreso de niños en dependencias policiales y facilitando el pronto egreso y la derivación al sistema de protección de derechos. En el año 2016 se extendió esta política pública como plan nacional y se suscribieron convenios de asistencia técnica y financiera con diferentes provincias para la implementación de dispositivos similares.</w:t>
      </w:r>
    </w:p>
    <w:p w:rsidR="00C21DAA" w:rsidRPr="00FE07FE" w:rsidRDefault="00FE07FE" w:rsidP="00500FFB">
      <w:pPr>
        <w:pStyle w:val="SingleTxtG"/>
        <w:rPr>
          <w:lang w:val="es-MX" w:eastAsia="en-US"/>
        </w:rPr>
      </w:pPr>
      <w:r w:rsidRPr="00500FFB">
        <w:rPr>
          <w:lang w:val="es-MX" w:eastAsia="en-US"/>
        </w:rPr>
        <w:t>27.</w:t>
      </w:r>
      <w:r w:rsidRPr="00500FFB">
        <w:rPr>
          <w:lang w:val="es-MX" w:eastAsia="en-US"/>
        </w:rPr>
        <w:tab/>
      </w:r>
      <w:r w:rsidR="00115B35" w:rsidRPr="00FE07FE">
        <w:rPr>
          <w:lang w:val="es-MX" w:eastAsia="en-US"/>
        </w:rPr>
        <w:t>En cuanto a la aplicación de medidas alternativas a la privación de libertad, es de destacar que el 79,4% de los jóvenes dispuestos por una medida del sistema penal juvenil se encuentra incluido en programas de supervisión en territorio; el 2,4% en establecimientos de restricción de libertad y el 18,2% en establecimientos de privación de libertad</w:t>
      </w:r>
      <w:r w:rsidR="00115B35" w:rsidRPr="00FE07FE">
        <w:rPr>
          <w:rStyle w:val="Refdenotaalpie"/>
        </w:rPr>
        <w:footnoteReference w:id="10"/>
      </w:r>
      <w:r w:rsidR="00115B35" w:rsidRPr="00FE07FE">
        <w:rPr>
          <w:lang w:val="es-MX" w:eastAsia="en-US"/>
        </w:rPr>
        <w:t xml:space="preserve">. Es de señalar que los estándares de aplicación de la legislación común en Argentina están determinados por los principios rectores del derecho internacional de los derechos humanos (que tiene jerarquía constitucional “en las condiciones de su vigencia” </w:t>
      </w:r>
      <w:r w:rsidR="0080667C">
        <w:rPr>
          <w:lang w:val="es-MX" w:eastAsia="en-US"/>
        </w:rPr>
        <w:t>—</w:t>
      </w:r>
      <w:r w:rsidR="00115B35" w:rsidRPr="00FE07FE">
        <w:rPr>
          <w:lang w:val="es-MX" w:eastAsia="en-US"/>
        </w:rPr>
        <w:t>art. 75, inc. 22, Constitución Nacional</w:t>
      </w:r>
      <w:r w:rsidR="0080667C">
        <w:rPr>
          <w:lang w:val="es-MX" w:eastAsia="en-US"/>
        </w:rPr>
        <w:t>—</w:t>
      </w:r>
      <w:r w:rsidR="00115B35" w:rsidRPr="00FE07FE">
        <w:rPr>
          <w:lang w:val="es-MX" w:eastAsia="en-US"/>
        </w:rPr>
        <w:t xml:space="preserve">), y así lo ha interpretado la Corte Suprema de Justicia de la Nación (en particular, respecto del derecho penal juvenil, en CSJN, Fallos, 328:4343). </w:t>
      </w:r>
    </w:p>
    <w:p w:rsidR="00C21DAA" w:rsidRPr="00FE07FE" w:rsidRDefault="00115B35">
      <w:pPr>
        <w:pStyle w:val="H23G"/>
        <w:rPr>
          <w:lang w:eastAsia="en-US"/>
        </w:rPr>
      </w:pPr>
      <w:r w:rsidRPr="00FE07FE">
        <w:rPr>
          <w:lang w:eastAsia="en-US"/>
        </w:rPr>
        <w:tab/>
      </w:r>
      <w:r w:rsidRPr="00FE07FE">
        <w:rPr>
          <w:lang w:eastAsia="en-US"/>
        </w:rPr>
        <w:tab/>
        <w:t xml:space="preserve">Reservas y declaraciones </w:t>
      </w:r>
    </w:p>
    <w:p w:rsidR="00C21DAA" w:rsidRPr="00FE07FE" w:rsidRDefault="00115B35">
      <w:pPr>
        <w:pStyle w:val="H4G"/>
        <w:rPr>
          <w:lang w:eastAsia="en-US"/>
        </w:rPr>
      </w:pPr>
      <w:r w:rsidRPr="00FE07FE">
        <w:rPr>
          <w:lang w:eastAsia="en-US"/>
        </w:rPr>
        <w:tab/>
      </w:r>
      <w:r w:rsidRPr="00FE07FE">
        <w:rPr>
          <w:lang w:eastAsia="en-US"/>
        </w:rPr>
        <w:tab/>
        <w:t>Párrafo 10</w:t>
      </w:r>
    </w:p>
    <w:p w:rsidR="00C21DAA" w:rsidRPr="00FE07FE" w:rsidRDefault="00FE07FE" w:rsidP="00500FFB">
      <w:pPr>
        <w:pStyle w:val="SingleTxtG"/>
        <w:rPr>
          <w:lang w:val="es-MX" w:eastAsia="en-US"/>
        </w:rPr>
      </w:pPr>
      <w:r w:rsidRPr="00500FFB">
        <w:rPr>
          <w:lang w:val="es-MX" w:eastAsia="en-US"/>
        </w:rPr>
        <w:t>28.</w:t>
      </w:r>
      <w:r w:rsidRPr="00500FFB">
        <w:rPr>
          <w:lang w:val="es-MX" w:eastAsia="en-US"/>
        </w:rPr>
        <w:tab/>
      </w:r>
      <w:r w:rsidR="00115B35" w:rsidRPr="00FE07FE">
        <w:rPr>
          <w:lang w:val="es-MX" w:eastAsia="en-US"/>
        </w:rPr>
        <w:t xml:space="preserve">Se informa que existe en el país un sistema de protección integral que previene la venta de niños, la prostitución infantil y la utilización de niños en la pornografía y brinda protección a las víctimas. Mediante Resolución Conjunta de Jefatura de Gabinete </w:t>
      </w:r>
      <w:r w:rsidR="0080667C">
        <w:rPr>
          <w:lang w:val="es-MX" w:eastAsia="en-US"/>
        </w:rPr>
        <w:t>núm. </w:t>
      </w:r>
      <w:r w:rsidR="00115B35" w:rsidRPr="00FE07FE">
        <w:rPr>
          <w:lang w:val="es-MX" w:eastAsia="en-US"/>
        </w:rPr>
        <w:t>866/2011 y el Ministerio de Justicia y Derechos Humanos (</w:t>
      </w:r>
      <w:bookmarkStart w:id="1" w:name="OLE_LINK1"/>
      <w:bookmarkStart w:id="2" w:name="OLE_LINK2"/>
      <w:r w:rsidR="00115B35" w:rsidRPr="00FE07FE">
        <w:rPr>
          <w:lang w:val="es-MX" w:eastAsia="en-US"/>
        </w:rPr>
        <w:t xml:space="preserve">MJDH) </w:t>
      </w:r>
      <w:r w:rsidR="006D286C">
        <w:rPr>
          <w:lang w:val="es-MX" w:eastAsia="en-US"/>
        </w:rPr>
        <w:t xml:space="preserve">núm. </w:t>
      </w:r>
      <w:r w:rsidR="00115B35" w:rsidRPr="00FE07FE">
        <w:rPr>
          <w:lang w:val="es-MX" w:eastAsia="en-US"/>
        </w:rPr>
        <w:t xml:space="preserve">1500/2011 </w:t>
      </w:r>
      <w:bookmarkEnd w:id="1"/>
      <w:bookmarkEnd w:id="2"/>
      <w:r w:rsidR="00115B35" w:rsidRPr="00FE07FE">
        <w:rPr>
          <w:lang w:val="es-MX" w:eastAsia="en-US"/>
        </w:rPr>
        <w:t xml:space="preserve">se creó la comisión técnica asesora en materia de Cibercriminal en consonancia con los postulados del Convenio de Budapest. </w:t>
      </w:r>
    </w:p>
    <w:p w:rsidR="00C21DAA" w:rsidRPr="00FE07FE" w:rsidRDefault="00FE07FE" w:rsidP="00500FFB">
      <w:pPr>
        <w:pStyle w:val="SingleTxtG"/>
        <w:rPr>
          <w:lang w:val="es-MX" w:eastAsia="en-US"/>
        </w:rPr>
      </w:pPr>
      <w:r w:rsidRPr="00500FFB">
        <w:rPr>
          <w:lang w:val="es-MX" w:eastAsia="en-US"/>
        </w:rPr>
        <w:lastRenderedPageBreak/>
        <w:t>29.</w:t>
      </w:r>
      <w:r w:rsidRPr="00500FFB">
        <w:rPr>
          <w:lang w:val="es-MX" w:eastAsia="en-US"/>
        </w:rPr>
        <w:tab/>
      </w:r>
      <w:r w:rsidR="00115B35" w:rsidRPr="00FE07FE">
        <w:rPr>
          <w:lang w:val="es-MX" w:eastAsia="en-US"/>
        </w:rPr>
        <w:t xml:space="preserve">Según el Registro Único de Aspirantes a Guarda con Fines Adoptivos (DNRUA), establecido por </w:t>
      </w:r>
      <w:r w:rsidR="003773E2">
        <w:rPr>
          <w:lang w:val="es-MX" w:eastAsia="en-US"/>
        </w:rPr>
        <w:t xml:space="preserve">Ley núm. </w:t>
      </w:r>
      <w:r w:rsidR="00115B35" w:rsidRPr="00FE07FE">
        <w:rPr>
          <w:lang w:val="es-MX" w:eastAsia="en-US"/>
        </w:rPr>
        <w:t>25854, a abril de 2016 se encontraban registrados 5.708 aspirantes a guarda</w:t>
      </w:r>
      <w:r w:rsidR="00FF72C4">
        <w:rPr>
          <w:lang w:val="es-MX" w:eastAsia="en-US"/>
        </w:rPr>
        <w:t>.</w:t>
      </w:r>
    </w:p>
    <w:p w:rsidR="00C21DAA" w:rsidRPr="00FE07FE" w:rsidRDefault="00FE07FE" w:rsidP="00500FFB">
      <w:pPr>
        <w:pStyle w:val="SingleTxtG"/>
        <w:rPr>
          <w:lang w:val="es-MX" w:eastAsia="en-US"/>
        </w:rPr>
      </w:pPr>
      <w:r w:rsidRPr="00500FFB">
        <w:rPr>
          <w:lang w:val="es-MX" w:eastAsia="en-US"/>
        </w:rPr>
        <w:t>30.</w:t>
      </w:r>
      <w:r w:rsidRPr="00500FFB">
        <w:rPr>
          <w:lang w:val="es-MX" w:eastAsia="en-US"/>
        </w:rPr>
        <w:tab/>
      </w:r>
      <w:r w:rsidR="00115B35" w:rsidRPr="00FE07FE">
        <w:rPr>
          <w:lang w:val="es-MX" w:eastAsia="en-US"/>
        </w:rPr>
        <w:t xml:space="preserve">En virtud de la reserva a los apartados b) a e) del artículo 21 de la Convención sobre los Derechos del Niño (CDN), el Estado sostiene que no regirá en su jurisdicción la adopción internacional atento a que no existe aún un mecanismo internacional de protección legal del niño en la materia, el cuál impida la venta y la trata de niñas y niños. </w:t>
      </w:r>
    </w:p>
    <w:p w:rsidR="00C21DAA" w:rsidRPr="00FE07FE" w:rsidRDefault="00FE07FE" w:rsidP="00500FFB">
      <w:pPr>
        <w:pStyle w:val="SingleTxtG"/>
        <w:rPr>
          <w:lang w:val="es-MX" w:eastAsia="en-US"/>
        </w:rPr>
      </w:pPr>
      <w:r w:rsidRPr="00500FFB">
        <w:rPr>
          <w:lang w:val="es-MX" w:eastAsia="en-US"/>
        </w:rPr>
        <w:t>31.</w:t>
      </w:r>
      <w:r w:rsidRPr="00500FFB">
        <w:rPr>
          <w:lang w:val="es-MX" w:eastAsia="en-US"/>
        </w:rPr>
        <w:tab/>
      </w:r>
      <w:r w:rsidR="00115B35" w:rsidRPr="00FE07FE">
        <w:rPr>
          <w:lang w:val="es-MX" w:eastAsia="en-US"/>
        </w:rPr>
        <w:t xml:space="preserve">El Estado entiende que dicha reserva respeta el interés superior del niño por garantizar los derechos reconocidos a ellos, respetando su origen, residencia, cultura. El Código Civil ha introducido modificaciones en el régimen de adopción, estableciendo los principios del interés superior del niño, el respeto por el derecho a la identidad, el agotamiento de las posibilidades de permanencia en la familia de origen, la preservación de los vínculos fraternos, el reconocimiento de loa orígenes y el derecho a ser oído.  </w:t>
      </w:r>
    </w:p>
    <w:p w:rsidR="00C21DAA" w:rsidRPr="00FE07FE" w:rsidRDefault="00115B35">
      <w:pPr>
        <w:pStyle w:val="H4G"/>
        <w:rPr>
          <w:lang w:eastAsia="en-US"/>
        </w:rPr>
      </w:pPr>
      <w:r w:rsidRPr="00FE07FE">
        <w:rPr>
          <w:lang w:eastAsia="en-US"/>
        </w:rPr>
        <w:tab/>
      </w:r>
      <w:r w:rsidRPr="00FE07FE">
        <w:rPr>
          <w:lang w:eastAsia="en-US"/>
        </w:rPr>
        <w:tab/>
        <w:t xml:space="preserve">Párrafo 12 </w:t>
      </w:r>
    </w:p>
    <w:p w:rsidR="00C21DAA" w:rsidRPr="00FE07FE" w:rsidRDefault="00FE07FE" w:rsidP="00500FFB">
      <w:pPr>
        <w:pStyle w:val="SingleTxtG"/>
        <w:rPr>
          <w:lang w:val="es-MX" w:eastAsia="en-US"/>
        </w:rPr>
      </w:pPr>
      <w:r w:rsidRPr="00500FFB">
        <w:rPr>
          <w:lang w:val="es-MX" w:eastAsia="en-US"/>
        </w:rPr>
        <w:t>32.</w:t>
      </w:r>
      <w:r w:rsidRPr="00500FFB">
        <w:rPr>
          <w:lang w:val="es-MX" w:eastAsia="en-US"/>
        </w:rPr>
        <w:tab/>
      </w:r>
      <w:r w:rsidR="00115B35" w:rsidRPr="00FE07FE">
        <w:rPr>
          <w:lang w:val="es-MX" w:eastAsia="en-US"/>
        </w:rPr>
        <w:t xml:space="preserve">Se informa que hay 18 jurisdicciones que establecieron normativa en el ámbito de salud y de educación sobre el concepto de planificación familiar. Asimismo, las provincias de Formosa, San Juan y Corrientes aún no establecieron legislación propia ni adhirieron a las </w:t>
      </w:r>
      <w:r w:rsidR="00DF1C7B">
        <w:rPr>
          <w:lang w:val="es-MX" w:eastAsia="en-US"/>
        </w:rPr>
        <w:t>L</w:t>
      </w:r>
      <w:r w:rsidR="00115B35" w:rsidRPr="00FE07FE">
        <w:rPr>
          <w:lang w:val="es-MX" w:eastAsia="en-US"/>
        </w:rPr>
        <w:t xml:space="preserve">eyes nacionales </w:t>
      </w:r>
      <w:r w:rsidR="00DF1C7B">
        <w:rPr>
          <w:lang w:val="es-MX" w:eastAsia="en-US"/>
        </w:rPr>
        <w:t xml:space="preserve">núm. </w:t>
      </w:r>
      <w:r w:rsidR="00115B35" w:rsidRPr="00FE07FE">
        <w:rPr>
          <w:lang w:val="es-MX" w:eastAsia="en-US"/>
        </w:rPr>
        <w:t xml:space="preserve">25673 que crea el Programa Nacional de Salud Sexual y Procreación Responsable – PNSSyPR, y la </w:t>
      </w:r>
      <w:r w:rsidR="00DF1C7B">
        <w:rPr>
          <w:lang w:val="es-MX" w:eastAsia="en-US"/>
        </w:rPr>
        <w:t xml:space="preserve">núm. </w:t>
      </w:r>
      <w:r w:rsidR="00115B35" w:rsidRPr="00FE07FE">
        <w:rPr>
          <w:lang w:val="es-MX" w:eastAsia="en-US"/>
        </w:rPr>
        <w:t xml:space="preserve">26150 de creación del Programa Nacional de Educación Sexual Integral. Sin embargo, dichas provincias sí adoptaron los conceptos de planificación familiar y educación sexual y reproductiva desde los ámbitos de la salud y la educación. </w:t>
      </w:r>
    </w:p>
    <w:p w:rsidR="00C21DAA" w:rsidRPr="00FE07FE" w:rsidRDefault="00FE07FE" w:rsidP="00500FFB">
      <w:pPr>
        <w:pStyle w:val="SingleTxtG"/>
        <w:rPr>
          <w:lang w:val="es-MX" w:eastAsia="en-US"/>
        </w:rPr>
      </w:pPr>
      <w:r w:rsidRPr="00500FFB">
        <w:rPr>
          <w:lang w:val="es-MX" w:eastAsia="en-US"/>
        </w:rPr>
        <w:t>33.</w:t>
      </w:r>
      <w:r w:rsidRPr="00500FFB">
        <w:rPr>
          <w:lang w:val="es-MX" w:eastAsia="en-US"/>
        </w:rPr>
        <w:tab/>
      </w:r>
      <w:r w:rsidR="00115B35" w:rsidRPr="00FE07FE">
        <w:rPr>
          <w:lang w:val="es-MX" w:eastAsia="en-US"/>
        </w:rPr>
        <w:t xml:space="preserve">Por otra parte, se destaca que Tucumán incorporó </w:t>
      </w:r>
      <w:r w:rsidR="00DF1C7B">
        <w:rPr>
          <w:lang w:val="es-MX" w:eastAsia="en-US"/>
        </w:rPr>
        <w:t>—</w:t>
      </w:r>
      <w:r w:rsidR="00115B35" w:rsidRPr="00FE07FE">
        <w:rPr>
          <w:lang w:val="es-MX" w:eastAsia="en-US"/>
        </w:rPr>
        <w:t xml:space="preserve">mediante la </w:t>
      </w:r>
      <w:r w:rsidR="00DF1C7B">
        <w:rPr>
          <w:lang w:val="es-MX" w:eastAsia="en-US"/>
        </w:rPr>
        <w:t>L</w:t>
      </w:r>
      <w:r w:rsidR="00115B35" w:rsidRPr="00FE07FE">
        <w:rPr>
          <w:lang w:val="es-MX" w:eastAsia="en-US"/>
        </w:rPr>
        <w:t xml:space="preserve">ey </w:t>
      </w:r>
      <w:r w:rsidR="00DF1C7B">
        <w:rPr>
          <w:lang w:val="es-MX" w:eastAsia="en-US"/>
        </w:rPr>
        <w:t>núm. </w:t>
      </w:r>
      <w:r w:rsidR="00115B35" w:rsidRPr="00FE07FE">
        <w:rPr>
          <w:lang w:val="es-MX" w:eastAsia="en-US"/>
        </w:rPr>
        <w:t>8391/10</w:t>
      </w:r>
      <w:r w:rsidR="00DF1C7B">
        <w:rPr>
          <w:lang w:val="es-MX" w:eastAsia="en-US"/>
        </w:rPr>
        <w:t>—</w:t>
      </w:r>
      <w:r w:rsidR="00115B35" w:rsidRPr="00FE07FE">
        <w:rPr>
          <w:lang w:val="es-MX" w:eastAsia="en-US"/>
        </w:rPr>
        <w:t xml:space="preserve"> la Educación Sexual Integral (ESI) en las currículas y Santiago del Estero y Catamarca adhirieron a la </w:t>
      </w:r>
      <w:r w:rsidR="00DF1C7B">
        <w:rPr>
          <w:lang w:val="es-MX" w:eastAsia="en-US"/>
        </w:rPr>
        <w:t>L</w:t>
      </w:r>
      <w:r w:rsidR="00115B35" w:rsidRPr="00FE07FE">
        <w:rPr>
          <w:lang w:val="es-MX" w:eastAsia="en-US"/>
        </w:rPr>
        <w:t xml:space="preserve">ey nacional </w:t>
      </w:r>
      <w:r w:rsidR="00DF1C7B">
        <w:rPr>
          <w:lang w:val="es-MX" w:eastAsia="en-US"/>
        </w:rPr>
        <w:t xml:space="preserve">núm. </w:t>
      </w:r>
      <w:r w:rsidR="00115B35" w:rsidRPr="00FE07FE">
        <w:rPr>
          <w:lang w:val="es-MX" w:eastAsia="en-US"/>
        </w:rPr>
        <w:t xml:space="preserve">25673 mediante las </w:t>
      </w:r>
      <w:r w:rsidR="00DF1C7B">
        <w:rPr>
          <w:lang w:val="es-MX" w:eastAsia="en-US"/>
        </w:rPr>
        <w:t>L</w:t>
      </w:r>
      <w:r w:rsidR="00115B35" w:rsidRPr="00FE07FE">
        <w:rPr>
          <w:lang w:val="es-MX" w:eastAsia="en-US"/>
        </w:rPr>
        <w:t xml:space="preserve">eyes provinciales </w:t>
      </w:r>
      <w:r w:rsidR="00DF1C7B">
        <w:rPr>
          <w:lang w:val="es-MX" w:eastAsia="en-US"/>
        </w:rPr>
        <w:t xml:space="preserve">núms. </w:t>
      </w:r>
      <w:r w:rsidR="00115B35" w:rsidRPr="00FE07FE">
        <w:rPr>
          <w:lang w:val="es-MX" w:eastAsia="en-US"/>
        </w:rPr>
        <w:t>6759 y 5399, respectivamente.</w:t>
      </w:r>
    </w:p>
    <w:p w:rsidR="00C21DAA" w:rsidRPr="00FE07FE" w:rsidRDefault="00115B35">
      <w:pPr>
        <w:pStyle w:val="H23G"/>
        <w:rPr>
          <w:lang w:eastAsia="en-US"/>
        </w:rPr>
      </w:pPr>
      <w:r w:rsidRPr="00FE07FE">
        <w:rPr>
          <w:lang w:eastAsia="en-US"/>
        </w:rPr>
        <w:tab/>
      </w:r>
      <w:r w:rsidRPr="00FE07FE">
        <w:rPr>
          <w:lang w:eastAsia="en-US"/>
        </w:rPr>
        <w:tab/>
        <w:t>Legislación</w:t>
      </w:r>
    </w:p>
    <w:p w:rsidR="00C21DAA" w:rsidRPr="00FE07FE" w:rsidRDefault="00115B35">
      <w:pPr>
        <w:pStyle w:val="H4G"/>
        <w:rPr>
          <w:iCs/>
          <w:lang w:eastAsia="en-US"/>
        </w:rPr>
      </w:pPr>
      <w:r w:rsidRPr="00FE07FE">
        <w:rPr>
          <w:lang w:eastAsia="en-US"/>
        </w:rPr>
        <w:tab/>
      </w:r>
      <w:r w:rsidRPr="00FE07FE">
        <w:rPr>
          <w:lang w:eastAsia="en-US"/>
        </w:rPr>
        <w:tab/>
        <w:t xml:space="preserve">Párrafo 14 </w:t>
      </w:r>
    </w:p>
    <w:p w:rsidR="00C21DAA" w:rsidRPr="00FE07FE" w:rsidRDefault="00FE07FE" w:rsidP="00500FFB">
      <w:pPr>
        <w:pStyle w:val="SingleTxtG"/>
        <w:rPr>
          <w:lang w:val="es-MX" w:eastAsia="en-US"/>
        </w:rPr>
      </w:pPr>
      <w:r w:rsidRPr="00500FFB">
        <w:rPr>
          <w:lang w:val="es-MX" w:eastAsia="en-US"/>
        </w:rPr>
        <w:t>34.</w:t>
      </w:r>
      <w:r w:rsidRPr="00500FFB">
        <w:rPr>
          <w:lang w:val="es-MX" w:eastAsia="en-US"/>
        </w:rPr>
        <w:tab/>
      </w:r>
      <w:r w:rsidR="00115B35" w:rsidRPr="00FE07FE">
        <w:rPr>
          <w:lang w:val="es-MX" w:eastAsia="en-US"/>
        </w:rPr>
        <w:t xml:space="preserve">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26061 coexiste junto con las leyes provinciales: de las 24 jurisdicciones argentinas, 23 cuentan con ley provincial propia y adhirieron a la ley nacional, a la CDN y a los protocolos facultativos. Solamente la provincia de San Luis adhirió sólo a la CDN y se encuentra en proceso de elaboración de su propia ley</w:t>
      </w:r>
      <w:r w:rsidR="00115B35" w:rsidRPr="00FE07FE">
        <w:rPr>
          <w:rStyle w:val="Refdenotaalpie"/>
        </w:rPr>
        <w:footnoteReference w:id="11"/>
      </w:r>
      <w:r w:rsidR="00115B35" w:rsidRPr="00FE07FE">
        <w:rPr>
          <w:lang w:val="es-MX" w:eastAsia="en-US"/>
        </w:rPr>
        <w:t>.</w:t>
      </w:r>
    </w:p>
    <w:p w:rsidR="00C21DAA" w:rsidRPr="00FE07FE" w:rsidRDefault="00FE07FE" w:rsidP="00500FFB">
      <w:pPr>
        <w:pStyle w:val="SingleTxtG"/>
        <w:rPr>
          <w:lang w:val="es-MX" w:eastAsia="en-US"/>
        </w:rPr>
      </w:pPr>
      <w:r w:rsidRPr="00500FFB">
        <w:rPr>
          <w:lang w:val="es-MX" w:eastAsia="en-US"/>
        </w:rPr>
        <w:t>35.</w:t>
      </w:r>
      <w:r w:rsidRPr="00500FFB">
        <w:rPr>
          <w:lang w:val="es-MX" w:eastAsia="en-US"/>
        </w:rPr>
        <w:tab/>
      </w:r>
      <w:r w:rsidR="00115B35" w:rsidRPr="00FE07FE">
        <w:rPr>
          <w:lang w:val="es-MX" w:eastAsia="en-US"/>
        </w:rPr>
        <w:t xml:space="preserve">Todas las jurisdicciones implementaron institucional y administrativamente su sistema de protección integral de derechos reorganizando sus áreas específicas de intervención en Secretarías, Subsecretarias y Direcciones de Niñez y Adolescencia, como organismos de aplicación. </w:t>
      </w:r>
    </w:p>
    <w:p w:rsidR="00C21DAA" w:rsidRPr="00FE07FE" w:rsidRDefault="00115B35">
      <w:pPr>
        <w:pStyle w:val="H23G"/>
        <w:rPr>
          <w:lang w:eastAsia="en-US"/>
        </w:rPr>
      </w:pPr>
      <w:r w:rsidRPr="00FE07FE">
        <w:rPr>
          <w:lang w:eastAsia="en-US"/>
        </w:rPr>
        <w:tab/>
      </w:r>
      <w:r w:rsidRPr="00FE07FE">
        <w:rPr>
          <w:lang w:eastAsia="en-US"/>
        </w:rPr>
        <w:tab/>
        <w:t xml:space="preserve">Coordinación </w:t>
      </w:r>
    </w:p>
    <w:p w:rsidR="00C21DAA" w:rsidRPr="00FE07FE" w:rsidRDefault="00115B35">
      <w:pPr>
        <w:pStyle w:val="H4G"/>
        <w:rPr>
          <w:iCs/>
          <w:lang w:eastAsia="en-US"/>
        </w:rPr>
      </w:pPr>
      <w:r w:rsidRPr="00FE07FE">
        <w:rPr>
          <w:lang w:eastAsia="en-US"/>
        </w:rPr>
        <w:tab/>
      </w:r>
      <w:r w:rsidRPr="00FE07FE">
        <w:rPr>
          <w:lang w:eastAsia="en-US"/>
        </w:rPr>
        <w:tab/>
        <w:t xml:space="preserve">Párrafo 16 </w:t>
      </w:r>
    </w:p>
    <w:p w:rsidR="00C21DAA" w:rsidRPr="00FE07FE" w:rsidRDefault="00FE07FE" w:rsidP="00500FFB">
      <w:pPr>
        <w:pStyle w:val="SingleTxtG"/>
        <w:rPr>
          <w:lang w:val="es-MX" w:eastAsia="en-US"/>
        </w:rPr>
      </w:pPr>
      <w:r w:rsidRPr="00500FFB">
        <w:rPr>
          <w:lang w:val="es-MX" w:eastAsia="en-US"/>
        </w:rPr>
        <w:t>36.</w:t>
      </w:r>
      <w:r w:rsidRPr="00500FFB">
        <w:rPr>
          <w:lang w:val="es-MX" w:eastAsia="en-US"/>
        </w:rPr>
        <w:tab/>
      </w:r>
      <w:r w:rsidR="00115B35" w:rsidRPr="00FE07FE">
        <w:rPr>
          <w:lang w:val="es-MX" w:eastAsia="en-US"/>
        </w:rPr>
        <w:t>Las provincias y CABA están representadas en el COFENAF donde se discuten y planifican las políticas públicas de infancia y adolescencia a nivel federal, coordinando e integrando en las acciones a los distintos municipios y ámbitos locales</w:t>
      </w:r>
      <w:r w:rsidR="00115B35" w:rsidRPr="00FE07FE">
        <w:rPr>
          <w:rStyle w:val="Refdenotaalpie"/>
        </w:rPr>
        <w:footnoteReference w:id="12"/>
      </w:r>
      <w:r w:rsidR="00115B35" w:rsidRPr="00FE07FE">
        <w:rPr>
          <w:lang w:val="es-MX" w:eastAsia="en-US"/>
        </w:rPr>
        <w:t xml:space="preserve">. Santiago del Estero, Chaco, Neuquén, Tucumán, Córdoba, Entre Ríos, San Luis, Catamarca, La Pampa, Santa Fe, CABA y Tierra del Fuego proyectan y ejecutan programas con abordaje integral a través de capacitaciones y especializaciones de sus equipos. </w:t>
      </w:r>
    </w:p>
    <w:p w:rsidR="00C21DAA" w:rsidRPr="00FE07FE" w:rsidRDefault="00FE07FE" w:rsidP="00500FFB">
      <w:pPr>
        <w:pStyle w:val="SingleTxtG"/>
        <w:rPr>
          <w:lang w:val="es-MX" w:eastAsia="en-US"/>
        </w:rPr>
      </w:pPr>
      <w:r w:rsidRPr="00500FFB">
        <w:rPr>
          <w:lang w:val="es-MX" w:eastAsia="en-US"/>
        </w:rPr>
        <w:t>37.</w:t>
      </w:r>
      <w:r w:rsidRPr="00500FFB">
        <w:rPr>
          <w:lang w:val="es-MX" w:eastAsia="en-US"/>
        </w:rPr>
        <w:tab/>
      </w:r>
      <w:r w:rsidR="00115B35" w:rsidRPr="00FE07FE">
        <w:rPr>
          <w:lang w:val="es-MX" w:eastAsia="en-US"/>
        </w:rPr>
        <w:t xml:space="preserve">Las provincias conforman </w:t>
      </w:r>
      <w:r w:rsidR="00115B35" w:rsidRPr="00FE07FE">
        <w:rPr>
          <w:i/>
          <w:lang w:val="es-MX" w:eastAsia="en-US"/>
        </w:rPr>
        <w:t>Consejos Provinciales de Niñez, mesas de trabajo</w:t>
      </w:r>
      <w:r w:rsidR="00D67A98">
        <w:rPr>
          <w:lang w:val="es-MX" w:eastAsia="en-US"/>
        </w:rPr>
        <w:t xml:space="preserve"> —</w:t>
      </w:r>
      <w:r w:rsidR="00115B35" w:rsidRPr="00FE07FE">
        <w:rPr>
          <w:lang w:val="es-MX" w:eastAsia="en-US"/>
        </w:rPr>
        <w:t xml:space="preserve">en conjunto con los Ministerios de Salud, Educación, Justicia y el Poder judicial, entre </w:t>
      </w:r>
      <w:r w:rsidR="00115B35" w:rsidRPr="00FE07FE">
        <w:rPr>
          <w:lang w:val="es-MX" w:eastAsia="en-US"/>
        </w:rPr>
        <w:lastRenderedPageBreak/>
        <w:t>otros</w:t>
      </w:r>
      <w:r w:rsidR="00D67A98">
        <w:rPr>
          <w:lang w:val="es-MX" w:eastAsia="en-US"/>
        </w:rPr>
        <w:t>—</w:t>
      </w:r>
      <w:r w:rsidR="00115B35" w:rsidRPr="00FE07FE">
        <w:rPr>
          <w:lang w:val="es-MX" w:eastAsia="en-US"/>
        </w:rPr>
        <w:t xml:space="preserve">, </w:t>
      </w:r>
      <w:r w:rsidR="00115B35" w:rsidRPr="00FE07FE">
        <w:rPr>
          <w:i/>
          <w:lang w:val="es-MX" w:eastAsia="en-US"/>
        </w:rPr>
        <w:t>centros locales de niñez, adolescencia y familia y mesas de gestión</w:t>
      </w:r>
      <w:r w:rsidR="00115B35" w:rsidRPr="00FE07FE">
        <w:rPr>
          <w:lang w:val="es-MX" w:eastAsia="en-US"/>
        </w:rPr>
        <w:t xml:space="preserve"> con distintos actores sociales. Santiago del Estero, Chaco, Tucumán, La Rioja, Córdoba, Entre R</w:t>
      </w:r>
      <w:r w:rsidR="00CD5E72">
        <w:rPr>
          <w:lang w:val="es-MX" w:eastAsia="en-US"/>
        </w:rPr>
        <w:t>í</w:t>
      </w:r>
      <w:r w:rsidR="00115B35" w:rsidRPr="00FE07FE">
        <w:rPr>
          <w:lang w:val="es-MX" w:eastAsia="en-US"/>
        </w:rPr>
        <w:t>os, Misiones, Catamarca, Río Negro, Santa Fe, Tierra del Fuego y la CABA celebran acuerdos con municipios y comunas a fin de crear áreas de niñez y un organismo de seguimiento de los programas de protección integral. Se trabaja de manera coordinada con los equipos técnicos de SENAF, formalizando instrumentos legales y protocolos específicos. En Río Negro se utiliza el ámbito legislativo a los fines de evitar duplicaciones en los abordajes.</w:t>
      </w:r>
    </w:p>
    <w:p w:rsidR="00C21DAA" w:rsidRPr="00FE07FE" w:rsidRDefault="00115B35">
      <w:pPr>
        <w:pStyle w:val="H23G"/>
        <w:rPr>
          <w:lang w:eastAsia="en-US"/>
        </w:rPr>
      </w:pPr>
      <w:r w:rsidRPr="00FE07FE">
        <w:rPr>
          <w:lang w:eastAsia="en-US"/>
        </w:rPr>
        <w:tab/>
      </w:r>
      <w:r w:rsidRPr="00FE07FE">
        <w:rPr>
          <w:lang w:eastAsia="en-US"/>
        </w:rPr>
        <w:tab/>
        <w:t>Plan Nacional de Acción</w:t>
      </w:r>
    </w:p>
    <w:p w:rsidR="00C21DAA" w:rsidRPr="00FE07FE" w:rsidRDefault="00115B35">
      <w:pPr>
        <w:pStyle w:val="H4G"/>
        <w:rPr>
          <w:iCs/>
          <w:lang w:eastAsia="en-US"/>
        </w:rPr>
      </w:pPr>
      <w:r w:rsidRPr="00FE07FE">
        <w:rPr>
          <w:lang w:eastAsia="en-US"/>
        </w:rPr>
        <w:tab/>
      </w:r>
      <w:r w:rsidRPr="00FE07FE">
        <w:rPr>
          <w:lang w:eastAsia="en-US"/>
        </w:rPr>
        <w:tab/>
        <w:t xml:space="preserve">Párrafo 18 </w:t>
      </w:r>
    </w:p>
    <w:p w:rsidR="00C21DAA" w:rsidRPr="00FE07FE" w:rsidRDefault="00FE07FE" w:rsidP="00500FFB">
      <w:pPr>
        <w:pStyle w:val="SingleTxtG"/>
        <w:rPr>
          <w:lang w:val="es-MX" w:eastAsia="en-US"/>
        </w:rPr>
      </w:pPr>
      <w:r w:rsidRPr="00500FFB">
        <w:rPr>
          <w:lang w:val="es-MX" w:eastAsia="en-US"/>
        </w:rPr>
        <w:t>38.</w:t>
      </w:r>
      <w:r w:rsidRPr="00500FFB">
        <w:rPr>
          <w:lang w:val="es-MX" w:eastAsia="en-US"/>
        </w:rPr>
        <w:tab/>
      </w:r>
      <w:r w:rsidR="00115B35" w:rsidRPr="00FE07FE">
        <w:rPr>
          <w:lang w:val="es-MX" w:eastAsia="en-US"/>
        </w:rPr>
        <w:t xml:space="preserve">En los últimos años, tanto el </w:t>
      </w:r>
      <w:r w:rsidR="00115B35" w:rsidRPr="00FE07FE">
        <w:rPr>
          <w:b/>
          <w:lang w:val="es-MX" w:eastAsia="en-US"/>
        </w:rPr>
        <w:t>Plan Nacional</w:t>
      </w:r>
      <w:r w:rsidR="00115B35" w:rsidRPr="00FE07FE">
        <w:rPr>
          <w:lang w:val="es-MX" w:eastAsia="en-US"/>
        </w:rPr>
        <w:t xml:space="preserve"> como los respectivos </w:t>
      </w:r>
      <w:r w:rsidR="00115B35" w:rsidRPr="00FE07FE">
        <w:rPr>
          <w:b/>
          <w:lang w:val="es-MX" w:eastAsia="en-US"/>
        </w:rPr>
        <w:t>Planes Provinciales</w:t>
      </w:r>
      <w:r w:rsidR="00115B35" w:rsidRPr="00FE07FE">
        <w:rPr>
          <w:lang w:val="es-MX" w:eastAsia="en-US"/>
        </w:rPr>
        <w:t xml:space="preserve">, se constituyeron como la planificación estratégica que orientó las acciones de la nación, las provincias y los municipios, en el desarrollo de políticas públicas dirigidas a la infancia y adolescencia del país. </w:t>
      </w:r>
    </w:p>
    <w:p w:rsidR="00C21DAA" w:rsidRPr="00FE07FE" w:rsidRDefault="00FE07FE" w:rsidP="00500FFB">
      <w:pPr>
        <w:pStyle w:val="SingleTxtG"/>
        <w:rPr>
          <w:lang w:val="es-MX" w:eastAsia="en-US"/>
        </w:rPr>
      </w:pPr>
      <w:r w:rsidRPr="00500FFB">
        <w:rPr>
          <w:lang w:val="es-MX" w:eastAsia="en-US"/>
        </w:rPr>
        <w:t>39.</w:t>
      </w:r>
      <w:r w:rsidRPr="00500FFB">
        <w:rPr>
          <w:lang w:val="es-MX" w:eastAsia="en-US"/>
        </w:rPr>
        <w:tab/>
      </w:r>
      <w:r w:rsidR="00115B35" w:rsidRPr="00FE07FE">
        <w:rPr>
          <w:lang w:val="es-MX" w:eastAsia="en-US"/>
        </w:rPr>
        <w:t xml:space="preserve">El primer Plan Nacional de Acción 2008-2011 y los Planes Regionales de NEA, NOA, CUYO, PATAGONIA Y CENTRO, fueron ratificados a través de las Resoluciones Ministeriales: </w:t>
      </w:r>
      <w:r w:rsidR="00D67A98">
        <w:rPr>
          <w:lang w:val="es-MX" w:eastAsia="en-US"/>
        </w:rPr>
        <w:t xml:space="preserve">núm. </w:t>
      </w:r>
      <w:r w:rsidR="00115B35" w:rsidRPr="00FE07FE">
        <w:rPr>
          <w:lang w:val="es-MX" w:eastAsia="en-US"/>
        </w:rPr>
        <w:t xml:space="preserve">4134/2011 que convalidó lo actuado y la </w:t>
      </w:r>
      <w:r w:rsidR="00D67A98">
        <w:rPr>
          <w:lang w:val="es-MX" w:eastAsia="en-US"/>
        </w:rPr>
        <w:t xml:space="preserve">núm. </w:t>
      </w:r>
      <w:r w:rsidR="00115B35" w:rsidRPr="00FE07FE">
        <w:rPr>
          <w:lang w:val="es-MX" w:eastAsia="en-US"/>
        </w:rPr>
        <w:t xml:space="preserve">4135/2011 que formalizó la nueva etapa 2011-2015. La segunda etapa tuvo el mismo objetivo general de la etapa anterior y persiguió los tres objetivos prioritarios planteados. Se definieron 28 Metas, organizadas en tres Núcleos Temáticos: </w:t>
      </w:r>
      <w:r w:rsidR="00115B35" w:rsidRPr="00FE07FE">
        <w:rPr>
          <w:i/>
          <w:lang w:val="es-MX" w:eastAsia="en-US"/>
        </w:rPr>
        <w:t>fortalecimiento institucional, condiciones básicas para una vida digna, promoción y protección de derechos</w:t>
      </w:r>
      <w:r w:rsidR="00115B35" w:rsidRPr="00FE07FE">
        <w:rPr>
          <w:lang w:val="es-MX" w:eastAsia="en-US"/>
        </w:rPr>
        <w:t>. La mayoría de las metas prioritarias fueron cumplidas de acuerdo a los propios objetivos consensuados y las metas no realizadas se tomaron como nuevos desafíos para el Plan Nacional de Acción 2016</w:t>
      </w:r>
      <w:r w:rsidR="00D67A98">
        <w:rPr>
          <w:lang w:val="es-MX" w:eastAsia="en-US"/>
        </w:rPr>
        <w:noBreakHyphen/>
      </w:r>
      <w:r w:rsidR="00115B35" w:rsidRPr="00FE07FE">
        <w:rPr>
          <w:lang w:val="es-MX" w:eastAsia="en-US"/>
        </w:rPr>
        <w:t>2019.</w:t>
      </w:r>
    </w:p>
    <w:p w:rsidR="00C21DAA" w:rsidRPr="00FE07FE" w:rsidRDefault="00FE07FE" w:rsidP="00500FFB">
      <w:pPr>
        <w:pStyle w:val="SingleTxtG"/>
        <w:rPr>
          <w:lang w:val="es-MX" w:eastAsia="en-US"/>
        </w:rPr>
      </w:pPr>
      <w:r w:rsidRPr="00500FFB">
        <w:rPr>
          <w:lang w:val="es-MX" w:eastAsia="en-US"/>
        </w:rPr>
        <w:t>40.</w:t>
      </w:r>
      <w:r w:rsidRPr="00500FFB">
        <w:rPr>
          <w:lang w:val="es-MX" w:eastAsia="en-US"/>
        </w:rPr>
        <w:tab/>
      </w:r>
      <w:r w:rsidR="00115B35" w:rsidRPr="00FE07FE">
        <w:rPr>
          <w:lang w:val="es-MX" w:eastAsia="en-US"/>
        </w:rPr>
        <w:t xml:space="preserve">En la sesión </w:t>
      </w:r>
      <w:r w:rsidR="003773E2">
        <w:rPr>
          <w:lang w:val="es-MX" w:eastAsia="en-US"/>
        </w:rPr>
        <w:t xml:space="preserve">núm. </w:t>
      </w:r>
      <w:r w:rsidR="00115B35" w:rsidRPr="00FE07FE">
        <w:rPr>
          <w:lang w:val="es-MX" w:eastAsia="en-US"/>
        </w:rPr>
        <w:t xml:space="preserve">23 del COFENAF en abril de 2016 se aprobó lo actuado y se consensuó el comienzo del nuevo Plan Nacional de Acción para la Protección Integral de Niñas, Niños y Adolescentes 2016-2019. El mismo se desarrollará con la metodología </w:t>
      </w:r>
      <w:r w:rsidR="00115B35" w:rsidRPr="00FE07FE">
        <w:rPr>
          <w:i/>
          <w:lang w:val="es-MX" w:eastAsia="en-US"/>
        </w:rPr>
        <w:t>“Proyect Cycle Managment (PCM)”</w:t>
      </w:r>
      <w:r w:rsidR="00115B35" w:rsidRPr="00FE07FE">
        <w:rPr>
          <w:lang w:val="es-MX" w:eastAsia="en-US"/>
        </w:rPr>
        <w:t xml:space="preserve">, que incluye su </w:t>
      </w:r>
      <w:r w:rsidR="00115B35" w:rsidRPr="00FE07FE">
        <w:rPr>
          <w:b/>
          <w:lang w:val="es-MX" w:eastAsia="en-US"/>
        </w:rPr>
        <w:t>planificación, implementación, monitoreo y evaluación</w:t>
      </w:r>
      <w:r w:rsidR="00115B35" w:rsidRPr="00FE07FE">
        <w:rPr>
          <w:lang w:val="es-MX" w:eastAsia="en-US"/>
        </w:rPr>
        <w:t>, de los tres núcleos temáticos acordados: 1) primera infancia</w:t>
      </w:r>
      <w:r w:rsidR="00FF72C4">
        <w:rPr>
          <w:lang w:val="es-MX" w:eastAsia="en-US"/>
        </w:rPr>
        <w:t>;</w:t>
      </w:r>
      <w:r w:rsidR="00115B35" w:rsidRPr="00FE07FE">
        <w:rPr>
          <w:lang w:val="es-MX" w:eastAsia="en-US"/>
        </w:rPr>
        <w:t xml:space="preserve"> 2)</w:t>
      </w:r>
      <w:r w:rsidR="00FF72C4">
        <w:rPr>
          <w:lang w:val="es-MX" w:eastAsia="en-US"/>
        </w:rPr>
        <w:t> </w:t>
      </w:r>
      <w:r w:rsidR="00115B35" w:rsidRPr="00FE07FE">
        <w:rPr>
          <w:lang w:val="es-MX" w:eastAsia="en-US"/>
        </w:rPr>
        <w:t>fortalecimiento de los sistemas de protección</w:t>
      </w:r>
      <w:r w:rsidR="00FF72C4">
        <w:rPr>
          <w:lang w:val="es-MX" w:eastAsia="en-US"/>
        </w:rPr>
        <w:t>;</w:t>
      </w:r>
      <w:r w:rsidR="00115B35" w:rsidRPr="00FE07FE">
        <w:rPr>
          <w:lang w:val="es-MX" w:eastAsia="en-US"/>
        </w:rPr>
        <w:t xml:space="preserve"> y 3) promoción y protección de derechos.  </w:t>
      </w:r>
    </w:p>
    <w:p w:rsidR="00C21DAA" w:rsidRPr="00FE07FE" w:rsidRDefault="00FE07FE" w:rsidP="00500FFB">
      <w:pPr>
        <w:pStyle w:val="SingleTxtG"/>
        <w:rPr>
          <w:lang w:val="es-MX" w:eastAsia="en-US"/>
        </w:rPr>
      </w:pPr>
      <w:r w:rsidRPr="00500FFB">
        <w:rPr>
          <w:lang w:val="es-MX" w:eastAsia="en-US"/>
        </w:rPr>
        <w:t>41.</w:t>
      </w:r>
      <w:r w:rsidRPr="00500FFB">
        <w:rPr>
          <w:lang w:val="es-MX" w:eastAsia="en-US"/>
        </w:rPr>
        <w:tab/>
      </w:r>
      <w:r w:rsidR="00115B35" w:rsidRPr="00FE07FE">
        <w:rPr>
          <w:lang w:val="es-MX" w:eastAsia="en-US"/>
        </w:rPr>
        <w:t xml:space="preserve">Se prevé incorporar al mismo las conclusiones que surgieron de los foros de adolescentes “Mi Palabra Cuenta” realizados en las distintas provincias. </w:t>
      </w:r>
    </w:p>
    <w:p w:rsidR="00C21DAA" w:rsidRPr="00FE07FE" w:rsidRDefault="00115B35">
      <w:pPr>
        <w:pStyle w:val="H23G"/>
        <w:rPr>
          <w:lang w:eastAsia="en-US"/>
        </w:rPr>
      </w:pPr>
      <w:r w:rsidRPr="00FE07FE">
        <w:rPr>
          <w:lang w:eastAsia="en-US"/>
        </w:rPr>
        <w:tab/>
      </w:r>
      <w:r w:rsidRPr="00FE07FE">
        <w:rPr>
          <w:lang w:eastAsia="en-US"/>
        </w:rPr>
        <w:tab/>
        <w:t xml:space="preserve">Vigilancia Independiente </w:t>
      </w:r>
    </w:p>
    <w:p w:rsidR="00C21DAA" w:rsidRPr="00FE07FE" w:rsidRDefault="00115B35">
      <w:pPr>
        <w:pStyle w:val="H4G"/>
        <w:rPr>
          <w:lang w:eastAsia="en-US"/>
        </w:rPr>
      </w:pPr>
      <w:r w:rsidRPr="00FE07FE">
        <w:rPr>
          <w:lang w:eastAsia="en-US"/>
        </w:rPr>
        <w:tab/>
      </w:r>
      <w:r w:rsidRPr="00FE07FE">
        <w:rPr>
          <w:lang w:eastAsia="en-US"/>
        </w:rPr>
        <w:tab/>
        <w:t xml:space="preserve">Párrafo 20 </w:t>
      </w:r>
    </w:p>
    <w:p w:rsidR="00C21DAA" w:rsidRPr="00FE07FE" w:rsidRDefault="00FE07FE" w:rsidP="00500FFB">
      <w:pPr>
        <w:pStyle w:val="SingleTxtG"/>
        <w:rPr>
          <w:lang w:val="es-MX" w:eastAsia="en-US"/>
        </w:rPr>
      </w:pPr>
      <w:r w:rsidRPr="00500FFB">
        <w:rPr>
          <w:lang w:val="es-MX" w:eastAsia="en-US"/>
        </w:rPr>
        <w:t>42.</w:t>
      </w:r>
      <w:r w:rsidRPr="00500FFB">
        <w:rPr>
          <w:lang w:val="es-MX" w:eastAsia="en-US"/>
        </w:rPr>
        <w:tab/>
      </w:r>
      <w:r w:rsidR="00115B35" w:rsidRPr="00FE07FE">
        <w:rPr>
          <w:lang w:val="es-MX" w:eastAsia="en-US"/>
        </w:rPr>
        <w:t xml:space="preserve">En el año 2010 el COFENAF solicitó </w:t>
      </w:r>
      <w:r w:rsidR="003773E2">
        <w:rPr>
          <w:lang w:val="es-MX" w:eastAsia="en-US"/>
        </w:rPr>
        <w:t>—</w:t>
      </w:r>
      <w:r w:rsidR="00115B35" w:rsidRPr="00FE07FE">
        <w:rPr>
          <w:lang w:val="es-MX" w:eastAsia="en-US"/>
        </w:rPr>
        <w:t xml:space="preserve">mediante nota </w:t>
      </w:r>
      <w:r w:rsidR="003773E2">
        <w:rPr>
          <w:lang w:val="es-MX" w:eastAsia="en-US"/>
        </w:rPr>
        <w:t xml:space="preserve">núm. </w:t>
      </w:r>
      <w:r w:rsidR="00115B35" w:rsidRPr="00FE07FE">
        <w:rPr>
          <w:lang w:val="es-MX" w:eastAsia="en-US"/>
        </w:rPr>
        <w:t>221/2010</w:t>
      </w:r>
      <w:r w:rsidR="003773E2">
        <w:rPr>
          <w:lang w:val="es-MX" w:eastAsia="en-US"/>
        </w:rPr>
        <w:t>—</w:t>
      </w:r>
      <w:r w:rsidR="00115B35" w:rsidRPr="00FE07FE">
        <w:rPr>
          <w:lang w:val="es-MX" w:eastAsia="en-US"/>
        </w:rPr>
        <w:t xml:space="preserve"> a la Cámara de Senadores que trate los proyectos de reglamentación de la Comisión Bicameral para el nombramiento del Defensor de los Derechos de los Niños, Niñas y Adolescentes. A</w:t>
      </w:r>
      <w:r w:rsidR="003773E2">
        <w:rPr>
          <w:lang w:val="es-MX" w:eastAsia="en-US"/>
        </w:rPr>
        <w:t> </w:t>
      </w:r>
      <w:r w:rsidR="00115B35" w:rsidRPr="00FE07FE">
        <w:rPr>
          <w:lang w:val="es-MX" w:eastAsia="en-US"/>
        </w:rPr>
        <w:t>la fecha se encuentra aprobada en el Senado Nacional la Resolución S</w:t>
      </w:r>
      <w:r w:rsidR="00FF72C4">
        <w:rPr>
          <w:lang w:val="es-MX" w:eastAsia="en-US"/>
        </w:rPr>
        <w:noBreakHyphen/>
      </w:r>
      <w:r w:rsidR="00115B35" w:rsidRPr="00FE07FE">
        <w:rPr>
          <w:lang w:val="es-MX" w:eastAsia="en-US"/>
        </w:rPr>
        <w:t xml:space="preserve">984/16 que da comienzo a la Comisión Bicameral y al proceso de su nombramiento. </w:t>
      </w:r>
    </w:p>
    <w:p w:rsidR="00C21DAA" w:rsidRPr="00FE07FE" w:rsidRDefault="00FE07FE" w:rsidP="00500FFB">
      <w:pPr>
        <w:pStyle w:val="SingleTxtG"/>
        <w:rPr>
          <w:lang w:val="es-MX" w:eastAsia="en-US"/>
        </w:rPr>
      </w:pPr>
      <w:r w:rsidRPr="00500FFB">
        <w:rPr>
          <w:lang w:val="es-MX" w:eastAsia="en-US"/>
        </w:rPr>
        <w:t>43.</w:t>
      </w:r>
      <w:r w:rsidRPr="00500FFB">
        <w:rPr>
          <w:lang w:val="es-MX" w:eastAsia="en-US"/>
        </w:rPr>
        <w:tab/>
      </w:r>
      <w:r w:rsidR="00115B35" w:rsidRPr="00FE07FE">
        <w:rPr>
          <w:lang w:val="es-MX" w:eastAsia="en-US"/>
        </w:rPr>
        <w:t xml:space="preserve">La </w:t>
      </w:r>
      <w:r w:rsidR="003773E2">
        <w:rPr>
          <w:lang w:val="es-MX" w:eastAsia="en-US"/>
        </w:rPr>
        <w:t>L</w:t>
      </w:r>
      <w:r w:rsidR="00115B35" w:rsidRPr="00FE07FE">
        <w:rPr>
          <w:lang w:val="es-MX" w:eastAsia="en-US"/>
        </w:rPr>
        <w:t xml:space="preserve">ey </w:t>
      </w:r>
      <w:r w:rsidR="003773E2">
        <w:rPr>
          <w:lang w:val="es-MX" w:eastAsia="en-US"/>
        </w:rPr>
        <w:t xml:space="preserve">núm. </w:t>
      </w:r>
      <w:r w:rsidR="00115B35" w:rsidRPr="00FE07FE">
        <w:rPr>
          <w:lang w:val="es-MX" w:eastAsia="en-US"/>
        </w:rPr>
        <w:t xml:space="preserve">26061 prevé dos niveles de supervisión del sistema de protección integral, uno nacional mencionado </w:t>
      </w:r>
      <w:r w:rsidR="00115B35" w:rsidRPr="00FE07FE">
        <w:rPr>
          <w:i/>
          <w:lang w:val="es-MX" w:eastAsia="en-US"/>
        </w:rPr>
        <w:t>ut supra</w:t>
      </w:r>
      <w:r w:rsidR="00115B35" w:rsidRPr="00FE07FE">
        <w:rPr>
          <w:lang w:val="es-MX" w:eastAsia="en-US"/>
        </w:rPr>
        <w:t>, y uno provincial, que respeta la autonomía de las provincias y la CABA. Las siguientes provincias establecieron la figura del defensor de los derechos del niño, la niña y adolescentes: Santiago del Estero art.</w:t>
      </w:r>
      <w:r w:rsidR="003773E2">
        <w:rPr>
          <w:lang w:val="es-MX" w:eastAsia="en-US"/>
        </w:rPr>
        <w:t xml:space="preserve"> </w:t>
      </w:r>
      <w:r w:rsidR="00115B35" w:rsidRPr="00FE07FE">
        <w:rPr>
          <w:lang w:val="es-MX" w:eastAsia="en-US"/>
        </w:rPr>
        <w:t>30</w:t>
      </w:r>
      <w:r w:rsidR="007203F4">
        <w:rPr>
          <w:lang w:val="es-MX" w:eastAsia="en-US"/>
        </w:rPr>
        <w:t>,</w:t>
      </w:r>
      <w:r w:rsidR="00115B35" w:rsidRPr="00FE07FE">
        <w:rPr>
          <w:lang w:val="es-MX" w:eastAsia="en-US"/>
        </w:rPr>
        <w:t xml:space="preserve"> </w:t>
      </w:r>
      <w:r w:rsidR="003773E2">
        <w:rPr>
          <w:lang w:val="es-MX" w:eastAsia="en-US"/>
        </w:rPr>
        <w:t>L</w:t>
      </w:r>
      <w:r w:rsidR="00115B35" w:rsidRPr="00FE07FE">
        <w:rPr>
          <w:lang w:val="es-MX" w:eastAsia="en-US"/>
        </w:rPr>
        <w:t xml:space="preserve">ey </w:t>
      </w:r>
      <w:r w:rsidR="0080667C">
        <w:rPr>
          <w:lang w:val="es-MX" w:eastAsia="en-US"/>
        </w:rPr>
        <w:t>núm. </w:t>
      </w:r>
      <w:r w:rsidR="00115B35" w:rsidRPr="00FE07FE">
        <w:rPr>
          <w:lang w:val="es-MX" w:eastAsia="en-US"/>
        </w:rPr>
        <w:t>6915; Neuquén art.</w:t>
      </w:r>
      <w:r w:rsidR="003773E2">
        <w:rPr>
          <w:lang w:val="es-MX" w:eastAsia="en-US"/>
        </w:rPr>
        <w:t xml:space="preserve"> </w:t>
      </w:r>
      <w:r w:rsidR="00115B35" w:rsidRPr="00FE07FE">
        <w:rPr>
          <w:lang w:val="es-MX" w:eastAsia="en-US"/>
        </w:rPr>
        <w:t>49</w:t>
      </w:r>
      <w:r w:rsidR="007203F4">
        <w:rPr>
          <w:lang w:val="es-MX" w:eastAsia="en-US"/>
        </w:rPr>
        <w:t>,</w:t>
      </w:r>
      <w:r w:rsidR="00115B35" w:rsidRPr="00FE07FE">
        <w:rPr>
          <w:lang w:val="es-MX" w:eastAsia="en-US"/>
        </w:rPr>
        <w:t xml:space="preserve"> </w:t>
      </w:r>
      <w:r w:rsidR="003773E2">
        <w:rPr>
          <w:lang w:val="es-MX" w:eastAsia="en-US"/>
        </w:rPr>
        <w:t>L</w:t>
      </w:r>
      <w:r w:rsidR="00115B35" w:rsidRPr="00FE07FE">
        <w:rPr>
          <w:lang w:val="es-MX" w:eastAsia="en-US"/>
        </w:rPr>
        <w:t xml:space="preserve">ey </w:t>
      </w:r>
      <w:r w:rsidR="003773E2">
        <w:rPr>
          <w:lang w:val="es-MX" w:eastAsia="en-US"/>
        </w:rPr>
        <w:t xml:space="preserve">núm. </w:t>
      </w:r>
      <w:r w:rsidR="00115B35" w:rsidRPr="00FE07FE">
        <w:rPr>
          <w:lang w:val="es-MX" w:eastAsia="en-US"/>
        </w:rPr>
        <w:t>2302; Chaco art.</w:t>
      </w:r>
      <w:r w:rsidR="003773E2">
        <w:rPr>
          <w:lang w:val="es-MX" w:eastAsia="en-US"/>
        </w:rPr>
        <w:t xml:space="preserve"> </w:t>
      </w:r>
      <w:r w:rsidR="00115B35" w:rsidRPr="00FE07FE">
        <w:rPr>
          <w:lang w:val="es-MX" w:eastAsia="en-US"/>
        </w:rPr>
        <w:t>59</w:t>
      </w:r>
      <w:r w:rsidR="007203F4">
        <w:rPr>
          <w:lang w:val="es-MX" w:eastAsia="en-US"/>
        </w:rPr>
        <w:t>,</w:t>
      </w:r>
      <w:r w:rsidR="00115B35" w:rsidRPr="00FE07FE">
        <w:rPr>
          <w:lang w:val="es-MX" w:eastAsia="en-US"/>
        </w:rPr>
        <w:t xml:space="preserve"> </w:t>
      </w:r>
      <w:r w:rsidR="003773E2">
        <w:rPr>
          <w:lang w:val="es-MX" w:eastAsia="en-US"/>
        </w:rPr>
        <w:t>L</w:t>
      </w:r>
      <w:r w:rsidR="00115B35" w:rsidRPr="00FE07FE">
        <w:rPr>
          <w:lang w:val="es-MX" w:eastAsia="en-US"/>
        </w:rPr>
        <w:t xml:space="preserve">ey </w:t>
      </w:r>
      <w:r w:rsidR="003773E2">
        <w:rPr>
          <w:lang w:val="es-MX" w:eastAsia="en-US"/>
        </w:rPr>
        <w:t xml:space="preserve">núm. </w:t>
      </w:r>
      <w:r w:rsidR="00115B35" w:rsidRPr="00FE07FE">
        <w:rPr>
          <w:lang w:val="es-MX" w:eastAsia="en-US"/>
        </w:rPr>
        <w:t>7162; Catamarca art.</w:t>
      </w:r>
      <w:r w:rsidR="003773E2">
        <w:rPr>
          <w:lang w:val="es-MX" w:eastAsia="en-US"/>
        </w:rPr>
        <w:t xml:space="preserve"> </w:t>
      </w:r>
      <w:r w:rsidR="00115B35" w:rsidRPr="00FE07FE">
        <w:rPr>
          <w:lang w:val="es-MX" w:eastAsia="en-US"/>
        </w:rPr>
        <w:t>73</w:t>
      </w:r>
      <w:r w:rsidR="007203F4">
        <w:rPr>
          <w:lang w:val="es-MX" w:eastAsia="en-US"/>
        </w:rPr>
        <w:t>,</w:t>
      </w:r>
      <w:r w:rsidR="00115B35" w:rsidRPr="00FE07FE">
        <w:rPr>
          <w:lang w:val="es-MX" w:eastAsia="en-US"/>
        </w:rPr>
        <w:t xml:space="preserve"> </w:t>
      </w:r>
      <w:r w:rsidR="003773E2">
        <w:rPr>
          <w:lang w:val="es-MX" w:eastAsia="en-US"/>
        </w:rPr>
        <w:t>L</w:t>
      </w:r>
      <w:r w:rsidR="00115B35" w:rsidRPr="00FE07FE">
        <w:rPr>
          <w:lang w:val="es-MX" w:eastAsia="en-US"/>
        </w:rPr>
        <w:t xml:space="preserve">ey </w:t>
      </w:r>
      <w:r w:rsidR="003773E2">
        <w:rPr>
          <w:lang w:val="es-MX" w:eastAsia="en-US"/>
        </w:rPr>
        <w:t>núm. </w:t>
      </w:r>
      <w:r w:rsidR="00115B35" w:rsidRPr="00FE07FE">
        <w:rPr>
          <w:lang w:val="es-MX" w:eastAsia="en-US"/>
        </w:rPr>
        <w:t>5357; La Pampa art.</w:t>
      </w:r>
      <w:r w:rsidR="003773E2">
        <w:rPr>
          <w:lang w:val="es-MX" w:eastAsia="en-US"/>
        </w:rPr>
        <w:t xml:space="preserve"> </w:t>
      </w:r>
      <w:r w:rsidR="00115B35" w:rsidRPr="00FE07FE">
        <w:rPr>
          <w:lang w:val="es-MX" w:eastAsia="en-US"/>
        </w:rPr>
        <w:t>20</w:t>
      </w:r>
      <w:r w:rsidR="007203F4">
        <w:rPr>
          <w:lang w:val="es-MX" w:eastAsia="en-US"/>
        </w:rPr>
        <w:t>,</w:t>
      </w:r>
      <w:r w:rsidR="00115B35" w:rsidRPr="00FE07FE">
        <w:rPr>
          <w:lang w:val="es-MX" w:eastAsia="en-US"/>
        </w:rPr>
        <w:t xml:space="preserve"> </w:t>
      </w:r>
      <w:r w:rsidR="003773E2">
        <w:rPr>
          <w:lang w:val="es-MX" w:eastAsia="en-US"/>
        </w:rPr>
        <w:t>L</w:t>
      </w:r>
      <w:r w:rsidR="00115B35" w:rsidRPr="00FE07FE">
        <w:rPr>
          <w:lang w:val="es-MX" w:eastAsia="en-US"/>
        </w:rPr>
        <w:t xml:space="preserve">ey </w:t>
      </w:r>
      <w:r w:rsidR="007203F4">
        <w:rPr>
          <w:lang w:val="es-MX" w:eastAsia="en-US"/>
        </w:rPr>
        <w:t xml:space="preserve">núm. </w:t>
      </w:r>
      <w:r w:rsidR="00115B35" w:rsidRPr="00FE07FE">
        <w:rPr>
          <w:lang w:val="es-MX" w:eastAsia="en-US"/>
        </w:rPr>
        <w:t>2703; Santa Fe art.</w:t>
      </w:r>
      <w:r w:rsidR="007203F4">
        <w:rPr>
          <w:lang w:val="es-MX" w:eastAsia="en-US"/>
        </w:rPr>
        <w:t xml:space="preserve"> </w:t>
      </w:r>
      <w:r w:rsidR="00115B35" w:rsidRPr="00FE07FE">
        <w:rPr>
          <w:lang w:val="es-MX" w:eastAsia="en-US"/>
        </w:rPr>
        <w:t>38</w:t>
      </w:r>
      <w:r w:rsidR="007203F4">
        <w:rPr>
          <w:lang w:val="es-MX" w:eastAsia="en-US"/>
        </w:rPr>
        <w:t>,</w:t>
      </w:r>
      <w:r w:rsidR="00115B35" w:rsidRPr="00FE07FE">
        <w:rPr>
          <w:lang w:val="es-MX" w:eastAsia="en-US"/>
        </w:rPr>
        <w:t xml:space="preserve"> </w:t>
      </w:r>
      <w:r w:rsidR="007203F4">
        <w:rPr>
          <w:lang w:val="es-MX" w:eastAsia="en-US"/>
        </w:rPr>
        <w:t>L</w:t>
      </w:r>
      <w:r w:rsidR="00115B35" w:rsidRPr="00FE07FE">
        <w:rPr>
          <w:lang w:val="es-MX" w:eastAsia="en-US"/>
        </w:rPr>
        <w:t xml:space="preserve">ey </w:t>
      </w:r>
      <w:r w:rsidR="007203F4">
        <w:rPr>
          <w:lang w:val="es-MX" w:eastAsia="en-US"/>
        </w:rPr>
        <w:t xml:space="preserve">núm. </w:t>
      </w:r>
      <w:r w:rsidR="00115B35" w:rsidRPr="00FE07FE">
        <w:rPr>
          <w:lang w:val="es-MX" w:eastAsia="en-US"/>
        </w:rPr>
        <w:t>12967; Buenos Aires art.</w:t>
      </w:r>
      <w:r w:rsidR="007203F4">
        <w:rPr>
          <w:lang w:val="es-MX" w:eastAsia="en-US"/>
        </w:rPr>
        <w:t xml:space="preserve"> </w:t>
      </w:r>
      <w:r w:rsidR="00115B35" w:rsidRPr="00FE07FE">
        <w:rPr>
          <w:lang w:val="es-MX" w:eastAsia="en-US"/>
        </w:rPr>
        <w:t>16</w:t>
      </w:r>
      <w:r w:rsidR="007203F4">
        <w:rPr>
          <w:lang w:val="es-MX" w:eastAsia="en-US"/>
        </w:rPr>
        <w:t>,</w:t>
      </w:r>
      <w:r w:rsidR="00115B35" w:rsidRPr="00FE07FE">
        <w:rPr>
          <w:lang w:val="es-MX" w:eastAsia="en-US"/>
        </w:rPr>
        <w:t xml:space="preserve"> Decreto Reglamentario </w:t>
      </w:r>
      <w:r w:rsidR="007203F4">
        <w:rPr>
          <w:lang w:val="es-MX" w:eastAsia="en-US"/>
        </w:rPr>
        <w:t xml:space="preserve">núm. </w:t>
      </w:r>
      <w:r w:rsidR="00115B35" w:rsidRPr="00FE07FE">
        <w:rPr>
          <w:lang w:val="es-MX" w:eastAsia="en-US"/>
        </w:rPr>
        <w:t>300</w:t>
      </w:r>
      <w:r w:rsidR="007203F4">
        <w:rPr>
          <w:lang w:val="es-MX" w:eastAsia="en-US"/>
        </w:rPr>
        <w:t>,</w:t>
      </w:r>
      <w:r w:rsidR="00115B35" w:rsidRPr="00FE07FE">
        <w:rPr>
          <w:lang w:val="es-MX" w:eastAsia="en-US"/>
        </w:rPr>
        <w:t xml:space="preserve"> Ley </w:t>
      </w:r>
      <w:r w:rsidR="007203F4">
        <w:rPr>
          <w:lang w:val="es-MX" w:eastAsia="en-US"/>
        </w:rPr>
        <w:t xml:space="preserve">núm. </w:t>
      </w:r>
      <w:r w:rsidR="00115B35" w:rsidRPr="00FE07FE">
        <w:rPr>
          <w:lang w:val="es-MX" w:eastAsia="en-US"/>
        </w:rPr>
        <w:t>13298; Córdoba art.</w:t>
      </w:r>
      <w:r w:rsidR="0080667C">
        <w:rPr>
          <w:lang w:val="es-MX" w:eastAsia="en-US"/>
        </w:rPr>
        <w:t> </w:t>
      </w:r>
      <w:r w:rsidR="00115B35" w:rsidRPr="00FE07FE">
        <w:rPr>
          <w:lang w:val="es-MX" w:eastAsia="en-US"/>
        </w:rPr>
        <w:t>31</w:t>
      </w:r>
      <w:r w:rsidR="007203F4">
        <w:rPr>
          <w:lang w:val="es-MX" w:eastAsia="en-US"/>
        </w:rPr>
        <w:t>,</w:t>
      </w:r>
      <w:r w:rsidR="00115B35" w:rsidRPr="00FE07FE">
        <w:rPr>
          <w:lang w:val="es-MX" w:eastAsia="en-US"/>
        </w:rPr>
        <w:t xml:space="preserve"> </w:t>
      </w:r>
      <w:r w:rsidR="007203F4">
        <w:rPr>
          <w:lang w:val="es-MX" w:eastAsia="en-US"/>
        </w:rPr>
        <w:t>L</w:t>
      </w:r>
      <w:r w:rsidR="00115B35" w:rsidRPr="00FE07FE">
        <w:rPr>
          <w:lang w:val="es-MX" w:eastAsia="en-US"/>
        </w:rPr>
        <w:t xml:space="preserve">ey </w:t>
      </w:r>
      <w:r w:rsidR="007203F4">
        <w:rPr>
          <w:lang w:val="es-MX" w:eastAsia="en-US"/>
        </w:rPr>
        <w:t xml:space="preserve">núm. </w:t>
      </w:r>
      <w:r w:rsidR="00115B35" w:rsidRPr="00FE07FE">
        <w:rPr>
          <w:lang w:val="es-MX" w:eastAsia="en-US"/>
        </w:rPr>
        <w:t xml:space="preserve">9944. </w:t>
      </w:r>
    </w:p>
    <w:p w:rsidR="00C21DAA" w:rsidRPr="00FE07FE" w:rsidRDefault="00FE07FE" w:rsidP="00500FFB">
      <w:pPr>
        <w:pStyle w:val="SingleTxtG"/>
        <w:rPr>
          <w:lang w:val="es-MX" w:eastAsia="en-US"/>
        </w:rPr>
      </w:pPr>
      <w:r w:rsidRPr="00500FFB">
        <w:rPr>
          <w:lang w:val="es-MX" w:eastAsia="en-US"/>
        </w:rPr>
        <w:t>44.</w:t>
      </w:r>
      <w:r w:rsidRPr="00500FFB">
        <w:rPr>
          <w:lang w:val="es-MX" w:eastAsia="en-US"/>
        </w:rPr>
        <w:tab/>
      </w:r>
      <w:r w:rsidR="00115B35" w:rsidRPr="00FE07FE">
        <w:rPr>
          <w:lang w:val="es-MX" w:eastAsia="en-US"/>
        </w:rPr>
        <w:t xml:space="preserve">Los arts. 55 inc. j y 64 de la </w:t>
      </w:r>
      <w:r w:rsidR="007203F4">
        <w:rPr>
          <w:lang w:val="es-MX" w:eastAsia="en-US"/>
        </w:rPr>
        <w:t>L</w:t>
      </w:r>
      <w:r w:rsidR="00115B35" w:rsidRPr="00FE07FE">
        <w:rPr>
          <w:lang w:val="es-MX" w:eastAsia="en-US"/>
        </w:rPr>
        <w:t xml:space="preserve">ey </w:t>
      </w:r>
      <w:r w:rsidR="007203F4">
        <w:rPr>
          <w:lang w:val="es-MX" w:eastAsia="en-US"/>
        </w:rPr>
        <w:t xml:space="preserve">núm. </w:t>
      </w:r>
      <w:r w:rsidR="00115B35" w:rsidRPr="00FE07FE">
        <w:rPr>
          <w:lang w:val="es-MX" w:eastAsia="en-US"/>
        </w:rPr>
        <w:t>26061 establecen que el defensor puede recibir e investigar denuncias. En referencia a la asignación presupuestaria, recursos humanos y técnicos es importante destacar que el art.</w:t>
      </w:r>
      <w:r w:rsidR="007203F4">
        <w:rPr>
          <w:lang w:val="es-MX" w:eastAsia="en-US"/>
        </w:rPr>
        <w:t xml:space="preserve"> </w:t>
      </w:r>
      <w:r w:rsidR="00115B35" w:rsidRPr="00FE07FE">
        <w:rPr>
          <w:lang w:val="es-MX" w:eastAsia="en-US"/>
        </w:rPr>
        <w:t xml:space="preserve">54 de la misma </w:t>
      </w:r>
      <w:r w:rsidR="00C37936">
        <w:rPr>
          <w:lang w:val="es-MX" w:eastAsia="en-US"/>
        </w:rPr>
        <w:t>L</w:t>
      </w:r>
      <w:r w:rsidR="00115B35" w:rsidRPr="00FE07FE">
        <w:rPr>
          <w:lang w:val="es-MX" w:eastAsia="en-US"/>
        </w:rPr>
        <w:t xml:space="preserve">ey establece una partida para la administración de la figura del defensor. </w:t>
      </w:r>
    </w:p>
    <w:p w:rsidR="00C21DAA" w:rsidRPr="00FE07FE" w:rsidRDefault="00115B35">
      <w:pPr>
        <w:pStyle w:val="H23G"/>
        <w:rPr>
          <w:lang w:eastAsia="en-US"/>
        </w:rPr>
      </w:pPr>
      <w:r w:rsidRPr="00FE07FE">
        <w:rPr>
          <w:lang w:eastAsia="en-US"/>
        </w:rPr>
        <w:lastRenderedPageBreak/>
        <w:tab/>
      </w:r>
      <w:r w:rsidRPr="00FE07FE">
        <w:rPr>
          <w:lang w:eastAsia="en-US"/>
        </w:rPr>
        <w:tab/>
        <w:t xml:space="preserve">Asignación de Recursos </w:t>
      </w:r>
    </w:p>
    <w:p w:rsidR="00C21DAA" w:rsidRPr="00FE07FE" w:rsidRDefault="00115B35">
      <w:pPr>
        <w:pStyle w:val="H4G"/>
        <w:rPr>
          <w:lang w:eastAsia="en-US"/>
        </w:rPr>
      </w:pPr>
      <w:r w:rsidRPr="00FE07FE">
        <w:rPr>
          <w:lang w:eastAsia="en-US"/>
        </w:rPr>
        <w:tab/>
      </w:r>
      <w:r w:rsidRPr="00FE07FE">
        <w:rPr>
          <w:lang w:eastAsia="en-US"/>
        </w:rPr>
        <w:tab/>
        <w:t>Párrafo 22</w:t>
      </w:r>
    </w:p>
    <w:p w:rsidR="00C21DAA" w:rsidRPr="00FE07FE" w:rsidRDefault="00FE07FE" w:rsidP="00500FFB">
      <w:pPr>
        <w:pStyle w:val="SingleTxtG"/>
        <w:rPr>
          <w:lang w:val="es-MX" w:eastAsia="en-US"/>
        </w:rPr>
      </w:pPr>
      <w:r w:rsidRPr="00500FFB">
        <w:rPr>
          <w:lang w:val="es-MX" w:eastAsia="en-US"/>
        </w:rPr>
        <w:t>45.</w:t>
      </w:r>
      <w:r w:rsidRPr="00500FFB">
        <w:rPr>
          <w:lang w:val="es-MX" w:eastAsia="en-US"/>
        </w:rPr>
        <w:tab/>
      </w:r>
      <w:r w:rsidR="00115B35" w:rsidRPr="00FE07FE">
        <w:rPr>
          <w:lang w:val="es-MX" w:eastAsia="en-US"/>
        </w:rPr>
        <w:t>La Inversión Social dirigida a la Niñez en la Argentina</w:t>
      </w:r>
      <w:r w:rsidR="00115B35" w:rsidRPr="00FE07FE">
        <w:rPr>
          <w:rStyle w:val="Refdenotaalpie"/>
        </w:rPr>
        <w:footnoteReference w:id="13"/>
      </w:r>
      <w:r w:rsidR="00115B35" w:rsidRPr="00FE07FE">
        <w:rPr>
          <w:lang w:val="es-MX" w:eastAsia="en-US"/>
        </w:rPr>
        <w:t xml:space="preserve"> muestra un destacado crecimiento, hasta alcanzar 8,97% del PIB en 2013. Esto se produce en el marco de una desaceleración del nivel de actividad económica en contraposición a un mayor crecimiento (aunque a tasa decreciente) de la inversión social dirigida a la niñez, es decir que actúa en forma contracíclica. Al comparar la Inversión Social dirigida a la Niñez en la Argentina con el Gasto Público Consolidado (Nación-Provincias) entre 2001-2013, se verifica un nivel de participación promedio de 19,33% similar entre los extremos del per</w:t>
      </w:r>
      <w:r w:rsidR="005C512D">
        <w:rPr>
          <w:lang w:val="es-MX" w:eastAsia="en-US"/>
        </w:rPr>
        <w:t>í</w:t>
      </w:r>
      <w:r w:rsidR="00115B35" w:rsidRPr="00FE07FE">
        <w:rPr>
          <w:lang w:val="es-MX" w:eastAsia="en-US"/>
        </w:rPr>
        <w:t xml:space="preserve">odo aunque con variaciones de +/-2pp en su interior. </w:t>
      </w:r>
    </w:p>
    <w:p w:rsidR="00C21DAA" w:rsidRPr="00FE07FE" w:rsidRDefault="00FE07FE" w:rsidP="00500FFB">
      <w:pPr>
        <w:pStyle w:val="SingleTxtG"/>
        <w:rPr>
          <w:lang w:val="es-MX" w:eastAsia="en-US"/>
        </w:rPr>
      </w:pPr>
      <w:r w:rsidRPr="00500FFB">
        <w:rPr>
          <w:lang w:val="es-MX" w:eastAsia="en-US"/>
        </w:rPr>
        <w:t>46.</w:t>
      </w:r>
      <w:r w:rsidRPr="00500FFB">
        <w:rPr>
          <w:lang w:val="es-MX" w:eastAsia="en-US"/>
        </w:rPr>
        <w:tab/>
      </w:r>
      <w:r w:rsidR="00115B35" w:rsidRPr="00FE07FE">
        <w:rPr>
          <w:lang w:val="es-MX" w:eastAsia="en-US"/>
        </w:rPr>
        <w:t xml:space="preserve">Por el contexto de crisis económica, la Nación ejecutó un conjunto de políticas sociales que se traducen en una mayor participación en la inversión dirigida a la niñez. La nación participó en un rango ascendente que se ubica entre 25% y 27% entre 2002-2013, y las provincias en uno descendente entre 75 y 73%. En relación al PIB la Inversión Específica presenta un incremento de 1,29 pp por los programas educativos provinciales y el programa Conectar Igualdad desde 2011. La Inversión Ampliada muestra un aumento de 1,13pp por los programas provinciales de salud y condiciones de vida y los nacionales de pensiones no contributivas y vivienda e infraestructura social. Además sube la II en 0,23pp por las políticas de transferencia monetaria por la Asignación Universal por Hijo para Protección Social </w:t>
      </w:r>
      <w:r w:rsidR="00D67A98">
        <w:rPr>
          <w:lang w:val="es-MX" w:eastAsia="en-US"/>
        </w:rPr>
        <w:t>–</w:t>
      </w:r>
      <w:r w:rsidR="00D67A98" w:rsidRPr="00FE07FE">
        <w:rPr>
          <w:lang w:val="es-MX" w:eastAsia="en-US"/>
        </w:rPr>
        <w:t xml:space="preserve"> </w:t>
      </w:r>
      <w:r w:rsidR="00115B35" w:rsidRPr="00FE07FE">
        <w:rPr>
          <w:lang w:val="es-MX" w:eastAsia="en-US"/>
        </w:rPr>
        <w:t xml:space="preserve">AUH (2009-2013) y las Asignaciones Familiares Contributivas. </w:t>
      </w:r>
    </w:p>
    <w:p w:rsidR="00C21DAA" w:rsidRPr="00FE07FE" w:rsidRDefault="00FE07FE" w:rsidP="00500FFB">
      <w:pPr>
        <w:pStyle w:val="SingleTxtG"/>
        <w:rPr>
          <w:lang w:val="es-MX" w:eastAsia="en-US"/>
        </w:rPr>
      </w:pPr>
      <w:r w:rsidRPr="00500FFB">
        <w:rPr>
          <w:lang w:val="es-MX" w:eastAsia="en-US"/>
        </w:rPr>
        <w:t>47.</w:t>
      </w:r>
      <w:r w:rsidRPr="00500FFB">
        <w:rPr>
          <w:lang w:val="es-MX" w:eastAsia="en-US"/>
        </w:rPr>
        <w:tab/>
      </w:r>
      <w:r w:rsidR="00115B35" w:rsidRPr="00FE07FE">
        <w:rPr>
          <w:lang w:val="es-MX" w:eastAsia="en-US"/>
        </w:rPr>
        <w:t xml:space="preserve">En la inversión social destinada a la niñez el principal componente es educación, que incide 54,48%, seguido por Obras Sociales 12,53%, Salud 11,49% y Ayuda Directa 9,84%. Estas mismas categorías en cuanto a su incremento en relación al PIB: Educación 1,18pp, Ayuda Directa 0,48pp, Obras Sociales 0,39pp y Salud 0,36pp. Se puede considerar la evolución de la inversión social dirigida a la niñez en porcentaje del PBI como una variable relevante. </w:t>
      </w:r>
    </w:p>
    <w:p w:rsidR="00C21DAA" w:rsidRPr="00FE07FE" w:rsidRDefault="00115B35">
      <w:pPr>
        <w:pStyle w:val="Ttulo1"/>
        <w:rPr>
          <w:lang w:val="es-AR"/>
        </w:rPr>
      </w:pPr>
      <w:r w:rsidRPr="00FE07FE">
        <w:rPr>
          <w:lang w:val="es-AR"/>
        </w:rPr>
        <w:t>Cuadro 1</w:t>
      </w:r>
      <w:r w:rsidRPr="00130607">
        <w:rPr>
          <w:rStyle w:val="Refdenotaalpie"/>
          <w:szCs w:val="18"/>
        </w:rPr>
        <w:footnoteReference w:id="14"/>
      </w:r>
      <w:r w:rsidR="00542A88" w:rsidRPr="00500FFB">
        <w:rPr>
          <w:vertAlign w:val="superscript"/>
          <w:lang w:val="es-AR"/>
        </w:rPr>
        <w:t>,</w:t>
      </w:r>
      <w:r w:rsidRPr="00FE07FE">
        <w:rPr>
          <w:lang w:val="es-AR"/>
        </w:rPr>
        <w:t xml:space="preserve"> </w:t>
      </w:r>
      <w:r w:rsidRPr="00FE07FE">
        <w:rPr>
          <w:rStyle w:val="Refdenotaalpie"/>
        </w:rPr>
        <w:footnoteReference w:id="15"/>
      </w:r>
    </w:p>
    <w:p w:rsidR="00C21DAA" w:rsidRPr="00500FFB" w:rsidRDefault="00115B35" w:rsidP="00500FFB">
      <w:pPr>
        <w:pStyle w:val="SingleTxtG"/>
        <w:jc w:val="left"/>
        <w:rPr>
          <w:sz w:val="16"/>
          <w:szCs w:val="16"/>
          <w:lang w:val="es-AR"/>
        </w:rPr>
      </w:pPr>
      <w:r w:rsidRPr="00FE07FE">
        <w:rPr>
          <w:b/>
          <w:lang w:val="es-AR"/>
        </w:rPr>
        <w:t>Gasto Público Consolidado y Gasto Público Social (Nación – provincias) 2001-2013</w:t>
      </w:r>
      <w:r w:rsidR="007203F4">
        <w:rPr>
          <w:b/>
          <w:lang w:val="es-AR"/>
        </w:rPr>
        <w:br/>
      </w:r>
      <w:r w:rsidR="007203F4" w:rsidRPr="00500FFB">
        <w:rPr>
          <w:sz w:val="16"/>
          <w:szCs w:val="16"/>
          <w:lang w:val="es-AR"/>
        </w:rPr>
        <w:t>(</w:t>
      </w:r>
      <w:r w:rsidRPr="00500FFB">
        <w:rPr>
          <w:sz w:val="16"/>
          <w:szCs w:val="16"/>
          <w:lang w:val="es-AR"/>
        </w:rPr>
        <w:t>En millones de $ y en porcentajes</w:t>
      </w:r>
      <w:r w:rsidR="007203F4" w:rsidRPr="00500FFB">
        <w:rPr>
          <w:sz w:val="16"/>
          <w:szCs w:val="16"/>
          <w:lang w:val="es-AR"/>
        </w:rPr>
        <w:t>)</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858"/>
        <w:gridCol w:w="1858"/>
        <w:gridCol w:w="1859"/>
        <w:gridCol w:w="1859"/>
      </w:tblGrid>
      <w:tr w:rsidR="007203F4" w:rsidRPr="007203F4" w:rsidTr="00500FFB">
        <w:trPr>
          <w:trHeight w:val="240"/>
          <w:tblHeader/>
        </w:trPr>
        <w:tc>
          <w:tcPr>
            <w:tcW w:w="1842" w:type="dxa"/>
            <w:tcBorders>
              <w:top w:val="single" w:sz="4" w:space="0" w:color="auto"/>
              <w:bottom w:val="single" w:sz="12" w:space="0" w:color="auto"/>
            </w:tcBorders>
            <w:shd w:val="clear" w:color="auto" w:fill="auto"/>
            <w:noWrap/>
            <w:vAlign w:val="bottom"/>
            <w:hideMark/>
          </w:tcPr>
          <w:p w:rsidR="00C21DAA" w:rsidRPr="007203F4" w:rsidRDefault="00115B35">
            <w:pPr>
              <w:spacing w:before="80" w:after="80" w:line="200" w:lineRule="exact"/>
              <w:rPr>
                <w:bCs/>
                <w:i/>
                <w:sz w:val="16"/>
                <w:lang w:val="es-AR" w:eastAsia="es-AR"/>
              </w:rPr>
            </w:pPr>
            <w:r w:rsidRPr="007203F4">
              <w:rPr>
                <w:bCs/>
                <w:i/>
                <w:sz w:val="16"/>
                <w:lang w:val="es-AR" w:eastAsia="es-AR"/>
              </w:rPr>
              <w:t>Concepto</w:t>
            </w:r>
          </w:p>
        </w:tc>
        <w:tc>
          <w:tcPr>
            <w:tcW w:w="1842" w:type="dxa"/>
            <w:tcBorders>
              <w:top w:val="single" w:sz="4" w:space="0" w:color="auto"/>
              <w:bottom w:val="single" w:sz="12" w:space="0" w:color="auto"/>
            </w:tcBorders>
            <w:shd w:val="clear" w:color="auto" w:fill="auto"/>
            <w:vAlign w:val="bottom"/>
            <w:hideMark/>
          </w:tcPr>
          <w:p w:rsidR="00C21DAA" w:rsidRPr="007203F4" w:rsidRDefault="00115B35" w:rsidP="00500FFB">
            <w:pPr>
              <w:spacing w:before="80" w:after="80" w:line="200" w:lineRule="exact"/>
              <w:ind w:left="113"/>
              <w:jc w:val="right"/>
              <w:rPr>
                <w:bCs/>
                <w:i/>
                <w:sz w:val="16"/>
                <w:lang w:val="es-AR" w:eastAsia="es-AR"/>
              </w:rPr>
            </w:pPr>
            <w:r w:rsidRPr="007203F4">
              <w:rPr>
                <w:bCs/>
                <w:i/>
                <w:sz w:val="16"/>
                <w:lang w:val="es-AR" w:eastAsia="es-AR"/>
              </w:rPr>
              <w:t>GPC (N-P)</w:t>
            </w:r>
          </w:p>
        </w:tc>
        <w:tc>
          <w:tcPr>
            <w:tcW w:w="1843" w:type="dxa"/>
            <w:tcBorders>
              <w:top w:val="single" w:sz="4" w:space="0" w:color="auto"/>
              <w:bottom w:val="single" w:sz="12" w:space="0" w:color="auto"/>
            </w:tcBorders>
            <w:shd w:val="clear" w:color="auto" w:fill="auto"/>
            <w:vAlign w:val="bottom"/>
            <w:hideMark/>
          </w:tcPr>
          <w:p w:rsidR="00C21DAA" w:rsidRPr="007203F4" w:rsidRDefault="00115B35" w:rsidP="00500FFB">
            <w:pPr>
              <w:spacing w:before="80" w:after="80" w:line="200" w:lineRule="exact"/>
              <w:ind w:left="113"/>
              <w:jc w:val="right"/>
              <w:rPr>
                <w:bCs/>
                <w:i/>
                <w:sz w:val="16"/>
                <w:lang w:val="es-AR" w:eastAsia="es-AR"/>
              </w:rPr>
            </w:pPr>
            <w:r w:rsidRPr="007203F4">
              <w:rPr>
                <w:bCs/>
                <w:i/>
                <w:sz w:val="16"/>
                <w:lang w:val="es-AR" w:eastAsia="es-AR"/>
              </w:rPr>
              <w:t>GPSC (N-P)</w:t>
            </w:r>
          </w:p>
        </w:tc>
        <w:tc>
          <w:tcPr>
            <w:tcW w:w="1843" w:type="dxa"/>
            <w:tcBorders>
              <w:top w:val="single" w:sz="4" w:space="0" w:color="auto"/>
              <w:bottom w:val="single" w:sz="12" w:space="0" w:color="auto"/>
            </w:tcBorders>
            <w:shd w:val="clear" w:color="auto" w:fill="auto"/>
            <w:vAlign w:val="bottom"/>
            <w:hideMark/>
          </w:tcPr>
          <w:p w:rsidR="00C21DAA" w:rsidRPr="007203F4" w:rsidRDefault="00115B35" w:rsidP="00500FFB">
            <w:pPr>
              <w:spacing w:before="80" w:after="80" w:line="200" w:lineRule="exact"/>
              <w:ind w:left="113"/>
              <w:jc w:val="right"/>
              <w:rPr>
                <w:bCs/>
                <w:i/>
                <w:sz w:val="16"/>
                <w:lang w:val="es-AR" w:eastAsia="es-AR"/>
              </w:rPr>
            </w:pPr>
            <w:r w:rsidRPr="007203F4">
              <w:rPr>
                <w:bCs/>
                <w:i/>
                <w:sz w:val="16"/>
                <w:lang w:val="es-AR" w:eastAsia="es-AR"/>
              </w:rPr>
              <w:t>GPSC (N-P)/GPC (N-P)</w:t>
            </w:r>
          </w:p>
        </w:tc>
      </w:tr>
      <w:tr w:rsidR="007203F4" w:rsidRPr="007203F4" w:rsidTr="00500FFB">
        <w:trPr>
          <w:trHeight w:val="240"/>
        </w:trPr>
        <w:tc>
          <w:tcPr>
            <w:tcW w:w="1842" w:type="dxa"/>
            <w:tcBorders>
              <w:top w:val="single" w:sz="12" w:space="0" w:color="auto"/>
            </w:tcBorders>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2001</w:t>
            </w:r>
          </w:p>
        </w:tc>
        <w:tc>
          <w:tcPr>
            <w:tcW w:w="1842" w:type="dxa"/>
            <w:tcBorders>
              <w:top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91</w:t>
            </w:r>
            <w:r w:rsidR="007203F4">
              <w:rPr>
                <w:sz w:val="18"/>
                <w:lang w:val="es-AR" w:eastAsia="es-AR"/>
              </w:rPr>
              <w:t xml:space="preserve"> </w:t>
            </w:r>
            <w:r w:rsidRPr="007203F4">
              <w:rPr>
                <w:sz w:val="18"/>
                <w:lang w:val="es-AR" w:eastAsia="es-AR"/>
              </w:rPr>
              <w:t>495</w:t>
            </w:r>
          </w:p>
        </w:tc>
        <w:tc>
          <w:tcPr>
            <w:tcW w:w="1843" w:type="dxa"/>
            <w:tcBorders>
              <w:top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55</w:t>
            </w:r>
            <w:r w:rsidR="007203F4">
              <w:rPr>
                <w:sz w:val="18"/>
                <w:lang w:val="es-AR" w:eastAsia="es-AR"/>
              </w:rPr>
              <w:t xml:space="preserve"> </w:t>
            </w:r>
            <w:r w:rsidRPr="007203F4">
              <w:rPr>
                <w:sz w:val="18"/>
                <w:lang w:val="es-AR" w:eastAsia="es-AR"/>
              </w:rPr>
              <w:t>006</w:t>
            </w:r>
          </w:p>
        </w:tc>
        <w:tc>
          <w:tcPr>
            <w:tcW w:w="1843" w:type="dxa"/>
            <w:tcBorders>
              <w:top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60,12</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2002</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87</w:t>
            </w:r>
            <w:r w:rsidR="007203F4">
              <w:rPr>
                <w:sz w:val="18"/>
                <w:lang w:val="es-AR" w:eastAsia="es-AR"/>
              </w:rPr>
              <w:t xml:space="preserve"> </w:t>
            </w:r>
            <w:r w:rsidRPr="007203F4">
              <w:rPr>
                <w:sz w:val="18"/>
                <w:lang w:val="es-AR" w:eastAsia="es-AR"/>
              </w:rPr>
              <w:t>368</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57</w:t>
            </w:r>
            <w:r w:rsidR="007203F4">
              <w:rPr>
                <w:sz w:val="18"/>
                <w:lang w:val="es-AR" w:eastAsia="es-AR"/>
              </w:rPr>
              <w:t xml:space="preserve"> </w:t>
            </w:r>
            <w:r w:rsidRPr="007203F4">
              <w:rPr>
                <w:sz w:val="18"/>
                <w:lang w:val="es-AR" w:eastAsia="es-AR"/>
              </w:rPr>
              <w:t>138</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65,40</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2003</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106</w:t>
            </w:r>
            <w:r w:rsidR="007203F4">
              <w:rPr>
                <w:sz w:val="18"/>
                <w:lang w:val="es-AR" w:eastAsia="es-AR"/>
              </w:rPr>
              <w:t xml:space="preserve"> </w:t>
            </w:r>
            <w:r w:rsidRPr="007203F4">
              <w:rPr>
                <w:sz w:val="18"/>
                <w:lang w:val="es-AR" w:eastAsia="es-AR"/>
              </w:rPr>
              <w:t>495</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66</w:t>
            </w:r>
            <w:r w:rsidR="007203F4">
              <w:rPr>
                <w:sz w:val="18"/>
                <w:lang w:val="es-AR" w:eastAsia="es-AR"/>
              </w:rPr>
              <w:t xml:space="preserve"> </w:t>
            </w:r>
            <w:r w:rsidRPr="007203F4">
              <w:rPr>
                <w:sz w:val="18"/>
                <w:lang w:val="es-AR" w:eastAsia="es-AR"/>
              </w:rPr>
              <w:t>875</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62,80</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2004</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124</w:t>
            </w:r>
            <w:r w:rsidR="007203F4">
              <w:rPr>
                <w:sz w:val="18"/>
                <w:lang w:val="es-AR" w:eastAsia="es-AR"/>
              </w:rPr>
              <w:t xml:space="preserve"> </w:t>
            </w:r>
            <w:r w:rsidRPr="007203F4">
              <w:rPr>
                <w:sz w:val="18"/>
                <w:lang w:val="es-AR" w:eastAsia="es-AR"/>
              </w:rPr>
              <w:t>721</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78</w:t>
            </w:r>
            <w:r w:rsidR="007203F4">
              <w:rPr>
                <w:sz w:val="18"/>
                <w:lang w:val="es-AR" w:eastAsia="es-AR"/>
              </w:rPr>
              <w:t xml:space="preserve"> </w:t>
            </w:r>
            <w:r w:rsidRPr="007203F4">
              <w:rPr>
                <w:sz w:val="18"/>
                <w:lang w:val="es-AR" w:eastAsia="es-AR"/>
              </w:rPr>
              <w:t>188</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62,69</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2005</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164</w:t>
            </w:r>
            <w:r w:rsidR="007203F4">
              <w:rPr>
                <w:sz w:val="18"/>
                <w:lang w:val="es-AR" w:eastAsia="es-AR"/>
              </w:rPr>
              <w:t xml:space="preserve"> </w:t>
            </w:r>
            <w:r w:rsidRPr="007203F4">
              <w:rPr>
                <w:sz w:val="18"/>
                <w:lang w:val="es-AR" w:eastAsia="es-AR"/>
              </w:rPr>
              <w:t>592</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97</w:t>
            </w:r>
            <w:r w:rsidR="007203F4">
              <w:rPr>
                <w:sz w:val="18"/>
                <w:lang w:val="es-AR" w:eastAsia="es-AR"/>
              </w:rPr>
              <w:t xml:space="preserve"> </w:t>
            </w:r>
            <w:r w:rsidRPr="007203F4">
              <w:rPr>
                <w:sz w:val="18"/>
                <w:lang w:val="es-AR" w:eastAsia="es-AR"/>
              </w:rPr>
              <w:t>830</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59,44</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2006</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205</w:t>
            </w:r>
            <w:r w:rsidR="007203F4">
              <w:rPr>
                <w:sz w:val="18"/>
                <w:lang w:val="es-AR" w:eastAsia="es-AR"/>
              </w:rPr>
              <w:t xml:space="preserve"> </w:t>
            </w:r>
            <w:r w:rsidRPr="007203F4">
              <w:rPr>
                <w:sz w:val="18"/>
                <w:lang w:val="es-AR" w:eastAsia="es-AR"/>
              </w:rPr>
              <w:t>939</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125</w:t>
            </w:r>
            <w:r w:rsidR="007203F4">
              <w:rPr>
                <w:sz w:val="18"/>
                <w:lang w:val="es-AR" w:eastAsia="es-AR"/>
              </w:rPr>
              <w:t xml:space="preserve"> </w:t>
            </w:r>
            <w:r w:rsidRPr="007203F4">
              <w:rPr>
                <w:sz w:val="18"/>
                <w:lang w:val="es-AR" w:eastAsia="es-AR"/>
              </w:rPr>
              <w:t>536</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60,96</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2007</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283</w:t>
            </w:r>
            <w:r w:rsidR="007203F4">
              <w:rPr>
                <w:sz w:val="18"/>
                <w:lang w:val="es-AR" w:eastAsia="es-AR"/>
              </w:rPr>
              <w:t xml:space="preserve"> </w:t>
            </w:r>
            <w:r w:rsidRPr="007203F4">
              <w:rPr>
                <w:sz w:val="18"/>
                <w:lang w:val="es-AR" w:eastAsia="es-AR"/>
              </w:rPr>
              <w:t>161</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172</w:t>
            </w:r>
            <w:r w:rsidR="007203F4">
              <w:rPr>
                <w:sz w:val="18"/>
                <w:lang w:val="es-AR" w:eastAsia="es-AR"/>
              </w:rPr>
              <w:t xml:space="preserve"> </w:t>
            </w:r>
            <w:r w:rsidRPr="007203F4">
              <w:rPr>
                <w:sz w:val="18"/>
                <w:lang w:val="es-AR" w:eastAsia="es-AR"/>
              </w:rPr>
              <w:t>282</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60,84</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2008</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384</w:t>
            </w:r>
            <w:r w:rsidR="007203F4">
              <w:rPr>
                <w:sz w:val="18"/>
                <w:lang w:val="es-AR" w:eastAsia="es-AR"/>
              </w:rPr>
              <w:t xml:space="preserve"> </w:t>
            </w:r>
            <w:r w:rsidRPr="007203F4">
              <w:rPr>
                <w:sz w:val="18"/>
                <w:lang w:val="es-AR" w:eastAsia="es-AR"/>
              </w:rPr>
              <w:t>052</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231</w:t>
            </w:r>
            <w:r w:rsidR="007203F4">
              <w:rPr>
                <w:sz w:val="18"/>
                <w:lang w:val="es-AR" w:eastAsia="es-AR"/>
              </w:rPr>
              <w:t xml:space="preserve"> </w:t>
            </w:r>
            <w:r w:rsidRPr="007203F4">
              <w:rPr>
                <w:sz w:val="18"/>
                <w:lang w:val="es-AR" w:eastAsia="es-AR"/>
              </w:rPr>
              <w:t>049</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60,16</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2009</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482</w:t>
            </w:r>
            <w:r w:rsidR="007203F4">
              <w:rPr>
                <w:sz w:val="18"/>
                <w:lang w:val="es-AR" w:eastAsia="es-AR"/>
              </w:rPr>
              <w:t xml:space="preserve"> </w:t>
            </w:r>
            <w:r w:rsidRPr="007203F4">
              <w:rPr>
                <w:sz w:val="18"/>
                <w:lang w:val="es-AR" w:eastAsia="es-AR"/>
              </w:rPr>
              <w:t>412</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300</w:t>
            </w:r>
            <w:r w:rsidR="007203F4">
              <w:rPr>
                <w:sz w:val="18"/>
                <w:lang w:val="es-AR" w:eastAsia="es-AR"/>
              </w:rPr>
              <w:t xml:space="preserve"> </w:t>
            </w:r>
            <w:r w:rsidRPr="007203F4">
              <w:rPr>
                <w:sz w:val="18"/>
                <w:lang w:val="es-AR" w:eastAsia="es-AR"/>
              </w:rPr>
              <w:t>374</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62,27</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2010</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616</w:t>
            </w:r>
            <w:r w:rsidR="007203F4">
              <w:rPr>
                <w:sz w:val="18"/>
                <w:lang w:val="es-AR" w:eastAsia="es-AR"/>
              </w:rPr>
              <w:t xml:space="preserve"> </w:t>
            </w:r>
            <w:r w:rsidRPr="007203F4">
              <w:rPr>
                <w:sz w:val="18"/>
                <w:lang w:val="es-AR" w:eastAsia="es-AR"/>
              </w:rPr>
              <w:t>982</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379</w:t>
            </w:r>
            <w:r w:rsidR="007203F4">
              <w:rPr>
                <w:sz w:val="18"/>
                <w:lang w:val="es-AR" w:eastAsia="es-AR"/>
              </w:rPr>
              <w:t xml:space="preserve"> </w:t>
            </w:r>
            <w:r w:rsidRPr="007203F4">
              <w:rPr>
                <w:sz w:val="18"/>
                <w:lang w:val="es-AR" w:eastAsia="es-AR"/>
              </w:rPr>
              <w:t>626</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61,53</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2011</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847</w:t>
            </w:r>
            <w:r w:rsidR="007203F4">
              <w:rPr>
                <w:sz w:val="18"/>
                <w:lang w:val="es-AR" w:eastAsia="es-AR"/>
              </w:rPr>
              <w:t xml:space="preserve"> </w:t>
            </w:r>
            <w:r w:rsidRPr="007203F4">
              <w:rPr>
                <w:sz w:val="18"/>
                <w:lang w:val="es-AR" w:eastAsia="es-AR"/>
              </w:rPr>
              <w:t>171</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518</w:t>
            </w:r>
            <w:r w:rsidR="007203F4">
              <w:rPr>
                <w:sz w:val="18"/>
                <w:lang w:val="es-AR" w:eastAsia="es-AR"/>
              </w:rPr>
              <w:t xml:space="preserve"> </w:t>
            </w:r>
            <w:r w:rsidRPr="007203F4">
              <w:rPr>
                <w:sz w:val="18"/>
                <w:lang w:val="es-AR" w:eastAsia="es-AR"/>
              </w:rPr>
              <w:t>119</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61,16</w:t>
            </w:r>
          </w:p>
        </w:tc>
      </w:tr>
      <w:tr w:rsidR="007203F4" w:rsidRPr="007203F4" w:rsidTr="00500FFB">
        <w:trPr>
          <w:trHeight w:val="240"/>
        </w:trPr>
        <w:tc>
          <w:tcPr>
            <w:tcW w:w="1842"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2012</w:t>
            </w:r>
          </w:p>
        </w:tc>
        <w:tc>
          <w:tcPr>
            <w:tcW w:w="1842"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w:t>
            </w:r>
            <w:r w:rsidR="007203F4">
              <w:rPr>
                <w:sz w:val="18"/>
                <w:lang w:val="es-AR" w:eastAsia="es-AR"/>
              </w:rPr>
              <w:t xml:space="preserve"> </w:t>
            </w:r>
            <w:r w:rsidRPr="007203F4">
              <w:rPr>
                <w:sz w:val="18"/>
                <w:lang w:val="es-AR" w:eastAsia="es-AR"/>
              </w:rPr>
              <w:t>060</w:t>
            </w:r>
            <w:r w:rsidR="007203F4">
              <w:rPr>
                <w:sz w:val="18"/>
                <w:lang w:val="es-AR" w:eastAsia="es-AR"/>
              </w:rPr>
              <w:t xml:space="preserve"> </w:t>
            </w:r>
            <w:r w:rsidRPr="007203F4">
              <w:rPr>
                <w:sz w:val="18"/>
                <w:lang w:val="es-AR" w:eastAsia="es-AR"/>
              </w:rPr>
              <w:t>822</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666</w:t>
            </w:r>
            <w:r w:rsidR="007203F4">
              <w:rPr>
                <w:sz w:val="18"/>
                <w:lang w:val="es-AR" w:eastAsia="es-AR"/>
              </w:rPr>
              <w:t xml:space="preserve"> </w:t>
            </w:r>
            <w:r w:rsidRPr="007203F4">
              <w:rPr>
                <w:sz w:val="18"/>
                <w:lang w:val="es-AR" w:eastAsia="es-AR"/>
              </w:rPr>
              <w:t>312</w:t>
            </w:r>
          </w:p>
        </w:tc>
        <w:tc>
          <w:tcPr>
            <w:tcW w:w="1843"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62,81</w:t>
            </w:r>
          </w:p>
        </w:tc>
      </w:tr>
      <w:tr w:rsidR="007203F4" w:rsidRPr="007203F4" w:rsidTr="00500FFB">
        <w:trPr>
          <w:trHeight w:val="240"/>
        </w:trPr>
        <w:tc>
          <w:tcPr>
            <w:tcW w:w="1842" w:type="dxa"/>
            <w:tcBorders>
              <w:bottom w:val="single" w:sz="12" w:space="0" w:color="auto"/>
            </w:tcBorders>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2013</w:t>
            </w:r>
          </w:p>
        </w:tc>
        <w:tc>
          <w:tcPr>
            <w:tcW w:w="1842" w:type="dxa"/>
            <w:tcBorders>
              <w:bottom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w:t>
            </w:r>
            <w:r w:rsidR="007203F4">
              <w:rPr>
                <w:sz w:val="18"/>
                <w:lang w:val="es-AR" w:eastAsia="es-AR"/>
              </w:rPr>
              <w:t xml:space="preserve"> </w:t>
            </w:r>
            <w:r w:rsidRPr="007203F4">
              <w:rPr>
                <w:sz w:val="18"/>
                <w:lang w:val="es-AR" w:eastAsia="es-AR"/>
              </w:rPr>
              <w:t>395</w:t>
            </w:r>
            <w:r w:rsidR="007203F4">
              <w:rPr>
                <w:sz w:val="18"/>
                <w:lang w:val="es-AR" w:eastAsia="es-AR"/>
              </w:rPr>
              <w:t xml:space="preserve"> </w:t>
            </w:r>
            <w:r w:rsidRPr="007203F4">
              <w:rPr>
                <w:sz w:val="18"/>
                <w:lang w:val="es-AR" w:eastAsia="es-AR"/>
              </w:rPr>
              <w:t>954</w:t>
            </w:r>
          </w:p>
        </w:tc>
        <w:tc>
          <w:tcPr>
            <w:tcW w:w="1843" w:type="dxa"/>
            <w:tcBorders>
              <w:bottom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879</w:t>
            </w:r>
            <w:r w:rsidR="007203F4">
              <w:rPr>
                <w:sz w:val="18"/>
                <w:lang w:val="es-AR" w:eastAsia="es-AR"/>
              </w:rPr>
              <w:t xml:space="preserve"> </w:t>
            </w:r>
            <w:r w:rsidRPr="007203F4">
              <w:rPr>
                <w:sz w:val="18"/>
                <w:lang w:val="es-AR" w:eastAsia="es-AR"/>
              </w:rPr>
              <w:t>739</w:t>
            </w:r>
          </w:p>
        </w:tc>
        <w:tc>
          <w:tcPr>
            <w:tcW w:w="1843" w:type="dxa"/>
            <w:tcBorders>
              <w:bottom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63,02</w:t>
            </w:r>
          </w:p>
        </w:tc>
      </w:tr>
    </w:tbl>
    <w:p w:rsidR="00C21DAA" w:rsidRPr="00FE07FE" w:rsidRDefault="00115B35" w:rsidP="00500FFB">
      <w:pPr>
        <w:pStyle w:val="Ttulo1"/>
        <w:spacing w:before="240"/>
        <w:rPr>
          <w:lang w:val="es-AR"/>
        </w:rPr>
      </w:pPr>
      <w:r w:rsidRPr="00FE07FE">
        <w:rPr>
          <w:lang w:val="es-AR"/>
        </w:rPr>
        <w:lastRenderedPageBreak/>
        <w:t>Cuadro 2</w:t>
      </w:r>
      <w:r w:rsidRPr="00FE07FE">
        <w:rPr>
          <w:rStyle w:val="Refdenotaalpie"/>
        </w:rPr>
        <w:footnoteReference w:id="16"/>
      </w:r>
    </w:p>
    <w:p w:rsidR="00C21DAA" w:rsidRPr="00500FFB" w:rsidRDefault="00115B35" w:rsidP="00500FFB">
      <w:pPr>
        <w:pStyle w:val="SingleTxtG"/>
        <w:jc w:val="left"/>
        <w:rPr>
          <w:sz w:val="16"/>
          <w:szCs w:val="16"/>
          <w:lang w:val="es-AR"/>
        </w:rPr>
      </w:pPr>
      <w:r w:rsidRPr="00FE07FE">
        <w:rPr>
          <w:b/>
          <w:lang w:val="es-AR"/>
        </w:rPr>
        <w:t>Inversión Social Consolidada (Nación – provincias) dirigida a la Niñez 2001-2013</w:t>
      </w:r>
      <w:r w:rsidR="007203F4">
        <w:rPr>
          <w:b/>
          <w:lang w:val="es-AR"/>
        </w:rPr>
        <w:br/>
      </w:r>
      <w:r w:rsidR="007203F4" w:rsidRPr="00500FFB">
        <w:rPr>
          <w:sz w:val="16"/>
          <w:szCs w:val="16"/>
          <w:lang w:val="es-AR"/>
        </w:rPr>
        <w:t>(</w:t>
      </w:r>
      <w:r w:rsidRPr="00500FFB">
        <w:rPr>
          <w:sz w:val="16"/>
          <w:szCs w:val="16"/>
          <w:lang w:val="es-AR"/>
        </w:rPr>
        <w:t>En millones de $ y en porcentajes</w:t>
      </w:r>
      <w:r w:rsidR="007203F4">
        <w:rPr>
          <w:sz w:val="16"/>
          <w:szCs w:val="16"/>
          <w:lang w:val="es-AR"/>
        </w:rPr>
        <w:t>)</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325"/>
        <w:gridCol w:w="1531"/>
        <w:gridCol w:w="1531"/>
        <w:gridCol w:w="1531"/>
        <w:gridCol w:w="1532"/>
      </w:tblGrid>
      <w:tr w:rsidR="007203F4" w:rsidRPr="007203F4" w:rsidTr="00500FFB">
        <w:trPr>
          <w:trHeight w:val="240"/>
          <w:tblHeader/>
        </w:trPr>
        <w:tc>
          <w:tcPr>
            <w:tcW w:w="1309" w:type="dxa"/>
            <w:tcBorders>
              <w:top w:val="single" w:sz="4" w:space="0" w:color="auto"/>
              <w:bottom w:val="single" w:sz="12" w:space="0" w:color="auto"/>
            </w:tcBorders>
            <w:shd w:val="clear" w:color="auto" w:fill="auto"/>
            <w:vAlign w:val="bottom"/>
            <w:hideMark/>
          </w:tcPr>
          <w:p w:rsidR="00C21DAA" w:rsidRPr="007203F4" w:rsidRDefault="00115B35">
            <w:pPr>
              <w:spacing w:before="80" w:after="80" w:line="200" w:lineRule="exact"/>
              <w:rPr>
                <w:bCs/>
                <w:i/>
                <w:sz w:val="16"/>
                <w:lang w:val="es-AR" w:eastAsia="es-AR"/>
              </w:rPr>
            </w:pPr>
            <w:r w:rsidRPr="007203F4">
              <w:rPr>
                <w:bCs/>
                <w:i/>
                <w:sz w:val="16"/>
                <w:lang w:val="es-AR" w:eastAsia="es-AR"/>
              </w:rPr>
              <w:t>ISCN (N-P)</w:t>
            </w:r>
          </w:p>
        </w:tc>
        <w:tc>
          <w:tcPr>
            <w:tcW w:w="1515" w:type="dxa"/>
            <w:tcBorders>
              <w:top w:val="single" w:sz="4" w:space="0" w:color="auto"/>
              <w:bottom w:val="single" w:sz="12" w:space="0" w:color="auto"/>
            </w:tcBorders>
            <w:shd w:val="clear" w:color="auto" w:fill="auto"/>
            <w:vAlign w:val="bottom"/>
            <w:hideMark/>
          </w:tcPr>
          <w:p w:rsidR="00C21DAA" w:rsidRPr="007203F4" w:rsidRDefault="00115B35" w:rsidP="00500FFB">
            <w:pPr>
              <w:spacing w:before="80" w:after="80" w:line="200" w:lineRule="exact"/>
              <w:ind w:left="113"/>
              <w:jc w:val="right"/>
              <w:rPr>
                <w:i/>
                <w:sz w:val="16"/>
                <w:lang w:val="es-AR" w:eastAsia="es-AR"/>
              </w:rPr>
            </w:pPr>
            <w:r w:rsidRPr="007203F4">
              <w:rPr>
                <w:i/>
                <w:sz w:val="16"/>
                <w:lang w:val="es-AR" w:eastAsia="es-AR"/>
              </w:rPr>
              <w:t>En M de $</w:t>
            </w:r>
          </w:p>
        </w:tc>
        <w:tc>
          <w:tcPr>
            <w:tcW w:w="1515" w:type="dxa"/>
            <w:tcBorders>
              <w:top w:val="single" w:sz="4" w:space="0" w:color="auto"/>
              <w:bottom w:val="single" w:sz="12" w:space="0" w:color="auto"/>
            </w:tcBorders>
            <w:shd w:val="clear" w:color="auto" w:fill="auto"/>
            <w:vAlign w:val="bottom"/>
            <w:hideMark/>
          </w:tcPr>
          <w:p w:rsidR="00C21DAA" w:rsidRPr="007203F4" w:rsidRDefault="00115B35" w:rsidP="00500FFB">
            <w:pPr>
              <w:spacing w:before="80" w:after="80" w:line="200" w:lineRule="exact"/>
              <w:ind w:left="113"/>
              <w:jc w:val="right"/>
              <w:rPr>
                <w:i/>
                <w:sz w:val="16"/>
                <w:lang w:val="es-AR" w:eastAsia="es-AR"/>
              </w:rPr>
            </w:pPr>
            <w:r w:rsidRPr="007203F4">
              <w:rPr>
                <w:i/>
                <w:sz w:val="16"/>
                <w:lang w:val="es-AR" w:eastAsia="es-AR"/>
              </w:rPr>
              <w:t xml:space="preserve">En % del GPC (N-P) </w:t>
            </w:r>
          </w:p>
        </w:tc>
        <w:tc>
          <w:tcPr>
            <w:tcW w:w="1515" w:type="dxa"/>
            <w:tcBorders>
              <w:top w:val="single" w:sz="4" w:space="0" w:color="auto"/>
              <w:bottom w:val="single" w:sz="12" w:space="0" w:color="auto"/>
            </w:tcBorders>
            <w:shd w:val="clear" w:color="auto" w:fill="auto"/>
            <w:vAlign w:val="bottom"/>
            <w:hideMark/>
          </w:tcPr>
          <w:p w:rsidR="00C21DAA" w:rsidRPr="007203F4" w:rsidRDefault="00115B35" w:rsidP="00500FFB">
            <w:pPr>
              <w:spacing w:before="80" w:after="80" w:line="200" w:lineRule="exact"/>
              <w:ind w:left="113"/>
              <w:jc w:val="right"/>
              <w:rPr>
                <w:i/>
                <w:sz w:val="16"/>
                <w:lang w:val="es-AR" w:eastAsia="es-AR"/>
              </w:rPr>
            </w:pPr>
            <w:r w:rsidRPr="007203F4">
              <w:rPr>
                <w:i/>
                <w:sz w:val="16"/>
                <w:lang w:val="es-AR" w:eastAsia="es-AR"/>
              </w:rPr>
              <w:t xml:space="preserve">En % del GPS (N-P) </w:t>
            </w:r>
          </w:p>
        </w:tc>
        <w:tc>
          <w:tcPr>
            <w:tcW w:w="1516" w:type="dxa"/>
            <w:tcBorders>
              <w:top w:val="single" w:sz="4" w:space="0" w:color="auto"/>
              <w:bottom w:val="single" w:sz="12" w:space="0" w:color="auto"/>
            </w:tcBorders>
            <w:shd w:val="clear" w:color="auto" w:fill="auto"/>
            <w:vAlign w:val="bottom"/>
            <w:hideMark/>
          </w:tcPr>
          <w:p w:rsidR="00C21DAA" w:rsidRPr="007203F4" w:rsidRDefault="00115B35" w:rsidP="00500FFB">
            <w:pPr>
              <w:spacing w:before="80" w:after="80" w:line="200" w:lineRule="exact"/>
              <w:ind w:left="113"/>
              <w:jc w:val="right"/>
              <w:rPr>
                <w:i/>
                <w:sz w:val="16"/>
                <w:lang w:val="es-AR" w:eastAsia="es-AR"/>
              </w:rPr>
            </w:pPr>
            <w:r w:rsidRPr="007203F4">
              <w:rPr>
                <w:i/>
                <w:sz w:val="16"/>
                <w:lang w:val="es-AR" w:eastAsia="es-AR"/>
              </w:rPr>
              <w:t>En % del PIB</w:t>
            </w:r>
          </w:p>
        </w:tc>
      </w:tr>
      <w:tr w:rsidR="007203F4" w:rsidRPr="007203F4" w:rsidTr="00500FFB">
        <w:trPr>
          <w:trHeight w:val="240"/>
        </w:trPr>
        <w:tc>
          <w:tcPr>
            <w:tcW w:w="1309" w:type="dxa"/>
            <w:tcBorders>
              <w:top w:val="single" w:sz="12" w:space="0" w:color="auto"/>
            </w:tcBorders>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2001</w:t>
            </w:r>
          </w:p>
        </w:tc>
        <w:tc>
          <w:tcPr>
            <w:tcW w:w="1515" w:type="dxa"/>
            <w:tcBorders>
              <w:top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16</w:t>
            </w:r>
            <w:r w:rsidR="007203F4">
              <w:rPr>
                <w:sz w:val="18"/>
                <w:lang w:val="es-AR" w:eastAsia="es-AR"/>
              </w:rPr>
              <w:t xml:space="preserve"> </w:t>
            </w:r>
            <w:r w:rsidRPr="007203F4">
              <w:rPr>
                <w:sz w:val="18"/>
                <w:lang w:val="es-AR" w:eastAsia="es-AR"/>
              </w:rPr>
              <w:t>796</w:t>
            </w:r>
          </w:p>
        </w:tc>
        <w:tc>
          <w:tcPr>
            <w:tcW w:w="1515" w:type="dxa"/>
            <w:tcBorders>
              <w:top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18,36</w:t>
            </w:r>
          </w:p>
        </w:tc>
        <w:tc>
          <w:tcPr>
            <w:tcW w:w="1515" w:type="dxa"/>
            <w:tcBorders>
              <w:top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30,53</w:t>
            </w:r>
          </w:p>
        </w:tc>
        <w:tc>
          <w:tcPr>
            <w:tcW w:w="1516" w:type="dxa"/>
            <w:tcBorders>
              <w:top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6,25</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2002</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18</w:t>
            </w:r>
            <w:r w:rsidR="007203F4">
              <w:rPr>
                <w:sz w:val="18"/>
                <w:lang w:val="es-AR" w:eastAsia="es-AR"/>
              </w:rPr>
              <w:t xml:space="preserve"> </w:t>
            </w:r>
            <w:r w:rsidRPr="007203F4">
              <w:rPr>
                <w:sz w:val="18"/>
                <w:lang w:val="es-AR" w:eastAsia="es-AR"/>
              </w:rPr>
              <w:t>014</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20,62</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31,53</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5,76</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2003</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21</w:t>
            </w:r>
            <w:r w:rsidR="007203F4">
              <w:rPr>
                <w:sz w:val="18"/>
                <w:lang w:val="es-AR" w:eastAsia="es-AR"/>
              </w:rPr>
              <w:t xml:space="preserve"> </w:t>
            </w:r>
            <w:r w:rsidRPr="007203F4">
              <w:rPr>
                <w:sz w:val="18"/>
                <w:lang w:val="es-AR" w:eastAsia="es-AR"/>
              </w:rPr>
              <w:t>097</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19,81</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31,55</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5,61</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2004</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25</w:t>
            </w:r>
            <w:r w:rsidR="007203F4">
              <w:rPr>
                <w:sz w:val="18"/>
                <w:lang w:val="es-AR" w:eastAsia="es-AR"/>
              </w:rPr>
              <w:t xml:space="preserve"> </w:t>
            </w:r>
            <w:r w:rsidRPr="007203F4">
              <w:rPr>
                <w:sz w:val="18"/>
                <w:lang w:val="es-AR" w:eastAsia="es-AR"/>
              </w:rPr>
              <w:t>018</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20,06</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32,00</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5,59</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2005</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32</w:t>
            </w:r>
            <w:r w:rsidR="007203F4">
              <w:rPr>
                <w:sz w:val="18"/>
                <w:lang w:val="es-AR" w:eastAsia="es-AR"/>
              </w:rPr>
              <w:t xml:space="preserve"> </w:t>
            </w:r>
            <w:r w:rsidRPr="007203F4">
              <w:rPr>
                <w:sz w:val="18"/>
                <w:lang w:val="es-AR" w:eastAsia="es-AR"/>
              </w:rPr>
              <w:t>906</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19,99</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33,64</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6,19</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2006</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42</w:t>
            </w:r>
            <w:r w:rsidR="007203F4">
              <w:rPr>
                <w:sz w:val="18"/>
                <w:lang w:val="es-AR" w:eastAsia="es-AR"/>
              </w:rPr>
              <w:t xml:space="preserve"> </w:t>
            </w:r>
            <w:r w:rsidRPr="007203F4">
              <w:rPr>
                <w:sz w:val="18"/>
                <w:lang w:val="es-AR" w:eastAsia="es-AR"/>
              </w:rPr>
              <w:t>255</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20,52</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33,66</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6,46</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2007</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55</w:t>
            </w:r>
            <w:r w:rsidR="007203F4">
              <w:rPr>
                <w:sz w:val="18"/>
                <w:lang w:val="es-AR" w:eastAsia="es-AR"/>
              </w:rPr>
              <w:t xml:space="preserve"> </w:t>
            </w:r>
            <w:r w:rsidRPr="007203F4">
              <w:rPr>
                <w:sz w:val="18"/>
                <w:lang w:val="es-AR" w:eastAsia="es-AR"/>
              </w:rPr>
              <w:t>336</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19,54</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32,12</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6,93</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2008</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73</w:t>
            </w:r>
            <w:r w:rsidR="007203F4">
              <w:rPr>
                <w:sz w:val="18"/>
                <w:lang w:val="es-AR" w:eastAsia="es-AR"/>
              </w:rPr>
              <w:t xml:space="preserve"> </w:t>
            </w:r>
            <w:r w:rsidRPr="007203F4">
              <w:rPr>
                <w:sz w:val="18"/>
                <w:lang w:val="es-AR" w:eastAsia="es-AR"/>
              </w:rPr>
              <w:t>444</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19,12</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31,79</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7,32</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2009</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91</w:t>
            </w:r>
            <w:r w:rsidR="007203F4">
              <w:rPr>
                <w:sz w:val="18"/>
                <w:lang w:val="es-AR" w:eastAsia="es-AR"/>
              </w:rPr>
              <w:t xml:space="preserve"> </w:t>
            </w:r>
            <w:r w:rsidRPr="007203F4">
              <w:rPr>
                <w:sz w:val="18"/>
                <w:lang w:val="es-AR" w:eastAsia="es-AR"/>
              </w:rPr>
              <w:t>605</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18,99</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30,50</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8,37</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2010</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114</w:t>
            </w:r>
            <w:r w:rsidR="007203F4">
              <w:rPr>
                <w:sz w:val="18"/>
                <w:lang w:val="es-AR" w:eastAsia="es-AR"/>
              </w:rPr>
              <w:t xml:space="preserve"> </w:t>
            </w:r>
            <w:r w:rsidRPr="007203F4">
              <w:rPr>
                <w:sz w:val="18"/>
                <w:lang w:val="es-AR" w:eastAsia="es-AR"/>
              </w:rPr>
              <w:t>495</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18,56</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30,16</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7,99</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2011</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158</w:t>
            </w:r>
            <w:r w:rsidR="007203F4">
              <w:rPr>
                <w:sz w:val="18"/>
                <w:lang w:val="es-AR" w:eastAsia="es-AR"/>
              </w:rPr>
              <w:t xml:space="preserve"> </w:t>
            </w:r>
            <w:r w:rsidRPr="007203F4">
              <w:rPr>
                <w:sz w:val="18"/>
                <w:lang w:val="es-AR" w:eastAsia="es-AR"/>
              </w:rPr>
              <w:t>468</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18,71</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30,59</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8,60</w:t>
            </w:r>
          </w:p>
        </w:tc>
      </w:tr>
      <w:tr w:rsidR="007203F4" w:rsidRPr="007203F4" w:rsidTr="00500FFB">
        <w:trPr>
          <w:trHeight w:val="240"/>
        </w:trPr>
        <w:tc>
          <w:tcPr>
            <w:tcW w:w="1309"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2012</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199</w:t>
            </w:r>
            <w:r w:rsidR="007203F4">
              <w:rPr>
                <w:sz w:val="18"/>
                <w:lang w:val="es-AR" w:eastAsia="es-AR"/>
              </w:rPr>
              <w:t xml:space="preserve"> </w:t>
            </w:r>
            <w:r w:rsidRPr="007203F4">
              <w:rPr>
                <w:sz w:val="18"/>
                <w:lang w:val="es-AR" w:eastAsia="es-AR"/>
              </w:rPr>
              <w:t>005</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18,76</w:t>
            </w:r>
          </w:p>
        </w:tc>
        <w:tc>
          <w:tcPr>
            <w:tcW w:w="1515"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29,87</w:t>
            </w:r>
          </w:p>
        </w:tc>
        <w:tc>
          <w:tcPr>
            <w:tcW w:w="1516" w:type="dxa"/>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8,92</w:t>
            </w:r>
          </w:p>
        </w:tc>
      </w:tr>
      <w:tr w:rsidR="007203F4" w:rsidRPr="007203F4" w:rsidTr="00500FFB">
        <w:trPr>
          <w:trHeight w:val="240"/>
        </w:trPr>
        <w:tc>
          <w:tcPr>
            <w:tcW w:w="1309" w:type="dxa"/>
            <w:tcBorders>
              <w:bottom w:val="single" w:sz="12" w:space="0" w:color="auto"/>
            </w:tcBorders>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2013</w:t>
            </w:r>
          </w:p>
        </w:tc>
        <w:tc>
          <w:tcPr>
            <w:tcW w:w="1515" w:type="dxa"/>
            <w:tcBorders>
              <w:bottom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254</w:t>
            </w:r>
            <w:r w:rsidR="007203F4">
              <w:rPr>
                <w:sz w:val="18"/>
                <w:lang w:val="es-AR" w:eastAsia="es-AR"/>
              </w:rPr>
              <w:t xml:space="preserve"> </w:t>
            </w:r>
            <w:r w:rsidRPr="007203F4">
              <w:rPr>
                <w:sz w:val="18"/>
                <w:lang w:val="es-AR" w:eastAsia="es-AR"/>
              </w:rPr>
              <w:t>081</w:t>
            </w:r>
          </w:p>
        </w:tc>
        <w:tc>
          <w:tcPr>
            <w:tcW w:w="1515" w:type="dxa"/>
            <w:tcBorders>
              <w:bottom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18,20</w:t>
            </w:r>
          </w:p>
        </w:tc>
        <w:tc>
          <w:tcPr>
            <w:tcW w:w="1515" w:type="dxa"/>
            <w:tcBorders>
              <w:bottom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28,88</w:t>
            </w:r>
          </w:p>
        </w:tc>
        <w:tc>
          <w:tcPr>
            <w:tcW w:w="1516" w:type="dxa"/>
            <w:tcBorders>
              <w:bottom w:val="single" w:sz="12" w:space="0" w:color="auto"/>
            </w:tcBorders>
            <w:shd w:val="clear" w:color="auto" w:fill="auto"/>
            <w:noWrap/>
            <w:vAlign w:val="bottom"/>
            <w:hideMark/>
          </w:tcPr>
          <w:p w:rsidR="00C21DAA" w:rsidRPr="007203F4" w:rsidRDefault="00115B35" w:rsidP="00500FFB">
            <w:pPr>
              <w:spacing w:before="40" w:after="40" w:line="220" w:lineRule="exact"/>
              <w:ind w:left="113"/>
              <w:jc w:val="right"/>
              <w:rPr>
                <w:sz w:val="18"/>
                <w:lang w:val="es-AR" w:eastAsia="es-AR"/>
              </w:rPr>
            </w:pPr>
            <w:r w:rsidRPr="007203F4">
              <w:rPr>
                <w:sz w:val="18"/>
                <w:lang w:val="es-AR" w:eastAsia="es-AR"/>
              </w:rPr>
              <w:t>8,97</w:t>
            </w:r>
          </w:p>
        </w:tc>
      </w:tr>
    </w:tbl>
    <w:p w:rsidR="00C21DAA" w:rsidRPr="00FE07FE" w:rsidRDefault="00FE07FE" w:rsidP="00500FFB">
      <w:pPr>
        <w:pStyle w:val="SingleTxtG"/>
        <w:spacing w:before="240"/>
        <w:rPr>
          <w:lang w:val="es-MX" w:eastAsia="en-US"/>
        </w:rPr>
      </w:pPr>
      <w:r w:rsidRPr="00500FFB">
        <w:rPr>
          <w:lang w:val="es-MX" w:eastAsia="en-US"/>
        </w:rPr>
        <w:t>48.</w:t>
      </w:r>
      <w:r w:rsidRPr="00500FFB">
        <w:rPr>
          <w:lang w:val="es-MX" w:eastAsia="en-US"/>
        </w:rPr>
        <w:tab/>
      </w:r>
      <w:r w:rsidR="00115B35" w:rsidRPr="00FE07FE">
        <w:rPr>
          <w:lang w:val="es-MX" w:eastAsia="en-US"/>
        </w:rPr>
        <w:t>La AUH alcanzó a más de 3.922.156 niños y es de $1</w:t>
      </w:r>
      <w:r w:rsidR="00C37936">
        <w:rPr>
          <w:lang w:val="es-MX" w:eastAsia="en-US"/>
        </w:rPr>
        <w:t>.</w:t>
      </w:r>
      <w:r w:rsidR="00115B35" w:rsidRPr="00FE07FE">
        <w:rPr>
          <w:lang w:val="es-MX" w:eastAsia="en-US"/>
        </w:rPr>
        <w:t xml:space="preserve">103 pesos (72 U$S aprox.) y por Ley de Movilidad de Asignaciones Familiares </w:t>
      </w:r>
      <w:r w:rsidR="001E4A0E">
        <w:rPr>
          <w:lang w:val="es-MX" w:eastAsia="en-US"/>
        </w:rPr>
        <w:t xml:space="preserve">núm. </w:t>
      </w:r>
      <w:r w:rsidR="00115B35" w:rsidRPr="00FE07FE">
        <w:rPr>
          <w:lang w:val="es-MX" w:eastAsia="en-US"/>
        </w:rPr>
        <w:t>27160, se actualiza dos veces por año; La Asignación por Hijo con discapacidad es de 3</w:t>
      </w:r>
      <w:r w:rsidR="00C37936">
        <w:rPr>
          <w:lang w:val="es-MX" w:eastAsia="en-US"/>
        </w:rPr>
        <w:t>.</w:t>
      </w:r>
      <w:r w:rsidR="00115B35" w:rsidRPr="00FE07FE">
        <w:rPr>
          <w:lang w:val="es-MX" w:eastAsia="en-US"/>
        </w:rPr>
        <w:t>597 pesos (234 U$S) y alcanza a 84.879 titulares; la Asignación por Embarazo para Protección Social en marzo de 2016 alcanzaba a 83880 embarazadas de las cuales 6</w:t>
      </w:r>
      <w:r w:rsidR="00C37936">
        <w:rPr>
          <w:lang w:val="es-MX" w:eastAsia="en-US"/>
        </w:rPr>
        <w:t>.</w:t>
      </w:r>
      <w:r w:rsidR="00115B35" w:rsidRPr="00FE07FE">
        <w:rPr>
          <w:lang w:val="es-MX" w:eastAsia="en-US"/>
        </w:rPr>
        <w:t>205 poseen menos de 18 años de edad; las Pensiones No contributivas de las cuales se destinan a madres de 7 o más hijos alcanzan a 322</w:t>
      </w:r>
      <w:r w:rsidR="00C37936">
        <w:rPr>
          <w:lang w:val="es-MX" w:eastAsia="en-US"/>
        </w:rPr>
        <w:t>.</w:t>
      </w:r>
      <w:r w:rsidR="00115B35" w:rsidRPr="00FE07FE">
        <w:rPr>
          <w:lang w:val="es-MX" w:eastAsia="en-US"/>
        </w:rPr>
        <w:t>558, e invalidez de menores de 18 años 141</w:t>
      </w:r>
      <w:r w:rsidR="00C37936">
        <w:rPr>
          <w:lang w:val="es-MX" w:eastAsia="en-US"/>
        </w:rPr>
        <w:t>.</w:t>
      </w:r>
      <w:r w:rsidR="00115B35" w:rsidRPr="00FE07FE">
        <w:rPr>
          <w:lang w:val="es-MX" w:eastAsia="en-US"/>
        </w:rPr>
        <w:t xml:space="preserve">999.  </w:t>
      </w:r>
    </w:p>
    <w:p w:rsidR="00C21DAA" w:rsidRPr="00FE07FE" w:rsidRDefault="00115B35">
      <w:pPr>
        <w:pStyle w:val="SingleTxtG"/>
        <w:rPr>
          <w:lang w:val="es-MX" w:eastAsia="en-US"/>
        </w:rPr>
      </w:pPr>
      <w:r w:rsidRPr="00FE07FE">
        <w:rPr>
          <w:lang w:val="es-MX" w:eastAsia="en-US"/>
        </w:rPr>
        <w:t>Mediante Plan Nacional de Inclusión Digital Educativa: se entregaron 5.317</w:t>
      </w:r>
      <w:r w:rsidR="00C37936">
        <w:rPr>
          <w:lang w:val="es-MX" w:eastAsia="en-US"/>
        </w:rPr>
        <w:t>.</w:t>
      </w:r>
      <w:r w:rsidRPr="00FE07FE">
        <w:rPr>
          <w:lang w:val="es-MX" w:eastAsia="en-US"/>
        </w:rPr>
        <w:t>158 netbooks en 11</w:t>
      </w:r>
      <w:r w:rsidR="00C37936">
        <w:rPr>
          <w:lang w:val="es-MX" w:eastAsia="en-US"/>
        </w:rPr>
        <w:t>.</w:t>
      </w:r>
      <w:r w:rsidRPr="00FE07FE">
        <w:rPr>
          <w:lang w:val="es-MX" w:eastAsia="en-US"/>
        </w:rPr>
        <w:t>583 escuelas a chicas, chicos y docentes de todo el país y 1</w:t>
      </w:r>
      <w:r w:rsidR="00C37936">
        <w:rPr>
          <w:lang w:val="es-MX" w:eastAsia="en-US"/>
        </w:rPr>
        <w:t>.</w:t>
      </w:r>
      <w:r w:rsidRPr="00FE07FE">
        <w:rPr>
          <w:lang w:val="es-MX" w:eastAsia="en-US"/>
        </w:rPr>
        <w:t xml:space="preserve">187 kit de tecnología adaptativa para escuelas especiales. </w:t>
      </w:r>
    </w:p>
    <w:p w:rsidR="00C21DAA" w:rsidRPr="00FE07FE" w:rsidRDefault="00FE07FE" w:rsidP="00500FFB">
      <w:pPr>
        <w:pStyle w:val="SingleTxtG"/>
        <w:rPr>
          <w:lang w:val="es-MX" w:eastAsia="en-US"/>
        </w:rPr>
      </w:pPr>
      <w:r w:rsidRPr="00500FFB">
        <w:rPr>
          <w:lang w:val="es-MX" w:eastAsia="en-US"/>
        </w:rPr>
        <w:t>49.</w:t>
      </w:r>
      <w:r w:rsidRPr="00500FFB">
        <w:rPr>
          <w:lang w:val="es-MX" w:eastAsia="en-US"/>
        </w:rPr>
        <w:tab/>
      </w:r>
      <w:r w:rsidR="00115B35" w:rsidRPr="00FE07FE">
        <w:rPr>
          <w:lang w:val="es-MX" w:eastAsia="en-US"/>
        </w:rPr>
        <w:t>Otras asignaciones que repercuten en niños: Nacimiento $1</w:t>
      </w:r>
      <w:r w:rsidR="00C37936">
        <w:rPr>
          <w:lang w:val="es-MX" w:eastAsia="en-US"/>
        </w:rPr>
        <w:t>.</w:t>
      </w:r>
      <w:r w:rsidR="00115B35" w:rsidRPr="00FE07FE">
        <w:rPr>
          <w:lang w:val="es-MX" w:eastAsia="en-US"/>
        </w:rPr>
        <w:t>285 (84 U$S); Adopción $7</w:t>
      </w:r>
      <w:r w:rsidR="00C37936">
        <w:rPr>
          <w:lang w:val="es-MX" w:eastAsia="en-US"/>
        </w:rPr>
        <w:t>.</w:t>
      </w:r>
      <w:r w:rsidR="00115B35" w:rsidRPr="00FE07FE">
        <w:rPr>
          <w:lang w:val="es-MX" w:eastAsia="en-US"/>
        </w:rPr>
        <w:t>704 (500 U$S); Matrimonio $1</w:t>
      </w:r>
      <w:r w:rsidR="00C37936">
        <w:rPr>
          <w:lang w:val="es-MX" w:eastAsia="en-US"/>
        </w:rPr>
        <w:t>.</w:t>
      </w:r>
      <w:r w:rsidR="00115B35" w:rsidRPr="00FE07FE">
        <w:rPr>
          <w:lang w:val="es-MX" w:eastAsia="en-US"/>
        </w:rPr>
        <w:t xml:space="preserve">926 (125 U$S); Ayuda escolar anual $923 (60 U$S) y Cónyuge $264 pesos argentinos (17 U$S). </w:t>
      </w:r>
    </w:p>
    <w:p w:rsidR="00C21DAA" w:rsidRPr="00FE07FE" w:rsidRDefault="00115B35">
      <w:pPr>
        <w:pStyle w:val="SingleTxtG"/>
        <w:rPr>
          <w:lang w:val="es-MX" w:eastAsia="en-US"/>
        </w:rPr>
      </w:pPr>
      <w:r w:rsidRPr="00FE07FE">
        <w:rPr>
          <w:lang w:val="es-MX" w:eastAsia="en-US"/>
        </w:rPr>
        <w:t>Seguridad Social para Población indígena con abordaje intercultural: se trabajó entre el 2010 y el 2015 en 300 Comunidades con 15.000 familias.</w:t>
      </w:r>
    </w:p>
    <w:p w:rsidR="00C21DAA" w:rsidRPr="00FE07FE" w:rsidRDefault="00FE07FE" w:rsidP="00500FFB">
      <w:pPr>
        <w:pStyle w:val="SingleTxtG"/>
        <w:rPr>
          <w:lang w:val="es-MX" w:eastAsia="en-US"/>
        </w:rPr>
      </w:pPr>
      <w:r w:rsidRPr="00500FFB">
        <w:rPr>
          <w:lang w:val="es-MX" w:eastAsia="en-US"/>
        </w:rPr>
        <w:t>50.</w:t>
      </w:r>
      <w:r w:rsidRPr="00500FFB">
        <w:rPr>
          <w:lang w:val="es-MX" w:eastAsia="en-US"/>
        </w:rPr>
        <w:tab/>
      </w:r>
      <w:r w:rsidR="00115B35" w:rsidRPr="00FE07FE">
        <w:rPr>
          <w:lang w:val="es-MX" w:eastAsia="en-US"/>
        </w:rPr>
        <w:t>Finalmente existen 146.904 titulares del Monotributo Social que poseen hijos adheridos a la cobertura de salud; además 7</w:t>
      </w:r>
      <w:r w:rsidR="00C37936">
        <w:rPr>
          <w:lang w:val="es-MX" w:eastAsia="en-US"/>
        </w:rPr>
        <w:t>.</w:t>
      </w:r>
      <w:r w:rsidR="00115B35" w:rsidRPr="00FE07FE">
        <w:rPr>
          <w:lang w:val="es-MX" w:eastAsia="en-US"/>
        </w:rPr>
        <w:t xml:space="preserve">060 personas registradas perciben la AUH.  </w:t>
      </w:r>
    </w:p>
    <w:p w:rsidR="00C21DAA" w:rsidRPr="00FE07FE" w:rsidRDefault="00115B35" w:rsidP="00500FFB">
      <w:pPr>
        <w:keepNext/>
        <w:spacing w:line="240" w:lineRule="auto"/>
        <w:rPr>
          <w:lang w:val="es-AR"/>
        </w:rPr>
      </w:pPr>
      <w:r w:rsidRPr="00FE07FE">
        <w:rPr>
          <w:lang w:val="es-AR"/>
        </w:rPr>
        <w:lastRenderedPageBreak/>
        <w:t>Cuadro 6</w:t>
      </w:r>
    </w:p>
    <w:p w:rsidR="007203F4" w:rsidRDefault="00115B35" w:rsidP="00500FFB">
      <w:pPr>
        <w:pStyle w:val="SingleTxtG"/>
        <w:keepNext/>
        <w:ind w:left="0"/>
        <w:jc w:val="left"/>
        <w:rPr>
          <w:sz w:val="16"/>
          <w:szCs w:val="16"/>
        </w:rPr>
      </w:pPr>
      <w:r w:rsidRPr="00FE07FE">
        <w:rPr>
          <w:b/>
          <w:lang w:val="es-AR"/>
        </w:rPr>
        <w:t xml:space="preserve">Inversión Social Consolidada dirigida a la Niñez (Nación – provincias) por categoría </w:t>
      </w:r>
      <w:r w:rsidR="001E4A0E">
        <w:rPr>
          <w:b/>
          <w:lang w:val="es-AR"/>
        </w:rPr>
        <w:br/>
      </w:r>
      <w:r w:rsidRPr="00FE07FE">
        <w:rPr>
          <w:b/>
          <w:lang w:val="es-AR"/>
        </w:rPr>
        <w:t>inversión 2001-2013</w:t>
      </w:r>
      <w:r w:rsidR="007203F4">
        <w:rPr>
          <w:b/>
        </w:rPr>
        <w:br/>
      </w:r>
      <w:r w:rsidR="007203F4" w:rsidRPr="00500FFB">
        <w:rPr>
          <w:sz w:val="16"/>
          <w:szCs w:val="16"/>
        </w:rPr>
        <w:t>(</w:t>
      </w:r>
      <w:r w:rsidRPr="00500FFB">
        <w:rPr>
          <w:sz w:val="16"/>
          <w:szCs w:val="16"/>
        </w:rPr>
        <w:t>En millones de $</w:t>
      </w:r>
      <w:r w:rsidR="007203F4" w:rsidRPr="00500FFB">
        <w:rPr>
          <w:sz w:val="16"/>
          <w:szCs w:val="16"/>
        </w:rPr>
        <w:t>)</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827"/>
        <w:gridCol w:w="497"/>
        <w:gridCol w:w="566"/>
        <w:gridCol w:w="567"/>
        <w:gridCol w:w="480"/>
        <w:gridCol w:w="596"/>
        <w:gridCol w:w="569"/>
        <w:gridCol w:w="754"/>
        <w:gridCol w:w="681"/>
        <w:gridCol w:w="767"/>
        <w:gridCol w:w="571"/>
        <w:gridCol w:w="605"/>
        <w:gridCol w:w="744"/>
        <w:gridCol w:w="676"/>
        <w:gridCol w:w="598"/>
      </w:tblGrid>
      <w:tr w:rsidR="007203F4" w:rsidRPr="007203F4" w:rsidTr="00500FFB">
        <w:trPr>
          <w:trHeight w:val="240"/>
          <w:tblHeader/>
        </w:trPr>
        <w:tc>
          <w:tcPr>
            <w:tcW w:w="441"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rPr>
                <w:bCs/>
                <w:i/>
                <w:sz w:val="14"/>
                <w:szCs w:val="14"/>
                <w:lang w:val="es-AR" w:eastAsia="es-AR"/>
              </w:rPr>
            </w:pPr>
            <w:r w:rsidRPr="00500FFB">
              <w:rPr>
                <w:bCs/>
                <w:i/>
                <w:sz w:val="14"/>
                <w:szCs w:val="14"/>
                <w:lang w:val="es-AR" w:eastAsia="es-AR"/>
              </w:rPr>
              <w:t>Categoría de inversión</w:t>
            </w:r>
          </w:p>
        </w:tc>
        <w:tc>
          <w:tcPr>
            <w:tcW w:w="794" w:type="pct"/>
            <w:gridSpan w:val="3"/>
            <w:tcBorders>
              <w:top w:val="single" w:sz="4" w:space="0" w:color="auto"/>
              <w:bottom w:val="single" w:sz="4" w:space="0" w:color="auto"/>
            </w:tcBorders>
            <w:shd w:val="clear" w:color="auto" w:fill="auto"/>
            <w:noWrap/>
            <w:vAlign w:val="bottom"/>
            <w:hideMark/>
          </w:tcPr>
          <w:p w:rsidR="00C21DAA" w:rsidRPr="00500FFB" w:rsidRDefault="00115B35" w:rsidP="00500FFB">
            <w:pPr>
              <w:keepNext/>
              <w:spacing w:before="80" w:after="80" w:line="200" w:lineRule="exact"/>
              <w:ind w:left="57"/>
              <w:jc w:val="center"/>
              <w:rPr>
                <w:i/>
                <w:sz w:val="14"/>
                <w:szCs w:val="14"/>
                <w:lang w:val="es-AR" w:eastAsia="es-AR"/>
              </w:rPr>
            </w:pPr>
            <w:r w:rsidRPr="00500FFB">
              <w:rPr>
                <w:i/>
                <w:sz w:val="14"/>
                <w:szCs w:val="14"/>
                <w:lang w:val="es-AR" w:eastAsia="es-AR"/>
              </w:rPr>
              <w:t>Ayuda directa</w:t>
            </w:r>
          </w:p>
        </w:tc>
        <w:tc>
          <w:tcPr>
            <w:tcW w:w="258"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Cond.</w:t>
            </w:r>
            <w:r w:rsidR="00FE07FE" w:rsidRPr="00500FFB">
              <w:rPr>
                <w:i/>
                <w:sz w:val="14"/>
                <w:szCs w:val="14"/>
                <w:lang w:val="es-AR" w:eastAsia="es-AR"/>
              </w:rPr>
              <w:t xml:space="preserve"> </w:t>
            </w:r>
            <w:r w:rsidRPr="00500FFB">
              <w:rPr>
                <w:i/>
                <w:sz w:val="14"/>
                <w:szCs w:val="14"/>
                <w:lang w:val="es-AR" w:eastAsia="es-AR"/>
              </w:rPr>
              <w:t>de vida</w:t>
            </w:r>
          </w:p>
        </w:tc>
        <w:tc>
          <w:tcPr>
            <w:tcW w:w="319"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Deporte recr. y cultura</w:t>
            </w:r>
          </w:p>
        </w:tc>
        <w:tc>
          <w:tcPr>
            <w:tcW w:w="305"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Desarr.</w:t>
            </w:r>
          </w:p>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 xml:space="preserve"> e int. </w:t>
            </w:r>
          </w:p>
        </w:tc>
        <w:tc>
          <w:tcPr>
            <w:tcW w:w="402" w:type="pct"/>
            <w:vMerge w:val="restart"/>
            <w:tcBorders>
              <w:top w:val="single" w:sz="4" w:space="0" w:color="auto"/>
              <w:bottom w:val="single" w:sz="12" w:space="0" w:color="auto"/>
            </w:tcBorders>
            <w:shd w:val="clear" w:color="auto" w:fill="auto"/>
            <w:noWrap/>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Educación</w:t>
            </w:r>
          </w:p>
        </w:tc>
        <w:tc>
          <w:tcPr>
            <w:tcW w:w="364"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Nutrición y aliment.</w:t>
            </w:r>
          </w:p>
        </w:tc>
        <w:tc>
          <w:tcPr>
            <w:tcW w:w="409"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Protección del niño</w:t>
            </w:r>
          </w:p>
        </w:tc>
        <w:tc>
          <w:tcPr>
            <w:tcW w:w="306" w:type="pct"/>
            <w:vMerge w:val="restart"/>
            <w:tcBorders>
              <w:top w:val="single" w:sz="4" w:space="0" w:color="auto"/>
              <w:bottom w:val="single" w:sz="12" w:space="0" w:color="auto"/>
            </w:tcBorders>
            <w:shd w:val="clear" w:color="auto" w:fill="auto"/>
            <w:noWrap/>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Salud</w:t>
            </w:r>
          </w:p>
        </w:tc>
        <w:tc>
          <w:tcPr>
            <w:tcW w:w="324"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Obras Sociales</w:t>
            </w:r>
          </w:p>
        </w:tc>
        <w:tc>
          <w:tcPr>
            <w:tcW w:w="397"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Ciencia y técnica</w:t>
            </w:r>
          </w:p>
        </w:tc>
        <w:tc>
          <w:tcPr>
            <w:tcW w:w="361"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Servicios Urbanos</w:t>
            </w:r>
          </w:p>
        </w:tc>
        <w:tc>
          <w:tcPr>
            <w:tcW w:w="320"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bCs/>
                <w:i/>
                <w:sz w:val="14"/>
                <w:szCs w:val="14"/>
                <w:lang w:val="es-AR" w:eastAsia="es-AR"/>
              </w:rPr>
            </w:pPr>
            <w:r w:rsidRPr="00500FFB">
              <w:rPr>
                <w:bCs/>
                <w:i/>
                <w:sz w:val="14"/>
                <w:szCs w:val="14"/>
                <w:lang w:val="es-AR" w:eastAsia="es-AR"/>
              </w:rPr>
              <w:t>Total General</w:t>
            </w:r>
          </w:p>
        </w:tc>
      </w:tr>
      <w:tr w:rsidR="005D5480" w:rsidRPr="007203F4" w:rsidTr="001E4A0E">
        <w:trPr>
          <w:trHeight w:val="240"/>
          <w:tblHeader/>
        </w:trPr>
        <w:tc>
          <w:tcPr>
            <w:tcW w:w="441"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rPr>
                <w:bCs/>
                <w:sz w:val="16"/>
                <w:szCs w:val="16"/>
                <w:lang w:val="es-AR" w:eastAsia="es-AR"/>
              </w:rPr>
            </w:pPr>
          </w:p>
        </w:tc>
        <w:tc>
          <w:tcPr>
            <w:tcW w:w="186" w:type="pc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Total</w:t>
            </w:r>
          </w:p>
        </w:tc>
        <w:tc>
          <w:tcPr>
            <w:tcW w:w="304" w:type="pc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Asig.  Fam.</w:t>
            </w:r>
          </w:p>
        </w:tc>
        <w:tc>
          <w:tcPr>
            <w:tcW w:w="304" w:type="pct"/>
            <w:tcBorders>
              <w:top w:val="single" w:sz="4" w:space="0" w:color="auto"/>
              <w:bottom w:val="single" w:sz="12" w:space="0" w:color="auto"/>
            </w:tcBorders>
            <w:shd w:val="clear" w:color="auto" w:fill="auto"/>
            <w:vAlign w:val="bottom"/>
            <w:hideMark/>
          </w:tcPr>
          <w:p w:rsidR="00C21DAA" w:rsidRPr="00500FFB" w:rsidRDefault="00115B35" w:rsidP="00500FFB">
            <w:pPr>
              <w:keepNext/>
              <w:spacing w:before="80" w:after="80" w:line="200" w:lineRule="exact"/>
              <w:ind w:left="57"/>
              <w:jc w:val="right"/>
              <w:rPr>
                <w:i/>
                <w:sz w:val="14"/>
                <w:szCs w:val="14"/>
                <w:lang w:val="es-AR" w:eastAsia="es-AR"/>
              </w:rPr>
            </w:pPr>
            <w:r w:rsidRPr="00500FFB">
              <w:rPr>
                <w:i/>
                <w:sz w:val="14"/>
                <w:szCs w:val="14"/>
                <w:lang w:val="es-AR" w:eastAsia="es-AR"/>
              </w:rPr>
              <w:t xml:space="preserve">Resto </w:t>
            </w:r>
          </w:p>
        </w:tc>
        <w:tc>
          <w:tcPr>
            <w:tcW w:w="258"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80" w:after="80" w:line="200" w:lineRule="exact"/>
              <w:ind w:left="57"/>
              <w:jc w:val="right"/>
              <w:rPr>
                <w:i/>
                <w:sz w:val="16"/>
                <w:szCs w:val="16"/>
                <w:lang w:val="es-AR" w:eastAsia="es-AR"/>
              </w:rPr>
            </w:pPr>
          </w:p>
        </w:tc>
        <w:tc>
          <w:tcPr>
            <w:tcW w:w="319"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sz w:val="16"/>
                <w:szCs w:val="16"/>
                <w:lang w:val="es-AR" w:eastAsia="es-AR"/>
              </w:rPr>
            </w:pPr>
          </w:p>
        </w:tc>
        <w:tc>
          <w:tcPr>
            <w:tcW w:w="305"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sz w:val="16"/>
                <w:szCs w:val="16"/>
                <w:lang w:val="es-AR" w:eastAsia="es-AR"/>
              </w:rPr>
            </w:pPr>
          </w:p>
        </w:tc>
        <w:tc>
          <w:tcPr>
            <w:tcW w:w="402"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sz w:val="16"/>
                <w:szCs w:val="16"/>
                <w:lang w:val="es-AR" w:eastAsia="es-AR"/>
              </w:rPr>
            </w:pPr>
          </w:p>
        </w:tc>
        <w:tc>
          <w:tcPr>
            <w:tcW w:w="364"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sz w:val="16"/>
                <w:szCs w:val="16"/>
                <w:lang w:val="es-AR" w:eastAsia="es-AR"/>
              </w:rPr>
            </w:pPr>
          </w:p>
        </w:tc>
        <w:tc>
          <w:tcPr>
            <w:tcW w:w="409"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sz w:val="16"/>
                <w:szCs w:val="16"/>
                <w:lang w:val="es-AR" w:eastAsia="es-AR"/>
              </w:rPr>
            </w:pPr>
          </w:p>
        </w:tc>
        <w:tc>
          <w:tcPr>
            <w:tcW w:w="306"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sz w:val="16"/>
                <w:szCs w:val="16"/>
                <w:lang w:val="es-AR" w:eastAsia="es-AR"/>
              </w:rPr>
            </w:pPr>
          </w:p>
        </w:tc>
        <w:tc>
          <w:tcPr>
            <w:tcW w:w="324"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sz w:val="16"/>
                <w:szCs w:val="16"/>
                <w:lang w:val="es-AR" w:eastAsia="es-AR"/>
              </w:rPr>
            </w:pPr>
          </w:p>
        </w:tc>
        <w:tc>
          <w:tcPr>
            <w:tcW w:w="397"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sz w:val="16"/>
                <w:szCs w:val="16"/>
                <w:lang w:val="es-AR" w:eastAsia="es-AR"/>
              </w:rPr>
            </w:pPr>
          </w:p>
        </w:tc>
        <w:tc>
          <w:tcPr>
            <w:tcW w:w="361"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sz w:val="16"/>
                <w:szCs w:val="16"/>
                <w:lang w:val="es-AR" w:eastAsia="es-AR"/>
              </w:rPr>
            </w:pPr>
          </w:p>
        </w:tc>
        <w:tc>
          <w:tcPr>
            <w:tcW w:w="320" w:type="pct"/>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ind w:left="57"/>
              <w:jc w:val="right"/>
              <w:rPr>
                <w:bCs/>
                <w:sz w:val="16"/>
                <w:szCs w:val="16"/>
                <w:lang w:val="es-AR" w:eastAsia="es-AR"/>
              </w:rPr>
            </w:pPr>
          </w:p>
        </w:tc>
      </w:tr>
      <w:tr w:rsidR="00500FFB" w:rsidRPr="007203F4" w:rsidTr="00500FFB">
        <w:trPr>
          <w:trHeight w:val="240"/>
        </w:trPr>
        <w:tc>
          <w:tcPr>
            <w:tcW w:w="441" w:type="pct"/>
            <w:tcBorders>
              <w:top w:val="single" w:sz="12" w:space="0" w:color="auto"/>
            </w:tcBorders>
            <w:shd w:val="clear" w:color="auto" w:fill="auto"/>
            <w:hideMark/>
          </w:tcPr>
          <w:p w:rsidR="00C21DAA" w:rsidRPr="00500FFB" w:rsidRDefault="00115B35" w:rsidP="00500FFB">
            <w:pPr>
              <w:keepNext/>
              <w:spacing w:before="40" w:after="40" w:line="220" w:lineRule="exact"/>
              <w:ind w:left="57"/>
              <w:rPr>
                <w:bCs/>
                <w:sz w:val="16"/>
                <w:szCs w:val="16"/>
                <w:lang w:val="es-AR" w:eastAsia="es-AR"/>
              </w:rPr>
            </w:pPr>
            <w:r w:rsidRPr="00500FFB">
              <w:rPr>
                <w:bCs/>
                <w:sz w:val="16"/>
                <w:szCs w:val="16"/>
                <w:lang w:val="es-AR" w:eastAsia="es-AR"/>
              </w:rPr>
              <w:t>2001</w:t>
            </w:r>
          </w:p>
        </w:tc>
        <w:tc>
          <w:tcPr>
            <w:tcW w:w="186"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088</w:t>
            </w:r>
          </w:p>
        </w:tc>
        <w:tc>
          <w:tcPr>
            <w:tcW w:w="304"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iCs/>
                <w:sz w:val="16"/>
                <w:szCs w:val="16"/>
                <w:lang w:val="es-AR" w:eastAsia="es-AR"/>
              </w:rPr>
            </w:pPr>
            <w:r w:rsidRPr="00500FFB">
              <w:rPr>
                <w:iCs/>
                <w:sz w:val="16"/>
                <w:szCs w:val="16"/>
                <w:lang w:val="es-AR" w:eastAsia="es-AR"/>
              </w:rPr>
              <w:t>788</w:t>
            </w:r>
          </w:p>
        </w:tc>
        <w:tc>
          <w:tcPr>
            <w:tcW w:w="304"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iCs/>
                <w:sz w:val="16"/>
                <w:szCs w:val="16"/>
                <w:lang w:val="es-AR" w:eastAsia="es-AR"/>
              </w:rPr>
            </w:pPr>
            <w:r w:rsidRPr="00500FFB">
              <w:rPr>
                <w:iCs/>
                <w:sz w:val="16"/>
                <w:szCs w:val="16"/>
                <w:lang w:val="es-AR" w:eastAsia="es-AR"/>
              </w:rPr>
              <w:t>301</w:t>
            </w:r>
          </w:p>
        </w:tc>
        <w:tc>
          <w:tcPr>
            <w:tcW w:w="258"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461</w:t>
            </w:r>
          </w:p>
        </w:tc>
        <w:tc>
          <w:tcPr>
            <w:tcW w:w="319"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136</w:t>
            </w:r>
          </w:p>
        </w:tc>
        <w:tc>
          <w:tcPr>
            <w:tcW w:w="305"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29</w:t>
            </w:r>
          </w:p>
        </w:tc>
        <w:tc>
          <w:tcPr>
            <w:tcW w:w="402"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9</w:t>
            </w:r>
            <w:r w:rsidR="007203F4">
              <w:rPr>
                <w:sz w:val="16"/>
                <w:szCs w:val="16"/>
                <w:lang w:val="es-AR" w:eastAsia="es-AR"/>
              </w:rPr>
              <w:t xml:space="preserve"> </w:t>
            </w:r>
            <w:r w:rsidRPr="00500FFB">
              <w:rPr>
                <w:sz w:val="16"/>
                <w:szCs w:val="16"/>
                <w:lang w:val="es-AR" w:eastAsia="es-AR"/>
              </w:rPr>
              <w:t>867</w:t>
            </w:r>
          </w:p>
        </w:tc>
        <w:tc>
          <w:tcPr>
            <w:tcW w:w="364"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495</w:t>
            </w:r>
          </w:p>
        </w:tc>
        <w:tc>
          <w:tcPr>
            <w:tcW w:w="409"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317</w:t>
            </w:r>
          </w:p>
        </w:tc>
        <w:tc>
          <w:tcPr>
            <w:tcW w:w="306"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924</w:t>
            </w:r>
          </w:p>
        </w:tc>
        <w:tc>
          <w:tcPr>
            <w:tcW w:w="324"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247</w:t>
            </w:r>
          </w:p>
        </w:tc>
        <w:tc>
          <w:tcPr>
            <w:tcW w:w="397"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166</w:t>
            </w:r>
          </w:p>
        </w:tc>
        <w:tc>
          <w:tcPr>
            <w:tcW w:w="361"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sz w:val="16"/>
                <w:szCs w:val="16"/>
                <w:lang w:val="es-AR" w:eastAsia="es-AR"/>
              </w:rPr>
            </w:pPr>
            <w:r w:rsidRPr="00500FFB">
              <w:rPr>
                <w:sz w:val="16"/>
                <w:szCs w:val="16"/>
                <w:lang w:val="es-AR" w:eastAsia="es-AR"/>
              </w:rPr>
              <w:t>65</w:t>
            </w:r>
          </w:p>
        </w:tc>
        <w:tc>
          <w:tcPr>
            <w:tcW w:w="320" w:type="pct"/>
            <w:tcBorders>
              <w:top w:val="single" w:sz="12" w:space="0" w:color="auto"/>
            </w:tcBorders>
            <w:shd w:val="clear" w:color="auto" w:fill="auto"/>
            <w:noWrap/>
            <w:vAlign w:val="bottom"/>
            <w:hideMark/>
          </w:tcPr>
          <w:p w:rsidR="00C21DAA" w:rsidRPr="00500FFB" w:rsidRDefault="00115B35" w:rsidP="00500FFB">
            <w:pPr>
              <w:keepNext/>
              <w:spacing w:before="40" w:after="40" w:line="220" w:lineRule="exact"/>
              <w:ind w:left="57"/>
              <w:jc w:val="right"/>
              <w:rPr>
                <w:bCs/>
                <w:sz w:val="16"/>
                <w:szCs w:val="16"/>
                <w:lang w:val="es-AR" w:eastAsia="es-AR"/>
              </w:rPr>
            </w:pPr>
            <w:r w:rsidRPr="00500FFB">
              <w:rPr>
                <w:bCs/>
                <w:sz w:val="16"/>
                <w:szCs w:val="16"/>
                <w:lang w:val="es-AR" w:eastAsia="es-AR"/>
              </w:rPr>
              <w:t>16</w:t>
            </w:r>
            <w:r w:rsidR="007203F4">
              <w:rPr>
                <w:bCs/>
                <w:sz w:val="16"/>
                <w:szCs w:val="16"/>
                <w:lang w:val="es-AR" w:eastAsia="es-AR"/>
              </w:rPr>
              <w:t xml:space="preserve"> </w:t>
            </w:r>
            <w:r w:rsidRPr="00500FFB">
              <w:rPr>
                <w:bCs/>
                <w:sz w:val="16"/>
                <w:szCs w:val="16"/>
                <w:lang w:val="es-AR" w:eastAsia="es-AR"/>
              </w:rPr>
              <w:t>796</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2002</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114</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685</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1</w:t>
            </w:r>
            <w:r w:rsidR="007203F4">
              <w:rPr>
                <w:iCs/>
                <w:sz w:val="16"/>
                <w:szCs w:val="16"/>
                <w:lang w:val="es-AR" w:eastAsia="es-AR"/>
              </w:rPr>
              <w:t xml:space="preserve"> </w:t>
            </w:r>
            <w:r w:rsidRPr="00500FFB">
              <w:rPr>
                <w:iCs/>
                <w:sz w:val="16"/>
                <w:szCs w:val="16"/>
                <w:lang w:val="es-AR" w:eastAsia="es-AR"/>
              </w:rPr>
              <w:t>429</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351</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125</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26</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9</w:t>
            </w:r>
            <w:r w:rsidR="007203F4">
              <w:rPr>
                <w:sz w:val="16"/>
                <w:szCs w:val="16"/>
                <w:lang w:val="es-AR" w:eastAsia="es-AR"/>
              </w:rPr>
              <w:t xml:space="preserve"> </w:t>
            </w:r>
            <w:r w:rsidRPr="00500FFB">
              <w:rPr>
                <w:sz w:val="16"/>
                <w:szCs w:val="16"/>
                <w:lang w:val="es-AR" w:eastAsia="es-AR"/>
              </w:rPr>
              <w:t>701</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746</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321</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096</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301</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178</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55</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18</w:t>
            </w:r>
            <w:r w:rsidR="007203F4">
              <w:rPr>
                <w:bCs/>
                <w:sz w:val="16"/>
                <w:szCs w:val="16"/>
                <w:lang w:val="es-AR" w:eastAsia="es-AR"/>
              </w:rPr>
              <w:t xml:space="preserve"> </w:t>
            </w:r>
            <w:r w:rsidRPr="00500FFB">
              <w:rPr>
                <w:bCs/>
                <w:sz w:val="16"/>
                <w:szCs w:val="16"/>
                <w:lang w:val="es-AR" w:eastAsia="es-AR"/>
              </w:rPr>
              <w:t>014</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2003</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089</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755</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2</w:t>
            </w:r>
            <w:r w:rsidR="007203F4">
              <w:rPr>
                <w:iCs/>
                <w:sz w:val="16"/>
                <w:szCs w:val="16"/>
                <w:lang w:val="es-AR" w:eastAsia="es-AR"/>
              </w:rPr>
              <w:t xml:space="preserve"> </w:t>
            </w:r>
            <w:r w:rsidRPr="00500FFB">
              <w:rPr>
                <w:iCs/>
                <w:sz w:val="16"/>
                <w:szCs w:val="16"/>
                <w:lang w:val="es-AR" w:eastAsia="es-AR"/>
              </w:rPr>
              <w:t>334</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539</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115</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45</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10</w:t>
            </w:r>
            <w:r w:rsidR="007203F4">
              <w:rPr>
                <w:sz w:val="16"/>
                <w:szCs w:val="16"/>
                <w:lang w:val="es-AR" w:eastAsia="es-AR"/>
              </w:rPr>
              <w:t xml:space="preserve"> </w:t>
            </w:r>
            <w:r w:rsidRPr="00500FFB">
              <w:rPr>
                <w:sz w:val="16"/>
                <w:szCs w:val="16"/>
                <w:lang w:val="es-AR" w:eastAsia="es-AR"/>
              </w:rPr>
              <w:t>442</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061</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384</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390</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714</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243</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74</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21</w:t>
            </w:r>
            <w:r w:rsidR="007203F4">
              <w:rPr>
                <w:bCs/>
                <w:sz w:val="16"/>
                <w:szCs w:val="16"/>
                <w:lang w:val="es-AR" w:eastAsia="es-AR"/>
              </w:rPr>
              <w:t xml:space="preserve"> </w:t>
            </w:r>
            <w:r w:rsidRPr="00500FFB">
              <w:rPr>
                <w:bCs/>
                <w:sz w:val="16"/>
                <w:szCs w:val="16"/>
                <w:lang w:val="es-AR" w:eastAsia="es-AR"/>
              </w:rPr>
              <w:t>097</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2004</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114</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831</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2</w:t>
            </w:r>
            <w:r w:rsidR="007203F4">
              <w:rPr>
                <w:iCs/>
                <w:sz w:val="16"/>
                <w:szCs w:val="16"/>
                <w:lang w:val="es-AR" w:eastAsia="es-AR"/>
              </w:rPr>
              <w:t xml:space="preserve"> </w:t>
            </w:r>
            <w:r w:rsidRPr="00500FFB">
              <w:rPr>
                <w:iCs/>
                <w:sz w:val="16"/>
                <w:szCs w:val="16"/>
                <w:lang w:val="es-AR" w:eastAsia="es-AR"/>
              </w:rPr>
              <w:t>283</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793</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142</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57</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12</w:t>
            </w:r>
            <w:r w:rsidR="007203F4">
              <w:rPr>
                <w:sz w:val="16"/>
                <w:szCs w:val="16"/>
                <w:lang w:val="es-AR" w:eastAsia="es-AR"/>
              </w:rPr>
              <w:t xml:space="preserve"> </w:t>
            </w:r>
            <w:r w:rsidRPr="00500FFB">
              <w:rPr>
                <w:sz w:val="16"/>
                <w:szCs w:val="16"/>
                <w:lang w:val="es-AR" w:eastAsia="es-AR"/>
              </w:rPr>
              <w:t>947</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226</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483</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850</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025</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287</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93</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25</w:t>
            </w:r>
            <w:r w:rsidR="007203F4">
              <w:rPr>
                <w:bCs/>
                <w:sz w:val="16"/>
                <w:szCs w:val="16"/>
                <w:lang w:val="es-AR" w:eastAsia="es-AR"/>
              </w:rPr>
              <w:t xml:space="preserve"> </w:t>
            </w:r>
            <w:r w:rsidRPr="00500FFB">
              <w:rPr>
                <w:bCs/>
                <w:sz w:val="16"/>
                <w:szCs w:val="16"/>
                <w:lang w:val="es-AR" w:eastAsia="es-AR"/>
              </w:rPr>
              <w:t>018</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2005</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350</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1</w:t>
            </w:r>
            <w:r w:rsidR="007203F4">
              <w:rPr>
                <w:iCs/>
                <w:sz w:val="16"/>
                <w:szCs w:val="16"/>
                <w:lang w:val="es-AR" w:eastAsia="es-AR"/>
              </w:rPr>
              <w:t xml:space="preserve"> </w:t>
            </w:r>
            <w:r w:rsidRPr="00500FFB">
              <w:rPr>
                <w:iCs/>
                <w:sz w:val="16"/>
                <w:szCs w:val="16"/>
                <w:lang w:val="es-AR" w:eastAsia="es-AR"/>
              </w:rPr>
              <w:t>152</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2</w:t>
            </w:r>
            <w:r w:rsidR="007203F4">
              <w:rPr>
                <w:iCs/>
                <w:sz w:val="16"/>
                <w:szCs w:val="16"/>
                <w:lang w:val="es-AR" w:eastAsia="es-AR"/>
              </w:rPr>
              <w:t xml:space="preserve"> </w:t>
            </w:r>
            <w:r w:rsidRPr="00500FFB">
              <w:rPr>
                <w:iCs/>
                <w:sz w:val="16"/>
                <w:szCs w:val="16"/>
                <w:lang w:val="es-AR" w:eastAsia="es-AR"/>
              </w:rPr>
              <w:t>198</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580</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212</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83</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17</w:t>
            </w:r>
            <w:r w:rsidR="007203F4">
              <w:rPr>
                <w:sz w:val="16"/>
                <w:szCs w:val="16"/>
                <w:lang w:val="es-AR" w:eastAsia="es-AR"/>
              </w:rPr>
              <w:t xml:space="preserve"> </w:t>
            </w:r>
            <w:r w:rsidRPr="00500FFB">
              <w:rPr>
                <w:sz w:val="16"/>
                <w:szCs w:val="16"/>
                <w:lang w:val="es-AR" w:eastAsia="es-AR"/>
              </w:rPr>
              <w:t>597</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387</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761</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630</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809</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365</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132</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32</w:t>
            </w:r>
            <w:r w:rsidR="007203F4">
              <w:rPr>
                <w:bCs/>
                <w:sz w:val="16"/>
                <w:szCs w:val="16"/>
                <w:lang w:val="es-AR" w:eastAsia="es-AR"/>
              </w:rPr>
              <w:t xml:space="preserve"> </w:t>
            </w:r>
            <w:r w:rsidRPr="00500FFB">
              <w:rPr>
                <w:bCs/>
                <w:sz w:val="16"/>
                <w:szCs w:val="16"/>
                <w:lang w:val="es-AR" w:eastAsia="es-AR"/>
              </w:rPr>
              <w:t>906</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2006</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712</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1</w:t>
            </w:r>
            <w:r w:rsidR="007203F4">
              <w:rPr>
                <w:iCs/>
                <w:sz w:val="16"/>
                <w:szCs w:val="16"/>
                <w:lang w:val="es-AR" w:eastAsia="es-AR"/>
              </w:rPr>
              <w:t xml:space="preserve"> </w:t>
            </w:r>
            <w:r w:rsidRPr="00500FFB">
              <w:rPr>
                <w:iCs/>
                <w:sz w:val="16"/>
                <w:szCs w:val="16"/>
                <w:lang w:val="es-AR" w:eastAsia="es-AR"/>
              </w:rPr>
              <w:t>391</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2</w:t>
            </w:r>
            <w:r w:rsidR="007203F4">
              <w:rPr>
                <w:iCs/>
                <w:sz w:val="16"/>
                <w:szCs w:val="16"/>
                <w:lang w:val="es-AR" w:eastAsia="es-AR"/>
              </w:rPr>
              <w:t xml:space="preserve"> </w:t>
            </w:r>
            <w:r w:rsidRPr="00500FFB">
              <w:rPr>
                <w:iCs/>
                <w:sz w:val="16"/>
                <w:szCs w:val="16"/>
                <w:lang w:val="es-AR" w:eastAsia="es-AR"/>
              </w:rPr>
              <w:t>320</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296</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291</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135</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23</w:t>
            </w:r>
            <w:r w:rsidR="007203F4">
              <w:rPr>
                <w:sz w:val="16"/>
                <w:szCs w:val="16"/>
                <w:lang w:val="es-AR" w:eastAsia="es-AR"/>
              </w:rPr>
              <w:t xml:space="preserve"> </w:t>
            </w:r>
            <w:r w:rsidRPr="00500FFB">
              <w:rPr>
                <w:sz w:val="16"/>
                <w:szCs w:val="16"/>
                <w:lang w:val="es-AR" w:eastAsia="es-AR"/>
              </w:rPr>
              <w:t>278</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628</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808</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w:t>
            </w:r>
            <w:r w:rsidR="007203F4">
              <w:rPr>
                <w:sz w:val="16"/>
                <w:szCs w:val="16"/>
                <w:lang w:val="es-AR" w:eastAsia="es-AR"/>
              </w:rPr>
              <w:t xml:space="preserve"> </w:t>
            </w:r>
            <w:r w:rsidRPr="00500FFB">
              <w:rPr>
                <w:sz w:val="16"/>
                <w:szCs w:val="16"/>
                <w:lang w:val="es-AR" w:eastAsia="es-AR"/>
              </w:rPr>
              <w:t>461</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w:t>
            </w:r>
            <w:r w:rsidR="007203F4">
              <w:rPr>
                <w:sz w:val="16"/>
                <w:szCs w:val="16"/>
                <w:lang w:val="es-AR" w:eastAsia="es-AR"/>
              </w:rPr>
              <w:t xml:space="preserve"> </w:t>
            </w:r>
            <w:r w:rsidRPr="00500FFB">
              <w:rPr>
                <w:sz w:val="16"/>
                <w:szCs w:val="16"/>
                <w:lang w:val="es-AR" w:eastAsia="es-AR"/>
              </w:rPr>
              <w:t>950</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498</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197</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42</w:t>
            </w:r>
            <w:r w:rsidR="007203F4">
              <w:rPr>
                <w:bCs/>
                <w:sz w:val="16"/>
                <w:szCs w:val="16"/>
                <w:lang w:val="es-AR" w:eastAsia="es-AR"/>
              </w:rPr>
              <w:t xml:space="preserve"> </w:t>
            </w:r>
            <w:r w:rsidRPr="00500FFB">
              <w:rPr>
                <w:bCs/>
                <w:sz w:val="16"/>
                <w:szCs w:val="16"/>
                <w:lang w:val="es-AR" w:eastAsia="es-AR"/>
              </w:rPr>
              <w:t>255</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2007</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w:t>
            </w:r>
            <w:r w:rsidR="007203F4">
              <w:rPr>
                <w:sz w:val="16"/>
                <w:szCs w:val="16"/>
                <w:lang w:val="es-AR" w:eastAsia="es-AR"/>
              </w:rPr>
              <w:t xml:space="preserve"> </w:t>
            </w:r>
            <w:r w:rsidRPr="00500FFB">
              <w:rPr>
                <w:sz w:val="16"/>
                <w:szCs w:val="16"/>
                <w:lang w:val="es-AR" w:eastAsia="es-AR"/>
              </w:rPr>
              <w:t>759</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1</w:t>
            </w:r>
            <w:r w:rsidR="007203F4">
              <w:rPr>
                <w:iCs/>
                <w:sz w:val="16"/>
                <w:szCs w:val="16"/>
                <w:lang w:val="es-AR" w:eastAsia="es-AR"/>
              </w:rPr>
              <w:t xml:space="preserve"> </w:t>
            </w:r>
            <w:r w:rsidRPr="00500FFB">
              <w:rPr>
                <w:iCs/>
                <w:sz w:val="16"/>
                <w:szCs w:val="16"/>
                <w:lang w:val="es-AR" w:eastAsia="es-AR"/>
              </w:rPr>
              <w:t>961</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2</w:t>
            </w:r>
            <w:r w:rsidR="007203F4">
              <w:rPr>
                <w:iCs/>
                <w:sz w:val="16"/>
                <w:szCs w:val="16"/>
                <w:lang w:val="es-AR" w:eastAsia="es-AR"/>
              </w:rPr>
              <w:t xml:space="preserve"> </w:t>
            </w:r>
            <w:r w:rsidRPr="00500FFB">
              <w:rPr>
                <w:iCs/>
                <w:sz w:val="16"/>
                <w:szCs w:val="16"/>
                <w:lang w:val="es-AR" w:eastAsia="es-AR"/>
              </w:rPr>
              <w:t>798</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649</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411</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169</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30</w:t>
            </w:r>
            <w:r w:rsidR="007203F4">
              <w:rPr>
                <w:sz w:val="16"/>
                <w:szCs w:val="16"/>
                <w:lang w:val="es-AR" w:eastAsia="es-AR"/>
              </w:rPr>
              <w:t xml:space="preserve"> </w:t>
            </w:r>
            <w:r w:rsidRPr="00500FFB">
              <w:rPr>
                <w:sz w:val="16"/>
                <w:szCs w:val="16"/>
                <w:lang w:val="es-AR" w:eastAsia="es-AR"/>
              </w:rPr>
              <w:t>984</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982</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983</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w:t>
            </w:r>
            <w:r w:rsidR="007203F4">
              <w:rPr>
                <w:sz w:val="16"/>
                <w:szCs w:val="16"/>
                <w:lang w:val="es-AR" w:eastAsia="es-AR"/>
              </w:rPr>
              <w:t xml:space="preserve"> </w:t>
            </w:r>
            <w:r w:rsidRPr="00500FFB">
              <w:rPr>
                <w:sz w:val="16"/>
                <w:szCs w:val="16"/>
                <w:lang w:val="es-AR" w:eastAsia="es-AR"/>
              </w:rPr>
              <w:t>838</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6</w:t>
            </w:r>
            <w:r w:rsidR="007203F4">
              <w:rPr>
                <w:sz w:val="16"/>
                <w:szCs w:val="16"/>
                <w:lang w:val="es-AR" w:eastAsia="es-AR"/>
              </w:rPr>
              <w:t xml:space="preserve"> </w:t>
            </w:r>
            <w:r w:rsidRPr="00500FFB">
              <w:rPr>
                <w:sz w:val="16"/>
                <w:szCs w:val="16"/>
                <w:lang w:val="es-AR" w:eastAsia="es-AR"/>
              </w:rPr>
              <w:t>617</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660</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285</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55</w:t>
            </w:r>
            <w:r w:rsidR="007203F4">
              <w:rPr>
                <w:bCs/>
                <w:sz w:val="16"/>
                <w:szCs w:val="16"/>
                <w:lang w:val="es-AR" w:eastAsia="es-AR"/>
              </w:rPr>
              <w:t xml:space="preserve"> </w:t>
            </w:r>
            <w:r w:rsidRPr="00500FFB">
              <w:rPr>
                <w:bCs/>
                <w:sz w:val="16"/>
                <w:szCs w:val="16"/>
                <w:lang w:val="es-AR" w:eastAsia="es-AR"/>
              </w:rPr>
              <w:t>336</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2008</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6</w:t>
            </w:r>
            <w:r w:rsidR="007203F4">
              <w:rPr>
                <w:sz w:val="16"/>
                <w:szCs w:val="16"/>
                <w:lang w:val="es-AR" w:eastAsia="es-AR"/>
              </w:rPr>
              <w:t xml:space="preserve"> </w:t>
            </w:r>
            <w:r w:rsidRPr="00500FFB">
              <w:rPr>
                <w:sz w:val="16"/>
                <w:szCs w:val="16"/>
                <w:lang w:val="es-AR" w:eastAsia="es-AR"/>
              </w:rPr>
              <w:t>165</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2</w:t>
            </w:r>
            <w:r w:rsidR="007203F4">
              <w:rPr>
                <w:iCs/>
                <w:sz w:val="16"/>
                <w:szCs w:val="16"/>
                <w:lang w:val="es-AR" w:eastAsia="es-AR"/>
              </w:rPr>
              <w:t xml:space="preserve"> </w:t>
            </w:r>
            <w:r w:rsidRPr="00500FFB">
              <w:rPr>
                <w:iCs/>
                <w:sz w:val="16"/>
                <w:szCs w:val="16"/>
                <w:lang w:val="es-AR" w:eastAsia="es-AR"/>
              </w:rPr>
              <w:t>708</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3</w:t>
            </w:r>
            <w:r w:rsidR="007203F4">
              <w:rPr>
                <w:iCs/>
                <w:sz w:val="16"/>
                <w:szCs w:val="16"/>
                <w:lang w:val="es-AR" w:eastAsia="es-AR"/>
              </w:rPr>
              <w:t xml:space="preserve"> </w:t>
            </w:r>
            <w:r w:rsidRPr="00500FFB">
              <w:rPr>
                <w:iCs/>
                <w:sz w:val="16"/>
                <w:szCs w:val="16"/>
                <w:lang w:val="es-AR" w:eastAsia="es-AR"/>
              </w:rPr>
              <w:t>457</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916</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544</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226</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41</w:t>
            </w:r>
            <w:r w:rsidR="007203F4">
              <w:rPr>
                <w:sz w:val="16"/>
                <w:szCs w:val="16"/>
                <w:lang w:val="es-AR" w:eastAsia="es-AR"/>
              </w:rPr>
              <w:t xml:space="preserve"> </w:t>
            </w:r>
            <w:r w:rsidRPr="00500FFB">
              <w:rPr>
                <w:sz w:val="16"/>
                <w:szCs w:val="16"/>
                <w:lang w:val="es-AR" w:eastAsia="es-AR"/>
              </w:rPr>
              <w:t>962</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577</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258</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8</w:t>
            </w:r>
            <w:r w:rsidR="007203F4">
              <w:rPr>
                <w:sz w:val="16"/>
                <w:szCs w:val="16"/>
                <w:lang w:val="es-AR" w:eastAsia="es-AR"/>
              </w:rPr>
              <w:t xml:space="preserve"> </w:t>
            </w:r>
            <w:r w:rsidRPr="00500FFB">
              <w:rPr>
                <w:sz w:val="16"/>
                <w:szCs w:val="16"/>
                <w:lang w:val="es-AR" w:eastAsia="es-AR"/>
              </w:rPr>
              <w:t>044</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8</w:t>
            </w:r>
            <w:r w:rsidR="007203F4">
              <w:rPr>
                <w:sz w:val="16"/>
                <w:szCs w:val="16"/>
                <w:lang w:val="es-AR" w:eastAsia="es-AR"/>
              </w:rPr>
              <w:t xml:space="preserve"> </w:t>
            </w:r>
            <w:r w:rsidRPr="00500FFB">
              <w:rPr>
                <w:sz w:val="16"/>
                <w:szCs w:val="16"/>
                <w:lang w:val="es-AR" w:eastAsia="es-AR"/>
              </w:rPr>
              <w:t>412</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874</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464</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73</w:t>
            </w:r>
            <w:r w:rsidR="007203F4">
              <w:rPr>
                <w:bCs/>
                <w:sz w:val="16"/>
                <w:szCs w:val="16"/>
                <w:lang w:val="es-AR" w:eastAsia="es-AR"/>
              </w:rPr>
              <w:t xml:space="preserve"> </w:t>
            </w:r>
            <w:r w:rsidRPr="00500FFB">
              <w:rPr>
                <w:bCs/>
                <w:sz w:val="16"/>
                <w:szCs w:val="16"/>
                <w:lang w:val="es-AR" w:eastAsia="es-AR"/>
              </w:rPr>
              <w:t>444</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2009</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7</w:t>
            </w:r>
            <w:r w:rsidR="007203F4">
              <w:rPr>
                <w:sz w:val="16"/>
                <w:szCs w:val="16"/>
                <w:lang w:val="es-AR" w:eastAsia="es-AR"/>
              </w:rPr>
              <w:t xml:space="preserve"> </w:t>
            </w:r>
            <w:r w:rsidRPr="00500FFB">
              <w:rPr>
                <w:sz w:val="16"/>
                <w:szCs w:val="16"/>
                <w:lang w:val="es-AR" w:eastAsia="es-AR"/>
              </w:rPr>
              <w:t>825</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3</w:t>
            </w:r>
            <w:r w:rsidR="007203F4">
              <w:rPr>
                <w:iCs/>
                <w:sz w:val="16"/>
                <w:szCs w:val="16"/>
                <w:lang w:val="es-AR" w:eastAsia="es-AR"/>
              </w:rPr>
              <w:t xml:space="preserve"> </w:t>
            </w:r>
            <w:r w:rsidRPr="00500FFB">
              <w:rPr>
                <w:iCs/>
                <w:sz w:val="16"/>
                <w:szCs w:val="16"/>
                <w:lang w:val="es-AR" w:eastAsia="es-AR"/>
              </w:rPr>
              <w:t>641</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4</w:t>
            </w:r>
            <w:r w:rsidR="007203F4">
              <w:rPr>
                <w:iCs/>
                <w:sz w:val="16"/>
                <w:szCs w:val="16"/>
                <w:lang w:val="es-AR" w:eastAsia="es-AR"/>
              </w:rPr>
              <w:t xml:space="preserve"> </w:t>
            </w:r>
            <w:r w:rsidRPr="00500FFB">
              <w:rPr>
                <w:iCs/>
                <w:sz w:val="16"/>
                <w:szCs w:val="16"/>
                <w:lang w:val="es-AR" w:eastAsia="es-AR"/>
              </w:rPr>
              <w:t>184</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791</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593</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276</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50</w:t>
            </w:r>
            <w:r w:rsidR="007203F4">
              <w:rPr>
                <w:sz w:val="16"/>
                <w:szCs w:val="16"/>
                <w:lang w:val="es-AR" w:eastAsia="es-AR"/>
              </w:rPr>
              <w:t xml:space="preserve"> </w:t>
            </w:r>
            <w:r w:rsidRPr="00500FFB">
              <w:rPr>
                <w:sz w:val="16"/>
                <w:szCs w:val="16"/>
                <w:lang w:val="es-AR" w:eastAsia="es-AR"/>
              </w:rPr>
              <w:t>563</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173</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621</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10</w:t>
            </w:r>
            <w:r w:rsidR="007203F4">
              <w:rPr>
                <w:sz w:val="16"/>
                <w:szCs w:val="16"/>
                <w:lang w:val="es-AR" w:eastAsia="es-AR"/>
              </w:rPr>
              <w:t xml:space="preserve"> </w:t>
            </w:r>
            <w:r w:rsidRPr="00500FFB">
              <w:rPr>
                <w:sz w:val="16"/>
                <w:szCs w:val="16"/>
                <w:lang w:val="es-AR" w:eastAsia="es-AR"/>
              </w:rPr>
              <w:t>921</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11</w:t>
            </w:r>
            <w:r w:rsidR="007203F4">
              <w:rPr>
                <w:sz w:val="16"/>
                <w:szCs w:val="16"/>
                <w:lang w:val="es-AR" w:eastAsia="es-AR"/>
              </w:rPr>
              <w:t xml:space="preserve"> </w:t>
            </w:r>
            <w:r w:rsidRPr="00500FFB">
              <w:rPr>
                <w:sz w:val="16"/>
                <w:szCs w:val="16"/>
                <w:lang w:val="es-AR" w:eastAsia="es-AR"/>
              </w:rPr>
              <w:t>284</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138</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420</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91</w:t>
            </w:r>
            <w:r w:rsidR="007203F4">
              <w:rPr>
                <w:bCs/>
                <w:sz w:val="16"/>
                <w:szCs w:val="16"/>
                <w:lang w:val="es-AR" w:eastAsia="es-AR"/>
              </w:rPr>
              <w:t xml:space="preserve"> </w:t>
            </w:r>
            <w:r w:rsidRPr="00500FFB">
              <w:rPr>
                <w:bCs/>
                <w:sz w:val="16"/>
                <w:szCs w:val="16"/>
                <w:lang w:val="es-AR" w:eastAsia="es-AR"/>
              </w:rPr>
              <w:t>605</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2010</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10</w:t>
            </w:r>
            <w:r w:rsidR="007203F4">
              <w:rPr>
                <w:sz w:val="16"/>
                <w:szCs w:val="16"/>
                <w:lang w:val="es-AR" w:eastAsia="es-AR"/>
              </w:rPr>
              <w:t xml:space="preserve"> </w:t>
            </w:r>
            <w:r w:rsidRPr="00500FFB">
              <w:rPr>
                <w:sz w:val="16"/>
                <w:szCs w:val="16"/>
                <w:lang w:val="es-AR" w:eastAsia="es-AR"/>
              </w:rPr>
              <w:t>830</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6</w:t>
            </w:r>
            <w:r w:rsidR="007203F4">
              <w:rPr>
                <w:iCs/>
                <w:sz w:val="16"/>
                <w:szCs w:val="16"/>
                <w:lang w:val="es-AR" w:eastAsia="es-AR"/>
              </w:rPr>
              <w:t xml:space="preserve"> </w:t>
            </w:r>
            <w:r w:rsidRPr="00500FFB">
              <w:rPr>
                <w:iCs/>
                <w:sz w:val="16"/>
                <w:szCs w:val="16"/>
                <w:lang w:val="es-AR" w:eastAsia="es-AR"/>
              </w:rPr>
              <w:t>503</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4</w:t>
            </w:r>
            <w:r w:rsidR="007203F4">
              <w:rPr>
                <w:iCs/>
                <w:sz w:val="16"/>
                <w:szCs w:val="16"/>
                <w:lang w:val="es-AR" w:eastAsia="es-AR"/>
              </w:rPr>
              <w:t xml:space="preserve"> </w:t>
            </w:r>
            <w:r w:rsidRPr="00500FFB">
              <w:rPr>
                <w:iCs/>
                <w:sz w:val="16"/>
                <w:szCs w:val="16"/>
                <w:lang w:val="es-AR" w:eastAsia="es-AR"/>
              </w:rPr>
              <w:t>327</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w:t>
            </w:r>
            <w:r w:rsidR="007203F4">
              <w:rPr>
                <w:sz w:val="16"/>
                <w:szCs w:val="16"/>
                <w:lang w:val="es-AR" w:eastAsia="es-AR"/>
              </w:rPr>
              <w:t xml:space="preserve"> </w:t>
            </w:r>
            <w:r w:rsidRPr="00500FFB">
              <w:rPr>
                <w:sz w:val="16"/>
                <w:szCs w:val="16"/>
                <w:lang w:val="es-AR" w:eastAsia="es-AR"/>
              </w:rPr>
              <w:t>480</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918</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425</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62</w:t>
            </w:r>
            <w:r w:rsidR="007203F4">
              <w:rPr>
                <w:sz w:val="16"/>
                <w:szCs w:val="16"/>
                <w:lang w:val="es-AR" w:eastAsia="es-AR"/>
              </w:rPr>
              <w:t xml:space="preserve"> </w:t>
            </w:r>
            <w:r w:rsidRPr="00500FFB">
              <w:rPr>
                <w:sz w:val="16"/>
                <w:szCs w:val="16"/>
                <w:lang w:val="es-AR" w:eastAsia="es-AR"/>
              </w:rPr>
              <w:t>038</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964</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965</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13</w:t>
            </w:r>
            <w:r w:rsidR="007203F4">
              <w:rPr>
                <w:sz w:val="16"/>
                <w:szCs w:val="16"/>
                <w:lang w:val="es-AR" w:eastAsia="es-AR"/>
              </w:rPr>
              <w:t xml:space="preserve"> </w:t>
            </w:r>
            <w:r w:rsidRPr="00500FFB">
              <w:rPr>
                <w:sz w:val="16"/>
                <w:szCs w:val="16"/>
                <w:lang w:val="es-AR" w:eastAsia="es-AR"/>
              </w:rPr>
              <w:t>149</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14</w:t>
            </w:r>
            <w:r w:rsidR="007203F4">
              <w:rPr>
                <w:sz w:val="16"/>
                <w:szCs w:val="16"/>
                <w:lang w:val="es-AR" w:eastAsia="es-AR"/>
              </w:rPr>
              <w:t xml:space="preserve"> </w:t>
            </w:r>
            <w:r w:rsidRPr="00500FFB">
              <w:rPr>
                <w:sz w:val="16"/>
                <w:szCs w:val="16"/>
                <w:lang w:val="es-AR" w:eastAsia="es-AR"/>
              </w:rPr>
              <w:t>738</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390</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598</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114</w:t>
            </w:r>
            <w:r w:rsidR="007203F4">
              <w:rPr>
                <w:bCs/>
                <w:sz w:val="16"/>
                <w:szCs w:val="16"/>
                <w:lang w:val="es-AR" w:eastAsia="es-AR"/>
              </w:rPr>
              <w:t xml:space="preserve"> </w:t>
            </w:r>
            <w:r w:rsidRPr="00500FFB">
              <w:rPr>
                <w:bCs/>
                <w:sz w:val="16"/>
                <w:szCs w:val="16"/>
                <w:lang w:val="es-AR" w:eastAsia="es-AR"/>
              </w:rPr>
              <w:t>495</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2011</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14</w:t>
            </w:r>
            <w:r w:rsidR="007203F4">
              <w:rPr>
                <w:sz w:val="16"/>
                <w:szCs w:val="16"/>
                <w:lang w:val="es-AR" w:eastAsia="es-AR"/>
              </w:rPr>
              <w:t xml:space="preserve"> </w:t>
            </w:r>
            <w:r w:rsidRPr="00500FFB">
              <w:rPr>
                <w:sz w:val="16"/>
                <w:szCs w:val="16"/>
                <w:lang w:val="es-AR" w:eastAsia="es-AR"/>
              </w:rPr>
              <w:t>808</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8</w:t>
            </w:r>
            <w:r w:rsidR="007203F4">
              <w:rPr>
                <w:iCs/>
                <w:sz w:val="16"/>
                <w:szCs w:val="16"/>
                <w:lang w:val="es-AR" w:eastAsia="es-AR"/>
              </w:rPr>
              <w:t xml:space="preserve"> </w:t>
            </w:r>
            <w:r w:rsidRPr="00500FFB">
              <w:rPr>
                <w:iCs/>
                <w:sz w:val="16"/>
                <w:szCs w:val="16"/>
                <w:lang w:val="es-AR" w:eastAsia="es-AR"/>
              </w:rPr>
              <w:t>663</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6</w:t>
            </w:r>
            <w:r w:rsidR="007203F4">
              <w:rPr>
                <w:iCs/>
                <w:sz w:val="16"/>
                <w:szCs w:val="16"/>
                <w:lang w:val="es-AR" w:eastAsia="es-AR"/>
              </w:rPr>
              <w:t xml:space="preserve"> </w:t>
            </w:r>
            <w:r w:rsidRPr="00500FFB">
              <w:rPr>
                <w:iCs/>
                <w:sz w:val="16"/>
                <w:szCs w:val="16"/>
                <w:lang w:val="es-AR" w:eastAsia="es-AR"/>
              </w:rPr>
              <w:t>145</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w:t>
            </w:r>
            <w:r w:rsidR="007203F4">
              <w:rPr>
                <w:sz w:val="16"/>
                <w:szCs w:val="16"/>
                <w:lang w:val="es-AR" w:eastAsia="es-AR"/>
              </w:rPr>
              <w:t xml:space="preserve"> </w:t>
            </w:r>
            <w:r w:rsidRPr="00500FFB">
              <w:rPr>
                <w:sz w:val="16"/>
                <w:szCs w:val="16"/>
                <w:lang w:val="es-AR" w:eastAsia="es-AR"/>
              </w:rPr>
              <w:t>602</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259</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562</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88</w:t>
            </w:r>
            <w:r w:rsidR="007203F4">
              <w:rPr>
                <w:sz w:val="16"/>
                <w:szCs w:val="16"/>
                <w:lang w:val="es-AR" w:eastAsia="es-AR"/>
              </w:rPr>
              <w:t xml:space="preserve"> </w:t>
            </w:r>
            <w:r w:rsidRPr="00500FFB">
              <w:rPr>
                <w:sz w:val="16"/>
                <w:szCs w:val="16"/>
                <w:lang w:val="es-AR" w:eastAsia="es-AR"/>
              </w:rPr>
              <w:t>189</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w:t>
            </w:r>
            <w:r w:rsidR="007203F4">
              <w:rPr>
                <w:sz w:val="16"/>
                <w:szCs w:val="16"/>
                <w:lang w:val="es-AR" w:eastAsia="es-AR"/>
              </w:rPr>
              <w:t xml:space="preserve"> </w:t>
            </w:r>
            <w:r w:rsidRPr="00500FFB">
              <w:rPr>
                <w:sz w:val="16"/>
                <w:szCs w:val="16"/>
                <w:lang w:val="es-AR" w:eastAsia="es-AR"/>
              </w:rPr>
              <w:t>940</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485</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17</w:t>
            </w:r>
            <w:r w:rsidR="007203F4">
              <w:rPr>
                <w:sz w:val="16"/>
                <w:szCs w:val="16"/>
                <w:lang w:val="es-AR" w:eastAsia="es-AR"/>
              </w:rPr>
              <w:t xml:space="preserve"> </w:t>
            </w:r>
            <w:r w:rsidRPr="00500FFB">
              <w:rPr>
                <w:sz w:val="16"/>
                <w:szCs w:val="16"/>
                <w:lang w:val="es-AR" w:eastAsia="es-AR"/>
              </w:rPr>
              <w:t>863</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20</w:t>
            </w:r>
            <w:r w:rsidR="007203F4">
              <w:rPr>
                <w:sz w:val="16"/>
                <w:szCs w:val="16"/>
                <w:lang w:val="es-AR" w:eastAsia="es-AR"/>
              </w:rPr>
              <w:t xml:space="preserve"> </w:t>
            </w:r>
            <w:r w:rsidRPr="00500FFB">
              <w:rPr>
                <w:sz w:val="16"/>
                <w:szCs w:val="16"/>
                <w:lang w:val="es-AR" w:eastAsia="es-AR"/>
              </w:rPr>
              <w:t>290</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816</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654</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158</w:t>
            </w:r>
            <w:r w:rsidR="007203F4">
              <w:rPr>
                <w:bCs/>
                <w:sz w:val="16"/>
                <w:szCs w:val="16"/>
                <w:lang w:val="es-AR" w:eastAsia="es-AR"/>
              </w:rPr>
              <w:t xml:space="preserve"> </w:t>
            </w:r>
            <w:r w:rsidRPr="00500FFB">
              <w:rPr>
                <w:bCs/>
                <w:sz w:val="16"/>
                <w:szCs w:val="16"/>
                <w:lang w:val="es-AR" w:eastAsia="es-AR"/>
              </w:rPr>
              <w:t>468</w:t>
            </w:r>
          </w:p>
        </w:tc>
      </w:tr>
      <w:tr w:rsidR="00500FFB" w:rsidRPr="007203F4" w:rsidTr="00500FFB">
        <w:trPr>
          <w:trHeight w:val="240"/>
        </w:trPr>
        <w:tc>
          <w:tcPr>
            <w:tcW w:w="441" w:type="pct"/>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2012</w:t>
            </w:r>
          </w:p>
        </w:tc>
        <w:tc>
          <w:tcPr>
            <w:tcW w:w="18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18</w:t>
            </w:r>
            <w:r w:rsidR="007203F4">
              <w:rPr>
                <w:sz w:val="16"/>
                <w:szCs w:val="16"/>
                <w:lang w:val="es-AR" w:eastAsia="es-AR"/>
              </w:rPr>
              <w:t xml:space="preserve"> </w:t>
            </w:r>
            <w:r w:rsidRPr="00500FFB">
              <w:rPr>
                <w:sz w:val="16"/>
                <w:szCs w:val="16"/>
                <w:lang w:val="es-AR" w:eastAsia="es-AR"/>
              </w:rPr>
              <w:t>750</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9</w:t>
            </w:r>
            <w:r w:rsidR="007203F4">
              <w:rPr>
                <w:iCs/>
                <w:sz w:val="16"/>
                <w:szCs w:val="16"/>
                <w:lang w:val="es-AR" w:eastAsia="es-AR"/>
              </w:rPr>
              <w:t xml:space="preserve"> </w:t>
            </w:r>
            <w:r w:rsidRPr="00500FFB">
              <w:rPr>
                <w:iCs/>
                <w:sz w:val="16"/>
                <w:szCs w:val="16"/>
                <w:lang w:val="es-AR" w:eastAsia="es-AR"/>
              </w:rPr>
              <w:t>904</w:t>
            </w:r>
          </w:p>
        </w:tc>
        <w:tc>
          <w:tcPr>
            <w:tcW w:w="304" w:type="pct"/>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8</w:t>
            </w:r>
            <w:r w:rsidR="007203F4">
              <w:rPr>
                <w:iCs/>
                <w:sz w:val="16"/>
                <w:szCs w:val="16"/>
                <w:lang w:val="es-AR" w:eastAsia="es-AR"/>
              </w:rPr>
              <w:t xml:space="preserve"> </w:t>
            </w:r>
            <w:r w:rsidRPr="00500FFB">
              <w:rPr>
                <w:iCs/>
                <w:sz w:val="16"/>
                <w:szCs w:val="16"/>
                <w:lang w:val="es-AR" w:eastAsia="es-AR"/>
              </w:rPr>
              <w:t>845</w:t>
            </w:r>
          </w:p>
        </w:tc>
        <w:tc>
          <w:tcPr>
            <w:tcW w:w="258"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w:t>
            </w:r>
            <w:r w:rsidR="007203F4">
              <w:rPr>
                <w:sz w:val="16"/>
                <w:szCs w:val="16"/>
                <w:lang w:val="es-AR" w:eastAsia="es-AR"/>
              </w:rPr>
              <w:t xml:space="preserve"> </w:t>
            </w:r>
            <w:r w:rsidRPr="00500FFB">
              <w:rPr>
                <w:sz w:val="16"/>
                <w:szCs w:val="16"/>
                <w:lang w:val="es-AR" w:eastAsia="es-AR"/>
              </w:rPr>
              <w:t>453</w:t>
            </w:r>
          </w:p>
        </w:tc>
        <w:tc>
          <w:tcPr>
            <w:tcW w:w="31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302</w:t>
            </w:r>
          </w:p>
        </w:tc>
        <w:tc>
          <w:tcPr>
            <w:tcW w:w="305"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915</w:t>
            </w:r>
          </w:p>
        </w:tc>
        <w:tc>
          <w:tcPr>
            <w:tcW w:w="402"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106</w:t>
            </w:r>
            <w:r w:rsidR="007203F4">
              <w:rPr>
                <w:sz w:val="16"/>
                <w:szCs w:val="16"/>
                <w:lang w:val="es-AR" w:eastAsia="es-AR"/>
              </w:rPr>
              <w:t xml:space="preserve"> </w:t>
            </w:r>
            <w:r w:rsidRPr="00500FFB">
              <w:rPr>
                <w:sz w:val="16"/>
                <w:szCs w:val="16"/>
                <w:lang w:val="es-AR" w:eastAsia="es-AR"/>
              </w:rPr>
              <w:t>707</w:t>
            </w:r>
          </w:p>
        </w:tc>
        <w:tc>
          <w:tcPr>
            <w:tcW w:w="36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5</w:t>
            </w:r>
            <w:r w:rsidR="007203F4">
              <w:rPr>
                <w:sz w:val="16"/>
                <w:szCs w:val="16"/>
                <w:lang w:val="es-AR" w:eastAsia="es-AR"/>
              </w:rPr>
              <w:t xml:space="preserve"> </w:t>
            </w:r>
            <w:r w:rsidRPr="00500FFB">
              <w:rPr>
                <w:sz w:val="16"/>
                <w:szCs w:val="16"/>
                <w:lang w:val="es-AR" w:eastAsia="es-AR"/>
              </w:rPr>
              <w:t>263</w:t>
            </w:r>
          </w:p>
        </w:tc>
        <w:tc>
          <w:tcPr>
            <w:tcW w:w="409"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w:t>
            </w:r>
            <w:r w:rsidR="007203F4">
              <w:rPr>
                <w:sz w:val="16"/>
                <w:szCs w:val="16"/>
                <w:lang w:val="es-AR" w:eastAsia="es-AR"/>
              </w:rPr>
              <w:t xml:space="preserve"> </w:t>
            </w:r>
            <w:r w:rsidRPr="00500FFB">
              <w:rPr>
                <w:sz w:val="16"/>
                <w:szCs w:val="16"/>
                <w:lang w:val="es-AR" w:eastAsia="es-AR"/>
              </w:rPr>
              <w:t>398</w:t>
            </w:r>
          </w:p>
        </w:tc>
        <w:tc>
          <w:tcPr>
            <w:tcW w:w="306"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27</w:t>
            </w:r>
            <w:r w:rsidR="007203F4">
              <w:rPr>
                <w:sz w:val="16"/>
                <w:szCs w:val="16"/>
                <w:lang w:val="es-AR" w:eastAsia="es-AR"/>
              </w:rPr>
              <w:t xml:space="preserve"> </w:t>
            </w:r>
            <w:r w:rsidRPr="00500FFB">
              <w:rPr>
                <w:sz w:val="16"/>
                <w:szCs w:val="16"/>
                <w:lang w:val="es-AR" w:eastAsia="es-AR"/>
              </w:rPr>
              <w:t>238</w:t>
            </w:r>
          </w:p>
        </w:tc>
        <w:tc>
          <w:tcPr>
            <w:tcW w:w="324"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26</w:t>
            </w:r>
            <w:r w:rsidR="007203F4">
              <w:rPr>
                <w:sz w:val="16"/>
                <w:szCs w:val="16"/>
                <w:lang w:val="es-AR" w:eastAsia="es-AR"/>
              </w:rPr>
              <w:t xml:space="preserve"> </w:t>
            </w:r>
            <w:r w:rsidRPr="00500FFB">
              <w:rPr>
                <w:sz w:val="16"/>
                <w:szCs w:val="16"/>
                <w:lang w:val="es-AR" w:eastAsia="es-AR"/>
              </w:rPr>
              <w:t>723</w:t>
            </w:r>
          </w:p>
        </w:tc>
        <w:tc>
          <w:tcPr>
            <w:tcW w:w="397"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345</w:t>
            </w:r>
          </w:p>
        </w:tc>
        <w:tc>
          <w:tcPr>
            <w:tcW w:w="361" w:type="pct"/>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911</w:t>
            </w:r>
          </w:p>
        </w:tc>
        <w:tc>
          <w:tcPr>
            <w:tcW w:w="320" w:type="pct"/>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199</w:t>
            </w:r>
            <w:r w:rsidR="007203F4">
              <w:rPr>
                <w:bCs/>
                <w:sz w:val="16"/>
                <w:szCs w:val="16"/>
                <w:lang w:val="es-AR" w:eastAsia="es-AR"/>
              </w:rPr>
              <w:t xml:space="preserve"> </w:t>
            </w:r>
            <w:r w:rsidRPr="00500FFB">
              <w:rPr>
                <w:bCs/>
                <w:sz w:val="16"/>
                <w:szCs w:val="16"/>
                <w:lang w:val="es-AR" w:eastAsia="es-AR"/>
              </w:rPr>
              <w:t>005</w:t>
            </w:r>
          </w:p>
        </w:tc>
      </w:tr>
      <w:tr w:rsidR="00500FFB" w:rsidRPr="007203F4" w:rsidTr="00500FFB">
        <w:trPr>
          <w:trHeight w:val="240"/>
        </w:trPr>
        <w:tc>
          <w:tcPr>
            <w:tcW w:w="441" w:type="pct"/>
            <w:tcBorders>
              <w:bottom w:val="single" w:sz="12" w:space="0" w:color="auto"/>
            </w:tcBorders>
            <w:shd w:val="clear" w:color="auto" w:fill="auto"/>
            <w:hideMark/>
          </w:tcPr>
          <w:p w:rsidR="00C21DAA" w:rsidRPr="00500FFB" w:rsidRDefault="00115B35" w:rsidP="00500FFB">
            <w:pPr>
              <w:spacing w:before="40" w:after="40" w:line="220" w:lineRule="exact"/>
              <w:ind w:left="57"/>
              <w:rPr>
                <w:bCs/>
                <w:sz w:val="16"/>
                <w:szCs w:val="16"/>
                <w:lang w:val="es-AR" w:eastAsia="es-AR"/>
              </w:rPr>
            </w:pPr>
            <w:r w:rsidRPr="00500FFB">
              <w:rPr>
                <w:bCs/>
                <w:sz w:val="16"/>
                <w:szCs w:val="16"/>
                <w:lang w:val="es-AR" w:eastAsia="es-AR"/>
              </w:rPr>
              <w:t>2013</w:t>
            </w:r>
          </w:p>
        </w:tc>
        <w:tc>
          <w:tcPr>
            <w:tcW w:w="186"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25</w:t>
            </w:r>
            <w:r w:rsidR="007203F4">
              <w:rPr>
                <w:sz w:val="16"/>
                <w:szCs w:val="16"/>
                <w:lang w:val="es-AR" w:eastAsia="es-AR"/>
              </w:rPr>
              <w:t xml:space="preserve"> </w:t>
            </w:r>
            <w:r w:rsidRPr="00500FFB">
              <w:rPr>
                <w:sz w:val="16"/>
                <w:szCs w:val="16"/>
                <w:lang w:val="es-AR" w:eastAsia="es-AR"/>
              </w:rPr>
              <w:t>077</w:t>
            </w:r>
          </w:p>
        </w:tc>
        <w:tc>
          <w:tcPr>
            <w:tcW w:w="304"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13</w:t>
            </w:r>
            <w:r w:rsidR="007203F4">
              <w:rPr>
                <w:iCs/>
                <w:sz w:val="16"/>
                <w:szCs w:val="16"/>
                <w:lang w:val="es-AR" w:eastAsia="es-AR"/>
              </w:rPr>
              <w:t xml:space="preserve"> </w:t>
            </w:r>
            <w:r w:rsidRPr="00500FFB">
              <w:rPr>
                <w:iCs/>
                <w:sz w:val="16"/>
                <w:szCs w:val="16"/>
                <w:lang w:val="es-AR" w:eastAsia="es-AR"/>
              </w:rPr>
              <w:t>707</w:t>
            </w:r>
          </w:p>
        </w:tc>
        <w:tc>
          <w:tcPr>
            <w:tcW w:w="304"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iCs/>
                <w:sz w:val="16"/>
                <w:szCs w:val="16"/>
                <w:lang w:val="es-AR" w:eastAsia="es-AR"/>
              </w:rPr>
            </w:pPr>
            <w:r w:rsidRPr="00500FFB">
              <w:rPr>
                <w:iCs/>
                <w:sz w:val="16"/>
                <w:szCs w:val="16"/>
                <w:lang w:val="es-AR" w:eastAsia="es-AR"/>
              </w:rPr>
              <w:t>11</w:t>
            </w:r>
            <w:r w:rsidR="007203F4">
              <w:rPr>
                <w:iCs/>
                <w:sz w:val="16"/>
                <w:szCs w:val="16"/>
                <w:lang w:val="es-AR" w:eastAsia="es-AR"/>
              </w:rPr>
              <w:t xml:space="preserve"> </w:t>
            </w:r>
            <w:r w:rsidRPr="00500FFB">
              <w:rPr>
                <w:iCs/>
                <w:sz w:val="16"/>
                <w:szCs w:val="16"/>
                <w:lang w:val="es-AR" w:eastAsia="es-AR"/>
              </w:rPr>
              <w:t>370</w:t>
            </w:r>
          </w:p>
        </w:tc>
        <w:tc>
          <w:tcPr>
            <w:tcW w:w="258"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8</w:t>
            </w:r>
            <w:r w:rsidR="007203F4">
              <w:rPr>
                <w:sz w:val="16"/>
                <w:szCs w:val="16"/>
                <w:lang w:val="es-AR" w:eastAsia="es-AR"/>
              </w:rPr>
              <w:t xml:space="preserve"> </w:t>
            </w:r>
            <w:r w:rsidRPr="00500FFB">
              <w:rPr>
                <w:sz w:val="16"/>
                <w:szCs w:val="16"/>
                <w:lang w:val="es-AR" w:eastAsia="es-AR"/>
              </w:rPr>
              <w:t>639</w:t>
            </w:r>
          </w:p>
        </w:tc>
        <w:tc>
          <w:tcPr>
            <w:tcW w:w="319"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787</w:t>
            </w:r>
          </w:p>
        </w:tc>
        <w:tc>
          <w:tcPr>
            <w:tcW w:w="305"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032</w:t>
            </w:r>
          </w:p>
        </w:tc>
        <w:tc>
          <w:tcPr>
            <w:tcW w:w="40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137</w:t>
            </w:r>
            <w:r w:rsidR="007203F4">
              <w:rPr>
                <w:sz w:val="16"/>
                <w:szCs w:val="16"/>
                <w:lang w:val="es-AR" w:eastAsia="es-AR"/>
              </w:rPr>
              <w:t xml:space="preserve"> </w:t>
            </w:r>
            <w:r w:rsidRPr="00500FFB">
              <w:rPr>
                <w:sz w:val="16"/>
                <w:szCs w:val="16"/>
                <w:lang w:val="es-AR" w:eastAsia="es-AR"/>
              </w:rPr>
              <w:t>444</w:t>
            </w:r>
          </w:p>
        </w:tc>
        <w:tc>
          <w:tcPr>
            <w:tcW w:w="364"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6</w:t>
            </w:r>
            <w:r w:rsidR="007203F4">
              <w:rPr>
                <w:sz w:val="16"/>
                <w:szCs w:val="16"/>
                <w:lang w:val="es-AR" w:eastAsia="es-AR"/>
              </w:rPr>
              <w:t xml:space="preserve"> </w:t>
            </w:r>
            <w:r w:rsidRPr="00500FFB">
              <w:rPr>
                <w:sz w:val="16"/>
                <w:szCs w:val="16"/>
                <w:lang w:val="es-AR" w:eastAsia="es-AR"/>
              </w:rPr>
              <w:t>325</w:t>
            </w:r>
          </w:p>
        </w:tc>
        <w:tc>
          <w:tcPr>
            <w:tcW w:w="409"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4</w:t>
            </w:r>
            <w:r w:rsidR="007203F4">
              <w:rPr>
                <w:sz w:val="16"/>
                <w:szCs w:val="16"/>
                <w:lang w:val="es-AR" w:eastAsia="es-AR"/>
              </w:rPr>
              <w:t xml:space="preserve"> </w:t>
            </w:r>
            <w:r w:rsidRPr="00500FFB">
              <w:rPr>
                <w:sz w:val="16"/>
                <w:szCs w:val="16"/>
                <w:lang w:val="es-AR" w:eastAsia="es-AR"/>
              </w:rPr>
              <w:t>273</w:t>
            </w:r>
          </w:p>
        </w:tc>
        <w:tc>
          <w:tcPr>
            <w:tcW w:w="306"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30</w:t>
            </w:r>
            <w:r w:rsidR="007203F4">
              <w:rPr>
                <w:sz w:val="16"/>
                <w:szCs w:val="16"/>
                <w:lang w:val="es-AR" w:eastAsia="es-AR"/>
              </w:rPr>
              <w:t xml:space="preserve"> </w:t>
            </w:r>
            <w:r w:rsidRPr="00500FFB">
              <w:rPr>
                <w:sz w:val="16"/>
                <w:szCs w:val="16"/>
                <w:lang w:val="es-AR" w:eastAsia="es-AR"/>
              </w:rPr>
              <w:t>601</w:t>
            </w:r>
          </w:p>
        </w:tc>
        <w:tc>
          <w:tcPr>
            <w:tcW w:w="324"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34</w:t>
            </w:r>
            <w:r w:rsidR="007203F4">
              <w:rPr>
                <w:sz w:val="16"/>
                <w:szCs w:val="16"/>
                <w:lang w:val="es-AR" w:eastAsia="es-AR"/>
              </w:rPr>
              <w:t xml:space="preserve"> </w:t>
            </w:r>
            <w:r w:rsidRPr="00500FFB">
              <w:rPr>
                <w:sz w:val="16"/>
                <w:szCs w:val="16"/>
                <w:lang w:val="es-AR" w:eastAsia="es-AR"/>
              </w:rPr>
              <w:t>766</w:t>
            </w:r>
          </w:p>
        </w:tc>
        <w:tc>
          <w:tcPr>
            <w:tcW w:w="397"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2</w:t>
            </w:r>
            <w:r w:rsidR="007203F4">
              <w:rPr>
                <w:sz w:val="16"/>
                <w:szCs w:val="16"/>
                <w:lang w:val="es-AR" w:eastAsia="es-AR"/>
              </w:rPr>
              <w:t xml:space="preserve"> </w:t>
            </w:r>
            <w:r w:rsidRPr="00500FFB">
              <w:rPr>
                <w:sz w:val="16"/>
                <w:szCs w:val="16"/>
                <w:lang w:val="es-AR" w:eastAsia="es-AR"/>
              </w:rPr>
              <w:t>826</w:t>
            </w:r>
          </w:p>
        </w:tc>
        <w:tc>
          <w:tcPr>
            <w:tcW w:w="361"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sz w:val="16"/>
                <w:szCs w:val="16"/>
                <w:lang w:val="es-AR" w:eastAsia="es-AR"/>
              </w:rPr>
            </w:pPr>
            <w:r w:rsidRPr="00500FFB">
              <w:rPr>
                <w:sz w:val="16"/>
                <w:szCs w:val="16"/>
                <w:lang w:val="es-AR" w:eastAsia="es-AR"/>
              </w:rPr>
              <w:t>1</w:t>
            </w:r>
            <w:r w:rsidR="007203F4">
              <w:rPr>
                <w:sz w:val="16"/>
                <w:szCs w:val="16"/>
                <w:lang w:val="es-AR" w:eastAsia="es-AR"/>
              </w:rPr>
              <w:t xml:space="preserve"> </w:t>
            </w:r>
            <w:r w:rsidRPr="00500FFB">
              <w:rPr>
                <w:sz w:val="16"/>
                <w:szCs w:val="16"/>
                <w:lang w:val="es-AR" w:eastAsia="es-AR"/>
              </w:rPr>
              <w:t>309</w:t>
            </w:r>
          </w:p>
        </w:tc>
        <w:tc>
          <w:tcPr>
            <w:tcW w:w="320"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57"/>
              <w:jc w:val="right"/>
              <w:rPr>
                <w:bCs/>
                <w:sz w:val="16"/>
                <w:szCs w:val="16"/>
                <w:lang w:val="es-AR" w:eastAsia="es-AR"/>
              </w:rPr>
            </w:pPr>
            <w:r w:rsidRPr="00500FFB">
              <w:rPr>
                <w:bCs/>
                <w:sz w:val="16"/>
                <w:szCs w:val="16"/>
                <w:lang w:val="es-AR" w:eastAsia="es-AR"/>
              </w:rPr>
              <w:t>254</w:t>
            </w:r>
            <w:r w:rsidR="007203F4">
              <w:rPr>
                <w:bCs/>
                <w:sz w:val="16"/>
                <w:szCs w:val="16"/>
                <w:lang w:val="es-AR" w:eastAsia="es-AR"/>
              </w:rPr>
              <w:t xml:space="preserve"> </w:t>
            </w:r>
            <w:r w:rsidRPr="00500FFB">
              <w:rPr>
                <w:bCs/>
                <w:sz w:val="16"/>
                <w:szCs w:val="16"/>
                <w:lang w:val="es-AR" w:eastAsia="es-AR"/>
              </w:rPr>
              <w:t>081</w:t>
            </w:r>
          </w:p>
        </w:tc>
      </w:tr>
    </w:tbl>
    <w:p w:rsidR="00C21DAA" w:rsidRPr="00FE07FE" w:rsidRDefault="00C21DAA" w:rsidP="00500FFB">
      <w:pPr>
        <w:pStyle w:val="SingleTxtG"/>
        <w:rPr>
          <w:lang w:eastAsia="en-US"/>
        </w:rPr>
      </w:pPr>
    </w:p>
    <w:tbl>
      <w:tblPr>
        <w:tblW w:w="7278" w:type="dxa"/>
        <w:tblInd w:w="1134" w:type="dxa"/>
        <w:tblBorders>
          <w:top w:val="single" w:sz="4" w:space="0" w:color="auto"/>
        </w:tblBorders>
        <w:tblCellMar>
          <w:left w:w="0" w:type="dxa"/>
          <w:right w:w="0" w:type="dxa"/>
        </w:tblCellMar>
        <w:tblLook w:val="04A0" w:firstRow="1" w:lastRow="0" w:firstColumn="1" w:lastColumn="0" w:noHBand="0" w:noVBand="1"/>
      </w:tblPr>
      <w:tblGrid>
        <w:gridCol w:w="2759"/>
        <w:gridCol w:w="1911"/>
        <w:gridCol w:w="2656"/>
      </w:tblGrid>
      <w:tr w:rsidR="001E4A0E" w:rsidRPr="001E4A0E" w:rsidTr="00500FFB">
        <w:trPr>
          <w:trHeight w:val="240"/>
          <w:tblHeader/>
        </w:trPr>
        <w:tc>
          <w:tcPr>
            <w:tcW w:w="2743" w:type="dxa"/>
            <w:tcBorders>
              <w:top w:val="single" w:sz="4" w:space="0" w:color="auto"/>
              <w:bottom w:val="single" w:sz="12" w:space="0" w:color="auto"/>
            </w:tcBorders>
            <w:shd w:val="clear" w:color="auto" w:fill="auto"/>
            <w:noWrap/>
            <w:vAlign w:val="bottom"/>
            <w:hideMark/>
          </w:tcPr>
          <w:p w:rsidR="00C21DAA" w:rsidRPr="001E4A0E" w:rsidRDefault="00115B35">
            <w:pPr>
              <w:spacing w:before="80" w:after="80" w:line="200" w:lineRule="exact"/>
              <w:rPr>
                <w:bCs/>
                <w:i/>
                <w:sz w:val="16"/>
                <w:lang w:val="es-AR" w:eastAsia="es-AR"/>
              </w:rPr>
            </w:pPr>
            <w:r w:rsidRPr="001E4A0E">
              <w:rPr>
                <w:bCs/>
                <w:i/>
                <w:sz w:val="16"/>
                <w:lang w:val="es-AR" w:eastAsia="es-AR"/>
              </w:rPr>
              <w:t>Provincia</w:t>
            </w:r>
          </w:p>
        </w:tc>
        <w:tc>
          <w:tcPr>
            <w:tcW w:w="1895" w:type="dxa"/>
            <w:tcBorders>
              <w:top w:val="single" w:sz="4" w:space="0" w:color="auto"/>
              <w:bottom w:val="single" w:sz="12" w:space="0" w:color="auto"/>
            </w:tcBorders>
            <w:shd w:val="clear" w:color="auto" w:fill="auto"/>
            <w:noWrap/>
            <w:vAlign w:val="bottom"/>
            <w:hideMark/>
          </w:tcPr>
          <w:p w:rsidR="00C21DAA" w:rsidRPr="001E4A0E" w:rsidRDefault="00115B35" w:rsidP="00500FFB">
            <w:pPr>
              <w:spacing w:before="80" w:after="80" w:line="200" w:lineRule="exact"/>
              <w:ind w:left="113"/>
              <w:jc w:val="right"/>
              <w:rPr>
                <w:bCs/>
                <w:i/>
                <w:sz w:val="16"/>
                <w:lang w:val="es-AR" w:eastAsia="es-AR"/>
              </w:rPr>
            </w:pPr>
            <w:r w:rsidRPr="001E4A0E">
              <w:rPr>
                <w:bCs/>
                <w:i/>
                <w:sz w:val="16"/>
                <w:lang w:val="es-AR" w:eastAsia="es-AR"/>
              </w:rPr>
              <w:t>Escuelas</w:t>
            </w:r>
          </w:p>
        </w:tc>
        <w:tc>
          <w:tcPr>
            <w:tcW w:w="2640" w:type="dxa"/>
            <w:tcBorders>
              <w:top w:val="single" w:sz="4" w:space="0" w:color="auto"/>
              <w:bottom w:val="single" w:sz="12" w:space="0" w:color="auto"/>
            </w:tcBorders>
            <w:shd w:val="clear" w:color="auto" w:fill="auto"/>
            <w:noWrap/>
            <w:vAlign w:val="bottom"/>
            <w:hideMark/>
          </w:tcPr>
          <w:p w:rsidR="00C21DAA" w:rsidRPr="001E4A0E" w:rsidRDefault="00115B35" w:rsidP="00500FFB">
            <w:pPr>
              <w:spacing w:before="80" w:after="80" w:line="200" w:lineRule="exact"/>
              <w:ind w:left="113"/>
              <w:jc w:val="right"/>
              <w:rPr>
                <w:bCs/>
                <w:i/>
                <w:sz w:val="16"/>
                <w:lang w:val="es-AR" w:eastAsia="es-AR"/>
              </w:rPr>
            </w:pPr>
            <w:r w:rsidRPr="001E4A0E">
              <w:rPr>
                <w:bCs/>
                <w:i/>
                <w:sz w:val="16"/>
                <w:lang w:val="es-AR" w:eastAsia="es-AR"/>
              </w:rPr>
              <w:t>Nets</w:t>
            </w:r>
            <w:r w:rsidRPr="00500FFB">
              <w:rPr>
                <w:rStyle w:val="Refdenotaalpie"/>
                <w:bCs/>
                <w:szCs w:val="18"/>
                <w:lang w:val="es-AR" w:eastAsia="es-AR"/>
              </w:rPr>
              <w:footnoteReference w:id="17"/>
            </w:r>
          </w:p>
        </w:tc>
      </w:tr>
      <w:tr w:rsidR="001E4A0E" w:rsidRPr="001E4A0E" w:rsidTr="00500FFB">
        <w:trPr>
          <w:trHeight w:val="240"/>
        </w:trPr>
        <w:tc>
          <w:tcPr>
            <w:tcW w:w="2743" w:type="dxa"/>
            <w:tcBorders>
              <w:top w:val="single" w:sz="12" w:space="0" w:color="auto"/>
            </w:tcBorders>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Buenos Aires</w:t>
            </w:r>
          </w:p>
        </w:tc>
        <w:tc>
          <w:tcPr>
            <w:tcW w:w="1895" w:type="dxa"/>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4</w:t>
            </w:r>
            <w:r w:rsidR="001E4A0E">
              <w:rPr>
                <w:bCs/>
                <w:sz w:val="18"/>
                <w:lang w:val="es-AR" w:eastAsia="es-AR"/>
              </w:rPr>
              <w:t xml:space="preserve"> </w:t>
            </w:r>
            <w:r w:rsidRPr="00500FFB">
              <w:rPr>
                <w:bCs/>
                <w:sz w:val="18"/>
                <w:lang w:val="es-AR" w:eastAsia="es-AR"/>
              </w:rPr>
              <w:t>197</w:t>
            </w:r>
          </w:p>
        </w:tc>
        <w:tc>
          <w:tcPr>
            <w:tcW w:w="2640" w:type="dxa"/>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w:t>
            </w:r>
            <w:r w:rsidR="001E4A0E">
              <w:rPr>
                <w:bCs/>
                <w:sz w:val="18"/>
                <w:lang w:val="es-AR" w:eastAsia="es-AR"/>
              </w:rPr>
              <w:t xml:space="preserve"> </w:t>
            </w:r>
            <w:r w:rsidRPr="00500FFB">
              <w:rPr>
                <w:bCs/>
                <w:sz w:val="18"/>
                <w:lang w:val="es-AR" w:eastAsia="es-AR"/>
              </w:rPr>
              <w:t>959</w:t>
            </w:r>
            <w:r w:rsidR="001E4A0E">
              <w:rPr>
                <w:bCs/>
                <w:sz w:val="18"/>
                <w:lang w:val="es-AR" w:eastAsia="es-AR"/>
              </w:rPr>
              <w:t xml:space="preserve"> </w:t>
            </w:r>
            <w:r w:rsidRPr="00500FFB">
              <w:rPr>
                <w:bCs/>
                <w:sz w:val="18"/>
                <w:lang w:val="es-AR" w:eastAsia="es-AR"/>
              </w:rPr>
              <w:t>817</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CABA</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226</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209</w:t>
            </w:r>
            <w:r w:rsidR="001E4A0E">
              <w:rPr>
                <w:bCs/>
                <w:sz w:val="18"/>
                <w:lang w:val="es-AR" w:eastAsia="es-AR"/>
              </w:rPr>
              <w:t xml:space="preserve"> </w:t>
            </w:r>
            <w:r w:rsidRPr="00500FFB">
              <w:rPr>
                <w:bCs/>
                <w:sz w:val="18"/>
                <w:lang w:val="es-AR" w:eastAsia="es-AR"/>
              </w:rPr>
              <w:t>334</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Catamarca</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351</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81</w:t>
            </w:r>
            <w:r w:rsidR="001E4A0E">
              <w:rPr>
                <w:bCs/>
                <w:sz w:val="18"/>
                <w:lang w:val="es-AR" w:eastAsia="es-AR"/>
              </w:rPr>
              <w:t xml:space="preserve"> </w:t>
            </w:r>
            <w:r w:rsidRPr="00500FFB">
              <w:rPr>
                <w:bCs/>
                <w:sz w:val="18"/>
                <w:lang w:val="es-AR" w:eastAsia="es-AR"/>
              </w:rPr>
              <w:t>689</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Chaco</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377</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193</w:t>
            </w:r>
            <w:r w:rsidR="001E4A0E">
              <w:rPr>
                <w:bCs/>
                <w:sz w:val="18"/>
                <w:lang w:val="es-AR" w:eastAsia="es-AR"/>
              </w:rPr>
              <w:t xml:space="preserve"> </w:t>
            </w:r>
            <w:r w:rsidRPr="00500FFB">
              <w:rPr>
                <w:bCs/>
                <w:sz w:val="18"/>
                <w:lang w:val="es-AR" w:eastAsia="es-AR"/>
              </w:rPr>
              <w:t>242</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Chubut</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240</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95</w:t>
            </w:r>
            <w:r w:rsidR="001E4A0E">
              <w:rPr>
                <w:bCs/>
                <w:sz w:val="18"/>
                <w:lang w:val="es-AR" w:eastAsia="es-AR"/>
              </w:rPr>
              <w:t xml:space="preserve"> </w:t>
            </w:r>
            <w:r w:rsidRPr="00500FFB">
              <w:rPr>
                <w:bCs/>
                <w:sz w:val="18"/>
                <w:lang w:val="es-AR" w:eastAsia="es-AR"/>
              </w:rPr>
              <w:t>077</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 xml:space="preserve">Córdoba </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716</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345</w:t>
            </w:r>
            <w:r w:rsidR="001E4A0E">
              <w:rPr>
                <w:bCs/>
                <w:sz w:val="18"/>
                <w:lang w:val="es-AR" w:eastAsia="es-AR"/>
              </w:rPr>
              <w:t xml:space="preserve"> </w:t>
            </w:r>
            <w:r w:rsidRPr="00500FFB">
              <w:rPr>
                <w:bCs/>
                <w:sz w:val="18"/>
                <w:lang w:val="es-AR" w:eastAsia="es-AR"/>
              </w:rPr>
              <w:t>966</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Corrientes</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343</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176</w:t>
            </w:r>
            <w:r w:rsidR="001E4A0E">
              <w:rPr>
                <w:bCs/>
                <w:sz w:val="18"/>
                <w:lang w:val="es-AR" w:eastAsia="es-AR"/>
              </w:rPr>
              <w:t xml:space="preserve"> </w:t>
            </w:r>
            <w:r w:rsidRPr="00500FFB">
              <w:rPr>
                <w:bCs/>
                <w:sz w:val="18"/>
                <w:lang w:val="es-AR" w:eastAsia="es-AR"/>
              </w:rPr>
              <w:t>685</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Entre Ríos</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496</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191</w:t>
            </w:r>
            <w:r w:rsidR="001E4A0E">
              <w:rPr>
                <w:bCs/>
                <w:sz w:val="18"/>
                <w:lang w:val="es-AR" w:eastAsia="es-AR"/>
              </w:rPr>
              <w:t xml:space="preserve"> </w:t>
            </w:r>
            <w:r w:rsidRPr="00500FFB">
              <w:rPr>
                <w:bCs/>
                <w:sz w:val="18"/>
                <w:lang w:val="es-AR" w:eastAsia="es-AR"/>
              </w:rPr>
              <w:t>118</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Formosa</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376</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112</w:t>
            </w:r>
            <w:r w:rsidR="001E4A0E">
              <w:rPr>
                <w:bCs/>
                <w:sz w:val="18"/>
                <w:lang w:val="es-AR" w:eastAsia="es-AR"/>
              </w:rPr>
              <w:t xml:space="preserve"> </w:t>
            </w:r>
            <w:r w:rsidRPr="00500FFB">
              <w:rPr>
                <w:bCs/>
                <w:sz w:val="18"/>
                <w:lang w:val="es-AR" w:eastAsia="es-AR"/>
              </w:rPr>
              <w:t>465</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Jujuy</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240</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130</w:t>
            </w:r>
            <w:r w:rsidR="001E4A0E">
              <w:rPr>
                <w:bCs/>
                <w:sz w:val="18"/>
                <w:lang w:val="es-AR" w:eastAsia="es-AR"/>
              </w:rPr>
              <w:t xml:space="preserve"> </w:t>
            </w:r>
            <w:r w:rsidRPr="00500FFB">
              <w:rPr>
                <w:bCs/>
                <w:sz w:val="18"/>
                <w:lang w:val="es-AR" w:eastAsia="es-AR"/>
              </w:rPr>
              <w:t>176</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La Pampa</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175</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56</w:t>
            </w:r>
            <w:r w:rsidR="001E4A0E">
              <w:rPr>
                <w:bCs/>
                <w:sz w:val="18"/>
                <w:lang w:val="es-AR" w:eastAsia="es-AR"/>
              </w:rPr>
              <w:t xml:space="preserve"> </w:t>
            </w:r>
            <w:r w:rsidRPr="00500FFB">
              <w:rPr>
                <w:bCs/>
                <w:sz w:val="18"/>
                <w:lang w:val="es-AR" w:eastAsia="es-AR"/>
              </w:rPr>
              <w:t>734</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La Rioja</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128</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53</w:t>
            </w:r>
            <w:r w:rsidR="001E4A0E">
              <w:rPr>
                <w:bCs/>
                <w:sz w:val="18"/>
                <w:lang w:val="es-AR" w:eastAsia="es-AR"/>
              </w:rPr>
              <w:t xml:space="preserve"> </w:t>
            </w:r>
            <w:r w:rsidRPr="00500FFB">
              <w:rPr>
                <w:bCs/>
                <w:sz w:val="18"/>
                <w:lang w:val="es-AR" w:eastAsia="es-AR"/>
              </w:rPr>
              <w:t>999</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Mendoza</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361</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226</w:t>
            </w:r>
            <w:r w:rsidR="001E4A0E">
              <w:rPr>
                <w:bCs/>
                <w:sz w:val="18"/>
                <w:lang w:val="es-AR" w:eastAsia="es-AR"/>
              </w:rPr>
              <w:t xml:space="preserve"> </w:t>
            </w:r>
            <w:r w:rsidRPr="00500FFB">
              <w:rPr>
                <w:bCs/>
                <w:sz w:val="18"/>
                <w:lang w:val="es-AR" w:eastAsia="es-AR"/>
              </w:rPr>
              <w:t>089</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Misiones</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567</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159</w:t>
            </w:r>
            <w:r w:rsidR="001E4A0E">
              <w:rPr>
                <w:bCs/>
                <w:sz w:val="18"/>
                <w:lang w:val="es-AR" w:eastAsia="es-AR"/>
              </w:rPr>
              <w:t xml:space="preserve"> </w:t>
            </w:r>
            <w:r w:rsidRPr="00500FFB">
              <w:rPr>
                <w:bCs/>
                <w:sz w:val="18"/>
                <w:lang w:val="es-AR" w:eastAsia="es-AR"/>
              </w:rPr>
              <w:t>076</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Neuquén</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146</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110</w:t>
            </w:r>
            <w:r w:rsidR="001E4A0E">
              <w:rPr>
                <w:bCs/>
                <w:sz w:val="18"/>
                <w:lang w:val="es-AR" w:eastAsia="es-AR"/>
              </w:rPr>
              <w:t xml:space="preserve"> </w:t>
            </w:r>
            <w:r w:rsidRPr="00500FFB">
              <w:rPr>
                <w:bCs/>
                <w:sz w:val="18"/>
                <w:lang w:val="es-AR" w:eastAsia="es-AR"/>
              </w:rPr>
              <w:t>285</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Río Negro</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193</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100</w:t>
            </w:r>
            <w:r w:rsidR="001E4A0E">
              <w:rPr>
                <w:bCs/>
                <w:sz w:val="18"/>
                <w:lang w:val="es-AR" w:eastAsia="es-AR"/>
              </w:rPr>
              <w:t xml:space="preserve"> </w:t>
            </w:r>
            <w:r w:rsidRPr="00500FFB">
              <w:rPr>
                <w:bCs/>
                <w:sz w:val="18"/>
                <w:lang w:val="es-AR" w:eastAsia="es-AR"/>
              </w:rPr>
              <w:t>056</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Salta</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322</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207</w:t>
            </w:r>
            <w:r w:rsidR="001E4A0E">
              <w:rPr>
                <w:bCs/>
                <w:sz w:val="18"/>
                <w:lang w:val="es-AR" w:eastAsia="es-AR"/>
              </w:rPr>
              <w:t xml:space="preserve"> </w:t>
            </w:r>
            <w:r w:rsidRPr="00500FFB">
              <w:rPr>
                <w:bCs/>
                <w:sz w:val="18"/>
                <w:lang w:val="es-AR" w:eastAsia="es-AR"/>
              </w:rPr>
              <w:t>245</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San Juan</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274</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100</w:t>
            </w:r>
            <w:r w:rsidR="001E4A0E">
              <w:rPr>
                <w:bCs/>
                <w:sz w:val="18"/>
                <w:lang w:val="es-AR" w:eastAsia="es-AR"/>
              </w:rPr>
              <w:t xml:space="preserve"> </w:t>
            </w:r>
            <w:r w:rsidRPr="00500FFB">
              <w:rPr>
                <w:bCs/>
                <w:sz w:val="18"/>
                <w:lang w:val="es-AR" w:eastAsia="es-AR"/>
              </w:rPr>
              <w:t>934</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San Luis</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186</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78</w:t>
            </w:r>
            <w:r w:rsidR="001E4A0E">
              <w:rPr>
                <w:bCs/>
                <w:sz w:val="18"/>
                <w:lang w:val="es-AR" w:eastAsia="es-AR"/>
              </w:rPr>
              <w:t xml:space="preserve"> </w:t>
            </w:r>
            <w:r w:rsidRPr="00500FFB">
              <w:rPr>
                <w:bCs/>
                <w:sz w:val="18"/>
                <w:lang w:val="es-AR" w:eastAsia="es-AR"/>
              </w:rPr>
              <w:t>172</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Santa Cruz</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134</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45</w:t>
            </w:r>
            <w:r w:rsidR="001E4A0E">
              <w:rPr>
                <w:bCs/>
                <w:sz w:val="18"/>
                <w:lang w:val="es-AR" w:eastAsia="es-AR"/>
              </w:rPr>
              <w:t xml:space="preserve"> </w:t>
            </w:r>
            <w:r w:rsidRPr="00500FFB">
              <w:rPr>
                <w:bCs/>
                <w:sz w:val="18"/>
                <w:lang w:val="es-AR" w:eastAsia="es-AR"/>
              </w:rPr>
              <w:t>920</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Santa Fe</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746</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317</w:t>
            </w:r>
            <w:r w:rsidR="001E4A0E">
              <w:rPr>
                <w:bCs/>
                <w:sz w:val="18"/>
                <w:lang w:val="es-AR" w:eastAsia="es-AR"/>
              </w:rPr>
              <w:t xml:space="preserve"> </w:t>
            </w:r>
            <w:r w:rsidRPr="00500FFB">
              <w:rPr>
                <w:bCs/>
                <w:sz w:val="18"/>
                <w:lang w:val="es-AR" w:eastAsia="es-AR"/>
              </w:rPr>
              <w:t>985</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Santiago del Estero</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241</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111</w:t>
            </w:r>
            <w:r w:rsidR="001E4A0E">
              <w:rPr>
                <w:bCs/>
                <w:sz w:val="18"/>
                <w:lang w:val="es-AR" w:eastAsia="es-AR"/>
              </w:rPr>
              <w:t xml:space="preserve"> </w:t>
            </w:r>
            <w:r w:rsidRPr="00500FFB">
              <w:rPr>
                <w:bCs/>
                <w:sz w:val="18"/>
                <w:lang w:val="es-AR" w:eastAsia="es-AR"/>
              </w:rPr>
              <w:t>550</w:t>
            </w:r>
          </w:p>
        </w:tc>
      </w:tr>
      <w:tr w:rsidR="001E4A0E" w:rsidRPr="001E4A0E" w:rsidTr="00500FFB">
        <w:trPr>
          <w:trHeight w:val="240"/>
        </w:trPr>
        <w:tc>
          <w:tcPr>
            <w:tcW w:w="2743" w:type="dxa"/>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lastRenderedPageBreak/>
              <w:t>Tierra del Fuego</w:t>
            </w:r>
          </w:p>
        </w:tc>
        <w:tc>
          <w:tcPr>
            <w:tcW w:w="1895"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43</w:t>
            </w:r>
          </w:p>
        </w:tc>
        <w:tc>
          <w:tcPr>
            <w:tcW w:w="2640" w:type="dxa"/>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22</w:t>
            </w:r>
            <w:r w:rsidR="001E4A0E">
              <w:rPr>
                <w:bCs/>
                <w:sz w:val="18"/>
                <w:lang w:val="es-AR" w:eastAsia="es-AR"/>
              </w:rPr>
              <w:t xml:space="preserve"> </w:t>
            </w:r>
            <w:r w:rsidRPr="00500FFB">
              <w:rPr>
                <w:bCs/>
                <w:sz w:val="18"/>
                <w:lang w:val="es-AR" w:eastAsia="es-AR"/>
              </w:rPr>
              <w:t>897</w:t>
            </w:r>
          </w:p>
        </w:tc>
      </w:tr>
      <w:tr w:rsidR="001E4A0E" w:rsidRPr="001E4A0E" w:rsidTr="00500FFB">
        <w:trPr>
          <w:trHeight w:val="240"/>
        </w:trPr>
        <w:tc>
          <w:tcPr>
            <w:tcW w:w="2743" w:type="dxa"/>
            <w:tcBorders>
              <w:bottom w:val="single" w:sz="4" w:space="0" w:color="auto"/>
            </w:tcBorders>
            <w:shd w:val="clear" w:color="auto" w:fill="auto"/>
            <w:noWrap/>
            <w:hideMark/>
          </w:tcPr>
          <w:p w:rsidR="00C21DAA" w:rsidRPr="00500FFB" w:rsidRDefault="00115B35">
            <w:pPr>
              <w:spacing w:before="40" w:after="40" w:line="220" w:lineRule="exact"/>
              <w:rPr>
                <w:bCs/>
                <w:sz w:val="18"/>
                <w:lang w:val="es-AR" w:eastAsia="es-AR"/>
              </w:rPr>
            </w:pPr>
            <w:r w:rsidRPr="00500FFB">
              <w:rPr>
                <w:bCs/>
                <w:sz w:val="18"/>
                <w:lang w:val="es-AR" w:eastAsia="es-AR"/>
              </w:rPr>
              <w:t>Tucumán</w:t>
            </w:r>
          </w:p>
        </w:tc>
        <w:tc>
          <w:tcPr>
            <w:tcW w:w="1895" w:type="dxa"/>
            <w:tcBorders>
              <w:bottom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505</w:t>
            </w:r>
          </w:p>
        </w:tc>
        <w:tc>
          <w:tcPr>
            <w:tcW w:w="2640" w:type="dxa"/>
            <w:tcBorders>
              <w:bottom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230</w:t>
            </w:r>
            <w:r w:rsidR="001E4A0E">
              <w:rPr>
                <w:bCs/>
                <w:sz w:val="18"/>
                <w:lang w:val="es-AR" w:eastAsia="es-AR"/>
              </w:rPr>
              <w:t xml:space="preserve"> </w:t>
            </w:r>
            <w:r w:rsidRPr="00500FFB">
              <w:rPr>
                <w:bCs/>
                <w:sz w:val="18"/>
                <w:lang w:val="es-AR" w:eastAsia="es-AR"/>
              </w:rPr>
              <w:t>647</w:t>
            </w:r>
          </w:p>
        </w:tc>
      </w:tr>
      <w:tr w:rsidR="001E4A0E" w:rsidRPr="00D5464A" w:rsidTr="00500FFB">
        <w:trPr>
          <w:trHeight w:val="240"/>
        </w:trPr>
        <w:tc>
          <w:tcPr>
            <w:tcW w:w="2743" w:type="dxa"/>
            <w:tcBorders>
              <w:top w:val="single" w:sz="4" w:space="0" w:color="auto"/>
              <w:bottom w:val="single" w:sz="12" w:space="0" w:color="auto"/>
            </w:tcBorders>
            <w:shd w:val="clear" w:color="auto" w:fill="auto"/>
            <w:noWrap/>
            <w:hideMark/>
          </w:tcPr>
          <w:p w:rsidR="00C21DAA" w:rsidRPr="00D5464A" w:rsidRDefault="00115B35" w:rsidP="00500FFB">
            <w:pPr>
              <w:spacing w:before="80" w:after="80" w:line="220" w:lineRule="exact"/>
              <w:ind w:left="284"/>
              <w:rPr>
                <w:b/>
                <w:bCs/>
                <w:sz w:val="18"/>
                <w:lang w:val="es-AR" w:eastAsia="es-AR"/>
              </w:rPr>
            </w:pPr>
            <w:r w:rsidRPr="00D5464A">
              <w:rPr>
                <w:b/>
                <w:bCs/>
                <w:sz w:val="18"/>
                <w:lang w:val="es-AR" w:eastAsia="es-AR"/>
              </w:rPr>
              <w:t>Totales</w:t>
            </w:r>
          </w:p>
        </w:tc>
        <w:tc>
          <w:tcPr>
            <w:tcW w:w="1895" w:type="dxa"/>
            <w:tcBorders>
              <w:top w:val="single" w:sz="4" w:space="0" w:color="auto"/>
              <w:bottom w:val="single" w:sz="12" w:space="0" w:color="auto"/>
            </w:tcBorders>
            <w:shd w:val="clear" w:color="auto" w:fill="auto"/>
            <w:noWrap/>
            <w:vAlign w:val="bottom"/>
            <w:hideMark/>
          </w:tcPr>
          <w:p w:rsidR="00C21DAA" w:rsidRPr="00D5464A" w:rsidRDefault="00115B35" w:rsidP="00500FFB">
            <w:pPr>
              <w:spacing w:before="80" w:after="80" w:line="220" w:lineRule="exact"/>
              <w:ind w:left="113"/>
              <w:jc w:val="right"/>
              <w:rPr>
                <w:b/>
                <w:bCs/>
                <w:sz w:val="18"/>
                <w:lang w:val="es-AR" w:eastAsia="es-AR"/>
              </w:rPr>
            </w:pPr>
            <w:r w:rsidRPr="00D5464A">
              <w:rPr>
                <w:b/>
                <w:bCs/>
                <w:sz w:val="18"/>
                <w:lang w:val="es-AR" w:eastAsia="es-AR"/>
              </w:rPr>
              <w:t>11</w:t>
            </w:r>
            <w:r w:rsidR="001E4A0E" w:rsidRPr="00500FFB">
              <w:rPr>
                <w:b/>
                <w:bCs/>
                <w:sz w:val="18"/>
                <w:lang w:val="es-AR" w:eastAsia="es-AR"/>
              </w:rPr>
              <w:t xml:space="preserve"> </w:t>
            </w:r>
            <w:r w:rsidRPr="00D5464A">
              <w:rPr>
                <w:b/>
                <w:bCs/>
                <w:sz w:val="18"/>
                <w:lang w:val="es-AR" w:eastAsia="es-AR"/>
              </w:rPr>
              <w:t>583</w:t>
            </w:r>
          </w:p>
        </w:tc>
        <w:tc>
          <w:tcPr>
            <w:tcW w:w="2640" w:type="dxa"/>
            <w:tcBorders>
              <w:top w:val="single" w:sz="4" w:space="0" w:color="auto"/>
              <w:bottom w:val="single" w:sz="12" w:space="0" w:color="auto"/>
            </w:tcBorders>
            <w:shd w:val="clear" w:color="auto" w:fill="auto"/>
            <w:noWrap/>
            <w:vAlign w:val="bottom"/>
            <w:hideMark/>
          </w:tcPr>
          <w:p w:rsidR="00C21DAA" w:rsidRPr="00D5464A" w:rsidRDefault="00115B35" w:rsidP="00500FFB">
            <w:pPr>
              <w:spacing w:before="80" w:after="80" w:line="220" w:lineRule="exact"/>
              <w:ind w:left="113"/>
              <w:jc w:val="right"/>
              <w:rPr>
                <w:b/>
                <w:bCs/>
                <w:sz w:val="18"/>
                <w:lang w:val="es-AR" w:eastAsia="es-AR"/>
              </w:rPr>
            </w:pPr>
            <w:r w:rsidRPr="00D5464A">
              <w:rPr>
                <w:b/>
                <w:bCs/>
                <w:sz w:val="18"/>
                <w:lang w:val="es-AR" w:eastAsia="es-AR"/>
              </w:rPr>
              <w:t>5</w:t>
            </w:r>
            <w:r w:rsidR="001E4A0E" w:rsidRPr="00500FFB">
              <w:rPr>
                <w:b/>
                <w:bCs/>
                <w:sz w:val="18"/>
                <w:lang w:val="es-AR" w:eastAsia="es-AR"/>
              </w:rPr>
              <w:t xml:space="preserve"> </w:t>
            </w:r>
            <w:r w:rsidRPr="00D5464A">
              <w:rPr>
                <w:b/>
                <w:bCs/>
                <w:sz w:val="18"/>
                <w:lang w:val="es-AR" w:eastAsia="es-AR"/>
              </w:rPr>
              <w:t>317</w:t>
            </w:r>
            <w:r w:rsidR="001E4A0E" w:rsidRPr="00500FFB">
              <w:rPr>
                <w:b/>
                <w:bCs/>
                <w:sz w:val="18"/>
                <w:lang w:val="es-AR" w:eastAsia="es-AR"/>
              </w:rPr>
              <w:t xml:space="preserve"> </w:t>
            </w:r>
            <w:r w:rsidRPr="00D5464A">
              <w:rPr>
                <w:b/>
                <w:bCs/>
                <w:sz w:val="18"/>
                <w:lang w:val="es-AR" w:eastAsia="es-AR"/>
              </w:rPr>
              <w:t>158</w:t>
            </w:r>
          </w:p>
        </w:tc>
      </w:tr>
    </w:tbl>
    <w:p w:rsidR="00C21DAA" w:rsidRPr="00FE07FE" w:rsidRDefault="00115B35" w:rsidP="00500FFB">
      <w:pPr>
        <w:pStyle w:val="Ttulo1"/>
        <w:spacing w:before="240"/>
        <w:ind w:left="0"/>
        <w:rPr>
          <w:lang w:val="es-AR"/>
        </w:rPr>
      </w:pPr>
      <w:r w:rsidRPr="00FE07FE">
        <w:rPr>
          <w:lang w:val="es-AR"/>
        </w:rPr>
        <w:t>Cuadro 7</w:t>
      </w:r>
      <w:r w:rsidRPr="00FE07FE">
        <w:rPr>
          <w:rStyle w:val="Refdenotaalpie"/>
          <w:lang w:val="es-AR"/>
        </w:rPr>
        <w:footnoteReference w:id="18"/>
      </w:r>
    </w:p>
    <w:p w:rsidR="00C21DAA" w:rsidRPr="00500FFB" w:rsidRDefault="00115B35" w:rsidP="00500FFB">
      <w:pPr>
        <w:pStyle w:val="SingleTxtG"/>
        <w:spacing w:line="220" w:lineRule="atLeast"/>
        <w:ind w:left="0"/>
        <w:jc w:val="left"/>
        <w:rPr>
          <w:sz w:val="16"/>
          <w:szCs w:val="16"/>
        </w:rPr>
      </w:pPr>
      <w:r w:rsidRPr="00FE07FE">
        <w:rPr>
          <w:b/>
          <w:lang w:val="es-AR"/>
        </w:rPr>
        <w:t xml:space="preserve">Inversión Social Consolidada dirigida a la Niñez (Nación – provincias) por categoría </w:t>
      </w:r>
      <w:r w:rsidR="001E4A0E">
        <w:rPr>
          <w:b/>
          <w:lang w:val="es-AR"/>
        </w:rPr>
        <w:br/>
      </w:r>
      <w:r w:rsidRPr="00FE07FE">
        <w:rPr>
          <w:b/>
          <w:lang w:val="es-AR"/>
        </w:rPr>
        <w:t>inversión, 2001-2013</w:t>
      </w:r>
      <w:r w:rsidR="001E4A0E">
        <w:rPr>
          <w:b/>
        </w:rPr>
        <w:br/>
      </w:r>
      <w:r w:rsidR="001E4A0E" w:rsidRPr="00500FFB">
        <w:rPr>
          <w:sz w:val="16"/>
          <w:szCs w:val="16"/>
        </w:rPr>
        <w:t>(</w:t>
      </w:r>
      <w:r w:rsidRPr="00500FFB">
        <w:rPr>
          <w:sz w:val="16"/>
          <w:szCs w:val="16"/>
        </w:rPr>
        <w:t>En porcentajes del PBI</w:t>
      </w:r>
      <w:r w:rsidR="001E4A0E" w:rsidRPr="00500FFB">
        <w:rPr>
          <w:sz w:val="16"/>
          <w:szCs w:val="16"/>
        </w:rPr>
        <w:t>)</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694"/>
        <w:gridCol w:w="409"/>
        <w:gridCol w:w="535"/>
        <w:gridCol w:w="529"/>
        <w:gridCol w:w="597"/>
        <w:gridCol w:w="708"/>
        <w:gridCol w:w="770"/>
        <w:gridCol w:w="727"/>
        <w:gridCol w:w="694"/>
        <w:gridCol w:w="780"/>
        <w:gridCol w:w="481"/>
        <w:gridCol w:w="640"/>
        <w:gridCol w:w="644"/>
        <w:gridCol w:w="627"/>
        <w:gridCol w:w="663"/>
      </w:tblGrid>
      <w:tr w:rsidR="001E4A0E" w:rsidRPr="001E4A0E" w:rsidTr="001E4A0E">
        <w:trPr>
          <w:trHeight w:val="240"/>
          <w:tblHeader/>
        </w:trPr>
        <w:tc>
          <w:tcPr>
            <w:tcW w:w="366" w:type="pct"/>
            <w:vMerge w:val="restart"/>
            <w:tcBorders>
              <w:top w:val="single" w:sz="4" w:space="0" w:color="auto"/>
              <w:bottom w:val="single" w:sz="12" w:space="0" w:color="auto"/>
            </w:tcBorders>
            <w:shd w:val="clear" w:color="auto" w:fill="auto"/>
            <w:vAlign w:val="bottom"/>
            <w:hideMark/>
          </w:tcPr>
          <w:p w:rsidR="00C21DAA" w:rsidRPr="00500FFB" w:rsidRDefault="00115B35">
            <w:pPr>
              <w:spacing w:before="80" w:after="80" w:line="200" w:lineRule="exact"/>
              <w:rPr>
                <w:bCs/>
                <w:i/>
                <w:sz w:val="14"/>
                <w:szCs w:val="14"/>
                <w:lang w:val="es-AR" w:eastAsia="es-AR"/>
              </w:rPr>
            </w:pPr>
            <w:r w:rsidRPr="00500FFB">
              <w:rPr>
                <w:bCs/>
                <w:i/>
                <w:sz w:val="14"/>
                <w:szCs w:val="14"/>
                <w:lang w:val="es-AR" w:eastAsia="es-AR"/>
              </w:rPr>
              <w:t>Categoría de inversión</w:t>
            </w:r>
          </w:p>
        </w:tc>
        <w:tc>
          <w:tcPr>
            <w:tcW w:w="773" w:type="pct"/>
            <w:gridSpan w:val="3"/>
            <w:tcBorders>
              <w:top w:val="single" w:sz="4" w:space="0" w:color="auto"/>
              <w:bottom w:val="single" w:sz="4" w:space="0" w:color="auto"/>
            </w:tcBorders>
            <w:shd w:val="clear" w:color="auto" w:fill="auto"/>
            <w:noWrap/>
            <w:vAlign w:val="bottom"/>
            <w:hideMark/>
          </w:tcPr>
          <w:p w:rsidR="00C21DAA" w:rsidRPr="00500FFB" w:rsidRDefault="00115B35" w:rsidP="00500FFB">
            <w:pPr>
              <w:spacing w:before="80" w:after="80" w:line="200" w:lineRule="exact"/>
              <w:ind w:left="113"/>
              <w:jc w:val="center"/>
              <w:rPr>
                <w:i/>
                <w:sz w:val="14"/>
                <w:szCs w:val="14"/>
                <w:lang w:val="es-AR" w:eastAsia="es-AR"/>
              </w:rPr>
            </w:pPr>
            <w:r w:rsidRPr="00500FFB">
              <w:rPr>
                <w:i/>
                <w:sz w:val="14"/>
                <w:szCs w:val="14"/>
                <w:lang w:val="es-AR" w:eastAsia="es-AR"/>
              </w:rPr>
              <w:t>Ayuda directa</w:t>
            </w:r>
          </w:p>
        </w:tc>
        <w:tc>
          <w:tcPr>
            <w:tcW w:w="315"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Cond.  de vida</w:t>
            </w:r>
          </w:p>
        </w:tc>
        <w:tc>
          <w:tcPr>
            <w:tcW w:w="373"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Deporte, recr. y cultura</w:t>
            </w:r>
          </w:p>
        </w:tc>
        <w:tc>
          <w:tcPr>
            <w:tcW w:w="406"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Desarr. e integración</w:t>
            </w:r>
          </w:p>
        </w:tc>
        <w:tc>
          <w:tcPr>
            <w:tcW w:w="383" w:type="pct"/>
            <w:vMerge w:val="restart"/>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Educación</w:t>
            </w:r>
          </w:p>
        </w:tc>
        <w:tc>
          <w:tcPr>
            <w:tcW w:w="366"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Nutrición y aliment.</w:t>
            </w:r>
          </w:p>
        </w:tc>
        <w:tc>
          <w:tcPr>
            <w:tcW w:w="411"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Protección del niño</w:t>
            </w:r>
          </w:p>
        </w:tc>
        <w:tc>
          <w:tcPr>
            <w:tcW w:w="253" w:type="pct"/>
            <w:vMerge w:val="restart"/>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Salud</w:t>
            </w:r>
          </w:p>
        </w:tc>
        <w:tc>
          <w:tcPr>
            <w:tcW w:w="337"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Obras Sociales</w:t>
            </w:r>
          </w:p>
        </w:tc>
        <w:tc>
          <w:tcPr>
            <w:tcW w:w="339"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Ciencia y técnica</w:t>
            </w:r>
          </w:p>
        </w:tc>
        <w:tc>
          <w:tcPr>
            <w:tcW w:w="329"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Servicios Urbanos</w:t>
            </w:r>
          </w:p>
        </w:tc>
        <w:tc>
          <w:tcPr>
            <w:tcW w:w="350" w:type="pct"/>
            <w:vMerge w:val="restar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bCs/>
                <w:i/>
                <w:sz w:val="14"/>
                <w:szCs w:val="14"/>
                <w:lang w:val="es-AR" w:eastAsia="es-AR"/>
              </w:rPr>
            </w:pPr>
            <w:r w:rsidRPr="00500FFB">
              <w:rPr>
                <w:bCs/>
                <w:i/>
                <w:sz w:val="14"/>
                <w:szCs w:val="14"/>
                <w:lang w:val="es-AR" w:eastAsia="es-AR"/>
              </w:rPr>
              <w:t>Total General</w:t>
            </w:r>
          </w:p>
        </w:tc>
      </w:tr>
      <w:tr w:rsidR="00130607" w:rsidRPr="001E4A0E" w:rsidTr="001E4A0E">
        <w:trPr>
          <w:trHeight w:val="240"/>
          <w:tblHeader/>
        </w:trPr>
        <w:tc>
          <w:tcPr>
            <w:tcW w:w="366" w:type="pct"/>
            <w:vMerge/>
            <w:tcBorders>
              <w:top w:val="single" w:sz="12" w:space="0" w:color="auto"/>
              <w:bottom w:val="single" w:sz="12" w:space="0" w:color="auto"/>
            </w:tcBorders>
            <w:shd w:val="clear" w:color="auto" w:fill="auto"/>
            <w:vAlign w:val="bottom"/>
            <w:hideMark/>
          </w:tcPr>
          <w:p w:rsidR="00C21DAA" w:rsidRPr="00500FFB" w:rsidRDefault="00C21DAA">
            <w:pPr>
              <w:spacing w:before="40" w:after="40" w:line="220" w:lineRule="exact"/>
              <w:rPr>
                <w:bCs/>
                <w:sz w:val="16"/>
                <w:szCs w:val="16"/>
                <w:lang w:val="es-AR" w:eastAsia="es-AR"/>
              </w:rPr>
            </w:pPr>
          </w:p>
        </w:tc>
        <w:tc>
          <w:tcPr>
            <w:tcW w:w="212" w:type="pc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Total</w:t>
            </w:r>
          </w:p>
        </w:tc>
        <w:tc>
          <w:tcPr>
            <w:tcW w:w="282" w:type="pc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Asig.  Fam.</w:t>
            </w:r>
          </w:p>
        </w:tc>
        <w:tc>
          <w:tcPr>
            <w:tcW w:w="279" w:type="pct"/>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ind w:left="113"/>
              <w:jc w:val="right"/>
              <w:rPr>
                <w:i/>
                <w:sz w:val="14"/>
                <w:szCs w:val="14"/>
                <w:lang w:val="es-AR" w:eastAsia="es-AR"/>
              </w:rPr>
            </w:pPr>
            <w:r w:rsidRPr="00500FFB">
              <w:rPr>
                <w:i/>
                <w:sz w:val="14"/>
                <w:szCs w:val="14"/>
                <w:lang w:val="es-AR" w:eastAsia="es-AR"/>
              </w:rPr>
              <w:t xml:space="preserve">Resto </w:t>
            </w:r>
          </w:p>
        </w:tc>
        <w:tc>
          <w:tcPr>
            <w:tcW w:w="315"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373"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406"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383"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366"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411"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253"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337"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339"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329"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sz w:val="16"/>
                <w:szCs w:val="16"/>
                <w:lang w:val="es-AR" w:eastAsia="es-AR"/>
              </w:rPr>
            </w:pPr>
          </w:p>
        </w:tc>
        <w:tc>
          <w:tcPr>
            <w:tcW w:w="350" w:type="pct"/>
            <w:vMerge/>
            <w:tcBorders>
              <w:top w:val="single" w:sz="12" w:space="0" w:color="auto"/>
              <w:bottom w:val="single" w:sz="12" w:space="0" w:color="auto"/>
            </w:tcBorders>
            <w:shd w:val="clear" w:color="auto" w:fill="auto"/>
            <w:vAlign w:val="bottom"/>
            <w:hideMark/>
          </w:tcPr>
          <w:p w:rsidR="00C21DAA" w:rsidRPr="00500FFB" w:rsidRDefault="00C21DAA" w:rsidP="00500FFB">
            <w:pPr>
              <w:spacing w:before="40" w:after="40" w:line="220" w:lineRule="exact"/>
              <w:ind w:left="113"/>
              <w:jc w:val="right"/>
              <w:rPr>
                <w:bCs/>
                <w:sz w:val="16"/>
                <w:szCs w:val="16"/>
                <w:lang w:val="es-AR" w:eastAsia="es-AR"/>
              </w:rPr>
            </w:pPr>
          </w:p>
        </w:tc>
      </w:tr>
      <w:tr w:rsidR="001E4A0E" w:rsidRPr="001E4A0E" w:rsidTr="00500FFB">
        <w:trPr>
          <w:trHeight w:val="240"/>
        </w:trPr>
        <w:tc>
          <w:tcPr>
            <w:tcW w:w="366" w:type="pct"/>
            <w:tcBorders>
              <w:top w:val="single" w:sz="12" w:space="0" w:color="auto"/>
            </w:tcBorders>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2001</w:t>
            </w:r>
          </w:p>
        </w:tc>
        <w:tc>
          <w:tcPr>
            <w:tcW w:w="212"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0,40</w:t>
            </w:r>
          </w:p>
        </w:tc>
        <w:tc>
          <w:tcPr>
            <w:tcW w:w="282"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0,29</w:t>
            </w:r>
          </w:p>
        </w:tc>
        <w:tc>
          <w:tcPr>
            <w:tcW w:w="279"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0,11</w:t>
            </w:r>
          </w:p>
        </w:tc>
        <w:tc>
          <w:tcPr>
            <w:tcW w:w="315"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0,17</w:t>
            </w:r>
          </w:p>
        </w:tc>
        <w:tc>
          <w:tcPr>
            <w:tcW w:w="373"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0,05</w:t>
            </w:r>
          </w:p>
        </w:tc>
        <w:tc>
          <w:tcPr>
            <w:tcW w:w="406"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0,01</w:t>
            </w:r>
          </w:p>
        </w:tc>
        <w:tc>
          <w:tcPr>
            <w:tcW w:w="383"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3,67</w:t>
            </w:r>
          </w:p>
        </w:tc>
        <w:tc>
          <w:tcPr>
            <w:tcW w:w="366"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0,18</w:t>
            </w:r>
          </w:p>
        </w:tc>
        <w:tc>
          <w:tcPr>
            <w:tcW w:w="411"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0,12</w:t>
            </w:r>
          </w:p>
        </w:tc>
        <w:tc>
          <w:tcPr>
            <w:tcW w:w="253"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0,72</w:t>
            </w:r>
          </w:p>
        </w:tc>
        <w:tc>
          <w:tcPr>
            <w:tcW w:w="337"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0,84</w:t>
            </w:r>
          </w:p>
        </w:tc>
        <w:tc>
          <w:tcPr>
            <w:tcW w:w="339"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0,06</w:t>
            </w:r>
          </w:p>
        </w:tc>
        <w:tc>
          <w:tcPr>
            <w:tcW w:w="329"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0,02</w:t>
            </w:r>
          </w:p>
        </w:tc>
        <w:tc>
          <w:tcPr>
            <w:tcW w:w="350" w:type="pct"/>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6,25</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2002</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0,68</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0,22</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0,46</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0,11</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0,01</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3,10</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0,24</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0,10</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0,67</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0,74</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0,06</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0,02</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5,76</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2003</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0,82</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0,20</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0,62</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0,14</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0,03</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0,01</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2,78</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0,28</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0,10</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0,64</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0,72</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0,06</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0,02</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5,61</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2004</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0,70</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0,19</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0,51</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0,18</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0,03</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0,01</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2,89</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0,27</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0,11</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0,64</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0,68</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0,06</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0,02</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5,59</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2005</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0,63</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0,22</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0,41</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0,30</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0,02</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3,31</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0,26</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0,14</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0,68</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0,72</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0,07</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0,02</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6,19</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2006</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0,57</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0,21</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0,35</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0,35</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0,02</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3,56</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0,25</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0,12</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0,68</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0,76</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0,08</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0,03</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6,46</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2007</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0,60</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0,25</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0,35</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0,33</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0,05</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0,02</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3,88</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0,25</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0,12</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0,73</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0,83</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0,08</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6,93</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2008</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0,61</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0,27</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0,34</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0,29</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0,05</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0,02</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4,18</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0,26</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0,13</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0,80</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0,84</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0,09</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0,05</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7,32</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2009</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0,72</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0,33</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0,38</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0,35</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0,05</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0,03</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4,62</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0,29</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0,15</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1,00</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1,03</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0,10</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8,37</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2010</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0,76</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0,45</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0,30</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0,31</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0,06</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0,03</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4,33</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0,28</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0,14</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0,92</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1,03</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0,10</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7,99</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2011</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0,80</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0,47</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0,33</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0,30</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0,07</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0,03</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4,79</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0,27</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0,13</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0,97</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1,10</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0,10</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8,60</w:t>
            </w:r>
          </w:p>
        </w:tc>
      </w:tr>
      <w:tr w:rsidR="001E4A0E" w:rsidRPr="001E4A0E" w:rsidTr="00500FFB">
        <w:trPr>
          <w:trHeight w:val="240"/>
        </w:trPr>
        <w:tc>
          <w:tcPr>
            <w:tcW w:w="366" w:type="pct"/>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2012</w:t>
            </w:r>
          </w:p>
        </w:tc>
        <w:tc>
          <w:tcPr>
            <w:tcW w:w="21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0,84</w:t>
            </w:r>
          </w:p>
        </w:tc>
        <w:tc>
          <w:tcPr>
            <w:tcW w:w="282"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0,44</w:t>
            </w:r>
          </w:p>
        </w:tc>
        <w:tc>
          <w:tcPr>
            <w:tcW w:w="279" w:type="pct"/>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0,40</w:t>
            </w:r>
          </w:p>
        </w:tc>
        <w:tc>
          <w:tcPr>
            <w:tcW w:w="315"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0,24</w:t>
            </w:r>
          </w:p>
        </w:tc>
        <w:tc>
          <w:tcPr>
            <w:tcW w:w="37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0,06</w:t>
            </w:r>
          </w:p>
        </w:tc>
        <w:tc>
          <w:tcPr>
            <w:tcW w:w="40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38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4,79</w:t>
            </w:r>
          </w:p>
        </w:tc>
        <w:tc>
          <w:tcPr>
            <w:tcW w:w="366"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0,24</w:t>
            </w:r>
          </w:p>
        </w:tc>
        <w:tc>
          <w:tcPr>
            <w:tcW w:w="411"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0,15</w:t>
            </w:r>
          </w:p>
        </w:tc>
        <w:tc>
          <w:tcPr>
            <w:tcW w:w="253"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1,22</w:t>
            </w:r>
          </w:p>
        </w:tc>
        <w:tc>
          <w:tcPr>
            <w:tcW w:w="337"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1,20</w:t>
            </w:r>
          </w:p>
        </w:tc>
        <w:tc>
          <w:tcPr>
            <w:tcW w:w="33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0,11</w:t>
            </w:r>
          </w:p>
        </w:tc>
        <w:tc>
          <w:tcPr>
            <w:tcW w:w="329"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350" w:type="pct"/>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8,92</w:t>
            </w:r>
          </w:p>
        </w:tc>
      </w:tr>
      <w:tr w:rsidR="001E4A0E" w:rsidRPr="001E4A0E" w:rsidTr="00500FFB">
        <w:trPr>
          <w:trHeight w:val="240"/>
        </w:trPr>
        <w:tc>
          <w:tcPr>
            <w:tcW w:w="366" w:type="pct"/>
            <w:tcBorders>
              <w:bottom w:val="single" w:sz="12" w:space="0" w:color="auto"/>
            </w:tcBorders>
            <w:shd w:val="clear" w:color="auto" w:fill="auto"/>
            <w:hideMark/>
          </w:tcPr>
          <w:p w:rsidR="00C21DAA" w:rsidRPr="00500FFB" w:rsidRDefault="00115B35">
            <w:pPr>
              <w:spacing w:before="40" w:after="40" w:line="220" w:lineRule="exact"/>
              <w:rPr>
                <w:bCs/>
                <w:sz w:val="16"/>
                <w:szCs w:val="16"/>
                <w:lang w:val="es-AR" w:eastAsia="es-AR"/>
              </w:rPr>
            </w:pPr>
            <w:r w:rsidRPr="00500FFB">
              <w:rPr>
                <w:bCs/>
                <w:sz w:val="16"/>
                <w:szCs w:val="16"/>
                <w:lang w:val="es-AR" w:eastAsia="es-AR"/>
              </w:rPr>
              <w:t>2013</w:t>
            </w:r>
          </w:p>
        </w:tc>
        <w:tc>
          <w:tcPr>
            <w:tcW w:w="21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0,88</w:t>
            </w:r>
          </w:p>
        </w:tc>
        <w:tc>
          <w:tcPr>
            <w:tcW w:w="28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0,48</w:t>
            </w:r>
          </w:p>
        </w:tc>
        <w:tc>
          <w:tcPr>
            <w:tcW w:w="279"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iCs/>
                <w:sz w:val="16"/>
                <w:szCs w:val="16"/>
                <w:lang w:val="es-AR" w:eastAsia="es-AR"/>
              </w:rPr>
            </w:pPr>
            <w:r w:rsidRPr="00500FFB">
              <w:rPr>
                <w:iCs/>
                <w:sz w:val="16"/>
                <w:szCs w:val="16"/>
                <w:lang w:val="es-AR" w:eastAsia="es-AR"/>
              </w:rPr>
              <w:t>0,40</w:t>
            </w:r>
          </w:p>
        </w:tc>
        <w:tc>
          <w:tcPr>
            <w:tcW w:w="315"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0,30</w:t>
            </w:r>
          </w:p>
        </w:tc>
        <w:tc>
          <w:tcPr>
            <w:tcW w:w="373"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0,06</w:t>
            </w:r>
          </w:p>
        </w:tc>
        <w:tc>
          <w:tcPr>
            <w:tcW w:w="406"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0,04</w:t>
            </w:r>
          </w:p>
        </w:tc>
        <w:tc>
          <w:tcPr>
            <w:tcW w:w="383"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4,85</w:t>
            </w:r>
          </w:p>
        </w:tc>
        <w:tc>
          <w:tcPr>
            <w:tcW w:w="366"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0,22</w:t>
            </w:r>
          </w:p>
        </w:tc>
        <w:tc>
          <w:tcPr>
            <w:tcW w:w="411"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0,15</w:t>
            </w:r>
          </w:p>
        </w:tc>
        <w:tc>
          <w:tcPr>
            <w:tcW w:w="253"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1,08</w:t>
            </w:r>
          </w:p>
        </w:tc>
        <w:tc>
          <w:tcPr>
            <w:tcW w:w="337"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1,23</w:t>
            </w:r>
          </w:p>
        </w:tc>
        <w:tc>
          <w:tcPr>
            <w:tcW w:w="339"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0,10</w:t>
            </w:r>
          </w:p>
        </w:tc>
        <w:tc>
          <w:tcPr>
            <w:tcW w:w="329"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s-AR" w:eastAsia="es-AR"/>
              </w:rPr>
            </w:pPr>
            <w:r w:rsidRPr="00500FFB">
              <w:rPr>
                <w:sz w:val="16"/>
                <w:szCs w:val="16"/>
                <w:lang w:val="es-AR" w:eastAsia="es-AR"/>
              </w:rPr>
              <w:t>0,05</w:t>
            </w:r>
          </w:p>
        </w:tc>
        <w:tc>
          <w:tcPr>
            <w:tcW w:w="350"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6"/>
                <w:szCs w:val="16"/>
                <w:lang w:val="es-AR" w:eastAsia="es-AR"/>
              </w:rPr>
            </w:pPr>
            <w:r w:rsidRPr="00500FFB">
              <w:rPr>
                <w:bCs/>
                <w:sz w:val="16"/>
                <w:szCs w:val="16"/>
                <w:lang w:val="es-AR" w:eastAsia="es-AR"/>
              </w:rPr>
              <w:t>8,97</w:t>
            </w:r>
          </w:p>
        </w:tc>
      </w:tr>
    </w:tbl>
    <w:p w:rsidR="00C21DAA" w:rsidRPr="00FE07FE" w:rsidRDefault="00FE07FE" w:rsidP="00500FFB">
      <w:pPr>
        <w:pStyle w:val="SingleTxtG"/>
        <w:spacing w:before="240"/>
        <w:rPr>
          <w:lang w:val="es-MX" w:eastAsia="en-US"/>
        </w:rPr>
      </w:pPr>
      <w:r w:rsidRPr="00500FFB">
        <w:rPr>
          <w:lang w:val="es-MX" w:eastAsia="en-US"/>
        </w:rPr>
        <w:t>51.</w:t>
      </w:r>
      <w:r w:rsidRPr="00500FFB">
        <w:rPr>
          <w:lang w:val="es-MX" w:eastAsia="en-US"/>
        </w:rPr>
        <w:tab/>
      </w:r>
      <w:r w:rsidR="00115B35" w:rsidRPr="00FE07FE">
        <w:rPr>
          <w:lang w:val="es-MX" w:eastAsia="en-US"/>
        </w:rPr>
        <w:t xml:space="preserve">En el año 2006 se crea el Fondo Federal de Niñez, Adolescencia y Familia, destinado a fortalecer los sistemas de protección integral. El presupuesto de la SENAF se encuentra protegido por el art. 12 de la </w:t>
      </w:r>
      <w:r w:rsidR="00D5464A">
        <w:rPr>
          <w:lang w:val="es-MX" w:eastAsia="en-US"/>
        </w:rPr>
        <w:t>L</w:t>
      </w:r>
      <w:r w:rsidR="00115B35" w:rsidRPr="00FE07FE">
        <w:rPr>
          <w:lang w:val="es-MX" w:eastAsia="en-US"/>
        </w:rPr>
        <w:t xml:space="preserve">ey </w:t>
      </w:r>
      <w:r w:rsidR="00D5464A">
        <w:rPr>
          <w:lang w:val="es-MX" w:eastAsia="en-US"/>
        </w:rPr>
        <w:t xml:space="preserve">núm. </w:t>
      </w:r>
      <w:r w:rsidR="00115B35" w:rsidRPr="00FE07FE">
        <w:rPr>
          <w:lang w:val="es-MX" w:eastAsia="en-US"/>
        </w:rPr>
        <w:t>26061</w:t>
      </w:r>
      <w:r w:rsidR="0052144D">
        <w:rPr>
          <w:lang w:val="es-MX" w:eastAsia="en-US"/>
        </w:rPr>
        <w:t xml:space="preserve"> </w:t>
      </w:r>
      <w:r w:rsidR="00115B35" w:rsidRPr="00FE07FE">
        <w:rPr>
          <w:lang w:val="es-MX" w:eastAsia="en-US"/>
        </w:rPr>
        <w:t xml:space="preserve">que establece la intangibilidad de los fondos. </w:t>
      </w:r>
    </w:p>
    <w:p w:rsidR="00C21DAA" w:rsidRPr="00FE07FE" w:rsidRDefault="00115B35">
      <w:pPr>
        <w:pStyle w:val="H23G"/>
        <w:rPr>
          <w:lang w:eastAsia="en-US"/>
        </w:rPr>
      </w:pPr>
      <w:r w:rsidRPr="00FE07FE">
        <w:rPr>
          <w:lang w:eastAsia="en-US"/>
        </w:rPr>
        <w:tab/>
      </w:r>
      <w:r w:rsidRPr="00FE07FE">
        <w:rPr>
          <w:lang w:eastAsia="en-US"/>
        </w:rPr>
        <w:tab/>
        <w:t xml:space="preserve">Recolección de datos </w:t>
      </w:r>
    </w:p>
    <w:p w:rsidR="00C21DAA" w:rsidRPr="00FE07FE" w:rsidRDefault="00115B35">
      <w:pPr>
        <w:pStyle w:val="H4G"/>
        <w:rPr>
          <w:iCs/>
          <w:lang w:eastAsia="en-US"/>
        </w:rPr>
      </w:pPr>
      <w:r w:rsidRPr="00FE07FE">
        <w:rPr>
          <w:lang w:eastAsia="en-US"/>
        </w:rPr>
        <w:tab/>
      </w:r>
      <w:r w:rsidRPr="00FE07FE">
        <w:rPr>
          <w:lang w:eastAsia="en-US"/>
        </w:rPr>
        <w:tab/>
        <w:t xml:space="preserve">Párrafo 24 </w:t>
      </w:r>
    </w:p>
    <w:p w:rsidR="00C21DAA" w:rsidRPr="00FE07FE" w:rsidRDefault="00FE07FE" w:rsidP="00500FFB">
      <w:pPr>
        <w:pStyle w:val="SingleTxtG"/>
        <w:rPr>
          <w:lang w:val="es-MX" w:eastAsia="en-US"/>
        </w:rPr>
      </w:pPr>
      <w:r w:rsidRPr="00500FFB">
        <w:rPr>
          <w:lang w:val="es-MX" w:eastAsia="en-US"/>
        </w:rPr>
        <w:t>52.</w:t>
      </w:r>
      <w:r w:rsidRPr="00500FFB">
        <w:rPr>
          <w:lang w:val="es-MX" w:eastAsia="en-US"/>
        </w:rPr>
        <w:tab/>
      </w:r>
      <w:r w:rsidR="00115B35" w:rsidRPr="00FE07FE">
        <w:rPr>
          <w:lang w:val="es-MX" w:eastAsia="en-US"/>
        </w:rPr>
        <w:t xml:space="preserve">En 2011, en el ámbito del COFENAF, se firmó un Acta Compromiso con las 23 provincias y CABA para la implementación del </w:t>
      </w:r>
      <w:r w:rsidR="00115B35" w:rsidRPr="00FE07FE">
        <w:rPr>
          <w:b/>
          <w:i/>
          <w:lang w:val="es-MX" w:eastAsia="en-US"/>
        </w:rPr>
        <w:t>Sistema Integrado de Información sobre Políticas Públicas de Niñez, Adolescencia y Familia</w:t>
      </w:r>
      <w:r w:rsidR="00115B35" w:rsidRPr="00FE07FE">
        <w:rPr>
          <w:lang w:val="es-MX" w:eastAsia="en-US"/>
        </w:rPr>
        <w:t xml:space="preserve"> (SIIPPNAF), que genera información específica para planificar y diseñar las políticas públicas provinciales y nacionales. Toda la información proviene de los órganos de aplicación provincial y de información de la Dirección Nacional de Gestión y Desarrollo Institucional de la SENNAF. </w:t>
      </w:r>
    </w:p>
    <w:p w:rsidR="00C21DAA" w:rsidRPr="00FE07FE" w:rsidRDefault="00FE07FE" w:rsidP="00500FFB">
      <w:pPr>
        <w:pStyle w:val="SingleTxtG"/>
        <w:rPr>
          <w:lang w:val="es-MX" w:eastAsia="en-US"/>
        </w:rPr>
      </w:pPr>
      <w:r w:rsidRPr="00500FFB">
        <w:rPr>
          <w:lang w:val="es-MX" w:eastAsia="en-US"/>
        </w:rPr>
        <w:t>53.</w:t>
      </w:r>
      <w:r w:rsidRPr="00500FFB">
        <w:rPr>
          <w:lang w:val="es-MX" w:eastAsia="en-US"/>
        </w:rPr>
        <w:tab/>
      </w:r>
      <w:r w:rsidR="00115B35" w:rsidRPr="00FE07FE">
        <w:rPr>
          <w:lang w:val="es-MX" w:eastAsia="en-US"/>
        </w:rPr>
        <w:t xml:space="preserve">Dentro del sistema se especifican datos relacionados con provincia o jurisdicción, líneas de acción, servicios locales de promoción y protección, dispositivos, tipos de destinatarios de 0 a 17 años, de 18 años y más, familias, instituciones, acciones y modalidad de implementación. </w:t>
      </w:r>
    </w:p>
    <w:p w:rsidR="00C21DAA" w:rsidRPr="00FE07FE" w:rsidRDefault="00FE07FE" w:rsidP="00500FFB">
      <w:pPr>
        <w:pStyle w:val="SingleTxtG"/>
        <w:rPr>
          <w:lang w:val="es-MX" w:eastAsia="en-US"/>
        </w:rPr>
      </w:pPr>
      <w:r w:rsidRPr="00500FFB">
        <w:rPr>
          <w:lang w:val="es-MX" w:eastAsia="en-US"/>
        </w:rPr>
        <w:t>54.</w:t>
      </w:r>
      <w:r w:rsidRPr="00500FFB">
        <w:rPr>
          <w:lang w:val="es-MX" w:eastAsia="en-US"/>
        </w:rPr>
        <w:tab/>
      </w:r>
      <w:r w:rsidR="00115B35" w:rsidRPr="00FE07FE">
        <w:rPr>
          <w:lang w:val="es-MX" w:eastAsia="en-US"/>
        </w:rPr>
        <w:t xml:space="preserve">Respecto a </w:t>
      </w:r>
      <w:r w:rsidR="00115B35" w:rsidRPr="00FE07FE">
        <w:rPr>
          <w:b/>
          <w:i/>
          <w:lang w:val="es-MX" w:eastAsia="en-US"/>
        </w:rPr>
        <w:t>niños con discapacidad</w:t>
      </w:r>
      <w:r w:rsidR="00115B35" w:rsidRPr="00FE07FE">
        <w:rPr>
          <w:lang w:val="es-MX" w:eastAsia="en-US"/>
        </w:rPr>
        <w:t xml:space="preserve">, se trabaja desde el Consejo Nacional de Coordinación de Políticas Sociales, desde la Comisión Nacional Asesora para la </w:t>
      </w:r>
      <w:r w:rsidR="00115B35" w:rsidRPr="00FE07FE">
        <w:rPr>
          <w:lang w:val="es-MX" w:eastAsia="en-US"/>
        </w:rPr>
        <w:lastRenderedPageBreak/>
        <w:t xml:space="preserve">Integración de las Personas con Discapacidad (CONADIS), con datos y acciones específicas. En relación a </w:t>
      </w:r>
      <w:r w:rsidR="00115B35" w:rsidRPr="00FE07FE">
        <w:rPr>
          <w:b/>
          <w:i/>
          <w:lang w:val="es-MX" w:eastAsia="en-US"/>
        </w:rPr>
        <w:t>niños en el sistema de justicia juvenil</w:t>
      </w:r>
      <w:r w:rsidR="00115B35" w:rsidRPr="00FE07FE">
        <w:rPr>
          <w:lang w:val="es-MX" w:eastAsia="en-US"/>
        </w:rPr>
        <w:t xml:space="preserve"> se encuentran contemplados en el SIIPPNAF dentro de la línea de acciones destinadas a adolescentes infractores a la ley penal. Los casos de </w:t>
      </w:r>
      <w:r w:rsidR="00115B35" w:rsidRPr="00FE07FE">
        <w:rPr>
          <w:b/>
          <w:lang w:val="es-MX" w:eastAsia="en-US"/>
        </w:rPr>
        <w:t xml:space="preserve">niños víctimas de abusos sexuales, niños con </w:t>
      </w:r>
      <w:r w:rsidR="00115B35" w:rsidRPr="00FE07FE">
        <w:rPr>
          <w:b/>
          <w:i/>
          <w:lang w:val="es-MX" w:eastAsia="en-US"/>
        </w:rPr>
        <w:t>cuidados alternativos y niños sin cuidados parentales</w:t>
      </w:r>
      <w:r w:rsidR="00115B35" w:rsidRPr="00FE07FE">
        <w:rPr>
          <w:lang w:val="es-MX" w:eastAsia="en-US"/>
        </w:rPr>
        <w:t xml:space="preserve">, se contemplan en la línea de restitución de derechos del SIIPPNAF como así también explotación sexual, violencia, trata de personas, trabajo infantil, consumo problemático de sustancias psicoactivas, emergencia por catástrofes naturales y situación de calle. </w:t>
      </w:r>
    </w:p>
    <w:p w:rsidR="00C21DAA" w:rsidRPr="00FE07FE" w:rsidRDefault="00FE07FE" w:rsidP="00500FFB">
      <w:pPr>
        <w:pStyle w:val="SingleTxtG"/>
        <w:rPr>
          <w:lang w:val="es-MX" w:eastAsia="en-US"/>
        </w:rPr>
      </w:pPr>
      <w:r w:rsidRPr="00500FFB">
        <w:rPr>
          <w:lang w:val="es-MX" w:eastAsia="en-US"/>
        </w:rPr>
        <w:t>55.</w:t>
      </w:r>
      <w:r w:rsidRPr="00500FFB">
        <w:rPr>
          <w:lang w:val="es-MX" w:eastAsia="en-US"/>
        </w:rPr>
        <w:tab/>
      </w:r>
      <w:r w:rsidR="00115B35" w:rsidRPr="00FE07FE">
        <w:rPr>
          <w:lang w:val="es-MX" w:eastAsia="en-US"/>
        </w:rPr>
        <w:t xml:space="preserve">En el Marco Estratégico de Cooperación del Sistema de Naciones Unidas para el Desarrollo (MECNUD) 2016-2020, la </w:t>
      </w:r>
      <w:r w:rsidR="00115B35" w:rsidRPr="00FE07FE">
        <w:rPr>
          <w:b/>
          <w:lang w:val="es-MX" w:eastAsia="en-US"/>
        </w:rPr>
        <w:t>SENAF</w:t>
      </w:r>
      <w:r w:rsidR="00115B35" w:rsidRPr="00FE07FE">
        <w:rPr>
          <w:lang w:val="es-MX" w:eastAsia="en-US"/>
        </w:rPr>
        <w:t xml:space="preserve"> trabaja con </w:t>
      </w:r>
      <w:r w:rsidR="00115B35" w:rsidRPr="00FE07FE">
        <w:rPr>
          <w:b/>
          <w:lang w:val="es-MX" w:eastAsia="en-US"/>
        </w:rPr>
        <w:t>UNICEF</w:t>
      </w:r>
      <w:r w:rsidR="00115B35" w:rsidRPr="00FE07FE">
        <w:rPr>
          <w:lang w:val="es-MX" w:eastAsia="en-US"/>
        </w:rPr>
        <w:t xml:space="preserve"> en: cooperación y asistencia técnica con áreas gubernamentales y no gubernamentales para la implementación de una política nacional de </w:t>
      </w:r>
      <w:r w:rsidR="00115B35" w:rsidRPr="00FE07FE">
        <w:rPr>
          <w:i/>
          <w:lang w:val="es-MX" w:eastAsia="en-US"/>
        </w:rPr>
        <w:t>cuidado a la primera infancia</w:t>
      </w:r>
      <w:r w:rsidR="00115B35" w:rsidRPr="00FE07FE">
        <w:rPr>
          <w:lang w:val="es-MX" w:eastAsia="en-US"/>
        </w:rPr>
        <w:t xml:space="preserve">. Implementación de registros nominales en las áreas de protección; apoyo a la generación de observatorios centrados en el </w:t>
      </w:r>
      <w:r w:rsidR="00115B35" w:rsidRPr="00FE07FE">
        <w:rPr>
          <w:i/>
          <w:lang w:val="es-MX" w:eastAsia="en-US"/>
        </w:rPr>
        <w:t>monitoreo de la situación de los derechos</w:t>
      </w:r>
      <w:r w:rsidR="00115B35" w:rsidRPr="00FE07FE">
        <w:rPr>
          <w:lang w:val="es-MX" w:eastAsia="en-US"/>
        </w:rPr>
        <w:t xml:space="preserve"> y la inversión social destinada a la niñez y adolescencia; cooperación para la implementación de </w:t>
      </w:r>
      <w:r w:rsidR="00115B35" w:rsidRPr="00FE07FE">
        <w:rPr>
          <w:i/>
          <w:lang w:val="es-MX" w:eastAsia="en-US"/>
        </w:rPr>
        <w:t>sistemas de registro continuo de información sobre niños, niñas y adolescentes abordados por los sistemas de protección</w:t>
      </w:r>
      <w:r w:rsidR="00115B35" w:rsidRPr="00FE07FE">
        <w:rPr>
          <w:lang w:val="es-MX" w:eastAsia="en-US"/>
        </w:rPr>
        <w:t xml:space="preserve"> (NNA con medidas de protección, víctimas de violencia, sin cuidados parentales, justicia penal juvenil, intervenciones, disponibilidad de plazas, registros de organizaciones, etc.); </w:t>
      </w:r>
      <w:r w:rsidR="00115B35" w:rsidRPr="00FE07FE">
        <w:rPr>
          <w:i/>
          <w:lang w:val="es-MX" w:eastAsia="en-US"/>
        </w:rPr>
        <w:t>desarrollo y aplicación de estándares de calidad</w:t>
      </w:r>
      <w:r w:rsidR="00115B35" w:rsidRPr="00FE07FE">
        <w:rPr>
          <w:lang w:val="es-MX" w:eastAsia="en-US"/>
        </w:rPr>
        <w:t xml:space="preserve"> (cuidado, calidad de la atención, participación, monitoreo e información, información sobre familia de origen, etc.), monitoreo y rendición de cuentas; apoyo en la </w:t>
      </w:r>
      <w:r w:rsidR="00115B35" w:rsidRPr="00FE07FE">
        <w:rPr>
          <w:i/>
          <w:lang w:val="es-MX" w:eastAsia="en-US"/>
        </w:rPr>
        <w:t xml:space="preserve">creación y expansión de los Centros de Atención y Derivación </w:t>
      </w:r>
      <w:r w:rsidR="00115B35" w:rsidRPr="00FE07FE">
        <w:rPr>
          <w:lang w:val="es-MX" w:eastAsia="en-US"/>
        </w:rPr>
        <w:t xml:space="preserve">(CAD) en provincias con SENAF: estándares mínimos, monitoreo y generación de información; diagnóstico y estudio de factibilidad para la expansión, mejora y federalización de la línea 102. </w:t>
      </w:r>
    </w:p>
    <w:p w:rsidR="00C21DAA" w:rsidRPr="00FE07FE" w:rsidRDefault="00115B35">
      <w:pPr>
        <w:pStyle w:val="H23G"/>
        <w:rPr>
          <w:lang w:eastAsia="en-US"/>
        </w:rPr>
      </w:pPr>
      <w:r w:rsidRPr="00FE07FE">
        <w:rPr>
          <w:lang w:eastAsia="en-US"/>
        </w:rPr>
        <w:tab/>
      </w:r>
      <w:r w:rsidRPr="00FE07FE">
        <w:rPr>
          <w:lang w:eastAsia="en-US"/>
        </w:rPr>
        <w:tab/>
        <w:t>Difusión, capacitación y sensibilización</w:t>
      </w:r>
    </w:p>
    <w:p w:rsidR="00C21DAA" w:rsidRPr="00FE07FE" w:rsidRDefault="00115B35">
      <w:pPr>
        <w:pStyle w:val="H4G"/>
        <w:rPr>
          <w:lang w:eastAsia="en-US"/>
        </w:rPr>
      </w:pPr>
      <w:r w:rsidRPr="00FE07FE">
        <w:rPr>
          <w:lang w:eastAsia="en-US"/>
        </w:rPr>
        <w:tab/>
      </w:r>
      <w:r w:rsidRPr="00FE07FE">
        <w:rPr>
          <w:lang w:eastAsia="en-US"/>
        </w:rPr>
        <w:tab/>
        <w:t xml:space="preserve">Párrafo 26 </w:t>
      </w:r>
    </w:p>
    <w:p w:rsidR="00C21DAA" w:rsidRPr="00FE07FE" w:rsidRDefault="00FE07FE" w:rsidP="00500FFB">
      <w:pPr>
        <w:pStyle w:val="SingleTxtG"/>
        <w:rPr>
          <w:lang w:val="es-MX" w:eastAsia="en-US"/>
        </w:rPr>
      </w:pPr>
      <w:r w:rsidRPr="00500FFB">
        <w:rPr>
          <w:lang w:val="es-MX" w:eastAsia="en-US"/>
        </w:rPr>
        <w:t>56.</w:t>
      </w:r>
      <w:r w:rsidRPr="00500FFB">
        <w:rPr>
          <w:lang w:val="es-MX" w:eastAsia="en-US"/>
        </w:rPr>
        <w:tab/>
      </w:r>
      <w:r w:rsidR="00115B35" w:rsidRPr="00FE07FE">
        <w:rPr>
          <w:lang w:val="es-MX" w:eastAsia="en-US"/>
        </w:rPr>
        <w:t>La SENAF difundió la CDN, los Protocolos Facultativos y la legislación nacional, capacitó a 26</w:t>
      </w:r>
      <w:r w:rsidR="00CD5E72">
        <w:rPr>
          <w:lang w:val="es-MX" w:eastAsia="en-US"/>
        </w:rPr>
        <w:t>.</w:t>
      </w:r>
      <w:r w:rsidR="00115B35" w:rsidRPr="00FE07FE">
        <w:rPr>
          <w:lang w:val="es-MX" w:eastAsia="en-US"/>
        </w:rPr>
        <w:t>902 profesionales y técnicos y creó la Carrera de especialización en 2013 con más de 3</w:t>
      </w:r>
      <w:r w:rsidR="00CD5E72">
        <w:rPr>
          <w:lang w:val="es-MX" w:eastAsia="en-US"/>
        </w:rPr>
        <w:t>.</w:t>
      </w:r>
      <w:r w:rsidR="00115B35" w:rsidRPr="00FE07FE">
        <w:rPr>
          <w:lang w:val="es-MX" w:eastAsia="en-US"/>
        </w:rPr>
        <w:t>000 inscriptos. En julio de 2014, durante la 22</w:t>
      </w:r>
      <w:r w:rsidR="00CD5E72">
        <w:rPr>
          <w:lang w:val="es-MX" w:eastAsia="en-US"/>
        </w:rPr>
        <w:t xml:space="preserve">ª </w:t>
      </w:r>
      <w:r w:rsidR="00115B35" w:rsidRPr="00FE07FE">
        <w:rPr>
          <w:lang w:val="es-MX" w:eastAsia="en-US"/>
        </w:rPr>
        <w:t xml:space="preserve">Sesión del COFENAF difundió el Protocolo Facultativo de la CDN relativo a un procedimiento de comunicaciones, e instó a implementarlo y difundirlo en el territorio provincial. Asimismo, las acciones de los poderes ejecutivos y legislativos provinciales, y las posteriores adecuaciones normativas realizadas, se desarrollaron una amplia difusión en las mismas. La provincia de Buenos Aires realizó capacitaciones a las que asistieron 2.172 personas sobre responsabilidad penal juvenil, resolución de conflictos, educación sexual integral, </w:t>
      </w:r>
      <w:r w:rsidR="007C1E21">
        <w:rPr>
          <w:lang w:val="es-MX" w:eastAsia="en-US"/>
        </w:rPr>
        <w:t xml:space="preserve">Ley núm. </w:t>
      </w:r>
      <w:r w:rsidR="00115B35" w:rsidRPr="00FE07FE">
        <w:rPr>
          <w:lang w:val="es-MX" w:eastAsia="en-US"/>
        </w:rPr>
        <w:t>13298, entre otras.</w:t>
      </w:r>
    </w:p>
    <w:p w:rsidR="00C21DAA" w:rsidRPr="00FE07FE" w:rsidRDefault="00FE07FE" w:rsidP="00500FFB">
      <w:pPr>
        <w:pStyle w:val="SingleTxtG"/>
        <w:rPr>
          <w:lang w:val="es-MX" w:eastAsia="en-US"/>
        </w:rPr>
      </w:pPr>
      <w:r w:rsidRPr="00500FFB">
        <w:rPr>
          <w:lang w:val="es-MX" w:eastAsia="en-US"/>
        </w:rPr>
        <w:t>57.</w:t>
      </w:r>
      <w:r w:rsidRPr="00500FFB">
        <w:rPr>
          <w:lang w:val="es-MX" w:eastAsia="en-US"/>
        </w:rPr>
        <w:tab/>
      </w:r>
      <w:r w:rsidR="00115B35" w:rsidRPr="00FE07FE">
        <w:rPr>
          <w:lang w:val="es-MX" w:eastAsia="en-US"/>
        </w:rPr>
        <w:t xml:space="preserve">Por su parte, las ONG Chicos net, DNI, Arcor, AMIA, SAP, entre otras, contribuyeron a la difusión de la CDN y los Protocolos. </w:t>
      </w:r>
    </w:p>
    <w:p w:rsidR="00C21DAA" w:rsidRPr="00FE07FE" w:rsidRDefault="00FE07FE" w:rsidP="00500FFB">
      <w:pPr>
        <w:pStyle w:val="SingleTxtG"/>
        <w:rPr>
          <w:lang w:val="es-MX" w:eastAsia="en-US"/>
        </w:rPr>
      </w:pPr>
      <w:r w:rsidRPr="00500FFB">
        <w:rPr>
          <w:lang w:val="es-MX" w:eastAsia="en-US"/>
        </w:rPr>
        <w:t>58.</w:t>
      </w:r>
      <w:r w:rsidRPr="00500FFB">
        <w:rPr>
          <w:lang w:val="es-MX" w:eastAsia="en-US"/>
        </w:rPr>
        <w:tab/>
      </w:r>
      <w:r w:rsidR="00115B35" w:rsidRPr="00FE07FE">
        <w:rPr>
          <w:lang w:val="es-MX" w:eastAsia="en-US"/>
        </w:rPr>
        <w:t xml:space="preserve">En 2013, UNICEF de Argentina publicó en castellano y en idiomas de población originaria el libro “Tus Derechos en tu Lengua”, que compila la CDN, la Declaración ONU sobre los Derechos de los Pueblos Indígenas, la Convención sobre los Derechos de las </w:t>
      </w:r>
      <w:r w:rsidR="00CD5E72">
        <w:rPr>
          <w:lang w:val="es-MX" w:eastAsia="en-US"/>
        </w:rPr>
        <w:t>P</w:t>
      </w:r>
      <w:r w:rsidR="00115B35" w:rsidRPr="00FE07FE">
        <w:rPr>
          <w:lang w:val="es-MX" w:eastAsia="en-US"/>
        </w:rPr>
        <w:t xml:space="preserve">ersonas con </w:t>
      </w:r>
      <w:r w:rsidR="00CD5E72">
        <w:rPr>
          <w:lang w:val="es-MX" w:eastAsia="en-US"/>
        </w:rPr>
        <w:t>D</w:t>
      </w:r>
      <w:r w:rsidR="00115B35" w:rsidRPr="00FE07FE">
        <w:rPr>
          <w:lang w:val="es-MX" w:eastAsia="en-US"/>
        </w:rPr>
        <w:t xml:space="preserve">iscapacidad, y el Convenio </w:t>
      </w:r>
      <w:r w:rsidR="00CD5E72">
        <w:rPr>
          <w:lang w:val="es-MX" w:eastAsia="en-US"/>
        </w:rPr>
        <w:t xml:space="preserve">núm. </w:t>
      </w:r>
      <w:r w:rsidR="00115B35" w:rsidRPr="00FE07FE">
        <w:rPr>
          <w:lang w:val="es-MX" w:eastAsia="en-US"/>
        </w:rPr>
        <w:t xml:space="preserve">169 de la OIT. </w:t>
      </w:r>
    </w:p>
    <w:p w:rsidR="00C21DAA" w:rsidRPr="00FE07FE" w:rsidRDefault="00FE07FE" w:rsidP="00500FFB">
      <w:pPr>
        <w:pStyle w:val="SingleTxtG"/>
        <w:rPr>
          <w:lang w:val="es-MX" w:eastAsia="en-US"/>
        </w:rPr>
      </w:pPr>
      <w:r w:rsidRPr="00500FFB">
        <w:rPr>
          <w:lang w:val="es-MX" w:eastAsia="en-US"/>
        </w:rPr>
        <w:t>59.</w:t>
      </w:r>
      <w:r w:rsidRPr="00500FFB">
        <w:rPr>
          <w:lang w:val="es-MX" w:eastAsia="en-US"/>
        </w:rPr>
        <w:tab/>
      </w:r>
      <w:r w:rsidR="00115B35" w:rsidRPr="00FE07FE">
        <w:rPr>
          <w:lang w:val="es-MX" w:eastAsia="en-US"/>
        </w:rPr>
        <w:t>El Ministerio de Educación y Deportes de la Nación (MED) distribuyó una “Versión amigable” de la CDN para el aula dirigida específicamente a la infancia y los maestros y auxiliares docentes. También, confeccionaron materiales como “Tus derechos a 25 años de la CDN” y “La escuela en los sistemas de Protección Integral” para docentes. En 2014 publicó y distribuyó en escuelas primarias, secundarias e institutos de formación docente el “Material de Derechos del Niño por el 50 Aniversario de Mafalda de Quino” en castellano y en las siguientes lenguas originarias: Quechua, Qom, Wichi, Pilagá, Avá Guaraní, Mbya Guaraní, Mapuzungun en variedad de escritura ranguileo y unificado. Asimismo, se incluyó la CDN en el marco del Plan Nacional de Lectura (2015).</w:t>
      </w:r>
    </w:p>
    <w:p w:rsidR="00C21DAA" w:rsidRPr="00FE07FE" w:rsidRDefault="00FE07FE" w:rsidP="00500FFB">
      <w:pPr>
        <w:pStyle w:val="SingleTxtG"/>
        <w:rPr>
          <w:lang w:val="es-MX" w:eastAsia="en-US"/>
        </w:rPr>
      </w:pPr>
      <w:r w:rsidRPr="00500FFB">
        <w:rPr>
          <w:lang w:val="es-MX" w:eastAsia="en-US"/>
        </w:rPr>
        <w:t>60.</w:t>
      </w:r>
      <w:r w:rsidRPr="00500FFB">
        <w:rPr>
          <w:lang w:val="es-MX" w:eastAsia="en-US"/>
        </w:rPr>
        <w:tab/>
      </w:r>
      <w:r w:rsidR="00115B35" w:rsidRPr="00FE07FE">
        <w:rPr>
          <w:lang w:val="es-MX" w:eastAsia="en-US"/>
        </w:rPr>
        <w:t xml:space="preserve">La CONADIS llevó adelante la edición de la CDN en formato de historieta para niños con discapacidad y la ANSES realizó campañas informativas en lenguas Originarias </w:t>
      </w:r>
      <w:r w:rsidR="00115B35" w:rsidRPr="00FE07FE">
        <w:rPr>
          <w:lang w:val="es-MX" w:eastAsia="en-US"/>
        </w:rPr>
        <w:lastRenderedPageBreak/>
        <w:t xml:space="preserve">(afiches, spots radiales, y material didáctico bilingüe). El Ministerio de Salud (MS) realizó capacitaciones a sus equipos sobre desarrollo infantil, y elaboró material para profesionales y la comunidad; el Ministerio de Seguridad (MSG) capacitó a su personal en el respeto irrestricto a los derechos humanos; la Secretaría de Programación para la Prevención de la Drogadicción y la Lucha contra el Narcotráfico (SEDRONAR) desde 2011 capacitó a recursos humanos externos que trabajan con adolescentes y en situaciones de exposición a sustancias psicoactivas. En el mismo sentido, el Ministerio Público Fiscal (MPF), en 2014 creó la Dirección General de Capacitación y Escuela para optimizar y modernizar el perfil profesional, y realizó cursos específicos sobre derechos de los NNA. La Universidad de la Defensa del Ministerio de Defensa (MD), efectuó actividades de formación, investigación y capacitación, para personal civil y militar para profundizar la CDN y los derechos humanos. Los Liceos Militares adecuaron a la ley de educación, difundiendo y analizando la CDN durante su programa anual. Desde la Editorial Braille de la SENNAF se está trabajando en la impresión en braille de la CDN. Desde el Ministerio Público Tutelar de CABA se realizó la CDN comentada por y para los niños. </w:t>
      </w:r>
    </w:p>
    <w:p w:rsidR="00C21DAA" w:rsidRPr="00FE07FE" w:rsidRDefault="00FE07FE" w:rsidP="00500FFB">
      <w:pPr>
        <w:pStyle w:val="SingleTxtG"/>
        <w:rPr>
          <w:lang w:val="es-MX" w:eastAsia="en-US"/>
        </w:rPr>
      </w:pPr>
      <w:r w:rsidRPr="00500FFB">
        <w:rPr>
          <w:lang w:val="es-MX" w:eastAsia="en-US"/>
        </w:rPr>
        <w:t>61.</w:t>
      </w:r>
      <w:r w:rsidRPr="00500FFB">
        <w:rPr>
          <w:lang w:val="es-MX" w:eastAsia="en-US"/>
        </w:rPr>
        <w:tab/>
      </w:r>
      <w:r w:rsidR="00115B35" w:rsidRPr="00FE07FE">
        <w:rPr>
          <w:lang w:val="es-MX" w:eastAsia="en-US"/>
        </w:rPr>
        <w:t xml:space="preserve">La enseñanza de los derechos humanos está incluida en los objetivos de la </w:t>
      </w:r>
      <w:r w:rsidR="001E4A0E">
        <w:rPr>
          <w:lang w:val="es-MX" w:eastAsia="en-US"/>
        </w:rPr>
        <w:t>L</w:t>
      </w:r>
      <w:r w:rsidR="00115B35" w:rsidRPr="00FE07FE">
        <w:rPr>
          <w:lang w:val="es-MX" w:eastAsia="en-US"/>
        </w:rPr>
        <w:t xml:space="preserve">ey </w:t>
      </w:r>
      <w:r w:rsidR="001E4A0E">
        <w:rPr>
          <w:lang w:val="es-MX" w:eastAsia="en-US"/>
        </w:rPr>
        <w:t>núm. </w:t>
      </w:r>
      <w:r w:rsidR="00115B35" w:rsidRPr="00FE07FE">
        <w:rPr>
          <w:lang w:val="es-MX" w:eastAsia="en-US"/>
        </w:rPr>
        <w:t xml:space="preserve">26206 como lineamientos de la currícula y es obligatorio para los docentes.  </w:t>
      </w:r>
    </w:p>
    <w:p w:rsidR="00C21DAA" w:rsidRPr="00FE07FE" w:rsidRDefault="00115B35">
      <w:pPr>
        <w:pStyle w:val="H23G"/>
        <w:rPr>
          <w:lang w:eastAsia="en-US"/>
        </w:rPr>
      </w:pPr>
      <w:r w:rsidRPr="00FE07FE">
        <w:rPr>
          <w:lang w:eastAsia="en-US"/>
        </w:rPr>
        <w:tab/>
      </w:r>
      <w:r w:rsidRPr="00FE07FE">
        <w:rPr>
          <w:lang w:eastAsia="en-US"/>
        </w:rPr>
        <w:tab/>
        <w:t xml:space="preserve">Cooperación con la Sociedad Civil </w:t>
      </w:r>
    </w:p>
    <w:p w:rsidR="00C21DAA" w:rsidRPr="00FE07FE" w:rsidRDefault="00115B35">
      <w:pPr>
        <w:pStyle w:val="H4G"/>
        <w:rPr>
          <w:lang w:eastAsia="en-US"/>
        </w:rPr>
      </w:pPr>
      <w:r w:rsidRPr="00FE07FE">
        <w:rPr>
          <w:lang w:eastAsia="en-US"/>
        </w:rPr>
        <w:tab/>
      </w:r>
      <w:r w:rsidRPr="00FE07FE">
        <w:rPr>
          <w:lang w:eastAsia="en-US"/>
        </w:rPr>
        <w:tab/>
        <w:t xml:space="preserve">Párrafo 28 </w:t>
      </w:r>
    </w:p>
    <w:p w:rsidR="00C21DAA" w:rsidRPr="00FE07FE" w:rsidRDefault="00FE07FE" w:rsidP="00500FFB">
      <w:pPr>
        <w:pStyle w:val="SingleTxtG"/>
        <w:rPr>
          <w:lang w:val="es-MX" w:eastAsia="en-US"/>
        </w:rPr>
      </w:pPr>
      <w:r w:rsidRPr="00500FFB">
        <w:rPr>
          <w:lang w:val="es-MX" w:eastAsia="en-US"/>
        </w:rPr>
        <w:t>62.</w:t>
      </w:r>
      <w:r w:rsidRPr="00500FFB">
        <w:rPr>
          <w:lang w:val="es-MX" w:eastAsia="en-US"/>
        </w:rPr>
        <w:tab/>
      </w:r>
      <w:r w:rsidR="00115B35" w:rsidRPr="00FE07FE">
        <w:rPr>
          <w:lang w:val="es-MX" w:eastAsia="en-US"/>
        </w:rPr>
        <w:t xml:space="preserve">A través de la Resolución del Ministerio de Desarrollo Social MDS </w:t>
      </w:r>
      <w:r w:rsidR="0052144D">
        <w:rPr>
          <w:lang w:val="es-MX" w:eastAsia="en-US"/>
        </w:rPr>
        <w:t xml:space="preserve">núm. </w:t>
      </w:r>
      <w:r w:rsidR="00115B35" w:rsidRPr="00FE07FE">
        <w:rPr>
          <w:lang w:val="es-MX" w:eastAsia="en-US"/>
        </w:rPr>
        <w:t xml:space="preserve">40/2007 se creó el </w:t>
      </w:r>
      <w:r w:rsidR="00115B35" w:rsidRPr="00FE07FE">
        <w:rPr>
          <w:b/>
          <w:i/>
          <w:lang w:val="es-MX" w:eastAsia="en-US"/>
        </w:rPr>
        <w:t>Registro Único de Organizaciones Administradoras</w:t>
      </w:r>
      <w:r w:rsidR="00115B35" w:rsidRPr="00FE07FE">
        <w:rPr>
          <w:lang w:val="es-MX" w:eastAsia="en-US"/>
        </w:rPr>
        <w:t xml:space="preserve"> que permite una visión completa de la operatoria de dichas organizaciones en la ejecución de las políticas integrales en territorio.</w:t>
      </w:r>
    </w:p>
    <w:p w:rsidR="00C21DAA" w:rsidRPr="00FE07FE" w:rsidRDefault="00FE07FE" w:rsidP="00500FFB">
      <w:pPr>
        <w:pStyle w:val="SingleTxtG"/>
        <w:rPr>
          <w:lang w:val="es-MX" w:eastAsia="en-US"/>
        </w:rPr>
      </w:pPr>
      <w:r w:rsidRPr="00500FFB">
        <w:rPr>
          <w:lang w:val="es-MX" w:eastAsia="en-US"/>
        </w:rPr>
        <w:t>63.</w:t>
      </w:r>
      <w:r w:rsidRPr="00500FFB">
        <w:rPr>
          <w:lang w:val="es-MX" w:eastAsia="en-US"/>
        </w:rPr>
        <w:tab/>
      </w:r>
      <w:r w:rsidR="00115B35" w:rsidRPr="00FE07FE">
        <w:rPr>
          <w:lang w:val="es-MX" w:eastAsia="en-US"/>
        </w:rPr>
        <w:t xml:space="preserve">El </w:t>
      </w:r>
      <w:r w:rsidR="00115B35" w:rsidRPr="00FE07FE">
        <w:rPr>
          <w:b/>
          <w:i/>
          <w:lang w:val="es-MX" w:eastAsia="en-US"/>
        </w:rPr>
        <w:t>Centro Nacional de Organizaciones de la Comunidad</w:t>
      </w:r>
      <w:r w:rsidR="0052144D">
        <w:rPr>
          <w:b/>
          <w:i/>
          <w:lang w:val="es-MX" w:eastAsia="en-US"/>
        </w:rPr>
        <w:t xml:space="preserve"> </w:t>
      </w:r>
      <w:r w:rsidR="00115B35" w:rsidRPr="00FE07FE">
        <w:rPr>
          <w:b/>
          <w:i/>
          <w:lang w:val="es-MX" w:eastAsia="en-US"/>
        </w:rPr>
        <w:t>(CENOC)</w:t>
      </w:r>
      <w:r w:rsidR="00115B35" w:rsidRPr="00FE07FE">
        <w:rPr>
          <w:lang w:val="es-MX" w:eastAsia="en-US"/>
        </w:rPr>
        <w:t xml:space="preserve"> fue creado para promover la participación de las Organizaciones de la Sociedad Civil (OSC) en la gestión de las políticas públicas, generando espacios institucionales de articulación entre Estado, Sociedad Civil y Sector Empresarial, con foco en el desarrollo humano y social, e integra la estructura del Consejo Nacional de Coordinación de Políticas Sociales. Actualmente, registró 15.142 OSC, de las cuales unas </w:t>
      </w:r>
      <w:r w:rsidR="00115B35" w:rsidRPr="00FE07FE">
        <w:rPr>
          <w:b/>
          <w:lang w:val="es-MX" w:eastAsia="en-US"/>
        </w:rPr>
        <w:t>4</w:t>
      </w:r>
      <w:r w:rsidR="0052144D">
        <w:rPr>
          <w:b/>
          <w:lang w:val="es-MX" w:eastAsia="en-US"/>
        </w:rPr>
        <w:t>.</w:t>
      </w:r>
      <w:r w:rsidR="00115B35" w:rsidRPr="00FE07FE">
        <w:rPr>
          <w:b/>
          <w:lang w:val="es-MX" w:eastAsia="en-US"/>
        </w:rPr>
        <w:t>426 OSC</w:t>
      </w:r>
      <w:r w:rsidR="00115B35" w:rsidRPr="00FE07FE">
        <w:rPr>
          <w:lang w:val="es-MX" w:eastAsia="en-US"/>
        </w:rPr>
        <w:t xml:space="preserve"> poseen acciones orientadas a Niñez y Adolescencia (el 29,23%). </w:t>
      </w:r>
    </w:p>
    <w:p w:rsidR="00C21DAA" w:rsidRPr="00FE07FE" w:rsidRDefault="00FE07FE" w:rsidP="00500FFB">
      <w:pPr>
        <w:pStyle w:val="SingleTxtG"/>
        <w:rPr>
          <w:lang w:val="es-MX" w:eastAsia="en-US"/>
        </w:rPr>
      </w:pPr>
      <w:r w:rsidRPr="00500FFB">
        <w:rPr>
          <w:lang w:val="es-MX" w:eastAsia="en-US"/>
        </w:rPr>
        <w:t>64.</w:t>
      </w:r>
      <w:r w:rsidRPr="00500FFB">
        <w:rPr>
          <w:lang w:val="es-MX" w:eastAsia="en-US"/>
        </w:rPr>
        <w:tab/>
      </w:r>
      <w:r w:rsidR="00115B35" w:rsidRPr="00FE07FE">
        <w:rPr>
          <w:lang w:val="es-MX" w:eastAsia="en-US"/>
        </w:rPr>
        <w:t>Desde 2011 la SENAF trabajó en las provincias y CABA con proyectos socio</w:t>
      </w:r>
      <w:r w:rsidR="00D67A98">
        <w:rPr>
          <w:lang w:val="es-MX" w:eastAsia="en-US"/>
        </w:rPr>
        <w:noBreakHyphen/>
      </w:r>
      <w:r w:rsidR="00115B35" w:rsidRPr="00FE07FE">
        <w:rPr>
          <w:lang w:val="es-MX" w:eastAsia="en-US"/>
        </w:rPr>
        <w:t xml:space="preserve">comunitarios y de fortalecimiento familiar financiados por la SENAF, </w:t>
      </w:r>
      <w:r w:rsidR="00115B35" w:rsidRPr="00FE07FE">
        <w:rPr>
          <w:b/>
          <w:lang w:val="es-MX" w:eastAsia="en-US"/>
        </w:rPr>
        <w:t xml:space="preserve">ejecutados por OSC. </w:t>
      </w:r>
    </w:p>
    <w:p w:rsidR="00C21DAA" w:rsidRPr="00FE07FE" w:rsidRDefault="00FE07FE" w:rsidP="00500FFB">
      <w:pPr>
        <w:pStyle w:val="SingleTxtG"/>
        <w:rPr>
          <w:lang w:val="es-MX" w:eastAsia="en-US"/>
        </w:rPr>
      </w:pPr>
      <w:r w:rsidRPr="00500FFB">
        <w:rPr>
          <w:lang w:val="es-MX" w:eastAsia="en-US"/>
        </w:rPr>
        <w:t>65.</w:t>
      </w:r>
      <w:r w:rsidRPr="00500FFB">
        <w:rPr>
          <w:lang w:val="es-MX" w:eastAsia="en-US"/>
        </w:rPr>
        <w:tab/>
      </w:r>
      <w:r w:rsidR="00115B35" w:rsidRPr="00FE07FE">
        <w:rPr>
          <w:lang w:val="es-MX" w:eastAsia="en-US"/>
        </w:rPr>
        <w:t xml:space="preserve">En cuanto a las acciones de las </w:t>
      </w:r>
      <w:r w:rsidR="00115B35" w:rsidRPr="00FE07FE">
        <w:rPr>
          <w:i/>
          <w:lang w:val="es-MX" w:eastAsia="en-US"/>
        </w:rPr>
        <w:t>jurisdicciones nacionales en el marco de los derechos del niño con sindicatos y empresas</w:t>
      </w:r>
      <w:r w:rsidR="00115B35" w:rsidRPr="00FE07FE">
        <w:rPr>
          <w:lang w:val="es-MX" w:eastAsia="en-US"/>
        </w:rPr>
        <w:t xml:space="preserve">, en Santiago del Estero, Tierra del Fuego y en Tucumán se realizaron capacitaciones en cooperativas y sindicatos; en Chaco los sindicatos participan de consejos locales de Derechos comunicacionales de niñez y adolescencia; en Tucumán, se realizaron convenios con empresas para programas de entrenamiento para el trabajo, PET SOCIAL, dirigido a adolescentes alojados en dispositivos de cuidado institucional; en La Rioja, en conjunto con empresas se proveen materiales didácticos a centros de apoyo escolar desarrollan actividades de inclusión y promoción de derechos; en Misiones, se trabajó sobre la erradicación del trabajo infantil en conjunto con el sector tabacalero y con asesoramiento de la CONAETI, COPRETI y la OIT. En CABA, se articulan acciones con ONG y empresas a través de proyectos que promueven los derechos del niño, niña y adolescentes, y cuenta con Programas de fortalecimiento a ONG y convenios con fundaciones de lactancia y maternidad (FUNDALAM) y Fundación CONIN. </w:t>
      </w:r>
    </w:p>
    <w:p w:rsidR="00C21DAA" w:rsidRPr="00FE07FE" w:rsidRDefault="00FE07FE" w:rsidP="00500FFB">
      <w:pPr>
        <w:pStyle w:val="SingleTxtG"/>
        <w:rPr>
          <w:lang w:val="es-MX" w:eastAsia="en-US"/>
        </w:rPr>
      </w:pPr>
      <w:r w:rsidRPr="00500FFB">
        <w:rPr>
          <w:lang w:val="es-MX" w:eastAsia="en-US"/>
        </w:rPr>
        <w:t>66.</w:t>
      </w:r>
      <w:r w:rsidRPr="00500FFB">
        <w:rPr>
          <w:lang w:val="es-MX" w:eastAsia="en-US"/>
        </w:rPr>
        <w:tab/>
      </w:r>
      <w:r w:rsidR="00115B35" w:rsidRPr="00FE07FE">
        <w:rPr>
          <w:lang w:val="es-MX" w:eastAsia="en-US"/>
        </w:rPr>
        <w:t>En los Consejos Provinciales de Niñez de las provincias de Córdoba, Santa Fe, Buenos Aires, La Pampa, Neuquén, Mendoza, Río Negro, Santiago del Estero, Chubut, Catamarca, Entre Ríos, CABA, se crearon espacios de discusión, de evaluación de políticas de protección de derechos</w:t>
      </w:r>
      <w:r w:rsidR="00FF72C4">
        <w:rPr>
          <w:lang w:val="es-MX" w:eastAsia="en-US"/>
        </w:rPr>
        <w:t>.</w:t>
      </w:r>
    </w:p>
    <w:p w:rsidR="00C21DAA" w:rsidRPr="00FE07FE" w:rsidRDefault="00115B35">
      <w:pPr>
        <w:pStyle w:val="SingleTxtG"/>
        <w:rPr>
          <w:lang w:val="es-MX" w:eastAsia="en-US"/>
        </w:rPr>
      </w:pPr>
      <w:r w:rsidRPr="00FE07FE">
        <w:rPr>
          <w:lang w:val="es-MX" w:eastAsia="en-US"/>
        </w:rPr>
        <w:t xml:space="preserve">Finalmente, para el presente informe se solicitó información a Chicos.Net, DNI, ARCOR, AMIA, SAP, Cáritas Argentina, CELS, Colectivo de Derechos de Infancia y </w:t>
      </w:r>
      <w:r w:rsidRPr="00FE07FE">
        <w:rPr>
          <w:lang w:val="es-MX" w:eastAsia="en-US"/>
        </w:rPr>
        <w:lastRenderedPageBreak/>
        <w:t>Adolescencia, Comité Argentino de Seguimiento y Aplicación de la Convención Internacional sobre los Derechos del Niño (CASACIDN), SES y Cimientos.</w:t>
      </w:r>
    </w:p>
    <w:p w:rsidR="00C21DAA" w:rsidRPr="00FE07FE" w:rsidRDefault="00115B35">
      <w:pPr>
        <w:pStyle w:val="H23G"/>
        <w:rPr>
          <w:lang w:eastAsia="en-US"/>
        </w:rPr>
      </w:pPr>
      <w:r w:rsidRPr="00FE07FE">
        <w:rPr>
          <w:lang w:eastAsia="en-US"/>
        </w:rPr>
        <w:tab/>
      </w:r>
      <w:r w:rsidRPr="00FE07FE">
        <w:rPr>
          <w:lang w:eastAsia="en-US"/>
        </w:rPr>
        <w:tab/>
        <w:t>Derechos del niño y sector empresarial</w:t>
      </w:r>
    </w:p>
    <w:p w:rsidR="00C21DAA" w:rsidRPr="00FE07FE" w:rsidRDefault="00115B35">
      <w:pPr>
        <w:pStyle w:val="H4G"/>
        <w:rPr>
          <w:lang w:eastAsia="en-US"/>
        </w:rPr>
      </w:pPr>
      <w:r w:rsidRPr="00FE07FE">
        <w:rPr>
          <w:lang w:eastAsia="en-US"/>
        </w:rPr>
        <w:tab/>
      </w:r>
      <w:r w:rsidRPr="00FE07FE">
        <w:rPr>
          <w:lang w:eastAsia="en-US"/>
        </w:rPr>
        <w:tab/>
        <w:t xml:space="preserve">Párrafo 30 </w:t>
      </w:r>
    </w:p>
    <w:p w:rsidR="00C21DAA" w:rsidRPr="00FE07FE" w:rsidRDefault="00FE07FE" w:rsidP="00500FFB">
      <w:pPr>
        <w:pStyle w:val="SingleTxtG"/>
        <w:rPr>
          <w:lang w:val="es-MX" w:eastAsia="en-US"/>
        </w:rPr>
      </w:pPr>
      <w:r w:rsidRPr="00500FFB">
        <w:rPr>
          <w:lang w:val="es-MX" w:eastAsia="en-US"/>
        </w:rPr>
        <w:t>67.</w:t>
      </w:r>
      <w:r w:rsidRPr="00500FFB">
        <w:rPr>
          <w:lang w:val="es-MX" w:eastAsia="en-US"/>
        </w:rPr>
        <w:tab/>
      </w:r>
      <w:r w:rsidR="00115B35" w:rsidRPr="00FE07FE">
        <w:rPr>
          <w:lang w:val="es-MX" w:eastAsia="en-US"/>
        </w:rPr>
        <w:t xml:space="preserve">En 2008 se redactó el “Código de conducta nacional para la Protección de los Derechos de Niñas, Niños y Adolescentes en viajes y turismo”, y en 2010 se firmó el Acta Compromiso de Adhesión a la Promoción del Código de Conducta para la Protección de los Derechos de Niñas, Niños y Adolescentes en viaje y turismo. Las organizaciones que adhirieron al programa son: el Foro de Profesionales en Turismo; Instituto Superior La Suisse CEPEC; AVIABUE; Fundación Turismo para Todos y CASACIDN. </w:t>
      </w:r>
    </w:p>
    <w:p w:rsidR="00C21DAA" w:rsidRPr="00FE07FE" w:rsidRDefault="00FE07FE" w:rsidP="00500FFB">
      <w:pPr>
        <w:pStyle w:val="SingleTxtG"/>
        <w:rPr>
          <w:lang w:val="es-MX" w:eastAsia="en-US"/>
        </w:rPr>
      </w:pPr>
      <w:r w:rsidRPr="00500FFB">
        <w:rPr>
          <w:lang w:val="es-MX" w:eastAsia="en-US"/>
        </w:rPr>
        <w:t>68.</w:t>
      </w:r>
      <w:r w:rsidRPr="00500FFB">
        <w:rPr>
          <w:lang w:val="es-MX" w:eastAsia="en-US"/>
        </w:rPr>
        <w:tab/>
      </w:r>
      <w:r w:rsidR="00115B35" w:rsidRPr="00FE07FE">
        <w:rPr>
          <w:lang w:val="es-MX" w:eastAsia="en-US"/>
        </w:rPr>
        <w:t xml:space="preserve">La SEDRONAR y el Ministerio de Turismo (MT) desde 2008, implementaron el Programa “Turismo responsable e infancia”; y el “Programa Turismo” se llevó adelante entre 2011-2015 en 12 provincias, incluyó capacitaciones a las agencias de turismo estudiantil, Universidades y Terciarios de la carrera de Hotelería y Turismo y la promoción del código de conducta. </w:t>
      </w:r>
    </w:p>
    <w:p w:rsidR="00C21DAA" w:rsidRPr="00FE07FE" w:rsidRDefault="00FE07FE" w:rsidP="00500FFB">
      <w:pPr>
        <w:pStyle w:val="SingleTxtG"/>
        <w:rPr>
          <w:lang w:val="es-MX" w:eastAsia="en-US"/>
        </w:rPr>
      </w:pPr>
      <w:r w:rsidRPr="00500FFB">
        <w:rPr>
          <w:lang w:val="es-MX" w:eastAsia="en-US"/>
        </w:rPr>
        <w:t>69.</w:t>
      </w:r>
      <w:r w:rsidRPr="00500FFB">
        <w:rPr>
          <w:lang w:val="es-MX" w:eastAsia="en-US"/>
        </w:rPr>
        <w:tab/>
      </w:r>
      <w:r w:rsidR="00115B35" w:rsidRPr="00FE07FE">
        <w:rPr>
          <w:lang w:val="es-MX" w:eastAsia="en-US"/>
        </w:rPr>
        <w:t xml:space="preserve">En el ámbito del Ministerio de Trabajo, Empleo y Seguridad Social (MTESS), la Comisión Nacional para la Erradicación del Trabajo Infantil (CONAETI) realizó acciones con más de 90 empresas que conforman la Red de Empresas contra el Trabajo Infantil. En 2011 lanzó la campaña de comunicación “Cadena de Valores contra el Trabajo Infantil”. Realizó entre 2012-2014 las ediciones de la carrera “Por una Niñez sin Trabajo Infantil” con la participaron de 5.000 competidores. </w:t>
      </w:r>
    </w:p>
    <w:p w:rsidR="00C21DAA" w:rsidRPr="00FE07FE" w:rsidRDefault="00FE07FE" w:rsidP="00500FFB">
      <w:pPr>
        <w:pStyle w:val="SingleTxtG"/>
        <w:rPr>
          <w:lang w:val="es-MX" w:eastAsia="en-US"/>
        </w:rPr>
      </w:pPr>
      <w:r w:rsidRPr="00500FFB">
        <w:rPr>
          <w:lang w:val="es-MX" w:eastAsia="en-US"/>
        </w:rPr>
        <w:t>70.</w:t>
      </w:r>
      <w:r w:rsidRPr="00500FFB">
        <w:rPr>
          <w:lang w:val="es-MX" w:eastAsia="en-US"/>
        </w:rPr>
        <w:tab/>
      </w:r>
      <w:r w:rsidR="00115B35" w:rsidRPr="00FE07FE">
        <w:rPr>
          <w:lang w:val="es-MX" w:eastAsia="en-US"/>
        </w:rPr>
        <w:t>La Coordinación de Prevención del Trabajo Infantil y Protección del Trabajo Adolescente desde 2005 desarrolló acciones de capacitación, presentaciones ante el Consejo Federal del Trabajo, y ha capacitado a inspectores de trabajo sobre la inspección del Trabajo Infantil.</w:t>
      </w:r>
    </w:p>
    <w:p w:rsidR="00C21DAA" w:rsidRPr="00FE07FE" w:rsidRDefault="00FE07FE" w:rsidP="00500FFB">
      <w:pPr>
        <w:pStyle w:val="SingleTxtG"/>
        <w:rPr>
          <w:lang w:val="es-MX" w:eastAsia="en-US"/>
        </w:rPr>
      </w:pPr>
      <w:r w:rsidRPr="00500FFB">
        <w:rPr>
          <w:lang w:val="es-MX" w:eastAsia="en-US"/>
        </w:rPr>
        <w:t>71.</w:t>
      </w:r>
      <w:r w:rsidRPr="00500FFB">
        <w:rPr>
          <w:lang w:val="es-MX" w:eastAsia="en-US"/>
        </w:rPr>
        <w:tab/>
      </w:r>
      <w:r w:rsidR="00115B35" w:rsidRPr="00FE07FE">
        <w:rPr>
          <w:lang w:val="es-MX" w:eastAsia="en-US"/>
        </w:rPr>
        <w:t xml:space="preserve">Respecto a la temática ambiental, cabe destacar la creación de ACUMAR (2006), para mejorar el estado del ambiente y la calidad de vida de más de 8 millones de habitantes. En ese sentido, la Resolución </w:t>
      </w:r>
      <w:r w:rsidR="00DF1C7B">
        <w:rPr>
          <w:lang w:val="es-MX" w:eastAsia="en-US"/>
        </w:rPr>
        <w:t xml:space="preserve">núm. </w:t>
      </w:r>
      <w:r w:rsidR="00115B35" w:rsidRPr="00FE07FE">
        <w:rPr>
          <w:lang w:val="es-MX" w:eastAsia="en-US"/>
        </w:rPr>
        <w:t xml:space="preserve">2178/10 estableció el Reglamento de Fiscalización y Control de Establecimientos de la Cuenca Matanza, y durante 2015 se registraron un total de 5.936 inspecciones realizadas y 1.162 fiscalizaciones registradas dentro de la Cuenca Hídrica. </w:t>
      </w:r>
    </w:p>
    <w:p w:rsidR="00C21DAA" w:rsidRPr="00FE07FE" w:rsidRDefault="00115B35">
      <w:pPr>
        <w:pStyle w:val="H1G"/>
        <w:rPr>
          <w:lang w:eastAsia="en-US"/>
        </w:rPr>
      </w:pPr>
      <w:r w:rsidRPr="00FE07FE">
        <w:rPr>
          <w:lang w:eastAsia="en-US"/>
        </w:rPr>
        <w:tab/>
        <w:t>B.</w:t>
      </w:r>
      <w:r w:rsidRPr="00FE07FE">
        <w:rPr>
          <w:lang w:eastAsia="en-US"/>
        </w:rPr>
        <w:tab/>
        <w:t>Principios Generales (art.</w:t>
      </w:r>
      <w:r w:rsidR="0052144D">
        <w:rPr>
          <w:lang w:eastAsia="en-US"/>
        </w:rPr>
        <w:t xml:space="preserve"> </w:t>
      </w:r>
      <w:r w:rsidRPr="00FE07FE">
        <w:rPr>
          <w:lang w:eastAsia="en-US"/>
        </w:rPr>
        <w:t>2, 3,6 y 12 de la Convención)</w:t>
      </w:r>
    </w:p>
    <w:p w:rsidR="00C21DAA" w:rsidRPr="00FE07FE" w:rsidRDefault="00115B35">
      <w:pPr>
        <w:pStyle w:val="H23G"/>
        <w:rPr>
          <w:lang w:eastAsia="en-US"/>
        </w:rPr>
      </w:pPr>
      <w:r w:rsidRPr="00FE07FE">
        <w:rPr>
          <w:lang w:eastAsia="en-US"/>
        </w:rPr>
        <w:tab/>
      </w:r>
      <w:r w:rsidRPr="00FE07FE">
        <w:rPr>
          <w:lang w:eastAsia="en-US"/>
        </w:rPr>
        <w:tab/>
        <w:t>No Discriminación</w:t>
      </w:r>
    </w:p>
    <w:p w:rsidR="00C21DAA" w:rsidRPr="00FE07FE" w:rsidRDefault="00115B35">
      <w:pPr>
        <w:pStyle w:val="H4G"/>
        <w:rPr>
          <w:lang w:eastAsia="en-US"/>
        </w:rPr>
      </w:pPr>
      <w:r w:rsidRPr="00FE07FE">
        <w:rPr>
          <w:lang w:eastAsia="en-US"/>
        </w:rPr>
        <w:tab/>
      </w:r>
      <w:r w:rsidRPr="00FE07FE">
        <w:rPr>
          <w:lang w:eastAsia="en-US"/>
        </w:rPr>
        <w:tab/>
        <w:t>Párrafos 32 y 33</w:t>
      </w:r>
    </w:p>
    <w:p w:rsidR="00C21DAA" w:rsidRPr="00FE07FE" w:rsidRDefault="00FE07FE" w:rsidP="00500FFB">
      <w:pPr>
        <w:pStyle w:val="SingleTxtG"/>
        <w:rPr>
          <w:lang w:val="es-MX" w:eastAsia="en-US"/>
        </w:rPr>
      </w:pPr>
      <w:r w:rsidRPr="00500FFB">
        <w:rPr>
          <w:lang w:val="es-MX" w:eastAsia="en-US"/>
        </w:rPr>
        <w:t>72.</w:t>
      </w:r>
      <w:r w:rsidRPr="00500FFB">
        <w:rPr>
          <w:lang w:val="es-MX" w:eastAsia="en-US"/>
        </w:rPr>
        <w:tab/>
      </w:r>
      <w:r w:rsidR="00115B35" w:rsidRPr="00FE07FE">
        <w:rPr>
          <w:lang w:val="es-MX" w:eastAsia="en-US"/>
        </w:rPr>
        <w:t xml:space="preserve">El INADI desarrolló el Programa de Diversidad Sexual en consonancia con el principio 24 de Yogyakarta, y el derecho a la identidad, que considera que cuando la identificación no coincide con la verdad de vida del sujeto </w:t>
      </w:r>
      <w:r w:rsidR="0052144D">
        <w:rPr>
          <w:lang w:val="es-MX" w:eastAsia="en-US"/>
        </w:rPr>
        <w:t>—</w:t>
      </w:r>
      <w:r w:rsidR="00115B35" w:rsidRPr="00FE07FE">
        <w:rPr>
          <w:lang w:val="es-MX" w:eastAsia="en-US"/>
        </w:rPr>
        <w:t>incluyendo sus vínculos filiatorios y su realidad familiar</w:t>
      </w:r>
      <w:r w:rsidR="0052144D">
        <w:rPr>
          <w:lang w:val="es-MX" w:eastAsia="en-US"/>
        </w:rPr>
        <w:t>—</w:t>
      </w:r>
      <w:r w:rsidR="00115B35" w:rsidRPr="00FE07FE">
        <w:rPr>
          <w:lang w:val="es-MX" w:eastAsia="en-US"/>
        </w:rPr>
        <w:t xml:space="preserve"> se lesiona este derecho. Desde 2010 se reconoció el derecho a formar una familia, con independencia de su orientación sexual, con el Estado como garante de que ninguna familia sea discriminada por esa orientación o por la identidad de género de cualquiera de sus integrantes. Para ello, se trabajó con las organizaciones sociales LGTBI (Lesbianas, Gays, Trans, Bisexuales e Intersex). Se sancionó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26618 de Matrimonio Igualitario y el </w:t>
      </w:r>
      <w:r w:rsidR="007C1E21">
        <w:rPr>
          <w:lang w:val="es-MX" w:eastAsia="en-US"/>
        </w:rPr>
        <w:t>D</w:t>
      </w:r>
      <w:r w:rsidR="00115B35" w:rsidRPr="00FE07FE">
        <w:rPr>
          <w:lang w:val="es-MX" w:eastAsia="en-US"/>
        </w:rPr>
        <w:t xml:space="preserve">ecreto de necesidad y urgencia </w:t>
      </w:r>
      <w:r w:rsidR="007C1E21">
        <w:rPr>
          <w:lang w:val="es-MX" w:eastAsia="en-US"/>
        </w:rPr>
        <w:t xml:space="preserve">núm. </w:t>
      </w:r>
      <w:r w:rsidR="00115B35" w:rsidRPr="00FE07FE">
        <w:rPr>
          <w:lang w:val="es-MX" w:eastAsia="en-US"/>
        </w:rPr>
        <w:t>1006 de 2013 de reconocimiento igualitario de hijos e hijas de familias co</w:t>
      </w:r>
      <w:r w:rsidR="0052144D">
        <w:rPr>
          <w:lang w:val="es-MX" w:eastAsia="en-US"/>
        </w:rPr>
        <w:noBreakHyphen/>
      </w:r>
      <w:r w:rsidR="00115B35" w:rsidRPr="00FE07FE">
        <w:rPr>
          <w:lang w:val="es-MX" w:eastAsia="en-US"/>
        </w:rPr>
        <w:t xml:space="preserve">maternales para previsión social, continuidad de vínculo ante separación o muerte de una de las madres, decisiones sobre aspectos educativos, derechos hereditarios, y reconocimiento de los vínculos con tíos, abuelos, primos, etc. </w:t>
      </w:r>
    </w:p>
    <w:p w:rsidR="00C21DAA" w:rsidRPr="00FE07FE" w:rsidRDefault="00FE07FE" w:rsidP="00500FFB">
      <w:pPr>
        <w:pStyle w:val="SingleTxtG"/>
        <w:rPr>
          <w:lang w:val="es-MX" w:eastAsia="en-US"/>
        </w:rPr>
      </w:pPr>
      <w:r w:rsidRPr="00500FFB">
        <w:rPr>
          <w:lang w:val="es-MX" w:eastAsia="en-US"/>
        </w:rPr>
        <w:t>73.</w:t>
      </w:r>
      <w:r w:rsidRPr="00500FFB">
        <w:rPr>
          <w:lang w:val="es-MX" w:eastAsia="en-US"/>
        </w:rPr>
        <w:tab/>
      </w:r>
      <w:r w:rsidR="00115B35" w:rsidRPr="00FE07FE">
        <w:rPr>
          <w:lang w:val="es-MX" w:eastAsia="en-US"/>
        </w:rPr>
        <w:t xml:space="preserve">El INADI realizó informes sobre prácticas discriminatorias en radio y televisión. </w:t>
      </w:r>
    </w:p>
    <w:p w:rsidR="00C21DAA" w:rsidRPr="00FE07FE" w:rsidRDefault="00FE07FE" w:rsidP="00500FFB">
      <w:pPr>
        <w:pStyle w:val="SingleTxtG"/>
        <w:rPr>
          <w:lang w:val="es-MX" w:eastAsia="en-US"/>
        </w:rPr>
      </w:pPr>
      <w:r w:rsidRPr="00500FFB">
        <w:rPr>
          <w:lang w:val="es-MX" w:eastAsia="en-US"/>
        </w:rPr>
        <w:lastRenderedPageBreak/>
        <w:t>74.</w:t>
      </w:r>
      <w:r w:rsidRPr="00500FFB">
        <w:rPr>
          <w:lang w:val="es-MX" w:eastAsia="en-US"/>
        </w:rPr>
        <w:tab/>
      </w:r>
      <w:r w:rsidR="00115B35" w:rsidRPr="00FE07FE">
        <w:rPr>
          <w:lang w:val="es-MX" w:eastAsia="en-US"/>
        </w:rPr>
        <w:t xml:space="preserve">La </w:t>
      </w:r>
      <w:r w:rsidR="00DF1C7B">
        <w:rPr>
          <w:lang w:val="es-MX" w:eastAsia="en-US"/>
        </w:rPr>
        <w:t>L</w:t>
      </w:r>
      <w:r w:rsidR="00115B35" w:rsidRPr="00FE07FE">
        <w:rPr>
          <w:lang w:val="es-MX" w:eastAsia="en-US"/>
        </w:rPr>
        <w:t xml:space="preserve">ey </w:t>
      </w:r>
      <w:r w:rsidR="00DF1C7B">
        <w:rPr>
          <w:lang w:val="es-MX" w:eastAsia="en-US"/>
        </w:rPr>
        <w:t xml:space="preserve">núm. </w:t>
      </w:r>
      <w:r w:rsidR="00115B35" w:rsidRPr="00FE07FE">
        <w:rPr>
          <w:lang w:val="es-MX" w:eastAsia="en-US"/>
        </w:rPr>
        <w:t>26061 (art.</w:t>
      </w:r>
      <w:r w:rsidR="007C1E21">
        <w:rPr>
          <w:lang w:val="es-MX" w:eastAsia="en-US"/>
        </w:rPr>
        <w:t xml:space="preserve"> </w:t>
      </w:r>
      <w:r w:rsidR="00115B35" w:rsidRPr="00FE07FE">
        <w:rPr>
          <w:lang w:val="es-MX" w:eastAsia="en-US"/>
        </w:rPr>
        <w:t xml:space="preserve">17) prohíbe discriminar por embarazo, maternidad y/o paternidad. En la encuesta sobre condiciones de vida de niñez, y adolescencia </w:t>
      </w:r>
      <w:r w:rsidR="00D67A98">
        <w:rPr>
          <w:lang w:val="es-MX" w:eastAsia="en-US"/>
        </w:rPr>
        <w:t>–</w:t>
      </w:r>
      <w:r w:rsidR="00D67A98" w:rsidRPr="00FE07FE">
        <w:rPr>
          <w:lang w:val="es-MX" w:eastAsia="en-US"/>
        </w:rPr>
        <w:t xml:space="preserve"> </w:t>
      </w:r>
      <w:r w:rsidR="00115B35" w:rsidRPr="00FE07FE">
        <w:rPr>
          <w:lang w:val="es-MX" w:eastAsia="en-US"/>
        </w:rPr>
        <w:t xml:space="preserve">ECOVNA, realizada con UNICEF, no se registraron casos. </w:t>
      </w:r>
    </w:p>
    <w:p w:rsidR="00C21DAA" w:rsidRPr="00FE07FE" w:rsidRDefault="00FE07FE" w:rsidP="00500FFB">
      <w:pPr>
        <w:pStyle w:val="SingleTxtG"/>
        <w:rPr>
          <w:lang w:val="es-MX" w:eastAsia="en-US"/>
        </w:rPr>
      </w:pPr>
      <w:r w:rsidRPr="00500FFB">
        <w:rPr>
          <w:lang w:val="es-MX" w:eastAsia="en-US"/>
        </w:rPr>
        <w:t>75.</w:t>
      </w:r>
      <w:r w:rsidRPr="00500FFB">
        <w:rPr>
          <w:lang w:val="es-MX" w:eastAsia="en-US"/>
        </w:rPr>
        <w:tab/>
      </w:r>
      <w:r w:rsidR="00115B35" w:rsidRPr="00FE07FE">
        <w:rPr>
          <w:b/>
          <w:lang w:val="es-MX" w:eastAsia="en-US"/>
        </w:rPr>
        <w:t>En referencia a la exclusión social</w:t>
      </w:r>
      <w:r w:rsidR="00115B35" w:rsidRPr="00FE07FE">
        <w:rPr>
          <w:lang w:val="es-MX" w:eastAsia="en-US"/>
        </w:rPr>
        <w:t xml:space="preserve">, el INADI desarrolló la campaña “Derecho a Votar de las personas con Discapacidad” en 2013. </w:t>
      </w:r>
      <w:r w:rsidR="00115B35" w:rsidRPr="00FE07FE">
        <w:rPr>
          <w:b/>
          <w:lang w:val="es-MX" w:eastAsia="en-US"/>
        </w:rPr>
        <w:t>Santiago del Estero</w:t>
      </w:r>
      <w:r w:rsidR="00115B35" w:rsidRPr="00FE07FE">
        <w:rPr>
          <w:lang w:val="es-MX" w:eastAsia="en-US"/>
        </w:rPr>
        <w:t xml:space="preserve"> desarrolló talleres de promoción de derechos en las localidades de San José del Boquerón, Quimili, Tintina, Monte Quemado, Guampacha, Ojo de Agua donde viven 4</w:t>
      </w:r>
      <w:r w:rsidR="0052144D">
        <w:rPr>
          <w:lang w:val="es-MX" w:eastAsia="en-US"/>
        </w:rPr>
        <w:t>.</w:t>
      </w:r>
      <w:r w:rsidR="00115B35" w:rsidRPr="00FE07FE">
        <w:rPr>
          <w:lang w:val="es-MX" w:eastAsia="en-US"/>
        </w:rPr>
        <w:t xml:space="preserve">203 niños indígenas, </w:t>
      </w:r>
      <w:r w:rsidR="00115B35" w:rsidRPr="00FE07FE">
        <w:rPr>
          <w:b/>
          <w:lang w:val="es-MX" w:eastAsia="en-US"/>
        </w:rPr>
        <w:t>Chaco</w:t>
      </w:r>
      <w:r w:rsidR="00115B35" w:rsidRPr="00FE07FE">
        <w:rPr>
          <w:lang w:val="es-MX" w:eastAsia="en-US"/>
        </w:rPr>
        <w:t xml:space="preserve"> estableció 46 Centros de Integración de Fortalecimiento Familiar </w:t>
      </w:r>
      <w:r w:rsidR="00CD5E72">
        <w:rPr>
          <w:lang w:val="es-MX" w:eastAsia="en-US"/>
        </w:rPr>
        <w:t>–</w:t>
      </w:r>
      <w:r w:rsidR="00115B35" w:rsidRPr="00FE07FE">
        <w:rPr>
          <w:lang w:val="es-MX" w:eastAsia="en-US"/>
        </w:rPr>
        <w:t xml:space="preserve"> CIFF de protección a niños de 6 meses a 13 años. </w:t>
      </w:r>
      <w:r w:rsidR="00115B35" w:rsidRPr="00FE07FE">
        <w:rPr>
          <w:b/>
          <w:lang w:val="es-MX" w:eastAsia="en-US"/>
        </w:rPr>
        <w:t>Entre Ríos</w:t>
      </w:r>
      <w:r w:rsidR="00115B35" w:rsidRPr="00FE07FE">
        <w:rPr>
          <w:lang w:val="es-MX" w:eastAsia="en-US"/>
        </w:rPr>
        <w:t xml:space="preserve"> desarrolló Encuentros de reflexión “Desigualdad y Discriminación” con adolescentes en escuelas secundarias y realizó con el INADI el material propio “Somos Iguales pero Diferentes” con guía para primaria, secundaria y para docentes. </w:t>
      </w:r>
      <w:r w:rsidR="00115B35" w:rsidRPr="00FE07FE">
        <w:rPr>
          <w:b/>
          <w:lang w:val="es-MX" w:eastAsia="en-US"/>
        </w:rPr>
        <w:t>CABA</w:t>
      </w:r>
      <w:r w:rsidR="00115B35" w:rsidRPr="00FE07FE">
        <w:rPr>
          <w:lang w:val="es-MX" w:eastAsia="en-US"/>
        </w:rPr>
        <w:t xml:space="preserve"> posee el Programa Adolescencia que promueve la inclusión social efectiva a más de 10.000 jóvenes en situación de riesgo, mediante 483 espacios en los que se realizan talleres culturales, deportivos y tecnológicos. </w:t>
      </w:r>
      <w:r w:rsidR="00115B35" w:rsidRPr="00FE07FE">
        <w:rPr>
          <w:b/>
          <w:lang w:val="es-MX" w:eastAsia="en-US"/>
        </w:rPr>
        <w:t>Santa Fe</w:t>
      </w:r>
      <w:r w:rsidR="00115B35" w:rsidRPr="00FE07FE">
        <w:rPr>
          <w:lang w:val="es-MX" w:eastAsia="en-US"/>
        </w:rPr>
        <w:t xml:space="preserve"> informó la implementación del Programa “Entramando Redes”.</w:t>
      </w:r>
    </w:p>
    <w:p w:rsidR="00C21DAA" w:rsidRPr="00FE07FE" w:rsidRDefault="00FE07FE" w:rsidP="00500FFB">
      <w:pPr>
        <w:pStyle w:val="SingleTxtG"/>
        <w:rPr>
          <w:lang w:val="es-MX" w:eastAsia="en-US"/>
        </w:rPr>
      </w:pPr>
      <w:r w:rsidRPr="00500FFB">
        <w:rPr>
          <w:lang w:val="es-MX" w:eastAsia="en-US"/>
        </w:rPr>
        <w:t>76.</w:t>
      </w:r>
      <w:r w:rsidRPr="00500FFB">
        <w:rPr>
          <w:lang w:val="es-MX" w:eastAsia="en-US"/>
        </w:rPr>
        <w:tab/>
      </w:r>
      <w:r w:rsidR="00115B35" w:rsidRPr="00FE07FE">
        <w:rPr>
          <w:lang w:val="es-MX" w:eastAsia="en-US"/>
        </w:rPr>
        <w:t xml:space="preserve">El Ministerio de Cultura con </w:t>
      </w:r>
      <w:r w:rsidR="00115B35" w:rsidRPr="00FE07FE">
        <w:rPr>
          <w:b/>
          <w:i/>
          <w:lang w:val="es-MX" w:eastAsia="en-US"/>
        </w:rPr>
        <w:t>Cultura e infancia</w:t>
      </w:r>
      <w:r w:rsidR="00115B35" w:rsidRPr="00FE07FE">
        <w:rPr>
          <w:lang w:val="es-MX" w:eastAsia="en-US"/>
        </w:rPr>
        <w:t xml:space="preserve"> desarrolló entre 2010-2015 actividades artísticas, promovió y difundió los derechos de los niños a través de los Juegos Culturales Evita. En 2012 hizo partícipe a 278.500 niños de todas las provincias; en 2013 a 1.200.000 niños y en 2014 a 200</w:t>
      </w:r>
      <w:r w:rsidR="0052144D">
        <w:rPr>
          <w:lang w:val="es-MX" w:eastAsia="en-US"/>
        </w:rPr>
        <w:t>.</w:t>
      </w:r>
      <w:r w:rsidR="00115B35" w:rsidRPr="00FE07FE">
        <w:rPr>
          <w:lang w:val="es-MX" w:eastAsia="en-US"/>
        </w:rPr>
        <w:t xml:space="preserve">000 al igual que en 2015. </w:t>
      </w:r>
      <w:r w:rsidR="00115B35" w:rsidRPr="00FE07FE">
        <w:rPr>
          <w:b/>
          <w:lang w:val="es-MX" w:eastAsia="en-US"/>
        </w:rPr>
        <w:t>Orquestas infantiles</w:t>
      </w:r>
      <w:r w:rsidR="00115B35" w:rsidRPr="00FE07FE">
        <w:rPr>
          <w:lang w:val="es-MX" w:eastAsia="en-US"/>
        </w:rPr>
        <w:t>, el programa Social Andrés Chazarreta trabajó en 2011 con 15 orquestas y talleres en 11 provincias; en 2013 con 118 músicos docentes, alcanzando a 2</w:t>
      </w:r>
      <w:r w:rsidR="0052144D">
        <w:rPr>
          <w:lang w:val="es-MX" w:eastAsia="en-US"/>
        </w:rPr>
        <w:t>.</w:t>
      </w:r>
      <w:r w:rsidR="00115B35" w:rsidRPr="00FE07FE">
        <w:rPr>
          <w:lang w:val="es-MX" w:eastAsia="en-US"/>
        </w:rPr>
        <w:t xml:space="preserve">600 niños. </w:t>
      </w:r>
      <w:r w:rsidR="00115B35" w:rsidRPr="00FE07FE">
        <w:rPr>
          <w:b/>
          <w:lang w:val="es-MX" w:eastAsia="en-US"/>
        </w:rPr>
        <w:t>Maravillosa Música</w:t>
      </w:r>
      <w:r w:rsidR="00115B35" w:rsidRPr="00FE07FE">
        <w:rPr>
          <w:lang w:val="es-MX" w:eastAsia="en-US"/>
        </w:rPr>
        <w:t>: En 2012 se inscribieron 700 bandas con 2</w:t>
      </w:r>
      <w:r w:rsidR="0052144D">
        <w:rPr>
          <w:lang w:val="es-MX" w:eastAsia="en-US"/>
        </w:rPr>
        <w:t>.</w:t>
      </w:r>
      <w:r w:rsidR="00115B35" w:rsidRPr="00FE07FE">
        <w:rPr>
          <w:lang w:val="es-MX" w:eastAsia="en-US"/>
        </w:rPr>
        <w:t>800 jóvenes artistas; en 2013, 1</w:t>
      </w:r>
      <w:r w:rsidR="0052144D">
        <w:rPr>
          <w:lang w:val="es-MX" w:eastAsia="en-US"/>
        </w:rPr>
        <w:t>.</w:t>
      </w:r>
      <w:r w:rsidR="00115B35" w:rsidRPr="00FE07FE">
        <w:rPr>
          <w:lang w:val="es-MX" w:eastAsia="en-US"/>
        </w:rPr>
        <w:t>200 bandas con un público de 300</w:t>
      </w:r>
      <w:r w:rsidR="0052144D">
        <w:rPr>
          <w:lang w:val="es-MX" w:eastAsia="en-US"/>
        </w:rPr>
        <w:t>.</w:t>
      </w:r>
      <w:r w:rsidR="00115B35" w:rsidRPr="00FE07FE">
        <w:rPr>
          <w:lang w:val="es-MX" w:eastAsia="en-US"/>
        </w:rPr>
        <w:t>000 personas en 200 recitales. En 2014 fueron 900 bandas y en 2015 unas 1</w:t>
      </w:r>
      <w:r w:rsidR="0052144D">
        <w:rPr>
          <w:lang w:val="es-MX" w:eastAsia="en-US"/>
        </w:rPr>
        <w:t>.</w:t>
      </w:r>
      <w:r w:rsidR="00115B35" w:rsidRPr="00FE07FE">
        <w:rPr>
          <w:lang w:val="es-MX" w:eastAsia="en-US"/>
        </w:rPr>
        <w:t>300 bandas que reunieron a 8</w:t>
      </w:r>
      <w:r w:rsidR="0052144D">
        <w:rPr>
          <w:lang w:val="es-MX" w:eastAsia="en-US"/>
        </w:rPr>
        <w:t>.</w:t>
      </w:r>
      <w:r w:rsidR="00115B35" w:rsidRPr="00FE07FE">
        <w:rPr>
          <w:lang w:val="es-MX" w:eastAsia="en-US"/>
        </w:rPr>
        <w:t xml:space="preserve">600 jóvenes. </w:t>
      </w:r>
      <w:r w:rsidR="00115B35" w:rsidRPr="00FE07FE">
        <w:rPr>
          <w:b/>
          <w:lang w:val="es-MX" w:eastAsia="en-US"/>
        </w:rPr>
        <w:t>Colmena</w:t>
      </w:r>
      <w:r w:rsidR="00115B35" w:rsidRPr="00FE07FE">
        <w:rPr>
          <w:lang w:val="es-MX" w:eastAsia="en-US"/>
        </w:rPr>
        <w:t xml:space="preserve"> </w:t>
      </w:r>
      <w:r w:rsidR="00115B35" w:rsidRPr="00FE07FE">
        <w:rPr>
          <w:b/>
          <w:lang w:val="es-MX" w:eastAsia="en-US"/>
        </w:rPr>
        <w:t>Sur</w:t>
      </w:r>
      <w:r w:rsidR="00115B35" w:rsidRPr="00FE07FE">
        <w:rPr>
          <w:lang w:val="es-MX" w:eastAsia="en-US"/>
        </w:rPr>
        <w:t>: Se realizaron funciones teatrales comunitarias en varios barrios en 2014 y participaron 500 chicos de Buenos Aires en 16 funciones. En 2015 se realizaron actividades en 17 barrios con 1</w:t>
      </w:r>
      <w:r w:rsidR="0052144D">
        <w:rPr>
          <w:lang w:val="es-MX" w:eastAsia="en-US"/>
        </w:rPr>
        <w:t>.</w:t>
      </w:r>
      <w:r w:rsidR="00115B35" w:rsidRPr="00FE07FE">
        <w:rPr>
          <w:lang w:val="es-MX" w:eastAsia="en-US"/>
        </w:rPr>
        <w:t>000 chicos con clases de canto y teatro (Barrio Ejército de los Andes -Fuerte Apache, Hurlingam, Mercedes, Lanús, Villa 1.11.14, Ciudad Oculta, y Fátima). En la Villa 21/24 en conjunto con la Prefectura Naval Argentina se dieron clases de remo a 89 chicos. También realizó talleres en la Casa de la Cultura Popular para 160 alumnos en 2013, Escuelita de Arte para 300 alumnos, y apoyó los festejos del Día del niño donde asistieron en distintas villas unos 1</w:t>
      </w:r>
      <w:r w:rsidR="0052144D">
        <w:rPr>
          <w:lang w:val="es-MX" w:eastAsia="en-US"/>
        </w:rPr>
        <w:t>.</w:t>
      </w:r>
      <w:r w:rsidR="00115B35" w:rsidRPr="00FE07FE">
        <w:rPr>
          <w:lang w:val="es-MX" w:eastAsia="en-US"/>
        </w:rPr>
        <w:t xml:space="preserve">500 chicas y chicos. Además con la SENAF se realizaron actividades para los adolescentes en conflicto con la ley penal, 46 espectáculos y conciertos de música, Teatro y humor en 2015. </w:t>
      </w:r>
    </w:p>
    <w:p w:rsidR="00C21DAA" w:rsidRPr="00FE07FE" w:rsidRDefault="00FE07FE" w:rsidP="00500FFB">
      <w:pPr>
        <w:pStyle w:val="SingleTxtG"/>
        <w:rPr>
          <w:lang w:val="es-MX" w:eastAsia="en-US"/>
        </w:rPr>
      </w:pPr>
      <w:r w:rsidRPr="00500FFB">
        <w:rPr>
          <w:lang w:val="es-MX" w:eastAsia="en-US"/>
        </w:rPr>
        <w:t>77.</w:t>
      </w:r>
      <w:r w:rsidRPr="00500FFB">
        <w:rPr>
          <w:lang w:val="es-MX" w:eastAsia="en-US"/>
        </w:rPr>
        <w:tab/>
      </w:r>
      <w:r w:rsidR="00115B35" w:rsidRPr="00FE07FE">
        <w:rPr>
          <w:lang w:val="es-MX" w:eastAsia="en-US"/>
        </w:rPr>
        <w:t>El Programa de “Danza por la Inclusión” del MDS, desarrolló funciones de Ballet gratuito y formó y capacito a jóvenes bailarines con artistas de primer nivel. En 2014 desarrolló 39 clínicas con la participación de 1</w:t>
      </w:r>
      <w:r w:rsidR="0052144D">
        <w:rPr>
          <w:lang w:val="es-MX" w:eastAsia="en-US"/>
        </w:rPr>
        <w:t>.</w:t>
      </w:r>
      <w:r w:rsidR="00115B35" w:rsidRPr="00FE07FE">
        <w:rPr>
          <w:lang w:val="es-MX" w:eastAsia="en-US"/>
        </w:rPr>
        <w:t>600 persona</w:t>
      </w:r>
      <w:r w:rsidR="0052144D">
        <w:rPr>
          <w:lang w:val="es-MX" w:eastAsia="en-US"/>
        </w:rPr>
        <w:t>s</w:t>
      </w:r>
      <w:r w:rsidR="00115B35" w:rsidRPr="00FE07FE">
        <w:rPr>
          <w:lang w:val="es-MX" w:eastAsia="en-US"/>
        </w:rPr>
        <w:t>, 24 funciones en el Teatro Coliseo y 23 presentaciones en las provincias; el registro de espectadores fue de 74</w:t>
      </w:r>
      <w:r w:rsidR="0052144D">
        <w:rPr>
          <w:lang w:val="es-MX" w:eastAsia="en-US"/>
        </w:rPr>
        <w:t>.</w:t>
      </w:r>
      <w:r w:rsidR="00115B35" w:rsidRPr="00FE07FE">
        <w:rPr>
          <w:lang w:val="es-MX" w:eastAsia="en-US"/>
        </w:rPr>
        <w:t>200 personas que asistieron a obras como “Cascanueces”, Claro de Luna, Traviata, y en 2015 se realizaron 12 funciones para 20</w:t>
      </w:r>
      <w:r w:rsidR="0052144D">
        <w:rPr>
          <w:lang w:val="es-MX" w:eastAsia="en-US"/>
        </w:rPr>
        <w:t>.</w:t>
      </w:r>
      <w:r w:rsidR="00115B35" w:rsidRPr="00FE07FE">
        <w:rPr>
          <w:lang w:val="es-MX" w:eastAsia="en-US"/>
        </w:rPr>
        <w:t xml:space="preserve">000 personas con entrada libre y gratuita. </w:t>
      </w:r>
    </w:p>
    <w:p w:rsidR="00C21DAA" w:rsidRPr="00FE07FE" w:rsidRDefault="00FE07FE" w:rsidP="00500FFB">
      <w:pPr>
        <w:pStyle w:val="SingleTxtG"/>
        <w:rPr>
          <w:lang w:val="es-MX" w:eastAsia="en-US"/>
        </w:rPr>
      </w:pPr>
      <w:r w:rsidRPr="00500FFB">
        <w:rPr>
          <w:lang w:val="es-MX" w:eastAsia="en-US"/>
        </w:rPr>
        <w:t>78.</w:t>
      </w:r>
      <w:r w:rsidRPr="00500FFB">
        <w:rPr>
          <w:lang w:val="es-MX" w:eastAsia="en-US"/>
        </w:rPr>
        <w:tab/>
      </w:r>
      <w:r w:rsidR="00115B35" w:rsidRPr="00FE07FE">
        <w:rPr>
          <w:b/>
          <w:lang w:val="es-MX" w:eastAsia="en-US"/>
        </w:rPr>
        <w:t>En referencia al maltrato físico y psicológico y abuso sexual</w:t>
      </w:r>
      <w:r w:rsidR="00115B35" w:rsidRPr="00FE07FE">
        <w:rPr>
          <w:lang w:val="es-MX" w:eastAsia="en-US"/>
        </w:rPr>
        <w:t>: El INADI trabajó el Protocolo de “Intervención de los cuerpos policiales y Fuerzas de Seguridad con el objeto de Preservar la seguridad psíquica y física de las personas con presunto padecimiento mental o en situación de uso problemático de drogas en situación de riesgo para sí o terceros”, con el MSG.</w:t>
      </w:r>
    </w:p>
    <w:p w:rsidR="00C21DAA" w:rsidRPr="00FE07FE" w:rsidRDefault="00115B35">
      <w:pPr>
        <w:pStyle w:val="SingleTxtG"/>
        <w:rPr>
          <w:lang w:val="es-MX" w:eastAsia="en-US"/>
        </w:rPr>
      </w:pPr>
      <w:r w:rsidRPr="00FE07FE">
        <w:rPr>
          <w:lang w:val="es-MX" w:eastAsia="en-US"/>
        </w:rPr>
        <w:t xml:space="preserve">En 2013 se promulgó la </w:t>
      </w:r>
      <w:r w:rsidR="007C1E21">
        <w:rPr>
          <w:lang w:val="es-MX" w:eastAsia="en-US"/>
        </w:rPr>
        <w:t>L</w:t>
      </w:r>
      <w:r w:rsidRPr="00FE07FE">
        <w:rPr>
          <w:lang w:val="es-MX" w:eastAsia="en-US"/>
        </w:rPr>
        <w:t xml:space="preserve">ey </w:t>
      </w:r>
      <w:r w:rsidR="007C1E21">
        <w:rPr>
          <w:lang w:val="es-MX" w:eastAsia="en-US"/>
        </w:rPr>
        <w:t xml:space="preserve">núm. </w:t>
      </w:r>
      <w:r w:rsidRPr="00FE07FE">
        <w:rPr>
          <w:lang w:val="es-MX" w:eastAsia="en-US"/>
        </w:rPr>
        <w:t xml:space="preserve">26892: “Ley para la promoción de la convivencia y el abordaje de la conflictividad social en las instituciones educativas”. </w:t>
      </w:r>
    </w:p>
    <w:p w:rsidR="00C21DAA" w:rsidRPr="00FE07FE" w:rsidRDefault="00FE07FE" w:rsidP="00500FFB">
      <w:pPr>
        <w:pStyle w:val="SingleTxtG"/>
        <w:rPr>
          <w:lang w:val="es-MX" w:eastAsia="en-US"/>
        </w:rPr>
      </w:pPr>
      <w:r w:rsidRPr="00500FFB">
        <w:rPr>
          <w:lang w:val="es-MX" w:eastAsia="en-US"/>
        </w:rPr>
        <w:t>79.</w:t>
      </w:r>
      <w:r w:rsidRPr="00500FFB">
        <w:rPr>
          <w:lang w:val="es-MX" w:eastAsia="en-US"/>
        </w:rPr>
        <w:tab/>
      </w:r>
      <w:r w:rsidR="00115B35" w:rsidRPr="00FE07FE">
        <w:rPr>
          <w:lang w:val="es-MX" w:eastAsia="en-US"/>
        </w:rPr>
        <w:t xml:space="preserve">La SENAF desarrolló la campaña “Buentrato”, y desarrolló programas de Atención a Niños y Niñas con Madres Privadas de la Libertad y “Cuidando Nuestras Chicas y Chicos”. </w:t>
      </w:r>
    </w:p>
    <w:p w:rsidR="00C21DAA" w:rsidRPr="00FE07FE" w:rsidRDefault="00FE07FE" w:rsidP="00500FFB">
      <w:pPr>
        <w:pStyle w:val="SingleTxtG"/>
        <w:rPr>
          <w:lang w:val="es-MX" w:eastAsia="en-US"/>
        </w:rPr>
      </w:pPr>
      <w:r w:rsidRPr="00500FFB">
        <w:rPr>
          <w:lang w:val="es-MX" w:eastAsia="en-US"/>
        </w:rPr>
        <w:t>80.</w:t>
      </w:r>
      <w:r w:rsidRPr="00500FFB">
        <w:rPr>
          <w:lang w:val="es-MX" w:eastAsia="en-US"/>
        </w:rPr>
        <w:tab/>
      </w:r>
      <w:r w:rsidR="00115B35" w:rsidRPr="00FE07FE">
        <w:rPr>
          <w:lang w:val="es-MX" w:eastAsia="en-US"/>
        </w:rPr>
        <w:t xml:space="preserve">En el ámbito de la CABA existe la línea telefónica 137 del MJDH, puede comunicarse cualquier persona que sea víctima o tome conocimiento de una situación de violencia. El Programa Victimas Contra la Violencia atiende víctimas de abusos y/o maltrato. Entre los años 2006 y 2015 se atendieron a más de 23.000 personas. El 57% de las personas víctimas de violencia tienen menos de 18 años. La Oficina de Violencia Doméstica (OVD) de la CSJN fue creada en el 2006, facilita el acceso a la justicia de </w:t>
      </w:r>
      <w:r w:rsidR="00115B35" w:rsidRPr="00FE07FE">
        <w:rPr>
          <w:lang w:val="es-MX" w:eastAsia="en-US"/>
        </w:rPr>
        <w:lastRenderedPageBreak/>
        <w:t xml:space="preserve">personas afectadas por hechos de violencia doméstica, en situación de especial vulnerabilidad. Funciona en el ámbito de la CABA, atendiendo las 24 horas del día, los 365 días del año. Los Superiores Tribunales de las provincias de Tucumán, Santiago Del estero y Santa Cruz cuentan con sus propias oficinas de violencia doméstica. </w:t>
      </w:r>
    </w:p>
    <w:p w:rsidR="00C21DAA" w:rsidRPr="00FE07FE" w:rsidRDefault="00FE07FE" w:rsidP="00500FFB">
      <w:pPr>
        <w:pStyle w:val="SingleTxtG"/>
        <w:rPr>
          <w:lang w:val="es-MX" w:eastAsia="en-US"/>
        </w:rPr>
      </w:pPr>
      <w:r w:rsidRPr="00500FFB">
        <w:rPr>
          <w:lang w:val="es-MX" w:eastAsia="en-US"/>
        </w:rPr>
        <w:t>81.</w:t>
      </w:r>
      <w:r w:rsidRPr="00500FFB">
        <w:rPr>
          <w:lang w:val="es-MX" w:eastAsia="en-US"/>
        </w:rPr>
        <w:tab/>
      </w:r>
      <w:r w:rsidR="00115B35" w:rsidRPr="00FE07FE">
        <w:rPr>
          <w:lang w:val="es-MX" w:eastAsia="en-US"/>
        </w:rPr>
        <w:t>En el marco de Niñ@ Sur se firmó un acta: No Reconociendo la Existencia del denominado “Síndrome de Alienación Parental”, en concordancia con lo manifestado por la OMS como forma de invalidar la palabra de los niños; promoviendo la adopción de acciones y estrategias para la prevención y atención del maltrato y abuso sexual (mayo</w:t>
      </w:r>
      <w:r w:rsidR="0052144D">
        <w:rPr>
          <w:lang w:val="es-MX" w:eastAsia="en-US"/>
        </w:rPr>
        <w:t> </w:t>
      </w:r>
      <w:r w:rsidR="00115B35" w:rsidRPr="00FE07FE">
        <w:rPr>
          <w:lang w:val="es-MX" w:eastAsia="en-US"/>
        </w:rPr>
        <w:t xml:space="preserve">2016). </w:t>
      </w:r>
    </w:p>
    <w:p w:rsidR="00C21DAA" w:rsidRPr="00FE07FE" w:rsidRDefault="00FE07FE" w:rsidP="00500FFB">
      <w:pPr>
        <w:pStyle w:val="SingleTxtG"/>
        <w:rPr>
          <w:lang w:val="es-MX" w:eastAsia="en-US"/>
        </w:rPr>
      </w:pPr>
      <w:r w:rsidRPr="00500FFB">
        <w:rPr>
          <w:lang w:val="es-MX" w:eastAsia="en-US"/>
        </w:rPr>
        <w:t>82.</w:t>
      </w:r>
      <w:r w:rsidRPr="00500FFB">
        <w:rPr>
          <w:lang w:val="es-MX" w:eastAsia="en-US"/>
        </w:rPr>
        <w:tab/>
      </w:r>
      <w:r w:rsidR="00115B35" w:rsidRPr="00FE07FE">
        <w:rPr>
          <w:lang w:val="es-MX" w:eastAsia="en-US"/>
        </w:rPr>
        <w:t xml:space="preserve">La provincia de </w:t>
      </w:r>
      <w:r w:rsidR="00115B35" w:rsidRPr="00FE07FE">
        <w:rPr>
          <w:b/>
          <w:lang w:val="es-MX" w:eastAsia="en-US"/>
        </w:rPr>
        <w:t>Córdoba</w:t>
      </w:r>
      <w:r w:rsidR="00115B35" w:rsidRPr="00FE07FE">
        <w:rPr>
          <w:lang w:val="es-MX" w:eastAsia="en-US"/>
        </w:rPr>
        <w:t xml:space="preserve"> estableció mediante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10150 el 7 de mayo como el “Día de la Promoción de la palabra y la no violencia en el espacio público”. </w:t>
      </w:r>
      <w:r w:rsidR="00115B35" w:rsidRPr="00FE07FE">
        <w:rPr>
          <w:b/>
          <w:lang w:val="es-MX" w:eastAsia="en-US"/>
        </w:rPr>
        <w:t>La Pampa</w:t>
      </w:r>
      <w:r w:rsidR="00115B35" w:rsidRPr="00FE07FE">
        <w:rPr>
          <w:lang w:val="es-MX" w:eastAsia="en-US"/>
        </w:rPr>
        <w:t xml:space="preserve"> posee un equipo interdisciplinario que buscando modificar las pautas de conducta estereotipadas, la resolución de conflictos de modo no violento y posee el PRÓVIDA con los subprogramas Vínculos Saludables </w:t>
      </w:r>
      <w:r w:rsidR="00115B35" w:rsidRPr="00FE07FE">
        <w:rPr>
          <w:b/>
          <w:lang w:val="es-MX" w:eastAsia="en-US"/>
        </w:rPr>
        <w:t>CABA</w:t>
      </w:r>
      <w:r w:rsidR="00115B35" w:rsidRPr="00FE07FE">
        <w:rPr>
          <w:lang w:val="es-MX" w:eastAsia="en-US"/>
        </w:rPr>
        <w:t xml:space="preserve"> en 2014, realizó 238 capacitaciones de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114 en escuelas y ONG, capacitó a 5644 operadores del sistema. </w:t>
      </w:r>
      <w:r w:rsidR="00115B35" w:rsidRPr="00FE07FE">
        <w:rPr>
          <w:b/>
          <w:lang w:val="es-MX" w:eastAsia="en-US"/>
        </w:rPr>
        <w:t>Tucumán</w:t>
      </w:r>
      <w:r w:rsidR="00115B35" w:rsidRPr="00FE07FE">
        <w:rPr>
          <w:lang w:val="es-MX" w:eastAsia="en-US"/>
        </w:rPr>
        <w:t xml:space="preserve"> posee un Protocolo Interinstitucional para la atención de niños niñas, y adolescentes víctimas o testigo de abuso sexual infantil o violencia, (acordada de la Corte Suprema de Tucumán en 2013) y para finales de 2014 habían atendido 239 casos. Además, se concientizó en la vía pública la campaña de Buentrato, y se estableció el protocolo de actuación de los cuerpos policiales y fuerzas de seguridad respecto de los niños en conflicto con la ley penal. </w:t>
      </w:r>
      <w:r w:rsidR="00115B35" w:rsidRPr="00FE07FE">
        <w:rPr>
          <w:b/>
          <w:lang w:val="es-MX" w:eastAsia="en-US"/>
        </w:rPr>
        <w:t>San</w:t>
      </w:r>
      <w:r w:rsidR="00115B35" w:rsidRPr="00FE07FE">
        <w:rPr>
          <w:lang w:val="es-MX" w:eastAsia="en-US"/>
        </w:rPr>
        <w:t xml:space="preserve"> </w:t>
      </w:r>
      <w:r w:rsidR="00115B35" w:rsidRPr="00FE07FE">
        <w:rPr>
          <w:b/>
          <w:lang w:val="es-MX" w:eastAsia="en-US"/>
        </w:rPr>
        <w:t>Luis</w:t>
      </w:r>
      <w:r w:rsidR="00115B35" w:rsidRPr="00FE07FE">
        <w:rPr>
          <w:lang w:val="es-MX" w:eastAsia="en-US"/>
        </w:rPr>
        <w:t xml:space="preserve"> posee la </w:t>
      </w:r>
      <w:r w:rsidR="001E4A0E">
        <w:rPr>
          <w:lang w:val="es-MX" w:eastAsia="en-US"/>
        </w:rPr>
        <w:t>L</w:t>
      </w:r>
      <w:r w:rsidR="00115B35" w:rsidRPr="00FE07FE">
        <w:rPr>
          <w:lang w:val="es-MX" w:eastAsia="en-US"/>
        </w:rPr>
        <w:t xml:space="preserve">ey </w:t>
      </w:r>
      <w:r w:rsidR="001E4A0E">
        <w:rPr>
          <w:lang w:val="es-MX" w:eastAsia="en-US"/>
        </w:rPr>
        <w:t xml:space="preserve">núm. </w:t>
      </w:r>
      <w:r w:rsidR="00115B35" w:rsidRPr="00FE07FE">
        <w:rPr>
          <w:lang w:val="es-MX" w:eastAsia="en-US"/>
        </w:rPr>
        <w:t xml:space="preserve">10010/2004 bajo la cual se asisten a los niños y niñas víctimas de abuso sexual. </w:t>
      </w:r>
      <w:r w:rsidR="00115B35" w:rsidRPr="00FE07FE">
        <w:rPr>
          <w:b/>
          <w:lang w:val="es-MX" w:eastAsia="en-US"/>
        </w:rPr>
        <w:t>Santiago</w:t>
      </w:r>
      <w:r w:rsidR="00115B35" w:rsidRPr="00FE07FE">
        <w:rPr>
          <w:lang w:val="es-MX" w:eastAsia="en-US"/>
        </w:rPr>
        <w:t xml:space="preserve"> </w:t>
      </w:r>
      <w:r w:rsidR="00115B35" w:rsidRPr="00FE07FE">
        <w:rPr>
          <w:b/>
          <w:lang w:val="es-MX" w:eastAsia="en-US"/>
        </w:rPr>
        <w:t>del</w:t>
      </w:r>
      <w:r w:rsidR="00115B35" w:rsidRPr="00FE07FE">
        <w:rPr>
          <w:lang w:val="es-MX" w:eastAsia="en-US"/>
        </w:rPr>
        <w:t xml:space="preserve"> </w:t>
      </w:r>
      <w:r w:rsidR="00115B35" w:rsidRPr="00FE07FE">
        <w:rPr>
          <w:b/>
          <w:lang w:val="es-MX" w:eastAsia="en-US"/>
        </w:rPr>
        <w:t>Estero</w:t>
      </w:r>
      <w:r w:rsidR="00115B35" w:rsidRPr="00FE07FE">
        <w:rPr>
          <w:lang w:val="es-MX" w:eastAsia="en-US"/>
        </w:rPr>
        <w:t xml:space="preserve"> dictó talleres sobre Sensibilización sobre prevención de maltrato abuso sexual y violencia. Desarrolló dos campañas gráficas y audiovisuales sobre el Buentrato y sobre prevención del maltrato y el abuso sexual. </w:t>
      </w:r>
      <w:r w:rsidR="00115B35" w:rsidRPr="00FE07FE">
        <w:rPr>
          <w:b/>
          <w:lang w:val="es-MX" w:eastAsia="en-US"/>
        </w:rPr>
        <w:t>Entre</w:t>
      </w:r>
      <w:r w:rsidR="00115B35" w:rsidRPr="00FE07FE">
        <w:rPr>
          <w:lang w:val="es-MX" w:eastAsia="en-US"/>
        </w:rPr>
        <w:t xml:space="preserve"> </w:t>
      </w:r>
      <w:r w:rsidR="00115B35" w:rsidRPr="00FE07FE">
        <w:rPr>
          <w:b/>
          <w:lang w:val="es-MX" w:eastAsia="en-US"/>
        </w:rPr>
        <w:t>R</w:t>
      </w:r>
      <w:r w:rsidR="00CD5E72">
        <w:rPr>
          <w:b/>
          <w:lang w:val="es-MX" w:eastAsia="en-US"/>
        </w:rPr>
        <w:t>í</w:t>
      </w:r>
      <w:r w:rsidR="00115B35" w:rsidRPr="00FE07FE">
        <w:rPr>
          <w:b/>
          <w:lang w:val="es-MX" w:eastAsia="en-US"/>
        </w:rPr>
        <w:t>os</w:t>
      </w:r>
      <w:r w:rsidR="00115B35" w:rsidRPr="00FE07FE">
        <w:rPr>
          <w:lang w:val="es-MX" w:eastAsia="en-US"/>
        </w:rPr>
        <w:t xml:space="preserve"> creó el Programa de Prevención, Protección y Abordaje Integral de la Violencia Familiar, la </w:t>
      </w:r>
      <w:r w:rsidR="001E4A0E">
        <w:rPr>
          <w:lang w:val="es-MX" w:eastAsia="en-US"/>
        </w:rPr>
        <w:t>L</w:t>
      </w:r>
      <w:r w:rsidR="00115B35" w:rsidRPr="00FE07FE">
        <w:rPr>
          <w:lang w:val="es-MX" w:eastAsia="en-US"/>
        </w:rPr>
        <w:t xml:space="preserve">ey </w:t>
      </w:r>
      <w:r w:rsidR="001E4A0E">
        <w:rPr>
          <w:lang w:val="es-MX" w:eastAsia="en-US"/>
        </w:rPr>
        <w:t xml:space="preserve">núm. </w:t>
      </w:r>
      <w:r w:rsidR="00115B35" w:rsidRPr="00FE07FE">
        <w:rPr>
          <w:lang w:val="es-MX" w:eastAsia="en-US"/>
        </w:rPr>
        <w:t>9198 de Prevención de la Violencia Familiar; del Protocolo Interministerial e Intersectorial de Acciones Destinadas a la Prevención, Protección y Asistencia Integral de la Violencia de Género y Violencia Familiar; del Protocolo Interinstitucional e Intersectorial de acciones destinadas a la Prevención, Asistencia y Recuperación de las Personas Víctimas del Delito de Trata; y el Protocolo Interinstitucional de Actuaciones en casos de Abuso Sexual Infantil.</w:t>
      </w:r>
    </w:p>
    <w:p w:rsidR="00C21DAA" w:rsidRPr="00FE07FE" w:rsidRDefault="00FE07FE" w:rsidP="00500FFB">
      <w:pPr>
        <w:pStyle w:val="SingleTxtG"/>
        <w:rPr>
          <w:lang w:val="es-MX" w:eastAsia="en-US"/>
        </w:rPr>
      </w:pPr>
      <w:r w:rsidRPr="00500FFB">
        <w:rPr>
          <w:lang w:val="es-MX" w:eastAsia="en-US"/>
        </w:rPr>
        <w:t>83.</w:t>
      </w:r>
      <w:r w:rsidRPr="00500FFB">
        <w:rPr>
          <w:lang w:val="es-MX" w:eastAsia="en-US"/>
        </w:rPr>
        <w:tab/>
      </w:r>
      <w:r w:rsidR="00115B35" w:rsidRPr="00FE07FE">
        <w:rPr>
          <w:lang w:val="es-MX" w:eastAsia="en-US"/>
        </w:rPr>
        <w:t>En el ámbito de internet el INADI desarrolló la plataforma por un internet libre de Discriminación y con UNICEF desarrolló cuadernillos sobre internet responsable para adultos y niños. Sobre prevención se realizaron capacitaciones en escuelas, universidades, empresas, organismos gubernamentales y organismos descentralizados, productores de TV y diarios y revistas.</w:t>
      </w:r>
    </w:p>
    <w:p w:rsidR="00C21DAA" w:rsidRPr="00FE07FE" w:rsidRDefault="00FE07FE" w:rsidP="00500FFB">
      <w:pPr>
        <w:pStyle w:val="SingleTxtG"/>
        <w:rPr>
          <w:lang w:val="es-MX" w:eastAsia="en-US"/>
        </w:rPr>
      </w:pPr>
      <w:r w:rsidRPr="00500FFB">
        <w:rPr>
          <w:lang w:val="es-MX" w:eastAsia="en-US"/>
        </w:rPr>
        <w:t>84.</w:t>
      </w:r>
      <w:r w:rsidRPr="00500FFB">
        <w:rPr>
          <w:lang w:val="es-MX" w:eastAsia="en-US"/>
        </w:rPr>
        <w:tab/>
      </w:r>
      <w:r w:rsidR="00115B35" w:rsidRPr="00FE07FE">
        <w:rPr>
          <w:lang w:val="es-MX" w:eastAsia="en-US"/>
        </w:rPr>
        <w:t xml:space="preserve">La </w:t>
      </w:r>
      <w:r w:rsidR="001E4A0E">
        <w:rPr>
          <w:lang w:val="es-MX" w:eastAsia="en-US"/>
        </w:rPr>
        <w:t>L</w:t>
      </w:r>
      <w:r w:rsidR="00115B35" w:rsidRPr="00FE07FE">
        <w:rPr>
          <w:lang w:val="es-MX" w:eastAsia="en-US"/>
        </w:rPr>
        <w:t xml:space="preserve">ey </w:t>
      </w:r>
      <w:r w:rsidR="001E4A0E">
        <w:rPr>
          <w:lang w:val="es-MX" w:eastAsia="en-US"/>
        </w:rPr>
        <w:t xml:space="preserve">núm. </w:t>
      </w:r>
      <w:r w:rsidR="00115B35" w:rsidRPr="00FE07FE">
        <w:rPr>
          <w:lang w:val="es-MX" w:eastAsia="en-US"/>
        </w:rPr>
        <w:t xml:space="preserve">26904 incorpora el delito de </w:t>
      </w:r>
      <w:r w:rsidR="00115B35" w:rsidRPr="00500FFB">
        <w:rPr>
          <w:i/>
          <w:lang w:val="es-MX" w:eastAsia="en-US"/>
        </w:rPr>
        <w:t>grooming</w:t>
      </w:r>
      <w:r w:rsidR="00115B35" w:rsidRPr="00FE07FE">
        <w:rPr>
          <w:lang w:val="es-MX" w:eastAsia="en-US"/>
        </w:rPr>
        <w:t xml:space="preserve"> a través del art. 131 del CP, estableciendo una pena de 6 meses a 4 años al que cometiere este delito contra la integridad sexual. </w:t>
      </w:r>
    </w:p>
    <w:p w:rsidR="00C21DAA" w:rsidRPr="00FE07FE" w:rsidRDefault="00FE07FE" w:rsidP="00500FFB">
      <w:pPr>
        <w:pStyle w:val="SingleTxtG"/>
        <w:rPr>
          <w:lang w:val="es-MX" w:eastAsia="en-US"/>
        </w:rPr>
      </w:pPr>
      <w:r w:rsidRPr="00500FFB">
        <w:rPr>
          <w:lang w:val="es-MX" w:eastAsia="en-US"/>
        </w:rPr>
        <w:t>85.</w:t>
      </w:r>
      <w:r w:rsidRPr="00500FFB">
        <w:rPr>
          <w:lang w:val="es-MX" w:eastAsia="en-US"/>
        </w:rPr>
        <w:tab/>
      </w:r>
      <w:r w:rsidR="00115B35" w:rsidRPr="00FE07FE">
        <w:rPr>
          <w:lang w:val="es-MX" w:eastAsia="en-US"/>
        </w:rPr>
        <w:t xml:space="preserve">Sobre los Niños aborígenes, </w:t>
      </w:r>
      <w:r w:rsidR="00115B35" w:rsidRPr="00FE07FE">
        <w:rPr>
          <w:b/>
          <w:lang w:val="es-MX" w:eastAsia="en-US"/>
        </w:rPr>
        <w:t>Chaco</w:t>
      </w:r>
      <w:r w:rsidR="00115B35" w:rsidRPr="00FE07FE">
        <w:rPr>
          <w:lang w:val="es-MX" w:eastAsia="en-US"/>
        </w:rPr>
        <w:t xml:space="preserve"> asistió a 420 niños indígenas, en alimentación, educación y fortalecimiento familiar (autogestión y promoción de pautas de crianza) en Pampa del Indio, Machagai, Misiones Nueva Pompeya, Paraje Santa Rosa Charata. Además desarrolló la Campaña de Buentrato en los CIFF, se trabajó con 100 adolescentes en el Gran Resistencia e interior; con adolescentes y ONG. </w:t>
      </w:r>
      <w:r w:rsidR="00115B35" w:rsidRPr="00FE07FE">
        <w:rPr>
          <w:b/>
          <w:lang w:val="es-MX" w:eastAsia="en-US"/>
        </w:rPr>
        <w:t>Tucumán</w:t>
      </w:r>
      <w:r w:rsidR="00115B35" w:rsidRPr="00FE07FE">
        <w:rPr>
          <w:lang w:val="es-MX" w:eastAsia="en-US"/>
        </w:rPr>
        <w:t xml:space="preserve">, trabaja en el Valle Calchaquí con las Comunidades indígenas de Los Quilmes y los Amaichas, con un referente de Alta Montaña desde el 2013 y el Gobierno indígena; se estableció una mesa interinstitucional con la participación de técnicos de los ministerios de salud, educación, etc. El gobierno ancestral desarrolla la política de infancia de la comunidad, y se creó el Centro de Desarrollo Infantil y recibe complemento nutricional desde la Secretaría de Políticas Alimentarias. En referencia a la observación </w:t>
      </w:r>
      <w:r w:rsidR="0052144D">
        <w:rPr>
          <w:lang w:val="es-MX" w:eastAsia="en-US"/>
        </w:rPr>
        <w:t xml:space="preserve">núm. </w:t>
      </w:r>
      <w:r w:rsidR="00115B35" w:rsidRPr="00FE07FE">
        <w:rPr>
          <w:lang w:val="es-MX" w:eastAsia="en-US"/>
        </w:rPr>
        <w:t xml:space="preserve">11 del Comité (CRC/C/GC/11) desarrolló un proyecto de preservación de pautas de crianza, soberanía alimentaria, pautas culturales tradicionales y valores ancestrales, mediante la recopilación de relatos y otras formas de trasmisión cultural. </w:t>
      </w:r>
      <w:r w:rsidR="00115B35" w:rsidRPr="00FE07FE">
        <w:rPr>
          <w:b/>
          <w:lang w:val="es-MX" w:eastAsia="en-US"/>
        </w:rPr>
        <w:t>San</w:t>
      </w:r>
      <w:r w:rsidR="00115B35" w:rsidRPr="00FE07FE">
        <w:rPr>
          <w:lang w:val="es-MX" w:eastAsia="en-US"/>
        </w:rPr>
        <w:t xml:space="preserve"> </w:t>
      </w:r>
      <w:r w:rsidR="00115B35" w:rsidRPr="00FE07FE">
        <w:rPr>
          <w:b/>
          <w:lang w:val="es-MX" w:eastAsia="en-US"/>
        </w:rPr>
        <w:t>juan</w:t>
      </w:r>
      <w:r w:rsidR="00115B35" w:rsidRPr="00FE07FE">
        <w:rPr>
          <w:lang w:val="es-MX" w:eastAsia="en-US"/>
        </w:rPr>
        <w:t xml:space="preserve"> informó que el Ministerio de Desarrollo Humano y Promoción Social trabaja con las comunidades originarias de Sawa y Talkenka. </w:t>
      </w:r>
      <w:r w:rsidR="00115B35" w:rsidRPr="00FE07FE">
        <w:rPr>
          <w:b/>
          <w:lang w:val="es-MX" w:eastAsia="en-US"/>
        </w:rPr>
        <w:t>San</w:t>
      </w:r>
      <w:r w:rsidR="00115B35" w:rsidRPr="00FE07FE">
        <w:rPr>
          <w:lang w:val="es-MX" w:eastAsia="en-US"/>
        </w:rPr>
        <w:t xml:space="preserve"> </w:t>
      </w:r>
      <w:r w:rsidR="00115B35" w:rsidRPr="00FE07FE">
        <w:rPr>
          <w:b/>
          <w:lang w:val="es-MX" w:eastAsia="en-US"/>
        </w:rPr>
        <w:t>Luis</w:t>
      </w:r>
      <w:r w:rsidR="00115B35" w:rsidRPr="00FE07FE">
        <w:rPr>
          <w:lang w:val="es-MX" w:eastAsia="en-US"/>
        </w:rPr>
        <w:t xml:space="preserve"> trabaja con niñez indígena de las comunidades Huarpes y Ranquel. </w:t>
      </w:r>
      <w:r w:rsidR="00115B35" w:rsidRPr="00FE07FE">
        <w:rPr>
          <w:b/>
          <w:lang w:val="es-MX" w:eastAsia="en-US"/>
        </w:rPr>
        <w:t>La Pampa</w:t>
      </w:r>
      <w:r w:rsidR="00115B35" w:rsidRPr="00FE07FE">
        <w:rPr>
          <w:lang w:val="es-MX" w:eastAsia="en-US"/>
        </w:rPr>
        <w:t xml:space="preserve"> posee el Consejo Provincial del Aborigen con el programa propio RANCULCHE KIMUN, de protección de la cultura Ranquel; en las escuelas y con </w:t>
      </w:r>
      <w:r w:rsidR="00115B35" w:rsidRPr="00FE07FE">
        <w:rPr>
          <w:lang w:val="es-MX" w:eastAsia="en-US"/>
        </w:rPr>
        <w:lastRenderedPageBreak/>
        <w:t xml:space="preserve">participación de todos los niños que quieran compartir el conocimiento intercultural. </w:t>
      </w:r>
      <w:r w:rsidR="00115B35" w:rsidRPr="00FE07FE">
        <w:rPr>
          <w:b/>
          <w:lang w:val="es-MX" w:eastAsia="en-US"/>
        </w:rPr>
        <w:t>Entre Rios</w:t>
      </w:r>
      <w:r w:rsidR="00115B35" w:rsidRPr="00FE07FE">
        <w:rPr>
          <w:lang w:val="es-MX" w:eastAsia="en-US"/>
        </w:rPr>
        <w:t xml:space="preserve"> promueve la cultura Chana y su lengua en estudiantes secundarios. </w:t>
      </w:r>
      <w:r w:rsidR="00115B35" w:rsidRPr="00FE07FE">
        <w:rPr>
          <w:b/>
          <w:lang w:val="es-MX" w:eastAsia="en-US"/>
        </w:rPr>
        <w:t>Santa Fe</w:t>
      </w:r>
      <w:r w:rsidR="00115B35" w:rsidRPr="00FE07FE">
        <w:rPr>
          <w:lang w:val="es-MX" w:eastAsia="en-US"/>
        </w:rPr>
        <w:t xml:space="preserve"> cuenta con el Instituto Provincial de Aborígenes Santafesinos, que trabaja en educación, salud, hábitat y seguridad. Desarrollan mesas locales de salud intercultural y realizó el 1º Encuentro de Jóvenes de Pueblos Indígenas. </w:t>
      </w:r>
    </w:p>
    <w:p w:rsidR="00C21DAA" w:rsidRPr="00FE07FE" w:rsidRDefault="00FE07FE" w:rsidP="00500FFB">
      <w:pPr>
        <w:pStyle w:val="SingleTxtG"/>
        <w:rPr>
          <w:lang w:val="es-MX" w:eastAsia="en-US"/>
        </w:rPr>
      </w:pPr>
      <w:r w:rsidRPr="00500FFB">
        <w:rPr>
          <w:lang w:val="es-MX" w:eastAsia="en-US"/>
        </w:rPr>
        <w:t>86.</w:t>
      </w:r>
      <w:r w:rsidRPr="00500FFB">
        <w:rPr>
          <w:lang w:val="es-MX" w:eastAsia="en-US"/>
        </w:rPr>
        <w:tab/>
      </w:r>
      <w:r w:rsidR="00115B35" w:rsidRPr="00FE07FE">
        <w:rPr>
          <w:lang w:val="es-MX" w:eastAsia="en-US"/>
        </w:rPr>
        <w:t xml:space="preserve">El COFENAF declaró en su Acta </w:t>
      </w:r>
      <w:r w:rsidR="00115B35" w:rsidRPr="00FE07FE">
        <w:rPr>
          <w:i/>
          <w:lang w:val="es-MX" w:eastAsia="en-US"/>
        </w:rPr>
        <w:t>“Adolescencia no es sinónimo de Inseguridad”</w:t>
      </w:r>
      <w:r w:rsidR="00115B35" w:rsidRPr="00FE07FE">
        <w:rPr>
          <w:lang w:val="es-MX" w:eastAsia="en-US"/>
        </w:rPr>
        <w:t xml:space="preserve"> que es falsa y peligrosa la idea de que los determinantes de la inseguridad sean los delitos graves cometidos por niños y en particular los no punibles, evitando la estigmatización de los adolescentes. Asimismo formuló la declaración </w:t>
      </w:r>
      <w:r w:rsidR="00115B35" w:rsidRPr="00FE07FE">
        <w:rPr>
          <w:i/>
          <w:lang w:val="es-MX" w:eastAsia="en-US"/>
        </w:rPr>
        <w:t>“Los Medios audiovisuales deben evitar vulnerar los derechos de niñas y niños”</w:t>
      </w:r>
      <w:r w:rsidR="00115B35" w:rsidRPr="00FE07FE">
        <w:rPr>
          <w:lang w:val="es-MX" w:eastAsia="en-US"/>
        </w:rPr>
        <w:t xml:space="preserve">, instando a los medios a que se adecúen al espíritu de la ley de protección integral y que eviten denigrar, menoscabar, desmerecer, y descalificar a los niños y sus derechos. El MED conformó una mesa intersectorial sobre migraciones con organismos nacionales, universidades, ONG y colectivos migrantes, mejorando las condiciones educativas de las personas migrantes y/o sus hijos. Se incorporó el pasaporte como un documento válido en el título, se elaboraron cartillas de difusión sobre la ciudadanía argentina y materiales sobre migración, y se instituyó el día nacional de visibilización de la cultura Afro y los afro-descendientes, entre otras acciones. </w:t>
      </w:r>
    </w:p>
    <w:p w:rsidR="00C21DAA" w:rsidRPr="00FE07FE" w:rsidRDefault="00FE07FE" w:rsidP="00500FFB">
      <w:pPr>
        <w:pStyle w:val="SingleTxtG"/>
        <w:rPr>
          <w:lang w:val="es-MX" w:eastAsia="en-US"/>
        </w:rPr>
      </w:pPr>
      <w:r w:rsidRPr="00500FFB">
        <w:rPr>
          <w:lang w:val="es-MX" w:eastAsia="en-US"/>
        </w:rPr>
        <w:t>87.</w:t>
      </w:r>
      <w:r w:rsidRPr="00500FFB">
        <w:rPr>
          <w:lang w:val="es-MX" w:eastAsia="en-US"/>
        </w:rPr>
        <w:tab/>
      </w:r>
      <w:r w:rsidR="00115B35" w:rsidRPr="00FE07FE">
        <w:rPr>
          <w:lang w:val="es-MX" w:eastAsia="en-US"/>
        </w:rPr>
        <w:t xml:space="preserve">Sobre infancia en situación de calle, Santiago </w:t>
      </w:r>
      <w:r w:rsidR="00115B35" w:rsidRPr="00FE07FE">
        <w:rPr>
          <w:b/>
          <w:lang w:val="es-MX" w:eastAsia="en-US"/>
        </w:rPr>
        <w:t>del</w:t>
      </w:r>
      <w:r w:rsidR="00115B35" w:rsidRPr="00FE07FE">
        <w:rPr>
          <w:lang w:val="es-MX" w:eastAsia="en-US"/>
        </w:rPr>
        <w:t xml:space="preserve"> </w:t>
      </w:r>
      <w:r w:rsidR="00115B35" w:rsidRPr="00FE07FE">
        <w:rPr>
          <w:b/>
          <w:lang w:val="es-MX" w:eastAsia="en-US"/>
        </w:rPr>
        <w:t>Estero</w:t>
      </w:r>
      <w:r w:rsidR="00115B35" w:rsidRPr="00FE07FE">
        <w:rPr>
          <w:lang w:val="es-MX" w:eastAsia="en-US"/>
        </w:rPr>
        <w:t xml:space="preserve"> posee el programa de Integridad Personal, </w:t>
      </w:r>
      <w:r w:rsidR="00115B35" w:rsidRPr="00FE07FE">
        <w:rPr>
          <w:b/>
          <w:lang w:val="es-MX" w:eastAsia="en-US"/>
        </w:rPr>
        <w:t>Tucumán</w:t>
      </w:r>
      <w:r w:rsidR="00115B35" w:rsidRPr="00FE07FE">
        <w:rPr>
          <w:lang w:val="es-MX" w:eastAsia="en-US"/>
        </w:rPr>
        <w:t xml:space="preserve"> posee el programa Amachay de restitución de derechos de la niñez y la adolescencia en situación de calle; </w:t>
      </w:r>
      <w:r w:rsidR="00115B35" w:rsidRPr="00FE07FE">
        <w:rPr>
          <w:b/>
          <w:lang w:val="es-MX" w:eastAsia="en-US"/>
        </w:rPr>
        <w:t>Entre</w:t>
      </w:r>
      <w:r w:rsidR="00115B35" w:rsidRPr="00FE07FE">
        <w:rPr>
          <w:lang w:val="es-MX" w:eastAsia="en-US"/>
        </w:rPr>
        <w:t xml:space="preserve"> </w:t>
      </w:r>
      <w:r w:rsidR="00115B35" w:rsidRPr="00FE07FE">
        <w:rPr>
          <w:b/>
          <w:lang w:val="es-MX" w:eastAsia="en-US"/>
        </w:rPr>
        <w:t>Rios</w:t>
      </w:r>
      <w:r w:rsidR="00115B35" w:rsidRPr="00FE07FE">
        <w:rPr>
          <w:lang w:val="es-MX" w:eastAsia="en-US"/>
        </w:rPr>
        <w:t xml:space="preserve"> realizó talleres de Actualización Profesional “Atención sin Discriminación de la Salud Sexual y Reproductiva en la Adolescencia” y “Diversidad sexual y salud” dirigido a personal de salud en conjunto con el Programa de Salud Sexual y Reproductiva. Respecto a la niñez migrante, distribuyó la </w:t>
      </w:r>
      <w:r w:rsidR="00DF1C7B">
        <w:rPr>
          <w:lang w:val="es-MX" w:eastAsia="en-US"/>
        </w:rPr>
        <w:t>L</w:t>
      </w:r>
      <w:r w:rsidR="00115B35" w:rsidRPr="00FE07FE">
        <w:rPr>
          <w:lang w:val="es-MX" w:eastAsia="en-US"/>
        </w:rPr>
        <w:t xml:space="preserve">ey </w:t>
      </w:r>
      <w:r w:rsidR="00DF1C7B">
        <w:rPr>
          <w:lang w:val="es-MX" w:eastAsia="en-US"/>
        </w:rPr>
        <w:t xml:space="preserve">núm. </w:t>
      </w:r>
      <w:r w:rsidR="00115B35" w:rsidRPr="00FE07FE">
        <w:rPr>
          <w:lang w:val="es-MX" w:eastAsia="en-US"/>
        </w:rPr>
        <w:t xml:space="preserve">25871 de migraciones, en escuelas primarias y secundarias; realizó en temas xenofobia y discriminación el mapa de la discriminación 2da serie con la Universidad Nacional de Entre Ríos. </w:t>
      </w:r>
      <w:r w:rsidR="00115B35" w:rsidRPr="00FE07FE">
        <w:rPr>
          <w:b/>
          <w:lang w:val="es-MX" w:eastAsia="en-US"/>
        </w:rPr>
        <w:t>San</w:t>
      </w:r>
      <w:r w:rsidR="00115B35" w:rsidRPr="00FE07FE">
        <w:rPr>
          <w:lang w:val="es-MX" w:eastAsia="en-US"/>
        </w:rPr>
        <w:t xml:space="preserve"> </w:t>
      </w:r>
      <w:r w:rsidR="00115B35" w:rsidRPr="00FE07FE">
        <w:rPr>
          <w:b/>
          <w:lang w:val="es-MX" w:eastAsia="en-US"/>
        </w:rPr>
        <w:t>Luis</w:t>
      </w:r>
      <w:r w:rsidR="00115B35" w:rsidRPr="00FE07FE">
        <w:rPr>
          <w:lang w:val="es-MX" w:eastAsia="en-US"/>
        </w:rPr>
        <w:t xml:space="preserve"> estableció su Programa Plan de Inclusión Escolar-PIE, que son 1</w:t>
      </w:r>
      <w:r w:rsidR="0052144D">
        <w:rPr>
          <w:lang w:val="es-MX" w:eastAsia="en-US"/>
        </w:rPr>
        <w:t>.</w:t>
      </w:r>
      <w:r w:rsidR="00115B35" w:rsidRPr="00FE07FE">
        <w:rPr>
          <w:lang w:val="es-MX" w:eastAsia="en-US"/>
        </w:rPr>
        <w:t xml:space="preserve">500 pesos (100 U$S) para que los estudiantes en situación más vulnerable terminen el nivel primario y secundario. </w:t>
      </w:r>
      <w:r w:rsidR="00115B35" w:rsidRPr="00FE07FE">
        <w:rPr>
          <w:b/>
          <w:lang w:val="es-MX" w:eastAsia="en-US"/>
        </w:rPr>
        <w:t>Catamarca</w:t>
      </w:r>
      <w:r w:rsidR="00115B35" w:rsidRPr="00FE07FE">
        <w:rPr>
          <w:lang w:val="es-MX" w:eastAsia="en-US"/>
        </w:rPr>
        <w:t xml:space="preserve"> posee el programa “Regreso a casa”; </w:t>
      </w:r>
      <w:r w:rsidR="00115B35" w:rsidRPr="00FE07FE">
        <w:rPr>
          <w:b/>
          <w:lang w:val="es-MX" w:eastAsia="en-US"/>
        </w:rPr>
        <w:t>CABA</w:t>
      </w:r>
      <w:r w:rsidR="00115B35" w:rsidRPr="00FE07FE">
        <w:rPr>
          <w:lang w:val="es-MX" w:eastAsia="en-US"/>
        </w:rPr>
        <w:t xml:space="preserve"> estableció para la niñez en situación de calle, centros de día/noche; hogares de tránsito, el programa Mi Lugar para el acompañamiento a adolescentes desde los 16 años; Programa de fortalecimiento familiar para evitar la exclusión o institucionalización, y Programa Casa de Niños. </w:t>
      </w:r>
      <w:r w:rsidR="00115B35" w:rsidRPr="00FE07FE">
        <w:rPr>
          <w:b/>
          <w:lang w:val="es-MX" w:eastAsia="en-US"/>
        </w:rPr>
        <w:t xml:space="preserve">Tierra del fuego </w:t>
      </w:r>
      <w:r w:rsidR="00115B35" w:rsidRPr="00FE07FE">
        <w:rPr>
          <w:lang w:val="es-MX" w:eastAsia="en-US"/>
        </w:rPr>
        <w:t xml:space="preserve">aloja permanentemente niños migrantes y trabaja en el ámbito educativo para la integración efectiva de ellos. </w:t>
      </w:r>
      <w:r w:rsidR="00115B35" w:rsidRPr="00FE07FE">
        <w:rPr>
          <w:b/>
          <w:lang w:val="es-MX" w:eastAsia="en-US"/>
        </w:rPr>
        <w:t>Buenos Aires</w:t>
      </w:r>
      <w:r w:rsidR="00115B35" w:rsidRPr="00FE07FE">
        <w:rPr>
          <w:lang w:val="es-MX" w:eastAsia="en-US"/>
        </w:rPr>
        <w:t xml:space="preserve"> posee un Programa de Operadores de Calle que funciona en 11 municipios y se está extendiendo a 40, se realiza una mesa intersectorial de reunión periódica según lo dispuesto por la normativa local de infancia. Desde el organismo especializado se presentó un plan de trabajo ante la Suprema Corte Provincial, validado por instituciones de la sociedad civil, para ofrecer una red de recursos a los niños en situación de calle, expuestos a riesgos y abusos por parte de autoridades. </w:t>
      </w:r>
    </w:p>
    <w:p w:rsidR="00C21DAA" w:rsidRPr="00FE07FE" w:rsidRDefault="00FE07FE" w:rsidP="00500FFB">
      <w:pPr>
        <w:pStyle w:val="SingleTxtG"/>
        <w:rPr>
          <w:lang w:val="es-MX" w:eastAsia="en-US"/>
        </w:rPr>
      </w:pPr>
      <w:r w:rsidRPr="00500FFB">
        <w:rPr>
          <w:lang w:val="es-MX" w:eastAsia="en-US"/>
        </w:rPr>
        <w:t>88.</w:t>
      </w:r>
      <w:r w:rsidRPr="00500FFB">
        <w:rPr>
          <w:lang w:val="es-MX" w:eastAsia="en-US"/>
        </w:rPr>
        <w:tab/>
      </w:r>
      <w:r w:rsidR="00115B35" w:rsidRPr="00FE07FE">
        <w:rPr>
          <w:lang w:val="es-MX" w:eastAsia="en-US"/>
        </w:rPr>
        <w:t xml:space="preserve">En los casos en que se tomó conocimiento de algún hecho, se realizaron las denuncias penales correspondientes. </w:t>
      </w:r>
    </w:p>
    <w:p w:rsidR="00C21DAA" w:rsidRPr="00FE07FE" w:rsidRDefault="00115B35">
      <w:pPr>
        <w:pStyle w:val="H23G"/>
      </w:pPr>
      <w:r w:rsidRPr="00FE07FE">
        <w:tab/>
      </w:r>
      <w:r w:rsidRPr="00FE07FE">
        <w:tab/>
        <w:t>Interés superior del niño</w:t>
      </w:r>
    </w:p>
    <w:p w:rsidR="00C21DAA" w:rsidRPr="00FE07FE" w:rsidRDefault="00115B35">
      <w:pPr>
        <w:pStyle w:val="H4G"/>
      </w:pPr>
      <w:r w:rsidRPr="00FE07FE">
        <w:tab/>
      </w:r>
      <w:r w:rsidRPr="00FE07FE">
        <w:tab/>
        <w:t>Párrafo 35</w:t>
      </w:r>
    </w:p>
    <w:p w:rsidR="00C21DAA" w:rsidRPr="00FE07FE" w:rsidRDefault="00FE07FE" w:rsidP="00500FFB">
      <w:pPr>
        <w:pStyle w:val="SingleTxtG"/>
        <w:rPr>
          <w:lang w:val="es-MX" w:eastAsia="en-US"/>
        </w:rPr>
      </w:pPr>
      <w:r w:rsidRPr="00500FFB">
        <w:rPr>
          <w:lang w:val="es-MX" w:eastAsia="en-US"/>
        </w:rPr>
        <w:t>89.</w:t>
      </w:r>
      <w:r w:rsidRPr="00500FFB">
        <w:rPr>
          <w:lang w:val="es-MX" w:eastAsia="en-US"/>
        </w:rPr>
        <w:tab/>
      </w:r>
      <w:r w:rsidR="00115B35" w:rsidRPr="00FE07FE">
        <w:rPr>
          <w:lang w:val="es-MX" w:eastAsia="en-US"/>
        </w:rPr>
        <w:t xml:space="preserve">El principio del interés superior del niño está regulado expresamente por el derecho interno en la </w:t>
      </w:r>
      <w:r w:rsidR="00E60DCC">
        <w:rPr>
          <w:lang w:val="es-MX" w:eastAsia="en-US"/>
        </w:rPr>
        <w:t>L</w:t>
      </w:r>
      <w:r w:rsidR="00115B35" w:rsidRPr="00FE07FE">
        <w:rPr>
          <w:lang w:val="es-MX" w:eastAsia="en-US"/>
        </w:rPr>
        <w:t xml:space="preserve">ey </w:t>
      </w:r>
      <w:r w:rsidR="00E60DCC">
        <w:rPr>
          <w:lang w:val="es-MX" w:eastAsia="en-US"/>
        </w:rPr>
        <w:t xml:space="preserve">núm. </w:t>
      </w:r>
      <w:r w:rsidR="00115B35" w:rsidRPr="00FE07FE">
        <w:rPr>
          <w:lang w:val="es-MX" w:eastAsia="en-US"/>
        </w:rPr>
        <w:t>26061, que lo define como “(…) la máxima satisfacción, integral y simultánea de los derechos y garantías (…)” y es, por consiguiente, de aplicación obligatoria en todos los procesos seguidos contra niños. El sistema penal juvenil se integra por este principio rector y las regulaciones específicas provinciales receptan las disposiciones del derecho internacional.</w:t>
      </w:r>
    </w:p>
    <w:p w:rsidR="00C21DAA" w:rsidRPr="00FE07FE" w:rsidRDefault="00FE07FE" w:rsidP="00500FFB">
      <w:pPr>
        <w:pStyle w:val="SingleTxtG"/>
        <w:rPr>
          <w:lang w:val="es-MX" w:eastAsia="en-US"/>
        </w:rPr>
      </w:pPr>
      <w:r w:rsidRPr="00500FFB">
        <w:rPr>
          <w:lang w:val="es-MX" w:eastAsia="en-US"/>
        </w:rPr>
        <w:t>90.</w:t>
      </w:r>
      <w:r w:rsidRPr="00500FFB">
        <w:rPr>
          <w:lang w:val="es-MX" w:eastAsia="en-US"/>
        </w:rPr>
        <w:tab/>
      </w:r>
      <w:r w:rsidR="00115B35" w:rsidRPr="00FE07FE">
        <w:rPr>
          <w:lang w:val="es-MX" w:eastAsia="en-US"/>
        </w:rPr>
        <w:t xml:space="preserve">Por su parte, el Ministerio Público Fiscal desarrolló protocolos y guías de actuación referidos a las declaraciones de niños víctimas o testigos, y a la investigación de delitos contra la integridad sexual perpetrados contra niños (Resoluciones PGN </w:t>
      </w:r>
      <w:r w:rsidR="00E60DCC">
        <w:rPr>
          <w:lang w:val="es-MX" w:eastAsia="en-US"/>
        </w:rPr>
        <w:t>núms</w:t>
      </w:r>
      <w:r w:rsidR="005C512D">
        <w:rPr>
          <w:lang w:val="es-MX" w:eastAsia="en-US"/>
        </w:rPr>
        <w:t>. </w:t>
      </w:r>
      <w:r w:rsidR="00115B35" w:rsidRPr="00FE07FE">
        <w:rPr>
          <w:lang w:val="es-MX" w:eastAsia="en-US"/>
        </w:rPr>
        <w:t xml:space="preserve">08/09, 59/09 y 35/12 </w:t>
      </w:r>
      <w:r w:rsidR="0052144D">
        <w:rPr>
          <w:lang w:val="es-MX" w:eastAsia="en-US"/>
        </w:rPr>
        <w:t>—</w:t>
      </w:r>
      <w:r w:rsidR="00115B35" w:rsidRPr="00FE07FE">
        <w:rPr>
          <w:lang w:val="es-MX" w:eastAsia="en-US"/>
        </w:rPr>
        <w:t>ANEXO III</w:t>
      </w:r>
      <w:r w:rsidR="0052144D">
        <w:rPr>
          <w:lang w:val="es-MX" w:eastAsia="en-US"/>
        </w:rPr>
        <w:t>—</w:t>
      </w:r>
      <w:r w:rsidR="00115B35" w:rsidRPr="00FE07FE">
        <w:rPr>
          <w:lang w:val="es-MX" w:eastAsia="en-US"/>
        </w:rPr>
        <w:t>), que apuntan a efectivizar el derecho a ser escuchados, se garantiza la protección especial.</w:t>
      </w:r>
    </w:p>
    <w:p w:rsidR="00C21DAA" w:rsidRPr="00FE07FE" w:rsidRDefault="00FE07FE" w:rsidP="00500FFB">
      <w:pPr>
        <w:pStyle w:val="SingleTxtG"/>
        <w:rPr>
          <w:lang w:val="es-MX" w:eastAsia="en-US"/>
        </w:rPr>
      </w:pPr>
      <w:r w:rsidRPr="00500FFB">
        <w:rPr>
          <w:lang w:val="es-MX" w:eastAsia="en-US"/>
        </w:rPr>
        <w:lastRenderedPageBreak/>
        <w:t>91.</w:t>
      </w:r>
      <w:r w:rsidRPr="00500FFB">
        <w:rPr>
          <w:lang w:val="es-MX" w:eastAsia="en-US"/>
        </w:rPr>
        <w:tab/>
      </w:r>
      <w:r w:rsidR="00115B35" w:rsidRPr="00FE07FE">
        <w:rPr>
          <w:lang w:val="es-MX" w:eastAsia="en-US"/>
        </w:rPr>
        <w:t>El nuevo CCCN establece en sus arts.</w:t>
      </w:r>
      <w:r w:rsidR="00E60DCC">
        <w:rPr>
          <w:lang w:val="es-MX" w:eastAsia="en-US"/>
        </w:rPr>
        <w:t xml:space="preserve"> </w:t>
      </w:r>
      <w:r w:rsidR="00115B35" w:rsidRPr="00FE07FE">
        <w:rPr>
          <w:lang w:val="es-MX" w:eastAsia="en-US"/>
        </w:rPr>
        <w:t xml:space="preserve">113: oír previamente al niño, tener en cuenta sus manifestaciones en función de su edad y madurez; decidir atendiendo primordialmente a su interés superior, 595: el interés superior del niño rige el proceso de adopción) y 706: en los procesos de familia, la decisión que se dicte en un proceso en que están involucrados niños, niñas o adolescentes, debe tener en cuenta su interés superior. </w:t>
      </w:r>
    </w:p>
    <w:p w:rsidR="00C21DAA" w:rsidRPr="00FE07FE" w:rsidRDefault="00FE07FE" w:rsidP="00500FFB">
      <w:pPr>
        <w:pStyle w:val="SingleTxtG"/>
        <w:rPr>
          <w:lang w:val="es-MX" w:eastAsia="en-US"/>
        </w:rPr>
      </w:pPr>
      <w:r w:rsidRPr="00500FFB">
        <w:rPr>
          <w:lang w:val="es-MX" w:eastAsia="en-US"/>
        </w:rPr>
        <w:t>92.</w:t>
      </w:r>
      <w:r w:rsidRPr="00500FFB">
        <w:rPr>
          <w:lang w:val="es-MX" w:eastAsia="en-US"/>
        </w:rPr>
        <w:tab/>
      </w:r>
      <w:r w:rsidR="00115B35" w:rsidRPr="00FE07FE">
        <w:rPr>
          <w:lang w:val="es-MX" w:eastAsia="en-US"/>
        </w:rPr>
        <w:t xml:space="preserve">En virtud de lo establecido en la </w:t>
      </w:r>
      <w:r w:rsidR="00E60DCC">
        <w:rPr>
          <w:lang w:val="es-MX" w:eastAsia="en-US"/>
        </w:rPr>
        <w:t>L</w:t>
      </w:r>
      <w:r w:rsidR="00115B35" w:rsidRPr="00FE07FE">
        <w:rPr>
          <w:lang w:val="es-MX" w:eastAsia="en-US"/>
        </w:rPr>
        <w:t xml:space="preserve">ey </w:t>
      </w:r>
      <w:r w:rsidR="00E60DCC">
        <w:rPr>
          <w:lang w:val="es-MX" w:eastAsia="en-US"/>
        </w:rPr>
        <w:t xml:space="preserve">núm. </w:t>
      </w:r>
      <w:r w:rsidR="00E60DCC" w:rsidRPr="00FE07FE">
        <w:rPr>
          <w:lang w:val="es-MX" w:eastAsia="en-US"/>
        </w:rPr>
        <w:t xml:space="preserve">26061 </w:t>
      </w:r>
      <w:r w:rsidR="00115B35" w:rsidRPr="00FE07FE">
        <w:rPr>
          <w:lang w:val="es-MX" w:eastAsia="en-US"/>
        </w:rPr>
        <w:t>(art.</w:t>
      </w:r>
      <w:r w:rsidR="007C1E21">
        <w:rPr>
          <w:lang w:val="es-MX" w:eastAsia="en-US"/>
        </w:rPr>
        <w:t xml:space="preserve"> </w:t>
      </w:r>
      <w:r w:rsidR="00115B35" w:rsidRPr="00FE07FE">
        <w:rPr>
          <w:lang w:val="es-MX" w:eastAsia="en-US"/>
        </w:rPr>
        <w:t xml:space="preserve">27 inc. c) sobre ser asistido por un letrado preferentemente especializado en niñez o adolescencia, llamado “abogado del niño”, las jurisdicciones fueron implementando la figura. La SENAF realizó con la UBA una investigación sobre el abogado del niño en la defensa técnica, cuyas consideraciones y conclusiones serán insumos para diseñar las estrategias de promoción de ese derecho.  </w:t>
      </w:r>
    </w:p>
    <w:p w:rsidR="00C21DAA" w:rsidRPr="00FE07FE" w:rsidRDefault="00115B35">
      <w:pPr>
        <w:pStyle w:val="H23G"/>
        <w:rPr>
          <w:lang w:eastAsia="en-US"/>
        </w:rPr>
      </w:pPr>
      <w:r w:rsidRPr="00FE07FE">
        <w:rPr>
          <w:lang w:eastAsia="en-US"/>
        </w:rPr>
        <w:tab/>
      </w:r>
      <w:r w:rsidRPr="00FE07FE">
        <w:rPr>
          <w:lang w:eastAsia="en-US"/>
        </w:rPr>
        <w:tab/>
        <w:t>Respeto de las opiniones del niño</w:t>
      </w:r>
    </w:p>
    <w:p w:rsidR="00C21DAA" w:rsidRPr="00FE07FE" w:rsidRDefault="00115B35">
      <w:pPr>
        <w:pStyle w:val="H4G"/>
        <w:rPr>
          <w:lang w:eastAsia="en-US"/>
        </w:rPr>
      </w:pPr>
      <w:r w:rsidRPr="00FE07FE">
        <w:rPr>
          <w:lang w:eastAsia="en-US"/>
        </w:rPr>
        <w:tab/>
      </w:r>
      <w:r w:rsidRPr="00FE07FE">
        <w:rPr>
          <w:lang w:eastAsia="en-US"/>
        </w:rPr>
        <w:tab/>
        <w:t>Párrafo 37</w:t>
      </w:r>
    </w:p>
    <w:p w:rsidR="00C21DAA" w:rsidRPr="00FE07FE" w:rsidRDefault="00FE07FE" w:rsidP="00500FFB">
      <w:pPr>
        <w:pStyle w:val="SingleTxtG"/>
        <w:rPr>
          <w:lang w:val="es-MX" w:eastAsia="en-US"/>
        </w:rPr>
      </w:pPr>
      <w:r w:rsidRPr="00500FFB">
        <w:rPr>
          <w:lang w:val="es-MX" w:eastAsia="en-US"/>
        </w:rPr>
        <w:t>93.</w:t>
      </w:r>
      <w:r w:rsidRPr="00500FFB">
        <w:rPr>
          <w:lang w:val="es-MX" w:eastAsia="en-US"/>
        </w:rPr>
        <w:tab/>
      </w:r>
      <w:r w:rsidR="00115B35" w:rsidRPr="00FE07FE">
        <w:rPr>
          <w:lang w:val="es-MX" w:eastAsia="en-US"/>
        </w:rPr>
        <w:t xml:space="preserve">El CCCN introduce el art. 595 referido a los principios generales de la adopción y el derecho a ser oído de niños. La Ley de Representación Estudiantil </w:t>
      </w:r>
      <w:r w:rsidR="00E60DCC">
        <w:rPr>
          <w:lang w:val="es-MX" w:eastAsia="en-US"/>
        </w:rPr>
        <w:t xml:space="preserve">núm. </w:t>
      </w:r>
      <w:r w:rsidR="00115B35" w:rsidRPr="00FE07FE">
        <w:rPr>
          <w:lang w:val="es-MX" w:eastAsia="en-US"/>
        </w:rPr>
        <w:t xml:space="preserve">26877 que establece el </w:t>
      </w:r>
      <w:r w:rsidR="00115B35" w:rsidRPr="00FE07FE">
        <w:rPr>
          <w:b/>
          <w:lang w:val="es-MX" w:eastAsia="en-US"/>
        </w:rPr>
        <w:t>derecho a expresar su opinión y a ser oído</w:t>
      </w:r>
      <w:r w:rsidR="00115B35" w:rsidRPr="00FE07FE">
        <w:rPr>
          <w:lang w:val="es-MX" w:eastAsia="en-US"/>
        </w:rPr>
        <w:t xml:space="preserve"> y tenidos en cuenta y la Ley de Ciudadanía Argentina </w:t>
      </w:r>
      <w:r w:rsidR="00E60DCC">
        <w:rPr>
          <w:lang w:val="es-MX" w:eastAsia="en-US"/>
        </w:rPr>
        <w:t xml:space="preserve">núm. </w:t>
      </w:r>
      <w:r w:rsidR="00115B35" w:rsidRPr="00FE07FE">
        <w:rPr>
          <w:lang w:val="es-MX" w:eastAsia="en-US"/>
        </w:rPr>
        <w:t>26774, que establece en su art. 7°: “Los argentinos que hubiesen cumplido la edad de dieciséis (16) años, gozan de todos los derechos políticos conforme a la Constitución y a las leyes de la República”.</w:t>
      </w:r>
    </w:p>
    <w:p w:rsidR="00C21DAA" w:rsidRPr="00FE07FE" w:rsidRDefault="00FE07FE" w:rsidP="00500FFB">
      <w:pPr>
        <w:pStyle w:val="SingleTxtG"/>
        <w:rPr>
          <w:lang w:val="es-MX" w:eastAsia="en-US"/>
        </w:rPr>
      </w:pPr>
      <w:r w:rsidRPr="00500FFB">
        <w:rPr>
          <w:lang w:val="es-MX" w:eastAsia="en-US"/>
        </w:rPr>
        <w:t>94.</w:t>
      </w:r>
      <w:r w:rsidRPr="00500FFB">
        <w:rPr>
          <w:lang w:val="es-MX" w:eastAsia="en-US"/>
        </w:rPr>
        <w:tab/>
      </w:r>
      <w:r w:rsidR="00115B35" w:rsidRPr="00FE07FE">
        <w:rPr>
          <w:lang w:val="es-MX" w:eastAsia="en-US"/>
        </w:rPr>
        <w:t xml:space="preserve">En 2015, la Secretaría de Derechos Humanos de Nación desarrolló en el marco del Proyecto de Fortalecimiento de Prácticas Institucionales para Garantizar el Derecho del Niño/a a ser Escuchado una publicación específica sobre </w:t>
      </w:r>
      <w:r w:rsidR="00115B35" w:rsidRPr="00FE07FE">
        <w:rPr>
          <w:b/>
          <w:i/>
          <w:lang w:val="es-MX" w:eastAsia="en-US"/>
        </w:rPr>
        <w:t>El Derecho del Niño y la Niña a ser escuchado</w:t>
      </w:r>
      <w:r w:rsidR="00115B35" w:rsidRPr="00FE07FE">
        <w:rPr>
          <w:lang w:val="es-MX" w:eastAsia="en-US"/>
        </w:rPr>
        <w:t xml:space="preserve">, a la vez que desarrollan proyectos de asistencia técnica y acompañamiento a organismos del Estado y ONG que, además de informar y sensibilizar a la comunidad a través de materiales de difusión, intentan remover los obstáculos que impiden el pleno acceso a los derechos. </w:t>
      </w:r>
    </w:p>
    <w:p w:rsidR="00C21DAA" w:rsidRPr="00FE07FE" w:rsidRDefault="00FE07FE" w:rsidP="00500FFB">
      <w:pPr>
        <w:pStyle w:val="SingleTxtG"/>
        <w:rPr>
          <w:lang w:val="es-MX" w:eastAsia="en-US"/>
        </w:rPr>
      </w:pPr>
      <w:r w:rsidRPr="00500FFB">
        <w:rPr>
          <w:lang w:val="es-MX" w:eastAsia="en-US"/>
        </w:rPr>
        <w:t>95.</w:t>
      </w:r>
      <w:r w:rsidRPr="00500FFB">
        <w:rPr>
          <w:lang w:val="es-MX" w:eastAsia="en-US"/>
        </w:rPr>
        <w:tab/>
      </w:r>
      <w:r w:rsidR="00115B35" w:rsidRPr="00FE07FE">
        <w:rPr>
          <w:lang w:val="es-MX" w:eastAsia="en-US"/>
        </w:rPr>
        <w:t xml:space="preserve">La SENAF realizó en el 2016 los </w:t>
      </w:r>
      <w:r w:rsidR="00115B35" w:rsidRPr="00FE07FE">
        <w:rPr>
          <w:b/>
          <w:i/>
          <w:lang w:val="es-MX" w:eastAsia="en-US"/>
        </w:rPr>
        <w:t>Foros de Participación Adolescente “Mi</w:t>
      </w:r>
      <w:r w:rsidR="005C512D">
        <w:rPr>
          <w:b/>
          <w:i/>
          <w:lang w:val="es-MX" w:eastAsia="en-US"/>
        </w:rPr>
        <w:t> </w:t>
      </w:r>
      <w:r w:rsidR="00115B35" w:rsidRPr="00FE07FE">
        <w:rPr>
          <w:b/>
          <w:i/>
          <w:lang w:val="es-MX" w:eastAsia="en-US"/>
        </w:rPr>
        <w:t>Palabra Cuenta”</w:t>
      </w:r>
      <w:r w:rsidR="00115B35" w:rsidRPr="00FE07FE">
        <w:rPr>
          <w:lang w:val="es-MX" w:eastAsia="en-US"/>
        </w:rPr>
        <w:t xml:space="preserve">, encuentros en las 23 provincias donde niños y adolescentes pudieron expresar sus opiniones, difundir el derecho a ser escuchados y aportar sus ideas y conclusiones para el diseño del </w:t>
      </w:r>
      <w:r w:rsidR="00115B35" w:rsidRPr="00FE07FE">
        <w:rPr>
          <w:b/>
          <w:lang w:val="es-MX" w:eastAsia="en-US"/>
        </w:rPr>
        <w:t>Plan Nacional de Acción por los Derechos de Niñas, Niños y Adolescentes 2016-2019</w:t>
      </w:r>
      <w:r w:rsidR="00115B35" w:rsidRPr="00FE07FE">
        <w:rPr>
          <w:lang w:val="es-MX" w:eastAsia="en-US"/>
        </w:rPr>
        <w:t>. Además, se realizaron Encuestas sobre los “Derechos de niñas, niños y adolescentes” en los distintos espacios de participación con adolescentes de todo el país.</w:t>
      </w:r>
    </w:p>
    <w:p w:rsidR="00C21DAA" w:rsidRPr="00FE07FE" w:rsidRDefault="00115B35">
      <w:pPr>
        <w:pStyle w:val="H23G"/>
        <w:rPr>
          <w:lang w:eastAsia="en-US"/>
        </w:rPr>
      </w:pPr>
      <w:r w:rsidRPr="00FE07FE">
        <w:rPr>
          <w:lang w:eastAsia="en-US"/>
        </w:rPr>
        <w:tab/>
      </w:r>
      <w:r w:rsidRPr="00FE07FE">
        <w:rPr>
          <w:lang w:eastAsia="en-US"/>
        </w:rPr>
        <w:tab/>
        <w:t>Derecho a la vida, a la supervivencia y al desarrollo</w:t>
      </w:r>
    </w:p>
    <w:p w:rsidR="00C21DAA" w:rsidRPr="00FE07FE" w:rsidRDefault="00115B35">
      <w:pPr>
        <w:pStyle w:val="H4G"/>
        <w:rPr>
          <w:lang w:eastAsia="en-US"/>
        </w:rPr>
      </w:pPr>
      <w:r w:rsidRPr="00FE07FE">
        <w:rPr>
          <w:lang w:eastAsia="en-US"/>
        </w:rPr>
        <w:tab/>
      </w:r>
      <w:r w:rsidRPr="00FE07FE">
        <w:rPr>
          <w:lang w:eastAsia="en-US"/>
        </w:rPr>
        <w:tab/>
        <w:t>Párrafo 39</w:t>
      </w:r>
    </w:p>
    <w:p w:rsidR="00C21DAA" w:rsidRPr="00FE07FE" w:rsidRDefault="00FE07FE" w:rsidP="00500FFB">
      <w:pPr>
        <w:pStyle w:val="SingleTxtG"/>
        <w:rPr>
          <w:lang w:val="es-MX" w:eastAsia="en-US"/>
        </w:rPr>
      </w:pPr>
      <w:r w:rsidRPr="00500FFB">
        <w:rPr>
          <w:lang w:val="es-MX" w:eastAsia="en-US"/>
        </w:rPr>
        <w:t>96.</w:t>
      </w:r>
      <w:r w:rsidRPr="00500FFB">
        <w:rPr>
          <w:lang w:val="es-MX" w:eastAsia="en-US"/>
        </w:rPr>
        <w:tab/>
      </w:r>
      <w:r w:rsidR="00115B35" w:rsidRPr="00FE07FE">
        <w:rPr>
          <w:lang w:val="es-MX" w:eastAsia="en-US"/>
        </w:rPr>
        <w:t xml:space="preserve">Respecto de </w:t>
      </w:r>
      <w:r w:rsidR="00115B35" w:rsidRPr="00FE07FE">
        <w:rPr>
          <w:i/>
          <w:lang w:val="es-MX" w:eastAsia="en-US"/>
        </w:rPr>
        <w:t>los casos de suicidios y lesiones auto infligidas</w:t>
      </w:r>
      <w:r w:rsidR="00115B35" w:rsidRPr="00FE07FE">
        <w:rPr>
          <w:lang w:val="es-MX" w:eastAsia="en-US"/>
        </w:rPr>
        <w:t xml:space="preserve"> se tomaron medidas vinculadas tanto a la asistencia de los adolescentes a través de equipos de salud (psicólogos, psiquiatras) como al mobiliario (colchones ignífugos, accesibilidad de los matafuegos, revisión de la totalidad de las luces de emergencia, la adquisición de generadores de emergencia, adquisición de intercomunicadores para el personal de seguridad, cámaras de seguridad en espacios comunes y en los comedores y pasillos de los sectores). Por su parte, el Ministerio Público de la Defensa (MPD) interviene mediante </w:t>
      </w:r>
      <w:r w:rsidR="00115B35" w:rsidRPr="00FE07FE">
        <w:rPr>
          <w:i/>
          <w:lang w:val="es-MX" w:eastAsia="en-US"/>
        </w:rPr>
        <w:t>la Comisión de Seguimiento del Tratamiento Institucional de Niñas, Niños y Adolescentes</w:t>
      </w:r>
      <w:r w:rsidR="00115B35" w:rsidRPr="00FE07FE">
        <w:rPr>
          <w:rStyle w:val="Refdenotaalpie"/>
        </w:rPr>
        <w:footnoteReference w:id="19"/>
      </w:r>
      <w:r w:rsidR="00115B35" w:rsidRPr="00FE07FE">
        <w:rPr>
          <w:lang w:val="es-MX" w:eastAsia="en-US"/>
        </w:rPr>
        <w:t>, que realiza un monitoreo periódico de las condiciones de alojamiento. Asimismo, dicho organismo interviene mediante diversas dependencias como el Programa contra la Violencia Institucional, el Programa de Asistencia y Patrocinio Jurídico a Víctimas de Delitos y el Equipo Interdisciplinario. Es de señalar que todos los hechos son investigados por el poder judicial.</w:t>
      </w:r>
    </w:p>
    <w:p w:rsidR="00C21DAA" w:rsidRPr="00FE07FE" w:rsidRDefault="00FE07FE" w:rsidP="00500FFB">
      <w:pPr>
        <w:pStyle w:val="SingleTxtG"/>
        <w:rPr>
          <w:lang w:val="es-MX" w:eastAsia="en-US"/>
        </w:rPr>
      </w:pPr>
      <w:r w:rsidRPr="00500FFB">
        <w:rPr>
          <w:lang w:val="es-MX" w:eastAsia="en-US"/>
        </w:rPr>
        <w:t>97.</w:t>
      </w:r>
      <w:r w:rsidRPr="00500FFB">
        <w:rPr>
          <w:lang w:val="es-MX" w:eastAsia="en-US"/>
        </w:rPr>
        <w:tab/>
      </w:r>
      <w:r w:rsidR="00115B35" w:rsidRPr="00FE07FE">
        <w:rPr>
          <w:lang w:val="es-MX" w:eastAsia="en-US"/>
        </w:rPr>
        <w:t xml:space="preserve">La provincia de Buenos Aires cuenta con equipos técnicos en cada uno de los dispositivos penales juveniles, llevando un control de la salud de los adolescentes allí </w:t>
      </w:r>
      <w:r w:rsidR="00115B35" w:rsidRPr="00FE07FE">
        <w:rPr>
          <w:lang w:val="es-MX" w:eastAsia="en-US"/>
        </w:rPr>
        <w:lastRenderedPageBreak/>
        <w:t xml:space="preserve">alojados. Se realizan derivaciones a instituciones competentes en armonía con la Ley Nacional de Salud Mental y de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14580 (</w:t>
      </w:r>
      <w:r w:rsidR="007C1E21">
        <w:rPr>
          <w:lang w:val="es-MX" w:eastAsia="en-US"/>
        </w:rPr>
        <w:t>L</w:t>
      </w:r>
      <w:r w:rsidR="00115B35" w:rsidRPr="00FE07FE">
        <w:rPr>
          <w:lang w:val="es-MX" w:eastAsia="en-US"/>
        </w:rPr>
        <w:t xml:space="preserve">ey </w:t>
      </w:r>
      <w:r w:rsidR="007C1E21">
        <w:rPr>
          <w:lang w:val="es-MX" w:eastAsia="en-US"/>
        </w:rPr>
        <w:t>P</w:t>
      </w:r>
      <w:r w:rsidR="00115B35" w:rsidRPr="00FE07FE">
        <w:rPr>
          <w:lang w:val="es-MX" w:eastAsia="en-US"/>
        </w:rPr>
        <w:t xml:space="preserve">rovincial de </w:t>
      </w:r>
      <w:r w:rsidR="007C1E21">
        <w:rPr>
          <w:lang w:val="es-MX" w:eastAsia="en-US"/>
        </w:rPr>
        <w:t>A</w:t>
      </w:r>
      <w:r w:rsidR="00115B35" w:rsidRPr="00FE07FE">
        <w:rPr>
          <w:lang w:val="es-MX" w:eastAsia="en-US"/>
        </w:rPr>
        <w:t xml:space="preserve">dhesión). </w:t>
      </w:r>
    </w:p>
    <w:p w:rsidR="00C21DAA" w:rsidRPr="00FE07FE" w:rsidRDefault="00FE07FE" w:rsidP="00500FFB">
      <w:pPr>
        <w:pStyle w:val="SingleTxtG"/>
        <w:rPr>
          <w:lang w:val="es-MX" w:eastAsia="en-US"/>
        </w:rPr>
      </w:pPr>
      <w:r w:rsidRPr="00500FFB">
        <w:rPr>
          <w:lang w:val="es-MX" w:eastAsia="en-US"/>
        </w:rPr>
        <w:t>98.</w:t>
      </w:r>
      <w:r w:rsidRPr="00500FFB">
        <w:rPr>
          <w:lang w:val="es-MX" w:eastAsia="en-US"/>
        </w:rPr>
        <w:tab/>
      </w:r>
      <w:r w:rsidR="00115B35" w:rsidRPr="00FE07FE">
        <w:rPr>
          <w:lang w:val="es-MX" w:eastAsia="en-US"/>
        </w:rPr>
        <w:t xml:space="preserve">En cuanto a las </w:t>
      </w:r>
      <w:r w:rsidR="00115B35" w:rsidRPr="00FE07FE">
        <w:rPr>
          <w:i/>
          <w:lang w:val="es-MX" w:eastAsia="en-US"/>
        </w:rPr>
        <w:t>condenas perpetuas en menores de 18 años</w:t>
      </w:r>
      <w:r w:rsidR="00115B35" w:rsidRPr="00FE07FE">
        <w:rPr>
          <w:lang w:val="es-MX" w:eastAsia="en-US"/>
        </w:rPr>
        <w:t xml:space="preserve"> y a partir de la jurisprudencia sentada en CSJN, Fallos, 328:4343 (año 2005), la reducción de la pena a la escala de la tentativa se considera obligatoria, y por lo tanto no serían admisibles penas perpetuas.</w:t>
      </w:r>
    </w:p>
    <w:p w:rsidR="00C21DAA" w:rsidRPr="00FE07FE" w:rsidRDefault="00FE07FE" w:rsidP="00500FFB">
      <w:pPr>
        <w:pStyle w:val="SingleTxtG"/>
        <w:rPr>
          <w:lang w:val="es-MX" w:eastAsia="en-US"/>
        </w:rPr>
      </w:pPr>
      <w:r w:rsidRPr="00500FFB">
        <w:rPr>
          <w:lang w:val="es-MX" w:eastAsia="en-US"/>
        </w:rPr>
        <w:t>99.</w:t>
      </w:r>
      <w:r w:rsidRPr="00500FFB">
        <w:rPr>
          <w:lang w:val="es-MX" w:eastAsia="en-US"/>
        </w:rPr>
        <w:tab/>
      </w:r>
      <w:r w:rsidR="00115B35" w:rsidRPr="00FE07FE">
        <w:rPr>
          <w:lang w:val="es-MX" w:eastAsia="en-US"/>
        </w:rPr>
        <w:t xml:space="preserve">A partir del 2013 se tomó conocimiento de siete casos, dos de ellos obtuvieron su libertad, y en los restantes cinco se revisaron las condenas estableciendo sanciones más leves. </w:t>
      </w:r>
    </w:p>
    <w:p w:rsidR="00C21DAA" w:rsidRPr="00FE07FE" w:rsidRDefault="00115B35">
      <w:pPr>
        <w:pStyle w:val="H1G"/>
        <w:rPr>
          <w:lang w:val="es-ES_tradnl" w:eastAsia="en-US"/>
        </w:rPr>
      </w:pPr>
      <w:r w:rsidRPr="00FE07FE">
        <w:rPr>
          <w:lang w:val="es-ES_tradnl" w:eastAsia="en-US"/>
        </w:rPr>
        <w:tab/>
        <w:t>C.</w:t>
      </w:r>
      <w:r w:rsidRPr="00FE07FE">
        <w:rPr>
          <w:lang w:val="es-ES_tradnl" w:eastAsia="en-US"/>
        </w:rPr>
        <w:tab/>
        <w:t>Derechos y libertades civiles (art.</w:t>
      </w:r>
      <w:r w:rsidR="0052144D">
        <w:rPr>
          <w:lang w:val="es-ES_tradnl" w:eastAsia="en-US"/>
        </w:rPr>
        <w:t xml:space="preserve"> </w:t>
      </w:r>
      <w:r w:rsidRPr="00FE07FE">
        <w:rPr>
          <w:lang w:val="es-ES_tradnl" w:eastAsia="en-US"/>
        </w:rPr>
        <w:t>7, 8, 13 a 17, 19 y 37 a) de la Convención)</w:t>
      </w:r>
    </w:p>
    <w:p w:rsidR="00C21DAA" w:rsidRPr="00FE07FE" w:rsidRDefault="00115B35">
      <w:pPr>
        <w:pStyle w:val="H23G"/>
        <w:rPr>
          <w:lang w:val="es-ES_tradnl" w:eastAsia="en-US"/>
        </w:rPr>
      </w:pPr>
      <w:r w:rsidRPr="00FE07FE">
        <w:rPr>
          <w:lang w:val="es-ES_tradnl" w:eastAsia="en-US"/>
        </w:rPr>
        <w:tab/>
      </w:r>
      <w:r w:rsidRPr="00FE07FE">
        <w:rPr>
          <w:lang w:val="es-ES_tradnl" w:eastAsia="en-US"/>
        </w:rPr>
        <w:tab/>
        <w:t xml:space="preserve">Inscripción del nacimiento </w:t>
      </w:r>
    </w:p>
    <w:p w:rsidR="00C21DAA" w:rsidRPr="00FE07FE" w:rsidRDefault="00115B35">
      <w:pPr>
        <w:pStyle w:val="H4G"/>
        <w:rPr>
          <w:lang w:val="es-ES_tradnl" w:eastAsia="en-US"/>
        </w:rPr>
      </w:pPr>
      <w:r w:rsidRPr="00FE07FE">
        <w:rPr>
          <w:lang w:val="es-ES_tradnl" w:eastAsia="en-US"/>
        </w:rPr>
        <w:tab/>
      </w:r>
      <w:r w:rsidRPr="00FE07FE">
        <w:rPr>
          <w:lang w:val="es-ES_tradnl" w:eastAsia="en-US"/>
        </w:rPr>
        <w:tab/>
        <w:t>Párrafo 41</w:t>
      </w:r>
    </w:p>
    <w:p w:rsidR="00C21DAA" w:rsidRPr="00FE07FE" w:rsidRDefault="00FE07FE" w:rsidP="00500FFB">
      <w:pPr>
        <w:pStyle w:val="SingleTxtG"/>
        <w:rPr>
          <w:lang w:val="es-MX" w:eastAsia="en-US"/>
        </w:rPr>
      </w:pPr>
      <w:r w:rsidRPr="00500FFB">
        <w:rPr>
          <w:lang w:val="es-MX" w:eastAsia="en-US"/>
        </w:rPr>
        <w:t>100.</w:t>
      </w:r>
      <w:r w:rsidRPr="00500FFB">
        <w:rPr>
          <w:lang w:val="es-MX" w:eastAsia="en-US"/>
        </w:rPr>
        <w:tab/>
      </w:r>
      <w:r w:rsidR="00115B35" w:rsidRPr="00FE07FE">
        <w:rPr>
          <w:lang w:val="es-MX" w:eastAsia="en-US"/>
        </w:rPr>
        <w:t xml:space="preserve">Atento a la Observación 11 del Comité; y habiéndose constatado numerosos casos de ciudadanos mayores de 12 años de edad, pertenecientes a pueblos indígenas que no pudieron acreditar su identidad mediante la presentación del correspondiente Documento Nacional, por carecer del mismo, se estableció un Régimen para la inscripción de nacimientos de niños recién nacidos y de hasta los 12 años de edad, mediante los Decretos PEN </w:t>
      </w:r>
      <w:r w:rsidR="0052144D">
        <w:rPr>
          <w:lang w:val="es-MX" w:eastAsia="en-US"/>
        </w:rPr>
        <w:t xml:space="preserve">núms. </w:t>
      </w:r>
      <w:r w:rsidR="00115B35" w:rsidRPr="00FE07FE">
        <w:rPr>
          <w:lang w:val="es-MX" w:eastAsia="en-US"/>
        </w:rPr>
        <w:t xml:space="preserve">90/09, 92/10, 278/11, 294/12, 339/13 y 297/14 y la información estadística sobre los resultados de la aplicación de los decretos dan cuenta de una implementación satisfactoria. </w:t>
      </w:r>
    </w:p>
    <w:p w:rsidR="00C21DAA" w:rsidRPr="00FE07FE" w:rsidRDefault="00FE07FE" w:rsidP="00500FFB">
      <w:pPr>
        <w:pStyle w:val="SingleTxtG"/>
        <w:rPr>
          <w:lang w:val="es-MX" w:eastAsia="en-US"/>
        </w:rPr>
      </w:pPr>
      <w:r w:rsidRPr="00500FFB">
        <w:rPr>
          <w:lang w:val="es-MX" w:eastAsia="en-US"/>
        </w:rPr>
        <w:t>101.</w:t>
      </w:r>
      <w:r w:rsidRPr="00500FFB">
        <w:rPr>
          <w:lang w:val="es-MX" w:eastAsia="en-US"/>
        </w:rPr>
        <w:tab/>
      </w:r>
      <w:r w:rsidR="00115B35" w:rsidRPr="00FE07FE">
        <w:rPr>
          <w:lang w:val="es-MX" w:eastAsia="en-US"/>
        </w:rPr>
        <w:t xml:space="preserve">El Estado desarrolló operativos de documentación móviles permanentes dependientes del Ministerio del Interior por la </w:t>
      </w:r>
      <w:r w:rsidR="00D5464A">
        <w:rPr>
          <w:lang w:val="es-MX" w:eastAsia="en-US"/>
        </w:rPr>
        <w:t>L</w:t>
      </w:r>
      <w:r w:rsidR="00115B35" w:rsidRPr="00FE07FE">
        <w:rPr>
          <w:lang w:val="es-MX" w:eastAsia="en-US"/>
        </w:rPr>
        <w:t xml:space="preserve">ey </w:t>
      </w:r>
      <w:r w:rsidR="00D5464A">
        <w:rPr>
          <w:lang w:val="es-MX" w:eastAsia="en-US"/>
        </w:rPr>
        <w:t xml:space="preserve">núm. </w:t>
      </w:r>
      <w:r w:rsidR="00115B35" w:rsidRPr="00FE07FE">
        <w:rPr>
          <w:lang w:val="es-MX" w:eastAsia="en-US"/>
        </w:rPr>
        <w:t>26413 que establece que donde no existan oficiales públicos encargados del registro, la dirección general asignará tal carácter a los funcionarios del lugar y/o creará oficinas móviles, que tendrán a su cargo las inscripciones de los actos. A través de su página web</w:t>
      </w:r>
      <w:r w:rsidR="00115B35" w:rsidRPr="00FE07FE">
        <w:rPr>
          <w:rStyle w:val="Refdenotaalpie"/>
        </w:rPr>
        <w:footnoteReference w:id="20"/>
      </w:r>
      <w:r w:rsidR="00115B35" w:rsidRPr="00FE07FE">
        <w:rPr>
          <w:lang w:val="es-MX" w:eastAsia="en-US"/>
        </w:rPr>
        <w:t xml:space="preserve"> y de distintos medios se informa fechas y ciudades en las que cada mes llegan estos operativos móviles para las zonas más vulnerables.  </w:t>
      </w:r>
    </w:p>
    <w:p w:rsidR="00C21DAA" w:rsidRPr="00FE07FE" w:rsidRDefault="00FE07FE" w:rsidP="00500FFB">
      <w:pPr>
        <w:pStyle w:val="SingleTxtG"/>
        <w:rPr>
          <w:lang w:val="es-MX" w:eastAsia="en-US"/>
        </w:rPr>
      </w:pPr>
      <w:r w:rsidRPr="00500FFB">
        <w:rPr>
          <w:lang w:val="es-MX" w:eastAsia="en-US"/>
        </w:rPr>
        <w:t>102.</w:t>
      </w:r>
      <w:r w:rsidRPr="00500FFB">
        <w:rPr>
          <w:lang w:val="es-MX" w:eastAsia="en-US"/>
        </w:rPr>
        <w:tab/>
      </w:r>
      <w:r w:rsidR="00115B35" w:rsidRPr="00FE07FE">
        <w:rPr>
          <w:lang w:val="es-MX" w:eastAsia="en-US"/>
        </w:rPr>
        <w:t xml:space="preserve">El COFENAF estableció un acta sobre el derecho a la identidad, comprometiéndose en 2013 a: promover ese derecho en todo el territorio; implementar relevamientos de las situaciones de indocumentación para el mejor diseño de política pública; instó a los registros a la inscripción administrativa de oficio conforme a la </w:t>
      </w:r>
      <w:r w:rsidR="00D5464A">
        <w:rPr>
          <w:lang w:val="es-MX" w:eastAsia="en-US"/>
        </w:rPr>
        <w:t>L</w:t>
      </w:r>
      <w:r w:rsidR="00115B35" w:rsidRPr="00FE07FE">
        <w:rPr>
          <w:lang w:val="es-MX" w:eastAsia="en-US"/>
        </w:rPr>
        <w:t xml:space="preserve">ey </w:t>
      </w:r>
      <w:r w:rsidR="00D5464A">
        <w:rPr>
          <w:lang w:val="es-MX" w:eastAsia="en-US"/>
        </w:rPr>
        <w:t xml:space="preserve">núm. </w:t>
      </w:r>
      <w:r w:rsidR="00115B35" w:rsidRPr="00FE07FE">
        <w:rPr>
          <w:lang w:val="es-MX" w:eastAsia="en-US"/>
        </w:rPr>
        <w:t xml:space="preserve">26413; solicitó a los establecimientos educativos que informen sobre la inscripción y exhortó a que la falta de documentación no obstruya el derecho a la educación; solicitó la promoción de la excepción de pago de tasas y multas; instó a promover el patrocinio jurídico gratuito para las situaciones que requieren inscripción judicial, y desde la SENAF se asumió el compromiso de asistir técnicamente a la jurisdicción que así lo requiera. </w:t>
      </w:r>
    </w:p>
    <w:p w:rsidR="00C21DAA" w:rsidRPr="00FE07FE" w:rsidRDefault="00FE07FE" w:rsidP="00500FFB">
      <w:pPr>
        <w:pStyle w:val="SingleTxtG"/>
        <w:rPr>
          <w:lang w:val="es-MX" w:eastAsia="en-US"/>
        </w:rPr>
      </w:pPr>
      <w:r w:rsidRPr="00500FFB">
        <w:rPr>
          <w:lang w:val="es-MX" w:eastAsia="en-US"/>
        </w:rPr>
        <w:t>103.</w:t>
      </w:r>
      <w:r w:rsidRPr="00500FFB">
        <w:rPr>
          <w:lang w:val="es-MX" w:eastAsia="en-US"/>
        </w:rPr>
        <w:tab/>
      </w:r>
      <w:r w:rsidR="00115B35" w:rsidRPr="00FE07FE">
        <w:rPr>
          <w:lang w:val="es-MX" w:eastAsia="en-US"/>
        </w:rPr>
        <w:t xml:space="preserve">Respecto del derecho a la identidad de niños y niñas apropiados por el terrorismo de Estado, en 2012 se creó la Unidad especial de Apropiación de niños durante el terrorismo de estado dependiente del MPF. Esta unidad aplica el “Protocolo de Actuación para causas por apropiación de niños durante la dictadura; y en la actualidad 121 personas recuperaron su identidad. </w:t>
      </w:r>
    </w:p>
    <w:p w:rsidR="00C21DAA" w:rsidRPr="00FE07FE" w:rsidRDefault="00115B35">
      <w:pPr>
        <w:pStyle w:val="H23G"/>
        <w:rPr>
          <w:lang w:eastAsia="en-US"/>
        </w:rPr>
      </w:pPr>
      <w:r w:rsidRPr="00FE07FE">
        <w:rPr>
          <w:lang w:eastAsia="en-US"/>
        </w:rPr>
        <w:tab/>
      </w:r>
      <w:r w:rsidRPr="00FE07FE">
        <w:rPr>
          <w:lang w:eastAsia="en-US"/>
        </w:rPr>
        <w:tab/>
        <w:t>Tortura y tratos inhumanos o degradantes</w:t>
      </w:r>
    </w:p>
    <w:p w:rsidR="00C21DAA" w:rsidRPr="00500FFB" w:rsidRDefault="00115B35" w:rsidP="00500FFB">
      <w:pPr>
        <w:pStyle w:val="H4G"/>
        <w:rPr>
          <w:lang w:val="es-ES_tradnl" w:eastAsia="en-US"/>
        </w:rPr>
      </w:pPr>
      <w:r w:rsidRPr="00500FFB">
        <w:rPr>
          <w:lang w:val="es-ES_tradnl" w:eastAsia="en-US"/>
        </w:rPr>
        <w:tab/>
      </w:r>
      <w:r w:rsidRPr="00500FFB">
        <w:rPr>
          <w:lang w:val="es-ES_tradnl" w:eastAsia="en-US"/>
        </w:rPr>
        <w:tab/>
        <w:t>Párrafo 43</w:t>
      </w:r>
    </w:p>
    <w:p w:rsidR="00C21DAA" w:rsidRPr="00FE07FE" w:rsidRDefault="00FE07FE" w:rsidP="00500FFB">
      <w:pPr>
        <w:pStyle w:val="SingleTxtG"/>
        <w:rPr>
          <w:lang w:val="es-MX" w:eastAsia="en-US"/>
        </w:rPr>
      </w:pPr>
      <w:r w:rsidRPr="00500FFB">
        <w:rPr>
          <w:lang w:val="es-MX" w:eastAsia="en-US"/>
        </w:rPr>
        <w:t>104.</w:t>
      </w:r>
      <w:r w:rsidRPr="00500FFB">
        <w:rPr>
          <w:lang w:val="es-MX" w:eastAsia="en-US"/>
        </w:rPr>
        <w:tab/>
      </w:r>
      <w:r w:rsidR="00115B35" w:rsidRPr="00FE07FE">
        <w:rPr>
          <w:lang w:val="es-MX" w:eastAsia="en-US"/>
        </w:rPr>
        <w:t xml:space="preserve">Se dictó a la Resolución SENAF </w:t>
      </w:r>
      <w:r w:rsidR="00CD5E72">
        <w:rPr>
          <w:lang w:val="es-MX" w:eastAsia="en-US"/>
        </w:rPr>
        <w:t xml:space="preserve">núm. </w:t>
      </w:r>
      <w:r w:rsidR="00115B35" w:rsidRPr="00FE07FE">
        <w:rPr>
          <w:lang w:val="es-MX" w:eastAsia="en-US"/>
        </w:rPr>
        <w:t xml:space="preserve">991/09 </w:t>
      </w:r>
      <w:r w:rsidR="00115B35" w:rsidRPr="00FE07FE">
        <w:rPr>
          <w:i/>
          <w:lang w:val="es-MX" w:eastAsia="en-US"/>
        </w:rPr>
        <w:t>Normativa General para Centros de Régimen Cerrado, el Protocolo de Procedimiento para Denuncias de Malos Tratos y el Protocolo de Procedimiento para Incidentes entre Jóvenes</w:t>
      </w:r>
      <w:r w:rsidR="00115B35" w:rsidRPr="00FE07FE">
        <w:rPr>
          <w:lang w:val="es-MX" w:eastAsia="en-US"/>
        </w:rPr>
        <w:t xml:space="preserve">, que incluye la prohibición de tratos crueles inhumanos o degradantes o castigos corporales (ANEXO III). En 2016 se </w:t>
      </w:r>
      <w:r w:rsidR="00115B35" w:rsidRPr="00FE07FE">
        <w:rPr>
          <w:lang w:val="es-MX" w:eastAsia="en-US"/>
        </w:rPr>
        <w:lastRenderedPageBreak/>
        <w:t xml:space="preserve">incluyó en el Plan Nacional de Capacitación como destinarios a fuerzas de seguridad sobre sistema de protección y el sistema penal juvenil. En la provincia de Buenos Aires se realizó una capacitación sobre la aplicación efectiva de las Reglas de Mandela en el ámbito de un centro de privación de la libertad. </w:t>
      </w:r>
    </w:p>
    <w:p w:rsidR="00C21DAA" w:rsidRPr="00FE07FE" w:rsidRDefault="00FE07FE" w:rsidP="00500FFB">
      <w:pPr>
        <w:pStyle w:val="SingleTxtG"/>
        <w:rPr>
          <w:lang w:val="es-MX" w:eastAsia="en-US"/>
        </w:rPr>
      </w:pPr>
      <w:r w:rsidRPr="00500FFB">
        <w:rPr>
          <w:lang w:val="es-MX" w:eastAsia="en-US"/>
        </w:rPr>
        <w:t>105.</w:t>
      </w:r>
      <w:r w:rsidRPr="00500FFB">
        <w:rPr>
          <w:lang w:val="es-MX" w:eastAsia="en-US"/>
        </w:rPr>
        <w:tab/>
      </w:r>
      <w:r w:rsidR="00115B35" w:rsidRPr="00FE07FE">
        <w:rPr>
          <w:lang w:val="es-MX" w:eastAsia="en-US"/>
        </w:rPr>
        <w:t>La Ley Nacional de Salud Mental (art.</w:t>
      </w:r>
      <w:r w:rsidR="007C1E21">
        <w:rPr>
          <w:lang w:val="es-MX" w:eastAsia="en-US"/>
        </w:rPr>
        <w:t xml:space="preserve"> </w:t>
      </w:r>
      <w:r w:rsidR="00115B35" w:rsidRPr="00FE07FE">
        <w:rPr>
          <w:lang w:val="es-MX" w:eastAsia="en-US"/>
        </w:rPr>
        <w:t xml:space="preserve">29) establece que, ante sospecha de tortura, tratos inhumanos o degradantes los integrantes, profesionales y no profesionales del equipo de salud son responsables de informar al órgano de revisión y al juez competente. </w:t>
      </w:r>
    </w:p>
    <w:p w:rsidR="00C21DAA" w:rsidRPr="00FE07FE" w:rsidRDefault="00FE07FE" w:rsidP="00500FFB">
      <w:pPr>
        <w:pStyle w:val="SingleTxtG"/>
        <w:rPr>
          <w:lang w:val="es-MX" w:eastAsia="en-US"/>
        </w:rPr>
      </w:pPr>
      <w:r w:rsidRPr="00500FFB">
        <w:rPr>
          <w:lang w:val="es-MX" w:eastAsia="en-US"/>
        </w:rPr>
        <w:t>106.</w:t>
      </w:r>
      <w:r w:rsidRPr="00500FFB">
        <w:rPr>
          <w:lang w:val="es-MX" w:eastAsia="en-US"/>
        </w:rPr>
        <w:tab/>
      </w:r>
      <w:r w:rsidR="00115B35" w:rsidRPr="00FE07FE">
        <w:rPr>
          <w:b/>
          <w:lang w:val="es-MX" w:eastAsia="en-US"/>
        </w:rPr>
        <w:t>Buenos Aires</w:t>
      </w:r>
      <w:r w:rsidR="00115B35" w:rsidRPr="00FE07FE">
        <w:rPr>
          <w:lang w:val="es-MX" w:eastAsia="en-US"/>
        </w:rPr>
        <w:t xml:space="preserve"> establece la prohibición de todo tipo de tortura en su Constitución provincial (art. 11), </w:t>
      </w:r>
      <w:r w:rsidR="00115B35" w:rsidRPr="00FE07FE">
        <w:rPr>
          <w:b/>
          <w:lang w:val="es-MX" w:eastAsia="en-US"/>
        </w:rPr>
        <w:t>Santiago del Estero</w:t>
      </w:r>
      <w:r w:rsidR="00115B35" w:rsidRPr="00FE07FE">
        <w:rPr>
          <w:lang w:val="es-MX" w:eastAsia="en-US"/>
        </w:rPr>
        <w:t xml:space="preserve"> trabaja en la Creación del Mecanismo Provincial de Prevención de Tortura y Otros Tratos o Penas Crueles, Inhumanas o Degradantes; </w:t>
      </w:r>
      <w:r w:rsidR="00115B35" w:rsidRPr="00FE07FE">
        <w:rPr>
          <w:b/>
          <w:lang w:val="es-MX" w:eastAsia="en-US"/>
        </w:rPr>
        <w:t>Chaco</w:t>
      </w:r>
      <w:r w:rsidR="00115B35" w:rsidRPr="00FE07FE">
        <w:rPr>
          <w:lang w:val="es-MX" w:eastAsia="en-US"/>
        </w:rPr>
        <w:t xml:space="preserve"> aprobó la </w:t>
      </w:r>
      <w:r w:rsidR="00DF1C7B">
        <w:rPr>
          <w:lang w:val="es-MX" w:eastAsia="en-US"/>
        </w:rPr>
        <w:t>L</w:t>
      </w:r>
      <w:r w:rsidR="00115B35" w:rsidRPr="00FE07FE">
        <w:rPr>
          <w:lang w:val="es-MX" w:eastAsia="en-US"/>
        </w:rPr>
        <w:t xml:space="preserve">ey </w:t>
      </w:r>
      <w:r w:rsidR="00DF1C7B">
        <w:rPr>
          <w:lang w:val="es-MX" w:eastAsia="en-US"/>
        </w:rPr>
        <w:t xml:space="preserve">núm. </w:t>
      </w:r>
      <w:r w:rsidR="00115B35" w:rsidRPr="00FE07FE">
        <w:rPr>
          <w:lang w:val="es-MX" w:eastAsia="en-US"/>
        </w:rPr>
        <w:t xml:space="preserve">7720 de Requisas dentro y fuera de contextos de encierro con apartado para procedimiento cuando se encuentran involucrados niños y la </w:t>
      </w:r>
      <w:r w:rsidR="007C1E21">
        <w:rPr>
          <w:lang w:val="es-MX" w:eastAsia="en-US"/>
        </w:rPr>
        <w:t>L</w:t>
      </w:r>
      <w:r w:rsidR="00115B35" w:rsidRPr="00FE07FE">
        <w:rPr>
          <w:lang w:val="es-MX" w:eastAsia="en-US"/>
        </w:rPr>
        <w:t xml:space="preserve">ey </w:t>
      </w:r>
      <w:r w:rsidR="007C1E21">
        <w:rPr>
          <w:lang w:val="es-MX" w:eastAsia="en-US"/>
        </w:rPr>
        <w:t>núm.</w:t>
      </w:r>
      <w:r w:rsidR="005C512D">
        <w:rPr>
          <w:lang w:val="es-MX" w:eastAsia="en-US"/>
        </w:rPr>
        <w:t> </w:t>
      </w:r>
      <w:r w:rsidR="00115B35" w:rsidRPr="00FE07FE">
        <w:rPr>
          <w:lang w:val="es-MX" w:eastAsia="en-US"/>
        </w:rPr>
        <w:t xml:space="preserve">6976 de creación del Órgano Revisor para erradicar la tortura a manos de las fuerzas de seguridad; </w:t>
      </w:r>
      <w:r w:rsidR="00115B35" w:rsidRPr="00FE07FE">
        <w:rPr>
          <w:b/>
          <w:lang w:val="es-MX" w:eastAsia="en-US"/>
        </w:rPr>
        <w:t>Tucumán</w:t>
      </w:r>
      <w:r w:rsidR="00115B35" w:rsidRPr="00FE07FE">
        <w:rPr>
          <w:lang w:val="es-MX" w:eastAsia="en-US"/>
        </w:rPr>
        <w:t xml:space="preserve"> retiró al personal policial en los dispositivos de privación de libertad; </w:t>
      </w:r>
      <w:r w:rsidR="00115B35" w:rsidRPr="00FE07FE">
        <w:rPr>
          <w:b/>
          <w:lang w:val="es-MX" w:eastAsia="en-US"/>
        </w:rPr>
        <w:t>La Rioja</w:t>
      </w:r>
      <w:r w:rsidR="00115B35" w:rsidRPr="00FE07FE">
        <w:rPr>
          <w:lang w:val="es-MX" w:eastAsia="en-US"/>
        </w:rPr>
        <w:t xml:space="preserve"> capacitó sobre el código de conducta y uso de armas para funcionarios que aplican la Ley penal; </w:t>
      </w:r>
      <w:r w:rsidR="00115B35" w:rsidRPr="00FE07FE">
        <w:rPr>
          <w:b/>
          <w:lang w:val="es-MX" w:eastAsia="en-US"/>
        </w:rPr>
        <w:t>Córdoba</w:t>
      </w:r>
      <w:r w:rsidR="00115B35" w:rsidRPr="00FE07FE">
        <w:rPr>
          <w:lang w:val="es-MX" w:eastAsia="en-US"/>
        </w:rPr>
        <w:t xml:space="preserve"> sancionó en 2014 la </w:t>
      </w:r>
      <w:r>
        <w:rPr>
          <w:lang w:val="es-MX" w:eastAsia="en-US"/>
        </w:rPr>
        <w:t>L</w:t>
      </w:r>
      <w:r w:rsidR="00115B35" w:rsidRPr="00FE07FE">
        <w:rPr>
          <w:lang w:val="es-MX" w:eastAsia="en-US"/>
        </w:rPr>
        <w:t xml:space="preserve">ey </w:t>
      </w:r>
      <w:r>
        <w:rPr>
          <w:lang w:val="es-MX" w:eastAsia="en-US"/>
        </w:rPr>
        <w:t xml:space="preserve">núm. </w:t>
      </w:r>
      <w:r w:rsidR="00115B35" w:rsidRPr="00FE07FE">
        <w:rPr>
          <w:lang w:val="es-MX" w:eastAsia="en-US"/>
        </w:rPr>
        <w:t xml:space="preserve">10197 </w:t>
      </w:r>
      <w:r w:rsidR="00B1146A">
        <w:rPr>
          <w:lang w:val="es-MX" w:eastAsia="en-US"/>
        </w:rPr>
        <w:t>“</w:t>
      </w:r>
      <w:r w:rsidR="00115B35" w:rsidRPr="00FE07FE">
        <w:rPr>
          <w:lang w:val="es-MX" w:eastAsia="en-US"/>
        </w:rPr>
        <w:t>Control Ciudadano de la Policía de la Provincia de Córdoba</w:t>
      </w:r>
      <w:r w:rsidR="00B1146A">
        <w:rPr>
          <w:lang w:val="es-MX" w:eastAsia="en-US"/>
        </w:rPr>
        <w:t>”</w:t>
      </w:r>
      <w:r w:rsidR="00B1146A" w:rsidRPr="00FE07FE">
        <w:rPr>
          <w:lang w:val="es-MX" w:eastAsia="en-US"/>
        </w:rPr>
        <w:t xml:space="preserve">, </w:t>
      </w:r>
      <w:r w:rsidR="00115B35" w:rsidRPr="00FE07FE">
        <w:rPr>
          <w:lang w:val="es-MX" w:eastAsia="en-US"/>
        </w:rPr>
        <w:t xml:space="preserve">y habilitó el </w:t>
      </w:r>
      <w:r w:rsidR="00B1146A">
        <w:rPr>
          <w:lang w:val="es-MX" w:eastAsia="en-US"/>
        </w:rPr>
        <w:t>“</w:t>
      </w:r>
      <w:r w:rsidR="00115B35" w:rsidRPr="00FE07FE">
        <w:rPr>
          <w:lang w:val="es-MX" w:eastAsia="en-US"/>
        </w:rPr>
        <w:t>Buzón del Ciudadano</w:t>
      </w:r>
      <w:r w:rsidR="00B1146A">
        <w:rPr>
          <w:lang w:val="es-MX" w:eastAsia="en-US"/>
        </w:rPr>
        <w:t>”</w:t>
      </w:r>
      <w:r w:rsidR="00B1146A" w:rsidRPr="00FE07FE">
        <w:rPr>
          <w:lang w:val="es-MX" w:eastAsia="en-US"/>
        </w:rPr>
        <w:t xml:space="preserve"> </w:t>
      </w:r>
      <w:r w:rsidR="00115B35" w:rsidRPr="00FE07FE">
        <w:rPr>
          <w:lang w:val="es-MX" w:eastAsia="en-US"/>
        </w:rPr>
        <w:t xml:space="preserve">para denuncias de vecinos; </w:t>
      </w:r>
      <w:r w:rsidR="00115B35" w:rsidRPr="00FE07FE">
        <w:rPr>
          <w:b/>
          <w:lang w:val="es-MX" w:eastAsia="en-US"/>
        </w:rPr>
        <w:t>Entre Ríos</w:t>
      </w:r>
      <w:r w:rsidR="00115B35" w:rsidRPr="00FE07FE">
        <w:rPr>
          <w:lang w:val="es-MX" w:eastAsia="en-US"/>
        </w:rPr>
        <w:t xml:space="preserve"> capacitó personal policial en la prohibición de las torturas y otros tratos crueles, inhumanos o degradantes y sanciona fuertemente a quienes no cumplan con la normativa vigente; </w:t>
      </w:r>
      <w:r w:rsidR="00115B35" w:rsidRPr="00FE07FE">
        <w:rPr>
          <w:b/>
          <w:lang w:val="es-MX" w:eastAsia="en-US"/>
        </w:rPr>
        <w:t>Catamarca</w:t>
      </w:r>
      <w:r w:rsidR="00115B35" w:rsidRPr="00FE07FE">
        <w:rPr>
          <w:lang w:val="es-MX" w:eastAsia="en-US"/>
        </w:rPr>
        <w:t xml:space="preserve"> realizó en 2012 un protocolo de Actuación Policial para Niños Niñas y Adolescentes y en 2016 firmó un protocolo para Jóvenes Punibles entre el MDS y la Secretaria de Seguridad; </w:t>
      </w:r>
      <w:r w:rsidR="00115B35" w:rsidRPr="00FE07FE">
        <w:rPr>
          <w:b/>
          <w:lang w:val="es-MX" w:eastAsia="en-US"/>
        </w:rPr>
        <w:t>Misiones</w:t>
      </w:r>
      <w:r w:rsidR="00115B35" w:rsidRPr="00FE07FE">
        <w:rPr>
          <w:lang w:val="es-MX" w:eastAsia="en-US"/>
        </w:rPr>
        <w:t xml:space="preserve"> supervisa permanentemente los lugares de alojamiento de personas privadas de la libertad e investiga el trato que reciben. </w:t>
      </w:r>
    </w:p>
    <w:p w:rsidR="00C21DAA" w:rsidRPr="00FE07FE" w:rsidRDefault="00FE07FE" w:rsidP="00500FFB">
      <w:pPr>
        <w:pStyle w:val="SingleTxtG"/>
        <w:rPr>
          <w:lang w:val="es-MX" w:eastAsia="en-US"/>
        </w:rPr>
      </w:pPr>
      <w:r w:rsidRPr="00500FFB">
        <w:rPr>
          <w:lang w:val="es-MX" w:eastAsia="en-US"/>
        </w:rPr>
        <w:t>107.</w:t>
      </w:r>
      <w:r w:rsidRPr="00500FFB">
        <w:rPr>
          <w:lang w:val="es-MX" w:eastAsia="en-US"/>
        </w:rPr>
        <w:tab/>
      </w:r>
      <w:r w:rsidR="00115B35" w:rsidRPr="00FE07FE">
        <w:rPr>
          <w:lang w:val="es-MX" w:eastAsia="en-US"/>
        </w:rPr>
        <w:t xml:space="preserve">Por otra parte, se creó la </w:t>
      </w:r>
      <w:r w:rsidR="00115B35" w:rsidRPr="00FE07FE">
        <w:rPr>
          <w:b/>
          <w:lang w:val="es-MX" w:eastAsia="en-US"/>
        </w:rPr>
        <w:t>Unidad de Registro, Sistematización y Seguimiento de Hechos de Tortura y Otras Formas de Violencia Institucional</w:t>
      </w:r>
      <w:r w:rsidR="00115B35" w:rsidRPr="00FE07FE">
        <w:rPr>
          <w:lang w:val="es-MX" w:eastAsia="en-US"/>
        </w:rPr>
        <w:t xml:space="preserve"> (Resolución DGN </w:t>
      </w:r>
      <w:r w:rsidR="0052144D">
        <w:rPr>
          <w:lang w:val="es-MX" w:eastAsia="en-US"/>
        </w:rPr>
        <w:t>núm. </w:t>
      </w:r>
      <w:r w:rsidR="00115B35" w:rsidRPr="00FE07FE">
        <w:rPr>
          <w:lang w:val="es-MX" w:eastAsia="en-US"/>
        </w:rPr>
        <w:t>1650/10). Durante el per</w:t>
      </w:r>
      <w:r w:rsidR="005C512D">
        <w:rPr>
          <w:lang w:val="es-MX" w:eastAsia="en-US"/>
        </w:rPr>
        <w:t>í</w:t>
      </w:r>
      <w:r w:rsidR="00115B35" w:rsidRPr="00FE07FE">
        <w:rPr>
          <w:lang w:val="es-MX" w:eastAsia="en-US"/>
        </w:rPr>
        <w:t>odo 2011-2015, se registraron 635 hechos de violencia institucional cuyas víctimas fueron adolescentes en CABA.</w:t>
      </w:r>
    </w:p>
    <w:p w:rsidR="00C21DAA" w:rsidRPr="00FE07FE" w:rsidRDefault="00FE07FE" w:rsidP="00500FFB">
      <w:pPr>
        <w:pStyle w:val="SingleTxtG"/>
        <w:rPr>
          <w:lang w:val="es-MX" w:eastAsia="en-US"/>
        </w:rPr>
      </w:pPr>
      <w:r w:rsidRPr="00500FFB">
        <w:rPr>
          <w:lang w:val="es-MX" w:eastAsia="en-US"/>
        </w:rPr>
        <w:t>108.</w:t>
      </w:r>
      <w:r w:rsidRPr="00500FFB">
        <w:rPr>
          <w:lang w:val="es-MX" w:eastAsia="en-US"/>
        </w:rPr>
        <w:tab/>
      </w:r>
      <w:r w:rsidR="00115B35" w:rsidRPr="00FE07FE">
        <w:rPr>
          <w:lang w:val="es-MX" w:eastAsia="en-US"/>
        </w:rPr>
        <w:t xml:space="preserve">Respecto a registros provinciales: </w:t>
      </w:r>
      <w:r w:rsidR="00115B35" w:rsidRPr="00FE07FE">
        <w:rPr>
          <w:b/>
          <w:lang w:val="es-MX" w:eastAsia="en-US"/>
        </w:rPr>
        <w:t>Chaco</w:t>
      </w:r>
      <w:r w:rsidR="00115B35" w:rsidRPr="00FE07FE">
        <w:rPr>
          <w:lang w:val="es-MX" w:eastAsia="en-US"/>
        </w:rPr>
        <w:t xml:space="preserve"> creó la Fiscalía Especial en Derechos Humanos, y el Comité Provincial de Prevención de la Tortura y Otros Tratos y Penas Crueles, Inhumanos y/o degradantes y tiene un registro y seguimiento de denuncias; el Poder Judicial </w:t>
      </w:r>
      <w:r w:rsidR="00115B35" w:rsidRPr="00FE07FE">
        <w:rPr>
          <w:b/>
          <w:lang w:val="es-MX" w:eastAsia="en-US"/>
        </w:rPr>
        <w:t>de La Rioja</w:t>
      </w:r>
      <w:r w:rsidR="00115B35" w:rsidRPr="00FE07FE">
        <w:rPr>
          <w:lang w:val="es-MX" w:eastAsia="en-US"/>
        </w:rPr>
        <w:t xml:space="preserve"> lleva adelante investigaciones y condenas por casos de tortura o tratos inhumanos, y un registro del Tribunal Superior de Justicia; en </w:t>
      </w:r>
      <w:r w:rsidR="00115B35" w:rsidRPr="00FE07FE">
        <w:rPr>
          <w:b/>
          <w:lang w:val="es-MX" w:eastAsia="en-US"/>
        </w:rPr>
        <w:t>Tucumán</w:t>
      </w:r>
      <w:r w:rsidR="00115B35" w:rsidRPr="00FE07FE">
        <w:rPr>
          <w:lang w:val="es-MX" w:eastAsia="en-US"/>
        </w:rPr>
        <w:t xml:space="preserve"> la </w:t>
      </w:r>
      <w:r w:rsidR="00DF1C7B">
        <w:rPr>
          <w:lang w:val="es-MX" w:eastAsia="en-US"/>
        </w:rPr>
        <w:t>L</w:t>
      </w:r>
      <w:r w:rsidR="00115B35" w:rsidRPr="00FE07FE">
        <w:rPr>
          <w:lang w:val="es-MX" w:eastAsia="en-US"/>
        </w:rPr>
        <w:t xml:space="preserve">ey </w:t>
      </w:r>
      <w:r w:rsidR="00DF1C7B">
        <w:rPr>
          <w:lang w:val="es-MX" w:eastAsia="en-US"/>
        </w:rPr>
        <w:t>núm. </w:t>
      </w:r>
      <w:r w:rsidR="00115B35" w:rsidRPr="00FE07FE">
        <w:rPr>
          <w:lang w:val="es-MX" w:eastAsia="en-US"/>
        </w:rPr>
        <w:t xml:space="preserve">8523 (por reglamentar) estipula la creación de la Comisión Provincial de Prevención de la Tortura; en </w:t>
      </w:r>
      <w:r w:rsidR="00115B35" w:rsidRPr="00FE07FE">
        <w:rPr>
          <w:b/>
          <w:lang w:val="es-MX" w:eastAsia="en-US"/>
        </w:rPr>
        <w:t>Santa Fe</w:t>
      </w:r>
      <w:r w:rsidR="00115B35" w:rsidRPr="00FE07FE">
        <w:rPr>
          <w:lang w:val="es-MX" w:eastAsia="en-US"/>
        </w:rPr>
        <w:t xml:space="preserve"> el Defensor Provincial creó el Registro Público Provincial de Casos de Tortura, Tratos Crueles, Inhumanos y/o Degradantes, Abuso Policial y Malas Prácticas. En el ámbito de la provincia de Buenos Aires, se requirió a la Defensoría del Pueblo provincial y a la Subsecretaría de Derechos Humanos la comunicación de irregularidades al Organismo de niñez a fin de tomar medidas en el caso que correspondan. </w:t>
      </w:r>
    </w:p>
    <w:p w:rsidR="00C21DAA" w:rsidRPr="00FE07FE" w:rsidRDefault="00FE07FE" w:rsidP="00500FFB">
      <w:pPr>
        <w:pStyle w:val="SingleTxtG"/>
        <w:rPr>
          <w:lang w:val="es-MX" w:eastAsia="en-US"/>
        </w:rPr>
      </w:pPr>
      <w:r w:rsidRPr="00500FFB">
        <w:rPr>
          <w:lang w:val="es-MX" w:eastAsia="en-US"/>
        </w:rPr>
        <w:t>109.</w:t>
      </w:r>
      <w:r w:rsidRPr="00500FFB">
        <w:rPr>
          <w:lang w:val="es-MX" w:eastAsia="en-US"/>
        </w:rPr>
        <w:tab/>
      </w:r>
      <w:r w:rsidR="00115B35" w:rsidRPr="00FE07FE">
        <w:rPr>
          <w:lang w:val="es-MX" w:eastAsia="en-US"/>
        </w:rPr>
        <w:t xml:space="preserve">La Comisión de seguimiento del tratamiento institucional de niños, niñas y adolescentes registró denuncias a dependencias de fuerzas de seguridad de niños y se adoptó el </w:t>
      </w:r>
      <w:r w:rsidR="00115B35" w:rsidRPr="00FE07FE">
        <w:rPr>
          <w:i/>
          <w:lang w:val="es-MX" w:eastAsia="en-US"/>
        </w:rPr>
        <w:t>“Protocolo de Actuación de las Fuerzas de Seguridad e Instituciones Policiales Nacionales, en procedimientos en los que participen Niños, Niñas y Adolescentes, en conflicto con la Ley Penal en el ámbito territorial de la Ciudad de Buenos Aires”</w:t>
      </w:r>
      <w:r w:rsidR="00115B35" w:rsidRPr="00FE07FE">
        <w:rPr>
          <w:lang w:val="es-MX" w:eastAsia="en-US"/>
        </w:rPr>
        <w:t xml:space="preserve"> Resolución MSG </w:t>
      </w:r>
      <w:r w:rsidR="0052144D">
        <w:rPr>
          <w:lang w:val="es-MX" w:eastAsia="en-US"/>
        </w:rPr>
        <w:t xml:space="preserve">núm. </w:t>
      </w:r>
      <w:r w:rsidR="00115B35" w:rsidRPr="00FE07FE">
        <w:rPr>
          <w:lang w:val="es-MX" w:eastAsia="en-US"/>
        </w:rPr>
        <w:t>906/2014.</w:t>
      </w:r>
      <w:r w:rsidR="00CD5E72">
        <w:rPr>
          <w:lang w:val="es-MX" w:eastAsia="en-US"/>
        </w:rPr>
        <w:t xml:space="preserve"> </w:t>
      </w:r>
      <w:r w:rsidR="00115B35" w:rsidRPr="00FE07FE">
        <w:rPr>
          <w:lang w:val="es-MX" w:eastAsia="en-US"/>
        </w:rPr>
        <w:t xml:space="preserve">En sus visitas periódicas controla que el personal denunciado no tome contacto con niños. </w:t>
      </w:r>
    </w:p>
    <w:p w:rsidR="00C21DAA" w:rsidRPr="00FE07FE" w:rsidRDefault="00FE07FE" w:rsidP="00500FFB">
      <w:pPr>
        <w:pStyle w:val="SingleTxtG"/>
        <w:rPr>
          <w:lang w:val="es-MX" w:eastAsia="en-US"/>
        </w:rPr>
      </w:pPr>
      <w:r w:rsidRPr="00500FFB">
        <w:rPr>
          <w:lang w:val="es-MX" w:eastAsia="en-US"/>
        </w:rPr>
        <w:t>110.</w:t>
      </w:r>
      <w:r w:rsidRPr="00500FFB">
        <w:rPr>
          <w:lang w:val="es-MX" w:eastAsia="en-US"/>
        </w:rPr>
        <w:tab/>
      </w:r>
      <w:r w:rsidR="00115B35" w:rsidRPr="00FE07FE">
        <w:rPr>
          <w:lang w:val="es-MX" w:eastAsia="en-US"/>
        </w:rPr>
        <w:t xml:space="preserve">En 2013 se creó la PROCUVIN con competencia específica en violencia institucional, que coadyuva en la investigación a las fiscalías correspondientes. </w:t>
      </w:r>
    </w:p>
    <w:p w:rsidR="00C21DAA" w:rsidRPr="00FE07FE" w:rsidRDefault="00FE07FE" w:rsidP="00500FFB">
      <w:pPr>
        <w:pStyle w:val="SingleTxtG"/>
        <w:rPr>
          <w:lang w:val="es-MX" w:eastAsia="en-US"/>
        </w:rPr>
      </w:pPr>
      <w:r w:rsidRPr="00500FFB">
        <w:rPr>
          <w:lang w:val="es-MX" w:eastAsia="en-US"/>
        </w:rPr>
        <w:t>111.</w:t>
      </w:r>
      <w:r w:rsidRPr="00500FFB">
        <w:rPr>
          <w:lang w:val="es-MX" w:eastAsia="en-US"/>
        </w:rPr>
        <w:tab/>
      </w:r>
      <w:r w:rsidR="00115B35" w:rsidRPr="00FE07FE">
        <w:rPr>
          <w:lang w:val="es-MX" w:eastAsia="en-US"/>
        </w:rPr>
        <w:t>Por hechos ocurridos en dispositivos de la SENNAF en los años 2009,</w:t>
      </w:r>
      <w:r w:rsidR="0052144D">
        <w:rPr>
          <w:lang w:val="es-MX" w:eastAsia="en-US"/>
        </w:rPr>
        <w:t xml:space="preserve"> </w:t>
      </w:r>
      <w:r w:rsidR="00115B35" w:rsidRPr="00FE07FE">
        <w:rPr>
          <w:lang w:val="es-MX" w:eastAsia="en-US"/>
        </w:rPr>
        <w:t xml:space="preserve">2013 y 2015, dos tuvieron condena luego del debate oral y uno se encuentra en etapa de investigación. </w:t>
      </w:r>
    </w:p>
    <w:p w:rsidR="00C21DAA" w:rsidRPr="00FE07FE" w:rsidRDefault="00FE07FE" w:rsidP="00500FFB">
      <w:pPr>
        <w:pStyle w:val="SingleTxtG"/>
        <w:rPr>
          <w:lang w:val="es-MX" w:eastAsia="en-US"/>
        </w:rPr>
      </w:pPr>
      <w:r w:rsidRPr="00500FFB">
        <w:rPr>
          <w:lang w:val="es-MX" w:eastAsia="en-US"/>
        </w:rPr>
        <w:t>112.</w:t>
      </w:r>
      <w:r w:rsidRPr="00500FFB">
        <w:rPr>
          <w:lang w:val="es-MX" w:eastAsia="en-US"/>
        </w:rPr>
        <w:tab/>
      </w:r>
      <w:r w:rsidR="00115B35" w:rsidRPr="00FE07FE">
        <w:rPr>
          <w:lang w:val="es-MX" w:eastAsia="en-US"/>
        </w:rPr>
        <w:t xml:space="preserve">En </w:t>
      </w:r>
      <w:r w:rsidR="00115B35" w:rsidRPr="00FE07FE">
        <w:rPr>
          <w:b/>
          <w:lang w:val="es-MX" w:eastAsia="en-US"/>
        </w:rPr>
        <w:t>Catamarca</w:t>
      </w:r>
      <w:r w:rsidR="00115B35" w:rsidRPr="00FE07FE">
        <w:rPr>
          <w:lang w:val="es-MX" w:eastAsia="en-US"/>
        </w:rPr>
        <w:t xml:space="preserve"> se está investigando al personal de la “Alcaldía” por incumplimiento de funciones y existe una causa contra personal policial del 2015. </w:t>
      </w:r>
      <w:r w:rsidR="00115B35" w:rsidRPr="00FE07FE">
        <w:rPr>
          <w:b/>
          <w:lang w:val="es-MX" w:eastAsia="en-US"/>
        </w:rPr>
        <w:t>La Secretaría de Derechos Humanos de Tierra del Fuego</w:t>
      </w:r>
      <w:r w:rsidR="00115B35" w:rsidRPr="00FE07FE">
        <w:rPr>
          <w:lang w:val="es-MX" w:eastAsia="en-US"/>
        </w:rPr>
        <w:t xml:space="preserve"> recibe denuncias, logrando una </w:t>
      </w:r>
      <w:r w:rsidR="00115B35" w:rsidRPr="00FE07FE">
        <w:rPr>
          <w:lang w:val="es-MX" w:eastAsia="en-US"/>
        </w:rPr>
        <w:lastRenderedPageBreak/>
        <w:t xml:space="preserve">condena por apremios ilegales en una de las causas. Las jurisdicciones de </w:t>
      </w:r>
      <w:r w:rsidR="00115B35" w:rsidRPr="00FE07FE">
        <w:rPr>
          <w:b/>
          <w:lang w:val="es-MX" w:eastAsia="en-US"/>
        </w:rPr>
        <w:t>CABA, Córdoba, Chaco, Entre Ríos, La Rioja, Misiones, Neuquén, Río Negro, Santiago del Estero, San Juan, Tierra del Fuego y Tucumán</w:t>
      </w:r>
      <w:r w:rsidR="00115B35" w:rsidRPr="00FE07FE">
        <w:rPr>
          <w:lang w:val="es-MX" w:eastAsia="en-US"/>
        </w:rPr>
        <w:t xml:space="preserve"> informaron la implementación y/o el proceso de la capacitación integral de los policías y agentes de la fuerza pública en materia de derechos del niño. </w:t>
      </w:r>
    </w:p>
    <w:p w:rsidR="00C21DAA" w:rsidRPr="00FE07FE" w:rsidRDefault="00FE07FE" w:rsidP="00500FFB">
      <w:pPr>
        <w:pStyle w:val="SingleTxtG"/>
        <w:rPr>
          <w:lang w:val="es-MX" w:eastAsia="en-US"/>
        </w:rPr>
      </w:pPr>
      <w:r w:rsidRPr="00500FFB">
        <w:rPr>
          <w:lang w:val="es-MX" w:eastAsia="en-US"/>
        </w:rPr>
        <w:t>113.</w:t>
      </w:r>
      <w:r w:rsidRPr="00500FFB">
        <w:rPr>
          <w:lang w:val="es-MX" w:eastAsia="en-US"/>
        </w:rPr>
        <w:tab/>
      </w:r>
      <w:r w:rsidR="00115B35" w:rsidRPr="00FE07FE">
        <w:rPr>
          <w:lang w:val="es-MX" w:eastAsia="en-US"/>
        </w:rPr>
        <w:t>Respecto a la investigación penal por la desaparición forzosa del joven L. A.</w:t>
      </w:r>
      <w:r w:rsidR="00115B35" w:rsidRPr="00FE07FE">
        <w:rPr>
          <w:rStyle w:val="Refdenotaalpie"/>
        </w:rPr>
        <w:footnoteReference w:id="21"/>
      </w:r>
      <w:r w:rsidR="00115B35" w:rsidRPr="00FE07FE">
        <w:rPr>
          <w:lang w:val="es-MX" w:eastAsia="en-US"/>
        </w:rPr>
        <w:t>, el MPF intervino luego de la declaración de incompetencia de la justicia provincial bonaerense en 2013. En 2014, la fiscalía federal y la Procuvin, presentaron el requerimiento de instrucción, calificando el hecho como desaparición forzada, sin imputados hasta el momento. Paralelamente, en 2014 las víctimas promovieron una acción de hábeas corpus, concedida por la Cámara Nacional de Casación Penal, y conformaron una mesa interinstitucional.</w:t>
      </w:r>
    </w:p>
    <w:p w:rsidR="00C21DAA" w:rsidRPr="00FE07FE" w:rsidRDefault="00FE07FE" w:rsidP="00500FFB">
      <w:pPr>
        <w:pStyle w:val="SingleTxtG"/>
        <w:rPr>
          <w:lang w:val="es-MX" w:eastAsia="en-US"/>
        </w:rPr>
      </w:pPr>
      <w:r w:rsidRPr="00500FFB">
        <w:rPr>
          <w:lang w:val="es-MX" w:eastAsia="en-US"/>
        </w:rPr>
        <w:t>114.</w:t>
      </w:r>
      <w:r w:rsidRPr="00500FFB">
        <w:rPr>
          <w:lang w:val="es-MX" w:eastAsia="en-US"/>
        </w:rPr>
        <w:tab/>
      </w:r>
      <w:r w:rsidR="00115B35" w:rsidRPr="00FE07FE">
        <w:rPr>
          <w:lang w:val="es-MX" w:eastAsia="en-US"/>
        </w:rPr>
        <w:t>En octubre del 2014 el MSG logró identificar al cuerpo de L.</w:t>
      </w:r>
      <w:r w:rsidR="0052144D">
        <w:rPr>
          <w:lang w:val="es-MX" w:eastAsia="en-US"/>
        </w:rPr>
        <w:t xml:space="preserve"> </w:t>
      </w:r>
      <w:r w:rsidR="00115B35" w:rsidRPr="00FE07FE">
        <w:rPr>
          <w:lang w:val="es-MX" w:eastAsia="en-US"/>
        </w:rPr>
        <w:t xml:space="preserve">A. enterrado como NN en un cementerio de CABA desde 2009. La justicia de la provincia de Buenos Aires condenó a personal policial por considerarlo autor de torturas contra L. A., meses antes de su desaparición, la cual fue confirmada en 2016. </w:t>
      </w:r>
    </w:p>
    <w:p w:rsidR="00C21DAA" w:rsidRPr="00FE07FE" w:rsidRDefault="00115B35">
      <w:pPr>
        <w:pStyle w:val="H4G"/>
        <w:rPr>
          <w:lang w:eastAsia="en-US"/>
        </w:rPr>
      </w:pPr>
      <w:r w:rsidRPr="00FE07FE">
        <w:rPr>
          <w:lang w:eastAsia="en-US"/>
        </w:rPr>
        <w:tab/>
      </w:r>
      <w:r w:rsidRPr="00FE07FE">
        <w:rPr>
          <w:lang w:eastAsia="en-US"/>
        </w:rPr>
        <w:tab/>
        <w:t>Párrafo 45</w:t>
      </w:r>
    </w:p>
    <w:p w:rsidR="00C21DAA" w:rsidRPr="00FE07FE" w:rsidRDefault="00FE07FE" w:rsidP="00500FFB">
      <w:pPr>
        <w:pStyle w:val="SingleTxtG"/>
        <w:rPr>
          <w:lang w:val="es-MX" w:eastAsia="en-US"/>
        </w:rPr>
      </w:pPr>
      <w:r w:rsidRPr="00500FFB">
        <w:rPr>
          <w:lang w:val="es-MX" w:eastAsia="en-US"/>
        </w:rPr>
        <w:t>115.</w:t>
      </w:r>
      <w:r w:rsidRPr="00500FFB">
        <w:rPr>
          <w:lang w:val="es-MX" w:eastAsia="en-US"/>
        </w:rPr>
        <w:tab/>
      </w:r>
      <w:r w:rsidR="00115B35" w:rsidRPr="00FE07FE">
        <w:rPr>
          <w:lang w:val="es-MX" w:eastAsia="en-US"/>
        </w:rPr>
        <w:t xml:space="preserve">En 2010 se sancionó la </w:t>
      </w:r>
      <w:r w:rsidR="007C1E21">
        <w:rPr>
          <w:lang w:val="es-MX" w:eastAsia="en-US"/>
        </w:rPr>
        <w:t>L</w:t>
      </w:r>
      <w:r w:rsidR="00115B35" w:rsidRPr="00FE07FE">
        <w:rPr>
          <w:lang w:val="es-MX" w:eastAsia="en-US"/>
        </w:rPr>
        <w:t xml:space="preserve">ey Nacional de Salud Mental </w:t>
      </w:r>
      <w:r w:rsidR="007C1E21">
        <w:rPr>
          <w:lang w:val="es-MX" w:eastAsia="en-US"/>
        </w:rPr>
        <w:t xml:space="preserve">núm. </w:t>
      </w:r>
      <w:r w:rsidR="00115B35" w:rsidRPr="00FE07FE">
        <w:rPr>
          <w:lang w:val="es-MX" w:eastAsia="en-US"/>
        </w:rPr>
        <w:t xml:space="preserve">26657, reglamentada por </w:t>
      </w:r>
      <w:r w:rsidR="0052144D">
        <w:rPr>
          <w:lang w:val="es-MX" w:eastAsia="en-US"/>
        </w:rPr>
        <w:t>D</w:t>
      </w:r>
      <w:r w:rsidR="00115B35" w:rsidRPr="00FE07FE">
        <w:rPr>
          <w:lang w:val="es-MX" w:eastAsia="en-US"/>
        </w:rPr>
        <w:t xml:space="preserve">ecreto </w:t>
      </w:r>
      <w:r w:rsidR="0052144D">
        <w:rPr>
          <w:lang w:val="es-MX" w:eastAsia="en-US"/>
        </w:rPr>
        <w:t xml:space="preserve">núm. </w:t>
      </w:r>
      <w:r w:rsidR="00115B35" w:rsidRPr="00FE07FE">
        <w:rPr>
          <w:lang w:val="es-MX" w:eastAsia="en-US"/>
        </w:rPr>
        <w:t xml:space="preserve">603/2013. La misma establece </w:t>
      </w:r>
      <w:r w:rsidR="00115B35" w:rsidRPr="00FE07FE">
        <w:rPr>
          <w:i/>
          <w:lang w:val="es-MX" w:eastAsia="en-US"/>
        </w:rPr>
        <w:t>que la internación es un recurso excepcional</w:t>
      </w:r>
      <w:r w:rsidR="00115B35" w:rsidRPr="00FE07FE">
        <w:rPr>
          <w:lang w:val="es-MX" w:eastAsia="en-US"/>
        </w:rPr>
        <w:t xml:space="preserve">, que debe ser utilizado </w:t>
      </w:r>
      <w:r w:rsidR="00115B35" w:rsidRPr="00FE07FE">
        <w:rPr>
          <w:b/>
          <w:i/>
          <w:lang w:val="es-MX" w:eastAsia="en-US"/>
        </w:rPr>
        <w:t>como última opción y debe ser lo más breve posible</w:t>
      </w:r>
      <w:r w:rsidR="00115B35" w:rsidRPr="00FE07FE">
        <w:rPr>
          <w:lang w:val="es-MX" w:eastAsia="en-US"/>
        </w:rPr>
        <w:t xml:space="preserve">, y se deben privilegiar otras modalidades, como la atención ambulatoria, la asistencia domiciliaria, las casas de convivencia, o los hospitales de día. También establece un sistema de controles y garantías de procedimiento. El artículo 26 especifica: </w:t>
      </w:r>
      <w:r w:rsidR="00115B35" w:rsidRPr="00FE07FE">
        <w:rPr>
          <w:i/>
          <w:lang w:val="es-MX" w:eastAsia="en-US"/>
        </w:rPr>
        <w:t>“en el caso de niños, niñas y adolescentes, además se procederá de acuerdo a la normativa nacional e internacional de protección integral de derechos”</w:t>
      </w:r>
      <w:r w:rsidR="00115B35" w:rsidRPr="00FE07FE">
        <w:rPr>
          <w:lang w:val="es-MX" w:eastAsia="en-US"/>
        </w:rPr>
        <w:t>. El art. 22 crea la figura del abogado defensor con facultad para acceder a las actuaciones y a solicitar la externación.</w:t>
      </w:r>
    </w:p>
    <w:p w:rsidR="00C21DAA" w:rsidRPr="00FE07FE" w:rsidRDefault="00FE07FE" w:rsidP="00500FFB">
      <w:pPr>
        <w:pStyle w:val="SingleTxtG"/>
        <w:rPr>
          <w:i/>
          <w:lang w:val="es-MX" w:eastAsia="en-US"/>
        </w:rPr>
      </w:pPr>
      <w:r w:rsidRPr="00500FFB">
        <w:rPr>
          <w:lang w:val="es-MX" w:eastAsia="en-US"/>
        </w:rPr>
        <w:t>116.</w:t>
      </w:r>
      <w:r w:rsidRPr="00500FFB">
        <w:rPr>
          <w:lang w:val="es-MX" w:eastAsia="en-US"/>
        </w:rPr>
        <w:tab/>
      </w:r>
      <w:r w:rsidR="00115B35" w:rsidRPr="00FE07FE">
        <w:rPr>
          <w:lang w:val="es-MX" w:eastAsia="en-US"/>
        </w:rPr>
        <w:t xml:space="preserve">En cuanto a la asistencia terapéutica a los niños dados de alta en hospitales u otras instituciones, teniendo en cuenta </w:t>
      </w:r>
      <w:r w:rsidR="00115B35" w:rsidRPr="00FE07FE">
        <w:rPr>
          <w:i/>
          <w:lang w:val="es-MX" w:eastAsia="en-US"/>
        </w:rPr>
        <w:t>el interés superior del niño</w:t>
      </w:r>
      <w:r w:rsidR="00115B35" w:rsidRPr="00FE07FE">
        <w:rPr>
          <w:lang w:val="es-MX" w:eastAsia="en-US"/>
        </w:rPr>
        <w:t xml:space="preserve">, el artículo 7 de la </w:t>
      </w:r>
      <w:r w:rsidR="00D5464A">
        <w:rPr>
          <w:lang w:val="es-MX" w:eastAsia="en-US"/>
        </w:rPr>
        <w:t>L</w:t>
      </w:r>
      <w:r w:rsidR="00115B35" w:rsidRPr="00FE07FE">
        <w:rPr>
          <w:lang w:val="es-MX" w:eastAsia="en-US"/>
        </w:rPr>
        <w:t xml:space="preserve">ey </w:t>
      </w:r>
      <w:r w:rsidR="00D5464A">
        <w:rPr>
          <w:lang w:val="es-MX" w:eastAsia="en-US"/>
        </w:rPr>
        <w:t>núm. </w:t>
      </w:r>
      <w:r w:rsidR="00115B35" w:rsidRPr="00FE07FE">
        <w:rPr>
          <w:lang w:val="es-MX" w:eastAsia="en-US"/>
        </w:rPr>
        <w:t xml:space="preserve">26657, en su inciso d) establece el: </w:t>
      </w:r>
      <w:r w:rsidR="00115B35" w:rsidRPr="00FE07FE">
        <w:rPr>
          <w:i/>
          <w:lang w:val="es-MX" w:eastAsia="en-US"/>
        </w:rPr>
        <w:t>“…</w:t>
      </w:r>
      <w:r w:rsidR="00B1146A">
        <w:rPr>
          <w:i/>
          <w:lang w:val="es-MX" w:eastAsia="en-US"/>
        </w:rPr>
        <w:t xml:space="preserve"> </w:t>
      </w:r>
      <w:r w:rsidR="00115B35" w:rsidRPr="00FE07FE">
        <w:rPr>
          <w:i/>
          <w:lang w:val="es-MX" w:eastAsia="en-US"/>
        </w:rPr>
        <w:t>Derecho a recibir tratamiento y a ser tratado con la alternativa terapéutica más conveniente, que menos restrinja sus derechos y libertades, promoviendo la integración familiar, laboral y comunitaria…”</w:t>
      </w:r>
      <w:r w:rsidR="00B1146A" w:rsidRPr="00500FFB">
        <w:rPr>
          <w:lang w:val="es-MX" w:eastAsia="en-US"/>
        </w:rPr>
        <w:t>.</w:t>
      </w:r>
      <w:r w:rsidR="00115B35" w:rsidRPr="00FE07FE">
        <w:rPr>
          <w:lang w:val="es-MX" w:eastAsia="en-US"/>
        </w:rPr>
        <w:t xml:space="preserve"> El art. 11 establece que la autoridad de aplicación debe promover que las autoridades de salud de cada jurisdicción, en coordinación con las áreas de educación, desarrollo social, trabajo y otras que correspondan, implementen acciones de inclusión social, laboral y de atención en salud mental comunitaria. El </w:t>
      </w:r>
      <w:r w:rsidR="00D5464A">
        <w:rPr>
          <w:lang w:val="es-MX" w:eastAsia="en-US"/>
        </w:rPr>
        <w:t>D</w:t>
      </w:r>
      <w:r w:rsidR="00115B35" w:rsidRPr="00FE07FE">
        <w:rPr>
          <w:lang w:val="es-MX" w:eastAsia="en-US"/>
        </w:rPr>
        <w:t xml:space="preserve">ecreto </w:t>
      </w:r>
      <w:r w:rsidR="00D5464A">
        <w:rPr>
          <w:lang w:val="es-MX" w:eastAsia="en-US"/>
        </w:rPr>
        <w:t xml:space="preserve">núm. </w:t>
      </w:r>
      <w:r w:rsidR="00115B35" w:rsidRPr="00FE07FE">
        <w:rPr>
          <w:lang w:val="es-MX" w:eastAsia="en-US"/>
        </w:rPr>
        <w:t>603/2013 reglamentó el art.</w:t>
      </w:r>
      <w:r w:rsidR="00D5464A">
        <w:rPr>
          <w:lang w:val="es-MX" w:eastAsia="en-US"/>
        </w:rPr>
        <w:t xml:space="preserve"> </w:t>
      </w:r>
      <w:r w:rsidR="00115B35" w:rsidRPr="00FE07FE">
        <w:rPr>
          <w:lang w:val="es-MX" w:eastAsia="en-US"/>
        </w:rPr>
        <w:t xml:space="preserve">11: </w:t>
      </w:r>
      <w:r w:rsidR="00115B35" w:rsidRPr="00FE07FE">
        <w:rPr>
          <w:i/>
          <w:lang w:val="es-MX" w:eastAsia="en-US"/>
        </w:rPr>
        <w:t>“Los dispositivos terapéuticos que incluyan alojamiento no deberán ser utilizados para personas con problemática exclusiva de vivienda”.</w:t>
      </w:r>
    </w:p>
    <w:p w:rsidR="00C21DAA" w:rsidRPr="00FE07FE" w:rsidRDefault="00FE07FE" w:rsidP="00500FFB">
      <w:pPr>
        <w:pStyle w:val="SingleTxtG"/>
        <w:rPr>
          <w:lang w:val="es-MX" w:eastAsia="en-US"/>
        </w:rPr>
      </w:pPr>
      <w:r w:rsidRPr="00500FFB">
        <w:rPr>
          <w:lang w:val="es-MX" w:eastAsia="en-US"/>
        </w:rPr>
        <w:t>117.</w:t>
      </w:r>
      <w:r w:rsidRPr="00500FFB">
        <w:rPr>
          <w:lang w:val="es-MX" w:eastAsia="en-US"/>
        </w:rPr>
        <w:tab/>
      </w:r>
      <w:r w:rsidR="00115B35" w:rsidRPr="00FE07FE">
        <w:rPr>
          <w:lang w:val="es-MX" w:eastAsia="en-US"/>
        </w:rPr>
        <w:t xml:space="preserve">En cuanto al </w:t>
      </w:r>
      <w:r w:rsidR="00115B35" w:rsidRPr="00FE07FE">
        <w:rPr>
          <w:i/>
          <w:lang w:val="es-MX" w:eastAsia="en-US"/>
        </w:rPr>
        <w:t>alta específica y la vivienda adecuada</w:t>
      </w:r>
      <w:r w:rsidR="00115B35" w:rsidRPr="00FE07FE">
        <w:rPr>
          <w:lang w:val="es-MX" w:eastAsia="en-US"/>
        </w:rPr>
        <w:t>, el art.</w:t>
      </w:r>
      <w:r w:rsidR="00D5464A">
        <w:rPr>
          <w:lang w:val="es-MX" w:eastAsia="en-US"/>
        </w:rPr>
        <w:t xml:space="preserve"> </w:t>
      </w:r>
      <w:r w:rsidR="00115B35" w:rsidRPr="00FE07FE">
        <w:rPr>
          <w:lang w:val="es-MX" w:eastAsia="en-US"/>
        </w:rPr>
        <w:t xml:space="preserve">15 estableció que cuando una persona estuviese en condiciones de alta desde el punto de vista de la salud mental y existiesen problemáticas sociales o de vivienda que imposibilitaran la externación inmediata, el equipo interdisciplinario deberá: </w:t>
      </w:r>
      <w:r w:rsidR="00115B35" w:rsidRPr="00FE07FE">
        <w:rPr>
          <w:i/>
          <w:lang w:val="es-MX" w:eastAsia="en-US"/>
        </w:rPr>
        <w:t xml:space="preserve">a) Dejar constancia en la historia clínica; b) Gestionar ante las áreas que correspondan con carácter urgente la provisión de los recursos correspondientes a efectos de dar solución de acuerdo a lo dispuesto por el artículo 15 de la </w:t>
      </w:r>
      <w:r w:rsidR="00D5464A">
        <w:rPr>
          <w:i/>
          <w:lang w:val="es-MX" w:eastAsia="en-US"/>
        </w:rPr>
        <w:t>L</w:t>
      </w:r>
      <w:r w:rsidR="00115B35" w:rsidRPr="00FE07FE">
        <w:rPr>
          <w:i/>
          <w:lang w:val="es-MX" w:eastAsia="en-US"/>
        </w:rPr>
        <w:t xml:space="preserve">ey </w:t>
      </w:r>
      <w:r w:rsidR="00D5464A">
        <w:rPr>
          <w:i/>
          <w:lang w:val="es-MX" w:eastAsia="en-US"/>
        </w:rPr>
        <w:t xml:space="preserve">núm. </w:t>
      </w:r>
      <w:r w:rsidR="00115B35" w:rsidRPr="00FE07FE">
        <w:rPr>
          <w:i/>
          <w:lang w:val="es-MX" w:eastAsia="en-US"/>
        </w:rPr>
        <w:t>26657; c) Informar a la Autoridad de Aplicación local</w:t>
      </w:r>
      <w:r w:rsidR="00115B35" w:rsidRPr="00FE07FE">
        <w:rPr>
          <w:lang w:val="es-MX" w:eastAsia="en-US"/>
        </w:rPr>
        <w:t xml:space="preserve">. La asistencia directa se encuentra a cargo de cada jurisdicción, el Estado Nacional, a través del MDS (SENAF), puede gestionar ayudas económicas a fin de garantizar el egreso hospitalario en óptimas condiciones de habitabilidad. </w:t>
      </w:r>
    </w:p>
    <w:p w:rsidR="00C21DAA" w:rsidRPr="00FE07FE" w:rsidRDefault="00115B35">
      <w:pPr>
        <w:pStyle w:val="H23G"/>
        <w:rPr>
          <w:lang w:eastAsia="en-US"/>
        </w:rPr>
      </w:pPr>
      <w:r w:rsidRPr="00FE07FE">
        <w:rPr>
          <w:lang w:eastAsia="en-US"/>
        </w:rPr>
        <w:lastRenderedPageBreak/>
        <w:tab/>
      </w:r>
      <w:r w:rsidRPr="00FE07FE">
        <w:rPr>
          <w:lang w:eastAsia="en-US"/>
        </w:rPr>
        <w:tab/>
        <w:t>Castigos corporales</w:t>
      </w:r>
    </w:p>
    <w:p w:rsidR="00C21DAA" w:rsidRPr="00FE07FE" w:rsidRDefault="00115B35">
      <w:pPr>
        <w:pStyle w:val="H4G"/>
        <w:rPr>
          <w:lang w:eastAsia="en-US"/>
        </w:rPr>
      </w:pPr>
      <w:r w:rsidRPr="00FE07FE">
        <w:rPr>
          <w:lang w:eastAsia="en-US"/>
        </w:rPr>
        <w:tab/>
      </w:r>
      <w:r w:rsidRPr="00FE07FE">
        <w:rPr>
          <w:lang w:eastAsia="en-US"/>
        </w:rPr>
        <w:tab/>
        <w:t>Párrafo 47</w:t>
      </w:r>
    </w:p>
    <w:p w:rsidR="00C21DAA" w:rsidRPr="00FE07FE" w:rsidRDefault="00FE07FE" w:rsidP="00500FFB">
      <w:pPr>
        <w:pStyle w:val="SingleTxtG"/>
        <w:rPr>
          <w:lang w:val="es-MX" w:eastAsia="en-US"/>
        </w:rPr>
      </w:pPr>
      <w:r w:rsidRPr="00500FFB">
        <w:rPr>
          <w:lang w:val="es-MX" w:eastAsia="en-US"/>
        </w:rPr>
        <w:t>118.</w:t>
      </w:r>
      <w:r w:rsidRPr="00500FFB">
        <w:rPr>
          <w:lang w:val="es-MX" w:eastAsia="en-US"/>
        </w:rPr>
        <w:tab/>
      </w:r>
      <w:r w:rsidR="00115B35" w:rsidRPr="00FE07FE">
        <w:rPr>
          <w:lang w:val="es-MX" w:eastAsia="en-US"/>
        </w:rPr>
        <w:t xml:space="preserve">Con la sanción del nuevo CCCN se prohíbe expresamente el castigo físico, específicamente el artículo 647 establece: </w:t>
      </w:r>
      <w:r w:rsidR="00115B35" w:rsidRPr="00FE07FE">
        <w:rPr>
          <w:i/>
          <w:lang w:val="es-MX" w:eastAsia="en-US"/>
        </w:rPr>
        <w:t>“Prohibición de malos tratos. (…) Se prohíbe el castigo corporal en cualquiera de sus formas, los malos tratos y cualquier hecho que lesione o menoscabe física o psíquicamente a los niños o adolescentes</w:t>
      </w:r>
      <w:r w:rsidR="00B1146A">
        <w:rPr>
          <w:i/>
          <w:lang w:val="es-MX" w:eastAsia="en-US"/>
        </w:rPr>
        <w:t>.</w:t>
      </w:r>
      <w:r w:rsidR="00115B35" w:rsidRPr="00FE07FE">
        <w:rPr>
          <w:i/>
          <w:lang w:val="es-MX" w:eastAsia="en-US"/>
        </w:rPr>
        <w:t>”</w:t>
      </w:r>
      <w:r w:rsidR="00115B35" w:rsidRPr="00FE07FE">
        <w:rPr>
          <w:lang w:val="es-MX" w:eastAsia="en-US"/>
        </w:rPr>
        <w:t xml:space="preserve">, y el artículo 4° indica que las leyes son obligatorias para todos los que habitan el territorio de la República Argentina, independientemente en qué provincia vivan. </w:t>
      </w:r>
    </w:p>
    <w:p w:rsidR="00C21DAA" w:rsidRPr="00FE07FE" w:rsidRDefault="00FE07FE" w:rsidP="00500FFB">
      <w:pPr>
        <w:pStyle w:val="SingleTxtG"/>
        <w:rPr>
          <w:i/>
          <w:lang w:val="es-MX" w:eastAsia="en-US"/>
        </w:rPr>
      </w:pPr>
      <w:r w:rsidRPr="00500FFB">
        <w:rPr>
          <w:lang w:val="es-MX" w:eastAsia="en-US"/>
        </w:rPr>
        <w:t>119.</w:t>
      </w:r>
      <w:r w:rsidRPr="00500FFB">
        <w:rPr>
          <w:lang w:val="es-MX" w:eastAsia="en-US"/>
        </w:rPr>
        <w:tab/>
      </w:r>
      <w:r w:rsidR="00115B35" w:rsidRPr="00FE07FE">
        <w:rPr>
          <w:lang w:val="es-MX" w:eastAsia="en-US"/>
        </w:rPr>
        <w:t xml:space="preserve">En 2013 se promulgó la </w:t>
      </w:r>
      <w:r w:rsidR="002D2FE4">
        <w:rPr>
          <w:lang w:val="es-MX" w:eastAsia="en-US"/>
        </w:rPr>
        <w:t>L</w:t>
      </w:r>
      <w:r w:rsidR="00115B35" w:rsidRPr="00FE07FE">
        <w:rPr>
          <w:lang w:val="es-MX" w:eastAsia="en-US"/>
        </w:rPr>
        <w:t xml:space="preserve">ey </w:t>
      </w:r>
      <w:r w:rsidR="002D2FE4">
        <w:rPr>
          <w:lang w:val="es-MX" w:eastAsia="en-US"/>
        </w:rPr>
        <w:t xml:space="preserve">núm. </w:t>
      </w:r>
      <w:r w:rsidR="00115B35" w:rsidRPr="00FE07FE">
        <w:rPr>
          <w:lang w:val="es-MX" w:eastAsia="en-US"/>
        </w:rPr>
        <w:t xml:space="preserve">26892 “Ley para la promoción de la convivencia y el abordaje de la conflictividad social en las instituciones educativas”, en su artículo 2º inciso c) establece los principios orientadores de la ley, en el marco de la Convención, la </w:t>
      </w:r>
      <w:r w:rsidR="002D2FE4">
        <w:rPr>
          <w:lang w:val="es-MX" w:eastAsia="en-US"/>
        </w:rPr>
        <w:t>L</w:t>
      </w:r>
      <w:r w:rsidR="00115B35" w:rsidRPr="00FE07FE">
        <w:rPr>
          <w:lang w:val="es-MX" w:eastAsia="en-US"/>
        </w:rPr>
        <w:t xml:space="preserve">ey </w:t>
      </w:r>
      <w:r w:rsidR="002D2FE4">
        <w:rPr>
          <w:lang w:val="es-MX" w:eastAsia="en-US"/>
        </w:rPr>
        <w:t xml:space="preserve">núm. </w:t>
      </w:r>
      <w:r w:rsidR="00115B35" w:rsidRPr="00FE07FE">
        <w:rPr>
          <w:lang w:val="es-MX" w:eastAsia="en-US"/>
        </w:rPr>
        <w:t xml:space="preserve">26061 y la ley de educación: </w:t>
      </w:r>
      <w:r w:rsidR="00B1146A">
        <w:rPr>
          <w:i/>
          <w:lang w:val="es-MX" w:eastAsia="en-US"/>
        </w:rPr>
        <w:t>“</w:t>
      </w:r>
      <w:r w:rsidR="00115B35" w:rsidRPr="00FE07FE">
        <w:rPr>
          <w:i/>
          <w:lang w:val="es-MX" w:eastAsia="en-US"/>
        </w:rPr>
        <w:t>…</w:t>
      </w:r>
      <w:r w:rsidR="00B1146A">
        <w:rPr>
          <w:i/>
          <w:lang w:val="es-MX" w:eastAsia="en-US"/>
        </w:rPr>
        <w:t xml:space="preserve"> </w:t>
      </w:r>
      <w:r w:rsidR="00115B35" w:rsidRPr="00FE07FE">
        <w:rPr>
          <w:i/>
          <w:lang w:val="es-MX" w:eastAsia="en-US"/>
        </w:rPr>
        <w:t>c) El respeto y la aceptación de las diferencias, el rechazo a toda forma de discriminación, hostigamiento, violencia y exclusión en las interacciones entre los integrantes de la comunidad educativa, incluyendo las que se produzcan mediante entornos virtuales y otras tecnologías de la información y comunicación…”</w:t>
      </w:r>
      <w:r w:rsidR="00B1146A" w:rsidRPr="00500FFB">
        <w:rPr>
          <w:lang w:val="es-MX" w:eastAsia="en-US"/>
        </w:rPr>
        <w:t>.</w:t>
      </w:r>
      <w:r w:rsidR="00115B35" w:rsidRPr="00FE07FE">
        <w:rPr>
          <w:lang w:val="es-MX" w:eastAsia="en-US"/>
        </w:rPr>
        <w:t xml:space="preserve"> En el artículo 9º, inciso b, indica que el MED tiene a su cargo la responsabilidad de: </w:t>
      </w:r>
      <w:r w:rsidR="00115B35" w:rsidRPr="00FE07FE">
        <w:rPr>
          <w:i/>
          <w:lang w:val="es-MX" w:eastAsia="en-US"/>
        </w:rPr>
        <w:t>“…</w:t>
      </w:r>
      <w:r w:rsidR="0052144D">
        <w:rPr>
          <w:i/>
          <w:lang w:val="es-MX" w:eastAsia="en-US"/>
        </w:rPr>
        <w:t xml:space="preserve"> </w:t>
      </w:r>
      <w:r w:rsidR="00115B35" w:rsidRPr="00FE07FE">
        <w:rPr>
          <w:i/>
          <w:lang w:val="es-MX" w:eastAsia="en-US"/>
        </w:rPr>
        <w:t>b) Identificar y desplegar iniciativas de diagnóstico de las formas que adquiere la violencia en las instituciones educativas, ante los nuevos modos de interacción en entornos virtuales…”</w:t>
      </w:r>
      <w:r w:rsidR="00B1146A">
        <w:rPr>
          <w:lang w:val="es-MX" w:eastAsia="en-US"/>
        </w:rPr>
        <w:t>.</w:t>
      </w:r>
    </w:p>
    <w:p w:rsidR="00C21DAA" w:rsidRPr="00FE07FE" w:rsidRDefault="00FE07FE" w:rsidP="00500FFB">
      <w:pPr>
        <w:pStyle w:val="SingleTxtG"/>
        <w:rPr>
          <w:lang w:val="es-MX" w:eastAsia="en-US"/>
        </w:rPr>
      </w:pPr>
      <w:r w:rsidRPr="00500FFB">
        <w:rPr>
          <w:lang w:val="es-MX" w:eastAsia="en-US"/>
        </w:rPr>
        <w:t>120.</w:t>
      </w:r>
      <w:r w:rsidRPr="00500FFB">
        <w:rPr>
          <w:lang w:val="es-MX" w:eastAsia="en-US"/>
        </w:rPr>
        <w:tab/>
      </w:r>
      <w:r w:rsidR="00115B35" w:rsidRPr="00FE07FE">
        <w:rPr>
          <w:lang w:val="es-MX" w:eastAsia="en-US"/>
        </w:rPr>
        <w:t xml:space="preserve">En cumplimiento de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26892 se elaboró la Guía Federal de Orientaciones para la Intervención Educativa en Situaciones Complejas Relacionadas con la Vida Escolar. Esta guía tiene un capítulo dedicado al ciberacoso y promueve la no-estigmatización de los niños involucrados en situación de violencia. La OVD recibe las 24 horas durante los 365 días del año denuncias por violencia doméstica a través de la intervención de un equipo interdisciplinario. En el año 2015 el 13% de las personas atendidas fueron niñas y el 12% niños, preponderando la violencia psicológica, luego la física, luego la económica y por último la sexual. En la provincia de Buenos Aires se ha creado el </w:t>
      </w:r>
      <w:r w:rsidR="00115B35" w:rsidRPr="00FE07FE">
        <w:rPr>
          <w:b/>
          <w:lang w:val="es-MX" w:eastAsia="en-US"/>
        </w:rPr>
        <w:t>Programa de Crianza Sin Violencia,</w:t>
      </w:r>
      <w:r w:rsidR="00115B35" w:rsidRPr="00FE07FE">
        <w:rPr>
          <w:lang w:val="es-MX" w:eastAsia="en-US"/>
        </w:rPr>
        <w:t xml:space="preserve"> junto con UNICEF, que ya ha sido implementado con 300 madres y padres y 150 profesionales de reas de infancia y el próximo año se replicará en 80 municipios.</w:t>
      </w:r>
    </w:p>
    <w:p w:rsidR="00C21DAA" w:rsidRPr="00FE07FE" w:rsidRDefault="00FE07FE" w:rsidP="00500FFB">
      <w:pPr>
        <w:pStyle w:val="SingleTxtG"/>
        <w:rPr>
          <w:lang w:val="es-MX" w:eastAsia="en-US"/>
        </w:rPr>
      </w:pPr>
      <w:r w:rsidRPr="00500FFB">
        <w:rPr>
          <w:lang w:val="es-MX" w:eastAsia="en-US"/>
        </w:rPr>
        <w:t>121.</w:t>
      </w:r>
      <w:r w:rsidRPr="00500FFB">
        <w:rPr>
          <w:lang w:val="es-MX" w:eastAsia="en-US"/>
        </w:rPr>
        <w:tab/>
      </w:r>
      <w:r w:rsidR="00115B35" w:rsidRPr="00FE07FE">
        <w:rPr>
          <w:lang w:val="es-MX" w:eastAsia="en-US"/>
        </w:rPr>
        <w:t xml:space="preserve">El programa consta de espacios de apoyo y abordaje de las temáticas de comunicación, límites, roles familiares, entre otros. El mismo también está siendo implementado con jóvenes padres que se encuentran alojados en Centros del Sistema de Responsabilidad Juvenil. Se ha implementado el </w:t>
      </w:r>
      <w:r w:rsidR="00115B35" w:rsidRPr="00FE07FE">
        <w:rPr>
          <w:b/>
          <w:lang w:val="es-MX" w:eastAsia="en-US"/>
        </w:rPr>
        <w:t>Programa de Convivencia Digital</w:t>
      </w:r>
      <w:r w:rsidR="00115B35" w:rsidRPr="00FE07FE">
        <w:rPr>
          <w:lang w:val="es-MX" w:eastAsia="en-US"/>
        </w:rPr>
        <w:t xml:space="preserve">, junto con UNICEF y las áreas de Educación y Justicia de la PBA, tendiente sensibilizar y a brindar herramientas de contención y prevención de situaciones de </w:t>
      </w:r>
      <w:r w:rsidR="00115B35" w:rsidRPr="00FE07FE">
        <w:rPr>
          <w:i/>
          <w:lang w:val="es-MX" w:eastAsia="en-US"/>
        </w:rPr>
        <w:t>grooming, bulling, ciberbulling y sexting,</w:t>
      </w:r>
      <w:r w:rsidR="00115B35" w:rsidRPr="00FE07FE">
        <w:rPr>
          <w:lang w:val="es-MX" w:eastAsia="en-US"/>
        </w:rPr>
        <w:t xml:space="preserve"> trabajando con material y lenguaje especializado con niños, padres y referentes afectivos, docentes y periodistas.</w:t>
      </w:r>
    </w:p>
    <w:p w:rsidR="00C21DAA" w:rsidRPr="00FE07FE" w:rsidRDefault="00FE07FE" w:rsidP="00500FFB">
      <w:pPr>
        <w:pStyle w:val="SingleTxtG"/>
        <w:rPr>
          <w:lang w:val="es-MX" w:eastAsia="en-US"/>
        </w:rPr>
      </w:pPr>
      <w:r w:rsidRPr="00500FFB">
        <w:rPr>
          <w:lang w:val="es-MX" w:eastAsia="en-US"/>
        </w:rPr>
        <w:t>122.</w:t>
      </w:r>
      <w:r w:rsidRPr="00500FFB">
        <w:rPr>
          <w:lang w:val="es-MX" w:eastAsia="en-US"/>
        </w:rPr>
        <w:tab/>
      </w:r>
      <w:r w:rsidR="00115B35" w:rsidRPr="00FE07FE">
        <w:rPr>
          <w:lang w:val="es-MX" w:eastAsia="en-US"/>
        </w:rPr>
        <w:t xml:space="preserve">La ECOVNA reveló que, dentro de las pautas culturales de crianza, aún persiste el uso del castigo físico como una forma de disciplina, incluso cuando las madres y las cuidadoras al ser encuestadas, no creyeron que debían usarlo. A nivel nacional se desarrolló la campaña de </w:t>
      </w:r>
      <w:r w:rsidR="00115B35" w:rsidRPr="00FE07FE">
        <w:rPr>
          <w:i/>
          <w:lang w:val="es-MX" w:eastAsia="en-US"/>
        </w:rPr>
        <w:t>“Promoción del Buentrato a Niñas, Niños y Adolescentes”</w:t>
      </w:r>
      <w:r w:rsidR="00115B35" w:rsidRPr="00FE07FE">
        <w:rPr>
          <w:lang w:val="es-MX" w:eastAsia="en-US"/>
        </w:rPr>
        <w:t xml:space="preserve"> y el programa </w:t>
      </w:r>
      <w:r w:rsidR="00115B35" w:rsidRPr="00FE07FE">
        <w:rPr>
          <w:i/>
          <w:lang w:val="es-MX" w:eastAsia="en-US"/>
        </w:rPr>
        <w:t>“Cuidando Nuestras Chicas y Chicos”,</w:t>
      </w:r>
      <w:r w:rsidR="00115B35" w:rsidRPr="00FE07FE">
        <w:rPr>
          <w:lang w:val="es-MX" w:eastAsia="en-US"/>
        </w:rPr>
        <w:t xml:space="preserve"> promoviendo el buen trato en los ámbitos de crianza, las familias y sus barrios, a través de talleres de concientización. Se realizaron talleres de promoción del buen trato y prevención de la violencia en distintas localidades de Buenos Aires, Entre Ríos, Misiones, Río Negro y CABA. </w:t>
      </w:r>
    </w:p>
    <w:p w:rsidR="00C21DAA" w:rsidRPr="00FE07FE" w:rsidRDefault="00FE07FE" w:rsidP="00500FFB">
      <w:pPr>
        <w:pStyle w:val="SingleTxtG"/>
        <w:rPr>
          <w:lang w:val="es-MX" w:eastAsia="en-US"/>
        </w:rPr>
      </w:pPr>
      <w:r w:rsidRPr="00500FFB">
        <w:rPr>
          <w:lang w:val="es-MX" w:eastAsia="en-US"/>
        </w:rPr>
        <w:t>123.</w:t>
      </w:r>
      <w:r w:rsidRPr="00500FFB">
        <w:rPr>
          <w:lang w:val="es-MX" w:eastAsia="en-US"/>
        </w:rPr>
        <w:tab/>
      </w:r>
      <w:r w:rsidR="00115B35" w:rsidRPr="00FE07FE">
        <w:rPr>
          <w:lang w:val="es-MX" w:eastAsia="en-US"/>
        </w:rPr>
        <w:t xml:space="preserve">El COFENAF ha firmado el </w:t>
      </w:r>
      <w:r w:rsidR="00115B35" w:rsidRPr="00FE07FE">
        <w:rPr>
          <w:i/>
          <w:lang w:val="es-MX" w:eastAsia="en-US"/>
        </w:rPr>
        <w:t xml:space="preserve">“Compromiso Niños sin Cuidados parentales” </w:t>
      </w:r>
      <w:r w:rsidR="00115B35" w:rsidRPr="00FE07FE">
        <w:rPr>
          <w:lang w:val="es-MX" w:eastAsia="en-US"/>
        </w:rPr>
        <w:t xml:space="preserve">en 2015 para hacer frente al trato irrespetuoso en las instituciones que cuidan niños, estableciendo los derechos a respetar. Además, firmó el Acta </w:t>
      </w:r>
      <w:r w:rsidR="00115B35" w:rsidRPr="00FE07FE">
        <w:rPr>
          <w:i/>
          <w:lang w:val="es-MX" w:eastAsia="en-US"/>
        </w:rPr>
        <w:t>“Hacia una mayor calidad institucional de los Dispositivos Penales Juveniles”</w:t>
      </w:r>
      <w:r w:rsidR="00115B35" w:rsidRPr="00FE07FE">
        <w:rPr>
          <w:lang w:val="es-MX" w:eastAsia="en-US"/>
        </w:rPr>
        <w:t xml:space="preserve"> en 2011, que establece el trato respetuoso y no violatorio de derechos.  </w:t>
      </w:r>
    </w:p>
    <w:p w:rsidR="00C21DAA" w:rsidRPr="00FE07FE" w:rsidRDefault="00FE07FE" w:rsidP="00500FFB">
      <w:pPr>
        <w:pStyle w:val="SingleTxtG"/>
        <w:rPr>
          <w:lang w:val="es-MX" w:eastAsia="en-US"/>
        </w:rPr>
      </w:pPr>
      <w:r w:rsidRPr="00500FFB">
        <w:rPr>
          <w:lang w:val="es-MX" w:eastAsia="en-US"/>
        </w:rPr>
        <w:t>124.</w:t>
      </w:r>
      <w:r w:rsidRPr="00500FFB">
        <w:rPr>
          <w:lang w:val="es-MX" w:eastAsia="en-US"/>
        </w:rPr>
        <w:tab/>
      </w:r>
      <w:r w:rsidR="00115B35" w:rsidRPr="00FE07FE">
        <w:rPr>
          <w:lang w:val="es-MX" w:eastAsia="en-US"/>
        </w:rPr>
        <w:t xml:space="preserve">En 2016, en el marco del COFENAF se realizó el “Diálogo técnico de violencia y maltrato infantil” junto con CIPPECC, participando en la jornada expositores internacionales y con expertos en la materia, entre ellos la Vice Presidenta de la CSJN. Durante la jornada se llevaron a cabo talleres de intercambio entre todas las provincias. </w:t>
      </w:r>
    </w:p>
    <w:p w:rsidR="00C21DAA" w:rsidRPr="00FE07FE" w:rsidRDefault="00FE07FE" w:rsidP="00500FFB">
      <w:pPr>
        <w:pStyle w:val="SingleTxtG"/>
        <w:rPr>
          <w:lang w:val="es-MX" w:eastAsia="en-US"/>
        </w:rPr>
      </w:pPr>
      <w:r w:rsidRPr="00500FFB">
        <w:rPr>
          <w:lang w:val="es-MX" w:eastAsia="en-US"/>
        </w:rPr>
        <w:lastRenderedPageBreak/>
        <w:t>125.</w:t>
      </w:r>
      <w:r w:rsidRPr="00500FFB">
        <w:rPr>
          <w:lang w:val="es-MX" w:eastAsia="en-US"/>
        </w:rPr>
        <w:tab/>
      </w:r>
      <w:r w:rsidR="00115B35" w:rsidRPr="00FE07FE">
        <w:rPr>
          <w:lang w:val="es-MX" w:eastAsia="en-US"/>
        </w:rPr>
        <w:t xml:space="preserve">El MPD realiza el correspondiente seguimiento de las denuncias por hechos ocurridos en lugares de alojamiento de niños. La </w:t>
      </w:r>
      <w:r w:rsidR="002D2FE4">
        <w:rPr>
          <w:lang w:val="es-MX" w:eastAsia="en-US"/>
        </w:rPr>
        <w:t>L</w:t>
      </w:r>
      <w:r w:rsidR="00115B35" w:rsidRPr="00FE07FE">
        <w:rPr>
          <w:lang w:val="es-MX" w:eastAsia="en-US"/>
        </w:rPr>
        <w:t xml:space="preserve">ey </w:t>
      </w:r>
      <w:r w:rsidR="002D2FE4">
        <w:rPr>
          <w:lang w:val="es-MX" w:eastAsia="en-US"/>
        </w:rPr>
        <w:t xml:space="preserve">núm. </w:t>
      </w:r>
      <w:r w:rsidR="00115B35" w:rsidRPr="00FE07FE">
        <w:rPr>
          <w:lang w:val="es-MX" w:eastAsia="en-US"/>
        </w:rPr>
        <w:t xml:space="preserve">26657 y Decreto </w:t>
      </w:r>
      <w:r w:rsidR="002D2FE4">
        <w:rPr>
          <w:lang w:val="es-MX" w:eastAsia="en-US"/>
        </w:rPr>
        <w:t>núm.</w:t>
      </w:r>
      <w:r w:rsidR="0080667C">
        <w:rPr>
          <w:lang w:val="es-MX" w:eastAsia="en-US"/>
        </w:rPr>
        <w:t> </w:t>
      </w:r>
      <w:r w:rsidR="00115B35" w:rsidRPr="00FE07FE">
        <w:rPr>
          <w:lang w:val="es-MX" w:eastAsia="en-US"/>
        </w:rPr>
        <w:t xml:space="preserve">603/2013 prohíbe explícitamente el aislamiento y la medicación como formas de castigo. </w:t>
      </w:r>
    </w:p>
    <w:p w:rsidR="00C21DAA" w:rsidRPr="00FE07FE" w:rsidRDefault="00FE07FE" w:rsidP="00500FFB">
      <w:pPr>
        <w:pStyle w:val="SingleTxtG"/>
        <w:rPr>
          <w:lang w:val="es-MX" w:eastAsia="en-US"/>
        </w:rPr>
      </w:pPr>
      <w:r w:rsidRPr="00500FFB">
        <w:rPr>
          <w:lang w:val="es-MX" w:eastAsia="en-US"/>
        </w:rPr>
        <w:t>126.</w:t>
      </w:r>
      <w:r w:rsidRPr="00500FFB">
        <w:rPr>
          <w:lang w:val="es-MX" w:eastAsia="en-US"/>
        </w:rPr>
        <w:tab/>
      </w:r>
      <w:r w:rsidR="00115B35" w:rsidRPr="00FE07FE">
        <w:rPr>
          <w:lang w:val="es-MX" w:eastAsia="en-US"/>
        </w:rPr>
        <w:t xml:space="preserve">El COFENAF firmó en junio de 2016 el compromiso con la campaña internacional denominada </w:t>
      </w:r>
      <w:r w:rsidR="00115B35" w:rsidRPr="00FE07FE">
        <w:rPr>
          <w:i/>
          <w:lang w:val="es-MX" w:eastAsia="en-US"/>
        </w:rPr>
        <w:t>“Ya es Hora de poner fin a la violencia contra niñas, niños y adolescentes”,</w:t>
      </w:r>
      <w:r w:rsidR="00115B35" w:rsidRPr="00FE07FE">
        <w:rPr>
          <w:lang w:val="es-MX" w:eastAsia="en-US"/>
        </w:rPr>
        <w:t xml:space="preserve"> impulsada por la representante especial del Secretario General de la ONU, comprometiéndose a promulgar la prohibición explícita contra la violencia dirigida a la infancia y adolescencia, con medidas detalladas y recursos para su implementación efectiva. </w:t>
      </w:r>
    </w:p>
    <w:p w:rsidR="00C21DAA" w:rsidRPr="00FE07FE" w:rsidRDefault="00FE07FE" w:rsidP="00500FFB">
      <w:pPr>
        <w:pStyle w:val="SingleTxtG"/>
        <w:rPr>
          <w:lang w:val="es-MX" w:eastAsia="en-US"/>
        </w:rPr>
      </w:pPr>
      <w:r w:rsidRPr="00500FFB">
        <w:rPr>
          <w:lang w:val="es-MX" w:eastAsia="en-US"/>
        </w:rPr>
        <w:t>127.</w:t>
      </w:r>
      <w:r w:rsidRPr="00500FFB">
        <w:rPr>
          <w:lang w:val="es-MX" w:eastAsia="en-US"/>
        </w:rPr>
        <w:tab/>
      </w:r>
      <w:r w:rsidR="00115B35" w:rsidRPr="00FE07FE">
        <w:rPr>
          <w:lang w:val="es-MX" w:eastAsia="en-US"/>
        </w:rPr>
        <w:t xml:space="preserve">En el 2016 se impulsó el proyecto de federalización de la línea de ayuda 102, a los fines de establecer protocolos unánimes y fortalecimiento e implementación en todas las provincias. </w:t>
      </w:r>
    </w:p>
    <w:p w:rsidR="00C21DAA" w:rsidRPr="00FE07FE" w:rsidRDefault="00115B35">
      <w:pPr>
        <w:pStyle w:val="H23G"/>
        <w:rPr>
          <w:lang w:eastAsia="en-US"/>
        </w:rPr>
      </w:pPr>
      <w:r w:rsidRPr="00FE07FE">
        <w:rPr>
          <w:lang w:eastAsia="en-US"/>
        </w:rPr>
        <w:tab/>
      </w:r>
      <w:r w:rsidRPr="00FE07FE">
        <w:rPr>
          <w:lang w:eastAsia="en-US"/>
        </w:rPr>
        <w:tab/>
        <w:t>Seguimiento del estudio de las Naciones Unidas sobre la violencia contra niños</w:t>
      </w:r>
    </w:p>
    <w:p w:rsidR="00C21DAA" w:rsidRPr="00FE07FE" w:rsidRDefault="00115B35">
      <w:pPr>
        <w:pStyle w:val="H4G"/>
        <w:rPr>
          <w:lang w:eastAsia="en-US"/>
        </w:rPr>
      </w:pPr>
      <w:r w:rsidRPr="00FE07FE">
        <w:rPr>
          <w:lang w:eastAsia="en-US"/>
        </w:rPr>
        <w:tab/>
      </w:r>
      <w:r w:rsidRPr="00FE07FE">
        <w:rPr>
          <w:lang w:eastAsia="en-US"/>
        </w:rPr>
        <w:tab/>
        <w:t>Párrafo 48</w:t>
      </w:r>
    </w:p>
    <w:p w:rsidR="00C21DAA" w:rsidRPr="00FE07FE" w:rsidRDefault="00FE07FE" w:rsidP="00500FFB">
      <w:pPr>
        <w:pStyle w:val="SingleTxtG"/>
        <w:rPr>
          <w:lang w:val="es-MX" w:eastAsia="en-US"/>
        </w:rPr>
      </w:pPr>
      <w:r w:rsidRPr="00500FFB">
        <w:rPr>
          <w:lang w:val="es-MX" w:eastAsia="en-US"/>
        </w:rPr>
        <w:t>128.</w:t>
      </w:r>
      <w:r w:rsidRPr="00500FFB">
        <w:rPr>
          <w:lang w:val="es-MX" w:eastAsia="en-US"/>
        </w:rPr>
        <w:tab/>
      </w:r>
      <w:r w:rsidR="00115B35" w:rsidRPr="00FE07FE">
        <w:rPr>
          <w:lang w:val="es-MX" w:eastAsia="en-US"/>
        </w:rPr>
        <w:t>A través del proyecto de federalización de la línea de denuncia 102, se busca hacer frente a los problemas identificados sobre el miedo a la denuncia, el estigma y la violencia institucional que son víctimas niños. La línea telefónica 144 de violencia de género, entre septiembre del 2013 y septiembre del 2015 recibió 1</w:t>
      </w:r>
      <w:r w:rsidR="00C2305A">
        <w:rPr>
          <w:lang w:val="es-MX" w:eastAsia="en-US"/>
        </w:rPr>
        <w:t>.</w:t>
      </w:r>
      <w:r w:rsidR="00115B35" w:rsidRPr="00FE07FE">
        <w:rPr>
          <w:lang w:val="es-MX" w:eastAsia="en-US"/>
        </w:rPr>
        <w:t>796 llamados en los que la persona en situación de violencia podría ser un niño, siendo afectados directamente 1.390 mujeres y 304 varones.</w:t>
      </w:r>
    </w:p>
    <w:p w:rsidR="00C21DAA" w:rsidRPr="00FE07FE" w:rsidRDefault="00FE07FE" w:rsidP="00500FFB">
      <w:pPr>
        <w:pStyle w:val="SingleTxtG"/>
        <w:rPr>
          <w:lang w:val="es-MX" w:eastAsia="en-US"/>
        </w:rPr>
      </w:pPr>
      <w:r w:rsidRPr="00500FFB">
        <w:rPr>
          <w:lang w:val="es-MX" w:eastAsia="en-US"/>
        </w:rPr>
        <w:t>129.</w:t>
      </w:r>
      <w:r w:rsidRPr="00500FFB">
        <w:rPr>
          <w:lang w:val="es-MX" w:eastAsia="en-US"/>
        </w:rPr>
        <w:tab/>
      </w:r>
      <w:r w:rsidR="00115B35" w:rsidRPr="00FE07FE">
        <w:rPr>
          <w:lang w:val="es-MX" w:eastAsia="en-US"/>
        </w:rPr>
        <w:t xml:space="preserve">A través de la sanción del CCCN, se intenta eliminar prácticas nocivas como la aceptación social de la violencia, el castigo físico y psíquico como forma de disciplina familiar. El código estableció la edad mínima de matrimonio en 16 años para evitar los matrimonios forzados y tempranos, garantizando en el proceso el derecho a ser oído. Estableció la prohibición de la entrega directa de niños (artículo 611) evitando la venta y tráficos de niños, y la </w:t>
      </w:r>
      <w:r w:rsidR="002D2FE4">
        <w:rPr>
          <w:lang w:val="es-MX" w:eastAsia="en-US"/>
        </w:rPr>
        <w:t>L</w:t>
      </w:r>
      <w:r w:rsidR="00115B35" w:rsidRPr="00FE07FE">
        <w:rPr>
          <w:lang w:val="es-MX" w:eastAsia="en-US"/>
        </w:rPr>
        <w:t xml:space="preserve">ey de </w:t>
      </w:r>
      <w:r w:rsidR="002D2FE4">
        <w:rPr>
          <w:lang w:val="es-MX" w:eastAsia="en-US"/>
        </w:rPr>
        <w:t>T</w:t>
      </w:r>
      <w:r w:rsidR="00115B35" w:rsidRPr="00FE07FE">
        <w:rPr>
          <w:lang w:val="es-MX" w:eastAsia="en-US"/>
        </w:rPr>
        <w:t xml:space="preserve">rata de </w:t>
      </w:r>
      <w:r w:rsidR="002D2FE4">
        <w:rPr>
          <w:lang w:val="es-MX" w:eastAsia="en-US"/>
        </w:rPr>
        <w:t>P</w:t>
      </w:r>
      <w:r w:rsidR="00115B35" w:rsidRPr="00FE07FE">
        <w:rPr>
          <w:lang w:val="es-MX" w:eastAsia="en-US"/>
        </w:rPr>
        <w:t xml:space="preserve">ersonas </w:t>
      </w:r>
      <w:r w:rsidR="002D2FE4">
        <w:rPr>
          <w:lang w:val="es-MX" w:eastAsia="en-US"/>
        </w:rPr>
        <w:t xml:space="preserve">núm. </w:t>
      </w:r>
      <w:r w:rsidR="00115B35" w:rsidRPr="00FE07FE">
        <w:rPr>
          <w:lang w:val="es-MX" w:eastAsia="en-US"/>
        </w:rPr>
        <w:t xml:space="preserve">26364, que estableció la asistencia y la prevención. </w:t>
      </w:r>
    </w:p>
    <w:p w:rsidR="00C21DAA" w:rsidRPr="00FE07FE" w:rsidRDefault="00FE07FE" w:rsidP="00500FFB">
      <w:pPr>
        <w:pStyle w:val="SingleTxtG"/>
        <w:rPr>
          <w:lang w:val="es-MX" w:eastAsia="en-US"/>
        </w:rPr>
      </w:pPr>
      <w:r w:rsidRPr="00500FFB">
        <w:rPr>
          <w:lang w:val="es-MX" w:eastAsia="en-US"/>
        </w:rPr>
        <w:t>130.</w:t>
      </w:r>
      <w:r w:rsidRPr="00500FFB">
        <w:rPr>
          <w:lang w:val="es-MX" w:eastAsia="en-US"/>
        </w:rPr>
        <w:tab/>
      </w:r>
      <w:r w:rsidR="00115B35" w:rsidRPr="00FE07FE">
        <w:rPr>
          <w:lang w:val="es-MX" w:eastAsia="en-US"/>
        </w:rPr>
        <w:t xml:space="preserve">Sobre el trabajo infantil, la </w:t>
      </w:r>
      <w:r w:rsidR="002D2FE4">
        <w:rPr>
          <w:lang w:val="es-MX" w:eastAsia="en-US"/>
        </w:rPr>
        <w:t>L</w:t>
      </w:r>
      <w:r w:rsidR="00115B35" w:rsidRPr="00FE07FE">
        <w:rPr>
          <w:lang w:val="es-MX" w:eastAsia="en-US"/>
        </w:rPr>
        <w:t xml:space="preserve">ey </w:t>
      </w:r>
      <w:r w:rsidR="002D2FE4">
        <w:rPr>
          <w:lang w:val="es-MX" w:eastAsia="en-US"/>
        </w:rPr>
        <w:t xml:space="preserve">núm. </w:t>
      </w:r>
      <w:r w:rsidR="002D2FE4" w:rsidRPr="00FE07FE">
        <w:rPr>
          <w:lang w:val="es-MX" w:eastAsia="en-US"/>
        </w:rPr>
        <w:t xml:space="preserve">26390 </w:t>
      </w:r>
      <w:r w:rsidR="00115B35" w:rsidRPr="00FE07FE">
        <w:rPr>
          <w:lang w:val="es-MX" w:eastAsia="en-US"/>
        </w:rPr>
        <w:t xml:space="preserve">prohíbe el mismo y protege el trabajo a partir de los 16 años. La </w:t>
      </w:r>
      <w:r w:rsidR="002D2FE4">
        <w:rPr>
          <w:lang w:val="es-MX" w:eastAsia="en-US"/>
        </w:rPr>
        <w:t>L</w:t>
      </w:r>
      <w:r w:rsidR="00115B35" w:rsidRPr="00FE07FE">
        <w:rPr>
          <w:lang w:val="es-MX" w:eastAsia="en-US"/>
        </w:rPr>
        <w:t xml:space="preserve">ey </w:t>
      </w:r>
      <w:r w:rsidR="002D2FE4">
        <w:rPr>
          <w:lang w:val="es-MX" w:eastAsia="en-US"/>
        </w:rPr>
        <w:t xml:space="preserve">núm. </w:t>
      </w:r>
      <w:r w:rsidR="00115B35" w:rsidRPr="00FE07FE">
        <w:rPr>
          <w:lang w:val="es-MX" w:eastAsia="en-US"/>
        </w:rPr>
        <w:t xml:space="preserve">26847 de 2013, prevé una sanción penal para los adultos que explotaren económicamente a niños. </w:t>
      </w:r>
    </w:p>
    <w:p w:rsidR="00C21DAA" w:rsidRPr="00FE07FE" w:rsidRDefault="00FE07FE" w:rsidP="00500FFB">
      <w:pPr>
        <w:pStyle w:val="SingleTxtG"/>
        <w:rPr>
          <w:lang w:val="es-MX" w:eastAsia="en-US"/>
        </w:rPr>
      </w:pPr>
      <w:r w:rsidRPr="00500FFB">
        <w:rPr>
          <w:lang w:val="es-MX" w:eastAsia="en-US"/>
        </w:rPr>
        <w:t>131.</w:t>
      </w:r>
      <w:r w:rsidRPr="00500FFB">
        <w:rPr>
          <w:lang w:val="es-MX" w:eastAsia="en-US"/>
        </w:rPr>
        <w:tab/>
      </w:r>
      <w:r w:rsidR="00115B35" w:rsidRPr="00FE07FE">
        <w:rPr>
          <w:lang w:val="es-MX" w:eastAsia="en-US"/>
        </w:rPr>
        <w:t>Se avanzó para evitar niños en comisarías a través del compromiso federal de creación de CAD en todas las provincias (Acta COFENAF 2016).</w:t>
      </w:r>
    </w:p>
    <w:p w:rsidR="00C21DAA" w:rsidRPr="00FE07FE" w:rsidRDefault="00FE07FE" w:rsidP="00500FFB">
      <w:pPr>
        <w:pStyle w:val="SingleTxtG"/>
        <w:rPr>
          <w:lang w:val="es-MX" w:eastAsia="en-US"/>
        </w:rPr>
      </w:pPr>
      <w:r w:rsidRPr="00500FFB">
        <w:rPr>
          <w:lang w:val="es-MX" w:eastAsia="en-US"/>
        </w:rPr>
        <w:t>132.</w:t>
      </w:r>
      <w:r w:rsidRPr="00500FFB">
        <w:rPr>
          <w:lang w:val="es-MX" w:eastAsia="en-US"/>
        </w:rPr>
        <w:tab/>
      </w:r>
      <w:r w:rsidR="00115B35" w:rsidRPr="00FE07FE">
        <w:rPr>
          <w:lang w:val="es-MX" w:eastAsia="en-US"/>
        </w:rPr>
        <w:t xml:space="preserve">La capacitación de las fuerzas de seguridad en derechos humanos es permanente a través del MSG en todos los Liceos militares y todas las facultades de las Fuerzas armadas. El </w:t>
      </w:r>
      <w:r w:rsidR="00115B35" w:rsidRPr="00FE07FE">
        <w:rPr>
          <w:i/>
          <w:lang w:val="es-MX" w:eastAsia="en-US"/>
        </w:rPr>
        <w:t>“Programa Uso Racional de la Fuerza”</w:t>
      </w:r>
      <w:r w:rsidR="00115B35" w:rsidRPr="00FE07FE">
        <w:rPr>
          <w:lang w:val="es-MX" w:eastAsia="en-US"/>
        </w:rPr>
        <w:t xml:space="preserve"> dependiente de la Subsecretaria de Planeamiento y Formación y la Dirección de Seguimiento de Causas de Violencia Institucional y Delitos de Interés Federal, se opone al uso de las esposas como forma de castigo y/u hostigamiento.  </w:t>
      </w:r>
    </w:p>
    <w:p w:rsidR="00C21DAA" w:rsidRPr="00FE07FE" w:rsidRDefault="00FE07FE" w:rsidP="00500FFB">
      <w:pPr>
        <w:pStyle w:val="SingleTxtG"/>
        <w:rPr>
          <w:lang w:val="es-MX" w:eastAsia="en-US"/>
        </w:rPr>
      </w:pPr>
      <w:r w:rsidRPr="00500FFB">
        <w:rPr>
          <w:lang w:val="es-MX" w:eastAsia="en-US"/>
        </w:rPr>
        <w:t>133.</w:t>
      </w:r>
      <w:r w:rsidRPr="00500FFB">
        <w:rPr>
          <w:lang w:val="es-MX" w:eastAsia="en-US"/>
        </w:rPr>
        <w:tab/>
      </w:r>
      <w:r w:rsidR="00115B35" w:rsidRPr="00FE07FE">
        <w:rPr>
          <w:lang w:val="es-MX" w:eastAsia="en-US"/>
        </w:rPr>
        <w:t xml:space="preserve">En el ámbito educativo se creó la “Guía Federal de Orientaciones para la intervención educativa en situaciones complejas relacionadas con la vida escolar” para evitar el acoso entre pares incluyendo el Ciberbullying. La ley de educación establece el cumplimiento de la </w:t>
      </w:r>
      <w:r w:rsidR="002D2FE4">
        <w:rPr>
          <w:lang w:val="es-MX" w:eastAsia="en-US"/>
        </w:rPr>
        <w:t>L</w:t>
      </w:r>
      <w:r w:rsidR="00115B35" w:rsidRPr="00FE07FE">
        <w:rPr>
          <w:lang w:val="es-MX" w:eastAsia="en-US"/>
        </w:rPr>
        <w:t xml:space="preserve">ey </w:t>
      </w:r>
      <w:r w:rsidR="002D2FE4">
        <w:rPr>
          <w:lang w:val="es-MX" w:eastAsia="en-US"/>
        </w:rPr>
        <w:t xml:space="preserve">núm. </w:t>
      </w:r>
      <w:r w:rsidR="00115B35" w:rsidRPr="00FE07FE">
        <w:rPr>
          <w:lang w:val="es-MX" w:eastAsia="en-US"/>
        </w:rPr>
        <w:t xml:space="preserve">26061 respecto al derecho a la dignidad e integridad física, sexual, psíquica, y moral, libre de violencia de todo el niño. Respecto a la Explotación sexual en Internet, el Código Procesal Penal de la Nación (CPPN) incorporó el delito de </w:t>
      </w:r>
      <w:r w:rsidR="00115B35" w:rsidRPr="00FE07FE">
        <w:rPr>
          <w:i/>
          <w:lang w:val="es-MX" w:eastAsia="en-US"/>
        </w:rPr>
        <w:t>grooming</w:t>
      </w:r>
      <w:r w:rsidR="00115B35" w:rsidRPr="00FE07FE">
        <w:rPr>
          <w:lang w:val="es-MX" w:eastAsia="en-US"/>
        </w:rPr>
        <w:t xml:space="preserve"> en su artículo 131.</w:t>
      </w:r>
    </w:p>
    <w:p w:rsidR="00C21DAA" w:rsidRPr="00FE07FE" w:rsidRDefault="00FE07FE" w:rsidP="00500FFB">
      <w:pPr>
        <w:pStyle w:val="SingleTxtG"/>
        <w:rPr>
          <w:lang w:val="es-MX" w:eastAsia="en-US"/>
        </w:rPr>
      </w:pPr>
      <w:r w:rsidRPr="00500FFB">
        <w:rPr>
          <w:lang w:val="es-MX" w:eastAsia="en-US"/>
        </w:rPr>
        <w:t>134.</w:t>
      </w:r>
      <w:r w:rsidRPr="00500FFB">
        <w:rPr>
          <w:lang w:val="es-MX" w:eastAsia="en-US"/>
        </w:rPr>
        <w:tab/>
      </w:r>
      <w:r w:rsidR="00115B35" w:rsidRPr="00FE07FE">
        <w:rPr>
          <w:lang w:val="es-MX" w:eastAsia="en-US"/>
        </w:rPr>
        <w:t xml:space="preserve">En las instituciones que trabajan con niños, se establecieron los estándares de calidad para poder realizar convenios entre la Sociedad Civil y el Estado en todos sus niveles. En el ámbito de las instituciones de salud, la normativa nacional estableció la prohibición de la medicalización y el aislamiento como forma de castigo. </w:t>
      </w:r>
    </w:p>
    <w:p w:rsidR="00C21DAA" w:rsidRPr="00FE07FE" w:rsidRDefault="00FE07FE" w:rsidP="00500FFB">
      <w:pPr>
        <w:pStyle w:val="SingleTxtG"/>
        <w:rPr>
          <w:lang w:val="es-MX" w:eastAsia="en-US"/>
        </w:rPr>
      </w:pPr>
      <w:r w:rsidRPr="00500FFB">
        <w:rPr>
          <w:lang w:val="es-MX" w:eastAsia="en-US"/>
        </w:rPr>
        <w:t>135.</w:t>
      </w:r>
      <w:r w:rsidRPr="00500FFB">
        <w:rPr>
          <w:lang w:val="es-MX" w:eastAsia="en-US"/>
        </w:rPr>
        <w:tab/>
      </w:r>
      <w:r w:rsidR="00115B35" w:rsidRPr="00FE07FE">
        <w:rPr>
          <w:lang w:val="es-MX" w:eastAsia="en-US"/>
        </w:rPr>
        <w:t xml:space="preserve">Los relevamientos nacionales realizados en conjunto con UNICEF, han dado origen a campañas de prevención de la violencia contra niños, en el año 2016. </w:t>
      </w:r>
    </w:p>
    <w:p w:rsidR="00C21DAA" w:rsidRPr="00FE07FE" w:rsidRDefault="00FE07FE" w:rsidP="00500FFB">
      <w:pPr>
        <w:pStyle w:val="SingleTxtG"/>
        <w:rPr>
          <w:lang w:val="es-MX" w:eastAsia="en-US"/>
        </w:rPr>
      </w:pPr>
      <w:r w:rsidRPr="00500FFB">
        <w:rPr>
          <w:lang w:val="es-MX" w:eastAsia="en-US"/>
        </w:rPr>
        <w:lastRenderedPageBreak/>
        <w:t>136.</w:t>
      </w:r>
      <w:r w:rsidRPr="00500FFB">
        <w:rPr>
          <w:lang w:val="es-MX" w:eastAsia="en-US"/>
        </w:rPr>
        <w:tab/>
      </w:r>
      <w:r w:rsidR="00115B35" w:rsidRPr="00FE07FE">
        <w:rPr>
          <w:lang w:val="es-MX" w:eastAsia="en-US"/>
        </w:rPr>
        <w:t xml:space="preserve">Se sancionó la </w:t>
      </w:r>
      <w:r w:rsidR="002D2FE4">
        <w:rPr>
          <w:lang w:val="es-MX" w:eastAsia="en-US"/>
        </w:rPr>
        <w:t>L</w:t>
      </w:r>
      <w:r w:rsidR="00115B35" w:rsidRPr="00FE07FE">
        <w:rPr>
          <w:lang w:val="es-MX" w:eastAsia="en-US"/>
        </w:rPr>
        <w:t xml:space="preserve">ey </w:t>
      </w:r>
      <w:r w:rsidR="002D2FE4">
        <w:rPr>
          <w:lang w:val="es-MX" w:eastAsia="en-US"/>
        </w:rPr>
        <w:t xml:space="preserve">núm. </w:t>
      </w:r>
      <w:r w:rsidR="002D2FE4" w:rsidRPr="00FE07FE">
        <w:rPr>
          <w:lang w:val="es-MX" w:eastAsia="en-US"/>
        </w:rPr>
        <w:t xml:space="preserve">26485 </w:t>
      </w:r>
      <w:r w:rsidR="00115B35" w:rsidRPr="00FE07FE">
        <w:rPr>
          <w:lang w:val="es-MX" w:eastAsia="en-US"/>
        </w:rPr>
        <w:t>para prevenir, sancionar y erradicar la violencia contra las mujeres en los ámbitos en que desarrollen sus relaciones interpersonales y de acuerdo con los Primeros Resultados del Registro Único de Casos de Violencia contra la Mujer, de un total de 50.703 registros procesados durante 2013, 2014 y hasta julio de 2015, el 4,1% de dicha población son niños/as de 14 a 17 años (2.079 registros).</w:t>
      </w:r>
    </w:p>
    <w:p w:rsidR="00C21DAA" w:rsidRPr="00FE07FE" w:rsidRDefault="00115B35">
      <w:pPr>
        <w:pStyle w:val="H23G"/>
        <w:rPr>
          <w:lang w:eastAsia="en-US"/>
        </w:rPr>
      </w:pPr>
      <w:r w:rsidRPr="00FE07FE">
        <w:rPr>
          <w:lang w:eastAsia="en-US"/>
        </w:rPr>
        <w:tab/>
      </w:r>
      <w:r w:rsidRPr="00FE07FE">
        <w:rPr>
          <w:lang w:eastAsia="en-US"/>
        </w:rPr>
        <w:tab/>
        <w:t>Acceso a una información apropiada</w:t>
      </w:r>
    </w:p>
    <w:p w:rsidR="00C21DAA" w:rsidRPr="00FE07FE" w:rsidRDefault="00115B35">
      <w:pPr>
        <w:pStyle w:val="H4G"/>
        <w:rPr>
          <w:lang w:eastAsia="en-US"/>
        </w:rPr>
      </w:pPr>
      <w:r w:rsidRPr="00FE07FE">
        <w:rPr>
          <w:lang w:eastAsia="en-US"/>
        </w:rPr>
        <w:tab/>
      </w:r>
      <w:r w:rsidRPr="00FE07FE">
        <w:rPr>
          <w:lang w:eastAsia="en-US"/>
        </w:rPr>
        <w:tab/>
        <w:t>Párrafo 50</w:t>
      </w:r>
    </w:p>
    <w:p w:rsidR="00C21DAA" w:rsidRPr="00FE07FE" w:rsidRDefault="00FE07FE" w:rsidP="00500FFB">
      <w:pPr>
        <w:pStyle w:val="SingleTxtG"/>
        <w:rPr>
          <w:lang w:val="es-MX" w:eastAsia="en-US"/>
        </w:rPr>
      </w:pPr>
      <w:r w:rsidRPr="00500FFB">
        <w:rPr>
          <w:lang w:val="es-MX" w:eastAsia="en-US"/>
        </w:rPr>
        <w:t>137.</w:t>
      </w:r>
      <w:r w:rsidRPr="00500FFB">
        <w:rPr>
          <w:lang w:val="es-MX" w:eastAsia="en-US"/>
        </w:rPr>
        <w:tab/>
      </w:r>
      <w:r w:rsidR="00115B35" w:rsidRPr="00FE07FE">
        <w:rPr>
          <w:lang w:val="es-MX" w:eastAsia="en-US"/>
        </w:rPr>
        <w:t xml:space="preserve">La </w:t>
      </w:r>
      <w:r w:rsidR="002D2FE4">
        <w:rPr>
          <w:lang w:val="es-MX" w:eastAsia="en-US"/>
        </w:rPr>
        <w:t>L</w:t>
      </w:r>
      <w:r w:rsidR="00115B35" w:rsidRPr="00FE07FE">
        <w:rPr>
          <w:lang w:val="es-MX" w:eastAsia="en-US"/>
        </w:rPr>
        <w:t xml:space="preserve">ey </w:t>
      </w:r>
      <w:r w:rsidR="002D2FE4">
        <w:rPr>
          <w:lang w:val="es-MX" w:eastAsia="en-US"/>
        </w:rPr>
        <w:t xml:space="preserve">núm. </w:t>
      </w:r>
      <w:r w:rsidR="00115B35" w:rsidRPr="00FE07FE">
        <w:rPr>
          <w:lang w:val="es-MX" w:eastAsia="en-US"/>
        </w:rPr>
        <w:t xml:space="preserve">26522 de </w:t>
      </w:r>
      <w:r w:rsidR="00115B35" w:rsidRPr="00FE07FE">
        <w:rPr>
          <w:b/>
          <w:lang w:val="es-MX" w:eastAsia="en-US"/>
        </w:rPr>
        <w:t>Servicios de Comunicación Audiovisual</w:t>
      </w:r>
      <w:r w:rsidR="00115B35" w:rsidRPr="00FE07FE">
        <w:rPr>
          <w:lang w:val="es-MX" w:eastAsia="en-US"/>
        </w:rPr>
        <w:t xml:space="preserve"> (2009</w:t>
      </w:r>
      <w:r w:rsidR="00D67A98" w:rsidRPr="00FE07FE">
        <w:rPr>
          <w:lang w:val="es-MX" w:eastAsia="en-US"/>
        </w:rPr>
        <w:t>)</w:t>
      </w:r>
      <w:r w:rsidR="00D67A98">
        <w:rPr>
          <w:lang w:val="es-MX" w:eastAsia="en-US"/>
        </w:rPr>
        <w:t xml:space="preserve"> —</w:t>
      </w:r>
      <w:r w:rsidR="00115B35" w:rsidRPr="00FE07FE">
        <w:rPr>
          <w:lang w:val="es-MX" w:eastAsia="en-US"/>
        </w:rPr>
        <w:t>que contempla la CDN</w:t>
      </w:r>
      <w:r w:rsidR="00D67A98">
        <w:rPr>
          <w:lang w:val="es-MX" w:eastAsia="en-US"/>
        </w:rPr>
        <w:t>—</w:t>
      </w:r>
      <w:r w:rsidR="00115B35" w:rsidRPr="00FE07FE">
        <w:rPr>
          <w:lang w:val="es-MX" w:eastAsia="en-US"/>
        </w:rPr>
        <w:t xml:space="preserve"> establece en su artículo 68 la</w:t>
      </w:r>
      <w:r w:rsidR="00D5464A">
        <w:rPr>
          <w:lang w:val="es-MX" w:eastAsia="en-US"/>
        </w:rPr>
        <w:t xml:space="preserve"> </w:t>
      </w:r>
      <w:r w:rsidR="00115B35" w:rsidRPr="00FE07FE">
        <w:rPr>
          <w:lang w:val="es-MX" w:eastAsia="en-US"/>
        </w:rPr>
        <w:t>Protección de la niñez, los horarios de programación para la niñez y contenidos dedicados. Además, establece que los canales de TV abierta deben emitir 3 horas de programación dedicada a niños, niñas y adolescentes. El FOMECA</w:t>
      </w:r>
      <w:r w:rsidR="00115B35" w:rsidRPr="00FE07FE">
        <w:rPr>
          <w:rStyle w:val="Refdenotaalpie"/>
        </w:rPr>
        <w:footnoteReference w:id="22"/>
      </w:r>
      <w:r w:rsidR="00115B35" w:rsidRPr="00FE07FE">
        <w:rPr>
          <w:lang w:val="es-MX" w:eastAsia="en-US"/>
        </w:rPr>
        <w:t xml:space="preserve"> realiza los concursos para la producción de contenidos radiales y audiovisuales sumando </w:t>
      </w:r>
      <w:r w:rsidR="00115B35" w:rsidRPr="00FE07FE">
        <w:rPr>
          <w:b/>
          <w:i/>
          <w:lang w:val="es-MX" w:eastAsia="en-US"/>
        </w:rPr>
        <w:t>la participación de ellos reconociéndolos como sujetos con voz y palabra propia.</w:t>
      </w:r>
    </w:p>
    <w:p w:rsidR="00C21DAA" w:rsidRPr="00FE07FE" w:rsidRDefault="00FE07FE" w:rsidP="00500FFB">
      <w:pPr>
        <w:pStyle w:val="SingleTxtG"/>
        <w:rPr>
          <w:lang w:val="es-MX" w:eastAsia="en-US"/>
        </w:rPr>
      </w:pPr>
      <w:r w:rsidRPr="00500FFB">
        <w:rPr>
          <w:lang w:val="es-MX" w:eastAsia="en-US"/>
        </w:rPr>
        <w:t>138.</w:t>
      </w:r>
      <w:r w:rsidRPr="00500FFB">
        <w:rPr>
          <w:lang w:val="es-MX" w:eastAsia="en-US"/>
        </w:rPr>
        <w:tab/>
      </w:r>
      <w:r w:rsidR="00115B35" w:rsidRPr="00FE07FE">
        <w:rPr>
          <w:lang w:val="es-MX" w:eastAsia="en-US"/>
        </w:rPr>
        <w:t xml:space="preserve">La SENAF integra </w:t>
      </w:r>
      <w:r w:rsidR="00115B35" w:rsidRPr="00FE07FE">
        <w:rPr>
          <w:b/>
          <w:i/>
          <w:lang w:val="es-MX" w:eastAsia="en-US"/>
        </w:rPr>
        <w:t xml:space="preserve">el Consejo Asesor de la Comunicación Audiovisual y la Infancia (CONACAI) </w:t>
      </w:r>
      <w:r w:rsidR="00115B35" w:rsidRPr="00FE07FE">
        <w:rPr>
          <w:lang w:val="es-MX" w:eastAsia="en-US"/>
        </w:rPr>
        <w:t xml:space="preserve">desde su conformación en el 2011. Se elaboraron 14 Criterios de Calidad, la Guía Periodística para Informar con Responsabilidad sobre Niñez y Adolescencia; se realizaron reuniones con referentes del ámbito audiovisual y la elaboración de comunicados para alertar sobre situaciones críticas para los derechos de la niñez y la adolescencia asociadas a los medios de comunicación. También, integra </w:t>
      </w:r>
      <w:r w:rsidR="00115B35" w:rsidRPr="00FE07FE">
        <w:rPr>
          <w:b/>
          <w:lang w:val="es-MX" w:eastAsia="en-US"/>
        </w:rPr>
        <w:t xml:space="preserve">la Comisión Asesora de Exhibiciones Cinematográficas (CAEC). </w:t>
      </w:r>
      <w:r w:rsidR="00115B35" w:rsidRPr="00FE07FE">
        <w:rPr>
          <w:lang w:val="es-MX" w:eastAsia="en-US"/>
        </w:rPr>
        <w:t xml:space="preserve">Que cumple con la tarea de calificar obras cinematográficas que circularán por el país con el objetivo de advertir a las audiencias acerca de </w:t>
      </w:r>
      <w:r w:rsidR="00115B35" w:rsidRPr="00FE07FE">
        <w:rPr>
          <w:b/>
          <w:i/>
          <w:lang w:val="es-MX" w:eastAsia="en-US"/>
        </w:rPr>
        <w:t>contenidos que puedan resultar perjudiciales para la niñez y la adolescencia.</w:t>
      </w:r>
      <w:r w:rsidR="00115B35" w:rsidRPr="00FE07FE">
        <w:rPr>
          <w:lang w:val="es-MX" w:eastAsia="en-US"/>
        </w:rPr>
        <w:t xml:space="preserve"> </w:t>
      </w:r>
    </w:p>
    <w:p w:rsidR="00C21DAA" w:rsidRPr="00FE07FE" w:rsidRDefault="00FE07FE" w:rsidP="00500FFB">
      <w:pPr>
        <w:pStyle w:val="SingleTxtG"/>
        <w:rPr>
          <w:lang w:val="es-MX" w:eastAsia="en-US"/>
        </w:rPr>
      </w:pPr>
      <w:r w:rsidRPr="00500FFB">
        <w:rPr>
          <w:lang w:val="es-MX" w:eastAsia="en-US"/>
        </w:rPr>
        <w:t>139.</w:t>
      </w:r>
      <w:r w:rsidRPr="00500FFB">
        <w:rPr>
          <w:lang w:val="es-MX" w:eastAsia="en-US"/>
        </w:rPr>
        <w:tab/>
      </w:r>
      <w:r w:rsidR="00115B35" w:rsidRPr="00FE07FE">
        <w:rPr>
          <w:b/>
          <w:lang w:val="es-MX" w:eastAsia="en-US"/>
        </w:rPr>
        <w:t>La Defensoría del Público (</w:t>
      </w:r>
      <w:r w:rsidR="00F369EE">
        <w:rPr>
          <w:b/>
          <w:lang w:val="es-MX" w:eastAsia="en-US"/>
        </w:rPr>
        <w:t>L</w:t>
      </w:r>
      <w:r w:rsidR="00115B35" w:rsidRPr="00FE07FE">
        <w:rPr>
          <w:b/>
          <w:lang w:val="es-MX" w:eastAsia="en-US"/>
        </w:rPr>
        <w:t xml:space="preserve">ey </w:t>
      </w:r>
      <w:r w:rsidR="00F369EE">
        <w:rPr>
          <w:b/>
          <w:lang w:val="es-MX" w:eastAsia="en-US"/>
        </w:rPr>
        <w:t xml:space="preserve">núm. </w:t>
      </w:r>
      <w:r w:rsidR="00115B35" w:rsidRPr="00FE07FE">
        <w:rPr>
          <w:b/>
          <w:lang w:val="es-MX" w:eastAsia="en-US"/>
        </w:rPr>
        <w:t>26522)</w:t>
      </w:r>
      <w:r w:rsidR="00115B35" w:rsidRPr="00FE07FE">
        <w:rPr>
          <w:lang w:val="es-MX" w:eastAsia="en-US"/>
        </w:rPr>
        <w:t xml:space="preserve"> desarrolló </w:t>
      </w:r>
      <w:r w:rsidR="00115B35" w:rsidRPr="00FE07FE">
        <w:rPr>
          <w:b/>
          <w:i/>
          <w:lang w:val="es-MX" w:eastAsia="en-US"/>
        </w:rPr>
        <w:t>un Protocolo especial</w:t>
      </w:r>
      <w:r w:rsidR="00115B35" w:rsidRPr="00FE07FE">
        <w:rPr>
          <w:lang w:val="es-MX" w:eastAsia="en-US"/>
        </w:rPr>
        <w:t xml:space="preserve"> junto a UNICEF para que los propios niños puedan presentar sus reclamos sin mediación de los adultos. Desde el 2012 a febrero de 2016 fueron presentadas 23 denuncias por niñas y niños y en 2014 se convocó a niños para que conozcan sus aportes.</w:t>
      </w:r>
    </w:p>
    <w:p w:rsidR="00C21DAA" w:rsidRPr="00FE07FE" w:rsidRDefault="00FE07FE" w:rsidP="00500FFB">
      <w:pPr>
        <w:pStyle w:val="SingleTxtG"/>
        <w:rPr>
          <w:lang w:val="es-MX" w:eastAsia="en-US"/>
        </w:rPr>
      </w:pPr>
      <w:r w:rsidRPr="00500FFB">
        <w:rPr>
          <w:lang w:val="es-MX" w:eastAsia="en-US"/>
        </w:rPr>
        <w:t>140.</w:t>
      </w:r>
      <w:r w:rsidRPr="00500FFB">
        <w:rPr>
          <w:lang w:val="es-MX" w:eastAsia="en-US"/>
        </w:rPr>
        <w:tab/>
      </w:r>
      <w:r w:rsidR="00115B35" w:rsidRPr="00FE07FE">
        <w:rPr>
          <w:lang w:val="es-MX" w:eastAsia="en-US"/>
        </w:rPr>
        <w:t xml:space="preserve">El Observatorio de la Discriminación en Radio y Televisión (ODRT) se encarga de relevar las </w:t>
      </w:r>
      <w:r w:rsidR="00115B35" w:rsidRPr="00FE07FE">
        <w:rPr>
          <w:b/>
          <w:lang w:val="es-MX" w:eastAsia="en-US"/>
        </w:rPr>
        <w:t>prácticas y discursos discriminatorios en la TV y radio</w:t>
      </w:r>
      <w:r w:rsidR="00115B35" w:rsidRPr="00FE07FE">
        <w:rPr>
          <w:lang w:val="es-MX" w:eastAsia="en-US"/>
        </w:rPr>
        <w:t xml:space="preserve">. En 2015 llevó a cabo un monitoreo: se encontraron 191 registros discriminatorios, 7 tuvieron que ver con cuestiones de </w:t>
      </w:r>
      <w:r w:rsidR="00115B35" w:rsidRPr="00FE07FE">
        <w:rPr>
          <w:b/>
          <w:lang w:val="es-MX" w:eastAsia="en-US"/>
        </w:rPr>
        <w:t>discriminación hacia la niñez</w:t>
      </w:r>
      <w:r w:rsidR="00115B35" w:rsidRPr="00FE07FE">
        <w:rPr>
          <w:lang w:val="es-MX" w:eastAsia="en-US"/>
        </w:rPr>
        <w:t xml:space="preserve">. En 2014 se realizaron monitoreos en distintas provincias y en 2015 realizó un Informe Anual sobre los Reclamos recibidos. Durante 2013 y 2014 se dictaron capacitaciones sobre la normativa vigente del tratamiento de la publicidad en radio y TV en el Instituto Superior de Publicidad como en Universidades Nacionales de distintas partes del país. En 2013 se realizaron </w:t>
      </w:r>
      <w:r w:rsidR="00115B35" w:rsidRPr="00FE07FE">
        <w:rPr>
          <w:b/>
          <w:i/>
          <w:lang w:val="es-MX" w:eastAsia="en-US"/>
        </w:rPr>
        <w:t>guías didácticas</w:t>
      </w:r>
      <w:r w:rsidR="00115B35" w:rsidRPr="00FE07FE">
        <w:rPr>
          <w:lang w:val="es-MX" w:eastAsia="en-US"/>
        </w:rPr>
        <w:t xml:space="preserve"> sobre “Estereotipos sociales y derechos de los niños, niñas y adolescentes en los medios de comunicación” (ODRT), “Estudios de casos sobre tratamiento del Bullying en ficciones de la televisión abierta emitidas en 2013” y una guía para facilitar a docentes el abordaje de las temáticas de juventud, género, racismo y xenofobia así como los</w:t>
      </w:r>
      <w:r w:rsidR="0080667C">
        <w:rPr>
          <w:lang w:val="es-MX" w:eastAsia="en-US"/>
        </w:rPr>
        <w:t> </w:t>
      </w:r>
      <w:r w:rsidR="00115B35" w:rsidRPr="00FE07FE">
        <w:rPr>
          <w:lang w:val="es-MX" w:eastAsia="en-US"/>
        </w:rPr>
        <w:t xml:space="preserve">derechos de niños, niñas y adolescentes en radio y TV; y se creó el sitio web “Enredados </w:t>
      </w:r>
      <w:r w:rsidR="00D67A98">
        <w:rPr>
          <w:lang w:val="es-MX" w:eastAsia="en-US"/>
        </w:rPr>
        <w:t>–</w:t>
      </w:r>
      <w:r w:rsidR="00D67A98" w:rsidRPr="00FE07FE">
        <w:rPr>
          <w:lang w:val="es-MX" w:eastAsia="en-US"/>
        </w:rPr>
        <w:t xml:space="preserve"> </w:t>
      </w:r>
      <w:r w:rsidR="00115B35" w:rsidRPr="00FE07FE">
        <w:rPr>
          <w:lang w:val="es-MX" w:eastAsia="en-US"/>
        </w:rPr>
        <w:t>Red por una comunicación Democrática de la Niñez y Adolescencia” (</w:t>
      </w:r>
      <w:hyperlink r:id="rId10" w:history="1">
        <w:r w:rsidR="00115B35" w:rsidRPr="00FE07FE">
          <w:rPr>
            <w:lang w:val="es-MX" w:eastAsia="en-US"/>
          </w:rPr>
          <w:t>www.enredados.org.ar</w:t>
        </w:r>
      </w:hyperlink>
      <w:r w:rsidR="00115B35" w:rsidRPr="00FE07FE">
        <w:rPr>
          <w:lang w:val="es-MX" w:eastAsia="en-US"/>
        </w:rPr>
        <w:t xml:space="preserve">). </w:t>
      </w:r>
    </w:p>
    <w:p w:rsidR="00C21DAA" w:rsidRPr="00FE07FE" w:rsidRDefault="00FE07FE" w:rsidP="00500FFB">
      <w:pPr>
        <w:pStyle w:val="SingleTxtG"/>
        <w:rPr>
          <w:lang w:val="es-MX" w:eastAsia="en-US"/>
        </w:rPr>
      </w:pPr>
      <w:r w:rsidRPr="00500FFB">
        <w:rPr>
          <w:lang w:val="es-MX" w:eastAsia="en-US"/>
        </w:rPr>
        <w:t>141.</w:t>
      </w:r>
      <w:r w:rsidRPr="00500FFB">
        <w:rPr>
          <w:lang w:val="es-MX" w:eastAsia="en-US"/>
        </w:rPr>
        <w:tab/>
      </w:r>
      <w:r w:rsidR="00115B35" w:rsidRPr="00FE07FE">
        <w:rPr>
          <w:lang w:val="es-MX" w:eastAsia="en-US"/>
        </w:rPr>
        <w:t xml:space="preserve">El canal educativo y público PAKAPAKA, creado por el MED en 2010, desarrolló </w:t>
      </w:r>
      <w:r w:rsidR="00115B35" w:rsidRPr="00FE07FE">
        <w:rPr>
          <w:i/>
          <w:lang w:val="es-MX" w:eastAsia="en-US"/>
        </w:rPr>
        <w:t>contenidos culturales y educativos de calidad</w:t>
      </w:r>
      <w:r w:rsidR="00115B35" w:rsidRPr="00FE07FE">
        <w:rPr>
          <w:lang w:val="es-MX" w:eastAsia="en-US"/>
        </w:rPr>
        <w:t xml:space="preserve"> destinados a niños de 2 a 12 años, con contenidos para las franjas etarias: de 2 a 4 años, de 5 a 9 años y de 10 a 12 años además de permitir la </w:t>
      </w:r>
      <w:r w:rsidR="00115B35" w:rsidRPr="00FE07FE">
        <w:rPr>
          <w:b/>
          <w:i/>
          <w:lang w:val="es-MX" w:eastAsia="en-US"/>
        </w:rPr>
        <w:t>participación activa de niñas y niños</w:t>
      </w:r>
      <w:r w:rsidR="00115B35" w:rsidRPr="00FE07FE">
        <w:rPr>
          <w:lang w:val="es-MX" w:eastAsia="en-US"/>
        </w:rPr>
        <w:t xml:space="preserve"> a través de sus </w:t>
      </w:r>
      <w:r w:rsidR="00115B35" w:rsidRPr="00FE07FE">
        <w:rPr>
          <w:b/>
          <w:i/>
          <w:lang w:val="es-MX" w:eastAsia="en-US"/>
        </w:rPr>
        <w:t>propias producciones</w:t>
      </w:r>
      <w:r w:rsidR="00115B35" w:rsidRPr="00FE07FE">
        <w:rPr>
          <w:lang w:val="es-MX" w:eastAsia="en-US"/>
        </w:rPr>
        <w:t xml:space="preserve">. </w:t>
      </w:r>
    </w:p>
    <w:p w:rsidR="00C21DAA" w:rsidRPr="00FE07FE" w:rsidRDefault="00FE07FE" w:rsidP="00500FFB">
      <w:pPr>
        <w:pStyle w:val="SingleTxtG"/>
        <w:rPr>
          <w:lang w:val="es-MX" w:eastAsia="en-US"/>
        </w:rPr>
      </w:pPr>
      <w:r w:rsidRPr="00500FFB">
        <w:rPr>
          <w:lang w:val="es-MX" w:eastAsia="en-US"/>
        </w:rPr>
        <w:t>142.</w:t>
      </w:r>
      <w:r w:rsidRPr="00500FFB">
        <w:rPr>
          <w:lang w:val="es-MX" w:eastAsia="en-US"/>
        </w:rPr>
        <w:tab/>
      </w:r>
      <w:r w:rsidR="00115B35" w:rsidRPr="00FE07FE">
        <w:rPr>
          <w:lang w:val="es-MX" w:eastAsia="en-US"/>
        </w:rPr>
        <w:t>La SENAF por su parte participó en la elaboración de dos códigos; “Los chicos, las chicas y sus derechos en la comunicación”, realizado en colaboración con UNICEF y el Gobierno de la Provincia de Salta y “Guía periodística para informar con responsabilidad sobre niñez y adolescencia”, realizado en el marco del CONACAI.</w:t>
      </w:r>
    </w:p>
    <w:p w:rsidR="00C21DAA" w:rsidRPr="00FE07FE" w:rsidRDefault="00115B35">
      <w:pPr>
        <w:pStyle w:val="H1G"/>
        <w:rPr>
          <w:lang w:eastAsia="en-US"/>
        </w:rPr>
      </w:pPr>
      <w:r w:rsidRPr="00FE07FE">
        <w:rPr>
          <w:lang w:eastAsia="en-US"/>
        </w:rPr>
        <w:lastRenderedPageBreak/>
        <w:tab/>
        <w:t>D.</w:t>
      </w:r>
      <w:r w:rsidRPr="00FE07FE">
        <w:rPr>
          <w:lang w:eastAsia="en-US"/>
        </w:rPr>
        <w:tab/>
        <w:t>Entorno familiar y otros tipos de tutela (arts.</w:t>
      </w:r>
      <w:r w:rsidR="00C2305A">
        <w:rPr>
          <w:lang w:eastAsia="en-US"/>
        </w:rPr>
        <w:t xml:space="preserve"> </w:t>
      </w:r>
      <w:r w:rsidRPr="00FE07FE">
        <w:rPr>
          <w:lang w:eastAsia="en-US"/>
        </w:rPr>
        <w:t>5, 18 (párrafos 1 y 2),</w:t>
      </w:r>
      <w:r w:rsidRPr="00FE07FE">
        <w:rPr>
          <w:lang w:eastAsia="en-US"/>
        </w:rPr>
        <w:br/>
        <w:t xml:space="preserve">9 a 11, </w:t>
      </w:r>
      <w:smartTag w:uri="urn:schemas-microsoft-com:office:smarttags" w:element="metricconverter">
        <w:smartTagPr>
          <w:attr w:name="ProductID" w:val="19 a"/>
        </w:smartTagPr>
        <w:r w:rsidRPr="00FE07FE">
          <w:rPr>
            <w:lang w:eastAsia="en-US"/>
          </w:rPr>
          <w:t>19 a</w:t>
        </w:r>
      </w:smartTag>
      <w:r w:rsidRPr="00FE07FE">
        <w:rPr>
          <w:lang w:eastAsia="en-US"/>
        </w:rPr>
        <w:t xml:space="preserve"> 21, 25, 27 (párrafo 4) y 39 de la Convención)</w:t>
      </w:r>
    </w:p>
    <w:p w:rsidR="00C21DAA" w:rsidRPr="00FE07FE" w:rsidRDefault="00115B35">
      <w:pPr>
        <w:pStyle w:val="H23G"/>
        <w:rPr>
          <w:lang w:eastAsia="en-US"/>
        </w:rPr>
      </w:pPr>
      <w:r w:rsidRPr="00FE07FE">
        <w:rPr>
          <w:lang w:eastAsia="en-US"/>
        </w:rPr>
        <w:tab/>
      </w:r>
      <w:r w:rsidRPr="00FE07FE">
        <w:rPr>
          <w:lang w:eastAsia="en-US"/>
        </w:rPr>
        <w:tab/>
        <w:t>Entorno familiar</w:t>
      </w:r>
    </w:p>
    <w:p w:rsidR="00C21DAA" w:rsidRPr="00FE07FE" w:rsidRDefault="00115B35">
      <w:pPr>
        <w:pStyle w:val="H4G"/>
        <w:rPr>
          <w:lang w:eastAsia="en-US"/>
        </w:rPr>
      </w:pPr>
      <w:r w:rsidRPr="00FE07FE">
        <w:rPr>
          <w:lang w:eastAsia="en-US"/>
        </w:rPr>
        <w:tab/>
      </w:r>
      <w:r w:rsidRPr="00FE07FE">
        <w:rPr>
          <w:lang w:eastAsia="en-US"/>
        </w:rPr>
        <w:tab/>
        <w:t>Párrafo 51</w:t>
      </w:r>
    </w:p>
    <w:p w:rsidR="00C21DAA" w:rsidRPr="00FE07FE" w:rsidRDefault="00FE07FE" w:rsidP="00500FFB">
      <w:pPr>
        <w:pStyle w:val="SingleTxtG"/>
        <w:rPr>
          <w:lang w:val="es-MX" w:eastAsia="en-US"/>
        </w:rPr>
      </w:pPr>
      <w:r w:rsidRPr="00500FFB">
        <w:rPr>
          <w:lang w:val="es-MX" w:eastAsia="en-US"/>
        </w:rPr>
        <w:t>143.</w:t>
      </w:r>
      <w:r w:rsidRPr="00500FFB">
        <w:rPr>
          <w:lang w:val="es-MX" w:eastAsia="en-US"/>
        </w:rPr>
        <w:tab/>
      </w:r>
      <w:r w:rsidR="00115B35" w:rsidRPr="00FE07FE">
        <w:rPr>
          <w:lang w:val="es-MX" w:eastAsia="en-US"/>
        </w:rPr>
        <w:t xml:space="preserve">El sistema de protección establece que quién toma medidas de protección integral de derechos es el </w:t>
      </w:r>
      <w:r w:rsidR="00115B35" w:rsidRPr="00FE07FE">
        <w:rPr>
          <w:b/>
          <w:lang w:val="es-MX" w:eastAsia="en-US"/>
        </w:rPr>
        <w:t xml:space="preserve">órgano administrativo competente local </w:t>
      </w:r>
      <w:r w:rsidR="00115B35" w:rsidRPr="00FE07FE">
        <w:rPr>
          <w:lang w:val="es-MX" w:eastAsia="en-US"/>
        </w:rPr>
        <w:t xml:space="preserve">ante la amenaza o efectiva vulneración de derechos o garantías de uno o varios niños individualmente considerados, con el fin de restituir derechos. Para las amenazas o violación de derechos que sean consecuencia de necesidades básicas insatisfechas, se adoptaron las medidas de inversión social en infancia mencionados en el </w:t>
      </w:r>
      <w:r w:rsidR="00115B35" w:rsidRPr="00FE07FE">
        <w:rPr>
          <w:b/>
          <w:lang w:val="es-MX" w:eastAsia="en-US"/>
        </w:rPr>
        <w:t>párrafo 22</w:t>
      </w:r>
      <w:r w:rsidR="00115B35" w:rsidRPr="00FE07FE">
        <w:rPr>
          <w:lang w:val="es-MX" w:eastAsia="en-US"/>
        </w:rPr>
        <w:t>. La Línea de Fortalecimiento Familiar y Comunitario del sistema agrupan las acciones dependientes de los órganos provinciales de niñez orientadas a afianzar el rol de la familia, la comunidad y las organizaciones. Según la publicación del SIIPPNAF</w:t>
      </w:r>
      <w:r w:rsidR="00115B35" w:rsidRPr="00FE07FE">
        <w:rPr>
          <w:rStyle w:val="Refdenotaalpie"/>
        </w:rPr>
        <w:footnoteReference w:id="23"/>
      </w:r>
      <w:r w:rsidR="00115B35" w:rsidRPr="00FE07FE">
        <w:rPr>
          <w:lang w:val="es-MX" w:eastAsia="en-US"/>
        </w:rPr>
        <w:t>, se encontraban registrados 1.451 dispositivos dependientes de los órganos provinciales de niñez en todo el país</w:t>
      </w:r>
      <w:r w:rsidR="005C512D">
        <w:rPr>
          <w:lang w:val="es-MX" w:eastAsia="en-US"/>
        </w:rPr>
        <w:t>.</w:t>
      </w:r>
    </w:p>
    <w:tbl>
      <w:tblPr>
        <w:tblW w:w="8505" w:type="dxa"/>
        <w:tblInd w:w="1134" w:type="dxa"/>
        <w:tblBorders>
          <w:top w:val="single" w:sz="4" w:space="0" w:color="auto"/>
        </w:tblBorders>
        <w:tblLayout w:type="fixed"/>
        <w:tblCellMar>
          <w:left w:w="0" w:type="dxa"/>
          <w:right w:w="0" w:type="dxa"/>
        </w:tblCellMar>
        <w:tblLook w:val="04A0" w:firstRow="1" w:lastRow="0" w:firstColumn="1" w:lastColumn="0" w:noHBand="0" w:noVBand="1"/>
      </w:tblPr>
      <w:tblGrid>
        <w:gridCol w:w="1224"/>
        <w:gridCol w:w="431"/>
        <w:gridCol w:w="558"/>
        <w:gridCol w:w="931"/>
        <w:gridCol w:w="566"/>
        <w:gridCol w:w="634"/>
        <w:gridCol w:w="975"/>
        <w:gridCol w:w="1036"/>
        <w:gridCol w:w="868"/>
        <w:gridCol w:w="574"/>
        <w:gridCol w:w="708"/>
      </w:tblGrid>
      <w:tr w:rsidR="00C2305A" w:rsidRPr="00F369EE" w:rsidTr="00500FFB">
        <w:trPr>
          <w:trHeight w:val="240"/>
          <w:tblHeader/>
        </w:trPr>
        <w:tc>
          <w:tcPr>
            <w:tcW w:w="1224" w:type="dxa"/>
            <w:tcBorders>
              <w:top w:val="single" w:sz="4" w:space="0" w:color="auto"/>
              <w:bottom w:val="single" w:sz="12" w:space="0" w:color="auto"/>
            </w:tcBorders>
            <w:shd w:val="clear" w:color="auto" w:fill="auto"/>
            <w:vAlign w:val="bottom"/>
            <w:hideMark/>
          </w:tcPr>
          <w:p w:rsidR="00C21DAA" w:rsidRPr="00F369EE" w:rsidRDefault="00115B35">
            <w:pPr>
              <w:spacing w:before="80" w:after="80" w:line="200" w:lineRule="exact"/>
              <w:rPr>
                <w:i/>
                <w:sz w:val="16"/>
                <w:lang w:val="es-AR" w:eastAsia="es-AR"/>
              </w:rPr>
            </w:pPr>
            <w:r w:rsidRPr="00F369EE">
              <w:rPr>
                <w:i/>
                <w:sz w:val="16"/>
                <w:lang w:val="es-AR" w:eastAsia="es-AR"/>
              </w:rPr>
              <w:t>Jurisdicción</w:t>
            </w:r>
          </w:p>
        </w:tc>
        <w:tc>
          <w:tcPr>
            <w:tcW w:w="431"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CDI</w:t>
            </w:r>
          </w:p>
        </w:tc>
        <w:tc>
          <w:tcPr>
            <w:tcW w:w="558"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CDIyF</w:t>
            </w:r>
          </w:p>
        </w:tc>
        <w:tc>
          <w:tcPr>
            <w:tcW w:w="931"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Centro Socio Comunitario</w:t>
            </w:r>
          </w:p>
        </w:tc>
        <w:tc>
          <w:tcPr>
            <w:tcW w:w="566"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Centro de día</w:t>
            </w:r>
          </w:p>
        </w:tc>
        <w:tc>
          <w:tcPr>
            <w:tcW w:w="634"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Espacio Integral de NNA</w:t>
            </w:r>
          </w:p>
        </w:tc>
        <w:tc>
          <w:tcPr>
            <w:tcW w:w="975"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Programa de</w:t>
            </w:r>
            <w:r w:rsidR="00C2305A">
              <w:rPr>
                <w:i/>
                <w:sz w:val="16"/>
                <w:lang w:val="es-AR" w:eastAsia="es-AR"/>
              </w:rPr>
              <w:t xml:space="preserve"> </w:t>
            </w:r>
            <w:r w:rsidRPr="00F369EE">
              <w:rPr>
                <w:i/>
                <w:sz w:val="16"/>
                <w:lang w:val="es-AR" w:eastAsia="es-AR"/>
              </w:rPr>
              <w:t>Promoción</w:t>
            </w:r>
          </w:p>
        </w:tc>
        <w:tc>
          <w:tcPr>
            <w:tcW w:w="1036"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Programa de Protección</w:t>
            </w:r>
          </w:p>
        </w:tc>
        <w:tc>
          <w:tcPr>
            <w:tcW w:w="868"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Residencia Estudiantil</w:t>
            </w:r>
          </w:p>
        </w:tc>
        <w:tc>
          <w:tcPr>
            <w:tcW w:w="574"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Otros</w:t>
            </w:r>
          </w:p>
        </w:tc>
        <w:tc>
          <w:tcPr>
            <w:tcW w:w="708"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Total</w:t>
            </w:r>
          </w:p>
        </w:tc>
      </w:tr>
      <w:tr w:rsidR="00C2305A" w:rsidRPr="00F369EE" w:rsidTr="00500FFB">
        <w:trPr>
          <w:trHeight w:val="240"/>
        </w:trPr>
        <w:tc>
          <w:tcPr>
            <w:tcW w:w="1224" w:type="dxa"/>
            <w:tcBorders>
              <w:top w:val="single" w:sz="12" w:space="0" w:color="auto"/>
            </w:tcBorders>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Buenos Aires</w:t>
            </w:r>
          </w:p>
        </w:tc>
        <w:tc>
          <w:tcPr>
            <w:tcW w:w="431" w:type="dxa"/>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8"/>
                <w:lang w:val="es-AR" w:eastAsia="es-AR"/>
              </w:rPr>
            </w:pPr>
            <w:r w:rsidRPr="00500FFB">
              <w:rPr>
                <w:bCs/>
                <w:sz w:val="18"/>
                <w:lang w:val="es-AR" w:eastAsia="es-AR"/>
              </w:rPr>
              <w:t>-</w:t>
            </w:r>
          </w:p>
        </w:tc>
        <w:tc>
          <w:tcPr>
            <w:tcW w:w="558"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230</w:t>
            </w:r>
          </w:p>
        </w:tc>
        <w:tc>
          <w:tcPr>
            <w:tcW w:w="634"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1036"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868"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235</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Catamarca</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7</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11</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Chaco</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45</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10</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57</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Chubut</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10</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CABA</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74</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7</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19</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114</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 xml:space="preserve">Córdoba </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279</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39</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165</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487</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Entre Ríos</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53</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24</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15</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108</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Formosa</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11</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16</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32</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Jujuy</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10</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28</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La Pampa</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16</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21</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La Rioja</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6</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Mendoza</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40</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44</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Misiones</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8</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11</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Neuquén</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22</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14</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39</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Río Negro</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12</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16</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Salta</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32</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35</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San Juan</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17</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13</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38</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Santa Cruz</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3</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Santa Fe</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7</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18</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84</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113</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Santiago del Estero</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14</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Tierra del Fuego</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8</w:t>
            </w:r>
          </w:p>
        </w:tc>
      </w:tr>
      <w:tr w:rsidR="00C2305A" w:rsidRPr="00F369EE" w:rsidTr="00500FFB">
        <w:trPr>
          <w:trHeight w:val="240"/>
        </w:trPr>
        <w:tc>
          <w:tcPr>
            <w:tcW w:w="1224"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Tucumán</w:t>
            </w:r>
          </w:p>
        </w:tc>
        <w:tc>
          <w:tcPr>
            <w:tcW w:w="4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12</w:t>
            </w:r>
          </w:p>
        </w:tc>
        <w:tc>
          <w:tcPr>
            <w:tcW w:w="55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1036"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868"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16</w:t>
            </w:r>
          </w:p>
        </w:tc>
      </w:tr>
      <w:tr w:rsidR="00C2305A" w:rsidRPr="00F369EE" w:rsidTr="00500FFB">
        <w:trPr>
          <w:trHeight w:val="240"/>
        </w:trPr>
        <w:tc>
          <w:tcPr>
            <w:tcW w:w="1224" w:type="dxa"/>
            <w:tcBorders>
              <w:bottom w:val="single" w:sz="4" w:space="0" w:color="auto"/>
            </w:tcBorders>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SENAF</w:t>
            </w:r>
          </w:p>
        </w:tc>
        <w:tc>
          <w:tcPr>
            <w:tcW w:w="431"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p>
        </w:tc>
        <w:tc>
          <w:tcPr>
            <w:tcW w:w="558"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31"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66"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634"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975"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036"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868"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574"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708" w:type="dxa"/>
            <w:tcBorders>
              <w:bottom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5</w:t>
            </w:r>
          </w:p>
        </w:tc>
      </w:tr>
      <w:tr w:rsidR="00C2305A" w:rsidRPr="00F369EE" w:rsidTr="00500FFB">
        <w:trPr>
          <w:trHeight w:val="240"/>
        </w:trPr>
        <w:tc>
          <w:tcPr>
            <w:tcW w:w="1224" w:type="dxa"/>
            <w:tcBorders>
              <w:top w:val="single" w:sz="4" w:space="0" w:color="auto"/>
              <w:bottom w:val="single" w:sz="12" w:space="0" w:color="auto"/>
            </w:tcBorders>
            <w:shd w:val="clear" w:color="auto" w:fill="auto"/>
            <w:noWrap/>
            <w:hideMark/>
          </w:tcPr>
          <w:p w:rsidR="00C21DAA" w:rsidRPr="00F369EE" w:rsidRDefault="00115B35" w:rsidP="00500FFB">
            <w:pPr>
              <w:spacing w:before="80" w:after="80" w:line="220" w:lineRule="exact"/>
              <w:ind w:left="284"/>
              <w:rPr>
                <w:b/>
                <w:sz w:val="18"/>
                <w:lang w:val="es-AR" w:eastAsia="es-AR"/>
              </w:rPr>
            </w:pPr>
            <w:r w:rsidRPr="00F369EE">
              <w:rPr>
                <w:b/>
                <w:sz w:val="18"/>
                <w:lang w:val="es-AR" w:eastAsia="es-AR"/>
              </w:rPr>
              <w:t>T</w:t>
            </w:r>
            <w:r w:rsidR="00F369EE" w:rsidRPr="00500FFB">
              <w:rPr>
                <w:b/>
                <w:sz w:val="18"/>
                <w:lang w:val="es-AR" w:eastAsia="es-AR"/>
              </w:rPr>
              <w:t>otal</w:t>
            </w:r>
          </w:p>
        </w:tc>
        <w:tc>
          <w:tcPr>
            <w:tcW w:w="431"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541</w:t>
            </w:r>
          </w:p>
        </w:tc>
        <w:tc>
          <w:tcPr>
            <w:tcW w:w="558"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213</w:t>
            </w:r>
          </w:p>
        </w:tc>
        <w:tc>
          <w:tcPr>
            <w:tcW w:w="931"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62</w:t>
            </w:r>
          </w:p>
        </w:tc>
        <w:tc>
          <w:tcPr>
            <w:tcW w:w="566"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321</w:t>
            </w:r>
          </w:p>
        </w:tc>
        <w:tc>
          <w:tcPr>
            <w:tcW w:w="634"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189</w:t>
            </w:r>
          </w:p>
        </w:tc>
        <w:tc>
          <w:tcPr>
            <w:tcW w:w="975"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38</w:t>
            </w:r>
          </w:p>
        </w:tc>
        <w:tc>
          <w:tcPr>
            <w:tcW w:w="1036"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55</w:t>
            </w:r>
          </w:p>
        </w:tc>
        <w:tc>
          <w:tcPr>
            <w:tcW w:w="868"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15</w:t>
            </w:r>
          </w:p>
        </w:tc>
        <w:tc>
          <w:tcPr>
            <w:tcW w:w="574"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17</w:t>
            </w:r>
          </w:p>
        </w:tc>
        <w:tc>
          <w:tcPr>
            <w:tcW w:w="708"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1</w:t>
            </w:r>
            <w:r w:rsidR="00F369EE">
              <w:rPr>
                <w:b/>
                <w:sz w:val="18"/>
                <w:lang w:val="es-AR" w:eastAsia="es-AR"/>
              </w:rPr>
              <w:t xml:space="preserve"> </w:t>
            </w:r>
            <w:r w:rsidRPr="00F369EE">
              <w:rPr>
                <w:b/>
                <w:sz w:val="18"/>
                <w:lang w:val="es-AR" w:eastAsia="es-AR"/>
              </w:rPr>
              <w:t>451</w:t>
            </w:r>
          </w:p>
        </w:tc>
      </w:tr>
    </w:tbl>
    <w:p w:rsidR="00C21DAA" w:rsidRPr="00FE07FE" w:rsidRDefault="00FE07FE" w:rsidP="00500FFB">
      <w:pPr>
        <w:pStyle w:val="SingleTxtG"/>
        <w:spacing w:before="240"/>
        <w:rPr>
          <w:lang w:val="es-MX" w:eastAsia="en-US"/>
        </w:rPr>
      </w:pPr>
      <w:r w:rsidRPr="00500FFB">
        <w:rPr>
          <w:lang w:val="es-MX" w:eastAsia="en-US"/>
        </w:rPr>
        <w:t>144.</w:t>
      </w:r>
      <w:r w:rsidRPr="00500FFB">
        <w:rPr>
          <w:lang w:val="es-MX" w:eastAsia="en-US"/>
        </w:rPr>
        <w:tab/>
      </w:r>
      <w:r w:rsidR="00115B35" w:rsidRPr="00FE07FE">
        <w:rPr>
          <w:lang w:val="es-MX" w:eastAsia="en-US"/>
        </w:rPr>
        <w:t xml:space="preserve">Del cuadro se desprende que gran parte de los dispositivos se concentran en los centros urbanos y cada jurisdicción tiene dispositivos de acuerdo a su cantidad de población. El 37% de los dispositivos son CDI y el 14,7% Centro de Desarrollo Infantil y Familiar. El 22% son centros de día, que funcionan como espacios de protecciones </w:t>
      </w:r>
      <w:r w:rsidR="00115B35" w:rsidRPr="00FE07FE">
        <w:rPr>
          <w:lang w:val="es-MX" w:eastAsia="en-US"/>
        </w:rPr>
        <w:lastRenderedPageBreak/>
        <w:t xml:space="preserve">integrales para aquellos niños con derechos vulnerados; el 13% son espacios integrales de desarrollo para niños que son complementarios a la vida familiar y escolar. Los programas de promoción y prevención de la vulneración de derechos (3%) y los programas de protección de derechos (4%) son dispositivos implementados por casi todos los órganos provinciales de niñez como así también los centros socio-comunitarios y las residencias estudiantiles que alojan a niños que viven alejados de las unidades escolares. </w:t>
      </w:r>
    </w:p>
    <w:p w:rsidR="00C21DAA" w:rsidRPr="00FE07FE" w:rsidRDefault="00FE07FE" w:rsidP="00500FFB">
      <w:pPr>
        <w:pStyle w:val="SingleTxtG"/>
        <w:rPr>
          <w:lang w:val="es-MX" w:eastAsia="en-US"/>
        </w:rPr>
      </w:pPr>
      <w:r w:rsidRPr="00500FFB">
        <w:rPr>
          <w:lang w:val="es-MX" w:eastAsia="en-US"/>
        </w:rPr>
        <w:t>145.</w:t>
      </w:r>
      <w:r w:rsidRPr="00500FFB">
        <w:rPr>
          <w:lang w:val="es-MX" w:eastAsia="en-US"/>
        </w:rPr>
        <w:tab/>
      </w:r>
      <w:r w:rsidR="00115B35" w:rsidRPr="00FE07FE">
        <w:rPr>
          <w:lang w:val="es-MX" w:eastAsia="en-US"/>
        </w:rPr>
        <w:t xml:space="preserve">De los 1.451, el SIIPNAF informa que 1.014 dispositivos se implementaron a partir de la firma de convenios con distintas organizaciones gubernamentales y comunitarias y los beneficiarios de los dispositivos fueron: </w:t>
      </w:r>
    </w:p>
    <w:tbl>
      <w:tblPr>
        <w:tblW w:w="7932" w:type="dxa"/>
        <w:tblInd w:w="1134" w:type="dxa"/>
        <w:tblBorders>
          <w:top w:val="single" w:sz="4" w:space="0" w:color="auto"/>
        </w:tblBorders>
        <w:tblCellMar>
          <w:left w:w="0" w:type="dxa"/>
          <w:right w:w="0" w:type="dxa"/>
        </w:tblCellMar>
        <w:tblLook w:val="04A0" w:firstRow="1" w:lastRow="0" w:firstColumn="1" w:lastColumn="0" w:noHBand="0" w:noVBand="1"/>
      </w:tblPr>
      <w:tblGrid>
        <w:gridCol w:w="1771"/>
        <w:gridCol w:w="1380"/>
        <w:gridCol w:w="1740"/>
        <w:gridCol w:w="1900"/>
        <w:gridCol w:w="1221"/>
      </w:tblGrid>
      <w:tr w:rsidR="00F369EE" w:rsidRPr="00F369EE" w:rsidTr="00500FFB">
        <w:trPr>
          <w:trHeight w:val="240"/>
          <w:tblHeader/>
        </w:trPr>
        <w:tc>
          <w:tcPr>
            <w:tcW w:w="1755" w:type="dxa"/>
            <w:tcBorders>
              <w:top w:val="single" w:sz="4" w:space="0" w:color="auto"/>
              <w:bottom w:val="single" w:sz="12" w:space="0" w:color="auto"/>
            </w:tcBorders>
            <w:shd w:val="clear" w:color="auto" w:fill="auto"/>
            <w:vAlign w:val="bottom"/>
            <w:hideMark/>
          </w:tcPr>
          <w:p w:rsidR="00C21DAA" w:rsidRPr="00F369EE" w:rsidRDefault="00115B35">
            <w:pPr>
              <w:spacing w:before="80" w:after="80" w:line="200" w:lineRule="exact"/>
              <w:rPr>
                <w:i/>
                <w:sz w:val="16"/>
                <w:lang w:val="es-AR" w:eastAsia="es-AR"/>
              </w:rPr>
            </w:pPr>
            <w:r w:rsidRPr="00F369EE">
              <w:rPr>
                <w:i/>
                <w:sz w:val="16"/>
                <w:lang w:val="es-AR" w:eastAsia="es-AR"/>
              </w:rPr>
              <w:t>Jurisdicción</w:t>
            </w:r>
          </w:p>
        </w:tc>
        <w:tc>
          <w:tcPr>
            <w:tcW w:w="1364"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Total</w:t>
            </w:r>
          </w:p>
        </w:tc>
        <w:tc>
          <w:tcPr>
            <w:tcW w:w="1724"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Personas de 0 a 17 años</w:t>
            </w:r>
          </w:p>
        </w:tc>
        <w:tc>
          <w:tcPr>
            <w:tcW w:w="1884"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Personas de 18 años y más</w:t>
            </w:r>
          </w:p>
        </w:tc>
        <w:tc>
          <w:tcPr>
            <w:tcW w:w="1205" w:type="dxa"/>
            <w:tcBorders>
              <w:top w:val="single" w:sz="4" w:space="0" w:color="auto"/>
              <w:bottom w:val="single" w:sz="12" w:space="0" w:color="auto"/>
            </w:tcBorders>
            <w:shd w:val="clear" w:color="auto" w:fill="auto"/>
            <w:vAlign w:val="bottom"/>
            <w:hideMark/>
          </w:tcPr>
          <w:p w:rsidR="00C21DAA" w:rsidRPr="00F369EE" w:rsidRDefault="00115B35" w:rsidP="00500FFB">
            <w:pPr>
              <w:spacing w:before="80" w:after="80" w:line="200" w:lineRule="exact"/>
              <w:ind w:left="113"/>
              <w:jc w:val="right"/>
              <w:rPr>
                <w:i/>
                <w:sz w:val="16"/>
                <w:lang w:val="es-AR" w:eastAsia="es-AR"/>
              </w:rPr>
            </w:pPr>
            <w:r w:rsidRPr="00F369EE">
              <w:rPr>
                <w:i/>
                <w:sz w:val="16"/>
                <w:lang w:val="es-AR" w:eastAsia="es-AR"/>
              </w:rPr>
              <w:t>Familias</w:t>
            </w:r>
          </w:p>
        </w:tc>
      </w:tr>
      <w:tr w:rsidR="00F369EE" w:rsidRPr="00F369EE" w:rsidTr="00500FFB">
        <w:trPr>
          <w:trHeight w:val="240"/>
        </w:trPr>
        <w:tc>
          <w:tcPr>
            <w:tcW w:w="1755" w:type="dxa"/>
            <w:tcBorders>
              <w:top w:val="single" w:sz="12" w:space="0" w:color="auto"/>
            </w:tcBorders>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Buenos Aires</w:t>
            </w:r>
          </w:p>
        </w:tc>
        <w:tc>
          <w:tcPr>
            <w:tcW w:w="1364"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235</w:t>
            </w:r>
          </w:p>
        </w:tc>
        <w:tc>
          <w:tcPr>
            <w:tcW w:w="1724"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w:t>
            </w:r>
            <w:r w:rsidR="00F369EE">
              <w:rPr>
                <w:sz w:val="18"/>
                <w:lang w:val="es-AR" w:eastAsia="es-AR"/>
              </w:rPr>
              <w:t xml:space="preserve"> </w:t>
            </w:r>
            <w:r w:rsidRPr="00F369EE">
              <w:rPr>
                <w:sz w:val="18"/>
                <w:lang w:val="es-AR" w:eastAsia="es-AR"/>
              </w:rPr>
              <w:t>012</w:t>
            </w:r>
          </w:p>
        </w:tc>
        <w:tc>
          <w:tcPr>
            <w:tcW w:w="1884"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tcBorders>
              <w:top w:val="single" w:sz="12"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Catamarca</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11</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629</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224</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Chaco</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57</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w:t>
            </w:r>
            <w:r w:rsidR="00F369EE">
              <w:rPr>
                <w:sz w:val="18"/>
                <w:lang w:val="es-AR" w:eastAsia="es-AR"/>
              </w:rPr>
              <w:t xml:space="preserve"> </w:t>
            </w:r>
            <w:r w:rsidRPr="00F369EE">
              <w:rPr>
                <w:sz w:val="18"/>
                <w:lang w:val="es-AR" w:eastAsia="es-AR"/>
              </w:rPr>
              <w:t>062</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Chubut</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10</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548</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CABA</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114</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43</w:t>
            </w:r>
            <w:r w:rsidR="00F369EE">
              <w:rPr>
                <w:sz w:val="18"/>
                <w:lang w:val="es-AR" w:eastAsia="es-AR"/>
              </w:rPr>
              <w:t xml:space="preserve"> </w:t>
            </w:r>
            <w:r w:rsidRPr="00F369EE">
              <w:rPr>
                <w:sz w:val="18"/>
                <w:lang w:val="es-AR" w:eastAsia="es-AR"/>
              </w:rPr>
              <w:t>994</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r w:rsidR="00F369EE">
              <w:rPr>
                <w:sz w:val="18"/>
                <w:lang w:val="es-AR" w:eastAsia="es-AR"/>
              </w:rPr>
              <w:t xml:space="preserve"> </w:t>
            </w:r>
            <w:r w:rsidRPr="00F369EE">
              <w:rPr>
                <w:sz w:val="18"/>
                <w:lang w:val="es-AR" w:eastAsia="es-AR"/>
              </w:rPr>
              <w:t>849</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743</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 xml:space="preserve">Córdoba </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487</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22</w:t>
            </w:r>
            <w:r w:rsidR="00F369EE">
              <w:rPr>
                <w:sz w:val="18"/>
                <w:lang w:val="es-AR" w:eastAsia="es-AR"/>
              </w:rPr>
              <w:t xml:space="preserve"> </w:t>
            </w:r>
            <w:r w:rsidRPr="00F369EE">
              <w:rPr>
                <w:sz w:val="18"/>
                <w:lang w:val="es-AR" w:eastAsia="es-AR"/>
              </w:rPr>
              <w:t>870</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031</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Entre Ríos</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108</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11</w:t>
            </w:r>
            <w:r w:rsidR="00F369EE">
              <w:rPr>
                <w:sz w:val="18"/>
                <w:lang w:val="es-AR" w:eastAsia="es-AR"/>
              </w:rPr>
              <w:t xml:space="preserve"> </w:t>
            </w:r>
            <w:r w:rsidRPr="00F369EE">
              <w:rPr>
                <w:sz w:val="18"/>
                <w:lang w:val="es-AR" w:eastAsia="es-AR"/>
              </w:rPr>
              <w:t>278</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370</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099</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Formosa</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32</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8</w:t>
            </w:r>
            <w:r w:rsidR="00F369EE">
              <w:rPr>
                <w:sz w:val="18"/>
                <w:lang w:val="es-AR" w:eastAsia="es-AR"/>
              </w:rPr>
              <w:t xml:space="preserve"> </w:t>
            </w:r>
            <w:r w:rsidRPr="00F369EE">
              <w:rPr>
                <w:sz w:val="18"/>
                <w:lang w:val="es-AR" w:eastAsia="es-AR"/>
              </w:rPr>
              <w:t>446</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r w:rsidR="00F369EE">
              <w:rPr>
                <w:sz w:val="18"/>
                <w:lang w:val="es-AR" w:eastAsia="es-AR"/>
              </w:rPr>
              <w:t xml:space="preserve"> </w:t>
            </w:r>
            <w:r w:rsidRPr="00F369EE">
              <w:rPr>
                <w:sz w:val="18"/>
                <w:lang w:val="es-AR" w:eastAsia="es-AR"/>
              </w:rPr>
              <w:t>318</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288</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Jujuy</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28</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19</w:t>
            </w:r>
            <w:r w:rsidR="00F369EE">
              <w:rPr>
                <w:sz w:val="18"/>
                <w:lang w:val="es-AR" w:eastAsia="es-AR"/>
              </w:rPr>
              <w:t xml:space="preserve"> </w:t>
            </w:r>
            <w:r w:rsidRPr="00F369EE">
              <w:rPr>
                <w:sz w:val="18"/>
                <w:lang w:val="es-AR" w:eastAsia="es-AR"/>
              </w:rPr>
              <w:t>966</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350</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987</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La Pampa</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21</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696</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268</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La Rioja</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677</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r w:rsidR="00F369EE">
              <w:rPr>
                <w:sz w:val="18"/>
                <w:lang w:val="es-AR" w:eastAsia="es-AR"/>
              </w:rPr>
              <w:t xml:space="preserve"> </w:t>
            </w:r>
            <w:r w:rsidRPr="00F369EE">
              <w:rPr>
                <w:sz w:val="18"/>
                <w:lang w:val="es-AR" w:eastAsia="es-AR"/>
              </w:rPr>
              <w:t>539</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Mendoza</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44</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r w:rsidR="00F369EE">
              <w:rPr>
                <w:sz w:val="18"/>
                <w:lang w:val="es-AR" w:eastAsia="es-AR"/>
              </w:rPr>
              <w:t xml:space="preserve"> </w:t>
            </w:r>
            <w:r w:rsidRPr="00F369EE">
              <w:rPr>
                <w:sz w:val="18"/>
                <w:lang w:val="es-AR" w:eastAsia="es-AR"/>
              </w:rPr>
              <w:t>730</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116</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Misiones</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11</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611</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430</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Neuquén</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39</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10</w:t>
            </w:r>
            <w:r w:rsidR="00F369EE">
              <w:rPr>
                <w:sz w:val="18"/>
                <w:lang w:val="es-AR" w:eastAsia="es-AR"/>
              </w:rPr>
              <w:t xml:space="preserve"> </w:t>
            </w:r>
            <w:r w:rsidRPr="00F369EE">
              <w:rPr>
                <w:sz w:val="18"/>
                <w:lang w:val="es-AR" w:eastAsia="es-AR"/>
              </w:rPr>
              <w:t>909</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253</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Río Negro</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16</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410</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r w:rsidR="00F369EE">
              <w:rPr>
                <w:sz w:val="18"/>
                <w:lang w:val="es-AR" w:eastAsia="es-AR"/>
              </w:rPr>
              <w:t xml:space="preserve"> </w:t>
            </w:r>
            <w:r w:rsidRPr="00F369EE">
              <w:rPr>
                <w:sz w:val="18"/>
                <w:lang w:val="es-AR" w:eastAsia="es-AR"/>
              </w:rPr>
              <w:t>268</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Salta</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35</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r w:rsidR="00F369EE">
              <w:rPr>
                <w:sz w:val="18"/>
                <w:lang w:val="es-AR" w:eastAsia="es-AR"/>
              </w:rPr>
              <w:t xml:space="preserve"> </w:t>
            </w:r>
            <w:r w:rsidRPr="00F369EE">
              <w:rPr>
                <w:sz w:val="18"/>
                <w:lang w:val="es-AR" w:eastAsia="es-AR"/>
              </w:rPr>
              <w:t>313</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r w:rsidR="00F369EE">
              <w:rPr>
                <w:sz w:val="18"/>
                <w:lang w:val="es-AR" w:eastAsia="es-AR"/>
              </w:rPr>
              <w:t xml:space="preserve"> </w:t>
            </w:r>
            <w:r w:rsidRPr="00F369EE">
              <w:rPr>
                <w:sz w:val="18"/>
                <w:lang w:val="es-AR" w:eastAsia="es-AR"/>
              </w:rPr>
              <w:t>153</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San Juan</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38</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w:t>
            </w:r>
            <w:r w:rsidR="00F369EE">
              <w:rPr>
                <w:sz w:val="18"/>
                <w:lang w:val="es-AR" w:eastAsia="es-AR"/>
              </w:rPr>
              <w:t xml:space="preserve"> </w:t>
            </w:r>
            <w:r w:rsidRPr="00F369EE">
              <w:rPr>
                <w:sz w:val="18"/>
                <w:lang w:val="es-AR" w:eastAsia="es-AR"/>
              </w:rPr>
              <w:t>466</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Santa Cruz</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680</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931</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Santa Fe</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113</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7</w:t>
            </w:r>
            <w:r w:rsidR="00F369EE">
              <w:rPr>
                <w:sz w:val="18"/>
                <w:lang w:val="es-AR" w:eastAsia="es-AR"/>
              </w:rPr>
              <w:t xml:space="preserve"> </w:t>
            </w:r>
            <w:r w:rsidRPr="00F369EE">
              <w:rPr>
                <w:sz w:val="18"/>
                <w:lang w:val="es-AR" w:eastAsia="es-AR"/>
              </w:rPr>
              <w:t>551</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65</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Santiago del Estero</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14</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893</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75</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350</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Tierra del Fuego</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8</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469</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r>
      <w:tr w:rsidR="00F369EE" w:rsidRPr="00F369EE" w:rsidTr="00500FFB">
        <w:trPr>
          <w:trHeight w:val="240"/>
        </w:trPr>
        <w:tc>
          <w:tcPr>
            <w:tcW w:w="1755" w:type="dxa"/>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Tucumán</w:t>
            </w:r>
          </w:p>
        </w:tc>
        <w:tc>
          <w:tcPr>
            <w:tcW w:w="136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16</w:t>
            </w:r>
          </w:p>
        </w:tc>
        <w:tc>
          <w:tcPr>
            <w:tcW w:w="172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801</w:t>
            </w:r>
          </w:p>
        </w:tc>
        <w:tc>
          <w:tcPr>
            <w:tcW w:w="1884"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228</w:t>
            </w:r>
          </w:p>
        </w:tc>
      </w:tr>
      <w:tr w:rsidR="00F369EE" w:rsidRPr="00F369EE" w:rsidTr="00500FFB">
        <w:trPr>
          <w:trHeight w:val="240"/>
        </w:trPr>
        <w:tc>
          <w:tcPr>
            <w:tcW w:w="1755" w:type="dxa"/>
            <w:tcBorders>
              <w:bottom w:val="single" w:sz="4" w:space="0" w:color="auto"/>
            </w:tcBorders>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SENAF</w:t>
            </w:r>
          </w:p>
        </w:tc>
        <w:tc>
          <w:tcPr>
            <w:tcW w:w="1364"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w:t>
            </w:r>
          </w:p>
        </w:tc>
        <w:tc>
          <w:tcPr>
            <w:tcW w:w="1724"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663</w:t>
            </w:r>
          </w:p>
        </w:tc>
        <w:tc>
          <w:tcPr>
            <w:tcW w:w="1884"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c>
          <w:tcPr>
            <w:tcW w:w="1205" w:type="dxa"/>
            <w:tcBorders>
              <w:bottom w:val="single" w:sz="4" w:space="0" w:color="auto"/>
            </w:tcBorders>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w:t>
            </w:r>
          </w:p>
        </w:tc>
      </w:tr>
      <w:tr w:rsidR="00F369EE" w:rsidRPr="00F369EE" w:rsidTr="00500FFB">
        <w:trPr>
          <w:trHeight w:val="240"/>
        </w:trPr>
        <w:tc>
          <w:tcPr>
            <w:tcW w:w="1755" w:type="dxa"/>
            <w:tcBorders>
              <w:top w:val="single" w:sz="4" w:space="0" w:color="auto"/>
              <w:bottom w:val="single" w:sz="12" w:space="0" w:color="auto"/>
            </w:tcBorders>
            <w:shd w:val="clear" w:color="auto" w:fill="auto"/>
            <w:noWrap/>
            <w:hideMark/>
          </w:tcPr>
          <w:p w:rsidR="00C21DAA" w:rsidRPr="00F369EE" w:rsidRDefault="00115B35" w:rsidP="00500FFB">
            <w:pPr>
              <w:spacing w:before="80" w:after="80" w:line="220" w:lineRule="exact"/>
              <w:ind w:left="284"/>
              <w:rPr>
                <w:b/>
                <w:sz w:val="18"/>
                <w:lang w:val="es-AR" w:eastAsia="es-AR"/>
              </w:rPr>
            </w:pPr>
            <w:r w:rsidRPr="00F369EE">
              <w:rPr>
                <w:b/>
                <w:sz w:val="18"/>
                <w:lang w:val="es-AR" w:eastAsia="es-AR"/>
              </w:rPr>
              <w:t>T</w:t>
            </w:r>
            <w:r w:rsidR="00F369EE" w:rsidRPr="00500FFB">
              <w:rPr>
                <w:b/>
                <w:sz w:val="18"/>
                <w:lang w:val="es-AR" w:eastAsia="es-AR"/>
              </w:rPr>
              <w:t>otal</w:t>
            </w:r>
          </w:p>
        </w:tc>
        <w:tc>
          <w:tcPr>
            <w:tcW w:w="1364"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1</w:t>
            </w:r>
            <w:r w:rsidR="00F369EE" w:rsidRPr="00500FFB">
              <w:rPr>
                <w:b/>
                <w:sz w:val="18"/>
                <w:lang w:val="es-AR" w:eastAsia="es-AR"/>
              </w:rPr>
              <w:t xml:space="preserve"> </w:t>
            </w:r>
            <w:r w:rsidRPr="00F369EE">
              <w:rPr>
                <w:b/>
                <w:sz w:val="18"/>
                <w:lang w:val="es-AR" w:eastAsia="es-AR"/>
              </w:rPr>
              <w:t>451</w:t>
            </w:r>
          </w:p>
        </w:tc>
        <w:tc>
          <w:tcPr>
            <w:tcW w:w="1724"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161</w:t>
            </w:r>
            <w:r w:rsidR="00F369EE" w:rsidRPr="00500FFB">
              <w:rPr>
                <w:b/>
                <w:sz w:val="18"/>
                <w:lang w:val="es-AR" w:eastAsia="es-AR"/>
              </w:rPr>
              <w:t xml:space="preserve"> </w:t>
            </w:r>
            <w:r w:rsidRPr="00F369EE">
              <w:rPr>
                <w:b/>
                <w:sz w:val="18"/>
                <w:lang w:val="es-AR" w:eastAsia="es-AR"/>
              </w:rPr>
              <w:t>674</w:t>
            </w:r>
          </w:p>
        </w:tc>
        <w:tc>
          <w:tcPr>
            <w:tcW w:w="1884"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8</w:t>
            </w:r>
            <w:r w:rsidR="00F369EE" w:rsidRPr="00500FFB">
              <w:rPr>
                <w:b/>
                <w:sz w:val="18"/>
                <w:lang w:val="es-AR" w:eastAsia="es-AR"/>
              </w:rPr>
              <w:t xml:space="preserve"> </w:t>
            </w:r>
            <w:r w:rsidRPr="00F369EE">
              <w:rPr>
                <w:b/>
                <w:sz w:val="18"/>
                <w:lang w:val="es-AR" w:eastAsia="es-AR"/>
              </w:rPr>
              <w:t>993</w:t>
            </w:r>
          </w:p>
        </w:tc>
        <w:tc>
          <w:tcPr>
            <w:tcW w:w="1205" w:type="dxa"/>
            <w:tcBorders>
              <w:top w:val="single" w:sz="4" w:space="0" w:color="auto"/>
              <w:bottom w:val="single" w:sz="12" w:space="0" w:color="auto"/>
            </w:tcBorders>
            <w:shd w:val="clear" w:color="auto" w:fill="auto"/>
            <w:noWrap/>
            <w:vAlign w:val="bottom"/>
            <w:hideMark/>
          </w:tcPr>
          <w:p w:rsidR="00C21DAA" w:rsidRPr="00F369EE" w:rsidRDefault="00115B35" w:rsidP="00500FFB">
            <w:pPr>
              <w:spacing w:before="80" w:after="80" w:line="220" w:lineRule="exact"/>
              <w:ind w:left="113"/>
              <w:jc w:val="right"/>
              <w:rPr>
                <w:b/>
                <w:sz w:val="18"/>
                <w:lang w:val="es-AR" w:eastAsia="es-AR"/>
              </w:rPr>
            </w:pPr>
            <w:r w:rsidRPr="00F369EE">
              <w:rPr>
                <w:b/>
                <w:sz w:val="18"/>
                <w:lang w:val="es-AR" w:eastAsia="es-AR"/>
              </w:rPr>
              <w:t>14</w:t>
            </w:r>
            <w:r w:rsidR="00F369EE" w:rsidRPr="00500FFB">
              <w:rPr>
                <w:b/>
                <w:sz w:val="18"/>
                <w:lang w:val="es-AR" w:eastAsia="es-AR"/>
              </w:rPr>
              <w:t xml:space="preserve"> </w:t>
            </w:r>
            <w:r w:rsidRPr="00F369EE">
              <w:rPr>
                <w:b/>
                <w:sz w:val="18"/>
                <w:lang w:val="es-AR" w:eastAsia="es-AR"/>
              </w:rPr>
              <w:t>942</w:t>
            </w:r>
          </w:p>
        </w:tc>
      </w:tr>
    </w:tbl>
    <w:p w:rsidR="00C21DAA" w:rsidRPr="00FE07FE" w:rsidRDefault="00FE07FE" w:rsidP="00500FFB">
      <w:pPr>
        <w:pStyle w:val="SingleTxtG"/>
        <w:spacing w:before="240"/>
        <w:rPr>
          <w:lang w:val="es-MX" w:eastAsia="en-US"/>
        </w:rPr>
      </w:pPr>
      <w:r w:rsidRPr="00500FFB">
        <w:rPr>
          <w:lang w:val="es-MX" w:eastAsia="en-US"/>
        </w:rPr>
        <w:t>146.</w:t>
      </w:r>
      <w:r w:rsidRPr="00500FFB">
        <w:rPr>
          <w:lang w:val="es-MX" w:eastAsia="en-US"/>
        </w:rPr>
        <w:tab/>
      </w:r>
      <w:r w:rsidR="00115B35" w:rsidRPr="00FE07FE">
        <w:rPr>
          <w:lang w:val="es-MX" w:eastAsia="en-US"/>
        </w:rPr>
        <w:t>Por otra parte, se informa que, en el marco del Plan Nacional de Primera Infancia, realización se lleva a cabo desde la SENAF, se presentaron a la fecha 988 proyectos para la apertura/fortalecimiento de espacios de primera infancia (EPI). De ese total 132 son para apertura de EPIs y 857 para el fortalecimiento de EPIs que ya están funcionando. Así, la cobertura llega a 62.889 niños y su grupo familiar.</w:t>
      </w:r>
    </w:p>
    <w:p w:rsidR="00C21DAA" w:rsidRPr="00FE07FE" w:rsidRDefault="00FE07FE" w:rsidP="00500FFB">
      <w:pPr>
        <w:pStyle w:val="SingleTxtG"/>
        <w:rPr>
          <w:lang w:val="es-MX" w:eastAsia="en-US"/>
        </w:rPr>
      </w:pPr>
      <w:r w:rsidRPr="00500FFB">
        <w:rPr>
          <w:lang w:val="es-MX" w:eastAsia="en-US"/>
        </w:rPr>
        <w:t>147.</w:t>
      </w:r>
      <w:r w:rsidRPr="00500FFB">
        <w:rPr>
          <w:lang w:val="es-MX" w:eastAsia="en-US"/>
        </w:rPr>
        <w:tab/>
      </w:r>
      <w:r w:rsidR="00115B35" w:rsidRPr="00FE07FE">
        <w:rPr>
          <w:lang w:val="es-MX" w:eastAsia="en-US"/>
        </w:rPr>
        <w:t xml:space="preserve">Respecto a la capacitación de las personas que trabajan en los EPI, durante 2016 se dictaron capacitaciones coordinadas con autoridades provinciales y municipales, en 19 provincias y con 5.500 personas.  </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066"/>
        <w:gridCol w:w="1596"/>
        <w:gridCol w:w="1139"/>
        <w:gridCol w:w="1015"/>
        <w:gridCol w:w="1387"/>
        <w:gridCol w:w="1263"/>
      </w:tblGrid>
      <w:tr w:rsidR="00F369EE" w:rsidRPr="00F369EE" w:rsidTr="00500FFB">
        <w:trPr>
          <w:trHeight w:val="240"/>
          <w:tblHeader/>
        </w:trPr>
        <w:tc>
          <w:tcPr>
            <w:tcW w:w="1050" w:type="dxa"/>
            <w:tcBorders>
              <w:top w:val="single" w:sz="4" w:space="0" w:color="auto"/>
              <w:bottom w:val="single" w:sz="12" w:space="0" w:color="auto"/>
            </w:tcBorders>
            <w:shd w:val="clear" w:color="auto" w:fill="auto"/>
            <w:vAlign w:val="bottom"/>
            <w:hideMark/>
          </w:tcPr>
          <w:p w:rsidR="00C21DAA" w:rsidRPr="00F369EE" w:rsidRDefault="00115B35" w:rsidP="00500FFB">
            <w:pPr>
              <w:keepNext/>
              <w:spacing w:before="80" w:after="80" w:line="200" w:lineRule="exact"/>
              <w:rPr>
                <w:i/>
                <w:sz w:val="16"/>
                <w:lang w:val="es-AR" w:eastAsia="es-AR"/>
              </w:rPr>
            </w:pPr>
            <w:r w:rsidRPr="00F369EE">
              <w:rPr>
                <w:i/>
                <w:sz w:val="16"/>
                <w:lang w:val="es-AR" w:eastAsia="es-AR"/>
              </w:rPr>
              <w:lastRenderedPageBreak/>
              <w:t>Región</w:t>
            </w:r>
          </w:p>
        </w:tc>
        <w:tc>
          <w:tcPr>
            <w:tcW w:w="1580" w:type="dxa"/>
            <w:tcBorders>
              <w:top w:val="single" w:sz="4" w:space="0" w:color="auto"/>
              <w:bottom w:val="single" w:sz="12" w:space="0" w:color="auto"/>
            </w:tcBorders>
            <w:shd w:val="clear" w:color="auto" w:fill="auto"/>
            <w:vAlign w:val="bottom"/>
            <w:hideMark/>
          </w:tcPr>
          <w:p w:rsidR="00C21DAA" w:rsidRPr="00F369EE" w:rsidRDefault="00115B35" w:rsidP="00500FFB">
            <w:pPr>
              <w:keepNext/>
              <w:spacing w:before="80" w:after="80" w:line="200" w:lineRule="exact"/>
              <w:ind w:left="113"/>
              <w:rPr>
                <w:i/>
                <w:sz w:val="16"/>
                <w:lang w:val="es-AR" w:eastAsia="es-AR"/>
              </w:rPr>
            </w:pPr>
            <w:r w:rsidRPr="00F369EE">
              <w:rPr>
                <w:i/>
                <w:sz w:val="16"/>
                <w:lang w:val="es-AR" w:eastAsia="es-AR"/>
              </w:rPr>
              <w:t>Provincia</w:t>
            </w:r>
          </w:p>
        </w:tc>
        <w:tc>
          <w:tcPr>
            <w:tcW w:w="1123" w:type="dxa"/>
            <w:tcBorders>
              <w:top w:val="single" w:sz="4" w:space="0" w:color="auto"/>
              <w:bottom w:val="single" w:sz="12" w:space="0" w:color="auto"/>
            </w:tcBorders>
            <w:shd w:val="clear" w:color="auto" w:fill="auto"/>
            <w:vAlign w:val="bottom"/>
            <w:hideMark/>
          </w:tcPr>
          <w:p w:rsidR="00C21DAA" w:rsidRPr="00F369EE" w:rsidRDefault="00115B35" w:rsidP="00500FFB">
            <w:pPr>
              <w:keepNext/>
              <w:spacing w:before="80" w:after="80" w:line="200" w:lineRule="exact"/>
              <w:ind w:left="113"/>
              <w:jc w:val="right"/>
              <w:rPr>
                <w:i/>
                <w:sz w:val="16"/>
                <w:lang w:val="es-AR" w:eastAsia="es-AR"/>
              </w:rPr>
            </w:pPr>
            <w:r w:rsidRPr="00F369EE">
              <w:rPr>
                <w:i/>
                <w:sz w:val="16"/>
                <w:lang w:val="es-AR" w:eastAsia="es-AR"/>
              </w:rPr>
              <w:t>Presentados</w:t>
            </w:r>
          </w:p>
        </w:tc>
        <w:tc>
          <w:tcPr>
            <w:tcW w:w="999" w:type="dxa"/>
            <w:tcBorders>
              <w:top w:val="single" w:sz="4" w:space="0" w:color="auto"/>
              <w:bottom w:val="single" w:sz="12" w:space="0" w:color="auto"/>
            </w:tcBorders>
            <w:shd w:val="clear" w:color="auto" w:fill="auto"/>
            <w:vAlign w:val="bottom"/>
            <w:hideMark/>
          </w:tcPr>
          <w:p w:rsidR="00C21DAA" w:rsidRPr="00F369EE" w:rsidRDefault="00115B35" w:rsidP="00500FFB">
            <w:pPr>
              <w:keepNext/>
              <w:spacing w:before="80" w:after="80" w:line="200" w:lineRule="exact"/>
              <w:ind w:left="113"/>
              <w:jc w:val="right"/>
              <w:rPr>
                <w:i/>
                <w:sz w:val="16"/>
                <w:lang w:val="es-AR" w:eastAsia="es-AR"/>
              </w:rPr>
            </w:pPr>
            <w:r w:rsidRPr="00F369EE">
              <w:rPr>
                <w:i/>
                <w:sz w:val="16"/>
                <w:lang w:val="es-AR" w:eastAsia="es-AR"/>
              </w:rPr>
              <w:t>Apertura</w:t>
            </w:r>
          </w:p>
        </w:tc>
        <w:tc>
          <w:tcPr>
            <w:tcW w:w="1371" w:type="dxa"/>
            <w:tcBorders>
              <w:top w:val="single" w:sz="4" w:space="0" w:color="auto"/>
              <w:bottom w:val="single" w:sz="12" w:space="0" w:color="auto"/>
            </w:tcBorders>
            <w:shd w:val="clear" w:color="auto" w:fill="auto"/>
            <w:vAlign w:val="bottom"/>
            <w:hideMark/>
          </w:tcPr>
          <w:p w:rsidR="00C21DAA" w:rsidRPr="00F369EE" w:rsidRDefault="00115B35" w:rsidP="00500FFB">
            <w:pPr>
              <w:keepNext/>
              <w:spacing w:before="80" w:after="80" w:line="200" w:lineRule="exact"/>
              <w:ind w:left="113"/>
              <w:jc w:val="right"/>
              <w:rPr>
                <w:i/>
                <w:sz w:val="16"/>
                <w:lang w:val="es-AR" w:eastAsia="es-AR"/>
              </w:rPr>
            </w:pPr>
            <w:r w:rsidRPr="00F369EE">
              <w:rPr>
                <w:i/>
                <w:sz w:val="16"/>
                <w:lang w:val="es-AR" w:eastAsia="es-AR"/>
              </w:rPr>
              <w:t>Fortalecimiento</w:t>
            </w:r>
          </w:p>
        </w:tc>
        <w:tc>
          <w:tcPr>
            <w:tcW w:w="1247" w:type="dxa"/>
            <w:tcBorders>
              <w:top w:val="single" w:sz="4" w:space="0" w:color="auto"/>
              <w:bottom w:val="single" w:sz="12" w:space="0" w:color="auto"/>
            </w:tcBorders>
            <w:shd w:val="clear" w:color="auto" w:fill="auto"/>
            <w:vAlign w:val="bottom"/>
            <w:hideMark/>
          </w:tcPr>
          <w:p w:rsidR="00C21DAA" w:rsidRPr="00F369EE" w:rsidRDefault="00115B35" w:rsidP="00500FFB">
            <w:pPr>
              <w:keepNext/>
              <w:spacing w:before="80" w:after="80" w:line="200" w:lineRule="exact"/>
              <w:ind w:left="113"/>
              <w:jc w:val="right"/>
              <w:rPr>
                <w:i/>
                <w:sz w:val="16"/>
                <w:lang w:val="es-AR" w:eastAsia="es-AR"/>
              </w:rPr>
            </w:pPr>
            <w:r w:rsidRPr="00F369EE">
              <w:rPr>
                <w:i/>
                <w:sz w:val="16"/>
                <w:lang w:val="es-AR" w:eastAsia="es-AR"/>
              </w:rPr>
              <w:t>Total Niños/as</w:t>
            </w:r>
          </w:p>
        </w:tc>
      </w:tr>
      <w:tr w:rsidR="00F369EE" w:rsidRPr="00F369EE" w:rsidTr="00500FFB">
        <w:trPr>
          <w:trHeight w:val="240"/>
        </w:trPr>
        <w:tc>
          <w:tcPr>
            <w:tcW w:w="1050" w:type="dxa"/>
            <w:vMerge w:val="restart"/>
            <w:tcBorders>
              <w:top w:val="single" w:sz="12" w:space="0" w:color="auto"/>
            </w:tcBorders>
            <w:shd w:val="clear" w:color="auto" w:fill="auto"/>
            <w:noWrap/>
            <w:hideMark/>
          </w:tcPr>
          <w:p w:rsidR="00C21DAA" w:rsidRPr="00F369EE" w:rsidRDefault="00115B35" w:rsidP="00500FFB">
            <w:pPr>
              <w:keepNext/>
              <w:spacing w:before="40" w:after="40" w:line="220" w:lineRule="exact"/>
              <w:rPr>
                <w:sz w:val="18"/>
                <w:lang w:val="es-AR" w:eastAsia="es-AR"/>
              </w:rPr>
            </w:pPr>
            <w:r w:rsidRPr="00F369EE">
              <w:rPr>
                <w:sz w:val="18"/>
                <w:lang w:val="es-AR" w:eastAsia="es-AR"/>
              </w:rPr>
              <w:t>NOA</w:t>
            </w:r>
          </w:p>
        </w:tc>
        <w:tc>
          <w:tcPr>
            <w:tcW w:w="1580" w:type="dxa"/>
            <w:tcBorders>
              <w:top w:val="single" w:sz="12" w:space="0" w:color="auto"/>
            </w:tcBorders>
            <w:shd w:val="clear" w:color="auto" w:fill="auto"/>
            <w:noWrap/>
            <w:vAlign w:val="bottom"/>
            <w:hideMark/>
          </w:tcPr>
          <w:p w:rsidR="00C21DAA" w:rsidRPr="00F369EE" w:rsidRDefault="00115B35" w:rsidP="00500FFB">
            <w:pPr>
              <w:keepNext/>
              <w:spacing w:before="40" w:after="40" w:line="220" w:lineRule="exact"/>
              <w:ind w:left="113"/>
              <w:rPr>
                <w:sz w:val="18"/>
                <w:lang w:val="es-AR" w:eastAsia="es-AR"/>
              </w:rPr>
            </w:pPr>
            <w:r w:rsidRPr="00F369EE">
              <w:rPr>
                <w:sz w:val="18"/>
                <w:lang w:val="es-AR" w:eastAsia="es-AR"/>
              </w:rPr>
              <w:t>Salta</w:t>
            </w:r>
          </w:p>
        </w:tc>
        <w:tc>
          <w:tcPr>
            <w:tcW w:w="1123" w:type="dxa"/>
            <w:tcBorders>
              <w:top w:val="single" w:sz="12" w:space="0" w:color="auto"/>
            </w:tcBorders>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22</w:t>
            </w:r>
          </w:p>
        </w:tc>
        <w:tc>
          <w:tcPr>
            <w:tcW w:w="999" w:type="dxa"/>
            <w:tcBorders>
              <w:top w:val="single" w:sz="12" w:space="0" w:color="auto"/>
            </w:tcBorders>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7</w:t>
            </w:r>
          </w:p>
        </w:tc>
        <w:tc>
          <w:tcPr>
            <w:tcW w:w="1371" w:type="dxa"/>
            <w:tcBorders>
              <w:top w:val="single" w:sz="12" w:space="0" w:color="auto"/>
            </w:tcBorders>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15</w:t>
            </w:r>
          </w:p>
        </w:tc>
        <w:tc>
          <w:tcPr>
            <w:tcW w:w="1247" w:type="dxa"/>
            <w:tcBorders>
              <w:top w:val="single" w:sz="12" w:space="0" w:color="auto"/>
            </w:tcBorders>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507</w:t>
            </w:r>
          </w:p>
        </w:tc>
      </w:tr>
      <w:tr w:rsidR="00F369EE" w:rsidRPr="00F369EE" w:rsidTr="00500FFB">
        <w:trPr>
          <w:trHeight w:val="240"/>
        </w:trPr>
        <w:tc>
          <w:tcPr>
            <w:tcW w:w="1050" w:type="dxa"/>
            <w:vMerge/>
            <w:shd w:val="clear" w:color="auto" w:fill="auto"/>
            <w:hideMark/>
          </w:tcPr>
          <w:p w:rsidR="00C21DAA" w:rsidRPr="00F369EE" w:rsidRDefault="00C21DAA" w:rsidP="00500FFB">
            <w:pPr>
              <w:keepNext/>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keepNext/>
              <w:spacing w:before="40" w:after="40" w:line="220" w:lineRule="exact"/>
              <w:ind w:left="113"/>
              <w:rPr>
                <w:sz w:val="18"/>
                <w:lang w:val="es-AR" w:eastAsia="es-AR"/>
              </w:rPr>
            </w:pPr>
            <w:r w:rsidRPr="00F369EE">
              <w:rPr>
                <w:sz w:val="18"/>
                <w:lang w:val="es-AR" w:eastAsia="es-AR"/>
              </w:rPr>
              <w:t>Jujuy</w:t>
            </w:r>
          </w:p>
        </w:tc>
        <w:tc>
          <w:tcPr>
            <w:tcW w:w="1123"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35</w:t>
            </w:r>
          </w:p>
        </w:tc>
        <w:tc>
          <w:tcPr>
            <w:tcW w:w="999"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13</w:t>
            </w:r>
          </w:p>
        </w:tc>
        <w:tc>
          <w:tcPr>
            <w:tcW w:w="1371"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22</w:t>
            </w:r>
          </w:p>
        </w:tc>
        <w:tc>
          <w:tcPr>
            <w:tcW w:w="1247"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3</w:t>
            </w:r>
            <w:r w:rsidR="00F369EE">
              <w:rPr>
                <w:sz w:val="18"/>
                <w:lang w:val="es-AR" w:eastAsia="es-AR"/>
              </w:rPr>
              <w:t xml:space="preserve"> </w:t>
            </w:r>
            <w:r w:rsidRPr="00F369EE">
              <w:rPr>
                <w:sz w:val="18"/>
                <w:lang w:val="es-AR" w:eastAsia="es-AR"/>
              </w:rPr>
              <w:t>384</w:t>
            </w:r>
          </w:p>
        </w:tc>
      </w:tr>
      <w:tr w:rsidR="00F369EE" w:rsidRPr="00F369EE" w:rsidTr="00500FFB">
        <w:trPr>
          <w:trHeight w:val="240"/>
        </w:trPr>
        <w:tc>
          <w:tcPr>
            <w:tcW w:w="1050" w:type="dxa"/>
            <w:vMerge/>
            <w:shd w:val="clear" w:color="auto" w:fill="auto"/>
            <w:hideMark/>
          </w:tcPr>
          <w:p w:rsidR="00C21DAA" w:rsidRPr="00F369EE" w:rsidRDefault="00C21DAA" w:rsidP="00500FFB">
            <w:pPr>
              <w:keepNext/>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keepNext/>
              <w:spacing w:before="40" w:after="40" w:line="220" w:lineRule="exact"/>
              <w:ind w:left="113"/>
              <w:rPr>
                <w:sz w:val="18"/>
                <w:lang w:val="es-AR" w:eastAsia="es-AR"/>
              </w:rPr>
            </w:pPr>
            <w:r w:rsidRPr="00F369EE">
              <w:rPr>
                <w:sz w:val="18"/>
                <w:lang w:val="es-AR" w:eastAsia="es-AR"/>
              </w:rPr>
              <w:t>Tucumán</w:t>
            </w:r>
          </w:p>
        </w:tc>
        <w:tc>
          <w:tcPr>
            <w:tcW w:w="1123"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15</w:t>
            </w:r>
          </w:p>
        </w:tc>
        <w:tc>
          <w:tcPr>
            <w:tcW w:w="999"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3</w:t>
            </w:r>
          </w:p>
        </w:tc>
        <w:tc>
          <w:tcPr>
            <w:tcW w:w="1371"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12</w:t>
            </w:r>
          </w:p>
        </w:tc>
        <w:tc>
          <w:tcPr>
            <w:tcW w:w="1247"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554</w:t>
            </w:r>
          </w:p>
        </w:tc>
      </w:tr>
      <w:tr w:rsidR="00F369EE" w:rsidRPr="00F369EE" w:rsidTr="00500FFB">
        <w:trPr>
          <w:trHeight w:val="240"/>
        </w:trPr>
        <w:tc>
          <w:tcPr>
            <w:tcW w:w="1050" w:type="dxa"/>
            <w:vMerge/>
            <w:shd w:val="clear" w:color="auto" w:fill="auto"/>
            <w:hideMark/>
          </w:tcPr>
          <w:p w:rsidR="00C21DAA" w:rsidRPr="00F369EE" w:rsidRDefault="00C21DAA" w:rsidP="00500FFB">
            <w:pPr>
              <w:keepNext/>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keepNext/>
              <w:spacing w:before="40" w:after="40" w:line="220" w:lineRule="exact"/>
              <w:ind w:left="113"/>
              <w:rPr>
                <w:sz w:val="18"/>
                <w:lang w:val="es-AR" w:eastAsia="es-AR"/>
              </w:rPr>
            </w:pPr>
            <w:r w:rsidRPr="00F369EE">
              <w:rPr>
                <w:sz w:val="18"/>
                <w:lang w:val="es-AR" w:eastAsia="es-AR"/>
              </w:rPr>
              <w:t>Catamarca</w:t>
            </w:r>
          </w:p>
        </w:tc>
        <w:tc>
          <w:tcPr>
            <w:tcW w:w="1123"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13</w:t>
            </w:r>
          </w:p>
        </w:tc>
        <w:tc>
          <w:tcPr>
            <w:tcW w:w="999"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6</w:t>
            </w:r>
          </w:p>
        </w:tc>
        <w:tc>
          <w:tcPr>
            <w:tcW w:w="1371"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7</w:t>
            </w:r>
          </w:p>
        </w:tc>
        <w:tc>
          <w:tcPr>
            <w:tcW w:w="1247" w:type="dxa"/>
            <w:shd w:val="clear" w:color="auto" w:fill="auto"/>
            <w:noWrap/>
            <w:vAlign w:val="bottom"/>
            <w:hideMark/>
          </w:tcPr>
          <w:p w:rsidR="00C21DAA" w:rsidRPr="00F369EE" w:rsidRDefault="00115B35" w:rsidP="00500FFB">
            <w:pPr>
              <w:keepNext/>
              <w:spacing w:before="40" w:after="40" w:line="220" w:lineRule="exact"/>
              <w:ind w:left="113"/>
              <w:jc w:val="right"/>
              <w:rPr>
                <w:sz w:val="18"/>
                <w:lang w:val="es-AR" w:eastAsia="es-AR"/>
              </w:rPr>
            </w:pPr>
            <w:r w:rsidRPr="00F369EE">
              <w:rPr>
                <w:sz w:val="18"/>
                <w:lang w:val="es-AR" w:eastAsia="es-AR"/>
              </w:rPr>
              <w:t>865</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Santiago del Estero</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17</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16</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434</w:t>
            </w:r>
          </w:p>
        </w:tc>
      </w:tr>
      <w:tr w:rsidR="00F369EE" w:rsidRPr="00F369EE" w:rsidTr="00500FFB">
        <w:trPr>
          <w:trHeight w:val="240"/>
        </w:trPr>
        <w:tc>
          <w:tcPr>
            <w:tcW w:w="1050" w:type="dxa"/>
            <w:vMerge w:val="restart"/>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NEA</w:t>
            </w: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Misiones</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33</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16</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17</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535</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Corrientes</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31</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31</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r w:rsidR="00F369EE">
              <w:rPr>
                <w:sz w:val="18"/>
                <w:lang w:val="es-AR" w:eastAsia="es-AR"/>
              </w:rPr>
              <w:t xml:space="preserve"> </w:t>
            </w:r>
            <w:r w:rsidRPr="00F369EE">
              <w:rPr>
                <w:sz w:val="18"/>
                <w:lang w:val="es-AR" w:eastAsia="es-AR"/>
              </w:rPr>
              <w:t>927</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Chaco</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18</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17</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832</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Formosa</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r>
      <w:tr w:rsidR="00F369EE" w:rsidRPr="00F369EE" w:rsidTr="00500FFB">
        <w:trPr>
          <w:trHeight w:val="240"/>
        </w:trPr>
        <w:tc>
          <w:tcPr>
            <w:tcW w:w="1050" w:type="dxa"/>
            <w:vMerge w:val="restart"/>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Buenos Aires</w:t>
            </w: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Conurbano</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301</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28</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273</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24</w:t>
            </w:r>
            <w:r w:rsidR="00F369EE">
              <w:rPr>
                <w:sz w:val="18"/>
                <w:lang w:val="es-AR" w:eastAsia="es-AR"/>
              </w:rPr>
              <w:t xml:space="preserve"> </w:t>
            </w:r>
            <w:r w:rsidRPr="00F369EE">
              <w:rPr>
                <w:sz w:val="18"/>
                <w:lang w:val="es-AR" w:eastAsia="es-AR"/>
              </w:rPr>
              <w:t>266</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Interior</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91</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19</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72</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r w:rsidR="00F369EE">
              <w:rPr>
                <w:sz w:val="18"/>
                <w:lang w:val="es-AR" w:eastAsia="es-AR"/>
              </w:rPr>
              <w:t xml:space="preserve"> </w:t>
            </w:r>
            <w:r w:rsidRPr="00F369EE">
              <w:rPr>
                <w:sz w:val="18"/>
                <w:lang w:val="es-AR" w:eastAsia="es-AR"/>
              </w:rPr>
              <w:t>221</w:t>
            </w:r>
          </w:p>
        </w:tc>
      </w:tr>
      <w:tr w:rsidR="00F369EE" w:rsidRPr="00F369EE" w:rsidTr="00500FFB">
        <w:trPr>
          <w:trHeight w:val="240"/>
        </w:trPr>
        <w:tc>
          <w:tcPr>
            <w:tcW w:w="1050" w:type="dxa"/>
            <w:vMerge w:val="restart"/>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Centro</w:t>
            </w: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Entre Ríos</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59</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55</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r w:rsidR="00F369EE">
              <w:rPr>
                <w:sz w:val="18"/>
                <w:lang w:val="es-AR" w:eastAsia="es-AR"/>
              </w:rPr>
              <w:t xml:space="preserve"> </w:t>
            </w:r>
            <w:r w:rsidRPr="00F369EE">
              <w:rPr>
                <w:sz w:val="18"/>
                <w:lang w:val="es-AR" w:eastAsia="es-AR"/>
              </w:rPr>
              <w:t>667</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Santa Fe</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68</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65</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r w:rsidR="00F369EE">
              <w:rPr>
                <w:sz w:val="18"/>
                <w:lang w:val="es-AR" w:eastAsia="es-AR"/>
              </w:rPr>
              <w:t xml:space="preserve"> </w:t>
            </w:r>
            <w:r w:rsidRPr="00F369EE">
              <w:rPr>
                <w:sz w:val="18"/>
                <w:lang w:val="es-AR" w:eastAsia="es-AR"/>
              </w:rPr>
              <w:t>359</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La Pampa</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31</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26</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626</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Córdoba</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98</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95</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w:t>
            </w:r>
            <w:r w:rsidR="00F369EE">
              <w:rPr>
                <w:sz w:val="18"/>
                <w:lang w:val="es-AR" w:eastAsia="es-AR"/>
              </w:rPr>
              <w:t xml:space="preserve"> </w:t>
            </w:r>
            <w:r w:rsidRPr="00F369EE">
              <w:rPr>
                <w:sz w:val="18"/>
                <w:lang w:val="es-AR" w:eastAsia="es-AR"/>
              </w:rPr>
              <w:t>264</w:t>
            </w:r>
          </w:p>
        </w:tc>
      </w:tr>
      <w:tr w:rsidR="00F369EE" w:rsidRPr="00F369EE" w:rsidTr="00500FFB">
        <w:trPr>
          <w:trHeight w:val="240"/>
        </w:trPr>
        <w:tc>
          <w:tcPr>
            <w:tcW w:w="1050" w:type="dxa"/>
            <w:vMerge w:val="restart"/>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Cuyo</w:t>
            </w: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La Rioja</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12</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8</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661</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San Luis</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10</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8</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408</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Mendoza</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10</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10</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750</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San Juan</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25</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9</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16</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930</w:t>
            </w:r>
          </w:p>
        </w:tc>
      </w:tr>
      <w:tr w:rsidR="00F369EE" w:rsidRPr="00F369EE" w:rsidTr="00500FFB">
        <w:trPr>
          <w:trHeight w:val="240"/>
        </w:trPr>
        <w:tc>
          <w:tcPr>
            <w:tcW w:w="1050" w:type="dxa"/>
            <w:vMerge w:val="restart"/>
            <w:shd w:val="clear" w:color="auto" w:fill="auto"/>
            <w:noWrap/>
            <w:hideMark/>
          </w:tcPr>
          <w:p w:rsidR="00C21DAA" w:rsidRPr="00F369EE" w:rsidRDefault="00115B35">
            <w:pPr>
              <w:spacing w:before="40" w:after="40" w:line="220" w:lineRule="exact"/>
              <w:rPr>
                <w:sz w:val="18"/>
                <w:lang w:val="es-AR" w:eastAsia="es-AR"/>
              </w:rPr>
            </w:pPr>
            <w:r w:rsidRPr="00F369EE">
              <w:rPr>
                <w:sz w:val="18"/>
                <w:lang w:val="es-AR" w:eastAsia="es-AR"/>
              </w:rPr>
              <w:t>Patagonia</w:t>
            </w: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Neuquén</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17</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17</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602</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Río Negro</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28</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0</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28</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r w:rsidR="00F369EE">
              <w:rPr>
                <w:sz w:val="18"/>
                <w:lang w:val="es-AR" w:eastAsia="es-AR"/>
              </w:rPr>
              <w:t xml:space="preserve"> </w:t>
            </w:r>
            <w:r w:rsidRPr="00F369EE">
              <w:rPr>
                <w:sz w:val="18"/>
                <w:lang w:val="es-AR" w:eastAsia="es-AR"/>
              </w:rPr>
              <w:t>063</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Chubut</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31</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4</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27</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944</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Santa Cruz</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19</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17</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1</w:t>
            </w:r>
            <w:r w:rsidR="00F369EE">
              <w:rPr>
                <w:sz w:val="18"/>
                <w:lang w:val="es-AR" w:eastAsia="es-AR"/>
              </w:rPr>
              <w:t xml:space="preserve"> </w:t>
            </w:r>
            <w:r w:rsidRPr="00F369EE">
              <w:rPr>
                <w:sz w:val="18"/>
                <w:lang w:val="es-AR" w:eastAsia="es-AR"/>
              </w:rPr>
              <w:t>575</w:t>
            </w:r>
          </w:p>
        </w:tc>
      </w:tr>
      <w:tr w:rsidR="00F369EE" w:rsidRPr="00F369EE" w:rsidTr="00500FFB">
        <w:trPr>
          <w:trHeight w:val="240"/>
        </w:trPr>
        <w:tc>
          <w:tcPr>
            <w:tcW w:w="1050" w:type="dxa"/>
            <w:vMerge/>
            <w:shd w:val="clear" w:color="auto" w:fill="auto"/>
            <w:hideMark/>
          </w:tcPr>
          <w:p w:rsidR="00C21DAA" w:rsidRPr="00F369EE" w:rsidRDefault="00C21DAA">
            <w:pPr>
              <w:spacing w:before="40" w:after="40" w:line="220" w:lineRule="exact"/>
              <w:rPr>
                <w:sz w:val="18"/>
                <w:lang w:val="es-AR" w:eastAsia="es-AR"/>
              </w:rPr>
            </w:pPr>
          </w:p>
        </w:tc>
        <w:tc>
          <w:tcPr>
            <w:tcW w:w="1580" w:type="dxa"/>
            <w:shd w:val="clear" w:color="auto" w:fill="auto"/>
            <w:noWrap/>
            <w:vAlign w:val="bottom"/>
            <w:hideMark/>
          </w:tcPr>
          <w:p w:rsidR="00C21DAA" w:rsidRPr="00F369EE" w:rsidRDefault="00115B35" w:rsidP="00500FFB">
            <w:pPr>
              <w:spacing w:before="40" w:after="40" w:line="220" w:lineRule="exact"/>
              <w:ind w:left="113"/>
              <w:rPr>
                <w:sz w:val="18"/>
                <w:lang w:val="es-AR" w:eastAsia="es-AR"/>
              </w:rPr>
            </w:pPr>
            <w:r w:rsidRPr="00F369EE">
              <w:rPr>
                <w:sz w:val="18"/>
                <w:lang w:val="es-AR" w:eastAsia="es-AR"/>
              </w:rPr>
              <w:t>Tierra del Fuego</w:t>
            </w:r>
          </w:p>
        </w:tc>
        <w:tc>
          <w:tcPr>
            <w:tcW w:w="1123"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w:t>
            </w:r>
          </w:p>
        </w:tc>
        <w:tc>
          <w:tcPr>
            <w:tcW w:w="999"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2</w:t>
            </w:r>
          </w:p>
        </w:tc>
        <w:tc>
          <w:tcPr>
            <w:tcW w:w="1371"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3</w:t>
            </w:r>
          </w:p>
        </w:tc>
        <w:tc>
          <w:tcPr>
            <w:tcW w:w="1247" w:type="dxa"/>
            <w:shd w:val="clear" w:color="auto" w:fill="auto"/>
            <w:noWrap/>
            <w:vAlign w:val="bottom"/>
            <w:hideMark/>
          </w:tcPr>
          <w:p w:rsidR="00C21DAA" w:rsidRPr="00F369EE" w:rsidRDefault="00115B35" w:rsidP="00500FFB">
            <w:pPr>
              <w:spacing w:before="40" w:after="40" w:line="220" w:lineRule="exact"/>
              <w:ind w:left="113"/>
              <w:jc w:val="right"/>
              <w:rPr>
                <w:sz w:val="18"/>
                <w:lang w:val="es-AR" w:eastAsia="es-AR"/>
              </w:rPr>
            </w:pPr>
            <w:r w:rsidRPr="00F369EE">
              <w:rPr>
                <w:sz w:val="18"/>
                <w:lang w:val="es-AR" w:eastAsia="es-AR"/>
              </w:rPr>
              <w:t>515</w:t>
            </w:r>
          </w:p>
        </w:tc>
      </w:tr>
      <w:tr w:rsidR="00F369EE" w:rsidRPr="00F369EE" w:rsidTr="00500FFB">
        <w:trPr>
          <w:trHeight w:val="240"/>
        </w:trPr>
        <w:tc>
          <w:tcPr>
            <w:tcW w:w="1050" w:type="dxa"/>
            <w:tcBorders>
              <w:bottom w:val="single" w:sz="12" w:space="0" w:color="auto"/>
            </w:tcBorders>
            <w:shd w:val="clear" w:color="auto" w:fill="auto"/>
            <w:noWrap/>
            <w:hideMark/>
          </w:tcPr>
          <w:p w:rsidR="00C21DAA" w:rsidRPr="00500FFB" w:rsidRDefault="00C21DAA">
            <w:pPr>
              <w:spacing w:before="40" w:after="40" w:line="220" w:lineRule="exact"/>
              <w:rPr>
                <w:sz w:val="18"/>
                <w:lang w:val="es-AR" w:eastAsia="es-AR"/>
              </w:rPr>
            </w:pPr>
          </w:p>
        </w:tc>
        <w:tc>
          <w:tcPr>
            <w:tcW w:w="1580" w:type="dxa"/>
            <w:tcBorders>
              <w:bottom w:val="single" w:sz="12" w:space="0" w:color="auto"/>
            </w:tcBorders>
            <w:shd w:val="clear" w:color="auto" w:fill="auto"/>
            <w:noWrap/>
            <w:vAlign w:val="bottom"/>
            <w:hideMark/>
          </w:tcPr>
          <w:p w:rsidR="00C21DAA" w:rsidRPr="00500FFB" w:rsidRDefault="00C21DAA" w:rsidP="00500FFB">
            <w:pPr>
              <w:spacing w:before="40" w:after="40" w:line="220" w:lineRule="exact"/>
              <w:ind w:left="113"/>
              <w:rPr>
                <w:sz w:val="18"/>
                <w:lang w:val="es-AR" w:eastAsia="es-AR"/>
              </w:rPr>
            </w:pPr>
          </w:p>
        </w:tc>
        <w:tc>
          <w:tcPr>
            <w:tcW w:w="1123" w:type="dxa"/>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989</w:t>
            </w:r>
          </w:p>
        </w:tc>
        <w:tc>
          <w:tcPr>
            <w:tcW w:w="999" w:type="dxa"/>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132</w:t>
            </w:r>
          </w:p>
        </w:tc>
        <w:tc>
          <w:tcPr>
            <w:tcW w:w="1371" w:type="dxa"/>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857</w:t>
            </w:r>
          </w:p>
        </w:tc>
        <w:tc>
          <w:tcPr>
            <w:tcW w:w="1247" w:type="dxa"/>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8"/>
                <w:lang w:val="es-AR" w:eastAsia="es-AR"/>
              </w:rPr>
            </w:pPr>
            <w:r w:rsidRPr="00500FFB">
              <w:rPr>
                <w:sz w:val="18"/>
                <w:lang w:val="es-AR" w:eastAsia="es-AR"/>
              </w:rPr>
              <w:t>62</w:t>
            </w:r>
            <w:r w:rsidR="00F369EE">
              <w:rPr>
                <w:sz w:val="18"/>
                <w:lang w:val="es-AR" w:eastAsia="es-AR"/>
              </w:rPr>
              <w:t xml:space="preserve"> </w:t>
            </w:r>
            <w:r w:rsidRPr="00500FFB">
              <w:rPr>
                <w:sz w:val="18"/>
                <w:lang w:val="es-AR" w:eastAsia="es-AR"/>
              </w:rPr>
              <w:t>889</w:t>
            </w:r>
          </w:p>
        </w:tc>
      </w:tr>
    </w:tbl>
    <w:p w:rsidR="00C21DAA" w:rsidRPr="00FE07FE" w:rsidRDefault="00FE07FE" w:rsidP="00500FFB">
      <w:pPr>
        <w:pStyle w:val="SingleTxtG"/>
        <w:spacing w:before="240"/>
        <w:rPr>
          <w:lang w:val="es-MX" w:eastAsia="en-US"/>
        </w:rPr>
      </w:pPr>
      <w:r w:rsidRPr="00500FFB">
        <w:rPr>
          <w:lang w:val="es-MX" w:eastAsia="en-US"/>
        </w:rPr>
        <w:t>148.</w:t>
      </w:r>
      <w:r w:rsidRPr="00500FFB">
        <w:rPr>
          <w:lang w:val="es-MX" w:eastAsia="en-US"/>
        </w:rPr>
        <w:tab/>
      </w:r>
      <w:r w:rsidR="00115B35" w:rsidRPr="00FE07FE">
        <w:rPr>
          <w:lang w:val="es-MX" w:eastAsia="en-US"/>
        </w:rPr>
        <w:t>Por último, la CONADIS informó que existe una red de prestadores del Sistema Único de Prestaciones básicas para personas con discapacidad, compuesta por 2.301 servicios que brindan prestaciones de 22 modalidades en todo el país, a excepción de Tierra del Fuego.</w:t>
      </w:r>
    </w:p>
    <w:p w:rsidR="00C21DAA" w:rsidRPr="00FE07FE" w:rsidRDefault="00115B35">
      <w:pPr>
        <w:pStyle w:val="H23G"/>
        <w:rPr>
          <w:lang w:eastAsia="en-US"/>
        </w:rPr>
      </w:pPr>
      <w:r w:rsidRPr="00FE07FE">
        <w:rPr>
          <w:lang w:eastAsia="en-US"/>
        </w:rPr>
        <w:tab/>
      </w:r>
      <w:r w:rsidRPr="00FE07FE">
        <w:rPr>
          <w:lang w:eastAsia="en-US"/>
        </w:rPr>
        <w:tab/>
        <w:t>Otros tipos de Tutela</w:t>
      </w:r>
    </w:p>
    <w:p w:rsidR="00C21DAA" w:rsidRPr="00FE07FE" w:rsidRDefault="00115B35">
      <w:pPr>
        <w:pStyle w:val="H4G"/>
        <w:rPr>
          <w:lang w:eastAsia="en-US"/>
        </w:rPr>
      </w:pPr>
      <w:r w:rsidRPr="00FE07FE">
        <w:rPr>
          <w:lang w:eastAsia="en-US"/>
        </w:rPr>
        <w:tab/>
      </w:r>
      <w:r w:rsidRPr="00FE07FE">
        <w:rPr>
          <w:lang w:eastAsia="en-US"/>
        </w:rPr>
        <w:tab/>
        <w:t xml:space="preserve">Párrafo 53 </w:t>
      </w:r>
    </w:p>
    <w:p w:rsidR="00C21DAA" w:rsidRPr="00FE07FE" w:rsidRDefault="00FE07FE" w:rsidP="00500FFB">
      <w:pPr>
        <w:pStyle w:val="SingleTxtG"/>
        <w:rPr>
          <w:lang w:val="es-MX" w:eastAsia="en-US"/>
        </w:rPr>
      </w:pPr>
      <w:r w:rsidRPr="00500FFB">
        <w:rPr>
          <w:lang w:val="es-MX" w:eastAsia="en-US"/>
        </w:rPr>
        <w:t>149.</w:t>
      </w:r>
      <w:r w:rsidRPr="00500FFB">
        <w:rPr>
          <w:lang w:val="es-MX" w:eastAsia="en-US"/>
        </w:rPr>
        <w:tab/>
      </w:r>
      <w:r w:rsidR="00115B35" w:rsidRPr="00FE07FE">
        <w:rPr>
          <w:lang w:val="es-MX" w:eastAsia="en-US"/>
        </w:rPr>
        <w:t xml:space="preserve">En 2007, en el marco del COFENAF a través del </w:t>
      </w:r>
      <w:r w:rsidR="00115B35" w:rsidRPr="00FE07FE">
        <w:rPr>
          <w:b/>
          <w:i/>
          <w:lang w:val="es-MX" w:eastAsia="en-US"/>
        </w:rPr>
        <w:t>“Acta de lineamientos nacionales en materia de niñas, niños y adolescentes carentes de cuidados parentales”,</w:t>
      </w:r>
      <w:r w:rsidR="00115B35" w:rsidRPr="00FE07FE">
        <w:rPr>
          <w:lang w:val="es-MX" w:eastAsia="en-US"/>
        </w:rPr>
        <w:t xml:space="preserve"> se acordaron los lineamientos a aplicar </w:t>
      </w:r>
      <w:r w:rsidR="00115B35" w:rsidRPr="00FE07FE">
        <w:rPr>
          <w:b/>
          <w:i/>
          <w:lang w:val="es-MX" w:eastAsia="en-US"/>
        </w:rPr>
        <w:t>en todo el territorio</w:t>
      </w:r>
      <w:r w:rsidR="00115B35" w:rsidRPr="00FE07FE">
        <w:rPr>
          <w:lang w:val="es-MX" w:eastAsia="en-US"/>
        </w:rPr>
        <w:t xml:space="preserve"> nacional con relación a niños </w:t>
      </w:r>
      <w:r w:rsidR="00115B35" w:rsidRPr="00FE07FE">
        <w:rPr>
          <w:b/>
          <w:i/>
          <w:lang w:val="es-MX" w:eastAsia="en-US"/>
        </w:rPr>
        <w:t>sin cuidados parentales.</w:t>
      </w:r>
      <w:r w:rsidR="00115B35" w:rsidRPr="00FE07FE">
        <w:rPr>
          <w:lang w:val="es-MX" w:eastAsia="en-US"/>
        </w:rPr>
        <w:t xml:space="preserve"> </w:t>
      </w:r>
    </w:p>
    <w:p w:rsidR="00C21DAA" w:rsidRPr="00FE07FE" w:rsidRDefault="00FE07FE" w:rsidP="00500FFB">
      <w:pPr>
        <w:pStyle w:val="SingleTxtG"/>
        <w:rPr>
          <w:lang w:val="es-MX" w:eastAsia="en-US"/>
        </w:rPr>
      </w:pPr>
      <w:r w:rsidRPr="00500FFB">
        <w:rPr>
          <w:lang w:val="es-MX" w:eastAsia="en-US"/>
        </w:rPr>
        <w:t>150.</w:t>
      </w:r>
      <w:r w:rsidRPr="00500FFB">
        <w:rPr>
          <w:lang w:val="es-MX" w:eastAsia="en-US"/>
        </w:rPr>
        <w:tab/>
      </w:r>
      <w:r w:rsidR="00115B35" w:rsidRPr="00FE07FE">
        <w:rPr>
          <w:lang w:val="es-MX" w:eastAsia="en-US"/>
        </w:rPr>
        <w:t xml:space="preserve">La SENAF junto a UNICEF desarrolló en 2010 el Proyecto </w:t>
      </w:r>
      <w:r w:rsidR="00115B35" w:rsidRPr="00FE07FE">
        <w:rPr>
          <w:b/>
          <w:i/>
          <w:lang w:val="es-MX" w:eastAsia="en-US"/>
        </w:rPr>
        <w:t>“Situación de Niños, niñas y adolescentes sin Cuidados Parentales en la República Argentina”</w:t>
      </w:r>
      <w:r w:rsidR="00115B35" w:rsidRPr="00FE07FE">
        <w:rPr>
          <w:lang w:val="es-MX" w:eastAsia="en-US"/>
        </w:rPr>
        <w:t xml:space="preserve">, sobre condiciones de la niñez sin cuidados parentales y la promoción y fortalecimiento del derecho a la convivencia familiar y comunitaria. A partir de este estudio, el COFENAF consensuó un Acta Compromiso en septiembre de 2011 y otra en marzo de 2013 para abordar sus conclusiones. </w:t>
      </w:r>
    </w:p>
    <w:p w:rsidR="00C21DAA" w:rsidRPr="00FE07FE" w:rsidRDefault="00115B35" w:rsidP="00500FFB">
      <w:pPr>
        <w:pStyle w:val="SingleTxtG"/>
        <w:keepNext/>
        <w:spacing w:after="0"/>
        <w:jc w:val="left"/>
        <w:rPr>
          <w:b/>
          <w:lang w:val="es-MX" w:eastAsia="en-US"/>
        </w:rPr>
      </w:pPr>
      <w:r w:rsidRPr="00FE07FE">
        <w:rPr>
          <w:b/>
          <w:lang w:val="es-MX" w:eastAsia="en-US"/>
        </w:rPr>
        <w:lastRenderedPageBreak/>
        <w:t xml:space="preserve">Porcentaje de niñas et niños y adolescentes sin cuidados parentales </w:t>
      </w:r>
      <w:r w:rsidR="00F369EE">
        <w:rPr>
          <w:b/>
          <w:lang w:val="es-MX" w:eastAsia="en-US"/>
        </w:rPr>
        <w:br/>
      </w:r>
      <w:r w:rsidRPr="00FE07FE">
        <w:rPr>
          <w:b/>
          <w:lang w:val="es-MX" w:eastAsia="en-US"/>
        </w:rPr>
        <w:t>según franja etaria</w:t>
      </w:r>
    </w:p>
    <w:p w:rsidR="00C21DAA" w:rsidRPr="00FE07FE" w:rsidRDefault="00A45CE4" w:rsidP="00F369EE">
      <w:pPr>
        <w:spacing w:line="240" w:lineRule="auto"/>
        <w:jc w:val="center"/>
        <w:rPr>
          <w:sz w:val="24"/>
          <w:szCs w:val="24"/>
          <w:lang w:eastAsia="en-US"/>
        </w:rPr>
      </w:pPr>
      <w:r w:rsidRPr="00500FFB">
        <w:rPr>
          <w:noProof/>
          <w:lang w:eastAsia="zh-CN"/>
        </w:rPr>
        <w:drawing>
          <wp:inline distT="0" distB="0" distL="0" distR="0" wp14:anchorId="3177A623" wp14:editId="562D5193">
            <wp:extent cx="4524375" cy="2343150"/>
            <wp:effectExtent l="0" t="0" r="0" b="0"/>
            <wp:docPr id="13" name="Obje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1DAA" w:rsidRPr="00FE07FE" w:rsidRDefault="00FE07FE" w:rsidP="00500FFB">
      <w:pPr>
        <w:pStyle w:val="SingleTxtG"/>
        <w:rPr>
          <w:lang w:val="es-MX" w:eastAsia="en-US"/>
        </w:rPr>
      </w:pPr>
      <w:r w:rsidRPr="00500FFB">
        <w:rPr>
          <w:lang w:val="es-MX" w:eastAsia="en-US"/>
        </w:rPr>
        <w:t>151.</w:t>
      </w:r>
      <w:r w:rsidRPr="00500FFB">
        <w:rPr>
          <w:lang w:val="es-MX" w:eastAsia="en-US"/>
        </w:rPr>
        <w:tab/>
      </w:r>
      <w:r w:rsidR="00115B35" w:rsidRPr="00FE07FE">
        <w:rPr>
          <w:lang w:val="es-MX" w:eastAsia="en-US"/>
        </w:rPr>
        <w:t>Las principales causas de ingreso son la violencia doméstica y el maltrato: el 44% de los niños sin cuidados parentales se alejó o fue separado de su hogar por esta razón. En segunda lugar, se encuentra el abandono, que representa el 31% de las intervenciones, y en tercer lugar el abuso, con el 13%. CABA y la provincia de Buenos Aires son los distritos que concentran la mayor cantidad de niños y niñas en esta situación, con el 49% de los casos. Le sigue el NEA (Formosa, Chaco, Corrientes y Misiones) con el 20%; las provincias del Centro (Córdoba, Santa Fe, Entre Ríos y La Pampa) con el 12%; Cuyo (Mendoza, San Juan y San Luis) con el 8%; Patagonia (Neuquén, Río Negro, Santa Cruz, Chubut y Tierra del Fuego) con el 6%; y el NOA (Jujuy, Salta, Tucumán, Catamarca, La Rioja y Santiago del Estero) con el 5%.</w:t>
      </w:r>
    </w:p>
    <w:p w:rsidR="00C21DAA" w:rsidRPr="00FE07FE" w:rsidRDefault="00FE07FE" w:rsidP="00500FFB">
      <w:pPr>
        <w:pStyle w:val="SingleTxtG"/>
        <w:rPr>
          <w:lang w:val="es-MX" w:eastAsia="en-US"/>
        </w:rPr>
      </w:pPr>
      <w:r w:rsidRPr="00500FFB">
        <w:rPr>
          <w:lang w:val="es-MX" w:eastAsia="en-US"/>
        </w:rPr>
        <w:t>152.</w:t>
      </w:r>
      <w:r w:rsidRPr="00500FFB">
        <w:rPr>
          <w:lang w:val="es-MX" w:eastAsia="en-US"/>
        </w:rPr>
        <w:tab/>
      </w:r>
      <w:r w:rsidR="00115B35" w:rsidRPr="00FE07FE">
        <w:rPr>
          <w:lang w:val="es-MX" w:eastAsia="en-US"/>
        </w:rPr>
        <w:t xml:space="preserve">La línea de restitución de derechos de SENAF para cuidados en ámbito familiar alternativo o institucional cuenta con los siguientes dispositivos: </w:t>
      </w:r>
      <w:r w:rsidR="00115B35" w:rsidRPr="00FE07FE">
        <w:rPr>
          <w:b/>
          <w:i/>
          <w:lang w:val="es-MX" w:eastAsia="en-US"/>
        </w:rPr>
        <w:t>Dispositivos de Cuidado Residencial:</w:t>
      </w:r>
      <w:r w:rsidR="00115B35" w:rsidRPr="00FE07FE">
        <w:rPr>
          <w:lang w:val="es-MX" w:eastAsia="en-US"/>
        </w:rPr>
        <w:t xml:space="preserve"> Dispositivos de cuidado familiar (presentes es Chubut, CABA, Córdoba, Entre Ríos, Jujuy, La Pampa, La Rioja, Mendoza, Misiones, Neuquén, Salta, Santa Cruz, Santa Fe, Tierra del Fuego y Tucumán); y </w:t>
      </w:r>
      <w:r w:rsidR="00115B35" w:rsidRPr="00FE07FE">
        <w:rPr>
          <w:b/>
          <w:i/>
          <w:lang w:val="es-MX" w:eastAsia="en-US"/>
        </w:rPr>
        <w:t>Programas de intervención y Dispositivos institucionales</w:t>
      </w:r>
      <w:r w:rsidR="00115B35" w:rsidRPr="00FE07FE">
        <w:rPr>
          <w:lang w:val="es-MX" w:eastAsia="en-US"/>
        </w:rPr>
        <w:t xml:space="preserve"> (presentes en 20 jurisdicciones). </w:t>
      </w:r>
    </w:p>
    <w:p w:rsidR="00C21DAA" w:rsidRPr="00FE07FE" w:rsidRDefault="00FE07FE" w:rsidP="00500FFB">
      <w:pPr>
        <w:pStyle w:val="SingleTxtG"/>
        <w:rPr>
          <w:lang w:val="es-MX" w:eastAsia="en-US"/>
        </w:rPr>
      </w:pPr>
      <w:r w:rsidRPr="00500FFB">
        <w:rPr>
          <w:lang w:val="es-MX" w:eastAsia="en-US"/>
        </w:rPr>
        <w:t>153.</w:t>
      </w:r>
      <w:r w:rsidRPr="00500FFB">
        <w:rPr>
          <w:lang w:val="es-MX" w:eastAsia="en-US"/>
        </w:rPr>
        <w:tab/>
      </w:r>
      <w:r w:rsidR="00115B35" w:rsidRPr="00FE07FE">
        <w:rPr>
          <w:lang w:val="es-MX" w:eastAsia="en-US"/>
        </w:rPr>
        <w:t xml:space="preserve">De acuerdo al SIIPPNAF, los distintos dispositivos de la Línea de Restitución de derechos y cuidados en el ámbito familiar o institucional, brindan en conjunto </w:t>
      </w:r>
      <w:r w:rsidR="00115B35" w:rsidRPr="00FE07FE">
        <w:rPr>
          <w:b/>
          <w:i/>
          <w:lang w:val="es-MX" w:eastAsia="en-US"/>
        </w:rPr>
        <w:t xml:space="preserve">812 prestaciones </w:t>
      </w:r>
      <w:r w:rsidR="00115B35" w:rsidRPr="00FE07FE">
        <w:rPr>
          <w:lang w:val="es-MX" w:eastAsia="en-US"/>
        </w:rPr>
        <w:t xml:space="preserve">cuya distribución es la siguiente: el 51% (416) son de </w:t>
      </w:r>
      <w:r w:rsidR="00115B35" w:rsidRPr="00FE07FE">
        <w:rPr>
          <w:b/>
          <w:i/>
          <w:lang w:val="es-MX" w:eastAsia="en-US"/>
        </w:rPr>
        <w:t>Asistencia Financiera</w:t>
      </w:r>
      <w:r w:rsidR="00115B35" w:rsidRPr="00FE07FE">
        <w:rPr>
          <w:lang w:val="es-MX" w:eastAsia="en-US"/>
        </w:rPr>
        <w:t xml:space="preserve">; un 37% (302), las prestaciones de Asistencia Directa, brindadas fundamentalmente a la población de 0 a 17 años y en menor medida a las familias; y la </w:t>
      </w:r>
      <w:r w:rsidR="00115B35" w:rsidRPr="00FE07FE">
        <w:rPr>
          <w:b/>
          <w:lang w:val="es-MX" w:eastAsia="en-US"/>
        </w:rPr>
        <w:t>Capacitación</w:t>
      </w:r>
      <w:r w:rsidR="00115B35" w:rsidRPr="00FE07FE">
        <w:rPr>
          <w:lang w:val="es-MX" w:eastAsia="en-US"/>
        </w:rPr>
        <w:t xml:space="preserve"> destinadas a niños de 0 a 17 años.</w:t>
      </w:r>
    </w:p>
    <w:p w:rsidR="00C21DAA" w:rsidRPr="00FE07FE" w:rsidRDefault="00A45CE4">
      <w:pPr>
        <w:spacing w:line="360" w:lineRule="auto"/>
        <w:jc w:val="center"/>
        <w:rPr>
          <w:sz w:val="24"/>
          <w:szCs w:val="24"/>
          <w:lang w:eastAsia="en-US"/>
        </w:rPr>
      </w:pPr>
      <w:r w:rsidRPr="00B9425B">
        <w:rPr>
          <w:noProof/>
          <w:lang w:eastAsia="zh-CN"/>
        </w:rPr>
        <w:drawing>
          <wp:inline distT="0" distB="0" distL="0" distR="0" wp14:anchorId="239F4B79" wp14:editId="311F16FB">
            <wp:extent cx="5410200" cy="2695575"/>
            <wp:effectExtent l="0" t="0" r="0" b="0"/>
            <wp:docPr id="12" name="Obje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1DAA" w:rsidRPr="00FE07FE" w:rsidRDefault="00FE07FE" w:rsidP="00500FFB">
      <w:pPr>
        <w:pStyle w:val="SingleTxtG"/>
        <w:rPr>
          <w:lang w:val="es-MX" w:eastAsia="en-US"/>
        </w:rPr>
      </w:pPr>
      <w:r w:rsidRPr="00500FFB">
        <w:rPr>
          <w:lang w:val="es-MX" w:eastAsia="en-US"/>
        </w:rPr>
        <w:lastRenderedPageBreak/>
        <w:t>154.</w:t>
      </w:r>
      <w:r w:rsidRPr="00500FFB">
        <w:rPr>
          <w:lang w:val="es-MX" w:eastAsia="en-US"/>
        </w:rPr>
        <w:tab/>
      </w:r>
      <w:r w:rsidR="00115B35" w:rsidRPr="00FE07FE">
        <w:rPr>
          <w:lang w:val="es-MX" w:eastAsia="en-US"/>
        </w:rPr>
        <w:t xml:space="preserve">En cuanto a normas en materia de cuidado alternativo,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26061 establece en sus artículos 37, 39, y 41 sobre medidas excepcionales; así como también la reglamentación de dicho artículo. En cuanto a los </w:t>
      </w:r>
      <w:r w:rsidR="00115B35" w:rsidRPr="00FE07FE">
        <w:rPr>
          <w:b/>
          <w:i/>
          <w:lang w:val="es-MX" w:eastAsia="en-US"/>
        </w:rPr>
        <w:t>niños de familias monoparentales</w:t>
      </w:r>
      <w:r w:rsidR="00115B35" w:rsidRPr="00FE07FE">
        <w:rPr>
          <w:lang w:val="es-MX" w:eastAsia="en-US"/>
        </w:rPr>
        <w:t xml:space="preserve">, el nuevo CCCN reemplazó el término “patria potestad” por el de “responsabilidad parental”, en concordancia con la CDN y la </w:t>
      </w:r>
      <w:r w:rsidR="00B1146A">
        <w:rPr>
          <w:lang w:val="es-MX" w:eastAsia="en-US"/>
        </w:rPr>
        <w:t>L</w:t>
      </w:r>
      <w:r w:rsidR="00115B35" w:rsidRPr="00FE07FE">
        <w:rPr>
          <w:lang w:val="es-MX" w:eastAsia="en-US"/>
        </w:rPr>
        <w:t xml:space="preserve">ey </w:t>
      </w:r>
      <w:r w:rsidR="00B1146A">
        <w:rPr>
          <w:lang w:val="es-MX" w:eastAsia="en-US"/>
        </w:rPr>
        <w:t xml:space="preserve">núm. </w:t>
      </w:r>
      <w:r w:rsidR="00115B35" w:rsidRPr="00FE07FE">
        <w:rPr>
          <w:lang w:val="es-MX" w:eastAsia="en-US"/>
        </w:rPr>
        <w:t>26061 (art.</w:t>
      </w:r>
      <w:r w:rsidR="00D5464A">
        <w:rPr>
          <w:lang w:val="es-MX" w:eastAsia="en-US"/>
        </w:rPr>
        <w:t xml:space="preserve"> </w:t>
      </w:r>
      <w:r w:rsidR="00115B35" w:rsidRPr="00FE07FE">
        <w:rPr>
          <w:lang w:val="es-MX" w:eastAsia="en-US"/>
        </w:rPr>
        <w:t xml:space="preserve">7°).  </w:t>
      </w:r>
    </w:p>
    <w:p w:rsidR="00C21DAA" w:rsidRPr="00FE07FE" w:rsidRDefault="00FE07FE" w:rsidP="00500FFB">
      <w:pPr>
        <w:pStyle w:val="SingleTxtG"/>
        <w:rPr>
          <w:lang w:val="es-MX" w:eastAsia="en-US"/>
        </w:rPr>
      </w:pPr>
      <w:r w:rsidRPr="00500FFB">
        <w:rPr>
          <w:lang w:val="es-MX" w:eastAsia="en-US"/>
        </w:rPr>
        <w:t>155.</w:t>
      </w:r>
      <w:r w:rsidRPr="00500FFB">
        <w:rPr>
          <w:lang w:val="es-MX" w:eastAsia="en-US"/>
        </w:rPr>
        <w:tab/>
      </w:r>
      <w:r w:rsidR="00115B35" w:rsidRPr="00FE07FE">
        <w:rPr>
          <w:lang w:val="es-MX" w:eastAsia="en-US"/>
        </w:rPr>
        <w:t>El CCCN en su artículo 595 establece la obligación de requerir el consentimiento del niño a partir de los diez años.</w:t>
      </w:r>
    </w:p>
    <w:p w:rsidR="00C21DAA" w:rsidRPr="00FE07FE" w:rsidRDefault="00115B35">
      <w:pPr>
        <w:pStyle w:val="H23G"/>
        <w:rPr>
          <w:lang w:eastAsia="en-US"/>
        </w:rPr>
      </w:pPr>
      <w:r w:rsidRPr="00FE07FE">
        <w:rPr>
          <w:lang w:eastAsia="en-US"/>
        </w:rPr>
        <w:tab/>
      </w:r>
      <w:r w:rsidRPr="00FE07FE">
        <w:rPr>
          <w:lang w:eastAsia="en-US"/>
        </w:rPr>
        <w:tab/>
        <w:t xml:space="preserve">Malos tratos y descuido </w:t>
      </w:r>
    </w:p>
    <w:p w:rsidR="00C21DAA" w:rsidRPr="00FE07FE" w:rsidRDefault="00115B35">
      <w:pPr>
        <w:pStyle w:val="H4G"/>
        <w:rPr>
          <w:lang w:eastAsia="en-US"/>
        </w:rPr>
      </w:pPr>
      <w:r w:rsidRPr="00FE07FE">
        <w:rPr>
          <w:lang w:eastAsia="en-US"/>
        </w:rPr>
        <w:tab/>
      </w:r>
      <w:r w:rsidRPr="00FE07FE">
        <w:rPr>
          <w:lang w:eastAsia="en-US"/>
        </w:rPr>
        <w:tab/>
        <w:t>Párrafo 55</w:t>
      </w:r>
    </w:p>
    <w:p w:rsidR="00C21DAA" w:rsidRPr="00FE07FE" w:rsidRDefault="00FE07FE" w:rsidP="00500FFB">
      <w:pPr>
        <w:pStyle w:val="SingleTxtG"/>
        <w:rPr>
          <w:lang w:val="es-MX" w:eastAsia="en-US"/>
        </w:rPr>
      </w:pPr>
      <w:r w:rsidRPr="00500FFB">
        <w:rPr>
          <w:lang w:val="es-MX" w:eastAsia="en-US"/>
        </w:rPr>
        <w:t>156.</w:t>
      </w:r>
      <w:r w:rsidRPr="00500FFB">
        <w:rPr>
          <w:lang w:val="es-MX" w:eastAsia="en-US"/>
        </w:rPr>
        <w:tab/>
      </w:r>
      <w:r w:rsidR="00115B35" w:rsidRPr="00FE07FE">
        <w:rPr>
          <w:lang w:val="es-MX" w:eastAsia="en-US"/>
        </w:rPr>
        <w:t xml:space="preserve">La </w:t>
      </w:r>
      <w:r w:rsidR="00B9425B">
        <w:rPr>
          <w:lang w:val="es-MX" w:eastAsia="en-US"/>
        </w:rPr>
        <w:t>L</w:t>
      </w:r>
      <w:r w:rsidR="00115B35" w:rsidRPr="00FE07FE">
        <w:rPr>
          <w:lang w:val="es-MX" w:eastAsia="en-US"/>
        </w:rPr>
        <w:t xml:space="preserve">ey </w:t>
      </w:r>
      <w:r w:rsidR="00B9425B">
        <w:rPr>
          <w:lang w:val="es-MX" w:eastAsia="en-US"/>
        </w:rPr>
        <w:t xml:space="preserve">núm. </w:t>
      </w:r>
      <w:r w:rsidR="00115B35" w:rsidRPr="00FE07FE">
        <w:rPr>
          <w:lang w:val="es-MX" w:eastAsia="en-US"/>
        </w:rPr>
        <w:t xml:space="preserve">26485 fue reglamentada mediante </w:t>
      </w:r>
      <w:r w:rsidR="00C2305A">
        <w:rPr>
          <w:lang w:val="es-MX" w:eastAsia="en-US"/>
        </w:rPr>
        <w:t>D</w:t>
      </w:r>
      <w:r w:rsidR="00115B35" w:rsidRPr="00FE07FE">
        <w:rPr>
          <w:lang w:val="es-MX" w:eastAsia="en-US"/>
        </w:rPr>
        <w:t xml:space="preserve">ecreto del PEN </w:t>
      </w:r>
      <w:r w:rsidR="00C2305A">
        <w:rPr>
          <w:lang w:val="es-MX" w:eastAsia="en-US"/>
        </w:rPr>
        <w:t xml:space="preserve">núm. </w:t>
      </w:r>
      <w:r w:rsidR="00115B35" w:rsidRPr="00FE07FE">
        <w:rPr>
          <w:lang w:val="es-MX" w:eastAsia="en-US"/>
        </w:rPr>
        <w:t>1011/2010 y se creó en 2012 el “Proyecto Piloto de Asesoramiento y Patrocinio para Víctimas de Violencia de Género” ampliando los servicios de patrocinio gratuito y especializado a personas víctimas de violencia de género, facilitando así el acceso a la justicia. Dicha atención se brinda en los “Centros de Acceso a la Justicia” (CAJ), dependientes del MJDH. Durante el 2015 las consultas sobre situaciones de violencia de género fueron 854. El 87% de son madres y una alta proporción tienen hijos/as en común con la persona denunciada. El 71% manifestó que sus hijos/as sufren violencia indirecta y el 52% afirmó que sufren violencia directa.</w:t>
      </w:r>
    </w:p>
    <w:p w:rsidR="00C21DAA" w:rsidRPr="00FE07FE" w:rsidRDefault="00FE07FE" w:rsidP="00500FFB">
      <w:pPr>
        <w:pStyle w:val="SingleTxtG"/>
        <w:rPr>
          <w:lang w:val="es-MX" w:eastAsia="en-US"/>
        </w:rPr>
      </w:pPr>
      <w:r w:rsidRPr="00500FFB">
        <w:rPr>
          <w:lang w:val="es-MX" w:eastAsia="en-US"/>
        </w:rPr>
        <w:t>157.</w:t>
      </w:r>
      <w:r w:rsidRPr="00500FFB">
        <w:rPr>
          <w:lang w:val="es-MX" w:eastAsia="en-US"/>
        </w:rPr>
        <w:tab/>
      </w:r>
      <w:r w:rsidR="00115B35" w:rsidRPr="00FE07FE">
        <w:rPr>
          <w:lang w:val="es-MX" w:eastAsia="en-US"/>
        </w:rPr>
        <w:t xml:space="preserve">En 2014 el MDS en conjunto con UNICEF realizó la campaña “Por un buentrato a chicos y chicas” y el 14 de febrero de 2016, se llevó adelante acciones enmarcadas en la Campaña Nacional para Prevenir la Violencia en el noviazgo, denominada #AmorES. Desde SENAF junto a la Asociación Civil Trama se lleva a cabo una capacitación virtual destinada a operadores del sistema de protección sobre prevención de la violencia en los noviazgos. Los cierres fueron regionales y presenciales. </w:t>
      </w:r>
    </w:p>
    <w:p w:rsidR="00C21DAA" w:rsidRPr="00FE07FE" w:rsidRDefault="00FE07FE" w:rsidP="00500FFB">
      <w:pPr>
        <w:pStyle w:val="SingleTxtG"/>
        <w:rPr>
          <w:lang w:val="es-MX" w:eastAsia="en-US"/>
        </w:rPr>
      </w:pPr>
      <w:r w:rsidRPr="00500FFB">
        <w:rPr>
          <w:lang w:val="es-MX" w:eastAsia="en-US"/>
        </w:rPr>
        <w:t>158.</w:t>
      </w:r>
      <w:r w:rsidRPr="00500FFB">
        <w:rPr>
          <w:lang w:val="es-MX" w:eastAsia="en-US"/>
        </w:rPr>
        <w:tab/>
      </w:r>
      <w:r w:rsidR="00115B35" w:rsidRPr="00FE07FE">
        <w:rPr>
          <w:lang w:val="es-MX" w:eastAsia="en-US"/>
        </w:rPr>
        <w:t>El Consejo Nacional de las Mujeres (CNM) realizó las campañas: “260 Hombres sobre el machismo”: con el Instituto Nacional contra el Machismo (INACOM) en 2011; Campaña “Saca Tarjeta Roja al Maltratador, Edición Argentina 2011/2013”, “¡La igualdad es un derecho, el machismo no!” En el marco de la jornada electoral del mes de octubre de 2011; Difusión y sensibilización sobre los alcances del decreto 936/2011</w:t>
      </w:r>
      <w:r w:rsidR="00CD5E72">
        <w:rPr>
          <w:lang w:val="es-MX" w:eastAsia="en-US"/>
        </w:rPr>
        <w:t xml:space="preserve"> </w:t>
      </w:r>
      <w:r w:rsidR="00115B35" w:rsidRPr="00FE07FE">
        <w:rPr>
          <w:lang w:val="es-MX" w:eastAsia="en-US"/>
        </w:rPr>
        <w:t xml:space="preserve">que establece la creación de la Oficina de Monitoreo de Publicación de Avisos de Oferta de Comercio Sexual. En el marco del Programa de Fortalecimiento Institucional dependiente de la Dirección de Gestión Administrativa y Programas Especiales, fortaleció proyectos correspondientes a Áreas Mujer Municipales (AMM) y Organizaciones de la Sociedad Civil (OSC), pertenecientes a las regiones de: Bs. As., Centro, NEA, NOA, Cuyo y Patagonia. </w:t>
      </w:r>
    </w:p>
    <w:p w:rsidR="00C21DAA" w:rsidRPr="00FE07FE" w:rsidRDefault="00FE07FE" w:rsidP="00500FFB">
      <w:pPr>
        <w:pStyle w:val="SingleTxtG"/>
        <w:rPr>
          <w:lang w:val="es-MX" w:eastAsia="en-US"/>
        </w:rPr>
      </w:pPr>
      <w:r w:rsidRPr="00500FFB">
        <w:rPr>
          <w:lang w:val="es-MX" w:eastAsia="en-US"/>
        </w:rPr>
        <w:t>159.</w:t>
      </w:r>
      <w:r w:rsidRPr="00500FFB">
        <w:rPr>
          <w:lang w:val="es-MX" w:eastAsia="en-US"/>
        </w:rPr>
        <w:tab/>
      </w:r>
      <w:r w:rsidR="00115B35" w:rsidRPr="00FE07FE">
        <w:rPr>
          <w:lang w:val="es-MX" w:eastAsia="en-US"/>
        </w:rPr>
        <w:t xml:space="preserve">El MPF capacita a los propios integrantes del organismo (de manera obligatoria, conf. Res. DGN </w:t>
      </w:r>
      <w:r w:rsidR="00DF1C7B">
        <w:rPr>
          <w:lang w:val="es-MX" w:eastAsia="en-US"/>
        </w:rPr>
        <w:t xml:space="preserve">núm. </w:t>
      </w:r>
      <w:r w:rsidR="00115B35" w:rsidRPr="00FE07FE">
        <w:rPr>
          <w:lang w:val="es-MX" w:eastAsia="en-US"/>
        </w:rPr>
        <w:t xml:space="preserve">534/2009), y a otros operadores del sistema de justicia, a través de jornadas que involucran distintos actores y jurisdicciones. </w:t>
      </w:r>
    </w:p>
    <w:p w:rsidR="00C21DAA" w:rsidRPr="00FE07FE" w:rsidRDefault="00FE07FE" w:rsidP="00500FFB">
      <w:pPr>
        <w:pStyle w:val="SingleTxtG"/>
        <w:rPr>
          <w:lang w:eastAsia="en-US"/>
        </w:rPr>
      </w:pPr>
      <w:r w:rsidRPr="00500FFB">
        <w:rPr>
          <w:lang w:eastAsia="en-US"/>
        </w:rPr>
        <w:t>160.</w:t>
      </w:r>
      <w:r w:rsidRPr="00500FFB">
        <w:rPr>
          <w:lang w:eastAsia="en-US"/>
        </w:rPr>
        <w:tab/>
      </w:r>
      <w:r w:rsidR="00115B35" w:rsidRPr="00FE07FE">
        <w:rPr>
          <w:lang w:eastAsia="en-US"/>
        </w:rPr>
        <w:t xml:space="preserve">El </w:t>
      </w:r>
      <w:r w:rsidR="00115B35" w:rsidRPr="00FE07FE">
        <w:rPr>
          <w:lang w:val="es-MX" w:eastAsia="en-US"/>
        </w:rPr>
        <w:t>MSG</w:t>
      </w:r>
      <w:r w:rsidR="00115B35" w:rsidRPr="00FE07FE">
        <w:rPr>
          <w:lang w:eastAsia="en-US"/>
        </w:rPr>
        <w:t xml:space="preserve"> desde el 2012 capacita a las Fuerzas de Seguridad a través de sus escuelas de formación, y en coordinación con el </w:t>
      </w:r>
      <w:r w:rsidR="00115B35" w:rsidRPr="00FE07FE">
        <w:rPr>
          <w:i/>
          <w:lang w:eastAsia="en-US"/>
        </w:rPr>
        <w:t>Programa Uso Racional de la Fuerza dependiente de la Subsecretaria de Planeamiento y Formación y la Dirección de Seguimiento de Causas de Violencia Institucional y Delitos de Interés Federal</w:t>
      </w:r>
      <w:r w:rsidR="00115B35" w:rsidRPr="00FE07FE">
        <w:rPr>
          <w:lang w:eastAsia="en-US"/>
        </w:rPr>
        <w:t xml:space="preserve">. Posee los Centros Integrales de Género – CIG, creados bajo Resolución ministerial </w:t>
      </w:r>
      <w:r w:rsidR="00DF1C7B">
        <w:rPr>
          <w:lang w:val="es-MX" w:eastAsia="en-US"/>
        </w:rPr>
        <w:t xml:space="preserve">núm. </w:t>
      </w:r>
      <w:r w:rsidR="00115B35" w:rsidRPr="00FE07FE">
        <w:rPr>
          <w:lang w:eastAsia="en-US"/>
        </w:rPr>
        <w:t xml:space="preserve">1021/2011, que cuenta con un protocolo de atención específico para violencia de género en los CIG, (resolución 599/2012) y en el que confluyen Policía Federal, Gendarmería, Policía de Seguridad Aeroportuaria y Prefectura. Cuenta con los Centros Nacionales de. Orientación al Ciudadano CENOAC, que atiene la violencia familiar, abuso sexual infantil, Bulling, etc. </w:t>
      </w:r>
    </w:p>
    <w:p w:rsidR="00C21DAA" w:rsidRPr="00FE07FE" w:rsidRDefault="00FE07FE" w:rsidP="00500FFB">
      <w:pPr>
        <w:pStyle w:val="SingleTxtG"/>
        <w:rPr>
          <w:lang w:val="es-MX" w:eastAsia="en-US"/>
        </w:rPr>
      </w:pPr>
      <w:r w:rsidRPr="00500FFB">
        <w:rPr>
          <w:lang w:val="es-MX" w:eastAsia="en-US"/>
        </w:rPr>
        <w:t>161.</w:t>
      </w:r>
      <w:r w:rsidRPr="00500FFB">
        <w:rPr>
          <w:lang w:val="es-MX" w:eastAsia="en-US"/>
        </w:rPr>
        <w:tab/>
      </w:r>
      <w:r w:rsidR="00115B35" w:rsidRPr="00FE07FE">
        <w:rPr>
          <w:lang w:val="es-MX" w:eastAsia="en-US"/>
        </w:rPr>
        <w:t xml:space="preserve">El MS en 2015 actualizó el protocolo de atención para casos de violencia y abuso de la mujer y los niños, y en la mayoría de las jurisdicciones cuentan con leyes y protocolos para los trabajadores de la salud.  </w:t>
      </w:r>
    </w:p>
    <w:p w:rsidR="00C21DAA" w:rsidRPr="00FE07FE" w:rsidRDefault="00FE07FE" w:rsidP="00500FFB">
      <w:pPr>
        <w:pStyle w:val="SingleTxtG"/>
        <w:rPr>
          <w:lang w:val="es-MX" w:eastAsia="en-US"/>
        </w:rPr>
      </w:pPr>
      <w:r w:rsidRPr="00500FFB">
        <w:rPr>
          <w:lang w:val="es-MX" w:eastAsia="en-US"/>
        </w:rPr>
        <w:t>162.</w:t>
      </w:r>
      <w:r w:rsidRPr="00500FFB">
        <w:rPr>
          <w:lang w:val="es-MX" w:eastAsia="en-US"/>
        </w:rPr>
        <w:tab/>
      </w:r>
      <w:r w:rsidR="00115B35" w:rsidRPr="00FE07FE">
        <w:rPr>
          <w:lang w:val="es-MX" w:eastAsia="en-US"/>
        </w:rPr>
        <w:t xml:space="preserve">El MED capacita a los docentes a través de la Guía de Orientaciones aprobada por el CFE, y se realizaron 5 encuentros regionales y 8 provinciales con talleres específicos </w:t>
      </w:r>
      <w:r w:rsidR="00115B35" w:rsidRPr="00FE07FE">
        <w:rPr>
          <w:lang w:val="es-MX" w:eastAsia="en-US"/>
        </w:rPr>
        <w:lastRenderedPageBreak/>
        <w:t xml:space="preserve">de malos tratos y capacitó sobre el documento: “Maltrato Infantil, Orientaciones para actuar a la escuela”, además de los protocolos provinciales existentes.   </w:t>
      </w:r>
    </w:p>
    <w:p w:rsidR="00C21DAA" w:rsidRPr="00FE07FE" w:rsidRDefault="00115B35">
      <w:pPr>
        <w:pStyle w:val="H1G"/>
        <w:rPr>
          <w:lang w:eastAsia="en-US"/>
        </w:rPr>
      </w:pPr>
      <w:r w:rsidRPr="00FE07FE">
        <w:rPr>
          <w:lang w:eastAsia="en-US"/>
        </w:rPr>
        <w:tab/>
        <w:t>E.</w:t>
      </w:r>
      <w:r w:rsidRPr="00FE07FE">
        <w:rPr>
          <w:lang w:eastAsia="en-US"/>
        </w:rPr>
        <w:tab/>
        <w:t>Salud básica y bienestar (art.</w:t>
      </w:r>
      <w:r w:rsidR="00C2305A">
        <w:rPr>
          <w:lang w:eastAsia="en-US"/>
        </w:rPr>
        <w:t xml:space="preserve"> </w:t>
      </w:r>
      <w:r w:rsidRPr="00FE07FE">
        <w:rPr>
          <w:lang w:eastAsia="en-US"/>
        </w:rPr>
        <w:t xml:space="preserve">6, 18 (párrafo 3), 23, 24, 26 y 27 </w:t>
      </w:r>
      <w:r w:rsidR="00B9425B">
        <w:rPr>
          <w:lang w:eastAsia="en-US"/>
        </w:rPr>
        <w:br/>
      </w:r>
      <w:r w:rsidRPr="00FE07FE">
        <w:rPr>
          <w:lang w:eastAsia="en-US"/>
        </w:rPr>
        <w:t xml:space="preserve">(párrafos </w:t>
      </w:r>
      <w:smartTag w:uri="urn:schemas-microsoft-com:office:smarttags" w:element="metricconverter">
        <w:smartTagPr>
          <w:attr w:name="ProductID" w:val="1 a"/>
        </w:smartTagPr>
        <w:r w:rsidRPr="00FE07FE">
          <w:rPr>
            <w:lang w:eastAsia="en-US"/>
          </w:rPr>
          <w:t>1 a</w:t>
        </w:r>
      </w:smartTag>
      <w:r w:rsidRPr="00FE07FE">
        <w:rPr>
          <w:lang w:eastAsia="en-US"/>
        </w:rPr>
        <w:t xml:space="preserve"> 3) de la Convención)</w:t>
      </w:r>
    </w:p>
    <w:p w:rsidR="00C21DAA" w:rsidRPr="00FE07FE" w:rsidRDefault="00115B35">
      <w:pPr>
        <w:pStyle w:val="H23G"/>
        <w:rPr>
          <w:lang w:eastAsia="en-US"/>
        </w:rPr>
      </w:pPr>
      <w:r w:rsidRPr="00FE07FE">
        <w:rPr>
          <w:lang w:eastAsia="en-US"/>
        </w:rPr>
        <w:tab/>
      </w:r>
      <w:r w:rsidRPr="00FE07FE">
        <w:rPr>
          <w:lang w:eastAsia="en-US"/>
        </w:rPr>
        <w:tab/>
        <w:t xml:space="preserve">Niños con discapacidad </w:t>
      </w:r>
    </w:p>
    <w:p w:rsidR="00C21DAA" w:rsidRPr="00FE07FE" w:rsidRDefault="00115B35">
      <w:pPr>
        <w:pStyle w:val="H4G"/>
        <w:rPr>
          <w:lang w:eastAsia="en-US"/>
        </w:rPr>
      </w:pPr>
      <w:r w:rsidRPr="00FE07FE">
        <w:rPr>
          <w:lang w:eastAsia="en-US"/>
        </w:rPr>
        <w:tab/>
      </w:r>
      <w:r w:rsidRPr="00FE07FE">
        <w:rPr>
          <w:lang w:eastAsia="en-US"/>
        </w:rPr>
        <w:tab/>
        <w:t>Párrafo 57</w:t>
      </w:r>
    </w:p>
    <w:p w:rsidR="00C21DAA" w:rsidRPr="00FE07FE" w:rsidRDefault="00FE07FE" w:rsidP="00500FFB">
      <w:pPr>
        <w:pStyle w:val="SingleTxtG"/>
        <w:rPr>
          <w:lang w:val="es-MX" w:eastAsia="en-US"/>
        </w:rPr>
      </w:pPr>
      <w:r w:rsidRPr="00500FFB">
        <w:rPr>
          <w:lang w:val="es-MX" w:eastAsia="en-US"/>
        </w:rPr>
        <w:t>163.</w:t>
      </w:r>
      <w:r w:rsidRPr="00500FFB">
        <w:rPr>
          <w:lang w:val="es-MX" w:eastAsia="en-US"/>
        </w:rPr>
        <w:tab/>
      </w:r>
      <w:r w:rsidR="00115B35" w:rsidRPr="00FE07FE">
        <w:rPr>
          <w:lang w:val="es-MX" w:eastAsia="en-US"/>
        </w:rPr>
        <w:t xml:space="preserve">La </w:t>
      </w:r>
      <w:r w:rsidR="00B9425B">
        <w:rPr>
          <w:lang w:val="es-MX" w:eastAsia="en-US"/>
        </w:rPr>
        <w:t>L</w:t>
      </w:r>
      <w:r w:rsidR="00115B35" w:rsidRPr="00FE07FE">
        <w:rPr>
          <w:lang w:val="es-MX" w:eastAsia="en-US"/>
        </w:rPr>
        <w:t xml:space="preserve">ey </w:t>
      </w:r>
      <w:r w:rsidR="00B9425B">
        <w:rPr>
          <w:lang w:val="es-MX" w:eastAsia="en-US"/>
        </w:rPr>
        <w:t xml:space="preserve">núm. </w:t>
      </w:r>
      <w:r w:rsidR="00115B35" w:rsidRPr="00FE07FE">
        <w:rPr>
          <w:lang w:val="es-MX" w:eastAsia="en-US"/>
        </w:rPr>
        <w:t xml:space="preserve">27044 otorgó jerarquía constitucional a </w:t>
      </w:r>
      <w:r w:rsidR="00115B35" w:rsidRPr="00FE07FE">
        <w:rPr>
          <w:b/>
          <w:lang w:val="es-MX" w:eastAsia="en-US"/>
        </w:rPr>
        <w:t>la Convención sobre los Derechos de las Personas con Discapacidad (2008).</w:t>
      </w:r>
    </w:p>
    <w:p w:rsidR="00C21DAA" w:rsidRPr="00FE07FE" w:rsidRDefault="00115B35" w:rsidP="00500FFB">
      <w:pPr>
        <w:pStyle w:val="SingleTxtG"/>
        <w:jc w:val="left"/>
        <w:rPr>
          <w:b/>
          <w:lang w:val="es-MX" w:eastAsia="en-US"/>
        </w:rPr>
      </w:pPr>
      <w:r w:rsidRPr="00FE07FE">
        <w:rPr>
          <w:b/>
          <w:lang w:val="es-AR" w:eastAsia="es-AR"/>
        </w:rPr>
        <w:t xml:space="preserve">Total del país. Población en </w:t>
      </w:r>
      <w:r w:rsidRPr="00FE07FE">
        <w:rPr>
          <w:b/>
        </w:rPr>
        <w:t>viviendas</w:t>
      </w:r>
      <w:r w:rsidRPr="00FE07FE">
        <w:rPr>
          <w:b/>
          <w:lang w:val="es-AR" w:eastAsia="es-AR"/>
        </w:rPr>
        <w:t xml:space="preserve"> particulares, población con dificultad o limitación permanente y prevalencia de la dificultad o limitación permanente, </w:t>
      </w:r>
      <w:r w:rsidR="00B9425B">
        <w:rPr>
          <w:b/>
          <w:lang w:val="es-AR" w:eastAsia="es-AR"/>
        </w:rPr>
        <w:br/>
      </w:r>
      <w:r w:rsidRPr="00FE07FE">
        <w:rPr>
          <w:b/>
          <w:lang w:val="es-AR" w:eastAsia="es-AR"/>
        </w:rPr>
        <w:t xml:space="preserve">según sexo y grupo de edad. </w:t>
      </w:r>
      <w:r w:rsidRPr="00FE07FE">
        <w:rPr>
          <w:b/>
          <w:lang w:eastAsia="es-AR"/>
        </w:rPr>
        <w:t>Año 2010</w:t>
      </w:r>
    </w:p>
    <w:tbl>
      <w:tblPr>
        <w:tblW w:w="7554" w:type="dxa"/>
        <w:tblInd w:w="1134" w:type="dxa"/>
        <w:tblBorders>
          <w:top w:val="single" w:sz="4" w:space="0" w:color="auto"/>
        </w:tblBorders>
        <w:tblCellMar>
          <w:left w:w="0" w:type="dxa"/>
          <w:right w:w="0" w:type="dxa"/>
        </w:tblCellMar>
        <w:tblLook w:val="04A0" w:firstRow="1" w:lastRow="0" w:firstColumn="1" w:lastColumn="0" w:noHBand="0" w:noVBand="1"/>
      </w:tblPr>
      <w:tblGrid>
        <w:gridCol w:w="2381"/>
        <w:gridCol w:w="1549"/>
        <w:gridCol w:w="1549"/>
        <w:gridCol w:w="2139"/>
      </w:tblGrid>
      <w:tr w:rsidR="00B9425B" w:rsidRPr="00B9425B" w:rsidTr="00B9425B">
        <w:trPr>
          <w:trHeight w:val="240"/>
        </w:trPr>
        <w:tc>
          <w:tcPr>
            <w:tcW w:w="2365" w:type="dxa"/>
            <w:tcBorders>
              <w:top w:val="single" w:sz="12" w:space="0" w:color="auto"/>
              <w:bottom w:val="nil"/>
            </w:tcBorders>
            <w:shd w:val="clear" w:color="auto" w:fill="auto"/>
            <w:vAlign w:val="bottom"/>
            <w:hideMark/>
          </w:tcPr>
          <w:p w:rsidR="00C21DAA" w:rsidRPr="00B9425B" w:rsidRDefault="00115B35" w:rsidP="00500FFB">
            <w:pPr>
              <w:spacing w:before="80" w:after="80" w:line="200" w:lineRule="exact"/>
              <w:rPr>
                <w:sz w:val="18"/>
                <w:szCs w:val="16"/>
                <w:lang w:val="es-AR"/>
              </w:rPr>
            </w:pPr>
            <w:r w:rsidRPr="00500FFB">
              <w:rPr>
                <w:i/>
                <w:sz w:val="16"/>
                <w:szCs w:val="16"/>
                <w:lang w:val="es-AR"/>
              </w:rPr>
              <w:t>Sexo y grupo de edad</w:t>
            </w:r>
          </w:p>
        </w:tc>
        <w:tc>
          <w:tcPr>
            <w:tcW w:w="1533" w:type="dxa"/>
            <w:tcBorders>
              <w:top w:val="single" w:sz="12" w:space="0" w:color="auto"/>
              <w:bottom w:val="nil"/>
            </w:tcBorders>
            <w:shd w:val="clear" w:color="auto" w:fill="auto"/>
            <w:vAlign w:val="bottom"/>
            <w:hideMark/>
          </w:tcPr>
          <w:p w:rsidR="00C21DAA" w:rsidRPr="00500FFB" w:rsidRDefault="00115B35" w:rsidP="00500FFB">
            <w:pPr>
              <w:spacing w:before="80" w:after="80" w:line="200" w:lineRule="exact"/>
              <w:ind w:left="113"/>
              <w:jc w:val="right"/>
              <w:rPr>
                <w:i/>
                <w:sz w:val="16"/>
                <w:szCs w:val="16"/>
                <w:lang w:val="es-AR"/>
              </w:rPr>
            </w:pPr>
            <w:r w:rsidRPr="00500FFB">
              <w:rPr>
                <w:i/>
                <w:sz w:val="16"/>
                <w:szCs w:val="16"/>
                <w:lang w:val="es-AR"/>
              </w:rPr>
              <w:t>Población en viviendas particulares</w:t>
            </w:r>
          </w:p>
        </w:tc>
        <w:tc>
          <w:tcPr>
            <w:tcW w:w="1533" w:type="dxa"/>
            <w:tcBorders>
              <w:top w:val="single" w:sz="12" w:space="0" w:color="auto"/>
              <w:bottom w:val="nil"/>
            </w:tcBorders>
            <w:shd w:val="clear" w:color="auto" w:fill="auto"/>
            <w:vAlign w:val="bottom"/>
            <w:hideMark/>
          </w:tcPr>
          <w:p w:rsidR="00C21DAA" w:rsidRPr="00500FFB" w:rsidRDefault="00115B35" w:rsidP="00500FFB">
            <w:pPr>
              <w:spacing w:before="80" w:after="80" w:line="200" w:lineRule="exact"/>
              <w:ind w:left="113"/>
              <w:jc w:val="right"/>
              <w:rPr>
                <w:i/>
                <w:sz w:val="16"/>
                <w:szCs w:val="16"/>
                <w:lang w:val="es-AR"/>
              </w:rPr>
            </w:pPr>
            <w:r w:rsidRPr="00500FFB">
              <w:rPr>
                <w:i/>
                <w:sz w:val="16"/>
                <w:szCs w:val="16"/>
                <w:lang w:val="es-AR"/>
              </w:rPr>
              <w:t>Población con dificultad o limitación permanente (1)</w:t>
            </w:r>
          </w:p>
        </w:tc>
        <w:tc>
          <w:tcPr>
            <w:tcW w:w="2123" w:type="dxa"/>
            <w:tcBorders>
              <w:top w:val="single" w:sz="12" w:space="0" w:color="auto"/>
              <w:bottom w:val="nil"/>
            </w:tcBorders>
            <w:shd w:val="clear" w:color="auto" w:fill="auto"/>
            <w:vAlign w:val="bottom"/>
            <w:hideMark/>
          </w:tcPr>
          <w:p w:rsidR="00C21DAA" w:rsidRPr="00500FFB" w:rsidRDefault="00115B35" w:rsidP="00500FFB">
            <w:pPr>
              <w:spacing w:before="80" w:after="80" w:line="200" w:lineRule="exact"/>
              <w:ind w:left="113"/>
              <w:jc w:val="right"/>
              <w:rPr>
                <w:i/>
                <w:sz w:val="16"/>
                <w:szCs w:val="16"/>
                <w:lang w:val="es-AR"/>
              </w:rPr>
            </w:pPr>
            <w:r w:rsidRPr="00500FFB">
              <w:rPr>
                <w:i/>
                <w:sz w:val="16"/>
                <w:szCs w:val="16"/>
                <w:lang w:val="es-AR"/>
              </w:rPr>
              <w:t>Prevalencia (2) de la dificultad o limitación permanente</w:t>
            </w:r>
          </w:p>
        </w:tc>
      </w:tr>
      <w:tr w:rsidR="00B9425B" w:rsidRPr="00B9425B" w:rsidTr="00500FFB">
        <w:trPr>
          <w:trHeight w:val="240"/>
        </w:trPr>
        <w:tc>
          <w:tcPr>
            <w:tcW w:w="2365" w:type="dxa"/>
            <w:tcBorders>
              <w:top w:val="single" w:sz="12" w:space="0" w:color="auto"/>
              <w:bottom w:val="single" w:sz="12" w:space="0" w:color="auto"/>
            </w:tcBorders>
            <w:shd w:val="clear" w:color="auto" w:fill="auto"/>
            <w:noWrap/>
            <w:hideMark/>
          </w:tcPr>
          <w:p w:rsidR="00C21DAA" w:rsidRPr="00B9425B" w:rsidRDefault="00115B35" w:rsidP="00500FFB">
            <w:pPr>
              <w:spacing w:before="80" w:after="80" w:line="220" w:lineRule="exact"/>
              <w:ind w:left="284"/>
              <w:rPr>
                <w:b/>
                <w:bCs/>
                <w:sz w:val="18"/>
                <w:szCs w:val="16"/>
              </w:rPr>
            </w:pPr>
            <w:r w:rsidRPr="00B9425B">
              <w:rPr>
                <w:b/>
                <w:bCs/>
                <w:sz w:val="18"/>
                <w:szCs w:val="16"/>
              </w:rPr>
              <w:t>Total</w:t>
            </w:r>
          </w:p>
        </w:tc>
        <w:tc>
          <w:tcPr>
            <w:tcW w:w="1533" w:type="dxa"/>
            <w:tcBorders>
              <w:top w:val="single" w:sz="12" w:space="0" w:color="auto"/>
              <w:bottom w:val="single" w:sz="12" w:space="0" w:color="auto"/>
            </w:tcBorders>
            <w:shd w:val="clear" w:color="auto" w:fill="auto"/>
            <w:noWrap/>
            <w:vAlign w:val="bottom"/>
            <w:hideMark/>
          </w:tcPr>
          <w:p w:rsidR="00C21DAA" w:rsidRPr="00B9425B" w:rsidRDefault="00115B35" w:rsidP="00500FFB">
            <w:pPr>
              <w:spacing w:before="80" w:after="80" w:line="220" w:lineRule="exact"/>
              <w:ind w:left="113"/>
              <w:jc w:val="right"/>
              <w:rPr>
                <w:b/>
                <w:bCs/>
                <w:sz w:val="18"/>
                <w:szCs w:val="16"/>
              </w:rPr>
            </w:pPr>
            <w:r w:rsidRPr="00B9425B">
              <w:rPr>
                <w:b/>
                <w:bCs/>
                <w:sz w:val="18"/>
                <w:szCs w:val="16"/>
              </w:rPr>
              <w:t>39</w:t>
            </w:r>
            <w:r w:rsidR="00B9425B">
              <w:rPr>
                <w:b/>
                <w:bCs/>
                <w:sz w:val="18"/>
                <w:szCs w:val="16"/>
              </w:rPr>
              <w:t xml:space="preserve"> </w:t>
            </w:r>
            <w:r w:rsidRPr="00B9425B">
              <w:rPr>
                <w:b/>
                <w:bCs/>
                <w:sz w:val="18"/>
                <w:szCs w:val="16"/>
              </w:rPr>
              <w:t>671</w:t>
            </w:r>
            <w:r w:rsidR="00B9425B">
              <w:rPr>
                <w:b/>
                <w:bCs/>
                <w:sz w:val="18"/>
                <w:szCs w:val="16"/>
              </w:rPr>
              <w:t xml:space="preserve"> </w:t>
            </w:r>
            <w:r w:rsidRPr="00B9425B">
              <w:rPr>
                <w:b/>
                <w:bCs/>
                <w:sz w:val="18"/>
                <w:szCs w:val="16"/>
              </w:rPr>
              <w:t>131</w:t>
            </w:r>
          </w:p>
        </w:tc>
        <w:tc>
          <w:tcPr>
            <w:tcW w:w="1533" w:type="dxa"/>
            <w:tcBorders>
              <w:top w:val="single" w:sz="12" w:space="0" w:color="auto"/>
              <w:bottom w:val="single" w:sz="12" w:space="0" w:color="auto"/>
            </w:tcBorders>
            <w:shd w:val="clear" w:color="auto" w:fill="auto"/>
            <w:noWrap/>
            <w:vAlign w:val="bottom"/>
            <w:hideMark/>
          </w:tcPr>
          <w:p w:rsidR="00C21DAA" w:rsidRPr="00B9425B" w:rsidRDefault="00115B35" w:rsidP="00500FFB">
            <w:pPr>
              <w:spacing w:before="80" w:after="80" w:line="220" w:lineRule="exact"/>
              <w:ind w:left="113"/>
              <w:jc w:val="right"/>
              <w:rPr>
                <w:b/>
                <w:bCs/>
                <w:sz w:val="18"/>
                <w:szCs w:val="16"/>
              </w:rPr>
            </w:pPr>
            <w:r w:rsidRPr="00B9425B">
              <w:rPr>
                <w:b/>
                <w:bCs/>
                <w:sz w:val="18"/>
                <w:szCs w:val="16"/>
              </w:rPr>
              <w:t>5</w:t>
            </w:r>
            <w:r w:rsidR="00B9425B">
              <w:rPr>
                <w:b/>
                <w:bCs/>
                <w:sz w:val="18"/>
                <w:szCs w:val="16"/>
              </w:rPr>
              <w:t xml:space="preserve"> </w:t>
            </w:r>
            <w:r w:rsidRPr="00B9425B">
              <w:rPr>
                <w:b/>
                <w:bCs/>
                <w:sz w:val="18"/>
                <w:szCs w:val="16"/>
              </w:rPr>
              <w:t>114</w:t>
            </w:r>
            <w:r w:rsidR="00B9425B">
              <w:rPr>
                <w:b/>
                <w:bCs/>
                <w:sz w:val="18"/>
                <w:szCs w:val="16"/>
              </w:rPr>
              <w:t xml:space="preserve"> </w:t>
            </w:r>
            <w:r w:rsidRPr="00B9425B">
              <w:rPr>
                <w:b/>
                <w:bCs/>
                <w:sz w:val="18"/>
                <w:szCs w:val="16"/>
              </w:rPr>
              <w:t>190</w:t>
            </w:r>
          </w:p>
        </w:tc>
        <w:tc>
          <w:tcPr>
            <w:tcW w:w="2123" w:type="dxa"/>
            <w:tcBorders>
              <w:top w:val="single" w:sz="12" w:space="0" w:color="auto"/>
              <w:bottom w:val="single" w:sz="12" w:space="0" w:color="auto"/>
            </w:tcBorders>
            <w:shd w:val="clear" w:color="auto" w:fill="auto"/>
            <w:noWrap/>
            <w:vAlign w:val="bottom"/>
            <w:hideMark/>
          </w:tcPr>
          <w:p w:rsidR="00C21DAA" w:rsidRPr="00B9425B" w:rsidRDefault="00115B35" w:rsidP="00500FFB">
            <w:pPr>
              <w:spacing w:before="80" w:after="80" w:line="220" w:lineRule="exact"/>
              <w:ind w:left="113"/>
              <w:jc w:val="right"/>
              <w:rPr>
                <w:b/>
                <w:bCs/>
                <w:sz w:val="18"/>
                <w:szCs w:val="16"/>
              </w:rPr>
            </w:pPr>
            <w:r w:rsidRPr="00B9425B">
              <w:rPr>
                <w:b/>
                <w:bCs/>
                <w:sz w:val="18"/>
                <w:szCs w:val="16"/>
              </w:rPr>
              <w:t>12,9</w:t>
            </w:r>
          </w:p>
        </w:tc>
      </w:tr>
      <w:tr w:rsidR="00B9425B" w:rsidRPr="00B9425B" w:rsidTr="00500FFB">
        <w:trPr>
          <w:trHeight w:val="240"/>
        </w:trPr>
        <w:tc>
          <w:tcPr>
            <w:tcW w:w="2365" w:type="dxa"/>
            <w:tcBorders>
              <w:top w:val="single" w:sz="4" w:space="0" w:color="auto"/>
            </w:tcBorders>
            <w:shd w:val="clear" w:color="auto" w:fill="auto"/>
            <w:noWrap/>
            <w:hideMark/>
          </w:tcPr>
          <w:p w:rsidR="00C21DAA" w:rsidRPr="00B9425B" w:rsidRDefault="00115B35">
            <w:pPr>
              <w:spacing w:before="40" w:after="40" w:line="220" w:lineRule="exact"/>
              <w:rPr>
                <w:sz w:val="18"/>
                <w:szCs w:val="16"/>
              </w:rPr>
            </w:pPr>
            <w:r w:rsidRPr="00B9425B">
              <w:rPr>
                <w:sz w:val="18"/>
                <w:szCs w:val="16"/>
              </w:rPr>
              <w:t>0-4</w:t>
            </w:r>
          </w:p>
        </w:tc>
        <w:tc>
          <w:tcPr>
            <w:tcW w:w="1533" w:type="dxa"/>
            <w:tcBorders>
              <w:top w:val="single" w:sz="4" w:space="0" w:color="auto"/>
            </w:tcBorders>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3</w:t>
            </w:r>
            <w:r w:rsidR="00B9425B">
              <w:rPr>
                <w:sz w:val="18"/>
                <w:szCs w:val="16"/>
              </w:rPr>
              <w:t xml:space="preserve"> </w:t>
            </w:r>
            <w:r w:rsidRPr="00B9425B">
              <w:rPr>
                <w:sz w:val="18"/>
                <w:szCs w:val="16"/>
              </w:rPr>
              <w:t>326</w:t>
            </w:r>
            <w:r w:rsidR="00B9425B">
              <w:rPr>
                <w:sz w:val="18"/>
                <w:szCs w:val="16"/>
              </w:rPr>
              <w:t xml:space="preserve"> </w:t>
            </w:r>
            <w:r w:rsidRPr="00B9425B">
              <w:rPr>
                <w:sz w:val="18"/>
                <w:szCs w:val="16"/>
              </w:rPr>
              <w:t>197</w:t>
            </w:r>
          </w:p>
        </w:tc>
        <w:tc>
          <w:tcPr>
            <w:tcW w:w="1533" w:type="dxa"/>
            <w:tcBorders>
              <w:top w:val="single" w:sz="4" w:space="0" w:color="auto"/>
            </w:tcBorders>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84</w:t>
            </w:r>
            <w:r w:rsidR="00B9425B">
              <w:rPr>
                <w:sz w:val="18"/>
                <w:szCs w:val="16"/>
              </w:rPr>
              <w:t xml:space="preserve"> </w:t>
            </w:r>
            <w:r w:rsidRPr="00B9425B">
              <w:rPr>
                <w:sz w:val="18"/>
                <w:szCs w:val="16"/>
              </w:rPr>
              <w:t>118</w:t>
            </w:r>
          </w:p>
        </w:tc>
        <w:tc>
          <w:tcPr>
            <w:tcW w:w="2123" w:type="dxa"/>
            <w:tcBorders>
              <w:top w:val="single" w:sz="4" w:space="0" w:color="auto"/>
            </w:tcBorders>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2,5</w:t>
            </w:r>
          </w:p>
        </w:tc>
      </w:tr>
      <w:tr w:rsidR="00B9425B" w:rsidRPr="00B9425B" w:rsidTr="00500FFB">
        <w:trPr>
          <w:trHeight w:val="240"/>
        </w:trPr>
        <w:tc>
          <w:tcPr>
            <w:tcW w:w="2365" w:type="dxa"/>
            <w:shd w:val="clear" w:color="auto" w:fill="auto"/>
            <w:noWrap/>
            <w:hideMark/>
          </w:tcPr>
          <w:p w:rsidR="00C21DAA" w:rsidRPr="00B9425B" w:rsidRDefault="00115B35">
            <w:pPr>
              <w:spacing w:before="40" w:after="40" w:line="220" w:lineRule="exact"/>
              <w:rPr>
                <w:sz w:val="18"/>
                <w:szCs w:val="16"/>
              </w:rPr>
            </w:pPr>
            <w:r w:rsidRPr="00B9425B">
              <w:rPr>
                <w:sz w:val="18"/>
                <w:szCs w:val="16"/>
              </w:rPr>
              <w:t>5-9</w:t>
            </w:r>
          </w:p>
        </w:tc>
        <w:tc>
          <w:tcPr>
            <w:tcW w:w="1533"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3</w:t>
            </w:r>
            <w:r w:rsidR="00B9425B">
              <w:rPr>
                <w:sz w:val="18"/>
                <w:szCs w:val="16"/>
              </w:rPr>
              <w:t xml:space="preserve"> </w:t>
            </w:r>
            <w:r w:rsidRPr="00B9425B">
              <w:rPr>
                <w:sz w:val="18"/>
                <w:szCs w:val="16"/>
              </w:rPr>
              <w:t>378</w:t>
            </w:r>
            <w:r w:rsidR="00B9425B">
              <w:rPr>
                <w:sz w:val="18"/>
                <w:szCs w:val="16"/>
              </w:rPr>
              <w:t xml:space="preserve"> </w:t>
            </w:r>
            <w:r w:rsidRPr="00B9425B">
              <w:rPr>
                <w:sz w:val="18"/>
                <w:szCs w:val="16"/>
              </w:rPr>
              <w:t>126</w:t>
            </w:r>
          </w:p>
        </w:tc>
        <w:tc>
          <w:tcPr>
            <w:tcW w:w="1533"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162</w:t>
            </w:r>
            <w:r w:rsidR="00B9425B">
              <w:rPr>
                <w:sz w:val="18"/>
                <w:szCs w:val="16"/>
              </w:rPr>
              <w:t xml:space="preserve"> </w:t>
            </w:r>
            <w:r w:rsidRPr="00B9425B">
              <w:rPr>
                <w:sz w:val="18"/>
                <w:szCs w:val="16"/>
              </w:rPr>
              <w:t>677</w:t>
            </w:r>
          </w:p>
        </w:tc>
        <w:tc>
          <w:tcPr>
            <w:tcW w:w="2123"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4,8</w:t>
            </w:r>
          </w:p>
        </w:tc>
      </w:tr>
      <w:tr w:rsidR="00B9425B" w:rsidRPr="00B9425B" w:rsidTr="00500FFB">
        <w:trPr>
          <w:trHeight w:val="240"/>
        </w:trPr>
        <w:tc>
          <w:tcPr>
            <w:tcW w:w="2365" w:type="dxa"/>
            <w:shd w:val="clear" w:color="auto" w:fill="auto"/>
            <w:noWrap/>
            <w:hideMark/>
          </w:tcPr>
          <w:p w:rsidR="00C21DAA" w:rsidRPr="00B9425B" w:rsidRDefault="00115B35">
            <w:pPr>
              <w:spacing w:before="40" w:after="40" w:line="220" w:lineRule="exact"/>
              <w:rPr>
                <w:sz w:val="18"/>
                <w:szCs w:val="16"/>
              </w:rPr>
            </w:pPr>
            <w:r w:rsidRPr="00B9425B">
              <w:rPr>
                <w:sz w:val="18"/>
                <w:szCs w:val="16"/>
              </w:rPr>
              <w:t>10-14</w:t>
            </w:r>
          </w:p>
        </w:tc>
        <w:tc>
          <w:tcPr>
            <w:tcW w:w="1533"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3</w:t>
            </w:r>
            <w:r w:rsidR="00B9425B">
              <w:rPr>
                <w:sz w:val="18"/>
                <w:szCs w:val="16"/>
              </w:rPr>
              <w:t xml:space="preserve"> </w:t>
            </w:r>
            <w:r w:rsidRPr="00B9425B">
              <w:rPr>
                <w:sz w:val="18"/>
                <w:szCs w:val="16"/>
              </w:rPr>
              <w:t>488</w:t>
            </w:r>
            <w:r w:rsidR="00B9425B">
              <w:rPr>
                <w:sz w:val="18"/>
                <w:szCs w:val="16"/>
              </w:rPr>
              <w:t xml:space="preserve"> </w:t>
            </w:r>
            <w:r w:rsidRPr="00B9425B">
              <w:rPr>
                <w:sz w:val="18"/>
                <w:szCs w:val="16"/>
              </w:rPr>
              <w:t>515</w:t>
            </w:r>
          </w:p>
        </w:tc>
        <w:tc>
          <w:tcPr>
            <w:tcW w:w="1533"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208</w:t>
            </w:r>
            <w:r w:rsidR="00B9425B">
              <w:rPr>
                <w:sz w:val="18"/>
                <w:szCs w:val="16"/>
              </w:rPr>
              <w:t xml:space="preserve"> </w:t>
            </w:r>
            <w:r w:rsidRPr="00B9425B">
              <w:rPr>
                <w:sz w:val="18"/>
                <w:szCs w:val="16"/>
              </w:rPr>
              <w:t>375</w:t>
            </w:r>
          </w:p>
        </w:tc>
        <w:tc>
          <w:tcPr>
            <w:tcW w:w="2123"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6,0</w:t>
            </w:r>
          </w:p>
        </w:tc>
      </w:tr>
      <w:tr w:rsidR="00B9425B" w:rsidRPr="00B9425B" w:rsidTr="00500FFB">
        <w:trPr>
          <w:trHeight w:val="240"/>
        </w:trPr>
        <w:tc>
          <w:tcPr>
            <w:tcW w:w="2365" w:type="dxa"/>
            <w:tcBorders>
              <w:bottom w:val="single" w:sz="12" w:space="0" w:color="auto"/>
            </w:tcBorders>
            <w:shd w:val="clear" w:color="auto" w:fill="auto"/>
            <w:noWrap/>
            <w:hideMark/>
          </w:tcPr>
          <w:p w:rsidR="00C21DAA" w:rsidRPr="00B9425B" w:rsidRDefault="00115B35">
            <w:pPr>
              <w:spacing w:before="40" w:after="40" w:line="220" w:lineRule="exact"/>
              <w:rPr>
                <w:sz w:val="18"/>
                <w:szCs w:val="16"/>
              </w:rPr>
            </w:pPr>
            <w:r w:rsidRPr="00B9425B">
              <w:rPr>
                <w:sz w:val="18"/>
                <w:szCs w:val="16"/>
              </w:rPr>
              <w:t>15-19</w:t>
            </w:r>
          </w:p>
        </w:tc>
        <w:tc>
          <w:tcPr>
            <w:tcW w:w="1533" w:type="dxa"/>
            <w:tcBorders>
              <w:bottom w:val="single" w:sz="12" w:space="0" w:color="auto"/>
            </w:tcBorders>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3</w:t>
            </w:r>
            <w:r w:rsidR="00B9425B">
              <w:rPr>
                <w:sz w:val="18"/>
                <w:szCs w:val="16"/>
              </w:rPr>
              <w:t xml:space="preserve"> </w:t>
            </w:r>
            <w:r w:rsidRPr="00B9425B">
              <w:rPr>
                <w:sz w:val="18"/>
                <w:szCs w:val="16"/>
              </w:rPr>
              <w:t>518</w:t>
            </w:r>
            <w:r w:rsidR="00B9425B">
              <w:rPr>
                <w:sz w:val="18"/>
                <w:szCs w:val="16"/>
              </w:rPr>
              <w:t xml:space="preserve"> </w:t>
            </w:r>
            <w:r w:rsidRPr="00B9425B">
              <w:rPr>
                <w:sz w:val="18"/>
                <w:szCs w:val="16"/>
              </w:rPr>
              <w:t>730</w:t>
            </w:r>
          </w:p>
        </w:tc>
        <w:tc>
          <w:tcPr>
            <w:tcW w:w="1533" w:type="dxa"/>
            <w:tcBorders>
              <w:bottom w:val="single" w:sz="12" w:space="0" w:color="auto"/>
            </w:tcBorders>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204</w:t>
            </w:r>
            <w:r w:rsidR="00B9425B">
              <w:rPr>
                <w:sz w:val="18"/>
                <w:szCs w:val="16"/>
              </w:rPr>
              <w:t xml:space="preserve"> </w:t>
            </w:r>
            <w:r w:rsidRPr="00B9425B">
              <w:rPr>
                <w:sz w:val="18"/>
                <w:szCs w:val="16"/>
              </w:rPr>
              <w:t>554</w:t>
            </w:r>
          </w:p>
        </w:tc>
        <w:tc>
          <w:tcPr>
            <w:tcW w:w="2123" w:type="dxa"/>
            <w:tcBorders>
              <w:bottom w:val="single" w:sz="12" w:space="0" w:color="auto"/>
            </w:tcBorders>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5,8</w:t>
            </w:r>
          </w:p>
        </w:tc>
      </w:tr>
    </w:tbl>
    <w:p w:rsidR="00C21DAA" w:rsidRPr="00FE07FE" w:rsidRDefault="00FE07FE" w:rsidP="00500FFB">
      <w:pPr>
        <w:pStyle w:val="SingleTxtG"/>
        <w:spacing w:before="240"/>
        <w:rPr>
          <w:lang w:val="es-MX" w:eastAsia="en-US"/>
        </w:rPr>
      </w:pPr>
      <w:r w:rsidRPr="00500FFB">
        <w:rPr>
          <w:lang w:val="es-MX" w:eastAsia="en-US"/>
        </w:rPr>
        <w:t>164.</w:t>
      </w:r>
      <w:r w:rsidRPr="00500FFB">
        <w:rPr>
          <w:lang w:val="es-MX" w:eastAsia="en-US"/>
        </w:rPr>
        <w:tab/>
      </w:r>
      <w:r w:rsidR="00115B35" w:rsidRPr="00FE07FE">
        <w:rPr>
          <w:lang w:val="es-MX" w:eastAsia="en-US"/>
        </w:rPr>
        <w:t xml:space="preserve">La Administración Nacional de Seguridad Social registró como titulares de la </w:t>
      </w:r>
      <w:r w:rsidR="00115B35" w:rsidRPr="00FE07FE">
        <w:rPr>
          <w:b/>
          <w:i/>
          <w:lang w:val="es-MX" w:eastAsia="en-US"/>
        </w:rPr>
        <w:t>Asignación Familiar por hijo con discapacidad</w:t>
      </w:r>
      <w:r w:rsidR="00115B35" w:rsidRPr="00FE07FE">
        <w:rPr>
          <w:lang w:val="es-MX" w:eastAsia="en-US"/>
        </w:rPr>
        <w:t xml:space="preserve"> a 84.879 personas a marzo del 2016. </w:t>
      </w:r>
    </w:p>
    <w:p w:rsidR="00C21DAA" w:rsidRPr="00FE07FE" w:rsidRDefault="00FE07FE" w:rsidP="00500FFB">
      <w:pPr>
        <w:pStyle w:val="SingleTxtG"/>
        <w:rPr>
          <w:lang w:val="es-MX" w:eastAsia="en-US"/>
        </w:rPr>
      </w:pPr>
      <w:r w:rsidRPr="00500FFB">
        <w:rPr>
          <w:lang w:val="es-MX" w:eastAsia="en-US"/>
        </w:rPr>
        <w:t>165.</w:t>
      </w:r>
      <w:r w:rsidRPr="00500FFB">
        <w:rPr>
          <w:lang w:val="es-MX" w:eastAsia="en-US"/>
        </w:rPr>
        <w:tab/>
      </w:r>
      <w:r w:rsidR="00115B35" w:rsidRPr="00FE07FE">
        <w:rPr>
          <w:lang w:val="es-MX" w:eastAsia="en-US"/>
        </w:rPr>
        <w:t>La Comisión Nacional de Pensiones informa que 141.999 menores de 18 años perciben pensiones no contributivas por invalidez.</w:t>
      </w:r>
    </w:p>
    <w:tbl>
      <w:tblPr>
        <w:tblW w:w="7610" w:type="dxa"/>
        <w:tblInd w:w="1134" w:type="dxa"/>
        <w:tblBorders>
          <w:top w:val="single" w:sz="4" w:space="0" w:color="auto"/>
        </w:tblBorders>
        <w:tblCellMar>
          <w:left w:w="0" w:type="dxa"/>
          <w:right w:w="0" w:type="dxa"/>
        </w:tblCellMar>
        <w:tblLook w:val="04A0" w:firstRow="1" w:lastRow="0" w:firstColumn="1" w:lastColumn="0" w:noHBand="0" w:noVBand="1"/>
      </w:tblPr>
      <w:tblGrid>
        <w:gridCol w:w="1515"/>
        <w:gridCol w:w="1466"/>
        <w:gridCol w:w="1536"/>
        <w:gridCol w:w="1537"/>
        <w:gridCol w:w="1636"/>
      </w:tblGrid>
      <w:tr w:rsidR="00B9425B" w:rsidRPr="00B9425B" w:rsidTr="00500FFB">
        <w:trPr>
          <w:trHeight w:val="240"/>
          <w:tblHeader/>
        </w:trPr>
        <w:tc>
          <w:tcPr>
            <w:tcW w:w="1499" w:type="dxa"/>
            <w:vMerge w:val="restart"/>
            <w:tcBorders>
              <w:top w:val="single" w:sz="4" w:space="0" w:color="auto"/>
              <w:bottom w:val="single" w:sz="12" w:space="0" w:color="auto"/>
            </w:tcBorders>
            <w:shd w:val="clear" w:color="auto" w:fill="auto"/>
            <w:vAlign w:val="bottom"/>
            <w:hideMark/>
          </w:tcPr>
          <w:p w:rsidR="00C21DAA" w:rsidRPr="00B9425B" w:rsidRDefault="00115B35">
            <w:pPr>
              <w:spacing w:before="80" w:after="80" w:line="200" w:lineRule="exact"/>
              <w:rPr>
                <w:i/>
                <w:sz w:val="16"/>
                <w:szCs w:val="16"/>
                <w:lang w:val="es-AR"/>
              </w:rPr>
            </w:pPr>
            <w:r w:rsidRPr="00B9425B">
              <w:rPr>
                <w:i/>
                <w:sz w:val="16"/>
                <w:szCs w:val="16"/>
                <w:lang w:val="es-AR"/>
              </w:rPr>
              <w:t>Población en viviendas particulares que percibe jubilación y/o pensión</w:t>
            </w:r>
          </w:p>
        </w:tc>
        <w:tc>
          <w:tcPr>
            <w:tcW w:w="6111" w:type="dxa"/>
            <w:gridSpan w:val="4"/>
            <w:tcBorders>
              <w:top w:val="single" w:sz="4" w:space="0" w:color="auto"/>
              <w:bottom w:val="single" w:sz="4" w:space="0" w:color="auto"/>
            </w:tcBorders>
            <w:shd w:val="clear" w:color="auto" w:fill="auto"/>
            <w:vAlign w:val="bottom"/>
            <w:hideMark/>
          </w:tcPr>
          <w:p w:rsidR="00C21DAA" w:rsidRPr="00B9425B" w:rsidRDefault="00115B35" w:rsidP="00500FFB">
            <w:pPr>
              <w:spacing w:before="80" w:after="80" w:line="200" w:lineRule="exact"/>
              <w:ind w:left="113"/>
              <w:jc w:val="center"/>
              <w:rPr>
                <w:i/>
                <w:sz w:val="16"/>
                <w:szCs w:val="16"/>
                <w:lang w:val="es-AR"/>
              </w:rPr>
            </w:pPr>
            <w:r w:rsidRPr="00B9425B">
              <w:rPr>
                <w:i/>
                <w:sz w:val="16"/>
                <w:szCs w:val="16"/>
                <w:lang w:val="es-AR"/>
              </w:rPr>
              <w:t>Tipo de beneficio del Sistema de Jubilación Nacional</w:t>
            </w:r>
          </w:p>
        </w:tc>
      </w:tr>
      <w:tr w:rsidR="00B9425B" w:rsidRPr="00B9425B" w:rsidTr="00500FFB">
        <w:trPr>
          <w:trHeight w:val="240"/>
          <w:tblHeader/>
        </w:trPr>
        <w:tc>
          <w:tcPr>
            <w:tcW w:w="1499" w:type="dxa"/>
            <w:vMerge/>
            <w:tcBorders>
              <w:top w:val="single" w:sz="12" w:space="0" w:color="auto"/>
            </w:tcBorders>
            <w:shd w:val="clear" w:color="auto" w:fill="auto"/>
            <w:vAlign w:val="bottom"/>
            <w:hideMark/>
          </w:tcPr>
          <w:p w:rsidR="00C21DAA" w:rsidRPr="00B9425B" w:rsidRDefault="00C21DAA">
            <w:pPr>
              <w:spacing w:before="40" w:after="40" w:line="220" w:lineRule="exact"/>
              <w:rPr>
                <w:sz w:val="18"/>
                <w:szCs w:val="16"/>
                <w:lang w:val="es-AR"/>
              </w:rPr>
            </w:pPr>
          </w:p>
        </w:tc>
        <w:tc>
          <w:tcPr>
            <w:tcW w:w="1450" w:type="dxa"/>
            <w:tcBorders>
              <w:top w:val="single" w:sz="4" w:space="0" w:color="auto"/>
            </w:tcBorders>
            <w:shd w:val="clear" w:color="auto" w:fill="auto"/>
            <w:vAlign w:val="bottom"/>
            <w:hideMark/>
          </w:tcPr>
          <w:p w:rsidR="00C21DAA" w:rsidRPr="00500FFB" w:rsidRDefault="00115B35" w:rsidP="00500FFB">
            <w:pPr>
              <w:spacing w:before="80" w:after="80" w:line="200" w:lineRule="exact"/>
              <w:ind w:left="113"/>
              <w:jc w:val="right"/>
              <w:rPr>
                <w:i/>
                <w:sz w:val="16"/>
                <w:szCs w:val="16"/>
                <w:lang w:val="es-AR"/>
              </w:rPr>
            </w:pPr>
            <w:r w:rsidRPr="00500FFB">
              <w:rPr>
                <w:i/>
                <w:sz w:val="16"/>
                <w:szCs w:val="16"/>
                <w:lang w:val="es-AR"/>
              </w:rPr>
              <w:t>Sólo jubilación</w:t>
            </w:r>
          </w:p>
        </w:tc>
        <w:tc>
          <w:tcPr>
            <w:tcW w:w="1520" w:type="dxa"/>
            <w:tcBorders>
              <w:top w:val="single" w:sz="4" w:space="0" w:color="auto"/>
            </w:tcBorders>
            <w:shd w:val="clear" w:color="auto" w:fill="auto"/>
            <w:vAlign w:val="bottom"/>
            <w:hideMark/>
          </w:tcPr>
          <w:p w:rsidR="00C21DAA" w:rsidRPr="00500FFB" w:rsidRDefault="00115B35" w:rsidP="00500FFB">
            <w:pPr>
              <w:spacing w:before="80" w:after="80" w:line="200" w:lineRule="exact"/>
              <w:ind w:left="113"/>
              <w:jc w:val="right"/>
              <w:rPr>
                <w:i/>
                <w:sz w:val="16"/>
                <w:szCs w:val="16"/>
                <w:lang w:val="es-AR"/>
              </w:rPr>
            </w:pPr>
            <w:r w:rsidRPr="00500FFB">
              <w:rPr>
                <w:i/>
                <w:sz w:val="16"/>
                <w:szCs w:val="16"/>
                <w:lang w:val="es-AR"/>
              </w:rPr>
              <w:t>Sólo pensión por fallecimiento del titular</w:t>
            </w:r>
          </w:p>
        </w:tc>
        <w:tc>
          <w:tcPr>
            <w:tcW w:w="1521" w:type="dxa"/>
            <w:tcBorders>
              <w:top w:val="single" w:sz="4" w:space="0" w:color="auto"/>
            </w:tcBorders>
            <w:shd w:val="clear" w:color="auto" w:fill="auto"/>
            <w:vAlign w:val="bottom"/>
            <w:hideMark/>
          </w:tcPr>
          <w:p w:rsidR="00C21DAA" w:rsidRPr="00500FFB" w:rsidRDefault="00115B35" w:rsidP="00500FFB">
            <w:pPr>
              <w:spacing w:before="80" w:after="80" w:line="200" w:lineRule="exact"/>
              <w:ind w:left="113"/>
              <w:jc w:val="right"/>
              <w:rPr>
                <w:i/>
                <w:sz w:val="16"/>
                <w:szCs w:val="16"/>
                <w:lang w:val="es-AR"/>
              </w:rPr>
            </w:pPr>
            <w:r w:rsidRPr="00500FFB">
              <w:rPr>
                <w:i/>
                <w:sz w:val="16"/>
                <w:szCs w:val="16"/>
                <w:lang w:val="es-AR"/>
              </w:rPr>
              <w:t xml:space="preserve">Jubilación y pensión </w:t>
            </w:r>
          </w:p>
        </w:tc>
        <w:tc>
          <w:tcPr>
            <w:tcW w:w="1620" w:type="dxa"/>
            <w:tcBorders>
              <w:top w:val="single" w:sz="4" w:space="0" w:color="auto"/>
            </w:tcBorders>
            <w:shd w:val="clear" w:color="auto" w:fill="auto"/>
            <w:vAlign w:val="bottom"/>
            <w:hideMark/>
          </w:tcPr>
          <w:p w:rsidR="00C21DAA" w:rsidRPr="00500FFB" w:rsidRDefault="00115B35" w:rsidP="00500FFB">
            <w:pPr>
              <w:spacing w:before="80" w:after="80" w:line="200" w:lineRule="exact"/>
              <w:ind w:left="113"/>
              <w:jc w:val="right"/>
              <w:rPr>
                <w:i/>
                <w:sz w:val="16"/>
                <w:szCs w:val="16"/>
                <w:lang w:val="es-AR"/>
              </w:rPr>
            </w:pPr>
            <w:r w:rsidRPr="00500FFB">
              <w:rPr>
                <w:i/>
                <w:sz w:val="16"/>
                <w:szCs w:val="16"/>
                <w:lang w:val="es-AR"/>
              </w:rPr>
              <w:t>Sólo pensión no contributiva asistencial o graciable</w:t>
            </w:r>
          </w:p>
        </w:tc>
      </w:tr>
      <w:tr w:rsidR="00B9425B" w:rsidRPr="00B9425B" w:rsidTr="00500FFB">
        <w:trPr>
          <w:trHeight w:val="240"/>
        </w:trPr>
        <w:tc>
          <w:tcPr>
            <w:tcW w:w="1499" w:type="dxa"/>
            <w:tcBorders>
              <w:top w:val="single" w:sz="12" w:space="0" w:color="auto"/>
            </w:tcBorders>
            <w:shd w:val="clear" w:color="auto" w:fill="auto"/>
            <w:noWrap/>
            <w:hideMark/>
          </w:tcPr>
          <w:p w:rsidR="00C21DAA" w:rsidRPr="00500FFB" w:rsidRDefault="00115B35">
            <w:pPr>
              <w:spacing w:before="40" w:after="40" w:line="220" w:lineRule="exact"/>
              <w:rPr>
                <w:bCs/>
                <w:sz w:val="18"/>
                <w:szCs w:val="16"/>
              </w:rPr>
            </w:pPr>
            <w:r w:rsidRPr="00500FFB">
              <w:rPr>
                <w:bCs/>
                <w:sz w:val="18"/>
                <w:szCs w:val="16"/>
              </w:rPr>
              <w:t>6</w:t>
            </w:r>
            <w:r w:rsidR="00B9425B">
              <w:rPr>
                <w:bCs/>
                <w:sz w:val="18"/>
                <w:szCs w:val="16"/>
              </w:rPr>
              <w:t xml:space="preserve"> </w:t>
            </w:r>
            <w:r w:rsidRPr="00500FFB">
              <w:rPr>
                <w:bCs/>
                <w:sz w:val="18"/>
                <w:szCs w:val="16"/>
              </w:rPr>
              <w:t>030</w:t>
            </w:r>
            <w:r w:rsidR="00B9425B">
              <w:rPr>
                <w:bCs/>
                <w:sz w:val="18"/>
                <w:szCs w:val="16"/>
              </w:rPr>
              <w:t xml:space="preserve"> </w:t>
            </w:r>
            <w:r w:rsidRPr="00500FFB">
              <w:rPr>
                <w:bCs/>
                <w:sz w:val="18"/>
                <w:szCs w:val="16"/>
              </w:rPr>
              <w:t>721</w:t>
            </w:r>
          </w:p>
        </w:tc>
        <w:tc>
          <w:tcPr>
            <w:tcW w:w="1450" w:type="dxa"/>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8"/>
                <w:szCs w:val="16"/>
              </w:rPr>
            </w:pPr>
            <w:r w:rsidRPr="00500FFB">
              <w:rPr>
                <w:bCs/>
                <w:sz w:val="18"/>
                <w:szCs w:val="16"/>
              </w:rPr>
              <w:t>3</w:t>
            </w:r>
            <w:r w:rsidR="00B9425B">
              <w:rPr>
                <w:bCs/>
                <w:sz w:val="18"/>
                <w:szCs w:val="16"/>
              </w:rPr>
              <w:t xml:space="preserve"> </w:t>
            </w:r>
            <w:r w:rsidRPr="00500FFB">
              <w:rPr>
                <w:bCs/>
                <w:sz w:val="18"/>
                <w:szCs w:val="16"/>
              </w:rPr>
              <w:t>440</w:t>
            </w:r>
            <w:r w:rsidR="00B9425B">
              <w:rPr>
                <w:bCs/>
                <w:sz w:val="18"/>
                <w:szCs w:val="16"/>
              </w:rPr>
              <w:t xml:space="preserve"> </w:t>
            </w:r>
            <w:r w:rsidRPr="00500FFB">
              <w:rPr>
                <w:bCs/>
                <w:sz w:val="18"/>
                <w:szCs w:val="16"/>
              </w:rPr>
              <w:t>482</w:t>
            </w:r>
          </w:p>
        </w:tc>
        <w:tc>
          <w:tcPr>
            <w:tcW w:w="1520" w:type="dxa"/>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8"/>
                <w:szCs w:val="16"/>
              </w:rPr>
            </w:pPr>
            <w:r w:rsidRPr="00500FFB">
              <w:rPr>
                <w:bCs/>
                <w:sz w:val="18"/>
                <w:szCs w:val="16"/>
              </w:rPr>
              <w:t>60</w:t>
            </w:r>
            <w:r w:rsidR="00B9425B">
              <w:rPr>
                <w:bCs/>
                <w:sz w:val="18"/>
                <w:szCs w:val="16"/>
              </w:rPr>
              <w:t xml:space="preserve"> </w:t>
            </w:r>
            <w:r w:rsidRPr="00500FFB">
              <w:rPr>
                <w:bCs/>
                <w:sz w:val="18"/>
                <w:szCs w:val="16"/>
              </w:rPr>
              <w:t>6123</w:t>
            </w:r>
          </w:p>
        </w:tc>
        <w:tc>
          <w:tcPr>
            <w:tcW w:w="1521" w:type="dxa"/>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8"/>
                <w:szCs w:val="16"/>
              </w:rPr>
            </w:pPr>
            <w:r w:rsidRPr="00500FFB">
              <w:rPr>
                <w:bCs/>
                <w:sz w:val="18"/>
                <w:szCs w:val="16"/>
              </w:rPr>
              <w:t>676</w:t>
            </w:r>
            <w:r w:rsidR="00B9425B">
              <w:rPr>
                <w:bCs/>
                <w:sz w:val="18"/>
                <w:szCs w:val="16"/>
              </w:rPr>
              <w:t xml:space="preserve"> </w:t>
            </w:r>
            <w:r w:rsidRPr="00500FFB">
              <w:rPr>
                <w:bCs/>
                <w:sz w:val="18"/>
                <w:szCs w:val="16"/>
              </w:rPr>
              <w:t>905</w:t>
            </w:r>
          </w:p>
        </w:tc>
        <w:tc>
          <w:tcPr>
            <w:tcW w:w="1620" w:type="dxa"/>
            <w:tcBorders>
              <w:top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bCs/>
                <w:sz w:val="18"/>
                <w:szCs w:val="16"/>
              </w:rPr>
            </w:pPr>
            <w:r w:rsidRPr="00500FFB">
              <w:rPr>
                <w:bCs/>
                <w:sz w:val="18"/>
                <w:szCs w:val="16"/>
              </w:rPr>
              <w:t>1</w:t>
            </w:r>
            <w:r w:rsidR="00B9425B">
              <w:rPr>
                <w:bCs/>
                <w:sz w:val="18"/>
                <w:szCs w:val="16"/>
              </w:rPr>
              <w:t xml:space="preserve"> </w:t>
            </w:r>
            <w:r w:rsidRPr="00500FFB">
              <w:rPr>
                <w:bCs/>
                <w:sz w:val="18"/>
                <w:szCs w:val="16"/>
              </w:rPr>
              <w:t>307</w:t>
            </w:r>
            <w:r w:rsidR="00B9425B">
              <w:rPr>
                <w:bCs/>
                <w:sz w:val="18"/>
                <w:szCs w:val="16"/>
              </w:rPr>
              <w:t xml:space="preserve"> </w:t>
            </w:r>
            <w:r w:rsidRPr="00500FFB">
              <w:rPr>
                <w:bCs/>
                <w:sz w:val="18"/>
                <w:szCs w:val="16"/>
              </w:rPr>
              <w:t>211</w:t>
            </w:r>
          </w:p>
        </w:tc>
      </w:tr>
      <w:tr w:rsidR="00B9425B" w:rsidRPr="00B9425B" w:rsidTr="00500FFB">
        <w:trPr>
          <w:trHeight w:val="240"/>
        </w:trPr>
        <w:tc>
          <w:tcPr>
            <w:tcW w:w="1499" w:type="dxa"/>
            <w:shd w:val="clear" w:color="auto" w:fill="auto"/>
            <w:noWrap/>
            <w:hideMark/>
          </w:tcPr>
          <w:p w:rsidR="00C21DAA" w:rsidRPr="00B9425B" w:rsidRDefault="00115B35">
            <w:pPr>
              <w:spacing w:before="40" w:after="40" w:line="220" w:lineRule="exact"/>
              <w:rPr>
                <w:sz w:val="18"/>
                <w:szCs w:val="16"/>
              </w:rPr>
            </w:pPr>
            <w:r w:rsidRPr="00B9425B">
              <w:rPr>
                <w:sz w:val="18"/>
                <w:szCs w:val="16"/>
              </w:rPr>
              <w:t>54</w:t>
            </w:r>
            <w:r w:rsidR="00B9425B">
              <w:rPr>
                <w:sz w:val="18"/>
                <w:szCs w:val="16"/>
              </w:rPr>
              <w:t xml:space="preserve"> </w:t>
            </w:r>
            <w:r w:rsidRPr="00B9425B">
              <w:rPr>
                <w:sz w:val="18"/>
                <w:szCs w:val="16"/>
              </w:rPr>
              <w:t>558</w:t>
            </w:r>
          </w:p>
        </w:tc>
        <w:tc>
          <w:tcPr>
            <w:tcW w:w="1450"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w:t>
            </w:r>
          </w:p>
        </w:tc>
        <w:tc>
          <w:tcPr>
            <w:tcW w:w="1520"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3</w:t>
            </w:r>
            <w:r w:rsidR="00B9425B">
              <w:rPr>
                <w:sz w:val="18"/>
                <w:szCs w:val="16"/>
              </w:rPr>
              <w:t xml:space="preserve"> </w:t>
            </w:r>
            <w:r w:rsidRPr="00B9425B">
              <w:rPr>
                <w:sz w:val="18"/>
                <w:szCs w:val="16"/>
              </w:rPr>
              <w:t>654</w:t>
            </w:r>
          </w:p>
        </w:tc>
        <w:tc>
          <w:tcPr>
            <w:tcW w:w="1521"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w:t>
            </w:r>
          </w:p>
        </w:tc>
        <w:tc>
          <w:tcPr>
            <w:tcW w:w="1620"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50</w:t>
            </w:r>
            <w:r w:rsidR="00B9425B">
              <w:rPr>
                <w:sz w:val="18"/>
                <w:szCs w:val="16"/>
              </w:rPr>
              <w:t xml:space="preserve"> </w:t>
            </w:r>
            <w:r w:rsidRPr="00B9425B">
              <w:rPr>
                <w:sz w:val="18"/>
                <w:szCs w:val="16"/>
              </w:rPr>
              <w:t>904</w:t>
            </w:r>
          </w:p>
        </w:tc>
      </w:tr>
      <w:tr w:rsidR="00B9425B" w:rsidRPr="00B9425B" w:rsidTr="00500FFB">
        <w:trPr>
          <w:trHeight w:val="240"/>
        </w:trPr>
        <w:tc>
          <w:tcPr>
            <w:tcW w:w="1499" w:type="dxa"/>
            <w:shd w:val="clear" w:color="auto" w:fill="auto"/>
            <w:noWrap/>
            <w:hideMark/>
          </w:tcPr>
          <w:p w:rsidR="00C21DAA" w:rsidRPr="00B9425B" w:rsidRDefault="00115B35">
            <w:pPr>
              <w:spacing w:before="40" w:after="40" w:line="220" w:lineRule="exact"/>
              <w:rPr>
                <w:sz w:val="18"/>
                <w:szCs w:val="16"/>
              </w:rPr>
            </w:pPr>
            <w:r w:rsidRPr="00B9425B">
              <w:rPr>
                <w:sz w:val="18"/>
                <w:szCs w:val="16"/>
              </w:rPr>
              <w:t>69</w:t>
            </w:r>
            <w:r w:rsidR="00B9425B">
              <w:rPr>
                <w:sz w:val="18"/>
                <w:szCs w:val="16"/>
              </w:rPr>
              <w:t xml:space="preserve"> </w:t>
            </w:r>
            <w:r w:rsidRPr="00B9425B">
              <w:rPr>
                <w:sz w:val="18"/>
                <w:szCs w:val="16"/>
              </w:rPr>
              <w:t>818</w:t>
            </w:r>
          </w:p>
        </w:tc>
        <w:tc>
          <w:tcPr>
            <w:tcW w:w="1450"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w:t>
            </w:r>
          </w:p>
        </w:tc>
        <w:tc>
          <w:tcPr>
            <w:tcW w:w="1520"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7</w:t>
            </w:r>
            <w:r w:rsidR="00B9425B">
              <w:rPr>
                <w:sz w:val="18"/>
                <w:szCs w:val="16"/>
              </w:rPr>
              <w:t xml:space="preserve"> </w:t>
            </w:r>
            <w:r w:rsidRPr="00B9425B">
              <w:rPr>
                <w:sz w:val="18"/>
                <w:szCs w:val="16"/>
              </w:rPr>
              <w:t>907</w:t>
            </w:r>
          </w:p>
        </w:tc>
        <w:tc>
          <w:tcPr>
            <w:tcW w:w="1521"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w:t>
            </w:r>
          </w:p>
        </w:tc>
        <w:tc>
          <w:tcPr>
            <w:tcW w:w="1620"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61</w:t>
            </w:r>
            <w:r w:rsidR="00B9425B">
              <w:rPr>
                <w:sz w:val="18"/>
                <w:szCs w:val="16"/>
              </w:rPr>
              <w:t xml:space="preserve"> </w:t>
            </w:r>
            <w:r w:rsidRPr="00B9425B">
              <w:rPr>
                <w:sz w:val="18"/>
                <w:szCs w:val="16"/>
              </w:rPr>
              <w:t>911</w:t>
            </w:r>
          </w:p>
        </w:tc>
      </w:tr>
      <w:tr w:rsidR="00B9425B" w:rsidRPr="00B9425B" w:rsidTr="00500FFB">
        <w:trPr>
          <w:trHeight w:val="240"/>
        </w:trPr>
        <w:tc>
          <w:tcPr>
            <w:tcW w:w="1499" w:type="dxa"/>
            <w:shd w:val="clear" w:color="auto" w:fill="auto"/>
            <w:noWrap/>
            <w:hideMark/>
          </w:tcPr>
          <w:p w:rsidR="00C21DAA" w:rsidRPr="00B9425B" w:rsidRDefault="00115B35">
            <w:pPr>
              <w:spacing w:before="40" w:after="40" w:line="220" w:lineRule="exact"/>
              <w:rPr>
                <w:sz w:val="18"/>
                <w:szCs w:val="16"/>
              </w:rPr>
            </w:pPr>
            <w:r w:rsidRPr="00B9425B">
              <w:rPr>
                <w:sz w:val="18"/>
                <w:szCs w:val="16"/>
              </w:rPr>
              <w:t>83</w:t>
            </w:r>
            <w:r w:rsidR="00B9425B">
              <w:rPr>
                <w:sz w:val="18"/>
                <w:szCs w:val="16"/>
              </w:rPr>
              <w:t xml:space="preserve"> </w:t>
            </w:r>
            <w:r w:rsidRPr="00B9425B">
              <w:rPr>
                <w:sz w:val="18"/>
                <w:szCs w:val="16"/>
              </w:rPr>
              <w:t>925</w:t>
            </w:r>
          </w:p>
        </w:tc>
        <w:tc>
          <w:tcPr>
            <w:tcW w:w="1450"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w:t>
            </w:r>
          </w:p>
        </w:tc>
        <w:tc>
          <w:tcPr>
            <w:tcW w:w="1520"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16</w:t>
            </w:r>
            <w:r w:rsidR="00B9425B">
              <w:rPr>
                <w:sz w:val="18"/>
                <w:szCs w:val="16"/>
              </w:rPr>
              <w:t xml:space="preserve"> </w:t>
            </w:r>
            <w:r w:rsidRPr="00B9425B">
              <w:rPr>
                <w:sz w:val="18"/>
                <w:szCs w:val="16"/>
              </w:rPr>
              <w:t>008</w:t>
            </w:r>
          </w:p>
        </w:tc>
        <w:tc>
          <w:tcPr>
            <w:tcW w:w="1521"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w:t>
            </w:r>
          </w:p>
        </w:tc>
        <w:tc>
          <w:tcPr>
            <w:tcW w:w="1620" w:type="dxa"/>
            <w:shd w:val="clear" w:color="auto" w:fill="auto"/>
            <w:noWrap/>
            <w:vAlign w:val="bottom"/>
            <w:hideMark/>
          </w:tcPr>
          <w:p w:rsidR="00C21DAA" w:rsidRPr="00B9425B" w:rsidRDefault="00115B35" w:rsidP="00500FFB">
            <w:pPr>
              <w:spacing w:before="40" w:after="40" w:line="220" w:lineRule="exact"/>
              <w:ind w:left="113"/>
              <w:jc w:val="right"/>
              <w:rPr>
                <w:sz w:val="18"/>
                <w:szCs w:val="16"/>
              </w:rPr>
            </w:pPr>
            <w:r w:rsidRPr="00B9425B">
              <w:rPr>
                <w:sz w:val="18"/>
                <w:szCs w:val="16"/>
              </w:rPr>
              <w:t>67</w:t>
            </w:r>
            <w:r w:rsidR="00B9425B">
              <w:rPr>
                <w:sz w:val="18"/>
                <w:szCs w:val="16"/>
              </w:rPr>
              <w:t xml:space="preserve"> </w:t>
            </w:r>
            <w:r w:rsidRPr="00B9425B">
              <w:rPr>
                <w:sz w:val="18"/>
                <w:szCs w:val="16"/>
              </w:rPr>
              <w:t>917</w:t>
            </w:r>
          </w:p>
        </w:tc>
      </w:tr>
      <w:tr w:rsidR="00C2305A" w:rsidRPr="00B9425B" w:rsidTr="00500FFB">
        <w:trPr>
          <w:trHeight w:val="240"/>
        </w:trPr>
        <w:tc>
          <w:tcPr>
            <w:tcW w:w="1499" w:type="dxa"/>
            <w:tcBorders>
              <w:bottom w:val="single" w:sz="4" w:space="0" w:color="auto"/>
            </w:tcBorders>
            <w:shd w:val="clear" w:color="auto" w:fill="auto"/>
            <w:noWrap/>
          </w:tcPr>
          <w:p w:rsidR="00C2305A" w:rsidRPr="00B9425B" w:rsidRDefault="00C2305A" w:rsidP="00C2305A">
            <w:pPr>
              <w:spacing w:before="40" w:after="40" w:line="220" w:lineRule="exact"/>
              <w:rPr>
                <w:sz w:val="18"/>
                <w:szCs w:val="16"/>
              </w:rPr>
            </w:pPr>
            <w:r w:rsidRPr="00B9425B">
              <w:rPr>
                <w:sz w:val="18"/>
                <w:szCs w:val="16"/>
              </w:rPr>
              <w:t>86</w:t>
            </w:r>
            <w:r>
              <w:rPr>
                <w:sz w:val="18"/>
                <w:szCs w:val="16"/>
              </w:rPr>
              <w:t xml:space="preserve"> </w:t>
            </w:r>
            <w:r w:rsidRPr="00B9425B">
              <w:rPr>
                <w:sz w:val="18"/>
                <w:szCs w:val="16"/>
              </w:rPr>
              <w:t>586</w:t>
            </w:r>
          </w:p>
        </w:tc>
        <w:tc>
          <w:tcPr>
            <w:tcW w:w="1450" w:type="dxa"/>
            <w:tcBorders>
              <w:bottom w:val="single" w:sz="4" w:space="0" w:color="auto"/>
            </w:tcBorders>
            <w:shd w:val="clear" w:color="auto" w:fill="auto"/>
            <w:noWrap/>
            <w:vAlign w:val="bottom"/>
          </w:tcPr>
          <w:p w:rsidR="00C2305A" w:rsidRPr="00B9425B" w:rsidRDefault="00C2305A" w:rsidP="00500FFB">
            <w:pPr>
              <w:spacing w:before="40" w:after="40" w:line="220" w:lineRule="exact"/>
              <w:ind w:left="113"/>
              <w:jc w:val="right"/>
              <w:rPr>
                <w:sz w:val="18"/>
                <w:szCs w:val="16"/>
              </w:rPr>
            </w:pPr>
            <w:r w:rsidRPr="00B9425B">
              <w:rPr>
                <w:sz w:val="18"/>
                <w:szCs w:val="16"/>
              </w:rPr>
              <w:t>3</w:t>
            </w:r>
            <w:r>
              <w:rPr>
                <w:sz w:val="18"/>
                <w:szCs w:val="16"/>
              </w:rPr>
              <w:t xml:space="preserve"> </w:t>
            </w:r>
            <w:r w:rsidRPr="00B9425B">
              <w:rPr>
                <w:sz w:val="18"/>
                <w:szCs w:val="16"/>
              </w:rPr>
              <w:t>028</w:t>
            </w:r>
          </w:p>
        </w:tc>
        <w:tc>
          <w:tcPr>
            <w:tcW w:w="1520" w:type="dxa"/>
            <w:tcBorders>
              <w:bottom w:val="single" w:sz="4" w:space="0" w:color="auto"/>
            </w:tcBorders>
            <w:shd w:val="clear" w:color="auto" w:fill="auto"/>
            <w:noWrap/>
            <w:vAlign w:val="bottom"/>
          </w:tcPr>
          <w:p w:rsidR="00C2305A" w:rsidRPr="00B9425B" w:rsidRDefault="00C2305A" w:rsidP="00500FFB">
            <w:pPr>
              <w:spacing w:before="40" w:after="40" w:line="220" w:lineRule="exact"/>
              <w:ind w:left="113"/>
              <w:jc w:val="right"/>
              <w:rPr>
                <w:sz w:val="18"/>
                <w:szCs w:val="16"/>
              </w:rPr>
            </w:pPr>
            <w:r w:rsidRPr="00B9425B">
              <w:rPr>
                <w:sz w:val="18"/>
                <w:szCs w:val="16"/>
              </w:rPr>
              <w:t>17</w:t>
            </w:r>
            <w:r>
              <w:rPr>
                <w:sz w:val="18"/>
                <w:szCs w:val="16"/>
              </w:rPr>
              <w:t xml:space="preserve"> </w:t>
            </w:r>
            <w:r w:rsidRPr="00B9425B">
              <w:rPr>
                <w:sz w:val="18"/>
                <w:szCs w:val="16"/>
              </w:rPr>
              <w:t>888</w:t>
            </w:r>
          </w:p>
        </w:tc>
        <w:tc>
          <w:tcPr>
            <w:tcW w:w="1521" w:type="dxa"/>
            <w:tcBorders>
              <w:bottom w:val="single" w:sz="4" w:space="0" w:color="auto"/>
            </w:tcBorders>
            <w:shd w:val="clear" w:color="auto" w:fill="auto"/>
            <w:noWrap/>
            <w:vAlign w:val="bottom"/>
          </w:tcPr>
          <w:p w:rsidR="00C2305A" w:rsidRPr="00B9425B" w:rsidRDefault="00C2305A" w:rsidP="00500FFB">
            <w:pPr>
              <w:spacing w:before="40" w:after="40" w:line="220" w:lineRule="exact"/>
              <w:ind w:left="113"/>
              <w:jc w:val="right"/>
              <w:rPr>
                <w:sz w:val="18"/>
                <w:szCs w:val="16"/>
              </w:rPr>
            </w:pPr>
            <w:r w:rsidRPr="00B9425B">
              <w:rPr>
                <w:sz w:val="18"/>
                <w:szCs w:val="16"/>
              </w:rPr>
              <w:t>691</w:t>
            </w:r>
          </w:p>
        </w:tc>
        <w:tc>
          <w:tcPr>
            <w:tcW w:w="1620" w:type="dxa"/>
            <w:tcBorders>
              <w:bottom w:val="single" w:sz="4" w:space="0" w:color="auto"/>
            </w:tcBorders>
            <w:shd w:val="clear" w:color="auto" w:fill="auto"/>
            <w:noWrap/>
            <w:vAlign w:val="bottom"/>
          </w:tcPr>
          <w:p w:rsidR="00C2305A" w:rsidRPr="00B9425B" w:rsidRDefault="00C2305A" w:rsidP="00500FFB">
            <w:pPr>
              <w:spacing w:before="40" w:after="40" w:line="220" w:lineRule="exact"/>
              <w:ind w:left="113"/>
              <w:jc w:val="right"/>
              <w:rPr>
                <w:sz w:val="18"/>
                <w:szCs w:val="16"/>
              </w:rPr>
            </w:pPr>
            <w:r w:rsidRPr="00B9425B">
              <w:rPr>
                <w:sz w:val="18"/>
                <w:szCs w:val="16"/>
              </w:rPr>
              <w:t>64</w:t>
            </w:r>
            <w:r>
              <w:rPr>
                <w:sz w:val="18"/>
                <w:szCs w:val="16"/>
              </w:rPr>
              <w:t xml:space="preserve"> </w:t>
            </w:r>
            <w:r w:rsidRPr="00B9425B">
              <w:rPr>
                <w:sz w:val="18"/>
                <w:szCs w:val="16"/>
              </w:rPr>
              <w:t>979</w:t>
            </w:r>
          </w:p>
        </w:tc>
      </w:tr>
    </w:tbl>
    <w:p w:rsidR="00C21DAA" w:rsidRPr="00FE07FE" w:rsidRDefault="00FE07FE" w:rsidP="00500FFB">
      <w:pPr>
        <w:pStyle w:val="SingleTxtG"/>
        <w:spacing w:before="240"/>
        <w:rPr>
          <w:lang w:val="es-MX" w:eastAsia="en-US"/>
        </w:rPr>
      </w:pPr>
      <w:r w:rsidRPr="00500FFB">
        <w:rPr>
          <w:lang w:val="es-MX" w:eastAsia="en-US"/>
        </w:rPr>
        <w:t>166.</w:t>
      </w:r>
      <w:r w:rsidRPr="00500FFB">
        <w:rPr>
          <w:lang w:val="es-MX" w:eastAsia="en-US"/>
        </w:rPr>
        <w:tab/>
      </w:r>
      <w:r w:rsidR="00115B35" w:rsidRPr="00FE07FE">
        <w:rPr>
          <w:lang w:val="es-MX" w:eastAsia="en-US"/>
        </w:rPr>
        <w:t xml:space="preserve">Respecto a la incorporación de los niños con discapacidad en el sistema educativo, la CONADIS aplica la </w:t>
      </w:r>
      <w:r w:rsidR="00B9425B">
        <w:rPr>
          <w:lang w:val="es-MX" w:eastAsia="en-US"/>
        </w:rPr>
        <w:t>L</w:t>
      </w:r>
      <w:r w:rsidR="00115B35" w:rsidRPr="00FE07FE">
        <w:rPr>
          <w:lang w:val="es-MX" w:eastAsia="en-US"/>
        </w:rPr>
        <w:t xml:space="preserve">ey </w:t>
      </w:r>
      <w:r w:rsidR="00B9425B">
        <w:rPr>
          <w:lang w:val="es-MX" w:eastAsia="en-US"/>
        </w:rPr>
        <w:t xml:space="preserve">núm. </w:t>
      </w:r>
      <w:r w:rsidR="00115B35" w:rsidRPr="00FE07FE">
        <w:rPr>
          <w:lang w:val="es-MX" w:eastAsia="en-US"/>
        </w:rPr>
        <w:t xml:space="preserve">25730 por la que se constituye el Fondo Nacional para la Integración de Personas con Discapacidad que financia programas como: “Accesibilidad al aprendizaje”, “Accesibilidad para ámbitos educativos”, “Banco de máquinas braille”, “Equipamiento y accesibilidad para bibliotecas”, “Mejoramiento de la Infraestructura Institucional”, “Transporte institucional”, “Ayudas técnicas para personas con discapacidad”, trabajos con ONG. </w:t>
      </w:r>
    </w:p>
    <w:p w:rsidR="00C21DAA" w:rsidRPr="00FE07FE" w:rsidRDefault="00FE07FE" w:rsidP="00500FFB">
      <w:pPr>
        <w:pStyle w:val="SingleTxtG"/>
        <w:rPr>
          <w:lang w:val="es-MX" w:eastAsia="en-US"/>
        </w:rPr>
      </w:pPr>
      <w:r w:rsidRPr="00500FFB">
        <w:rPr>
          <w:lang w:val="es-MX" w:eastAsia="en-US"/>
        </w:rPr>
        <w:t>167.</w:t>
      </w:r>
      <w:r w:rsidRPr="00500FFB">
        <w:rPr>
          <w:lang w:val="es-MX" w:eastAsia="en-US"/>
        </w:rPr>
        <w:tab/>
      </w:r>
      <w:r w:rsidR="00115B35" w:rsidRPr="00FE07FE">
        <w:rPr>
          <w:lang w:val="es-MX" w:eastAsia="en-US"/>
        </w:rPr>
        <w:t xml:space="preserve">Tasas de asistencia: Educación de la primera infancia - población de 3 a 5 años: 65,6% (86,9% para los de 5 años). Educación primaria </w:t>
      </w:r>
      <w:r w:rsidR="00D67A98">
        <w:rPr>
          <w:lang w:val="es-MX" w:eastAsia="en-US"/>
        </w:rPr>
        <w:t>–</w:t>
      </w:r>
      <w:r w:rsidR="00D67A98" w:rsidRPr="00FE07FE">
        <w:rPr>
          <w:lang w:val="es-MX" w:eastAsia="en-US"/>
        </w:rPr>
        <w:t xml:space="preserve"> </w:t>
      </w:r>
      <w:r w:rsidR="00115B35" w:rsidRPr="00FE07FE">
        <w:rPr>
          <w:lang w:val="es-MX" w:eastAsia="en-US"/>
        </w:rPr>
        <w:t xml:space="preserve">Población de 6 a 11 años: 96,4%. Primer ciclo de educación secundaria </w:t>
      </w:r>
      <w:r w:rsidR="00D67A98">
        <w:rPr>
          <w:lang w:val="es-MX" w:eastAsia="en-US"/>
        </w:rPr>
        <w:t>–</w:t>
      </w:r>
      <w:r w:rsidR="00D67A98" w:rsidRPr="00FE07FE">
        <w:rPr>
          <w:lang w:val="es-MX" w:eastAsia="en-US"/>
        </w:rPr>
        <w:t xml:space="preserve"> </w:t>
      </w:r>
      <w:r w:rsidR="00115B35" w:rsidRPr="00FE07FE">
        <w:rPr>
          <w:lang w:val="es-MX" w:eastAsia="en-US"/>
        </w:rPr>
        <w:t>Población de 12 a 14 años: 92,7%. Segundo ciclo de educación secundaria 15 a 17 años: 75,2%. Población de 3 años o más que asiste a establecimiento de educación común es 90,2% y especial 9,8%.</w:t>
      </w:r>
    </w:p>
    <w:p w:rsidR="00C21DAA" w:rsidRPr="00FE07FE" w:rsidRDefault="00FE07FE" w:rsidP="00500FFB">
      <w:pPr>
        <w:pStyle w:val="SingleTxtG"/>
        <w:rPr>
          <w:lang w:val="es-MX" w:eastAsia="en-US"/>
        </w:rPr>
      </w:pPr>
      <w:r w:rsidRPr="00500FFB">
        <w:rPr>
          <w:lang w:val="es-MX" w:eastAsia="en-US"/>
        </w:rPr>
        <w:lastRenderedPageBreak/>
        <w:t>168.</w:t>
      </w:r>
      <w:r w:rsidRPr="00500FFB">
        <w:rPr>
          <w:lang w:val="es-MX" w:eastAsia="en-US"/>
        </w:rPr>
        <w:tab/>
      </w:r>
      <w:r w:rsidR="00115B35" w:rsidRPr="00FE07FE">
        <w:rPr>
          <w:lang w:val="es-MX" w:eastAsia="en-US"/>
        </w:rPr>
        <w:t>El MED implementó el Plan Jurisdiccional con financiamiento, Planes de Mejora Institucionales (PMIEE) a 200 escuelas especiales, aportó para movilidad a 630 escuelas especiales; construyó 2.110 con condiciones arquitectónicas de accesibilidad para estudiantes con discapacidad (con 541 escuelas en proceso); construyó 54 escuelas de modalidad de Educación Especial y el Ministerio de Planificación financió 51 construcciones más.</w:t>
      </w:r>
    </w:p>
    <w:p w:rsidR="00C21DAA" w:rsidRPr="00FE07FE" w:rsidRDefault="00FE07FE" w:rsidP="00500FFB">
      <w:pPr>
        <w:pStyle w:val="SingleTxtG"/>
        <w:rPr>
          <w:lang w:val="es-MX" w:eastAsia="en-US"/>
        </w:rPr>
      </w:pPr>
      <w:r w:rsidRPr="00500FFB">
        <w:rPr>
          <w:lang w:val="es-MX" w:eastAsia="en-US"/>
        </w:rPr>
        <w:t>169.</w:t>
      </w:r>
      <w:r w:rsidRPr="00500FFB">
        <w:rPr>
          <w:lang w:val="es-MX" w:eastAsia="en-US"/>
        </w:rPr>
        <w:tab/>
      </w:r>
      <w:r w:rsidR="00115B35" w:rsidRPr="00FE07FE">
        <w:rPr>
          <w:lang w:val="es-MX" w:eastAsia="en-US"/>
        </w:rPr>
        <w:t>Según Censo 2010, registró 5.114.190 personas con dificultad o limitación permanente, de las cuales el 70% declararon tener algún tipo de cobertura, el 91,5% tiene obra social, de los cuales 10,5% derivan sus aportes a una prepaga; además el Programa Federal Incluir Salud alcanza a más de un millón de titulares.</w:t>
      </w:r>
    </w:p>
    <w:p w:rsidR="00C21DAA" w:rsidRPr="00FE07FE" w:rsidRDefault="00A45CE4">
      <w:pPr>
        <w:pStyle w:val="SingleTxtG"/>
        <w:rPr>
          <w:lang w:val="es-MX" w:eastAsia="en-US"/>
        </w:rPr>
      </w:pPr>
      <w:r w:rsidRPr="00500FFB">
        <w:rPr>
          <w:noProof/>
          <w:lang w:eastAsia="zh-CN"/>
        </w:rPr>
        <w:drawing>
          <wp:inline distT="0" distB="0" distL="0" distR="0" wp14:anchorId="10C1739A" wp14:editId="687C9B4E">
            <wp:extent cx="4791075" cy="2733675"/>
            <wp:effectExtent l="0" t="0" r="0" b="0"/>
            <wp:docPr id="11" name="Obje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1DAA" w:rsidRPr="00FE07FE" w:rsidRDefault="00FE07FE" w:rsidP="00500FFB">
      <w:pPr>
        <w:pStyle w:val="SingleTxtG"/>
        <w:rPr>
          <w:lang w:val="es-MX" w:eastAsia="en-US"/>
        </w:rPr>
      </w:pPr>
      <w:r w:rsidRPr="00500FFB">
        <w:rPr>
          <w:lang w:val="es-MX" w:eastAsia="en-US"/>
        </w:rPr>
        <w:t>170.</w:t>
      </w:r>
      <w:r w:rsidRPr="00500FFB">
        <w:rPr>
          <w:lang w:val="es-MX" w:eastAsia="en-US"/>
        </w:rPr>
        <w:tab/>
      </w:r>
      <w:r w:rsidR="00115B35" w:rsidRPr="00FE07FE">
        <w:rPr>
          <w:b/>
          <w:lang w:val="es-MX" w:eastAsia="en-US"/>
        </w:rPr>
        <w:t>Catamarca</w:t>
      </w:r>
      <w:r w:rsidR="00115B35" w:rsidRPr="00FE07FE">
        <w:rPr>
          <w:lang w:val="es-MX" w:eastAsia="en-US"/>
        </w:rPr>
        <w:t xml:space="preserve"> cuenta con la </w:t>
      </w:r>
      <w:r w:rsidR="00B9425B">
        <w:rPr>
          <w:lang w:val="es-MX" w:eastAsia="en-US"/>
        </w:rPr>
        <w:t>L</w:t>
      </w:r>
      <w:r w:rsidR="00115B35" w:rsidRPr="00FE07FE">
        <w:rPr>
          <w:lang w:val="es-MX" w:eastAsia="en-US"/>
        </w:rPr>
        <w:t xml:space="preserve">ey </w:t>
      </w:r>
      <w:r w:rsidR="00B9425B">
        <w:rPr>
          <w:lang w:val="es-MX" w:eastAsia="en-US"/>
        </w:rPr>
        <w:t xml:space="preserve">núm. </w:t>
      </w:r>
      <w:r w:rsidR="00115B35" w:rsidRPr="00FE07FE">
        <w:rPr>
          <w:lang w:val="es-MX" w:eastAsia="en-US"/>
        </w:rPr>
        <w:t xml:space="preserve">4848 de régimen de atención integral a las personas con discapacidad, y la Dirección de Asistencia Integral a las Personas con Discapacidad; </w:t>
      </w:r>
      <w:r w:rsidR="00115B35" w:rsidRPr="00FE07FE">
        <w:rPr>
          <w:b/>
          <w:lang w:val="es-MX" w:eastAsia="en-US"/>
        </w:rPr>
        <w:t>Corrientes</w:t>
      </w:r>
      <w:r w:rsidR="00115B35" w:rsidRPr="00FE07FE">
        <w:rPr>
          <w:lang w:val="es-MX" w:eastAsia="en-US"/>
        </w:rPr>
        <w:t xml:space="preserve"> posee Consejo provincial del Discapacitado. </w:t>
      </w:r>
      <w:r w:rsidR="00115B35" w:rsidRPr="00FE07FE">
        <w:rPr>
          <w:b/>
          <w:lang w:val="es-MX" w:eastAsia="en-US"/>
        </w:rPr>
        <w:t>Entre</w:t>
      </w:r>
      <w:r w:rsidR="00115B35" w:rsidRPr="00FE07FE">
        <w:rPr>
          <w:lang w:val="es-MX" w:eastAsia="en-US"/>
        </w:rPr>
        <w:t xml:space="preserve"> </w:t>
      </w:r>
      <w:r w:rsidR="00115B35" w:rsidRPr="00FE07FE">
        <w:rPr>
          <w:b/>
          <w:lang w:val="es-MX" w:eastAsia="en-US"/>
        </w:rPr>
        <w:t>Ríos</w:t>
      </w:r>
      <w:r w:rsidR="00115B35" w:rsidRPr="00FE07FE">
        <w:rPr>
          <w:lang w:val="es-MX" w:eastAsia="en-US"/>
        </w:rPr>
        <w:t xml:space="preserve"> cuenta con la </w:t>
      </w:r>
      <w:r w:rsidR="00DF1C7B">
        <w:rPr>
          <w:lang w:val="es-MX" w:eastAsia="en-US"/>
        </w:rPr>
        <w:t>L</w:t>
      </w:r>
      <w:r w:rsidR="00115B35" w:rsidRPr="00FE07FE">
        <w:rPr>
          <w:lang w:val="es-MX" w:eastAsia="en-US"/>
        </w:rPr>
        <w:t xml:space="preserve">ey Provincial </w:t>
      </w:r>
      <w:r w:rsidR="00DF1C7B">
        <w:rPr>
          <w:lang w:val="es-MX" w:eastAsia="en-US"/>
        </w:rPr>
        <w:t xml:space="preserve">núm. </w:t>
      </w:r>
      <w:r w:rsidR="00115B35" w:rsidRPr="00FE07FE">
        <w:rPr>
          <w:lang w:val="es-MX" w:eastAsia="en-US"/>
        </w:rPr>
        <w:t xml:space="preserve">9891 de inclusión educativa; </w:t>
      </w:r>
      <w:r w:rsidR="00115B35" w:rsidRPr="00FE07FE">
        <w:rPr>
          <w:b/>
          <w:lang w:val="es-MX" w:eastAsia="en-US"/>
        </w:rPr>
        <w:t>San Juan</w:t>
      </w:r>
      <w:r w:rsidR="00115B35" w:rsidRPr="00FE07FE">
        <w:rPr>
          <w:lang w:val="es-MX" w:eastAsia="en-US"/>
        </w:rPr>
        <w:t xml:space="preserve"> posee la </w:t>
      </w:r>
      <w:r w:rsidR="00B9425B">
        <w:rPr>
          <w:lang w:val="es-MX" w:eastAsia="en-US"/>
        </w:rPr>
        <w:t>L</w:t>
      </w:r>
      <w:r w:rsidR="00115B35" w:rsidRPr="00FE07FE">
        <w:rPr>
          <w:lang w:val="es-MX" w:eastAsia="en-US"/>
        </w:rPr>
        <w:t xml:space="preserve">ey </w:t>
      </w:r>
      <w:r w:rsidR="00B9425B">
        <w:rPr>
          <w:lang w:val="es-MX" w:eastAsia="en-US"/>
        </w:rPr>
        <w:t xml:space="preserve">núm. </w:t>
      </w:r>
      <w:r w:rsidR="00115B35" w:rsidRPr="00FE07FE">
        <w:rPr>
          <w:lang w:val="es-MX" w:eastAsia="en-US"/>
        </w:rPr>
        <w:t xml:space="preserve">7850 del sistema provincial de protección integral de las personas con discapacidad. </w:t>
      </w:r>
      <w:r w:rsidR="00115B35" w:rsidRPr="00FE07FE">
        <w:rPr>
          <w:b/>
          <w:lang w:val="es-MX" w:eastAsia="en-US"/>
        </w:rPr>
        <w:t>Rio Negro</w:t>
      </w:r>
      <w:r w:rsidR="00115B35" w:rsidRPr="00FE07FE">
        <w:rPr>
          <w:lang w:val="es-MX" w:eastAsia="en-US"/>
        </w:rPr>
        <w:t xml:space="preserve"> posee el Programa de Atención al Escolar, de controles médicos a los alumnos de 1°, 4° y 7° grado de las escuelas privadas y estatales. </w:t>
      </w:r>
      <w:r w:rsidR="00115B35" w:rsidRPr="00FE07FE">
        <w:rPr>
          <w:b/>
          <w:lang w:val="es-MX" w:eastAsia="en-US"/>
        </w:rPr>
        <w:t>San Luis</w:t>
      </w:r>
      <w:r w:rsidR="00115B35" w:rsidRPr="00FE07FE">
        <w:rPr>
          <w:lang w:val="es-MX" w:eastAsia="en-US"/>
        </w:rPr>
        <w:t xml:space="preserve"> promueve la inclusión educativa a través del Centro Técnico de Apoyo al Aprendizaje y el área de diversidad específica e informa que todos los niños, niñas y adolescentes con discapacidad están incorporados al sistema educativo formal. </w:t>
      </w:r>
      <w:r w:rsidR="00115B35" w:rsidRPr="00FE07FE">
        <w:rPr>
          <w:b/>
          <w:lang w:val="es-MX" w:eastAsia="en-US"/>
        </w:rPr>
        <w:t>Santiago del Estero</w:t>
      </w:r>
      <w:r w:rsidR="00115B35" w:rsidRPr="00FE07FE">
        <w:rPr>
          <w:lang w:val="es-MX" w:eastAsia="en-US"/>
        </w:rPr>
        <w:t xml:space="preserve"> trabaja desde el Ministerio de Educación y la Dirección Provincial de Discapacidad e implementa el Programa de “Mejora Continua para el Apoyo a Estudiantes con Discapacidad” desde 2011. En </w:t>
      </w:r>
      <w:r w:rsidR="00115B35" w:rsidRPr="00FE07FE">
        <w:rPr>
          <w:b/>
          <w:lang w:val="es-MX" w:eastAsia="en-US"/>
        </w:rPr>
        <w:t>La Pampa</w:t>
      </w:r>
      <w:r w:rsidR="00115B35" w:rsidRPr="00FE07FE">
        <w:rPr>
          <w:lang w:val="es-MX" w:eastAsia="en-US"/>
        </w:rPr>
        <w:t>, trabaja desde el Ministerio de Educación y la Dirección Provincial de Discapacidad para integrar a niños, niñas y adolescentes a través de líneas de educación inclusiva al formato común. Respecto a salud, tiene acceso al 100% de la cobertura en medicación y tratamiento del diagnóstico (</w:t>
      </w:r>
      <w:r w:rsidR="00B9425B">
        <w:rPr>
          <w:lang w:val="es-MX" w:eastAsia="en-US"/>
        </w:rPr>
        <w:t>L</w:t>
      </w:r>
      <w:r w:rsidR="00115B35" w:rsidRPr="00FE07FE">
        <w:rPr>
          <w:lang w:val="es-MX" w:eastAsia="en-US"/>
        </w:rPr>
        <w:t xml:space="preserve">ey </w:t>
      </w:r>
      <w:r w:rsidR="00B9425B">
        <w:rPr>
          <w:lang w:val="es-MX" w:eastAsia="en-US"/>
        </w:rPr>
        <w:t xml:space="preserve">núm. </w:t>
      </w:r>
      <w:r w:rsidR="00115B35" w:rsidRPr="00FE07FE">
        <w:rPr>
          <w:lang w:val="es-MX" w:eastAsia="en-US"/>
        </w:rPr>
        <w:t xml:space="preserve">24901). </w:t>
      </w:r>
      <w:r w:rsidR="00115B35" w:rsidRPr="00FE07FE">
        <w:rPr>
          <w:b/>
          <w:lang w:val="es-MX" w:eastAsia="en-US"/>
        </w:rPr>
        <w:t>La Rioja</w:t>
      </w:r>
      <w:r w:rsidR="00115B35" w:rsidRPr="00FE07FE">
        <w:rPr>
          <w:lang w:val="es-MX" w:eastAsia="en-US"/>
        </w:rPr>
        <w:t xml:space="preserve"> garantiza la inclusión al Sistema Educativo a partir de la Resolución </w:t>
      </w:r>
      <w:r w:rsidR="00B9425B">
        <w:rPr>
          <w:lang w:val="es-MX" w:eastAsia="en-US"/>
        </w:rPr>
        <w:t xml:space="preserve">núm. </w:t>
      </w:r>
      <w:r w:rsidR="00115B35" w:rsidRPr="00FE07FE">
        <w:rPr>
          <w:lang w:val="es-MX" w:eastAsia="en-US"/>
        </w:rPr>
        <w:t xml:space="preserve">1140/13; y la Resolución </w:t>
      </w:r>
      <w:r w:rsidR="00B9425B">
        <w:rPr>
          <w:lang w:val="es-MX" w:eastAsia="en-US"/>
        </w:rPr>
        <w:t xml:space="preserve">núm. </w:t>
      </w:r>
      <w:r w:rsidR="00115B35" w:rsidRPr="00FE07FE">
        <w:rPr>
          <w:lang w:val="es-MX" w:eastAsia="en-US"/>
        </w:rPr>
        <w:t>427/2012 sobre la “Administración de Programas Especiales” incorporó el modulo maestro de apoyo para la integración escolar dentro del Sistema de Prestaciones Básicas de Atención Integral desde 2011. En</w:t>
      </w:r>
      <w:r w:rsidR="00115B35" w:rsidRPr="00FE07FE">
        <w:rPr>
          <w:b/>
          <w:lang w:val="es-MX" w:eastAsia="en-US"/>
        </w:rPr>
        <w:t xml:space="preserve"> Salta</w:t>
      </w:r>
      <w:r w:rsidR="00115B35" w:rsidRPr="00FE07FE">
        <w:rPr>
          <w:lang w:val="es-MX" w:eastAsia="en-US"/>
        </w:rPr>
        <w:t xml:space="preserve">, las acciones para garantizar el acceso a la salud y la educación son implementadas por la Secretaria de Discapacidad y Políticas Inclusivas dependiente del Ministerio de DDHH y Justicia. </w:t>
      </w:r>
      <w:r w:rsidR="00115B35" w:rsidRPr="00FE07FE">
        <w:rPr>
          <w:b/>
          <w:lang w:val="es-MX" w:eastAsia="en-US"/>
        </w:rPr>
        <w:t>Neuquén</w:t>
      </w:r>
      <w:r w:rsidR="00115B35" w:rsidRPr="00FE07FE">
        <w:rPr>
          <w:lang w:val="es-MX" w:eastAsia="en-US"/>
        </w:rPr>
        <w:t xml:space="preserve"> promueve la integración en escuelas comunes y el acceso a salud a través de toda la red de atención primaria (Rehabilitación basada en la comunidad) y de hospitales de la Provincia. </w:t>
      </w:r>
      <w:r w:rsidR="00115B35" w:rsidRPr="00FE07FE">
        <w:rPr>
          <w:b/>
          <w:lang w:val="es-MX" w:eastAsia="en-US"/>
        </w:rPr>
        <w:t>Tucumán</w:t>
      </w:r>
      <w:r w:rsidR="00115B35" w:rsidRPr="00FE07FE">
        <w:rPr>
          <w:lang w:val="es-MX" w:eastAsia="en-US"/>
        </w:rPr>
        <w:t xml:space="preserve"> mediante Resolución </w:t>
      </w:r>
      <w:r w:rsidR="00B9425B">
        <w:rPr>
          <w:lang w:val="es-MX" w:eastAsia="en-US"/>
        </w:rPr>
        <w:t xml:space="preserve">núm. </w:t>
      </w:r>
      <w:r w:rsidR="00115B35" w:rsidRPr="00FE07FE">
        <w:rPr>
          <w:lang w:val="es-MX" w:eastAsia="en-US"/>
        </w:rPr>
        <w:t xml:space="preserve">657/10 estableció los “Lineamientos Organizativos y Curriculares para la Modalidad Educación Especial” para el acompañamiento de alumnos con discapacidad en el Sistema Educativo desde los 0 a 30 años de edad, y |trabaja la integración en sus Dispositivos de Cuidado Institucional. </w:t>
      </w:r>
      <w:r w:rsidR="00115B35" w:rsidRPr="00FE07FE">
        <w:rPr>
          <w:b/>
          <w:lang w:val="es-MX" w:eastAsia="en-US"/>
        </w:rPr>
        <w:t>Tierra del fuego</w:t>
      </w:r>
      <w:r w:rsidR="00115B35" w:rsidRPr="00FE07FE">
        <w:rPr>
          <w:lang w:val="es-MX" w:eastAsia="en-US"/>
        </w:rPr>
        <w:t xml:space="preserve"> informó que todos los niños discapacidad son incorporados al sistema educativo mediante el Departamento de Inclusión Social del MDS provincial y tiene bajo </w:t>
      </w:r>
      <w:r w:rsidR="00115B35" w:rsidRPr="00FE07FE">
        <w:rPr>
          <w:lang w:val="es-MX" w:eastAsia="en-US"/>
        </w:rPr>
        <w:lastRenderedPageBreak/>
        <w:t xml:space="preserve">su órbita la incorporación a la obra social del IPAUSS (Instituto Provincial Autárquico Unificado de Seguridad Social), brindando cobertura médica a través del Instituto de Servicios Sociales provincial. CABA incorpora a niños con discapacidad al sistema educativo a partir de recursos como Maestro de Apoyo Pedagógico; Maestro de Apoyo a la Integración; Maestro de Apoyo Psicológico; Maestro Psicólogo Orientador; Asistentes Celadores para alumnos con Discapacidad Motora; Intérpretes de Lengua de Señas Argentinas; Acompañante Personal no docente de alumnos/as con discapacidad; servicios educativos en el domicilio particular; las Escuelas Hospitalarias; Escuelas de Recuperación; Centros Educativos de Recursos Interdisciplinarios; Centros Educativos para la Prevención y Atención a la Primera Infancia; Inclusión Educativa en el Nivel Medio y Orientación educativa. Para garantizar el derecho a la salud, posee el Plan Cobertura Porteña de Salud de atención médica personalizada, integral y gratuita, para todas aquellas personas que no posean cobertura médica ni prepaga ni obra social, atendiendo al niño con discapacidad en el domicilio, consultorios o en los Establecimientos Asistenciales de salud del Gobierno de la Ciudad (incluye medicamentos). </w:t>
      </w:r>
      <w:r w:rsidR="00115B35" w:rsidRPr="00FE07FE">
        <w:rPr>
          <w:b/>
          <w:lang w:val="es-MX" w:eastAsia="en-US"/>
        </w:rPr>
        <w:t>Santa Fe</w:t>
      </w:r>
      <w:r w:rsidR="00115B35" w:rsidRPr="00FE07FE">
        <w:rPr>
          <w:lang w:val="es-MX" w:eastAsia="en-US"/>
        </w:rPr>
        <w:t xml:space="preserve"> mediante Decreto </w:t>
      </w:r>
      <w:r w:rsidR="00DF1C7B">
        <w:rPr>
          <w:lang w:val="es-MX" w:eastAsia="en-US"/>
        </w:rPr>
        <w:t xml:space="preserve">núm. </w:t>
      </w:r>
      <w:r w:rsidR="00115B35" w:rsidRPr="00FE07FE">
        <w:rPr>
          <w:lang w:val="es-MX" w:eastAsia="en-US"/>
        </w:rPr>
        <w:t>2703/10 estableció las “Pautas de organización y articulación del proyecto de integración interinstitucional de niños, adolescentes y jóvenes con discapacidad” y posee el Programa Médico Obligatorio.</w:t>
      </w:r>
    </w:p>
    <w:p w:rsidR="00C21DAA" w:rsidRPr="00FE07FE" w:rsidRDefault="00FE07FE" w:rsidP="00500FFB">
      <w:pPr>
        <w:pStyle w:val="SingleTxtG"/>
        <w:rPr>
          <w:lang w:val="es-MX" w:eastAsia="en-US"/>
        </w:rPr>
      </w:pPr>
      <w:r w:rsidRPr="00500FFB">
        <w:rPr>
          <w:lang w:val="es-MX" w:eastAsia="en-US"/>
        </w:rPr>
        <w:t>171.</w:t>
      </w:r>
      <w:r w:rsidRPr="00500FFB">
        <w:rPr>
          <w:lang w:val="es-MX" w:eastAsia="en-US"/>
        </w:rPr>
        <w:tab/>
      </w:r>
      <w:r w:rsidR="00115B35" w:rsidRPr="00FE07FE">
        <w:rPr>
          <w:lang w:val="es-MX" w:eastAsia="en-US"/>
        </w:rPr>
        <w:t>La CONADIS financió la construcción y/o equipamiento de 24 servicios de rehabilitación para niños y adolescentes e informó que existe una red de prestadores del Sistema Único de Prestaciones Básicas para personas con discapacidad, con 2.301 servicios de diferentes en el país</w:t>
      </w:r>
      <w:r w:rsidR="005C512D">
        <w:rPr>
          <w:lang w:val="es-MX" w:eastAsia="en-US"/>
        </w:rPr>
        <w:t>.</w:t>
      </w:r>
    </w:p>
    <w:tbl>
      <w:tblPr>
        <w:tblW w:w="4999" w:type="pct"/>
        <w:tblBorders>
          <w:top w:val="single" w:sz="4" w:space="0" w:color="auto"/>
        </w:tblBorders>
        <w:tblCellMar>
          <w:left w:w="0" w:type="dxa"/>
          <w:right w:w="0" w:type="dxa"/>
        </w:tblCellMar>
        <w:tblLook w:val="04A0" w:firstRow="1" w:lastRow="0" w:firstColumn="1" w:lastColumn="0" w:noHBand="0" w:noVBand="1"/>
      </w:tblPr>
      <w:tblGrid>
        <w:gridCol w:w="740"/>
        <w:gridCol w:w="272"/>
        <w:gridCol w:w="354"/>
        <w:gridCol w:w="398"/>
        <w:gridCol w:w="419"/>
        <w:gridCol w:w="360"/>
        <w:gridCol w:w="280"/>
        <w:gridCol w:w="360"/>
        <w:gridCol w:w="383"/>
        <w:gridCol w:w="273"/>
        <w:gridCol w:w="400"/>
        <w:gridCol w:w="454"/>
        <w:gridCol w:w="347"/>
        <w:gridCol w:w="493"/>
        <w:gridCol w:w="417"/>
        <w:gridCol w:w="478"/>
        <w:gridCol w:w="276"/>
        <w:gridCol w:w="422"/>
        <w:gridCol w:w="420"/>
        <w:gridCol w:w="558"/>
        <w:gridCol w:w="566"/>
        <w:gridCol w:w="425"/>
        <w:gridCol w:w="384"/>
        <w:gridCol w:w="17"/>
      </w:tblGrid>
      <w:tr w:rsidR="00FE652D" w:rsidRPr="00FE652D" w:rsidTr="00FE652D">
        <w:trPr>
          <w:trHeight w:val="240"/>
          <w:tblHeader/>
        </w:trPr>
        <w:tc>
          <w:tcPr>
            <w:tcW w:w="390"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rPr>
                <w:i/>
                <w:sz w:val="12"/>
                <w:szCs w:val="12"/>
                <w:lang w:val="es-ES_tradnl" w:eastAsia="es-ES_tradnl"/>
              </w:rPr>
            </w:pPr>
            <w:r w:rsidRPr="00500FFB">
              <w:rPr>
                <w:i/>
                <w:sz w:val="12"/>
                <w:szCs w:val="12"/>
                <w:lang w:val="es-ES_tradnl" w:eastAsia="es-ES_tradnl"/>
              </w:rPr>
              <w:t>Provincias</w:t>
            </w:r>
          </w:p>
        </w:tc>
        <w:tc>
          <w:tcPr>
            <w:tcW w:w="144"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ET</w:t>
            </w:r>
          </w:p>
        </w:tc>
        <w:tc>
          <w:tcPr>
            <w:tcW w:w="187"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EI</w:t>
            </w:r>
          </w:p>
        </w:tc>
        <w:tc>
          <w:tcPr>
            <w:tcW w:w="210"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EGB</w:t>
            </w:r>
          </w:p>
        </w:tc>
        <w:tc>
          <w:tcPr>
            <w:tcW w:w="221"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SAIE</w:t>
            </w:r>
          </w:p>
        </w:tc>
        <w:tc>
          <w:tcPr>
            <w:tcW w:w="190"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FL</w:t>
            </w:r>
          </w:p>
        </w:tc>
        <w:tc>
          <w:tcPr>
            <w:tcW w:w="148"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AL</w:t>
            </w:r>
          </w:p>
        </w:tc>
        <w:tc>
          <w:tcPr>
            <w:tcW w:w="190"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CD</w:t>
            </w:r>
          </w:p>
        </w:tc>
        <w:tc>
          <w:tcPr>
            <w:tcW w:w="202"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CET</w:t>
            </w:r>
          </w:p>
        </w:tc>
        <w:tc>
          <w:tcPr>
            <w:tcW w:w="144"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H</w:t>
            </w:r>
          </w:p>
        </w:tc>
        <w:tc>
          <w:tcPr>
            <w:tcW w:w="208"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H/CD</w:t>
            </w:r>
          </w:p>
        </w:tc>
        <w:tc>
          <w:tcPr>
            <w:tcW w:w="238"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H/CET</w:t>
            </w:r>
          </w:p>
        </w:tc>
        <w:tc>
          <w:tcPr>
            <w:tcW w:w="180"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H/EI</w:t>
            </w:r>
          </w:p>
        </w:tc>
        <w:tc>
          <w:tcPr>
            <w:tcW w:w="260"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H/EGB</w:t>
            </w:r>
          </w:p>
        </w:tc>
        <w:tc>
          <w:tcPr>
            <w:tcW w:w="220"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H/FL</w:t>
            </w:r>
          </w:p>
        </w:tc>
        <w:tc>
          <w:tcPr>
            <w:tcW w:w="252"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H/AL</w:t>
            </w:r>
          </w:p>
        </w:tc>
        <w:tc>
          <w:tcPr>
            <w:tcW w:w="146"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PH</w:t>
            </w:r>
          </w:p>
        </w:tc>
        <w:tc>
          <w:tcPr>
            <w:tcW w:w="222"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RES</w:t>
            </w:r>
          </w:p>
        </w:tc>
        <w:tc>
          <w:tcPr>
            <w:tcW w:w="221"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SRN</w:t>
            </w:r>
            <w:r w:rsidR="00FE652D">
              <w:rPr>
                <w:i/>
                <w:sz w:val="12"/>
                <w:szCs w:val="12"/>
                <w:lang w:val="es-ES_tradnl" w:eastAsia="es-ES_tradnl"/>
              </w:rPr>
              <w:t xml:space="preserve"> </w:t>
            </w:r>
            <w:r w:rsidRPr="00500FFB">
              <w:rPr>
                <w:i/>
                <w:sz w:val="12"/>
                <w:szCs w:val="12"/>
                <w:lang w:val="es-ES_tradnl" w:eastAsia="es-ES_tradnl"/>
              </w:rPr>
              <w:t>I</w:t>
            </w:r>
          </w:p>
        </w:tc>
        <w:tc>
          <w:tcPr>
            <w:tcW w:w="294"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SRN</w:t>
            </w:r>
            <w:r w:rsidR="00FE652D">
              <w:rPr>
                <w:i/>
                <w:sz w:val="12"/>
                <w:szCs w:val="12"/>
                <w:lang w:val="es-ES_tradnl" w:eastAsia="es-ES_tradnl"/>
              </w:rPr>
              <w:t xml:space="preserve"> </w:t>
            </w:r>
            <w:r w:rsidRPr="00500FFB">
              <w:rPr>
                <w:i/>
                <w:sz w:val="12"/>
                <w:szCs w:val="12"/>
                <w:lang w:val="es-ES_tradnl" w:eastAsia="es-ES_tradnl"/>
              </w:rPr>
              <w:t>II</w:t>
            </w:r>
          </w:p>
        </w:tc>
        <w:tc>
          <w:tcPr>
            <w:tcW w:w="298"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SRN</w:t>
            </w:r>
            <w:r w:rsidR="00FE652D">
              <w:rPr>
                <w:i/>
                <w:sz w:val="12"/>
                <w:szCs w:val="12"/>
                <w:lang w:val="es-ES_tradnl" w:eastAsia="es-ES_tradnl"/>
              </w:rPr>
              <w:t xml:space="preserve"> </w:t>
            </w:r>
            <w:r w:rsidRPr="00500FFB">
              <w:rPr>
                <w:i/>
                <w:sz w:val="12"/>
                <w:szCs w:val="12"/>
                <w:lang w:val="es-ES_tradnl" w:eastAsia="es-ES_tradnl"/>
              </w:rPr>
              <w:t>III</w:t>
            </w:r>
          </w:p>
        </w:tc>
        <w:tc>
          <w:tcPr>
            <w:tcW w:w="224" w:type="pct"/>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EAG</w:t>
            </w:r>
          </w:p>
        </w:tc>
        <w:tc>
          <w:tcPr>
            <w:tcW w:w="211" w:type="pct"/>
            <w:gridSpan w:val="2"/>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2"/>
                <w:szCs w:val="12"/>
                <w:lang w:val="es-ES_tradnl" w:eastAsia="es-ES_tradnl"/>
              </w:rPr>
            </w:pPr>
            <w:r w:rsidRPr="00500FFB">
              <w:rPr>
                <w:i/>
                <w:sz w:val="12"/>
                <w:szCs w:val="12"/>
                <w:lang w:val="es-ES_tradnl" w:eastAsia="es-ES_tradnl"/>
              </w:rPr>
              <w:t>CRV</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Buenos </w:t>
            </w:r>
            <w:r w:rsidR="007B6F5F">
              <w:rPr>
                <w:sz w:val="16"/>
                <w:szCs w:val="16"/>
                <w:lang w:val="es-ES_tradnl" w:eastAsia="es-ES_tradnl"/>
              </w:rPr>
              <w:t>A</w:t>
            </w:r>
            <w:r w:rsidRPr="00500FFB">
              <w:rPr>
                <w:sz w:val="16"/>
                <w:szCs w:val="16"/>
                <w:lang w:val="es-ES_tradnl" w:eastAsia="es-ES_tradnl"/>
              </w:rPr>
              <w:t>ires</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36</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71</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114</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83</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57</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213</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97</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28</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81</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8</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32</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9</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Caba</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23</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14</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31</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21</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56</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38</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24</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10</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Catamarca</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0</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Chaco</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17</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7</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16</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14</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Chubut</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0</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C</w:t>
            </w:r>
            <w:r w:rsidR="00CD5E72">
              <w:rPr>
                <w:sz w:val="16"/>
                <w:szCs w:val="16"/>
                <w:lang w:val="es-ES_tradnl" w:eastAsia="es-ES_tradnl"/>
              </w:rPr>
              <w:t>ó</w:t>
            </w:r>
            <w:r w:rsidRPr="00500FFB">
              <w:rPr>
                <w:sz w:val="16"/>
                <w:szCs w:val="16"/>
                <w:lang w:val="es-ES_tradnl" w:eastAsia="es-ES_tradnl"/>
              </w:rPr>
              <w:t>rdoba</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6</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8</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14</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52</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8</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45</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39</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9</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32</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Corrientes</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9</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8</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Entre </w:t>
            </w:r>
            <w:r w:rsidR="007B6F5F">
              <w:rPr>
                <w:sz w:val="16"/>
                <w:szCs w:val="16"/>
                <w:lang w:val="es-ES_tradnl" w:eastAsia="es-ES_tradnl"/>
              </w:rPr>
              <w:t>Rí</w:t>
            </w:r>
            <w:r w:rsidRPr="00500FFB">
              <w:rPr>
                <w:sz w:val="16"/>
                <w:szCs w:val="16"/>
                <w:lang w:val="es-ES_tradnl" w:eastAsia="es-ES_tradnl"/>
              </w:rPr>
              <w:t>os</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7</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13</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7</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7</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Formosa</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1</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Jujuy</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5</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La </w:t>
            </w:r>
            <w:r w:rsidR="004B1CD5">
              <w:rPr>
                <w:sz w:val="16"/>
                <w:szCs w:val="16"/>
                <w:lang w:val="es-ES_tradnl" w:eastAsia="es-ES_tradnl"/>
              </w:rPr>
              <w:t>P</w:t>
            </w:r>
            <w:r w:rsidRPr="00500FFB">
              <w:rPr>
                <w:sz w:val="16"/>
                <w:szCs w:val="16"/>
                <w:lang w:val="es-ES_tradnl" w:eastAsia="es-ES_tradnl"/>
              </w:rPr>
              <w:t>ampa</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0</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La </w:t>
            </w:r>
            <w:r w:rsidR="004B1CD5">
              <w:rPr>
                <w:sz w:val="16"/>
                <w:szCs w:val="16"/>
                <w:lang w:val="es-ES_tradnl" w:eastAsia="es-ES_tradnl"/>
              </w:rPr>
              <w:t>R</w:t>
            </w:r>
            <w:r w:rsidRPr="00500FFB">
              <w:rPr>
                <w:sz w:val="16"/>
                <w:szCs w:val="16"/>
                <w:lang w:val="es-ES_tradnl" w:eastAsia="es-ES_tradnl"/>
              </w:rPr>
              <w:t>ioja</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2</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Mendoza</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15</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7</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13</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36</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16</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9</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Misiones</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0</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Neuquén</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0</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4</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Rio </w:t>
            </w:r>
            <w:r w:rsidR="007B6F5F">
              <w:rPr>
                <w:sz w:val="16"/>
                <w:szCs w:val="16"/>
                <w:lang w:val="es-ES_tradnl" w:eastAsia="es-ES_tradnl"/>
              </w:rPr>
              <w:t>N</w:t>
            </w:r>
            <w:r w:rsidRPr="00500FFB">
              <w:rPr>
                <w:sz w:val="16"/>
                <w:szCs w:val="16"/>
                <w:lang w:val="es-ES_tradnl" w:eastAsia="es-ES_tradnl"/>
              </w:rPr>
              <w:t>egro</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0</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Salta</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10</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9</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12</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San </w:t>
            </w:r>
            <w:r w:rsidR="004B1CD5">
              <w:rPr>
                <w:sz w:val="16"/>
                <w:szCs w:val="16"/>
                <w:lang w:val="es-ES_tradnl" w:eastAsia="es-ES_tradnl"/>
              </w:rPr>
              <w:t>J</w:t>
            </w:r>
            <w:r w:rsidRPr="00500FFB">
              <w:rPr>
                <w:sz w:val="16"/>
                <w:szCs w:val="16"/>
                <w:lang w:val="es-ES_tradnl" w:eastAsia="es-ES_tradnl"/>
              </w:rPr>
              <w:t>uan</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1</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7</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8</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San </w:t>
            </w:r>
            <w:r w:rsidR="004B1CD5">
              <w:rPr>
                <w:sz w:val="16"/>
                <w:szCs w:val="16"/>
                <w:lang w:val="es-ES_tradnl" w:eastAsia="es-ES_tradnl"/>
              </w:rPr>
              <w:t>L</w:t>
            </w:r>
            <w:r w:rsidRPr="00500FFB">
              <w:rPr>
                <w:sz w:val="16"/>
                <w:szCs w:val="16"/>
                <w:lang w:val="es-ES_tradnl" w:eastAsia="es-ES_tradnl"/>
              </w:rPr>
              <w:t>uis</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1</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Santa </w:t>
            </w:r>
            <w:r w:rsidR="004B1CD5">
              <w:rPr>
                <w:sz w:val="16"/>
                <w:szCs w:val="16"/>
                <w:lang w:val="es-ES_tradnl" w:eastAsia="es-ES_tradnl"/>
              </w:rPr>
              <w:t>C</w:t>
            </w:r>
            <w:r w:rsidRPr="00500FFB">
              <w:rPr>
                <w:sz w:val="16"/>
                <w:szCs w:val="16"/>
                <w:lang w:val="es-ES_tradnl" w:eastAsia="es-ES_tradnl"/>
              </w:rPr>
              <w:t>ruz</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2</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Santa </w:t>
            </w:r>
            <w:r w:rsidR="004B1CD5">
              <w:rPr>
                <w:sz w:val="16"/>
                <w:szCs w:val="16"/>
                <w:lang w:val="es-ES_tradnl" w:eastAsia="es-ES_tradnl"/>
              </w:rPr>
              <w:t>F</w:t>
            </w:r>
            <w:r w:rsidRPr="00500FFB">
              <w:rPr>
                <w:sz w:val="16"/>
                <w:szCs w:val="16"/>
                <w:lang w:val="es-ES_tradnl" w:eastAsia="es-ES_tradnl"/>
              </w:rPr>
              <w:t>e</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21</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101</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68</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12</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14</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56</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r>
      <w:tr w:rsidR="00FE652D" w:rsidRPr="00B9425B" w:rsidTr="00FE652D">
        <w:trPr>
          <w:gridAfter w:val="1"/>
          <w:wAfter w:w="9" w:type="pct"/>
          <w:trHeight w:val="240"/>
        </w:trPr>
        <w:tc>
          <w:tcPr>
            <w:tcW w:w="390" w:type="pct"/>
            <w:shd w:val="clear" w:color="auto" w:fill="auto"/>
          </w:tcPr>
          <w:p w:rsidR="00C21DAA" w:rsidRPr="00500FFB" w:rsidRDefault="00115B35">
            <w:pPr>
              <w:spacing w:before="40" w:after="40" w:line="220" w:lineRule="exact"/>
              <w:rPr>
                <w:sz w:val="16"/>
                <w:szCs w:val="16"/>
                <w:lang w:val="es-ES_tradnl" w:eastAsia="es-ES_tradnl"/>
              </w:rPr>
            </w:pPr>
            <w:r w:rsidRPr="00500FFB">
              <w:rPr>
                <w:sz w:val="16"/>
                <w:szCs w:val="16"/>
                <w:lang w:val="es-ES_tradnl" w:eastAsia="es-ES_tradnl"/>
              </w:rPr>
              <w:t xml:space="preserve">Santiago del </w:t>
            </w:r>
            <w:r w:rsidR="004B1CD5">
              <w:rPr>
                <w:sz w:val="16"/>
                <w:szCs w:val="16"/>
                <w:lang w:val="es-ES_tradnl" w:eastAsia="es-ES_tradnl"/>
              </w:rPr>
              <w:t>E</w:t>
            </w:r>
            <w:r w:rsidRPr="00500FFB">
              <w:rPr>
                <w:sz w:val="16"/>
                <w:szCs w:val="16"/>
                <w:lang w:val="es-ES_tradnl" w:eastAsia="es-ES_tradnl"/>
              </w:rPr>
              <w:t>stero</w:t>
            </w:r>
          </w:p>
        </w:tc>
        <w:tc>
          <w:tcPr>
            <w:tcW w:w="144" w:type="pct"/>
            <w:shd w:val="clear" w:color="auto" w:fill="auto"/>
            <w:vAlign w:val="bottom"/>
          </w:tcPr>
          <w:p w:rsidR="00C21DAA" w:rsidRPr="00500FFB" w:rsidRDefault="00115B35">
            <w:pPr>
              <w:spacing w:before="40" w:after="40" w:line="220" w:lineRule="exact"/>
              <w:jc w:val="right"/>
              <w:rPr>
                <w:sz w:val="16"/>
                <w:szCs w:val="16"/>
                <w:lang w:val="es-ES_tradnl" w:eastAsia="es-ES_tradnl"/>
              </w:rPr>
            </w:pPr>
            <w:r w:rsidRPr="00500FFB">
              <w:rPr>
                <w:sz w:val="16"/>
                <w:szCs w:val="16"/>
                <w:lang w:val="es-ES_tradnl" w:eastAsia="es-ES_tradnl"/>
              </w:rPr>
              <w:t>9</w:t>
            </w:r>
          </w:p>
        </w:tc>
        <w:tc>
          <w:tcPr>
            <w:tcW w:w="187"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2</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7</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7</w:t>
            </w:r>
          </w:p>
        </w:tc>
        <w:tc>
          <w:tcPr>
            <w:tcW w:w="14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20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3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9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rsidP="00500FFB">
            <w:pPr>
              <w:keepNext/>
              <w:spacing w:before="40" w:after="40" w:line="220" w:lineRule="exact"/>
              <w:rPr>
                <w:sz w:val="16"/>
                <w:szCs w:val="16"/>
                <w:lang w:val="es-ES_tradnl" w:eastAsia="es-ES_tradnl"/>
              </w:rPr>
            </w:pPr>
            <w:r w:rsidRPr="00500FFB">
              <w:rPr>
                <w:sz w:val="16"/>
                <w:szCs w:val="16"/>
                <w:lang w:val="es-ES_tradnl" w:eastAsia="es-ES_tradnl"/>
              </w:rPr>
              <w:t xml:space="preserve">Tierra del </w:t>
            </w:r>
            <w:r w:rsidR="007B6F5F">
              <w:rPr>
                <w:sz w:val="16"/>
                <w:szCs w:val="16"/>
                <w:lang w:val="es-ES_tradnl" w:eastAsia="es-ES_tradnl"/>
              </w:rPr>
              <w:t>F</w:t>
            </w:r>
            <w:r w:rsidRPr="00500FFB">
              <w:rPr>
                <w:sz w:val="16"/>
                <w:szCs w:val="16"/>
                <w:lang w:val="es-ES_tradnl" w:eastAsia="es-ES_tradnl"/>
              </w:rPr>
              <w:t>uego</w:t>
            </w:r>
          </w:p>
        </w:tc>
        <w:tc>
          <w:tcPr>
            <w:tcW w:w="144" w:type="pct"/>
            <w:shd w:val="clear" w:color="auto" w:fill="auto"/>
            <w:vAlign w:val="bottom"/>
          </w:tcPr>
          <w:p w:rsidR="00C21DAA" w:rsidRPr="00500FFB" w:rsidRDefault="00115B35" w:rsidP="00500FFB">
            <w:pPr>
              <w:keepNext/>
              <w:spacing w:before="40" w:after="40" w:line="220" w:lineRule="exact"/>
              <w:jc w:val="right"/>
              <w:rPr>
                <w:sz w:val="16"/>
                <w:szCs w:val="16"/>
                <w:lang w:val="es-ES_tradnl" w:eastAsia="es-ES_tradnl"/>
              </w:rPr>
            </w:pPr>
            <w:r w:rsidRPr="00500FFB">
              <w:rPr>
                <w:sz w:val="16"/>
                <w:szCs w:val="16"/>
                <w:lang w:val="es-ES_tradnl" w:eastAsia="es-ES_tradnl"/>
              </w:rPr>
              <w:t>0</w:t>
            </w:r>
          </w:p>
        </w:tc>
        <w:tc>
          <w:tcPr>
            <w:tcW w:w="187"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1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8"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9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4"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38"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4"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98"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B9425B" w:rsidTr="00FE652D">
        <w:trPr>
          <w:gridAfter w:val="1"/>
          <w:wAfter w:w="9" w:type="pct"/>
          <w:trHeight w:val="240"/>
        </w:trPr>
        <w:tc>
          <w:tcPr>
            <w:tcW w:w="390" w:type="pct"/>
            <w:shd w:val="clear" w:color="auto" w:fill="auto"/>
          </w:tcPr>
          <w:p w:rsidR="00C21DAA" w:rsidRPr="00500FFB" w:rsidRDefault="00115B35" w:rsidP="00500FFB">
            <w:pPr>
              <w:keepNext/>
              <w:spacing w:before="40" w:after="40" w:line="220" w:lineRule="exact"/>
              <w:rPr>
                <w:sz w:val="16"/>
                <w:szCs w:val="16"/>
                <w:lang w:val="es-ES_tradnl" w:eastAsia="es-ES_tradnl"/>
              </w:rPr>
            </w:pPr>
            <w:r w:rsidRPr="00500FFB">
              <w:rPr>
                <w:sz w:val="16"/>
                <w:szCs w:val="16"/>
                <w:lang w:val="es-ES_tradnl" w:eastAsia="es-ES_tradnl"/>
              </w:rPr>
              <w:t>Tucum</w:t>
            </w:r>
            <w:r w:rsidR="007B6F5F">
              <w:rPr>
                <w:sz w:val="16"/>
                <w:szCs w:val="16"/>
                <w:lang w:val="es-ES_tradnl" w:eastAsia="es-ES_tradnl"/>
              </w:rPr>
              <w:t>á</w:t>
            </w:r>
            <w:r w:rsidRPr="00500FFB">
              <w:rPr>
                <w:sz w:val="16"/>
                <w:szCs w:val="16"/>
                <w:lang w:val="es-ES_tradnl" w:eastAsia="es-ES_tradnl"/>
              </w:rPr>
              <w:t>n</w:t>
            </w:r>
          </w:p>
        </w:tc>
        <w:tc>
          <w:tcPr>
            <w:tcW w:w="144" w:type="pct"/>
            <w:shd w:val="clear" w:color="auto" w:fill="auto"/>
            <w:vAlign w:val="bottom"/>
          </w:tcPr>
          <w:p w:rsidR="00C21DAA" w:rsidRPr="00500FFB" w:rsidRDefault="00115B35" w:rsidP="00500FFB">
            <w:pPr>
              <w:keepNext/>
              <w:spacing w:before="40" w:after="40" w:line="220" w:lineRule="exact"/>
              <w:jc w:val="right"/>
              <w:rPr>
                <w:sz w:val="16"/>
                <w:szCs w:val="16"/>
                <w:lang w:val="es-ES_tradnl" w:eastAsia="es-ES_tradnl"/>
              </w:rPr>
            </w:pPr>
            <w:r w:rsidRPr="00500FFB">
              <w:rPr>
                <w:sz w:val="16"/>
                <w:szCs w:val="16"/>
                <w:lang w:val="es-ES_tradnl" w:eastAsia="es-ES_tradnl"/>
              </w:rPr>
              <w:t>6</w:t>
            </w:r>
          </w:p>
        </w:tc>
        <w:tc>
          <w:tcPr>
            <w:tcW w:w="187"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3</w:t>
            </w:r>
          </w:p>
        </w:tc>
        <w:tc>
          <w:tcPr>
            <w:tcW w:w="21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21"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20</w:t>
            </w:r>
          </w:p>
        </w:tc>
        <w:tc>
          <w:tcPr>
            <w:tcW w:w="19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8</w:t>
            </w:r>
          </w:p>
        </w:tc>
        <w:tc>
          <w:tcPr>
            <w:tcW w:w="148"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19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24</w:t>
            </w:r>
          </w:p>
        </w:tc>
        <w:tc>
          <w:tcPr>
            <w:tcW w:w="202"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24</w:t>
            </w:r>
          </w:p>
        </w:tc>
        <w:tc>
          <w:tcPr>
            <w:tcW w:w="144"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8"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1</w:t>
            </w:r>
          </w:p>
        </w:tc>
        <w:tc>
          <w:tcPr>
            <w:tcW w:w="238"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8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6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0"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52"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146"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2"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1"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94"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6</w:t>
            </w:r>
          </w:p>
        </w:tc>
        <w:tc>
          <w:tcPr>
            <w:tcW w:w="298"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24"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c>
          <w:tcPr>
            <w:tcW w:w="202" w:type="pct"/>
            <w:shd w:val="clear" w:color="auto" w:fill="auto"/>
            <w:vAlign w:val="bottom"/>
          </w:tcPr>
          <w:p w:rsidR="00C21DAA" w:rsidRPr="00500FFB" w:rsidRDefault="00115B35" w:rsidP="00500FFB">
            <w:pPr>
              <w:keepNext/>
              <w:spacing w:before="40" w:after="40" w:line="220" w:lineRule="exact"/>
              <w:ind w:left="113"/>
              <w:jc w:val="right"/>
              <w:rPr>
                <w:sz w:val="16"/>
                <w:szCs w:val="16"/>
                <w:lang w:val="es-ES_tradnl" w:eastAsia="es-ES_tradnl"/>
              </w:rPr>
            </w:pPr>
            <w:r w:rsidRPr="00500FFB">
              <w:rPr>
                <w:sz w:val="16"/>
                <w:szCs w:val="16"/>
                <w:lang w:val="es-ES_tradnl" w:eastAsia="es-ES_tradnl"/>
              </w:rPr>
              <w:t>0</w:t>
            </w:r>
          </w:p>
        </w:tc>
      </w:tr>
      <w:tr w:rsidR="00FE652D" w:rsidRPr="007B6F5F" w:rsidTr="00FE652D">
        <w:trPr>
          <w:gridAfter w:val="1"/>
          <w:wAfter w:w="9" w:type="pct"/>
          <w:trHeight w:val="240"/>
        </w:trPr>
        <w:tc>
          <w:tcPr>
            <w:tcW w:w="390" w:type="pct"/>
            <w:tcBorders>
              <w:bottom w:val="single" w:sz="12" w:space="0" w:color="auto"/>
            </w:tcBorders>
            <w:shd w:val="clear" w:color="auto" w:fill="auto"/>
          </w:tcPr>
          <w:p w:rsidR="00C21DAA" w:rsidRPr="00500FFB" w:rsidRDefault="00115B35" w:rsidP="00500FFB">
            <w:pPr>
              <w:spacing w:before="80" w:after="80" w:line="220" w:lineRule="exact"/>
              <w:ind w:left="170"/>
              <w:rPr>
                <w:b/>
                <w:sz w:val="16"/>
                <w:szCs w:val="16"/>
                <w:lang w:val="es-ES_tradnl" w:eastAsia="es-ES_tradnl"/>
              </w:rPr>
            </w:pPr>
            <w:r w:rsidRPr="00500FFB">
              <w:rPr>
                <w:b/>
                <w:sz w:val="16"/>
                <w:szCs w:val="16"/>
                <w:lang w:val="es-ES_tradnl" w:eastAsia="es-ES_tradnl"/>
              </w:rPr>
              <w:t>Totales</w:t>
            </w:r>
          </w:p>
        </w:tc>
        <w:tc>
          <w:tcPr>
            <w:tcW w:w="144" w:type="pct"/>
            <w:tcBorders>
              <w:bottom w:val="single" w:sz="12" w:space="0" w:color="auto"/>
            </w:tcBorders>
            <w:shd w:val="clear" w:color="auto" w:fill="auto"/>
            <w:vAlign w:val="bottom"/>
          </w:tcPr>
          <w:p w:rsidR="00C21DAA" w:rsidRPr="00500FFB" w:rsidRDefault="00115B35" w:rsidP="00500FFB">
            <w:pPr>
              <w:spacing w:before="80" w:after="80" w:line="220" w:lineRule="exact"/>
              <w:jc w:val="right"/>
              <w:rPr>
                <w:b/>
                <w:sz w:val="16"/>
                <w:szCs w:val="16"/>
                <w:lang w:val="es-ES_tradnl" w:eastAsia="es-ES_tradnl"/>
              </w:rPr>
            </w:pPr>
            <w:r w:rsidRPr="00500FFB">
              <w:rPr>
                <w:b/>
                <w:sz w:val="16"/>
                <w:szCs w:val="16"/>
                <w:lang w:val="es-ES_tradnl" w:eastAsia="es-ES_tradnl"/>
              </w:rPr>
              <w:t>171</w:t>
            </w:r>
          </w:p>
        </w:tc>
        <w:tc>
          <w:tcPr>
            <w:tcW w:w="187"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126</w:t>
            </w:r>
          </w:p>
        </w:tc>
        <w:tc>
          <w:tcPr>
            <w:tcW w:w="210"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201</w:t>
            </w:r>
          </w:p>
        </w:tc>
        <w:tc>
          <w:tcPr>
            <w:tcW w:w="221"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305</w:t>
            </w:r>
          </w:p>
        </w:tc>
        <w:tc>
          <w:tcPr>
            <w:tcW w:w="190"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106</w:t>
            </w:r>
          </w:p>
        </w:tc>
        <w:tc>
          <w:tcPr>
            <w:tcW w:w="148"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20</w:t>
            </w:r>
          </w:p>
        </w:tc>
        <w:tc>
          <w:tcPr>
            <w:tcW w:w="190"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554</w:t>
            </w:r>
          </w:p>
        </w:tc>
        <w:tc>
          <w:tcPr>
            <w:tcW w:w="202"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367</w:t>
            </w:r>
          </w:p>
        </w:tc>
        <w:tc>
          <w:tcPr>
            <w:tcW w:w="144"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69</w:t>
            </w:r>
          </w:p>
        </w:tc>
        <w:tc>
          <w:tcPr>
            <w:tcW w:w="208"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140</w:t>
            </w:r>
          </w:p>
        </w:tc>
        <w:tc>
          <w:tcPr>
            <w:tcW w:w="238"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16</w:t>
            </w:r>
          </w:p>
        </w:tc>
        <w:tc>
          <w:tcPr>
            <w:tcW w:w="180"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2</w:t>
            </w:r>
          </w:p>
        </w:tc>
        <w:tc>
          <w:tcPr>
            <w:tcW w:w="260"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2</w:t>
            </w:r>
          </w:p>
        </w:tc>
        <w:tc>
          <w:tcPr>
            <w:tcW w:w="220"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1</w:t>
            </w:r>
          </w:p>
        </w:tc>
        <w:tc>
          <w:tcPr>
            <w:tcW w:w="252"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0</w:t>
            </w:r>
          </w:p>
        </w:tc>
        <w:tc>
          <w:tcPr>
            <w:tcW w:w="146"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0</w:t>
            </w:r>
          </w:p>
        </w:tc>
        <w:tc>
          <w:tcPr>
            <w:tcW w:w="222"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6</w:t>
            </w:r>
          </w:p>
        </w:tc>
        <w:tc>
          <w:tcPr>
            <w:tcW w:w="221"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174</w:t>
            </w:r>
          </w:p>
        </w:tc>
        <w:tc>
          <w:tcPr>
            <w:tcW w:w="294"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30</w:t>
            </w:r>
          </w:p>
        </w:tc>
        <w:tc>
          <w:tcPr>
            <w:tcW w:w="298"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4</w:t>
            </w:r>
          </w:p>
        </w:tc>
        <w:tc>
          <w:tcPr>
            <w:tcW w:w="224"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2</w:t>
            </w:r>
          </w:p>
        </w:tc>
        <w:tc>
          <w:tcPr>
            <w:tcW w:w="202" w:type="pct"/>
            <w:tcBorders>
              <w:bottom w:val="single" w:sz="12" w:space="0" w:color="auto"/>
            </w:tcBorders>
            <w:shd w:val="clear" w:color="auto" w:fill="auto"/>
            <w:vAlign w:val="bottom"/>
          </w:tcPr>
          <w:p w:rsidR="00C21DAA" w:rsidRPr="00500FFB" w:rsidRDefault="00115B35" w:rsidP="00500FFB">
            <w:pPr>
              <w:spacing w:before="80" w:after="80" w:line="220" w:lineRule="exact"/>
              <w:ind w:left="113"/>
              <w:jc w:val="right"/>
              <w:rPr>
                <w:b/>
                <w:sz w:val="16"/>
                <w:szCs w:val="16"/>
                <w:lang w:val="es-ES_tradnl" w:eastAsia="es-ES_tradnl"/>
              </w:rPr>
            </w:pPr>
            <w:r w:rsidRPr="00500FFB">
              <w:rPr>
                <w:b/>
                <w:sz w:val="16"/>
                <w:szCs w:val="16"/>
                <w:lang w:val="es-ES_tradnl" w:eastAsia="es-ES_tradnl"/>
              </w:rPr>
              <w:t>1</w:t>
            </w:r>
          </w:p>
        </w:tc>
      </w:tr>
    </w:tbl>
    <w:p w:rsidR="00C21DAA" w:rsidRPr="00500FFB" w:rsidRDefault="00115B35" w:rsidP="00500FFB">
      <w:pPr>
        <w:pStyle w:val="SingleTxtG"/>
        <w:spacing w:before="120" w:after="0" w:line="220" w:lineRule="exact"/>
        <w:ind w:left="0" w:right="0" w:firstLine="170"/>
        <w:rPr>
          <w:sz w:val="16"/>
          <w:szCs w:val="16"/>
          <w:lang w:val="es-AR"/>
        </w:rPr>
      </w:pPr>
      <w:r w:rsidRPr="00500FFB">
        <w:rPr>
          <w:sz w:val="16"/>
          <w:szCs w:val="16"/>
          <w:lang w:val="es-AR"/>
        </w:rPr>
        <w:lastRenderedPageBreak/>
        <w:t>ET: estimulación temprana. EI: educación inicial. EGB: educación general básica.</w:t>
      </w:r>
    </w:p>
    <w:p w:rsidR="00C21DAA" w:rsidRPr="00500FFB" w:rsidRDefault="00115B35" w:rsidP="00500FFB">
      <w:pPr>
        <w:pStyle w:val="SingleTxtG"/>
        <w:spacing w:after="0" w:line="220" w:lineRule="exact"/>
        <w:ind w:left="0" w:right="0" w:firstLine="170"/>
        <w:rPr>
          <w:sz w:val="16"/>
          <w:szCs w:val="16"/>
          <w:lang w:val="es-AR"/>
        </w:rPr>
      </w:pPr>
      <w:r w:rsidRPr="00500FFB">
        <w:rPr>
          <w:sz w:val="16"/>
          <w:szCs w:val="16"/>
          <w:lang w:val="es-AR"/>
        </w:rPr>
        <w:t>SAIE: servicio de apoyo a la integración escolar. FL: formación laboral. AP: aprestamiento laboral.</w:t>
      </w:r>
    </w:p>
    <w:p w:rsidR="00C21DAA" w:rsidRPr="00500FFB" w:rsidRDefault="00115B35" w:rsidP="00500FFB">
      <w:pPr>
        <w:pStyle w:val="SingleTxtG"/>
        <w:spacing w:after="0" w:line="220" w:lineRule="exact"/>
        <w:ind w:left="0" w:right="0" w:firstLine="170"/>
        <w:rPr>
          <w:sz w:val="16"/>
          <w:szCs w:val="16"/>
          <w:lang w:val="es-AR"/>
        </w:rPr>
      </w:pPr>
      <w:r w:rsidRPr="00500FFB">
        <w:rPr>
          <w:sz w:val="16"/>
          <w:szCs w:val="16"/>
          <w:lang w:val="es-AR"/>
        </w:rPr>
        <w:t xml:space="preserve">CD: centro de día. CET: centro educativo terapéutico. H: hogar. H/CD: hogar con centro de día. H/CET: hogar con centro educativo terapéutico. H/EI: hogar con educación inicial.  </w:t>
      </w:r>
    </w:p>
    <w:p w:rsidR="00C21DAA" w:rsidRPr="00500FFB" w:rsidRDefault="00115B35" w:rsidP="00500FFB">
      <w:pPr>
        <w:pStyle w:val="SingleTxtG"/>
        <w:spacing w:after="0" w:line="220" w:lineRule="exact"/>
        <w:ind w:left="0" w:right="0" w:firstLine="170"/>
        <w:rPr>
          <w:sz w:val="16"/>
          <w:szCs w:val="16"/>
          <w:lang w:val="es-AR"/>
        </w:rPr>
      </w:pPr>
      <w:r w:rsidRPr="00500FFB">
        <w:rPr>
          <w:sz w:val="16"/>
          <w:szCs w:val="16"/>
          <w:lang w:val="es-AR"/>
        </w:rPr>
        <w:t>H/EGB: hogar con educación general básica. H/FL: hogar con formación laboral. H/AL: hogar con aprestamiento laboral. PH: pequeño hogar.</w:t>
      </w:r>
    </w:p>
    <w:p w:rsidR="00C21DAA" w:rsidRPr="00500FFB" w:rsidRDefault="00115B35" w:rsidP="00500FFB">
      <w:pPr>
        <w:pStyle w:val="SingleTxtG"/>
        <w:spacing w:after="0" w:line="220" w:lineRule="exact"/>
        <w:ind w:left="0" w:right="0" w:firstLine="170"/>
        <w:rPr>
          <w:sz w:val="16"/>
          <w:szCs w:val="16"/>
          <w:lang w:val="es-AR"/>
        </w:rPr>
      </w:pPr>
      <w:r w:rsidRPr="00500FFB">
        <w:rPr>
          <w:sz w:val="16"/>
          <w:szCs w:val="16"/>
          <w:lang w:val="es-AR"/>
        </w:rPr>
        <w:t>RES: residencia. SRNI: servicio de rehabilitación nivel I. SRNII: servicio de rehabilitación nivel II. SRNIII: servicio de rehabilitación nivel III. EAG: establecimiento en aislamiento geográfico.</w:t>
      </w:r>
    </w:p>
    <w:p w:rsidR="00C21DAA" w:rsidRPr="00500FFB" w:rsidRDefault="00115B35" w:rsidP="00500FFB">
      <w:pPr>
        <w:pStyle w:val="SingleTxtG"/>
        <w:spacing w:after="240" w:line="220" w:lineRule="exact"/>
        <w:ind w:left="0" w:right="0" w:firstLine="170"/>
        <w:rPr>
          <w:sz w:val="16"/>
          <w:szCs w:val="16"/>
          <w:lang w:val="es-AR"/>
        </w:rPr>
      </w:pPr>
      <w:r w:rsidRPr="00500FFB">
        <w:rPr>
          <w:sz w:val="16"/>
          <w:szCs w:val="16"/>
          <w:lang w:val="es-AR"/>
        </w:rPr>
        <w:t>CRV: centro de rehabilitación para personas con discapacidad visual</w:t>
      </w:r>
      <w:r w:rsidR="005C512D">
        <w:rPr>
          <w:sz w:val="16"/>
          <w:szCs w:val="16"/>
          <w:lang w:val="es-AR"/>
        </w:rPr>
        <w:t>.</w:t>
      </w:r>
    </w:p>
    <w:p w:rsidR="00C21DAA" w:rsidRPr="00FE07FE" w:rsidRDefault="00FE07FE" w:rsidP="00500FFB">
      <w:pPr>
        <w:pStyle w:val="SingleTxtG"/>
        <w:rPr>
          <w:lang w:val="es-MX" w:eastAsia="en-US"/>
        </w:rPr>
      </w:pPr>
      <w:r w:rsidRPr="00500FFB">
        <w:rPr>
          <w:lang w:val="es-MX" w:eastAsia="en-US"/>
        </w:rPr>
        <w:t>172.</w:t>
      </w:r>
      <w:r w:rsidRPr="00500FFB">
        <w:rPr>
          <w:lang w:val="es-MX" w:eastAsia="en-US"/>
        </w:rPr>
        <w:tab/>
      </w:r>
      <w:r w:rsidR="00115B35" w:rsidRPr="00FE07FE">
        <w:rPr>
          <w:lang w:val="es-MX" w:eastAsia="en-US"/>
        </w:rPr>
        <w:t>Para la identificación temprana, la Dirección Nacional de Maternidad e Infancia en conjunto con los Programas de Maternidad e Infancia Jurisdiccionales atienden patologías prevalentes durante los primeros meses de vida. Desde CONADIS también se trabaja: Programa nacional de detección temprana y atención de la hipoacusia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25415), Programa Nacional de Prevención de la Ceguera, Programa Nacional de Fortalecimiento de la Detección de Enfermedades Congénitas del Metabolismo, Programa de atención de las enfermedades prevalentes de la infancia, Programa Nacional de Cardiopatías Congénitas, Plan de Resolución de Cirugías Cardiovasculares Pediátricas en lista de espera, Registro de Centros de Cirugía Cardiovascular Pediátricos. </w:t>
      </w:r>
    </w:p>
    <w:p w:rsidR="00C21DAA" w:rsidRPr="00FE07FE" w:rsidRDefault="00FE07FE" w:rsidP="00500FFB">
      <w:pPr>
        <w:pStyle w:val="SingleTxtG"/>
        <w:rPr>
          <w:lang w:val="es-MX" w:eastAsia="en-US"/>
        </w:rPr>
      </w:pPr>
      <w:r w:rsidRPr="00500FFB">
        <w:rPr>
          <w:lang w:val="es-MX" w:eastAsia="en-US"/>
        </w:rPr>
        <w:t>173.</w:t>
      </w:r>
      <w:r w:rsidRPr="00500FFB">
        <w:rPr>
          <w:lang w:val="es-MX" w:eastAsia="en-US"/>
        </w:rPr>
        <w:tab/>
      </w:r>
      <w:r w:rsidR="00115B35" w:rsidRPr="00FE07FE">
        <w:rPr>
          <w:b/>
          <w:i/>
          <w:lang w:val="es-MX" w:eastAsia="en-US"/>
        </w:rPr>
        <w:t>Inclusión de la educación especial</w:t>
      </w:r>
      <w:r w:rsidR="00115B35" w:rsidRPr="00FE07FE">
        <w:rPr>
          <w:lang w:val="es-MX" w:eastAsia="en-US"/>
        </w:rPr>
        <w:t>: se incluyen estudiantes con discapacidad a través de: PROMER Especial y Primaria Digital. El CFE aprobó “Pautas federales para el mejoramiento de la enseñanza y el aprendizaje y las trayectorias escolares en el nivel inicial, primario y modalidades, y su regulación”</w:t>
      </w:r>
      <w:r w:rsidR="00115B35" w:rsidRPr="00FE07FE">
        <w:rPr>
          <w:rStyle w:val="Refdenotaalpie"/>
        </w:rPr>
        <w:footnoteReference w:id="24"/>
      </w:r>
      <w:r w:rsidR="00115B35" w:rsidRPr="00FE07FE">
        <w:rPr>
          <w:lang w:val="es-MX" w:eastAsia="en-US"/>
        </w:rPr>
        <w:t>.</w:t>
      </w:r>
    </w:p>
    <w:p w:rsidR="00C21DAA" w:rsidRPr="00FE07FE" w:rsidRDefault="00FE07FE" w:rsidP="00500FFB">
      <w:pPr>
        <w:pStyle w:val="SingleTxtG"/>
        <w:rPr>
          <w:lang w:val="es-MX" w:eastAsia="en-US"/>
        </w:rPr>
      </w:pPr>
      <w:r w:rsidRPr="00500FFB">
        <w:rPr>
          <w:lang w:val="es-MX" w:eastAsia="en-US"/>
        </w:rPr>
        <w:t>174.</w:t>
      </w:r>
      <w:r w:rsidRPr="00500FFB">
        <w:rPr>
          <w:lang w:val="es-MX" w:eastAsia="en-US"/>
        </w:rPr>
        <w:tab/>
      </w:r>
      <w:r w:rsidR="00115B35" w:rsidRPr="00FE07FE">
        <w:rPr>
          <w:b/>
          <w:i/>
          <w:lang w:val="es-MX" w:eastAsia="en-US"/>
        </w:rPr>
        <w:t>Capacitación</w:t>
      </w:r>
      <w:r w:rsidR="00115B35" w:rsidRPr="00FE07FE">
        <w:rPr>
          <w:lang w:val="es-MX" w:eastAsia="en-US"/>
        </w:rPr>
        <w:t xml:space="preserve">: el MED en conjunto con el INTI, INET, CONADIS desarrollaron la Política de inclusión digital a través de Nuevas Tecnologías con el Plan Nacional de Inclusión Digital Educativa y Conectar Igualdad que incluye tecnología para niños con discapacidad; un Fondo escolar para materiales y equipamiento de educación física para personas con discapacidad; un Plan Nacional de Formación Permanente “Educación para adolescente y jóvenes con discapacidad” para personal escolar; Especialización Docente en Educación y TIC; Programa de mejoramiento de la educación rural para la atención de las personas con discapacidad en NOA, NEA y Cuyo. </w:t>
      </w:r>
    </w:p>
    <w:p w:rsidR="00C21DAA" w:rsidRPr="00FE07FE" w:rsidRDefault="00FE07FE" w:rsidP="00500FFB">
      <w:pPr>
        <w:pStyle w:val="SingleTxtG"/>
        <w:rPr>
          <w:lang w:val="es-MX" w:eastAsia="en-US"/>
        </w:rPr>
      </w:pPr>
      <w:r w:rsidRPr="00500FFB">
        <w:rPr>
          <w:lang w:val="es-MX" w:eastAsia="en-US"/>
        </w:rPr>
        <w:t>175.</w:t>
      </w:r>
      <w:r w:rsidRPr="00500FFB">
        <w:rPr>
          <w:lang w:val="es-MX" w:eastAsia="en-US"/>
        </w:rPr>
        <w:tab/>
      </w:r>
      <w:r w:rsidR="00115B35" w:rsidRPr="00FE07FE">
        <w:rPr>
          <w:lang w:val="es-MX" w:eastAsia="en-US"/>
        </w:rPr>
        <w:t xml:space="preserve">La CONADIS brinda capacitación a directivos, equipos técnicos y profesionales del personal del ámbito de la salud que trabaja con niños discapacitados en las provincias, en el marco de las Asambleas del Consejo Federal de Discapacidad y se realizaron parlamentos Juveniles sobre Derechos y Discapacidad. </w:t>
      </w:r>
    </w:p>
    <w:p w:rsidR="00C21DAA" w:rsidRPr="00FE07FE" w:rsidRDefault="00115B35">
      <w:pPr>
        <w:pStyle w:val="H23G"/>
        <w:rPr>
          <w:lang w:eastAsia="en-US"/>
        </w:rPr>
      </w:pPr>
      <w:r w:rsidRPr="00FE07FE">
        <w:rPr>
          <w:lang w:eastAsia="en-US"/>
        </w:rPr>
        <w:tab/>
      </w:r>
      <w:r w:rsidRPr="00FE07FE">
        <w:rPr>
          <w:lang w:eastAsia="en-US"/>
        </w:rPr>
        <w:tab/>
        <w:t>Salud y acceso a los servicios de salud</w:t>
      </w:r>
    </w:p>
    <w:p w:rsidR="00C21DAA" w:rsidRPr="00FE07FE" w:rsidRDefault="00115B35">
      <w:pPr>
        <w:pStyle w:val="H4G"/>
        <w:rPr>
          <w:lang w:eastAsia="en-US"/>
        </w:rPr>
      </w:pPr>
      <w:r w:rsidRPr="00FE07FE">
        <w:rPr>
          <w:lang w:eastAsia="en-US"/>
        </w:rPr>
        <w:tab/>
      </w:r>
      <w:r w:rsidRPr="00FE07FE">
        <w:rPr>
          <w:lang w:eastAsia="en-US"/>
        </w:rPr>
        <w:tab/>
        <w:t>Párrafo 59</w:t>
      </w:r>
    </w:p>
    <w:p w:rsidR="00C21DAA" w:rsidRPr="00FE07FE" w:rsidRDefault="00FE07FE" w:rsidP="00500FFB">
      <w:pPr>
        <w:pStyle w:val="SingleTxtG"/>
        <w:rPr>
          <w:lang w:val="es-MX" w:eastAsia="en-US"/>
        </w:rPr>
      </w:pPr>
      <w:r w:rsidRPr="00500FFB">
        <w:rPr>
          <w:lang w:val="es-MX" w:eastAsia="en-US"/>
        </w:rPr>
        <w:t>176.</w:t>
      </w:r>
      <w:r w:rsidRPr="00500FFB">
        <w:rPr>
          <w:lang w:val="es-MX" w:eastAsia="en-US"/>
        </w:rPr>
        <w:tab/>
      </w:r>
      <w:r w:rsidR="00115B35" w:rsidRPr="00FE07FE">
        <w:rPr>
          <w:lang w:val="es-MX" w:eastAsia="en-US"/>
        </w:rPr>
        <w:t xml:space="preserve">Desde 2010, se otorga la </w:t>
      </w:r>
      <w:r w:rsidR="00115B35" w:rsidRPr="00FE07FE">
        <w:rPr>
          <w:b/>
          <w:i/>
          <w:lang w:val="es-MX" w:eastAsia="en-US"/>
        </w:rPr>
        <w:t>Asignación por Embarazo para Protección Social</w:t>
      </w:r>
      <w:r w:rsidR="00115B35" w:rsidRPr="00FE07FE">
        <w:rPr>
          <w:lang w:val="es-MX" w:eastAsia="en-US"/>
        </w:rPr>
        <w:t xml:space="preserve"> para el “cuidado del embarazo”, desde la semana 12 de gestación hasta el nacimiento o interrupción. Para marzo de 2016 alcanzaba a 83</w:t>
      </w:r>
      <w:r w:rsidR="007B6F5F">
        <w:rPr>
          <w:lang w:val="es-MX" w:eastAsia="en-US"/>
        </w:rPr>
        <w:t>.</w:t>
      </w:r>
      <w:r w:rsidR="00115B35" w:rsidRPr="00FE07FE">
        <w:rPr>
          <w:lang w:val="es-MX" w:eastAsia="en-US"/>
        </w:rPr>
        <w:t xml:space="preserve">880 embarazadas, de las cuales </w:t>
      </w:r>
      <w:r w:rsidR="00115B35" w:rsidRPr="00FE07FE">
        <w:rPr>
          <w:b/>
          <w:i/>
          <w:lang w:val="es-MX" w:eastAsia="en-US"/>
        </w:rPr>
        <w:t>6205 poseen menos de 18 años</w:t>
      </w:r>
      <w:r w:rsidR="00115B35" w:rsidRPr="00FE07FE">
        <w:rPr>
          <w:lang w:val="es-MX" w:eastAsia="en-US"/>
        </w:rPr>
        <w:t xml:space="preserve"> de edad</w:t>
      </w:r>
      <w:r w:rsidR="00115B35" w:rsidRPr="00FE07FE">
        <w:rPr>
          <w:rStyle w:val="Refdenotaalpie"/>
        </w:rPr>
        <w:footnoteReference w:id="25"/>
      </w:r>
      <w:r w:rsidR="00115B35" w:rsidRPr="00FE07FE">
        <w:rPr>
          <w:lang w:val="es-MX" w:eastAsia="en-US"/>
        </w:rPr>
        <w:t>. Esta prestación se complementa con el Plan SUMAR que registrar los controles sanitarios y se entrega una cartilla para el cuidado del bebe. Se paga el 80% de la prestación durante el embarazo, y el 20% restante se acumula y hace efectivo al constatar nacimiento.</w:t>
      </w:r>
    </w:p>
    <w:p w:rsidR="00C21DAA" w:rsidRPr="00FE07FE" w:rsidRDefault="00FE07FE" w:rsidP="00500FFB">
      <w:pPr>
        <w:pStyle w:val="SingleTxtG"/>
        <w:rPr>
          <w:lang w:val="es-MX" w:eastAsia="en-US"/>
        </w:rPr>
      </w:pPr>
      <w:r w:rsidRPr="00500FFB">
        <w:rPr>
          <w:lang w:val="es-MX" w:eastAsia="en-US"/>
        </w:rPr>
        <w:t>177.</w:t>
      </w:r>
      <w:r w:rsidRPr="00500FFB">
        <w:rPr>
          <w:lang w:val="es-MX" w:eastAsia="en-US"/>
        </w:rPr>
        <w:tab/>
      </w:r>
      <w:r w:rsidR="00115B35" w:rsidRPr="00FE07FE">
        <w:rPr>
          <w:lang w:val="es-MX" w:eastAsia="en-US"/>
        </w:rPr>
        <w:t xml:space="preserve">Se llevan a cabo distintas </w:t>
      </w:r>
      <w:r w:rsidR="00115B35" w:rsidRPr="00FE07FE">
        <w:rPr>
          <w:b/>
          <w:i/>
          <w:lang w:val="es-MX" w:eastAsia="en-US"/>
        </w:rPr>
        <w:t>políticas públicas destinadas al embarazo y parto</w:t>
      </w:r>
      <w:r w:rsidR="00115B35" w:rsidRPr="00FE07FE">
        <w:rPr>
          <w:lang w:val="es-MX" w:eastAsia="en-US"/>
        </w:rPr>
        <w:t xml:space="preserve">; como PNSSyPR que busca la Disminución del embarazo no deseado facilitando el acceso a </w:t>
      </w:r>
      <w:r w:rsidR="00115B35" w:rsidRPr="00FE07FE">
        <w:rPr>
          <w:b/>
          <w:i/>
          <w:lang w:val="es-MX" w:eastAsia="en-US"/>
        </w:rPr>
        <w:t>métodos anticonceptivos; la Guías de control prenatal; las Maternidades seguras y centradas en la Familia</w:t>
      </w:r>
      <w:r w:rsidR="00115B35" w:rsidRPr="00FE07FE">
        <w:rPr>
          <w:lang w:val="es-MX" w:eastAsia="en-US"/>
        </w:rPr>
        <w:t xml:space="preserve">, garantizando los nacimientos en instituciones de salud que aseguren las </w:t>
      </w:r>
      <w:r w:rsidR="00115B35" w:rsidRPr="00FE07FE">
        <w:rPr>
          <w:b/>
          <w:i/>
          <w:lang w:val="es-MX" w:eastAsia="en-US"/>
        </w:rPr>
        <w:t>condiciones obstétricas y neonatales esenciales</w:t>
      </w:r>
      <w:r w:rsidR="00115B35" w:rsidRPr="00FE07FE">
        <w:rPr>
          <w:lang w:val="es-MX" w:eastAsia="en-US"/>
        </w:rPr>
        <w:t xml:space="preserve"> definidas por la OMS y el respeto por el grupo familiar y sus derechos; el </w:t>
      </w:r>
      <w:r w:rsidR="00115B35" w:rsidRPr="00FE07FE">
        <w:rPr>
          <w:b/>
          <w:i/>
          <w:lang w:val="es-MX" w:eastAsia="en-US"/>
        </w:rPr>
        <w:t>Alta conjunta e identificación de Familia de Riesgo</w:t>
      </w:r>
      <w:r w:rsidR="00115B35" w:rsidRPr="00FE07FE">
        <w:rPr>
          <w:lang w:val="es-MX" w:eastAsia="en-US"/>
        </w:rPr>
        <w:t xml:space="preserve">; el Programa de seguimiento del </w:t>
      </w:r>
      <w:r w:rsidR="00115B35" w:rsidRPr="00FE07FE">
        <w:rPr>
          <w:b/>
          <w:i/>
          <w:lang w:val="es-MX" w:eastAsia="en-US"/>
        </w:rPr>
        <w:t>recién nacido de alto riesgo</w:t>
      </w:r>
      <w:r w:rsidR="00115B35" w:rsidRPr="00FE07FE">
        <w:rPr>
          <w:lang w:val="es-MX" w:eastAsia="en-US"/>
        </w:rPr>
        <w:t xml:space="preserve">; </w:t>
      </w:r>
      <w:r w:rsidR="00115B35" w:rsidRPr="00FE07FE">
        <w:rPr>
          <w:b/>
          <w:i/>
          <w:lang w:val="es-MX" w:eastAsia="en-US"/>
        </w:rPr>
        <w:t>el Programa Nacional de Pesquisa Neonatal metabólica y auditiva</w:t>
      </w:r>
      <w:r w:rsidR="00115B35" w:rsidRPr="00FE07FE">
        <w:rPr>
          <w:lang w:val="es-MX" w:eastAsia="en-US"/>
        </w:rPr>
        <w:t xml:space="preserve">; </w:t>
      </w:r>
      <w:r w:rsidR="00115B35" w:rsidRPr="00FE07FE">
        <w:rPr>
          <w:b/>
          <w:i/>
          <w:lang w:val="es-MX" w:eastAsia="en-US"/>
        </w:rPr>
        <w:t>la Promoción de la lactancia materna</w:t>
      </w:r>
      <w:r w:rsidR="00115B35" w:rsidRPr="00FE07FE">
        <w:rPr>
          <w:lang w:val="es-MX" w:eastAsia="en-US"/>
        </w:rPr>
        <w:t xml:space="preserve">, </w:t>
      </w:r>
      <w:r w:rsidR="00115B35" w:rsidRPr="00FE07FE">
        <w:rPr>
          <w:b/>
          <w:i/>
          <w:lang w:val="es-MX" w:eastAsia="en-US"/>
        </w:rPr>
        <w:t>la Promoción de la Salud Integral del niño menor de 6 años</w:t>
      </w:r>
      <w:r w:rsidR="00115B35" w:rsidRPr="00FE07FE">
        <w:rPr>
          <w:lang w:val="es-MX" w:eastAsia="en-US"/>
        </w:rPr>
        <w:t xml:space="preserve"> y la Mejora de la </w:t>
      </w:r>
      <w:r w:rsidR="00115B35" w:rsidRPr="00FE07FE">
        <w:rPr>
          <w:lang w:val="es-MX" w:eastAsia="en-US"/>
        </w:rPr>
        <w:lastRenderedPageBreak/>
        <w:t xml:space="preserve">disponibilidad de datos a través del </w:t>
      </w:r>
      <w:r w:rsidR="00115B35" w:rsidRPr="00FE07FE">
        <w:rPr>
          <w:b/>
          <w:i/>
          <w:lang w:val="es-MX" w:eastAsia="en-US"/>
        </w:rPr>
        <w:t>Sistema Informático Perinatal</w:t>
      </w:r>
      <w:r w:rsidR="00115B35" w:rsidRPr="00FE07FE">
        <w:rPr>
          <w:lang w:val="es-MX" w:eastAsia="en-US"/>
        </w:rPr>
        <w:t xml:space="preserve"> donde se brinda información de los controles prenatales y de la atención del parto.</w:t>
      </w:r>
    </w:p>
    <w:p w:rsidR="00C21DAA" w:rsidRPr="00FE07FE" w:rsidRDefault="00FE07FE" w:rsidP="00500FFB">
      <w:pPr>
        <w:pStyle w:val="SingleTxtG"/>
        <w:rPr>
          <w:lang w:val="es-MX" w:eastAsia="en-US"/>
        </w:rPr>
      </w:pPr>
      <w:r w:rsidRPr="00500FFB">
        <w:rPr>
          <w:lang w:val="es-MX" w:eastAsia="en-US"/>
        </w:rPr>
        <w:t>178.</w:t>
      </w:r>
      <w:r w:rsidRPr="00500FFB">
        <w:rPr>
          <w:lang w:val="es-MX" w:eastAsia="en-US"/>
        </w:rPr>
        <w:tab/>
      </w:r>
      <w:r w:rsidR="00115B35" w:rsidRPr="00FE07FE">
        <w:rPr>
          <w:lang w:val="es-MX" w:eastAsia="en-US"/>
        </w:rPr>
        <w:t xml:space="preserve">La Dirección Nacional de Maternidad e Infancia (DNMI) del MS en conjunto con Programas de Maternidad e Infancia Jurisdiccionales llevan a cabo </w:t>
      </w:r>
      <w:r w:rsidR="00115B35" w:rsidRPr="00FE07FE">
        <w:rPr>
          <w:b/>
          <w:i/>
          <w:lang w:val="es-MX" w:eastAsia="en-US"/>
        </w:rPr>
        <w:t>acciones y estrategias para mejorar el acceso, la cobertura y la calidad de la atención de la salud materno infantil</w:t>
      </w:r>
      <w:r w:rsidR="00115B35" w:rsidRPr="00FE07FE">
        <w:rPr>
          <w:lang w:val="es-MX" w:eastAsia="en-US"/>
        </w:rPr>
        <w:t xml:space="preserve">. En este sentido, tanto el </w:t>
      </w:r>
      <w:r w:rsidR="00115B35" w:rsidRPr="00FE07FE">
        <w:rPr>
          <w:b/>
          <w:i/>
          <w:lang w:val="es-MX" w:eastAsia="en-US"/>
        </w:rPr>
        <w:t>Programa SUMAR</w:t>
      </w:r>
      <w:r w:rsidR="00115B35" w:rsidRPr="00FE07FE">
        <w:rPr>
          <w:lang w:val="es-MX" w:eastAsia="en-US"/>
        </w:rPr>
        <w:t xml:space="preserve"> (2012, incorpora prestaciones de Cuidado del Embarazo de Alto Riesgo y Neonatología) como el </w:t>
      </w:r>
      <w:r w:rsidR="00115B35" w:rsidRPr="00FE07FE">
        <w:rPr>
          <w:b/>
          <w:i/>
          <w:lang w:val="es-MX" w:eastAsia="en-US"/>
        </w:rPr>
        <w:t>PLAN NACER</w:t>
      </w:r>
      <w:r w:rsidR="00115B35" w:rsidRPr="00FE07FE">
        <w:rPr>
          <w:lang w:val="es-MX" w:eastAsia="en-US"/>
        </w:rPr>
        <w:t xml:space="preserve"> (se inició en el 2005 en las provincias NEA y NOA argentino y luego en 2007 a todo el país) alcanzaron a 230 mil niños/as incorporados a la AUH con el incremento del 50% en la inscripción de los niños/as en el Plan Nacer, un 14% en las embarazadas y el aumento del 12% el número de niños con controles de salud completos</w:t>
      </w:r>
      <w:r w:rsidR="005C512D">
        <w:rPr>
          <w:lang w:val="es-MX" w:eastAsia="en-US"/>
        </w:rPr>
        <w:t>.</w:t>
      </w:r>
    </w:p>
    <w:p w:rsidR="00C21DAA" w:rsidRPr="00FE07FE" w:rsidRDefault="00FE07FE" w:rsidP="00500FFB">
      <w:pPr>
        <w:pStyle w:val="SingleTxtG"/>
        <w:rPr>
          <w:lang w:val="es-MX" w:eastAsia="en-US"/>
        </w:rPr>
      </w:pPr>
      <w:r w:rsidRPr="00500FFB">
        <w:rPr>
          <w:lang w:val="es-MX" w:eastAsia="en-US"/>
        </w:rPr>
        <w:t>179.</w:t>
      </w:r>
      <w:r w:rsidRPr="00500FFB">
        <w:rPr>
          <w:lang w:val="es-MX" w:eastAsia="en-US"/>
        </w:rPr>
        <w:tab/>
      </w:r>
      <w:r w:rsidR="00115B35" w:rsidRPr="00FE07FE">
        <w:rPr>
          <w:lang w:val="es-MX" w:eastAsia="en-US"/>
        </w:rPr>
        <w:t xml:space="preserve">En cuanto a nutrición la DNMI elaboró Guías alimentarias y entrega en todo el país, leche entera fortificada con hierro, zinc y vitamina C en cumplimiento con la </w:t>
      </w:r>
      <w:r w:rsidR="007C1E21">
        <w:rPr>
          <w:lang w:val="es-MX" w:eastAsia="en-US"/>
        </w:rPr>
        <w:t>L</w:t>
      </w:r>
      <w:r w:rsidR="00115B35" w:rsidRPr="00FE07FE">
        <w:rPr>
          <w:lang w:val="es-MX" w:eastAsia="en-US"/>
        </w:rPr>
        <w:t xml:space="preserve">ey </w:t>
      </w:r>
      <w:r w:rsidR="007C1E21">
        <w:rPr>
          <w:lang w:val="es-MX" w:eastAsia="en-US"/>
        </w:rPr>
        <w:t>núm. </w:t>
      </w:r>
      <w:r w:rsidR="00115B35" w:rsidRPr="00FE07FE">
        <w:rPr>
          <w:lang w:val="es-MX" w:eastAsia="en-US"/>
        </w:rPr>
        <w:t xml:space="preserve">25459/01 a </w:t>
      </w:r>
      <w:r w:rsidR="00115B35" w:rsidRPr="00FE07FE">
        <w:rPr>
          <w:b/>
          <w:i/>
          <w:lang w:val="es-MX" w:eastAsia="en-US"/>
        </w:rPr>
        <w:t>embarazadas, niños menores de 2 años y desnutridos de 0 a 5 años</w:t>
      </w:r>
      <w:r w:rsidR="00115B35" w:rsidRPr="00FE07FE">
        <w:rPr>
          <w:lang w:val="es-MX" w:eastAsia="en-US"/>
        </w:rPr>
        <w:t xml:space="preserve">. </w:t>
      </w:r>
    </w:p>
    <w:p w:rsidR="00C21DAA" w:rsidRPr="00FE07FE" w:rsidRDefault="00FE07FE" w:rsidP="00500FFB">
      <w:pPr>
        <w:pStyle w:val="SingleTxtG"/>
        <w:rPr>
          <w:lang w:val="es-MX" w:eastAsia="en-US"/>
        </w:rPr>
      </w:pPr>
      <w:r w:rsidRPr="00500FFB">
        <w:rPr>
          <w:lang w:val="es-MX" w:eastAsia="en-US"/>
        </w:rPr>
        <w:t>180.</w:t>
      </w:r>
      <w:r w:rsidRPr="00500FFB">
        <w:rPr>
          <w:lang w:val="es-MX" w:eastAsia="en-US"/>
        </w:rPr>
        <w:tab/>
      </w:r>
      <w:r w:rsidR="00115B35" w:rsidRPr="00FE07FE">
        <w:rPr>
          <w:lang w:val="es-MX" w:eastAsia="en-US"/>
        </w:rPr>
        <w:t xml:space="preserve">De acuerdo a la DEIS, en 2013 </w:t>
      </w:r>
      <w:r w:rsidR="00115B35" w:rsidRPr="00FE07FE">
        <w:rPr>
          <w:b/>
          <w:i/>
          <w:lang w:val="es-MX" w:eastAsia="en-US"/>
        </w:rPr>
        <w:t>la mortalidad materna era 3,2%</w:t>
      </w:r>
      <w:r w:rsidR="00115B35" w:rsidRPr="00FE07FE">
        <w:rPr>
          <w:lang w:val="es-MX" w:eastAsia="en-US"/>
        </w:rPr>
        <w:t xml:space="preserve">, mostrando una disminución en relación a los años anteriores siendo: 2012, </w:t>
      </w:r>
      <w:r w:rsidR="00115B35" w:rsidRPr="00FE07FE">
        <w:rPr>
          <w:b/>
          <w:lang w:val="es-MX" w:eastAsia="en-US"/>
        </w:rPr>
        <w:t>3</w:t>
      </w:r>
      <w:r w:rsidR="001D5DDE">
        <w:rPr>
          <w:b/>
          <w:lang w:val="es-MX" w:eastAsia="en-US"/>
        </w:rPr>
        <w:t>,</w:t>
      </w:r>
      <w:r w:rsidR="00115B35" w:rsidRPr="00FE07FE">
        <w:rPr>
          <w:b/>
          <w:lang w:val="es-MX" w:eastAsia="en-US"/>
        </w:rPr>
        <w:t>5%,</w:t>
      </w:r>
      <w:r w:rsidR="00115B35" w:rsidRPr="00FE07FE">
        <w:rPr>
          <w:lang w:val="es-MX" w:eastAsia="en-US"/>
        </w:rPr>
        <w:t xml:space="preserve"> 2011, </w:t>
      </w:r>
      <w:r w:rsidR="00115B35" w:rsidRPr="00FE07FE">
        <w:rPr>
          <w:b/>
          <w:lang w:val="es-MX" w:eastAsia="en-US"/>
        </w:rPr>
        <w:t>4%</w:t>
      </w:r>
      <w:r w:rsidR="00115B35" w:rsidRPr="00FE07FE">
        <w:rPr>
          <w:lang w:val="es-MX" w:eastAsia="en-US"/>
        </w:rPr>
        <w:t xml:space="preserve">, y en 2010, </w:t>
      </w:r>
      <w:r w:rsidR="00115B35" w:rsidRPr="00FE07FE">
        <w:rPr>
          <w:b/>
          <w:lang w:val="es-MX" w:eastAsia="en-US"/>
        </w:rPr>
        <w:t>4</w:t>
      </w:r>
      <w:r w:rsidR="001D5DDE">
        <w:rPr>
          <w:b/>
          <w:lang w:val="es-MX" w:eastAsia="en-US"/>
        </w:rPr>
        <w:t>,</w:t>
      </w:r>
      <w:r w:rsidR="00115B35" w:rsidRPr="00FE07FE">
        <w:rPr>
          <w:b/>
          <w:lang w:val="es-MX" w:eastAsia="en-US"/>
        </w:rPr>
        <w:t>4%.</w:t>
      </w:r>
      <w:r w:rsidR="00115B35" w:rsidRPr="00FE07FE">
        <w:rPr>
          <w:lang w:val="es-MX" w:eastAsia="en-US"/>
        </w:rPr>
        <w:t xml:space="preserve"> En el año 2014</w:t>
      </w:r>
      <w:r w:rsidR="00115B35" w:rsidRPr="00FE07FE">
        <w:rPr>
          <w:rStyle w:val="Refdenotaalpie"/>
        </w:rPr>
        <w:footnoteReference w:id="26"/>
      </w:r>
      <w:r w:rsidR="00115B35" w:rsidRPr="00FE07FE">
        <w:rPr>
          <w:lang w:val="es-MX" w:eastAsia="en-US"/>
        </w:rPr>
        <w:t xml:space="preserve"> fallecieron 290 mujeres estando embarazadas o dentro de los 42 días siguientes a la terminación del embarazo, por causas relacionadas o agravadas por el embarazo. Con 777.012 nacidos vivos en el mismo año, representa una </w:t>
      </w:r>
      <w:r w:rsidR="00115B35" w:rsidRPr="00FE07FE">
        <w:rPr>
          <w:b/>
          <w:i/>
          <w:lang w:val="es-MX" w:eastAsia="en-US"/>
        </w:rPr>
        <w:t>Tasa de Mortalidad</w:t>
      </w:r>
      <w:r w:rsidR="00115B35" w:rsidRPr="00FE07FE">
        <w:rPr>
          <w:lang w:val="es-MX" w:eastAsia="en-US"/>
        </w:rPr>
        <w:t xml:space="preserve"> </w:t>
      </w:r>
      <w:r w:rsidR="00115B35" w:rsidRPr="00FE07FE">
        <w:rPr>
          <w:b/>
          <w:lang w:val="es-MX" w:eastAsia="en-US"/>
        </w:rPr>
        <w:t>Materna (TMM)</w:t>
      </w:r>
      <w:r w:rsidR="00115B35" w:rsidRPr="00FE07FE">
        <w:rPr>
          <w:lang w:val="es-MX" w:eastAsia="en-US"/>
        </w:rPr>
        <w:t xml:space="preserve"> </w:t>
      </w:r>
      <w:r w:rsidR="00115B35" w:rsidRPr="00FE07FE">
        <w:rPr>
          <w:b/>
          <w:lang w:val="es-MX" w:eastAsia="en-US"/>
        </w:rPr>
        <w:t>de 3,7</w:t>
      </w:r>
      <w:r w:rsidR="00115B35" w:rsidRPr="00FE07FE">
        <w:rPr>
          <w:lang w:val="es-MX" w:eastAsia="en-US"/>
        </w:rPr>
        <w:t xml:space="preserve"> por 10.000 nacidos vivos.</w:t>
      </w:r>
    </w:p>
    <w:p w:rsidR="00C21DAA" w:rsidRPr="00FE07FE" w:rsidRDefault="00FE07FE" w:rsidP="00500FFB">
      <w:pPr>
        <w:pStyle w:val="SingleTxtG"/>
        <w:rPr>
          <w:lang w:val="es-MX" w:eastAsia="en-US"/>
        </w:rPr>
      </w:pPr>
      <w:r w:rsidRPr="00500FFB">
        <w:rPr>
          <w:lang w:val="es-MX" w:eastAsia="en-US"/>
        </w:rPr>
        <w:t>181.</w:t>
      </w:r>
      <w:r w:rsidRPr="00500FFB">
        <w:rPr>
          <w:lang w:val="es-MX" w:eastAsia="en-US"/>
        </w:rPr>
        <w:tab/>
      </w:r>
      <w:r w:rsidR="00115B35" w:rsidRPr="00FE07FE">
        <w:rPr>
          <w:lang w:val="es-MX" w:eastAsia="en-US"/>
        </w:rPr>
        <w:t xml:space="preserve">En cuanto a la mortalidad infantil, en el 2014 se registraron 777.012 nacidos vivos y fallecieron 8.202 niños menores de 1 año. La Tasa de Mortalidad Infantil (TMI) fue </w:t>
      </w:r>
      <w:r w:rsidR="00115B35" w:rsidRPr="00FE07FE">
        <w:rPr>
          <w:b/>
          <w:lang w:val="es-MX" w:eastAsia="en-US"/>
        </w:rPr>
        <w:t>10,6%.</w:t>
      </w:r>
      <w:r w:rsidR="00115B35" w:rsidRPr="00FE07FE">
        <w:rPr>
          <w:lang w:val="es-MX" w:eastAsia="en-US"/>
        </w:rPr>
        <w:t xml:space="preserve"> De acuerdo a DEIS, en 2013, 10,8% fue la mortalidad infantil de menores de 5</w:t>
      </w:r>
      <w:r w:rsidR="001C4899">
        <w:rPr>
          <w:lang w:val="es-MX" w:eastAsia="en-US"/>
        </w:rPr>
        <w:t> </w:t>
      </w:r>
      <w:r w:rsidR="00115B35" w:rsidRPr="00FE07FE">
        <w:rPr>
          <w:lang w:val="es-MX" w:eastAsia="en-US"/>
        </w:rPr>
        <w:t>años.</w:t>
      </w:r>
    </w:p>
    <w:p w:rsidR="00C21DAA" w:rsidRPr="00FE07FE" w:rsidRDefault="00FE07FE" w:rsidP="00500FFB">
      <w:pPr>
        <w:pStyle w:val="SingleTxtG"/>
        <w:rPr>
          <w:b/>
          <w:i/>
          <w:lang w:val="es-MX" w:eastAsia="en-US"/>
        </w:rPr>
      </w:pPr>
      <w:r w:rsidRPr="00500FFB">
        <w:rPr>
          <w:lang w:val="es-MX" w:eastAsia="en-US"/>
        </w:rPr>
        <w:t>182.</w:t>
      </w:r>
      <w:r w:rsidRPr="00500FFB">
        <w:rPr>
          <w:lang w:val="es-MX" w:eastAsia="en-US"/>
        </w:rPr>
        <w:tab/>
      </w:r>
      <w:r w:rsidR="00115B35" w:rsidRPr="00FE07FE">
        <w:rPr>
          <w:lang w:val="es-MX" w:eastAsia="en-US"/>
        </w:rPr>
        <w:t xml:space="preserve">El MS implementan los siguientes </w:t>
      </w:r>
      <w:r w:rsidR="00115B35" w:rsidRPr="00FE07FE">
        <w:rPr>
          <w:b/>
          <w:i/>
          <w:lang w:val="es-MX" w:eastAsia="en-US"/>
        </w:rPr>
        <w:t>programas</w:t>
      </w:r>
      <w:r w:rsidR="00115B35" w:rsidRPr="00FE07FE">
        <w:rPr>
          <w:lang w:val="es-MX" w:eastAsia="en-US"/>
        </w:rPr>
        <w:t xml:space="preserve">: Programa Nacional de Salud Sexual y Procreación Responsable; Mejoramiento de la gestión y organización de los servicios de neonatología y obstetricia; capacitación y asistencia a profesionales que asisten a recién nacidos en riesgo y sus familias; Capacitación en RCP Neonatal, Programa Nacional de Salud Respiratoria (es la segunda causa de muerte de niños entre 1 y 12 meses en el país), reforzando con las “Campañas de Invierno” para mejorar la atención de patologías respiratorias agudas; Programa nacional de Tratamiento Integral de diarrea o Síndrome Urémico Hemolítico (si bien las defunciones en menores de 5 años por este enfermedad son escasas, Argentina es el país con mayor carga de enfermedad por esta patología, es por ello el abordaje de prevención y tratamiento adecuado y oportuno); Programa Nacional de Prevención de Muerte Súbita, y se implementa </w:t>
      </w:r>
      <w:r w:rsidR="00115B35" w:rsidRPr="00FE07FE">
        <w:rPr>
          <w:b/>
          <w:i/>
          <w:lang w:val="es-MX" w:eastAsia="en-US"/>
        </w:rPr>
        <w:t>el Sistema de Vigilancia de Mortalidad Materna.</w:t>
      </w:r>
    </w:p>
    <w:p w:rsidR="00C21DAA" w:rsidRPr="00FE07FE" w:rsidRDefault="00FE07FE" w:rsidP="00500FFB">
      <w:pPr>
        <w:pStyle w:val="SingleTxtG"/>
        <w:rPr>
          <w:lang w:val="es-MX" w:eastAsia="en-US"/>
        </w:rPr>
      </w:pPr>
      <w:r w:rsidRPr="00500FFB">
        <w:rPr>
          <w:lang w:val="es-MX" w:eastAsia="en-US"/>
        </w:rPr>
        <w:t>183.</w:t>
      </w:r>
      <w:r w:rsidRPr="00500FFB">
        <w:rPr>
          <w:lang w:val="es-MX" w:eastAsia="en-US"/>
        </w:rPr>
        <w:tab/>
      </w:r>
      <w:r w:rsidR="00115B35" w:rsidRPr="00FE07FE">
        <w:rPr>
          <w:lang w:val="es-MX" w:eastAsia="en-US"/>
        </w:rPr>
        <w:t xml:space="preserve">En cuanto a las vacunas, el MS reitera periódicamente la importancia de que las </w:t>
      </w:r>
      <w:r w:rsidR="00115B35" w:rsidRPr="00FE07FE">
        <w:rPr>
          <w:b/>
          <w:i/>
          <w:lang w:val="es-MX" w:eastAsia="en-US"/>
        </w:rPr>
        <w:t>embarazadas y los niños entre 6 y 24 meses</w:t>
      </w:r>
      <w:r w:rsidR="00115B35" w:rsidRPr="00FE07FE">
        <w:rPr>
          <w:lang w:val="es-MX" w:eastAsia="en-US"/>
        </w:rPr>
        <w:t xml:space="preserve"> reciban la vacuna contra la gripe (H1N1).</w:t>
      </w:r>
    </w:p>
    <w:p w:rsidR="00C21DAA" w:rsidRPr="00FE07FE" w:rsidRDefault="00FE07FE" w:rsidP="00500FFB">
      <w:pPr>
        <w:pStyle w:val="SingleTxtG"/>
        <w:rPr>
          <w:lang w:val="es-MX" w:eastAsia="en-US"/>
        </w:rPr>
      </w:pPr>
      <w:r w:rsidRPr="00500FFB">
        <w:rPr>
          <w:lang w:val="es-MX" w:eastAsia="en-US"/>
        </w:rPr>
        <w:t>184.</w:t>
      </w:r>
      <w:r w:rsidRPr="00500FFB">
        <w:rPr>
          <w:lang w:val="es-MX" w:eastAsia="en-US"/>
        </w:rPr>
        <w:tab/>
      </w:r>
      <w:r w:rsidR="00115B35" w:rsidRPr="00FE07FE">
        <w:rPr>
          <w:lang w:val="es-MX" w:eastAsia="en-US"/>
        </w:rPr>
        <w:t xml:space="preserve">En 2011 y actualizado en 2015, se elaboró un </w:t>
      </w:r>
      <w:r w:rsidR="00115B35" w:rsidRPr="00FE07FE">
        <w:rPr>
          <w:b/>
          <w:i/>
          <w:lang w:val="es-MX" w:eastAsia="en-US"/>
        </w:rPr>
        <w:t>“Protocolo para la atención integral de víctimas de violaciones sexuales. Instructivo para equipos de salud”,</w:t>
      </w:r>
      <w:r w:rsidR="00115B35" w:rsidRPr="00FE07FE">
        <w:rPr>
          <w:lang w:val="es-MX" w:eastAsia="en-US"/>
        </w:rPr>
        <w:t xml:space="preserve"> en el cual se menciona los abortos no punibles en casos de violación. (Fallo “F., A. L. s/medida autosatisfactiva”, de marzo de 2012, donde indicó que en caso de violación la prestación médica es </w:t>
      </w:r>
      <w:r w:rsidR="00115B35" w:rsidRPr="00FE07FE">
        <w:rPr>
          <w:b/>
          <w:i/>
          <w:lang w:val="es-MX" w:eastAsia="en-US"/>
        </w:rPr>
        <w:t>“legal en tanto que despenalizada”</w:t>
      </w:r>
      <w:r w:rsidR="00115B35" w:rsidRPr="00FE07FE">
        <w:rPr>
          <w:lang w:val="es-MX" w:eastAsia="en-US"/>
        </w:rPr>
        <w:t xml:space="preserve"> CSJN, 2012: 25). Asimismo, el PNSSyPR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25673) del MS elaboró en 2007 la </w:t>
      </w:r>
      <w:r w:rsidR="00115B35" w:rsidRPr="00FE07FE">
        <w:rPr>
          <w:b/>
          <w:i/>
          <w:lang w:val="es-MX" w:eastAsia="en-US"/>
        </w:rPr>
        <w:t>Guía Técnica para la Atención Integral de los Abortos No Punibles</w:t>
      </w:r>
      <w:r w:rsidR="00115B35" w:rsidRPr="00FE07FE">
        <w:rPr>
          <w:lang w:val="es-MX" w:eastAsia="en-US"/>
        </w:rPr>
        <w:t xml:space="preserve">; elaborada con apoyo de la Organización Panamericana de la Salud y la Organización Mundial de la Salud. Santa Fe, Chubut, Chaco, Jujuy, Misiones, Tierra del Fuego y Santa Cruz se ajustan en su totalidad al protocolo. Salta, La Pampa, Entre Ríos, Córdoba, Buenos Aires, CABA, Río Negro y Neuquén se ajustan en forma parcial. Aún no se ajustan las provincias de: Mendoza, San Luis, Santiago del Estero, Tucumán, Formosa, Corrientes, Catamarca, San Juan. </w:t>
      </w:r>
    </w:p>
    <w:p w:rsidR="00C21DAA" w:rsidRPr="00FE07FE" w:rsidRDefault="00115B35">
      <w:pPr>
        <w:pStyle w:val="H4G"/>
        <w:rPr>
          <w:lang w:eastAsia="en-US"/>
        </w:rPr>
      </w:pPr>
      <w:r w:rsidRPr="00FE07FE">
        <w:rPr>
          <w:lang w:eastAsia="en-US"/>
        </w:rPr>
        <w:lastRenderedPageBreak/>
        <w:tab/>
      </w:r>
      <w:r w:rsidRPr="00FE07FE">
        <w:rPr>
          <w:lang w:eastAsia="en-US"/>
        </w:rPr>
        <w:tab/>
        <w:t>Párrafo 61</w:t>
      </w:r>
    </w:p>
    <w:p w:rsidR="00C21DAA" w:rsidRPr="00FE07FE" w:rsidRDefault="00FE07FE" w:rsidP="00500FFB">
      <w:pPr>
        <w:pStyle w:val="SingleTxtG"/>
        <w:rPr>
          <w:lang w:val="es-MX" w:eastAsia="en-US"/>
        </w:rPr>
      </w:pPr>
      <w:r w:rsidRPr="00500FFB">
        <w:rPr>
          <w:lang w:val="es-MX" w:eastAsia="en-US"/>
        </w:rPr>
        <w:t>185.</w:t>
      </w:r>
      <w:r w:rsidRPr="00500FFB">
        <w:rPr>
          <w:lang w:val="es-MX" w:eastAsia="en-US"/>
        </w:rPr>
        <w:tab/>
      </w:r>
      <w:r w:rsidR="00115B35" w:rsidRPr="00FE07FE">
        <w:rPr>
          <w:lang w:val="es-MX" w:eastAsia="en-US"/>
        </w:rPr>
        <w:t xml:space="preserve">El Estado estableció la Comisión Asesora en Lactancia Materna en 1993 mediante Resolución Ministerial </w:t>
      </w:r>
      <w:r w:rsidR="00D5464A">
        <w:rPr>
          <w:lang w:val="es-MX" w:eastAsia="en-US"/>
        </w:rPr>
        <w:t xml:space="preserve">núm. </w:t>
      </w:r>
      <w:r w:rsidR="00115B35" w:rsidRPr="00FE07FE">
        <w:rPr>
          <w:lang w:val="es-MX" w:eastAsia="en-US"/>
        </w:rPr>
        <w:t xml:space="preserve">347/93. La misma no posee dentro de sus tareas acciones directas, y quien recoge sistemáticamente los datos de lactancia materna es la Dirección Nacional de Maternidad e Infancia del MS mediante la encuesta Nacional de Lactancia Materna, (realizada por última vez en 2015 y disponible en 2016). Quienes recogen los datos son los servicios de salud seleccionados por las provincias aplicando el formulario de preguntas estándar de la Organización Mundial de la Salud.   </w:t>
      </w:r>
    </w:p>
    <w:p w:rsidR="00C21DAA" w:rsidRPr="00FE07FE" w:rsidRDefault="00FE07FE" w:rsidP="00500FFB">
      <w:pPr>
        <w:pStyle w:val="SingleTxtG"/>
        <w:rPr>
          <w:lang w:val="es-MX" w:eastAsia="en-US"/>
        </w:rPr>
      </w:pPr>
      <w:r w:rsidRPr="00500FFB">
        <w:rPr>
          <w:lang w:val="es-MX" w:eastAsia="en-US"/>
        </w:rPr>
        <w:t>186.</w:t>
      </w:r>
      <w:r w:rsidRPr="00500FFB">
        <w:rPr>
          <w:lang w:val="es-MX" w:eastAsia="en-US"/>
        </w:rPr>
        <w:tab/>
      </w:r>
      <w:r w:rsidR="00115B35" w:rsidRPr="00FE07FE">
        <w:rPr>
          <w:lang w:val="es-MX" w:eastAsia="en-US"/>
        </w:rPr>
        <w:t xml:space="preserve">El Código Internacional de Comercialización de Sucedáneos de Lecha Materna fue adoptado en todos sus términos por el Código Alimentario Argentino, siendo el ANMAST/INAL quién controla y monitorea su ejecución. Además, se incorporó en la </w:t>
      </w:r>
      <w:r w:rsidR="007C1E21">
        <w:rPr>
          <w:lang w:val="es-MX" w:eastAsia="en-US"/>
        </w:rPr>
        <w:t>L</w:t>
      </w:r>
      <w:r w:rsidR="00115B35" w:rsidRPr="00FE07FE">
        <w:rPr>
          <w:lang w:val="es-MX" w:eastAsia="en-US"/>
        </w:rPr>
        <w:t xml:space="preserve">ey nacional </w:t>
      </w:r>
      <w:r w:rsidR="007C1E21">
        <w:rPr>
          <w:lang w:val="es-MX" w:eastAsia="en-US"/>
        </w:rPr>
        <w:t xml:space="preserve">núm. </w:t>
      </w:r>
      <w:r w:rsidR="00115B35" w:rsidRPr="00FE07FE">
        <w:rPr>
          <w:lang w:val="es-MX" w:eastAsia="en-US"/>
        </w:rPr>
        <w:t xml:space="preserve">26873 de lactancia materna, promoción y concientización pública, en su reglamentación se establece que el mismo debe ser aplicado hasta los dos años de vida del niño. </w:t>
      </w:r>
    </w:p>
    <w:p w:rsidR="00C21DAA" w:rsidRPr="00FE07FE" w:rsidRDefault="00FE07FE" w:rsidP="00500FFB">
      <w:pPr>
        <w:pStyle w:val="SingleTxtG"/>
        <w:rPr>
          <w:lang w:val="es-MX" w:eastAsia="en-US"/>
        </w:rPr>
      </w:pPr>
      <w:r w:rsidRPr="00500FFB">
        <w:rPr>
          <w:lang w:val="es-MX" w:eastAsia="en-US"/>
        </w:rPr>
        <w:t>187.</w:t>
      </w:r>
      <w:r w:rsidRPr="00500FFB">
        <w:rPr>
          <w:lang w:val="es-MX" w:eastAsia="en-US"/>
        </w:rPr>
        <w:tab/>
      </w:r>
      <w:r w:rsidR="00115B35" w:rsidRPr="00FE07FE">
        <w:rPr>
          <w:lang w:val="es-MX" w:eastAsia="en-US"/>
        </w:rPr>
        <w:t>La Dirección Nacional de Maternidad e Infancia hace más de 4 años que ofrece capacitación a su personal e interesados online en el marco del programa SUMAR. El mismo posee en la actualidad 4</w:t>
      </w:r>
      <w:r w:rsidR="001C4899">
        <w:rPr>
          <w:lang w:val="es-MX" w:eastAsia="en-US"/>
        </w:rPr>
        <w:t>.</w:t>
      </w:r>
      <w:r w:rsidR="00115B35" w:rsidRPr="00FE07FE">
        <w:rPr>
          <w:lang w:val="es-MX" w:eastAsia="en-US"/>
        </w:rPr>
        <w:t xml:space="preserve">000 inscriptos y al que debe sumarse los cursos en los Centros de Lactancia Materna que se realizan en conjunto con el Hospital Nacional de Pediatría Profesor Dr. Juan P. Garraham; y el curso de Nutrición del Niño Prematuro. Adicionalmente se formaron Consejeros en Lactancia Materna, quienes están facultados para replicar los conocimientos en sus territorios. </w:t>
      </w:r>
    </w:p>
    <w:p w:rsidR="00C21DAA" w:rsidRPr="00FE07FE" w:rsidRDefault="00FE07FE" w:rsidP="00500FFB">
      <w:pPr>
        <w:pStyle w:val="SingleTxtG"/>
        <w:rPr>
          <w:lang w:val="es-MX" w:eastAsia="en-US"/>
        </w:rPr>
      </w:pPr>
      <w:r w:rsidRPr="00500FFB">
        <w:rPr>
          <w:lang w:val="es-MX" w:eastAsia="en-US"/>
        </w:rPr>
        <w:t>188.</w:t>
      </w:r>
      <w:r w:rsidRPr="00500FFB">
        <w:rPr>
          <w:lang w:val="es-MX" w:eastAsia="en-US"/>
        </w:rPr>
        <w:tab/>
      </w:r>
      <w:r w:rsidR="00115B35" w:rsidRPr="00FE07FE">
        <w:rPr>
          <w:lang w:val="es-MX" w:eastAsia="en-US"/>
        </w:rPr>
        <w:t xml:space="preserve">Finalmente informar las siguientes medidas legislativas: 2015 – Resolución MS </w:t>
      </w:r>
      <w:r w:rsidR="00D67A98">
        <w:rPr>
          <w:lang w:val="es-MX" w:eastAsia="en-US"/>
        </w:rPr>
        <w:t xml:space="preserve">núm. </w:t>
      </w:r>
      <w:r w:rsidR="00115B35" w:rsidRPr="00FE07FE">
        <w:rPr>
          <w:lang w:val="es-MX" w:eastAsia="en-US"/>
        </w:rPr>
        <w:t xml:space="preserve">1537-15. Grilla habilitación Centros de Lactancia Materna – CLM. Decreto </w:t>
      </w:r>
      <w:r w:rsidR="00D67A98">
        <w:rPr>
          <w:lang w:val="es-MX" w:eastAsia="en-US"/>
        </w:rPr>
        <w:t>núm. </w:t>
      </w:r>
      <w:r w:rsidR="00115B35" w:rsidRPr="00FE07FE">
        <w:rPr>
          <w:lang w:val="es-MX" w:eastAsia="en-US"/>
        </w:rPr>
        <w:t xml:space="preserve">2035/15 que reglamenta la </w:t>
      </w:r>
      <w:r w:rsidR="00D67A98">
        <w:rPr>
          <w:lang w:val="es-MX" w:eastAsia="en-US"/>
        </w:rPr>
        <w:t>L</w:t>
      </w:r>
      <w:r w:rsidR="00115B35" w:rsidRPr="00FE07FE">
        <w:rPr>
          <w:lang w:val="es-MX" w:eastAsia="en-US"/>
        </w:rPr>
        <w:t xml:space="preserve">ey </w:t>
      </w:r>
      <w:r w:rsidR="00D67A98">
        <w:rPr>
          <w:lang w:val="es-MX" w:eastAsia="en-US"/>
        </w:rPr>
        <w:t xml:space="preserve">núm. </w:t>
      </w:r>
      <w:r w:rsidR="00115B35" w:rsidRPr="00FE07FE">
        <w:rPr>
          <w:lang w:val="es-MX" w:eastAsia="en-US"/>
        </w:rPr>
        <w:t xml:space="preserve">25929; Resolución Grilla habilitante CLM; Decreto </w:t>
      </w:r>
      <w:r w:rsidR="00D67A98">
        <w:rPr>
          <w:lang w:val="es-MX" w:eastAsia="en-US"/>
        </w:rPr>
        <w:t xml:space="preserve">núm. </w:t>
      </w:r>
      <w:r w:rsidR="00115B35" w:rsidRPr="00FE07FE">
        <w:rPr>
          <w:lang w:val="es-MX" w:eastAsia="en-US"/>
        </w:rPr>
        <w:t xml:space="preserve">2035/15 que reglamenta la </w:t>
      </w:r>
      <w:r w:rsidR="00D67A98">
        <w:rPr>
          <w:lang w:val="es-MX" w:eastAsia="en-US"/>
        </w:rPr>
        <w:t>L</w:t>
      </w:r>
      <w:r w:rsidR="00115B35" w:rsidRPr="00FE07FE">
        <w:rPr>
          <w:lang w:val="es-MX" w:eastAsia="en-US"/>
        </w:rPr>
        <w:t xml:space="preserve">ey </w:t>
      </w:r>
      <w:r w:rsidR="00D67A98">
        <w:rPr>
          <w:lang w:val="es-MX" w:eastAsia="en-US"/>
        </w:rPr>
        <w:t xml:space="preserve">núm. </w:t>
      </w:r>
      <w:r w:rsidR="00115B35" w:rsidRPr="00FE07FE">
        <w:rPr>
          <w:lang w:val="es-MX" w:eastAsia="en-US"/>
        </w:rPr>
        <w:t xml:space="preserve">25929; y RM270/15, Bancos de Leche Humana. </w:t>
      </w:r>
      <w:r w:rsidR="00115B35" w:rsidRPr="00FE07FE">
        <w:rPr>
          <w:b/>
          <w:lang w:val="es-MX" w:eastAsia="en-US"/>
        </w:rPr>
        <w:t>2014</w:t>
      </w:r>
      <w:r w:rsidR="00115B35" w:rsidRPr="00FE07FE">
        <w:rPr>
          <w:lang w:val="es-MX" w:eastAsia="en-US"/>
        </w:rPr>
        <w:t xml:space="preserve"> - Directriz RM </w:t>
      </w:r>
      <w:r w:rsidR="00D67A98">
        <w:rPr>
          <w:lang w:val="es-MX" w:eastAsia="en-US"/>
        </w:rPr>
        <w:t xml:space="preserve">núm. </w:t>
      </w:r>
      <w:r w:rsidR="00115B35" w:rsidRPr="00FE07FE">
        <w:rPr>
          <w:lang w:val="es-MX" w:eastAsia="en-US"/>
        </w:rPr>
        <w:t xml:space="preserve">809/14 pautas de funcionamiento CLM. </w:t>
      </w:r>
      <w:r w:rsidR="00115B35" w:rsidRPr="00FE07FE">
        <w:rPr>
          <w:b/>
          <w:lang w:val="es-MX" w:eastAsia="en-US"/>
        </w:rPr>
        <w:t>2012</w:t>
      </w:r>
      <w:r w:rsidR="00115B35" w:rsidRPr="00FE07FE">
        <w:rPr>
          <w:lang w:val="es-MX" w:eastAsia="en-US"/>
        </w:rPr>
        <w:t xml:space="preserve"> - Directrices para la Organización y Funcionamiento de los Centros de Lactancia Materna. </w:t>
      </w:r>
      <w:r w:rsidR="00115B35" w:rsidRPr="00FE07FE">
        <w:rPr>
          <w:b/>
          <w:lang w:val="es-MX" w:eastAsia="en-US"/>
        </w:rPr>
        <w:t>2011</w:t>
      </w:r>
      <w:r w:rsidR="00115B35" w:rsidRPr="00FE07FE">
        <w:rPr>
          <w:lang w:val="es-MX" w:eastAsia="en-US"/>
        </w:rPr>
        <w:t xml:space="preserve"> – Resolución </w:t>
      </w:r>
      <w:r w:rsidR="00D67A98">
        <w:rPr>
          <w:lang w:val="es-MX" w:eastAsia="en-US"/>
        </w:rPr>
        <w:t xml:space="preserve">núm. </w:t>
      </w:r>
      <w:r w:rsidR="00115B35" w:rsidRPr="00FE07FE">
        <w:rPr>
          <w:lang w:val="es-MX" w:eastAsia="en-US"/>
        </w:rPr>
        <w:t xml:space="preserve">1930/11 MSN No comercialización de leche humana. </w:t>
      </w:r>
      <w:r w:rsidR="00115B35" w:rsidRPr="00FE07FE">
        <w:rPr>
          <w:b/>
          <w:lang w:val="es-MX" w:eastAsia="en-US"/>
        </w:rPr>
        <w:t>2010</w:t>
      </w:r>
      <w:r w:rsidR="00115B35" w:rsidRPr="00FE07FE">
        <w:rPr>
          <w:lang w:val="es-MX" w:eastAsia="en-US"/>
        </w:rPr>
        <w:t xml:space="preserve"> - Comisión Bancos de leche. </w:t>
      </w:r>
      <w:r w:rsidR="00115B35" w:rsidRPr="00FE07FE">
        <w:rPr>
          <w:b/>
          <w:lang w:val="es-MX" w:eastAsia="en-US"/>
        </w:rPr>
        <w:t>2007</w:t>
      </w:r>
      <w:r w:rsidR="00115B35" w:rsidRPr="00FE07FE">
        <w:rPr>
          <w:lang w:val="es-MX" w:eastAsia="en-US"/>
        </w:rPr>
        <w:t xml:space="preserve"> - Resoluciones Conjuntas </w:t>
      </w:r>
      <w:r w:rsidR="00D67A98">
        <w:rPr>
          <w:lang w:val="es-MX" w:eastAsia="en-US"/>
        </w:rPr>
        <w:t xml:space="preserve">núms. </w:t>
      </w:r>
      <w:r w:rsidR="00115B35" w:rsidRPr="00FE07FE">
        <w:rPr>
          <w:lang w:val="es-MX" w:eastAsia="en-US"/>
        </w:rPr>
        <w:t xml:space="preserve">97 y 301. Incorporación del Código Internacional de Comercialización de Sucedáneos de la Leche Materna. OMS/UNICEF al Código Alimentario Argentino. Resolución Ministerial </w:t>
      </w:r>
      <w:r w:rsidR="00D67A98">
        <w:rPr>
          <w:lang w:val="es-MX" w:eastAsia="en-US"/>
        </w:rPr>
        <w:t xml:space="preserve">núm. </w:t>
      </w:r>
      <w:r w:rsidR="00115B35" w:rsidRPr="00FE07FE">
        <w:rPr>
          <w:lang w:val="es-MX" w:eastAsia="en-US"/>
        </w:rPr>
        <w:t>1376/07. Adopción de los patrones de crecimiento de la Organización Mundial de la Salud para niños. Código Alimentario Argentino 2007 Capítulo XVII. Alimentos de Régimen o Dietéticos.</w:t>
      </w:r>
    </w:p>
    <w:p w:rsidR="00C21DAA" w:rsidRPr="00FE07FE" w:rsidRDefault="00115B35">
      <w:pPr>
        <w:pStyle w:val="H23G"/>
        <w:rPr>
          <w:lang w:eastAsia="en-US"/>
        </w:rPr>
      </w:pPr>
      <w:r w:rsidRPr="00FE07FE">
        <w:rPr>
          <w:lang w:eastAsia="en-US"/>
        </w:rPr>
        <w:tab/>
      </w:r>
      <w:r w:rsidRPr="00FE07FE">
        <w:rPr>
          <w:lang w:eastAsia="en-US"/>
        </w:rPr>
        <w:tab/>
        <w:t>Salud del adolescente</w:t>
      </w:r>
    </w:p>
    <w:p w:rsidR="00C21DAA" w:rsidRPr="00FE07FE" w:rsidRDefault="00115B35">
      <w:pPr>
        <w:pStyle w:val="H4G"/>
        <w:rPr>
          <w:lang w:eastAsia="en-US"/>
        </w:rPr>
      </w:pPr>
      <w:r w:rsidRPr="00FE07FE">
        <w:rPr>
          <w:lang w:eastAsia="en-US"/>
        </w:rPr>
        <w:tab/>
      </w:r>
      <w:r w:rsidRPr="00FE07FE">
        <w:rPr>
          <w:lang w:eastAsia="en-US"/>
        </w:rPr>
        <w:tab/>
        <w:t>Párrafo 63</w:t>
      </w:r>
    </w:p>
    <w:p w:rsidR="00C21DAA" w:rsidRPr="00FE07FE" w:rsidRDefault="00FE07FE" w:rsidP="00500FFB">
      <w:pPr>
        <w:pStyle w:val="SingleTxtG"/>
        <w:rPr>
          <w:lang w:val="es-MX" w:eastAsia="en-US"/>
        </w:rPr>
      </w:pPr>
      <w:r w:rsidRPr="00500FFB">
        <w:rPr>
          <w:lang w:val="es-MX" w:eastAsia="en-US"/>
        </w:rPr>
        <w:t>189.</w:t>
      </w:r>
      <w:r w:rsidRPr="00500FFB">
        <w:rPr>
          <w:lang w:val="es-MX" w:eastAsia="en-US"/>
        </w:rPr>
        <w:tab/>
      </w:r>
      <w:r w:rsidR="00115B35" w:rsidRPr="00FE07FE">
        <w:rPr>
          <w:lang w:val="es-MX" w:eastAsia="en-US"/>
        </w:rPr>
        <w:t>En 2012 el MS inició el Programa SUMAR, que incluye el seguimiento de salud del adolescente de 10 a 19 años, sin discriminación (solos o acompañados y con derecho al secreto profesional), mediante prestaciones en centros de salud como consulta médica y atención de obesidad, sobrepeso, anemia y asma; asistencia y orientación por consumo problemático de alcohol y/o las drogas, en caso de violencia sexual; aplicación de vacunas; salud bucal; consulta ginecológica (puede incluir colocación de DIU); test de embarazo confidencial e información sobre salud sexual y reproductiva y métodos anticonceptivos gratuitos; prevención de las adicciones; infecciones de transmisión sexual; bulimia y anorexia; violencia de género y/o familiar. Para ello se realizaron convenios con 8</w:t>
      </w:r>
      <w:r w:rsidR="001C4899">
        <w:rPr>
          <w:lang w:val="es-MX" w:eastAsia="en-US"/>
        </w:rPr>
        <w:t>.</w:t>
      </w:r>
      <w:r w:rsidR="00115B35" w:rsidRPr="00FE07FE">
        <w:rPr>
          <w:lang w:val="es-MX" w:eastAsia="en-US"/>
        </w:rPr>
        <w:t xml:space="preserve">871 efectores en todo el país. Los efectores fueron acompañados por capacitadores locales que fortalecieron las competencias de los equipos. Asimismo, el PNSIA capacitó y monitoreo y entregó materiales. </w:t>
      </w:r>
    </w:p>
    <w:p w:rsidR="00C21DAA" w:rsidRPr="00FE07FE" w:rsidRDefault="00FE07FE" w:rsidP="00500FFB">
      <w:pPr>
        <w:pStyle w:val="SingleTxtG"/>
        <w:rPr>
          <w:lang w:val="es-MX" w:eastAsia="en-US"/>
        </w:rPr>
      </w:pPr>
      <w:r w:rsidRPr="00500FFB">
        <w:rPr>
          <w:lang w:val="es-MX" w:eastAsia="en-US"/>
        </w:rPr>
        <w:t>190.</w:t>
      </w:r>
      <w:r w:rsidRPr="00500FFB">
        <w:rPr>
          <w:lang w:val="es-MX" w:eastAsia="en-US"/>
        </w:rPr>
        <w:tab/>
      </w:r>
      <w:r w:rsidR="00115B35" w:rsidRPr="00FE07FE">
        <w:rPr>
          <w:lang w:val="es-MX" w:eastAsia="en-US"/>
        </w:rPr>
        <w:t>La cobertura efectiva básica se consigue cuando el adolescente inscripto en el programa se contacta con los efectores para recibir alguna de las prácticas incluidas en el Plan de Servicio de Salud; y la Cobertura alcanzó durante 2015 a 840.828 adolescentes. Por otra parte, en lo que respecta a embarazos adolescentes, en 2014, según la DEIS, el porcentaje de nacidos vivos de madres menores de 20 años fue de 15</w:t>
      </w:r>
      <w:r w:rsidR="001C4899">
        <w:rPr>
          <w:lang w:val="es-MX" w:eastAsia="en-US"/>
        </w:rPr>
        <w:t>,</w:t>
      </w:r>
      <w:r w:rsidR="00115B35" w:rsidRPr="00FE07FE">
        <w:rPr>
          <w:lang w:val="es-MX" w:eastAsia="en-US"/>
        </w:rPr>
        <w:t xml:space="preserve">2%: de 777.012 </w:t>
      </w:r>
      <w:r w:rsidR="00115B35" w:rsidRPr="00FE07FE">
        <w:rPr>
          <w:lang w:val="es-MX" w:eastAsia="en-US"/>
        </w:rPr>
        <w:lastRenderedPageBreak/>
        <w:t>nacidos vivos, 3.007 son de madres menores de 15 años y 113.945 son de madres de entre 15 y 19 años.</w:t>
      </w:r>
    </w:p>
    <w:p w:rsidR="00C21DAA" w:rsidRPr="00FE07FE" w:rsidRDefault="00FE07FE" w:rsidP="00500FFB">
      <w:pPr>
        <w:pStyle w:val="SingleTxtG"/>
        <w:rPr>
          <w:lang w:val="es-MX" w:eastAsia="en-US"/>
        </w:rPr>
      </w:pPr>
      <w:r w:rsidRPr="00500FFB">
        <w:rPr>
          <w:lang w:val="es-MX" w:eastAsia="en-US"/>
        </w:rPr>
        <w:t>191.</w:t>
      </w:r>
      <w:r w:rsidRPr="00500FFB">
        <w:rPr>
          <w:lang w:val="es-MX" w:eastAsia="en-US"/>
        </w:rPr>
        <w:tab/>
      </w:r>
      <w:r w:rsidR="00115B35" w:rsidRPr="00FE07FE">
        <w:rPr>
          <w:lang w:val="es-MX" w:eastAsia="en-US"/>
        </w:rPr>
        <w:t>Se creó en 2009 el Plan para la Reducción de la Mortalidad Materno Infantil, de la Mujer y Adolescentes y en 2012 se prorrogó la vigencia hasta el 31 de diciembre de 2015.</w:t>
      </w:r>
    </w:p>
    <w:p w:rsidR="00C21DAA" w:rsidRPr="00FE07FE" w:rsidRDefault="00FE07FE" w:rsidP="00500FFB">
      <w:pPr>
        <w:pStyle w:val="SingleTxtG"/>
        <w:rPr>
          <w:lang w:val="es-MX" w:eastAsia="en-US"/>
        </w:rPr>
      </w:pPr>
      <w:r w:rsidRPr="00500FFB">
        <w:rPr>
          <w:lang w:val="es-MX" w:eastAsia="en-US"/>
        </w:rPr>
        <w:t>192.</w:t>
      </w:r>
      <w:r w:rsidRPr="00500FFB">
        <w:rPr>
          <w:lang w:val="es-MX" w:eastAsia="en-US"/>
        </w:rPr>
        <w:tab/>
      </w:r>
      <w:r w:rsidR="00115B35" w:rsidRPr="00FE07FE">
        <w:rPr>
          <w:lang w:val="es-MX" w:eastAsia="en-US"/>
        </w:rPr>
        <w:t xml:space="preserve">Respecto al consumo de sustancias psicoactivas, en 2014 atento a las Leyes </w:t>
      </w:r>
      <w:r w:rsidR="00DF1C7B">
        <w:rPr>
          <w:lang w:val="es-MX" w:eastAsia="en-US"/>
        </w:rPr>
        <w:t>núms</w:t>
      </w:r>
      <w:r w:rsidR="007C1E21">
        <w:rPr>
          <w:lang w:val="es-MX" w:eastAsia="en-US"/>
        </w:rPr>
        <w:t>. </w:t>
      </w:r>
      <w:r w:rsidR="00115B35" w:rsidRPr="00FE07FE">
        <w:rPr>
          <w:lang w:val="es-MX" w:eastAsia="en-US"/>
        </w:rPr>
        <w:t xml:space="preserve">26061 y 26657 el SEDRONAR creó el Programa CE.DE.COR Infanto Juvenil, conformado por médica pediatra, psiquiatra y psicólogas, realizó orientaciones a servicios públicos o equipos interdisciplinarios y a espacios donde pueden asistir familiares o personas a cargo de los jóvenes; y para Servicios Públicos, Hospitales, Municipios, etc. Además, lanzó la Línea 141, servicio telefónico gratuito de atención las 24 horas en todo el país que posibilita la orientación de profesionales especializados. </w:t>
      </w:r>
    </w:p>
    <w:p w:rsidR="00C21DAA" w:rsidRPr="00FE07FE" w:rsidRDefault="00FE07FE" w:rsidP="00500FFB">
      <w:pPr>
        <w:pStyle w:val="SingleTxtG"/>
        <w:rPr>
          <w:lang w:val="es-MX" w:eastAsia="en-US"/>
        </w:rPr>
      </w:pPr>
      <w:r w:rsidRPr="00500FFB">
        <w:rPr>
          <w:lang w:val="es-MX" w:eastAsia="en-US"/>
        </w:rPr>
        <w:t>193.</w:t>
      </w:r>
      <w:r w:rsidRPr="00500FFB">
        <w:rPr>
          <w:lang w:val="es-MX" w:eastAsia="en-US"/>
        </w:rPr>
        <w:tab/>
      </w:r>
      <w:r w:rsidR="00115B35" w:rsidRPr="00FE07FE">
        <w:rPr>
          <w:lang w:val="es-MX" w:eastAsia="en-US"/>
        </w:rPr>
        <w:t xml:space="preserve">La SEDRONAR realizó campañas de prevención (ANEXO III) y posee Centros Preventivos Locales de Adicciones (CePLA) de encuentro y contención a través de actividades deportivas, culturales, recreativas y de contención, para los jóvenes de entre 12 y 24 años. </w:t>
      </w:r>
    </w:p>
    <w:p w:rsidR="00C21DAA" w:rsidRPr="00FE07FE" w:rsidRDefault="00FE07FE" w:rsidP="00500FFB">
      <w:pPr>
        <w:pStyle w:val="SingleTxtG"/>
        <w:rPr>
          <w:lang w:val="es-MX" w:eastAsia="en-US"/>
        </w:rPr>
      </w:pPr>
      <w:r w:rsidRPr="00500FFB">
        <w:rPr>
          <w:lang w:val="es-MX" w:eastAsia="en-US"/>
        </w:rPr>
        <w:t>194.</w:t>
      </w:r>
      <w:r w:rsidRPr="00500FFB">
        <w:rPr>
          <w:lang w:val="es-MX" w:eastAsia="en-US"/>
        </w:rPr>
        <w:tab/>
      </w:r>
      <w:r w:rsidR="00115B35" w:rsidRPr="00FE07FE">
        <w:rPr>
          <w:lang w:val="es-MX" w:eastAsia="en-US"/>
        </w:rPr>
        <w:t>Sobre problemáticas en salud y estilo de vida de adolescentes de entre 13 y 15 años, la Encuesta Mundial de Salud Escolar (EMSE)</w:t>
      </w:r>
      <w:r w:rsidR="00115B35" w:rsidRPr="00FE07FE">
        <w:rPr>
          <w:rStyle w:val="Refdenotaalpie"/>
        </w:rPr>
        <w:footnoteReference w:id="27"/>
      </w:r>
      <w:r w:rsidR="00115B35" w:rsidRPr="00FE07FE">
        <w:rPr>
          <w:lang w:val="es-MX" w:eastAsia="en-US"/>
        </w:rPr>
        <w:t xml:space="preserve"> se llevó a cabo en Argentina en 2007 y 2012, la segunda vez con representatividad nacional y provincial en conjunto del MS y MED. Arrojó los siguientes resultados: </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096"/>
        <w:gridCol w:w="1030"/>
        <w:gridCol w:w="874"/>
        <w:gridCol w:w="874"/>
        <w:gridCol w:w="874"/>
        <w:gridCol w:w="874"/>
        <w:gridCol w:w="874"/>
        <w:gridCol w:w="874"/>
      </w:tblGrid>
      <w:tr w:rsidR="005A5411" w:rsidRPr="005A5411" w:rsidTr="00500FFB">
        <w:trPr>
          <w:trHeight w:val="240"/>
          <w:tblHeader/>
        </w:trPr>
        <w:tc>
          <w:tcPr>
            <w:tcW w:w="1080" w:type="dxa"/>
            <w:vMerge w:val="restart"/>
            <w:tcBorders>
              <w:top w:val="single" w:sz="4" w:space="0" w:color="auto"/>
              <w:bottom w:val="single" w:sz="12" w:space="0" w:color="auto"/>
            </w:tcBorders>
            <w:shd w:val="clear" w:color="auto" w:fill="auto"/>
            <w:noWrap/>
            <w:vAlign w:val="bottom"/>
            <w:hideMark/>
          </w:tcPr>
          <w:p w:rsidR="00C21DAA" w:rsidRPr="005A5411" w:rsidRDefault="00115B35">
            <w:pPr>
              <w:spacing w:before="80" w:after="80" w:line="200" w:lineRule="exact"/>
              <w:rPr>
                <w:bCs/>
                <w:i/>
                <w:sz w:val="16"/>
              </w:rPr>
            </w:pPr>
            <w:r w:rsidRPr="005A5411">
              <w:rPr>
                <w:bCs/>
                <w:i/>
                <w:sz w:val="16"/>
              </w:rPr>
              <w:t> </w:t>
            </w:r>
          </w:p>
        </w:tc>
        <w:tc>
          <w:tcPr>
            <w:tcW w:w="1142" w:type="dxa"/>
            <w:tcBorders>
              <w:top w:val="single" w:sz="4" w:space="0" w:color="auto"/>
              <w:bottom w:val="single" w:sz="4" w:space="0" w:color="auto"/>
            </w:tcBorders>
            <w:shd w:val="clear" w:color="auto" w:fill="auto"/>
            <w:vAlign w:val="bottom"/>
          </w:tcPr>
          <w:p w:rsidR="00C21DAA" w:rsidRPr="005A5411" w:rsidRDefault="00C21DAA" w:rsidP="00500FFB">
            <w:pPr>
              <w:spacing w:before="80" w:after="80" w:line="200" w:lineRule="exact"/>
              <w:ind w:left="113"/>
              <w:jc w:val="right"/>
              <w:rPr>
                <w:bCs/>
                <w:i/>
                <w:sz w:val="16"/>
              </w:rPr>
            </w:pPr>
          </w:p>
        </w:tc>
        <w:tc>
          <w:tcPr>
            <w:tcW w:w="2574" w:type="dxa"/>
            <w:gridSpan w:val="3"/>
            <w:tcBorders>
              <w:top w:val="single" w:sz="4" w:space="0" w:color="auto"/>
              <w:bottom w:val="single" w:sz="4" w:space="0" w:color="auto"/>
              <w:right w:val="single" w:sz="18" w:space="0" w:color="FFFFFF" w:themeColor="background1"/>
            </w:tcBorders>
            <w:shd w:val="clear" w:color="auto" w:fill="auto"/>
            <w:noWrap/>
            <w:vAlign w:val="bottom"/>
            <w:hideMark/>
          </w:tcPr>
          <w:p w:rsidR="00C21DAA" w:rsidRPr="005A5411" w:rsidRDefault="00115B35" w:rsidP="00500FFB">
            <w:pPr>
              <w:spacing w:before="80" w:after="80" w:line="200" w:lineRule="exact"/>
              <w:ind w:left="113"/>
              <w:jc w:val="center"/>
              <w:rPr>
                <w:bCs/>
                <w:i/>
                <w:sz w:val="16"/>
              </w:rPr>
            </w:pPr>
            <w:r w:rsidRPr="005A5411">
              <w:rPr>
                <w:bCs/>
                <w:i/>
                <w:sz w:val="16"/>
              </w:rPr>
              <w:t>2007</w:t>
            </w:r>
          </w:p>
        </w:tc>
        <w:tc>
          <w:tcPr>
            <w:tcW w:w="2574" w:type="dxa"/>
            <w:gridSpan w:val="3"/>
            <w:tcBorders>
              <w:top w:val="single" w:sz="4" w:space="0" w:color="auto"/>
              <w:left w:val="single" w:sz="18" w:space="0" w:color="FFFFFF" w:themeColor="background1"/>
              <w:bottom w:val="single" w:sz="4" w:space="0" w:color="auto"/>
            </w:tcBorders>
            <w:shd w:val="clear" w:color="auto" w:fill="auto"/>
            <w:noWrap/>
            <w:vAlign w:val="bottom"/>
            <w:hideMark/>
          </w:tcPr>
          <w:p w:rsidR="00C21DAA" w:rsidRPr="005A5411" w:rsidRDefault="00115B35" w:rsidP="00500FFB">
            <w:pPr>
              <w:spacing w:before="80" w:after="80" w:line="200" w:lineRule="exact"/>
              <w:ind w:left="113"/>
              <w:jc w:val="center"/>
              <w:rPr>
                <w:bCs/>
                <w:i/>
                <w:sz w:val="16"/>
              </w:rPr>
            </w:pPr>
            <w:r w:rsidRPr="005A5411">
              <w:rPr>
                <w:bCs/>
                <w:i/>
                <w:sz w:val="16"/>
              </w:rPr>
              <w:t>2012</w:t>
            </w:r>
          </w:p>
        </w:tc>
      </w:tr>
      <w:tr w:rsidR="005A5411" w:rsidRPr="005A5411" w:rsidTr="00500FFB">
        <w:trPr>
          <w:trHeight w:val="240"/>
          <w:tblHeader/>
        </w:trPr>
        <w:tc>
          <w:tcPr>
            <w:tcW w:w="1080" w:type="dxa"/>
            <w:vMerge/>
            <w:tcBorders>
              <w:top w:val="single" w:sz="12" w:space="0" w:color="auto"/>
              <w:bottom w:val="single" w:sz="12" w:space="0" w:color="auto"/>
            </w:tcBorders>
            <w:shd w:val="clear" w:color="auto" w:fill="auto"/>
            <w:vAlign w:val="bottom"/>
            <w:hideMark/>
          </w:tcPr>
          <w:p w:rsidR="00C21DAA" w:rsidRPr="00500FFB" w:rsidRDefault="00C21DAA">
            <w:pPr>
              <w:spacing w:before="40" w:after="40" w:line="220" w:lineRule="exact"/>
              <w:rPr>
                <w:bCs/>
                <w:sz w:val="18"/>
              </w:rPr>
            </w:pPr>
          </w:p>
        </w:tc>
        <w:tc>
          <w:tcPr>
            <w:tcW w:w="1142" w:type="dxa"/>
            <w:tcBorders>
              <w:top w:val="single" w:sz="4" w:space="0" w:color="auto"/>
              <w:bottom w:val="single" w:sz="12" w:space="0" w:color="auto"/>
            </w:tcBorders>
            <w:shd w:val="clear" w:color="auto" w:fill="auto"/>
            <w:vAlign w:val="bottom"/>
          </w:tcPr>
          <w:p w:rsidR="00C21DAA" w:rsidRPr="00500FFB" w:rsidRDefault="00C21DAA" w:rsidP="00500FFB">
            <w:pPr>
              <w:spacing w:before="40" w:after="40" w:line="220" w:lineRule="exact"/>
              <w:ind w:left="113"/>
              <w:jc w:val="right"/>
              <w:rPr>
                <w:bCs/>
                <w:sz w:val="18"/>
              </w:rPr>
            </w:pPr>
          </w:p>
        </w:tc>
        <w:tc>
          <w:tcPr>
            <w:tcW w:w="858"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Total</w:t>
            </w:r>
          </w:p>
        </w:tc>
        <w:tc>
          <w:tcPr>
            <w:tcW w:w="858"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Var</w:t>
            </w:r>
            <w:r w:rsidR="005A5411" w:rsidRPr="00500FFB">
              <w:rPr>
                <w:bCs/>
                <w:i/>
                <w:sz w:val="16"/>
              </w:rPr>
              <w:t>ó</w:t>
            </w:r>
            <w:r w:rsidRPr="00500FFB">
              <w:rPr>
                <w:bCs/>
                <w:i/>
                <w:sz w:val="16"/>
              </w:rPr>
              <w:t>n</w:t>
            </w:r>
          </w:p>
        </w:tc>
        <w:tc>
          <w:tcPr>
            <w:tcW w:w="858"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Mujer</w:t>
            </w:r>
          </w:p>
        </w:tc>
        <w:tc>
          <w:tcPr>
            <w:tcW w:w="858"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Total</w:t>
            </w:r>
          </w:p>
        </w:tc>
        <w:tc>
          <w:tcPr>
            <w:tcW w:w="858"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 xml:space="preserve">Varón </w:t>
            </w:r>
          </w:p>
        </w:tc>
        <w:tc>
          <w:tcPr>
            <w:tcW w:w="858"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Mujer</w:t>
            </w:r>
          </w:p>
        </w:tc>
      </w:tr>
      <w:tr w:rsidR="005A5411" w:rsidRPr="005A5411" w:rsidTr="00500FFB">
        <w:trPr>
          <w:trHeight w:val="240"/>
        </w:trPr>
        <w:tc>
          <w:tcPr>
            <w:tcW w:w="1080" w:type="dxa"/>
            <w:tcBorders>
              <w:top w:val="single" w:sz="12" w:space="0" w:color="auto"/>
            </w:tcBorders>
            <w:shd w:val="clear" w:color="auto" w:fill="auto"/>
            <w:noWrap/>
            <w:hideMark/>
          </w:tcPr>
          <w:p w:rsidR="00C21DAA" w:rsidRPr="005A5411" w:rsidRDefault="00115B35">
            <w:pPr>
              <w:spacing w:before="40" w:after="40" w:line="220" w:lineRule="exact"/>
              <w:rPr>
                <w:sz w:val="18"/>
              </w:rPr>
            </w:pPr>
            <w:r w:rsidRPr="005A5411">
              <w:rPr>
                <w:sz w:val="18"/>
              </w:rPr>
              <w:t>Sobrepeso</w:t>
            </w:r>
          </w:p>
        </w:tc>
        <w:tc>
          <w:tcPr>
            <w:tcW w:w="1142" w:type="dxa"/>
            <w:tcBorders>
              <w:top w:val="single" w:sz="12" w:space="0" w:color="auto"/>
            </w:tcBorders>
            <w:shd w:val="clear" w:color="auto" w:fill="auto"/>
            <w:vAlign w:val="bottom"/>
          </w:tcPr>
          <w:p w:rsidR="00C21DAA" w:rsidRPr="005A5411" w:rsidRDefault="00C21DAA" w:rsidP="00500FFB">
            <w:pPr>
              <w:spacing w:before="40" w:after="40" w:line="220" w:lineRule="exact"/>
              <w:ind w:left="113"/>
              <w:jc w:val="right"/>
              <w:rPr>
                <w:sz w:val="18"/>
              </w:rPr>
            </w:pPr>
          </w:p>
        </w:tc>
        <w:tc>
          <w:tcPr>
            <w:tcW w:w="858" w:type="dxa"/>
            <w:tcBorders>
              <w:top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24,50%</w:t>
            </w:r>
          </w:p>
        </w:tc>
        <w:tc>
          <w:tcPr>
            <w:tcW w:w="858" w:type="dxa"/>
            <w:tcBorders>
              <w:top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32,40%</w:t>
            </w:r>
          </w:p>
        </w:tc>
        <w:tc>
          <w:tcPr>
            <w:tcW w:w="858" w:type="dxa"/>
            <w:tcBorders>
              <w:top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17,60%</w:t>
            </w:r>
          </w:p>
        </w:tc>
        <w:tc>
          <w:tcPr>
            <w:tcW w:w="858" w:type="dxa"/>
            <w:tcBorders>
              <w:top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28,60%</w:t>
            </w:r>
          </w:p>
        </w:tc>
        <w:tc>
          <w:tcPr>
            <w:tcW w:w="858" w:type="dxa"/>
            <w:tcBorders>
              <w:top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35,90%</w:t>
            </w:r>
          </w:p>
        </w:tc>
        <w:tc>
          <w:tcPr>
            <w:tcW w:w="858" w:type="dxa"/>
            <w:tcBorders>
              <w:top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21,80%</w:t>
            </w:r>
          </w:p>
        </w:tc>
      </w:tr>
      <w:tr w:rsidR="005A5411" w:rsidRPr="005A5411" w:rsidTr="00500FFB">
        <w:trPr>
          <w:trHeight w:val="240"/>
        </w:trPr>
        <w:tc>
          <w:tcPr>
            <w:tcW w:w="1080" w:type="dxa"/>
            <w:tcBorders>
              <w:bottom w:val="single" w:sz="12" w:space="0" w:color="auto"/>
            </w:tcBorders>
            <w:shd w:val="clear" w:color="auto" w:fill="auto"/>
            <w:noWrap/>
            <w:hideMark/>
          </w:tcPr>
          <w:p w:rsidR="00C21DAA" w:rsidRPr="005A5411" w:rsidRDefault="00115B35">
            <w:pPr>
              <w:spacing w:before="40" w:after="40" w:line="220" w:lineRule="exact"/>
              <w:rPr>
                <w:sz w:val="18"/>
              </w:rPr>
            </w:pPr>
            <w:r w:rsidRPr="005A5411">
              <w:rPr>
                <w:sz w:val="18"/>
              </w:rPr>
              <w:t>Obesidad</w:t>
            </w:r>
          </w:p>
        </w:tc>
        <w:tc>
          <w:tcPr>
            <w:tcW w:w="1142" w:type="dxa"/>
            <w:tcBorders>
              <w:bottom w:val="single" w:sz="12" w:space="0" w:color="auto"/>
            </w:tcBorders>
            <w:shd w:val="clear" w:color="auto" w:fill="auto"/>
            <w:vAlign w:val="bottom"/>
          </w:tcPr>
          <w:p w:rsidR="00C21DAA" w:rsidRPr="005A5411" w:rsidRDefault="00C21DAA" w:rsidP="00500FFB">
            <w:pPr>
              <w:spacing w:before="40" w:after="40" w:line="220" w:lineRule="exact"/>
              <w:ind w:left="113"/>
              <w:jc w:val="right"/>
              <w:rPr>
                <w:sz w:val="18"/>
              </w:rPr>
            </w:pPr>
          </w:p>
        </w:tc>
        <w:tc>
          <w:tcPr>
            <w:tcW w:w="858" w:type="dxa"/>
            <w:tcBorders>
              <w:bottom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4,40%</w:t>
            </w:r>
          </w:p>
        </w:tc>
        <w:tc>
          <w:tcPr>
            <w:tcW w:w="858" w:type="dxa"/>
            <w:tcBorders>
              <w:bottom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6,50%</w:t>
            </w:r>
          </w:p>
        </w:tc>
        <w:tc>
          <w:tcPr>
            <w:tcW w:w="858" w:type="dxa"/>
            <w:tcBorders>
              <w:bottom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2,60%</w:t>
            </w:r>
          </w:p>
        </w:tc>
        <w:tc>
          <w:tcPr>
            <w:tcW w:w="858" w:type="dxa"/>
            <w:tcBorders>
              <w:bottom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5,90%</w:t>
            </w:r>
          </w:p>
        </w:tc>
        <w:tc>
          <w:tcPr>
            <w:tcW w:w="858" w:type="dxa"/>
            <w:tcBorders>
              <w:bottom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8,30%</w:t>
            </w:r>
          </w:p>
        </w:tc>
        <w:tc>
          <w:tcPr>
            <w:tcW w:w="858" w:type="dxa"/>
            <w:tcBorders>
              <w:bottom w:val="single" w:sz="12" w:space="0" w:color="auto"/>
            </w:tcBorders>
            <w:shd w:val="clear" w:color="auto" w:fill="auto"/>
            <w:noWrap/>
            <w:vAlign w:val="bottom"/>
            <w:hideMark/>
          </w:tcPr>
          <w:p w:rsidR="00C21DAA" w:rsidRPr="005A5411" w:rsidRDefault="00115B35" w:rsidP="00500FFB">
            <w:pPr>
              <w:spacing w:before="40" w:after="40" w:line="220" w:lineRule="exact"/>
              <w:ind w:left="113"/>
              <w:jc w:val="right"/>
              <w:rPr>
                <w:sz w:val="18"/>
              </w:rPr>
            </w:pPr>
            <w:r w:rsidRPr="005A5411">
              <w:rPr>
                <w:sz w:val="18"/>
              </w:rPr>
              <w:t>3,60%</w:t>
            </w:r>
          </w:p>
        </w:tc>
      </w:tr>
    </w:tbl>
    <w:p w:rsidR="00C21DAA" w:rsidRPr="00FE07FE" w:rsidRDefault="00115B35" w:rsidP="00500FFB">
      <w:pPr>
        <w:pStyle w:val="SingleTxtG"/>
        <w:spacing w:before="240"/>
        <w:jc w:val="left"/>
        <w:rPr>
          <w:b/>
          <w:lang w:val="es-AR"/>
        </w:rPr>
      </w:pPr>
      <w:r w:rsidRPr="00FE07FE">
        <w:rPr>
          <w:b/>
          <w:lang w:val="es-AR"/>
        </w:rPr>
        <w:t xml:space="preserve">Métodos anticonceptivos entre estudiantes de 13 a 15 años que tuvieron </w:t>
      </w:r>
      <w:r w:rsidR="00FE652D">
        <w:rPr>
          <w:b/>
          <w:lang w:val="es-AR"/>
        </w:rPr>
        <w:br/>
      </w:r>
      <w:r w:rsidRPr="00FE07FE">
        <w:rPr>
          <w:b/>
          <w:lang w:val="es-AR"/>
        </w:rPr>
        <w:t>relaciones sexuales alguna vez</w:t>
      </w:r>
    </w:p>
    <w:tbl>
      <w:tblPr>
        <w:tblW w:w="7349" w:type="dxa"/>
        <w:tblInd w:w="1134" w:type="dxa"/>
        <w:tblBorders>
          <w:top w:val="single" w:sz="4" w:space="0" w:color="auto"/>
        </w:tblBorders>
        <w:tblCellMar>
          <w:left w:w="0" w:type="dxa"/>
          <w:right w:w="0" w:type="dxa"/>
        </w:tblCellMar>
        <w:tblLook w:val="04A0" w:firstRow="1" w:lastRow="0" w:firstColumn="1" w:lastColumn="0" w:noHBand="0" w:noVBand="1"/>
      </w:tblPr>
      <w:tblGrid>
        <w:gridCol w:w="5175"/>
        <w:gridCol w:w="875"/>
        <w:gridCol w:w="709"/>
        <w:gridCol w:w="654"/>
      </w:tblGrid>
      <w:tr w:rsidR="000B7ED8" w:rsidRPr="000B7ED8" w:rsidTr="00500FFB">
        <w:trPr>
          <w:trHeight w:val="240"/>
          <w:tblHeader/>
        </w:trPr>
        <w:tc>
          <w:tcPr>
            <w:tcW w:w="5159" w:type="dxa"/>
            <w:vMerge w:val="restart"/>
            <w:tcBorders>
              <w:top w:val="single" w:sz="4" w:space="0" w:color="auto"/>
              <w:bottom w:val="single" w:sz="12" w:space="0" w:color="auto"/>
            </w:tcBorders>
            <w:shd w:val="clear" w:color="auto" w:fill="auto"/>
            <w:noWrap/>
            <w:vAlign w:val="bottom"/>
            <w:hideMark/>
          </w:tcPr>
          <w:p w:rsidR="00C21DAA" w:rsidRPr="000B7ED8" w:rsidRDefault="00115B35">
            <w:pPr>
              <w:spacing w:before="80" w:after="80" w:line="200" w:lineRule="exact"/>
              <w:rPr>
                <w:i/>
                <w:sz w:val="16"/>
                <w:lang w:val="es-AR"/>
              </w:rPr>
            </w:pPr>
            <w:r w:rsidRPr="000B7ED8">
              <w:rPr>
                <w:i/>
                <w:sz w:val="16"/>
                <w:lang w:val="es-AR"/>
              </w:rPr>
              <w:t> </w:t>
            </w:r>
          </w:p>
        </w:tc>
        <w:tc>
          <w:tcPr>
            <w:tcW w:w="2190" w:type="dxa"/>
            <w:gridSpan w:val="3"/>
            <w:tcBorders>
              <w:top w:val="single" w:sz="4" w:space="0" w:color="auto"/>
              <w:bottom w:val="single" w:sz="4" w:space="0" w:color="auto"/>
            </w:tcBorders>
            <w:shd w:val="clear" w:color="auto" w:fill="auto"/>
            <w:noWrap/>
            <w:vAlign w:val="bottom"/>
            <w:hideMark/>
          </w:tcPr>
          <w:p w:rsidR="00C21DAA" w:rsidRPr="000B7ED8" w:rsidRDefault="00115B35" w:rsidP="00500FFB">
            <w:pPr>
              <w:spacing w:before="80" w:after="80" w:line="200" w:lineRule="exact"/>
              <w:ind w:left="113"/>
              <w:jc w:val="center"/>
              <w:rPr>
                <w:bCs/>
                <w:i/>
                <w:sz w:val="16"/>
              </w:rPr>
            </w:pPr>
            <w:r w:rsidRPr="000B7ED8">
              <w:rPr>
                <w:bCs/>
                <w:i/>
                <w:sz w:val="16"/>
              </w:rPr>
              <w:t>2012</w:t>
            </w:r>
          </w:p>
        </w:tc>
      </w:tr>
      <w:tr w:rsidR="000B7ED8" w:rsidRPr="000B7ED8" w:rsidTr="00500FFB">
        <w:trPr>
          <w:trHeight w:val="240"/>
          <w:tblHeader/>
        </w:trPr>
        <w:tc>
          <w:tcPr>
            <w:tcW w:w="5159" w:type="dxa"/>
            <w:vMerge/>
            <w:tcBorders>
              <w:top w:val="single" w:sz="12" w:space="0" w:color="auto"/>
              <w:bottom w:val="single" w:sz="12" w:space="0" w:color="auto"/>
            </w:tcBorders>
            <w:shd w:val="clear" w:color="auto" w:fill="auto"/>
            <w:vAlign w:val="bottom"/>
            <w:hideMark/>
          </w:tcPr>
          <w:p w:rsidR="00C21DAA" w:rsidRPr="000B7ED8" w:rsidRDefault="00C21DAA">
            <w:pPr>
              <w:spacing w:before="40" w:after="40" w:line="220" w:lineRule="exact"/>
              <w:rPr>
                <w:sz w:val="18"/>
              </w:rPr>
            </w:pPr>
          </w:p>
        </w:tc>
        <w:tc>
          <w:tcPr>
            <w:tcW w:w="859"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Total</w:t>
            </w:r>
          </w:p>
        </w:tc>
        <w:tc>
          <w:tcPr>
            <w:tcW w:w="693"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 xml:space="preserve">Varón </w:t>
            </w:r>
          </w:p>
        </w:tc>
        <w:tc>
          <w:tcPr>
            <w:tcW w:w="638"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Mujer</w:t>
            </w:r>
          </w:p>
        </w:tc>
      </w:tr>
      <w:tr w:rsidR="000B7ED8" w:rsidRPr="000B7ED8" w:rsidTr="00500FFB">
        <w:trPr>
          <w:trHeight w:val="240"/>
        </w:trPr>
        <w:tc>
          <w:tcPr>
            <w:tcW w:w="5159" w:type="dxa"/>
            <w:tcBorders>
              <w:top w:val="single" w:sz="12" w:space="0" w:color="auto"/>
            </w:tcBorders>
            <w:shd w:val="clear" w:color="auto" w:fill="auto"/>
            <w:hideMark/>
          </w:tcPr>
          <w:p w:rsidR="00C21DAA" w:rsidRPr="000B7ED8" w:rsidRDefault="00115B35">
            <w:pPr>
              <w:spacing w:before="40" w:after="40" w:line="220" w:lineRule="exact"/>
              <w:rPr>
                <w:sz w:val="18"/>
                <w:lang w:val="es-AR"/>
              </w:rPr>
            </w:pPr>
            <w:r w:rsidRPr="000B7ED8">
              <w:rPr>
                <w:sz w:val="18"/>
                <w:lang w:val="es-AR"/>
              </w:rPr>
              <w:t>Usó Preservativo en la última relación sexual</w:t>
            </w:r>
          </w:p>
        </w:tc>
        <w:tc>
          <w:tcPr>
            <w:tcW w:w="859" w:type="dxa"/>
            <w:tcBorders>
              <w:top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75,8%</w:t>
            </w:r>
          </w:p>
        </w:tc>
        <w:tc>
          <w:tcPr>
            <w:tcW w:w="693" w:type="dxa"/>
            <w:tcBorders>
              <w:top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77,1%</w:t>
            </w:r>
          </w:p>
        </w:tc>
        <w:tc>
          <w:tcPr>
            <w:tcW w:w="638" w:type="dxa"/>
            <w:tcBorders>
              <w:top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74,0%</w:t>
            </w:r>
          </w:p>
        </w:tc>
      </w:tr>
      <w:tr w:rsidR="000B7ED8" w:rsidRPr="000B7ED8" w:rsidTr="00500FFB">
        <w:trPr>
          <w:trHeight w:val="240"/>
        </w:trPr>
        <w:tc>
          <w:tcPr>
            <w:tcW w:w="5159" w:type="dxa"/>
            <w:shd w:val="clear" w:color="auto" w:fill="auto"/>
            <w:hideMark/>
          </w:tcPr>
          <w:p w:rsidR="00C21DAA" w:rsidRPr="000B7ED8" w:rsidRDefault="00115B35">
            <w:pPr>
              <w:spacing w:before="40" w:after="40" w:line="220" w:lineRule="exact"/>
              <w:rPr>
                <w:sz w:val="18"/>
                <w:lang w:val="es-AR"/>
              </w:rPr>
            </w:pPr>
            <w:r w:rsidRPr="000B7ED8">
              <w:rPr>
                <w:sz w:val="18"/>
                <w:lang w:val="es-AR"/>
              </w:rPr>
              <w:t>Usó algún otro método anticonceptivo en la última relación sexual</w:t>
            </w:r>
          </w:p>
        </w:tc>
        <w:tc>
          <w:tcPr>
            <w:tcW w:w="859"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46,7%</w:t>
            </w:r>
          </w:p>
        </w:tc>
        <w:tc>
          <w:tcPr>
            <w:tcW w:w="693"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39,9%</w:t>
            </w:r>
          </w:p>
        </w:tc>
        <w:tc>
          <w:tcPr>
            <w:tcW w:w="638"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55,0%</w:t>
            </w:r>
          </w:p>
        </w:tc>
      </w:tr>
      <w:tr w:rsidR="000B7ED8" w:rsidRPr="000B7ED8" w:rsidTr="00500FFB">
        <w:trPr>
          <w:trHeight w:val="240"/>
        </w:trPr>
        <w:tc>
          <w:tcPr>
            <w:tcW w:w="5159" w:type="dxa"/>
            <w:tcBorders>
              <w:bottom w:val="single" w:sz="12" w:space="0" w:color="auto"/>
            </w:tcBorders>
            <w:shd w:val="clear" w:color="auto" w:fill="auto"/>
            <w:hideMark/>
          </w:tcPr>
          <w:p w:rsidR="00C21DAA" w:rsidRPr="000B7ED8" w:rsidRDefault="00115B35">
            <w:pPr>
              <w:spacing w:before="40" w:after="40" w:line="220" w:lineRule="exact"/>
              <w:rPr>
                <w:sz w:val="18"/>
                <w:lang w:val="es-AR"/>
              </w:rPr>
            </w:pPr>
            <w:r w:rsidRPr="000B7ED8">
              <w:rPr>
                <w:sz w:val="18"/>
                <w:lang w:val="es-AR"/>
              </w:rPr>
              <w:t>Uso preservativo siempre o casi siempre durante los últimos 12 meses</w:t>
            </w:r>
          </w:p>
        </w:tc>
        <w:tc>
          <w:tcPr>
            <w:tcW w:w="859" w:type="dxa"/>
            <w:tcBorders>
              <w:bottom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40,9%</w:t>
            </w:r>
          </w:p>
        </w:tc>
        <w:tc>
          <w:tcPr>
            <w:tcW w:w="693" w:type="dxa"/>
            <w:tcBorders>
              <w:bottom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40,6%</w:t>
            </w:r>
          </w:p>
        </w:tc>
        <w:tc>
          <w:tcPr>
            <w:tcW w:w="638" w:type="dxa"/>
            <w:tcBorders>
              <w:bottom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41,5%</w:t>
            </w:r>
          </w:p>
        </w:tc>
      </w:tr>
    </w:tbl>
    <w:p w:rsidR="00C21DAA" w:rsidRPr="00FE07FE" w:rsidRDefault="00115B35" w:rsidP="00500FFB">
      <w:pPr>
        <w:pStyle w:val="SingleTxtG"/>
        <w:spacing w:before="240"/>
        <w:jc w:val="left"/>
        <w:rPr>
          <w:b/>
          <w:lang w:val="es-AR"/>
        </w:rPr>
      </w:pPr>
      <w:r w:rsidRPr="00FE07FE">
        <w:rPr>
          <w:b/>
          <w:lang w:val="es-AR"/>
        </w:rPr>
        <w:t>Acceso a la información sobre VIH/SIDA entre los estudiantes, según sexo y edad</w:t>
      </w:r>
    </w:p>
    <w:tbl>
      <w:tblPr>
        <w:tblW w:w="7335" w:type="dxa"/>
        <w:tblInd w:w="1134" w:type="dxa"/>
        <w:tblBorders>
          <w:top w:val="single" w:sz="4" w:space="0" w:color="auto"/>
        </w:tblBorders>
        <w:tblCellMar>
          <w:left w:w="0" w:type="dxa"/>
          <w:right w:w="0" w:type="dxa"/>
        </w:tblCellMar>
        <w:tblLook w:val="04A0" w:firstRow="1" w:lastRow="0" w:firstColumn="1" w:lastColumn="0" w:noHBand="0" w:noVBand="1"/>
      </w:tblPr>
      <w:tblGrid>
        <w:gridCol w:w="5199"/>
        <w:gridCol w:w="709"/>
        <w:gridCol w:w="709"/>
        <w:gridCol w:w="782"/>
      </w:tblGrid>
      <w:tr w:rsidR="00F83CD1" w:rsidRPr="000B7ED8" w:rsidTr="00500FFB">
        <w:trPr>
          <w:trHeight w:val="240"/>
          <w:tblHeader/>
        </w:trPr>
        <w:tc>
          <w:tcPr>
            <w:tcW w:w="5183" w:type="dxa"/>
            <w:vMerge w:val="restart"/>
            <w:tcBorders>
              <w:top w:val="single" w:sz="4" w:space="0" w:color="auto"/>
              <w:bottom w:val="single" w:sz="12" w:space="0" w:color="auto"/>
            </w:tcBorders>
            <w:shd w:val="clear" w:color="auto" w:fill="auto"/>
            <w:noWrap/>
            <w:vAlign w:val="bottom"/>
            <w:hideMark/>
          </w:tcPr>
          <w:p w:rsidR="00C21DAA" w:rsidRPr="000B7ED8" w:rsidRDefault="00C21DAA">
            <w:pPr>
              <w:spacing w:before="80" w:after="80" w:line="200" w:lineRule="exact"/>
              <w:rPr>
                <w:i/>
                <w:sz w:val="16"/>
                <w:lang w:val="es-AR"/>
              </w:rPr>
            </w:pPr>
          </w:p>
        </w:tc>
        <w:tc>
          <w:tcPr>
            <w:tcW w:w="2152" w:type="dxa"/>
            <w:gridSpan w:val="3"/>
            <w:tcBorders>
              <w:top w:val="single" w:sz="4" w:space="0" w:color="auto"/>
              <w:bottom w:val="single" w:sz="4" w:space="0" w:color="auto"/>
            </w:tcBorders>
            <w:shd w:val="clear" w:color="auto" w:fill="auto"/>
            <w:noWrap/>
            <w:vAlign w:val="bottom"/>
            <w:hideMark/>
          </w:tcPr>
          <w:p w:rsidR="00C21DAA" w:rsidRPr="000B7ED8" w:rsidRDefault="00115B35" w:rsidP="00500FFB">
            <w:pPr>
              <w:spacing w:before="80" w:after="80" w:line="200" w:lineRule="exact"/>
              <w:ind w:left="113"/>
              <w:jc w:val="center"/>
              <w:rPr>
                <w:bCs/>
                <w:i/>
                <w:sz w:val="16"/>
              </w:rPr>
            </w:pPr>
            <w:r w:rsidRPr="000B7ED8">
              <w:rPr>
                <w:bCs/>
                <w:i/>
                <w:sz w:val="16"/>
              </w:rPr>
              <w:t>2012</w:t>
            </w:r>
          </w:p>
        </w:tc>
      </w:tr>
      <w:tr w:rsidR="00F83CD1" w:rsidRPr="000B7ED8" w:rsidTr="00500FFB">
        <w:trPr>
          <w:trHeight w:val="240"/>
          <w:tblHeader/>
        </w:trPr>
        <w:tc>
          <w:tcPr>
            <w:tcW w:w="5183" w:type="dxa"/>
            <w:vMerge/>
            <w:tcBorders>
              <w:top w:val="single" w:sz="12" w:space="0" w:color="auto"/>
              <w:bottom w:val="single" w:sz="12" w:space="0" w:color="auto"/>
            </w:tcBorders>
            <w:shd w:val="clear" w:color="auto" w:fill="auto"/>
            <w:vAlign w:val="bottom"/>
            <w:hideMark/>
          </w:tcPr>
          <w:p w:rsidR="00C21DAA" w:rsidRPr="000B7ED8" w:rsidRDefault="00C21DAA">
            <w:pPr>
              <w:spacing w:before="40" w:after="40" w:line="220" w:lineRule="exact"/>
              <w:rPr>
                <w:sz w:val="18"/>
              </w:rPr>
            </w:pPr>
          </w:p>
        </w:tc>
        <w:tc>
          <w:tcPr>
            <w:tcW w:w="693"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Total</w:t>
            </w:r>
          </w:p>
        </w:tc>
        <w:tc>
          <w:tcPr>
            <w:tcW w:w="693"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 xml:space="preserve">Varón </w:t>
            </w:r>
          </w:p>
        </w:tc>
        <w:tc>
          <w:tcPr>
            <w:tcW w:w="76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Mujer</w:t>
            </w:r>
          </w:p>
        </w:tc>
      </w:tr>
      <w:tr w:rsidR="00F83CD1" w:rsidRPr="000B7ED8" w:rsidTr="00500FFB">
        <w:trPr>
          <w:trHeight w:val="240"/>
        </w:trPr>
        <w:tc>
          <w:tcPr>
            <w:tcW w:w="5183" w:type="dxa"/>
            <w:tcBorders>
              <w:top w:val="single" w:sz="12" w:space="0" w:color="auto"/>
            </w:tcBorders>
            <w:shd w:val="clear" w:color="auto" w:fill="auto"/>
            <w:hideMark/>
          </w:tcPr>
          <w:p w:rsidR="00C21DAA" w:rsidRPr="000B7ED8" w:rsidRDefault="00115B35">
            <w:pPr>
              <w:spacing w:before="40" w:after="40" w:line="220" w:lineRule="exact"/>
              <w:rPr>
                <w:sz w:val="18"/>
                <w:lang w:val="es-AR"/>
              </w:rPr>
            </w:pPr>
            <w:r w:rsidRPr="000B7ED8">
              <w:rPr>
                <w:sz w:val="18"/>
                <w:lang w:val="es-AR"/>
              </w:rPr>
              <w:t>Escuchó alguna vez sobre la infección por VIH o SIDA</w:t>
            </w:r>
          </w:p>
        </w:tc>
        <w:tc>
          <w:tcPr>
            <w:tcW w:w="693" w:type="dxa"/>
            <w:tcBorders>
              <w:top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88,3%</w:t>
            </w:r>
          </w:p>
        </w:tc>
        <w:tc>
          <w:tcPr>
            <w:tcW w:w="693" w:type="dxa"/>
            <w:tcBorders>
              <w:top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86,5%</w:t>
            </w:r>
          </w:p>
        </w:tc>
        <w:tc>
          <w:tcPr>
            <w:tcW w:w="766" w:type="dxa"/>
            <w:tcBorders>
              <w:top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90,1%</w:t>
            </w:r>
          </w:p>
        </w:tc>
      </w:tr>
      <w:tr w:rsidR="00F83CD1" w:rsidRPr="000B7ED8" w:rsidTr="00500FFB">
        <w:trPr>
          <w:trHeight w:val="240"/>
        </w:trPr>
        <w:tc>
          <w:tcPr>
            <w:tcW w:w="5183" w:type="dxa"/>
            <w:shd w:val="clear" w:color="auto" w:fill="auto"/>
            <w:hideMark/>
          </w:tcPr>
          <w:p w:rsidR="00C21DAA" w:rsidRPr="000B7ED8" w:rsidRDefault="00115B35">
            <w:pPr>
              <w:spacing w:before="40" w:after="40" w:line="220" w:lineRule="exact"/>
              <w:rPr>
                <w:sz w:val="18"/>
                <w:lang w:val="es-AR"/>
              </w:rPr>
            </w:pPr>
            <w:r w:rsidRPr="000B7ED8">
              <w:rPr>
                <w:sz w:val="18"/>
                <w:lang w:val="es-AR"/>
              </w:rPr>
              <w:t>Se le enseñó en alguna de sus clases, durante el último año escolar, sobre la infección por VIH o SIDA</w:t>
            </w:r>
          </w:p>
        </w:tc>
        <w:tc>
          <w:tcPr>
            <w:tcW w:w="693"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61,9%</w:t>
            </w:r>
          </w:p>
        </w:tc>
        <w:tc>
          <w:tcPr>
            <w:tcW w:w="693"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60,0%</w:t>
            </w:r>
          </w:p>
        </w:tc>
        <w:tc>
          <w:tcPr>
            <w:tcW w:w="766"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63,6%</w:t>
            </w:r>
          </w:p>
        </w:tc>
      </w:tr>
      <w:tr w:rsidR="00F83CD1" w:rsidRPr="000B7ED8" w:rsidTr="00500FFB">
        <w:trPr>
          <w:trHeight w:val="240"/>
        </w:trPr>
        <w:tc>
          <w:tcPr>
            <w:tcW w:w="5183" w:type="dxa"/>
            <w:shd w:val="clear" w:color="auto" w:fill="auto"/>
            <w:hideMark/>
          </w:tcPr>
          <w:p w:rsidR="00C21DAA" w:rsidRPr="000B7ED8" w:rsidRDefault="00115B35">
            <w:pPr>
              <w:spacing w:before="40" w:after="40" w:line="220" w:lineRule="exact"/>
              <w:rPr>
                <w:sz w:val="18"/>
                <w:lang w:val="es-AR"/>
              </w:rPr>
            </w:pPr>
            <w:r w:rsidRPr="000B7ED8">
              <w:rPr>
                <w:sz w:val="18"/>
                <w:lang w:val="es-AR"/>
              </w:rPr>
              <w:t>Se le enseñó en alguna de sus clases, durante el último año escolar, cómo evitar la infección por VIH o SIDA</w:t>
            </w:r>
          </w:p>
        </w:tc>
        <w:tc>
          <w:tcPr>
            <w:tcW w:w="693"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59,9%</w:t>
            </w:r>
          </w:p>
        </w:tc>
        <w:tc>
          <w:tcPr>
            <w:tcW w:w="693"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59,2%</w:t>
            </w:r>
          </w:p>
        </w:tc>
        <w:tc>
          <w:tcPr>
            <w:tcW w:w="766"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60,6%</w:t>
            </w:r>
          </w:p>
        </w:tc>
      </w:tr>
      <w:tr w:rsidR="00F83CD1" w:rsidRPr="000B7ED8" w:rsidTr="00500FFB">
        <w:trPr>
          <w:trHeight w:val="240"/>
        </w:trPr>
        <w:tc>
          <w:tcPr>
            <w:tcW w:w="5183" w:type="dxa"/>
            <w:tcBorders>
              <w:bottom w:val="single" w:sz="4" w:space="0" w:color="auto"/>
            </w:tcBorders>
            <w:shd w:val="clear" w:color="auto" w:fill="auto"/>
            <w:hideMark/>
          </w:tcPr>
          <w:p w:rsidR="00C21DAA" w:rsidRPr="000B7ED8" w:rsidRDefault="00115B35">
            <w:pPr>
              <w:spacing w:before="40" w:after="40" w:line="220" w:lineRule="exact"/>
              <w:rPr>
                <w:sz w:val="18"/>
                <w:lang w:val="es-AR"/>
              </w:rPr>
            </w:pPr>
            <w:r w:rsidRPr="000B7ED8">
              <w:rPr>
                <w:sz w:val="18"/>
                <w:lang w:val="es-AR"/>
              </w:rPr>
              <w:t>Habló alguna vez sobre la infección por VIH o SIDA con sus padres cuidadores</w:t>
            </w:r>
          </w:p>
        </w:tc>
        <w:tc>
          <w:tcPr>
            <w:tcW w:w="693" w:type="dxa"/>
            <w:tcBorders>
              <w:bottom w:val="single" w:sz="4"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54,9%</w:t>
            </w:r>
          </w:p>
        </w:tc>
        <w:tc>
          <w:tcPr>
            <w:tcW w:w="693" w:type="dxa"/>
            <w:tcBorders>
              <w:bottom w:val="single" w:sz="4"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51,9%</w:t>
            </w:r>
          </w:p>
        </w:tc>
        <w:tc>
          <w:tcPr>
            <w:tcW w:w="766" w:type="dxa"/>
            <w:tcBorders>
              <w:bottom w:val="single" w:sz="4"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57,4%</w:t>
            </w:r>
          </w:p>
        </w:tc>
      </w:tr>
    </w:tbl>
    <w:p w:rsidR="00C21DAA" w:rsidRPr="00FE07FE" w:rsidRDefault="00FE07FE" w:rsidP="00AD620F">
      <w:pPr>
        <w:pStyle w:val="SingleTxtG"/>
        <w:keepNext/>
        <w:keepLines/>
        <w:spacing w:before="240"/>
        <w:rPr>
          <w:lang w:val="es-MX" w:eastAsia="en-US"/>
        </w:rPr>
      </w:pPr>
      <w:r w:rsidRPr="00500FFB">
        <w:rPr>
          <w:lang w:val="es-MX" w:eastAsia="en-US"/>
        </w:rPr>
        <w:lastRenderedPageBreak/>
        <w:t>195.</w:t>
      </w:r>
      <w:r w:rsidRPr="00500FFB">
        <w:rPr>
          <w:lang w:val="es-MX" w:eastAsia="en-US"/>
        </w:rPr>
        <w:tab/>
      </w:r>
      <w:r w:rsidR="00115B35" w:rsidRPr="00FE07FE">
        <w:rPr>
          <w:lang w:val="es-MX" w:eastAsia="en-US"/>
        </w:rPr>
        <w:t>El Observatorio Argentino de Drogas llevó adelante en 2014 la Encuesta Nacional a Estudiantes de Enseñanza Media sobre el consumo de sustancias psicoactivas. Los datos de la misma se analizaron junto a los datos de los estudios realizados en 2009 y 2011</w:t>
      </w:r>
      <w:r w:rsidR="00115B35" w:rsidRPr="00FE07FE">
        <w:rPr>
          <w:rStyle w:val="Refdenotaalpie"/>
        </w:rPr>
        <w:footnoteReference w:id="28"/>
      </w:r>
      <w:r w:rsidR="00115B35" w:rsidRPr="00FE07FE">
        <w:rPr>
          <w:lang w:val="es-MX" w:eastAsia="en-US"/>
        </w:rPr>
        <w:t xml:space="preserve">. En sus resultados se evidencia la prevalencia del consumo de alcohol, tabaco, marihuana, psicofármacos y cocaína, entre otros: </w:t>
      </w:r>
    </w:p>
    <w:tbl>
      <w:tblPr>
        <w:tblW w:w="7371" w:type="dxa"/>
        <w:tblInd w:w="1134" w:type="dxa"/>
        <w:tblBorders>
          <w:top w:val="single" w:sz="4" w:space="0" w:color="auto"/>
        </w:tblBorders>
        <w:tblCellMar>
          <w:left w:w="0" w:type="dxa"/>
          <w:right w:w="0" w:type="dxa"/>
        </w:tblCellMar>
        <w:tblLook w:val="04A0" w:firstRow="1" w:lastRow="0" w:firstColumn="1" w:lastColumn="0" w:noHBand="0" w:noVBand="1"/>
      </w:tblPr>
      <w:tblGrid>
        <w:gridCol w:w="4659"/>
        <w:gridCol w:w="824"/>
        <w:gridCol w:w="992"/>
        <w:gridCol w:w="960"/>
      </w:tblGrid>
      <w:tr w:rsidR="001E76DE" w:rsidRPr="000B7ED8" w:rsidTr="00500FFB">
        <w:trPr>
          <w:trHeight w:val="240"/>
          <w:tblHeader/>
        </w:trPr>
        <w:tc>
          <w:tcPr>
            <w:tcW w:w="4643" w:type="dxa"/>
            <w:vMerge w:val="restart"/>
            <w:tcBorders>
              <w:top w:val="single" w:sz="4" w:space="0" w:color="auto"/>
              <w:bottom w:val="single" w:sz="12" w:space="0" w:color="auto"/>
            </w:tcBorders>
            <w:shd w:val="clear" w:color="auto" w:fill="auto"/>
            <w:noWrap/>
            <w:vAlign w:val="bottom"/>
            <w:hideMark/>
          </w:tcPr>
          <w:p w:rsidR="00C21DAA" w:rsidRPr="000B7ED8" w:rsidRDefault="00115B35">
            <w:pPr>
              <w:spacing w:before="80" w:after="80" w:line="200" w:lineRule="exact"/>
              <w:rPr>
                <w:bCs/>
                <w:i/>
                <w:sz w:val="16"/>
              </w:rPr>
            </w:pPr>
            <w:r w:rsidRPr="000B7ED8">
              <w:rPr>
                <w:bCs/>
                <w:i/>
                <w:sz w:val="16"/>
              </w:rPr>
              <w:t>Prevalencia</w:t>
            </w:r>
          </w:p>
        </w:tc>
        <w:tc>
          <w:tcPr>
            <w:tcW w:w="2728" w:type="dxa"/>
            <w:gridSpan w:val="3"/>
            <w:tcBorders>
              <w:top w:val="single" w:sz="4" w:space="0" w:color="auto"/>
              <w:bottom w:val="single" w:sz="4" w:space="0" w:color="auto"/>
            </w:tcBorders>
            <w:shd w:val="clear" w:color="auto" w:fill="auto"/>
            <w:noWrap/>
            <w:vAlign w:val="bottom"/>
            <w:hideMark/>
          </w:tcPr>
          <w:p w:rsidR="00C21DAA" w:rsidRPr="000B7ED8" w:rsidRDefault="00115B35" w:rsidP="00500FFB">
            <w:pPr>
              <w:spacing w:before="80" w:after="80" w:line="200" w:lineRule="exact"/>
              <w:ind w:left="113"/>
              <w:jc w:val="center"/>
              <w:rPr>
                <w:bCs/>
                <w:i/>
                <w:sz w:val="16"/>
              </w:rPr>
            </w:pPr>
            <w:r w:rsidRPr="000B7ED8">
              <w:rPr>
                <w:bCs/>
                <w:i/>
                <w:sz w:val="16"/>
              </w:rPr>
              <w:t>Total</w:t>
            </w:r>
          </w:p>
        </w:tc>
      </w:tr>
      <w:tr w:rsidR="001E76DE" w:rsidRPr="000B7ED8" w:rsidTr="00500FFB">
        <w:trPr>
          <w:trHeight w:val="240"/>
          <w:tblHeader/>
        </w:trPr>
        <w:tc>
          <w:tcPr>
            <w:tcW w:w="4643" w:type="dxa"/>
            <w:vMerge/>
            <w:tcBorders>
              <w:top w:val="single" w:sz="12" w:space="0" w:color="auto"/>
              <w:bottom w:val="single" w:sz="12" w:space="0" w:color="auto"/>
            </w:tcBorders>
            <w:shd w:val="clear" w:color="auto" w:fill="auto"/>
            <w:vAlign w:val="bottom"/>
            <w:hideMark/>
          </w:tcPr>
          <w:p w:rsidR="00C21DAA" w:rsidRPr="00500FFB" w:rsidRDefault="00C21DAA">
            <w:pPr>
              <w:spacing w:before="40" w:after="40" w:line="220" w:lineRule="exact"/>
              <w:rPr>
                <w:bCs/>
                <w:sz w:val="18"/>
              </w:rPr>
            </w:pPr>
          </w:p>
        </w:tc>
        <w:tc>
          <w:tcPr>
            <w:tcW w:w="808"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97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944"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r>
      <w:tr w:rsidR="001E76DE" w:rsidRPr="000B7ED8" w:rsidTr="00500FFB">
        <w:trPr>
          <w:trHeight w:val="240"/>
        </w:trPr>
        <w:tc>
          <w:tcPr>
            <w:tcW w:w="4643" w:type="dxa"/>
            <w:tcBorders>
              <w:top w:val="single" w:sz="12" w:space="0" w:color="auto"/>
            </w:tcBorders>
            <w:shd w:val="clear" w:color="auto" w:fill="auto"/>
            <w:hideMark/>
          </w:tcPr>
          <w:p w:rsidR="00C21DAA" w:rsidRPr="000B7ED8" w:rsidRDefault="00115B35">
            <w:pPr>
              <w:spacing w:before="40" w:after="40" w:line="220" w:lineRule="exact"/>
              <w:rPr>
                <w:sz w:val="18"/>
                <w:lang w:val="es-AR"/>
              </w:rPr>
            </w:pPr>
            <w:r w:rsidRPr="000B7ED8">
              <w:rPr>
                <w:sz w:val="18"/>
                <w:lang w:val="es-AR"/>
              </w:rPr>
              <w:t>¿Consumiste alcohol alguna vez en la vida?</w:t>
            </w:r>
          </w:p>
        </w:tc>
        <w:tc>
          <w:tcPr>
            <w:tcW w:w="808" w:type="dxa"/>
            <w:tcBorders>
              <w:top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71,6%</w:t>
            </w:r>
          </w:p>
        </w:tc>
        <w:tc>
          <w:tcPr>
            <w:tcW w:w="976" w:type="dxa"/>
            <w:tcBorders>
              <w:top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73,7%</w:t>
            </w:r>
          </w:p>
        </w:tc>
        <w:tc>
          <w:tcPr>
            <w:tcW w:w="944" w:type="dxa"/>
            <w:tcBorders>
              <w:top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70,5%</w:t>
            </w:r>
          </w:p>
        </w:tc>
      </w:tr>
      <w:tr w:rsidR="000B7ED8" w:rsidRPr="000B7ED8" w:rsidTr="00500FFB">
        <w:trPr>
          <w:trHeight w:val="240"/>
        </w:trPr>
        <w:tc>
          <w:tcPr>
            <w:tcW w:w="4643" w:type="dxa"/>
            <w:shd w:val="clear" w:color="auto" w:fill="auto"/>
            <w:hideMark/>
          </w:tcPr>
          <w:p w:rsidR="00C21DAA" w:rsidRPr="000B7ED8" w:rsidRDefault="00115B35">
            <w:pPr>
              <w:spacing w:before="40" w:after="40" w:line="220" w:lineRule="exact"/>
              <w:rPr>
                <w:sz w:val="18"/>
                <w:lang w:val="es-AR"/>
              </w:rPr>
            </w:pPr>
            <w:r w:rsidRPr="000B7ED8">
              <w:rPr>
                <w:sz w:val="18"/>
                <w:lang w:val="es-AR"/>
              </w:rPr>
              <w:t>¿Consumiste alcohol al menos una vez en el último año?</w:t>
            </w:r>
          </w:p>
        </w:tc>
        <w:tc>
          <w:tcPr>
            <w:tcW w:w="808"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60,3%</w:t>
            </w:r>
          </w:p>
        </w:tc>
        <w:tc>
          <w:tcPr>
            <w:tcW w:w="976"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63,3%</w:t>
            </w:r>
          </w:p>
        </w:tc>
        <w:tc>
          <w:tcPr>
            <w:tcW w:w="944" w:type="dxa"/>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62,2%</w:t>
            </w:r>
          </w:p>
        </w:tc>
      </w:tr>
      <w:tr w:rsidR="001E76DE" w:rsidRPr="000B7ED8" w:rsidTr="00500FFB">
        <w:trPr>
          <w:trHeight w:val="240"/>
        </w:trPr>
        <w:tc>
          <w:tcPr>
            <w:tcW w:w="4643" w:type="dxa"/>
            <w:tcBorders>
              <w:bottom w:val="single" w:sz="12" w:space="0" w:color="auto"/>
            </w:tcBorders>
            <w:shd w:val="clear" w:color="auto" w:fill="auto"/>
            <w:hideMark/>
          </w:tcPr>
          <w:p w:rsidR="00C21DAA" w:rsidRPr="000B7ED8" w:rsidRDefault="00115B35">
            <w:pPr>
              <w:spacing w:before="40" w:after="40" w:line="220" w:lineRule="exact"/>
              <w:rPr>
                <w:sz w:val="18"/>
                <w:lang w:val="es-AR"/>
              </w:rPr>
            </w:pPr>
            <w:r w:rsidRPr="000B7ED8">
              <w:rPr>
                <w:sz w:val="18"/>
                <w:lang w:val="es-AR"/>
              </w:rPr>
              <w:t>¿Consumiste alcohol al menos una vez en el último mes?</w:t>
            </w:r>
          </w:p>
        </w:tc>
        <w:tc>
          <w:tcPr>
            <w:tcW w:w="808" w:type="dxa"/>
            <w:tcBorders>
              <w:bottom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46,7%</w:t>
            </w:r>
          </w:p>
        </w:tc>
        <w:tc>
          <w:tcPr>
            <w:tcW w:w="976" w:type="dxa"/>
            <w:tcBorders>
              <w:bottom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49,7%</w:t>
            </w:r>
          </w:p>
        </w:tc>
        <w:tc>
          <w:tcPr>
            <w:tcW w:w="944" w:type="dxa"/>
            <w:tcBorders>
              <w:bottom w:val="single" w:sz="12" w:space="0" w:color="auto"/>
            </w:tcBorders>
            <w:shd w:val="clear" w:color="auto" w:fill="auto"/>
            <w:noWrap/>
            <w:vAlign w:val="bottom"/>
            <w:hideMark/>
          </w:tcPr>
          <w:p w:rsidR="00C21DAA" w:rsidRPr="000B7ED8" w:rsidRDefault="00115B35" w:rsidP="00500FFB">
            <w:pPr>
              <w:spacing w:before="40" w:after="40" w:line="220" w:lineRule="exact"/>
              <w:ind w:left="113"/>
              <w:jc w:val="right"/>
              <w:rPr>
                <w:sz w:val="18"/>
              </w:rPr>
            </w:pPr>
            <w:r w:rsidRPr="000B7ED8">
              <w:rPr>
                <w:sz w:val="18"/>
              </w:rPr>
              <w:t>50,1%</w:t>
            </w:r>
          </w:p>
        </w:tc>
      </w:tr>
    </w:tbl>
    <w:p w:rsidR="00C21DAA" w:rsidRPr="00FE07FE" w:rsidRDefault="00C21DAA">
      <w:pPr>
        <w:ind w:left="-993"/>
        <w:rPr>
          <w:lang w:val="es-AR"/>
        </w:rPr>
      </w:pP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496"/>
        <w:gridCol w:w="653"/>
        <w:gridCol w:w="650"/>
        <w:gridCol w:w="653"/>
        <w:gridCol w:w="656"/>
        <w:gridCol w:w="650"/>
        <w:gridCol w:w="653"/>
        <w:gridCol w:w="653"/>
        <w:gridCol w:w="650"/>
        <w:gridCol w:w="650"/>
      </w:tblGrid>
      <w:tr w:rsidR="001E76DE" w:rsidRPr="001E76DE" w:rsidTr="00500FFB">
        <w:trPr>
          <w:trHeight w:val="240"/>
          <w:tblHeader/>
        </w:trPr>
        <w:tc>
          <w:tcPr>
            <w:tcW w:w="2858" w:type="dxa"/>
            <w:vMerge w:val="restart"/>
            <w:tcBorders>
              <w:top w:val="single" w:sz="4" w:space="0" w:color="auto"/>
              <w:bottom w:val="single" w:sz="12" w:space="0" w:color="auto"/>
            </w:tcBorders>
            <w:shd w:val="clear" w:color="auto" w:fill="auto"/>
            <w:noWrap/>
            <w:vAlign w:val="bottom"/>
            <w:hideMark/>
          </w:tcPr>
          <w:p w:rsidR="00C21DAA" w:rsidRPr="001E76DE" w:rsidRDefault="00115B35">
            <w:pPr>
              <w:spacing w:before="80" w:after="80" w:line="200" w:lineRule="exact"/>
              <w:rPr>
                <w:bCs/>
                <w:i/>
                <w:sz w:val="16"/>
              </w:rPr>
            </w:pPr>
            <w:r w:rsidRPr="001E76DE">
              <w:rPr>
                <w:bCs/>
                <w:i/>
                <w:sz w:val="16"/>
              </w:rPr>
              <w:t>Prevalencia</w:t>
            </w:r>
          </w:p>
        </w:tc>
        <w:tc>
          <w:tcPr>
            <w:tcW w:w="2198" w:type="dxa"/>
            <w:gridSpan w:val="3"/>
            <w:tcBorders>
              <w:top w:val="single" w:sz="4" w:space="0" w:color="auto"/>
              <w:bottom w:val="single" w:sz="4" w:space="0" w:color="auto"/>
              <w:right w:val="single" w:sz="18" w:space="0" w:color="FFFFFF" w:themeColor="background1"/>
            </w:tcBorders>
            <w:shd w:val="clear" w:color="auto" w:fill="auto"/>
            <w:noWrap/>
            <w:vAlign w:val="bottom"/>
            <w:hideMark/>
          </w:tcPr>
          <w:p w:rsidR="00C21DAA" w:rsidRPr="001E76DE" w:rsidRDefault="00115B35" w:rsidP="00500FFB">
            <w:pPr>
              <w:spacing w:before="80" w:after="80" w:line="200" w:lineRule="exact"/>
              <w:ind w:left="113"/>
              <w:jc w:val="center"/>
              <w:rPr>
                <w:bCs/>
                <w:i/>
                <w:sz w:val="16"/>
              </w:rPr>
            </w:pPr>
            <w:r w:rsidRPr="001E76DE">
              <w:rPr>
                <w:bCs/>
                <w:i/>
                <w:sz w:val="16"/>
              </w:rPr>
              <w:t>14 años o menos</w:t>
            </w:r>
          </w:p>
        </w:tc>
        <w:tc>
          <w:tcPr>
            <w:tcW w:w="2199" w:type="dxa"/>
            <w:gridSpan w:val="3"/>
            <w:tcBorders>
              <w:top w:val="single" w:sz="4" w:space="0" w:color="auto"/>
              <w:left w:val="single" w:sz="18" w:space="0" w:color="FFFFFF" w:themeColor="background1"/>
              <w:bottom w:val="single" w:sz="4" w:space="0" w:color="auto"/>
              <w:right w:val="single" w:sz="18" w:space="0" w:color="FFFFFF" w:themeColor="background1"/>
            </w:tcBorders>
            <w:shd w:val="clear" w:color="auto" w:fill="auto"/>
            <w:noWrap/>
            <w:vAlign w:val="bottom"/>
            <w:hideMark/>
          </w:tcPr>
          <w:p w:rsidR="00C21DAA" w:rsidRPr="001E76DE" w:rsidRDefault="00115B35" w:rsidP="00500FFB">
            <w:pPr>
              <w:spacing w:before="80" w:after="80" w:line="200" w:lineRule="exact"/>
              <w:ind w:left="113"/>
              <w:jc w:val="center"/>
              <w:rPr>
                <w:bCs/>
                <w:i/>
                <w:sz w:val="16"/>
              </w:rPr>
            </w:pPr>
            <w:r w:rsidRPr="001E76DE">
              <w:rPr>
                <w:bCs/>
                <w:i/>
                <w:sz w:val="16"/>
              </w:rPr>
              <w:t>15 y 16 años</w:t>
            </w:r>
          </w:p>
        </w:tc>
        <w:tc>
          <w:tcPr>
            <w:tcW w:w="2199" w:type="dxa"/>
            <w:gridSpan w:val="3"/>
            <w:tcBorders>
              <w:top w:val="single" w:sz="4" w:space="0" w:color="auto"/>
              <w:left w:val="single" w:sz="18" w:space="0" w:color="FFFFFF" w:themeColor="background1"/>
              <w:bottom w:val="single" w:sz="4" w:space="0" w:color="auto"/>
            </w:tcBorders>
            <w:shd w:val="clear" w:color="auto" w:fill="auto"/>
            <w:noWrap/>
            <w:vAlign w:val="bottom"/>
            <w:hideMark/>
          </w:tcPr>
          <w:p w:rsidR="00C21DAA" w:rsidRPr="001E76DE" w:rsidRDefault="00115B35" w:rsidP="00500FFB">
            <w:pPr>
              <w:spacing w:before="80" w:after="80" w:line="200" w:lineRule="exact"/>
              <w:ind w:left="113"/>
              <w:jc w:val="center"/>
              <w:rPr>
                <w:bCs/>
                <w:i/>
                <w:sz w:val="16"/>
              </w:rPr>
            </w:pPr>
            <w:r w:rsidRPr="001E76DE">
              <w:rPr>
                <w:bCs/>
                <w:i/>
                <w:sz w:val="16"/>
              </w:rPr>
              <w:t>17 años y más</w:t>
            </w:r>
          </w:p>
        </w:tc>
      </w:tr>
      <w:tr w:rsidR="001E76DE" w:rsidRPr="001E76DE" w:rsidTr="001E76DE">
        <w:trPr>
          <w:trHeight w:val="240"/>
          <w:tblHeader/>
        </w:trPr>
        <w:tc>
          <w:tcPr>
            <w:tcW w:w="2858" w:type="dxa"/>
            <w:vMerge/>
            <w:tcBorders>
              <w:top w:val="single" w:sz="12" w:space="0" w:color="auto"/>
              <w:bottom w:val="single" w:sz="12" w:space="0" w:color="auto"/>
            </w:tcBorders>
            <w:shd w:val="clear" w:color="auto" w:fill="auto"/>
            <w:vAlign w:val="bottom"/>
            <w:hideMark/>
          </w:tcPr>
          <w:p w:rsidR="00C21DAA" w:rsidRPr="00500FFB" w:rsidRDefault="00C21DAA">
            <w:pPr>
              <w:spacing w:before="40" w:after="40" w:line="220" w:lineRule="exact"/>
              <w:rPr>
                <w:bCs/>
                <w:sz w:val="18"/>
              </w:rPr>
            </w:pPr>
          </w:p>
        </w:tc>
        <w:tc>
          <w:tcPr>
            <w:tcW w:w="732"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733"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733"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c>
          <w:tcPr>
            <w:tcW w:w="733"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733"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733"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c>
          <w:tcPr>
            <w:tcW w:w="733"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733"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733"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r>
      <w:tr w:rsidR="001E76DE" w:rsidRPr="001E76DE" w:rsidTr="00500FFB">
        <w:trPr>
          <w:trHeight w:val="240"/>
        </w:trPr>
        <w:tc>
          <w:tcPr>
            <w:tcW w:w="2858" w:type="dxa"/>
            <w:tcBorders>
              <w:top w:val="single" w:sz="12" w:space="0" w:color="auto"/>
            </w:tcBorders>
            <w:shd w:val="clear" w:color="auto" w:fill="auto"/>
            <w:hideMark/>
          </w:tcPr>
          <w:p w:rsidR="00C21DAA" w:rsidRPr="001E76DE" w:rsidRDefault="00115B35">
            <w:pPr>
              <w:spacing w:before="40" w:after="40" w:line="220" w:lineRule="exact"/>
              <w:rPr>
                <w:sz w:val="18"/>
                <w:lang w:val="es-AR"/>
              </w:rPr>
            </w:pPr>
            <w:r w:rsidRPr="001E76DE">
              <w:rPr>
                <w:sz w:val="18"/>
                <w:lang w:val="es-AR"/>
              </w:rPr>
              <w:t>¿Consumiste alcohol alguna vez en la vida?</w:t>
            </w:r>
          </w:p>
        </w:tc>
        <w:tc>
          <w:tcPr>
            <w:tcW w:w="732"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52,6%</w:t>
            </w:r>
          </w:p>
        </w:tc>
        <w:tc>
          <w:tcPr>
            <w:tcW w:w="733"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53,4%</w:t>
            </w:r>
          </w:p>
        </w:tc>
        <w:tc>
          <w:tcPr>
            <w:tcW w:w="733"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50,7%</w:t>
            </w:r>
          </w:p>
        </w:tc>
        <w:tc>
          <w:tcPr>
            <w:tcW w:w="733"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79,6%</w:t>
            </w:r>
          </w:p>
        </w:tc>
        <w:tc>
          <w:tcPr>
            <w:tcW w:w="733"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81,5%</w:t>
            </w:r>
          </w:p>
        </w:tc>
        <w:tc>
          <w:tcPr>
            <w:tcW w:w="733"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79,8%</w:t>
            </w:r>
          </w:p>
        </w:tc>
        <w:tc>
          <w:tcPr>
            <w:tcW w:w="733"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88,5%</w:t>
            </w:r>
          </w:p>
        </w:tc>
        <w:tc>
          <w:tcPr>
            <w:tcW w:w="733"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90,1%</w:t>
            </w:r>
          </w:p>
        </w:tc>
        <w:tc>
          <w:tcPr>
            <w:tcW w:w="733"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88,7%</w:t>
            </w:r>
          </w:p>
        </w:tc>
      </w:tr>
      <w:tr w:rsidR="001E76DE" w:rsidRPr="001E76DE" w:rsidTr="00500FFB">
        <w:trPr>
          <w:trHeight w:val="240"/>
        </w:trPr>
        <w:tc>
          <w:tcPr>
            <w:tcW w:w="2858" w:type="dxa"/>
            <w:shd w:val="clear" w:color="auto" w:fill="auto"/>
            <w:hideMark/>
          </w:tcPr>
          <w:p w:rsidR="00C21DAA" w:rsidRPr="001E76DE" w:rsidRDefault="00115B35">
            <w:pPr>
              <w:spacing w:before="40" w:after="40" w:line="220" w:lineRule="exact"/>
              <w:rPr>
                <w:sz w:val="18"/>
                <w:lang w:val="es-AR"/>
              </w:rPr>
            </w:pPr>
            <w:r w:rsidRPr="001E76DE">
              <w:rPr>
                <w:sz w:val="18"/>
                <w:lang w:val="es-AR"/>
              </w:rPr>
              <w:t>¿Consumiste alcohol al menos una vez en el último año?</w:t>
            </w:r>
          </w:p>
        </w:tc>
        <w:tc>
          <w:tcPr>
            <w:tcW w:w="732"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39,1%</w:t>
            </w:r>
          </w:p>
        </w:tc>
        <w:tc>
          <w:tcPr>
            <w:tcW w:w="733"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39,6%</w:t>
            </w:r>
          </w:p>
        </w:tc>
        <w:tc>
          <w:tcPr>
            <w:tcW w:w="733"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42,0%</w:t>
            </w:r>
          </w:p>
        </w:tc>
        <w:tc>
          <w:tcPr>
            <w:tcW w:w="733"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68,9%</w:t>
            </w:r>
          </w:p>
        </w:tc>
        <w:tc>
          <w:tcPr>
            <w:tcW w:w="733"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72,4%</w:t>
            </w:r>
          </w:p>
        </w:tc>
        <w:tc>
          <w:tcPr>
            <w:tcW w:w="733"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71,7%</w:t>
            </w:r>
          </w:p>
        </w:tc>
        <w:tc>
          <w:tcPr>
            <w:tcW w:w="733"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79,3%</w:t>
            </w:r>
          </w:p>
        </w:tc>
        <w:tc>
          <w:tcPr>
            <w:tcW w:w="733"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82,8%</w:t>
            </w:r>
          </w:p>
        </w:tc>
        <w:tc>
          <w:tcPr>
            <w:tcW w:w="733"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80,7%</w:t>
            </w:r>
          </w:p>
        </w:tc>
      </w:tr>
      <w:tr w:rsidR="001E76DE" w:rsidRPr="001E76DE" w:rsidTr="00500FFB">
        <w:trPr>
          <w:trHeight w:val="240"/>
        </w:trPr>
        <w:tc>
          <w:tcPr>
            <w:tcW w:w="2858" w:type="dxa"/>
            <w:tcBorders>
              <w:bottom w:val="single" w:sz="12" w:space="0" w:color="auto"/>
            </w:tcBorders>
            <w:shd w:val="clear" w:color="auto" w:fill="auto"/>
            <w:hideMark/>
          </w:tcPr>
          <w:p w:rsidR="00C21DAA" w:rsidRPr="001E76DE" w:rsidRDefault="00115B35">
            <w:pPr>
              <w:spacing w:before="40" w:after="40" w:line="220" w:lineRule="exact"/>
              <w:rPr>
                <w:sz w:val="18"/>
                <w:lang w:val="es-AR"/>
              </w:rPr>
            </w:pPr>
            <w:r w:rsidRPr="001E76DE">
              <w:rPr>
                <w:sz w:val="18"/>
                <w:lang w:val="es-AR"/>
              </w:rPr>
              <w:t>¿Consumiste alcohol al menos una vez en el último mes?</w:t>
            </w:r>
          </w:p>
        </w:tc>
        <w:tc>
          <w:tcPr>
            <w:tcW w:w="732"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25,4%</w:t>
            </w:r>
          </w:p>
        </w:tc>
        <w:tc>
          <w:tcPr>
            <w:tcW w:w="733"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26,7%</w:t>
            </w:r>
          </w:p>
        </w:tc>
        <w:tc>
          <w:tcPr>
            <w:tcW w:w="733"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32,2%</w:t>
            </w:r>
          </w:p>
        </w:tc>
        <w:tc>
          <w:tcPr>
            <w:tcW w:w="733"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54,2%</w:t>
            </w:r>
          </w:p>
        </w:tc>
        <w:tc>
          <w:tcPr>
            <w:tcW w:w="733"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57,1%</w:t>
            </w:r>
          </w:p>
        </w:tc>
        <w:tc>
          <w:tcPr>
            <w:tcW w:w="733"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57,8%</w:t>
            </w:r>
          </w:p>
        </w:tc>
        <w:tc>
          <w:tcPr>
            <w:tcW w:w="733"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66,4%</w:t>
            </w:r>
          </w:p>
        </w:tc>
        <w:tc>
          <w:tcPr>
            <w:tcW w:w="733"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70,0%</w:t>
            </w:r>
          </w:p>
        </w:tc>
        <w:tc>
          <w:tcPr>
            <w:tcW w:w="733"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67,3%</w:t>
            </w:r>
          </w:p>
        </w:tc>
      </w:tr>
    </w:tbl>
    <w:p w:rsidR="00C21DAA" w:rsidRPr="00FE07FE" w:rsidRDefault="00C21DAA">
      <w:pPr>
        <w:ind w:left="-993"/>
        <w:rPr>
          <w:lang w:val="es-AR"/>
        </w:rPr>
      </w:pP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4278"/>
        <w:gridCol w:w="1052"/>
        <w:gridCol w:w="1052"/>
        <w:gridCol w:w="1052"/>
      </w:tblGrid>
      <w:tr w:rsidR="001E76DE" w:rsidRPr="001E76DE" w:rsidTr="00500FFB">
        <w:trPr>
          <w:trHeight w:val="240"/>
          <w:tblHeader/>
        </w:trPr>
        <w:tc>
          <w:tcPr>
            <w:tcW w:w="4262" w:type="dxa"/>
            <w:vMerge w:val="restart"/>
            <w:tcBorders>
              <w:top w:val="single" w:sz="4" w:space="0" w:color="auto"/>
              <w:bottom w:val="single" w:sz="12" w:space="0" w:color="auto"/>
            </w:tcBorders>
            <w:shd w:val="clear" w:color="auto" w:fill="auto"/>
            <w:noWrap/>
            <w:vAlign w:val="bottom"/>
            <w:hideMark/>
          </w:tcPr>
          <w:p w:rsidR="00C21DAA" w:rsidRPr="001E76DE" w:rsidRDefault="00115B35">
            <w:pPr>
              <w:spacing w:before="80" w:after="80" w:line="200" w:lineRule="exact"/>
              <w:rPr>
                <w:bCs/>
                <w:i/>
                <w:sz w:val="16"/>
              </w:rPr>
            </w:pPr>
            <w:r w:rsidRPr="001E76DE">
              <w:rPr>
                <w:bCs/>
                <w:i/>
                <w:sz w:val="16"/>
              </w:rPr>
              <w:t>Prevalencia</w:t>
            </w:r>
          </w:p>
        </w:tc>
        <w:tc>
          <w:tcPr>
            <w:tcW w:w="3108" w:type="dxa"/>
            <w:gridSpan w:val="3"/>
            <w:tcBorders>
              <w:top w:val="single" w:sz="4" w:space="0" w:color="auto"/>
              <w:bottom w:val="single" w:sz="4" w:space="0" w:color="auto"/>
            </w:tcBorders>
            <w:shd w:val="clear" w:color="auto" w:fill="auto"/>
            <w:noWrap/>
            <w:vAlign w:val="bottom"/>
            <w:hideMark/>
          </w:tcPr>
          <w:p w:rsidR="00C21DAA" w:rsidRPr="001E76DE" w:rsidRDefault="00115B35" w:rsidP="00500FFB">
            <w:pPr>
              <w:spacing w:before="80" w:after="80" w:line="200" w:lineRule="exact"/>
              <w:ind w:left="113"/>
              <w:jc w:val="center"/>
              <w:rPr>
                <w:bCs/>
                <w:i/>
                <w:sz w:val="16"/>
              </w:rPr>
            </w:pPr>
            <w:r w:rsidRPr="001E76DE">
              <w:rPr>
                <w:bCs/>
                <w:i/>
                <w:sz w:val="16"/>
              </w:rPr>
              <w:t>Total</w:t>
            </w:r>
          </w:p>
        </w:tc>
      </w:tr>
      <w:tr w:rsidR="001E76DE" w:rsidRPr="001E76DE" w:rsidTr="00500FFB">
        <w:trPr>
          <w:trHeight w:val="240"/>
          <w:tblHeader/>
        </w:trPr>
        <w:tc>
          <w:tcPr>
            <w:tcW w:w="4262" w:type="dxa"/>
            <w:vMerge/>
            <w:tcBorders>
              <w:top w:val="single" w:sz="12" w:space="0" w:color="auto"/>
              <w:bottom w:val="single" w:sz="12" w:space="0" w:color="auto"/>
            </w:tcBorders>
            <w:shd w:val="clear" w:color="auto" w:fill="auto"/>
            <w:vAlign w:val="bottom"/>
            <w:hideMark/>
          </w:tcPr>
          <w:p w:rsidR="00C21DAA" w:rsidRPr="00500FFB" w:rsidRDefault="00C21DAA">
            <w:pPr>
              <w:spacing w:before="40" w:after="40" w:line="220" w:lineRule="exact"/>
              <w:rPr>
                <w:bCs/>
                <w:sz w:val="18"/>
              </w:rPr>
            </w:pPr>
          </w:p>
        </w:tc>
        <w:tc>
          <w:tcPr>
            <w:tcW w:w="103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103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103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r>
      <w:tr w:rsidR="001E76DE" w:rsidRPr="001E76DE" w:rsidTr="00500FFB">
        <w:trPr>
          <w:trHeight w:val="240"/>
        </w:trPr>
        <w:tc>
          <w:tcPr>
            <w:tcW w:w="4262" w:type="dxa"/>
            <w:tcBorders>
              <w:top w:val="single" w:sz="12" w:space="0" w:color="auto"/>
            </w:tcBorders>
            <w:shd w:val="clear" w:color="auto" w:fill="auto"/>
            <w:hideMark/>
          </w:tcPr>
          <w:p w:rsidR="00C21DAA" w:rsidRPr="001E76DE" w:rsidRDefault="00115B35">
            <w:pPr>
              <w:spacing w:before="40" w:after="40" w:line="220" w:lineRule="exact"/>
              <w:rPr>
                <w:sz w:val="18"/>
                <w:lang w:val="es-AR"/>
              </w:rPr>
            </w:pPr>
            <w:r w:rsidRPr="001E76DE">
              <w:rPr>
                <w:sz w:val="18"/>
                <w:lang w:val="es-AR"/>
              </w:rPr>
              <w:t>¿Consumiste tabaco alguna vez en la vida?</w:t>
            </w:r>
          </w:p>
        </w:tc>
        <w:tc>
          <w:tcPr>
            <w:tcW w:w="1036"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44,0%</w:t>
            </w:r>
          </w:p>
        </w:tc>
        <w:tc>
          <w:tcPr>
            <w:tcW w:w="1036"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41,0%</w:t>
            </w:r>
          </w:p>
        </w:tc>
        <w:tc>
          <w:tcPr>
            <w:tcW w:w="1036"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35,8%</w:t>
            </w:r>
          </w:p>
        </w:tc>
      </w:tr>
      <w:tr w:rsidR="001E76DE" w:rsidRPr="001E76DE" w:rsidTr="00500FFB">
        <w:trPr>
          <w:trHeight w:val="240"/>
        </w:trPr>
        <w:tc>
          <w:tcPr>
            <w:tcW w:w="4262" w:type="dxa"/>
            <w:shd w:val="clear" w:color="auto" w:fill="auto"/>
            <w:hideMark/>
          </w:tcPr>
          <w:p w:rsidR="00C21DAA" w:rsidRPr="001E76DE" w:rsidRDefault="00115B35">
            <w:pPr>
              <w:spacing w:before="40" w:after="40" w:line="220" w:lineRule="exact"/>
              <w:rPr>
                <w:sz w:val="18"/>
                <w:lang w:val="es-AR"/>
              </w:rPr>
            </w:pPr>
            <w:r w:rsidRPr="001E76DE">
              <w:rPr>
                <w:sz w:val="18"/>
                <w:lang w:val="es-AR"/>
              </w:rPr>
              <w:t>¿Consumiste tabaco al menos una vez en el último año?</w:t>
            </w:r>
          </w:p>
        </w:tc>
        <w:tc>
          <w:tcPr>
            <w:tcW w:w="1036"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28,2%</w:t>
            </w:r>
          </w:p>
        </w:tc>
        <w:tc>
          <w:tcPr>
            <w:tcW w:w="1036"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26,5%</w:t>
            </w:r>
          </w:p>
        </w:tc>
        <w:tc>
          <w:tcPr>
            <w:tcW w:w="1036"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22,5%</w:t>
            </w:r>
          </w:p>
        </w:tc>
      </w:tr>
      <w:tr w:rsidR="001E76DE" w:rsidRPr="001E76DE" w:rsidTr="00500FFB">
        <w:trPr>
          <w:trHeight w:val="240"/>
        </w:trPr>
        <w:tc>
          <w:tcPr>
            <w:tcW w:w="4262" w:type="dxa"/>
            <w:tcBorders>
              <w:bottom w:val="single" w:sz="12" w:space="0" w:color="auto"/>
            </w:tcBorders>
            <w:shd w:val="clear" w:color="auto" w:fill="auto"/>
            <w:hideMark/>
          </w:tcPr>
          <w:p w:rsidR="00C21DAA" w:rsidRPr="001E76DE" w:rsidRDefault="00115B35">
            <w:pPr>
              <w:spacing w:before="40" w:after="40" w:line="220" w:lineRule="exact"/>
              <w:rPr>
                <w:sz w:val="18"/>
                <w:lang w:val="es-AR"/>
              </w:rPr>
            </w:pPr>
            <w:r w:rsidRPr="001E76DE">
              <w:rPr>
                <w:sz w:val="18"/>
                <w:lang w:val="es-AR"/>
              </w:rPr>
              <w:t>¿Consumiste tabaco al menos una vez en el último mes?</w:t>
            </w:r>
          </w:p>
        </w:tc>
        <w:tc>
          <w:tcPr>
            <w:tcW w:w="1036"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19,7%</w:t>
            </w:r>
          </w:p>
        </w:tc>
        <w:tc>
          <w:tcPr>
            <w:tcW w:w="1036"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18,7%</w:t>
            </w:r>
          </w:p>
        </w:tc>
        <w:tc>
          <w:tcPr>
            <w:tcW w:w="1036"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15,1%</w:t>
            </w:r>
          </w:p>
        </w:tc>
      </w:tr>
    </w:tbl>
    <w:p w:rsidR="00C21DAA" w:rsidRPr="00FE07FE" w:rsidRDefault="00C21DAA">
      <w:pPr>
        <w:ind w:left="-993"/>
        <w:rPr>
          <w:lang w:val="es-AR"/>
        </w:rPr>
      </w:pPr>
    </w:p>
    <w:tbl>
      <w:tblPr>
        <w:tblW w:w="7447" w:type="dxa"/>
        <w:tblInd w:w="1134" w:type="dxa"/>
        <w:tblLayout w:type="fixed"/>
        <w:tblCellMar>
          <w:left w:w="0" w:type="dxa"/>
          <w:right w:w="0" w:type="dxa"/>
        </w:tblCellMar>
        <w:tblLook w:val="04A0" w:firstRow="1" w:lastRow="0" w:firstColumn="1" w:lastColumn="0" w:noHBand="0" w:noVBand="1"/>
      </w:tblPr>
      <w:tblGrid>
        <w:gridCol w:w="2269"/>
        <w:gridCol w:w="566"/>
        <w:gridCol w:w="566"/>
        <w:gridCol w:w="567"/>
        <w:gridCol w:w="567"/>
        <w:gridCol w:w="567"/>
        <w:gridCol w:w="567"/>
        <w:gridCol w:w="567"/>
        <w:gridCol w:w="567"/>
        <w:gridCol w:w="644"/>
      </w:tblGrid>
      <w:tr w:rsidR="00C21DAA" w:rsidRPr="00FE07FE" w:rsidTr="00500FFB">
        <w:trPr>
          <w:tblHeader/>
        </w:trPr>
        <w:tc>
          <w:tcPr>
            <w:tcW w:w="2269" w:type="dxa"/>
            <w:vMerge w:val="restart"/>
            <w:tcBorders>
              <w:top w:val="single" w:sz="4" w:space="0" w:color="auto"/>
              <w:bottom w:val="single" w:sz="12" w:space="0" w:color="auto"/>
            </w:tcBorders>
            <w:shd w:val="clear" w:color="auto" w:fill="auto"/>
            <w:noWrap/>
            <w:vAlign w:val="bottom"/>
            <w:hideMark/>
          </w:tcPr>
          <w:p w:rsidR="00C21DAA" w:rsidRPr="00FE07FE" w:rsidRDefault="00115B35">
            <w:pPr>
              <w:spacing w:before="80" w:after="80" w:line="200" w:lineRule="exact"/>
              <w:rPr>
                <w:bCs/>
                <w:i/>
                <w:sz w:val="16"/>
              </w:rPr>
            </w:pPr>
            <w:r w:rsidRPr="00FE07FE">
              <w:rPr>
                <w:bCs/>
                <w:i/>
                <w:sz w:val="16"/>
              </w:rPr>
              <w:t>Prevalencia</w:t>
            </w:r>
          </w:p>
        </w:tc>
        <w:tc>
          <w:tcPr>
            <w:tcW w:w="1699" w:type="dxa"/>
            <w:gridSpan w:val="3"/>
            <w:tcBorders>
              <w:top w:val="single" w:sz="4" w:space="0" w:color="auto"/>
              <w:bottom w:val="single" w:sz="4" w:space="0" w:color="auto"/>
              <w:right w:val="single" w:sz="18" w:space="0" w:color="FFFFFF" w:themeColor="background1"/>
            </w:tcBorders>
            <w:shd w:val="clear" w:color="auto" w:fill="auto"/>
            <w:noWrap/>
            <w:vAlign w:val="bottom"/>
            <w:hideMark/>
          </w:tcPr>
          <w:p w:rsidR="00C21DAA" w:rsidRPr="00FE07FE" w:rsidRDefault="00115B35" w:rsidP="00500FFB">
            <w:pPr>
              <w:spacing w:before="80" w:after="80" w:line="200" w:lineRule="exact"/>
              <w:jc w:val="center"/>
              <w:rPr>
                <w:bCs/>
                <w:i/>
                <w:sz w:val="16"/>
              </w:rPr>
            </w:pPr>
            <w:r w:rsidRPr="00FE07FE">
              <w:rPr>
                <w:bCs/>
                <w:i/>
                <w:sz w:val="16"/>
              </w:rPr>
              <w:t>14 años o menos</w:t>
            </w:r>
          </w:p>
        </w:tc>
        <w:tc>
          <w:tcPr>
            <w:tcW w:w="1701" w:type="dxa"/>
            <w:gridSpan w:val="3"/>
            <w:tcBorders>
              <w:top w:val="single" w:sz="4" w:space="0" w:color="auto"/>
              <w:left w:val="single" w:sz="18" w:space="0" w:color="FFFFFF" w:themeColor="background1"/>
              <w:bottom w:val="single" w:sz="4" w:space="0" w:color="auto"/>
              <w:right w:val="single" w:sz="18" w:space="0" w:color="FFFFFF" w:themeColor="background1"/>
            </w:tcBorders>
            <w:shd w:val="clear" w:color="auto" w:fill="auto"/>
            <w:noWrap/>
            <w:vAlign w:val="bottom"/>
            <w:hideMark/>
          </w:tcPr>
          <w:p w:rsidR="00C21DAA" w:rsidRPr="00FE07FE" w:rsidRDefault="00115B35" w:rsidP="00500FFB">
            <w:pPr>
              <w:spacing w:before="80" w:after="80" w:line="200" w:lineRule="exact"/>
              <w:jc w:val="center"/>
              <w:rPr>
                <w:bCs/>
                <w:i/>
                <w:sz w:val="16"/>
              </w:rPr>
            </w:pPr>
            <w:r w:rsidRPr="00FE07FE">
              <w:rPr>
                <w:bCs/>
                <w:i/>
                <w:sz w:val="16"/>
              </w:rPr>
              <w:t>15 y 16 años</w:t>
            </w:r>
          </w:p>
        </w:tc>
        <w:tc>
          <w:tcPr>
            <w:tcW w:w="1778" w:type="dxa"/>
            <w:gridSpan w:val="3"/>
            <w:tcBorders>
              <w:top w:val="single" w:sz="4" w:space="0" w:color="auto"/>
              <w:left w:val="single" w:sz="18" w:space="0" w:color="FFFFFF" w:themeColor="background1"/>
              <w:bottom w:val="single" w:sz="4" w:space="0" w:color="auto"/>
            </w:tcBorders>
            <w:shd w:val="clear" w:color="auto" w:fill="auto"/>
            <w:noWrap/>
            <w:vAlign w:val="bottom"/>
            <w:hideMark/>
          </w:tcPr>
          <w:p w:rsidR="00C21DAA" w:rsidRPr="00FE07FE" w:rsidRDefault="00115B35" w:rsidP="00500FFB">
            <w:pPr>
              <w:spacing w:before="80" w:after="80" w:line="200" w:lineRule="exact"/>
              <w:jc w:val="center"/>
              <w:rPr>
                <w:bCs/>
                <w:i/>
                <w:sz w:val="16"/>
              </w:rPr>
            </w:pPr>
            <w:r w:rsidRPr="00FE07FE">
              <w:rPr>
                <w:bCs/>
                <w:i/>
                <w:sz w:val="16"/>
              </w:rPr>
              <w:t>17 años y más</w:t>
            </w:r>
          </w:p>
        </w:tc>
      </w:tr>
      <w:tr w:rsidR="00C21DAA" w:rsidRPr="00FE07FE" w:rsidTr="00500FFB">
        <w:trPr>
          <w:tblHeader/>
        </w:trPr>
        <w:tc>
          <w:tcPr>
            <w:tcW w:w="2269" w:type="dxa"/>
            <w:vMerge/>
            <w:tcBorders>
              <w:top w:val="single" w:sz="12" w:space="0" w:color="auto"/>
              <w:bottom w:val="single" w:sz="12" w:space="0" w:color="auto"/>
            </w:tcBorders>
            <w:shd w:val="clear" w:color="auto" w:fill="auto"/>
            <w:vAlign w:val="bottom"/>
            <w:hideMark/>
          </w:tcPr>
          <w:p w:rsidR="00C21DAA" w:rsidRPr="00FE07FE" w:rsidRDefault="00C21DAA">
            <w:pPr>
              <w:spacing w:before="40" w:after="40" w:line="220" w:lineRule="exact"/>
              <w:rPr>
                <w:b/>
                <w:bCs/>
                <w:sz w:val="18"/>
              </w:rPr>
            </w:pPr>
          </w:p>
        </w:tc>
        <w:tc>
          <w:tcPr>
            <w:tcW w:w="56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56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567"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c>
          <w:tcPr>
            <w:tcW w:w="567"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567"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567"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c>
          <w:tcPr>
            <w:tcW w:w="567"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567"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644"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r>
      <w:tr w:rsidR="00C21DAA" w:rsidRPr="00FE07FE" w:rsidTr="00500FFB">
        <w:tc>
          <w:tcPr>
            <w:tcW w:w="2269" w:type="dxa"/>
            <w:tcBorders>
              <w:top w:val="single" w:sz="12" w:space="0" w:color="auto"/>
            </w:tcBorders>
            <w:shd w:val="clear" w:color="auto" w:fill="auto"/>
            <w:hideMark/>
          </w:tcPr>
          <w:p w:rsidR="00C21DAA" w:rsidRPr="00FE07FE" w:rsidRDefault="00115B35">
            <w:pPr>
              <w:spacing w:before="40" w:after="40" w:line="220" w:lineRule="exact"/>
              <w:rPr>
                <w:sz w:val="18"/>
                <w:lang w:val="es-AR"/>
              </w:rPr>
            </w:pPr>
            <w:r w:rsidRPr="00FE07FE">
              <w:rPr>
                <w:sz w:val="18"/>
                <w:lang w:val="es-AR"/>
              </w:rPr>
              <w:t>¿Consumiste tabaco alguna vez en la vida?</w:t>
            </w:r>
          </w:p>
        </w:tc>
        <w:tc>
          <w:tcPr>
            <w:tcW w:w="566" w:type="dxa"/>
            <w:tcBorders>
              <w:top w:val="single" w:sz="12"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27,3%</w:t>
            </w:r>
          </w:p>
        </w:tc>
        <w:tc>
          <w:tcPr>
            <w:tcW w:w="566" w:type="dxa"/>
            <w:tcBorders>
              <w:top w:val="single" w:sz="12"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24,5%</w:t>
            </w:r>
          </w:p>
        </w:tc>
        <w:tc>
          <w:tcPr>
            <w:tcW w:w="567" w:type="dxa"/>
            <w:tcBorders>
              <w:top w:val="single" w:sz="12"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21,4%</w:t>
            </w:r>
          </w:p>
        </w:tc>
        <w:tc>
          <w:tcPr>
            <w:tcW w:w="567" w:type="dxa"/>
            <w:tcBorders>
              <w:top w:val="single" w:sz="12"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49,2%</w:t>
            </w:r>
          </w:p>
        </w:tc>
        <w:tc>
          <w:tcPr>
            <w:tcW w:w="567" w:type="dxa"/>
            <w:tcBorders>
              <w:top w:val="single" w:sz="12"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45,2%</w:t>
            </w:r>
          </w:p>
        </w:tc>
        <w:tc>
          <w:tcPr>
            <w:tcW w:w="567" w:type="dxa"/>
            <w:tcBorders>
              <w:top w:val="single" w:sz="12"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40,4%</w:t>
            </w:r>
          </w:p>
        </w:tc>
        <w:tc>
          <w:tcPr>
            <w:tcW w:w="567" w:type="dxa"/>
            <w:tcBorders>
              <w:top w:val="single" w:sz="12"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60,3%</w:t>
            </w:r>
          </w:p>
        </w:tc>
        <w:tc>
          <w:tcPr>
            <w:tcW w:w="567" w:type="dxa"/>
            <w:tcBorders>
              <w:top w:val="single" w:sz="12"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56,0%</w:t>
            </w:r>
          </w:p>
        </w:tc>
        <w:tc>
          <w:tcPr>
            <w:tcW w:w="644" w:type="dxa"/>
            <w:tcBorders>
              <w:top w:val="single" w:sz="12"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52,1%</w:t>
            </w:r>
          </w:p>
        </w:tc>
      </w:tr>
      <w:tr w:rsidR="00C21DAA" w:rsidRPr="00FE07FE" w:rsidTr="00500FFB">
        <w:tc>
          <w:tcPr>
            <w:tcW w:w="2269" w:type="dxa"/>
            <w:shd w:val="clear" w:color="auto" w:fill="auto"/>
            <w:hideMark/>
          </w:tcPr>
          <w:p w:rsidR="00C21DAA" w:rsidRPr="00FE07FE" w:rsidRDefault="00115B35">
            <w:pPr>
              <w:spacing w:before="40" w:after="40" w:line="220" w:lineRule="exact"/>
              <w:rPr>
                <w:sz w:val="18"/>
                <w:lang w:val="es-AR"/>
              </w:rPr>
            </w:pPr>
            <w:r w:rsidRPr="00FE07FE">
              <w:rPr>
                <w:sz w:val="18"/>
                <w:lang w:val="es-AR"/>
              </w:rPr>
              <w:t>¿Consumiste tabaco al menos una vez en el último año?</w:t>
            </w:r>
          </w:p>
        </w:tc>
        <w:tc>
          <w:tcPr>
            <w:tcW w:w="566" w:type="dxa"/>
            <w:shd w:val="clear" w:color="auto" w:fill="auto"/>
            <w:noWrap/>
            <w:vAlign w:val="bottom"/>
            <w:hideMark/>
          </w:tcPr>
          <w:p w:rsidR="00C21DAA" w:rsidRPr="00FE07FE" w:rsidRDefault="00115B35">
            <w:pPr>
              <w:spacing w:before="40" w:after="40" w:line="220" w:lineRule="exact"/>
              <w:jc w:val="right"/>
              <w:rPr>
                <w:sz w:val="18"/>
              </w:rPr>
            </w:pPr>
            <w:r w:rsidRPr="00FE07FE">
              <w:rPr>
                <w:sz w:val="18"/>
              </w:rPr>
              <w:t>16,3%</w:t>
            </w:r>
          </w:p>
        </w:tc>
        <w:tc>
          <w:tcPr>
            <w:tcW w:w="566" w:type="dxa"/>
            <w:shd w:val="clear" w:color="auto" w:fill="auto"/>
            <w:noWrap/>
            <w:vAlign w:val="bottom"/>
            <w:hideMark/>
          </w:tcPr>
          <w:p w:rsidR="00C21DAA" w:rsidRPr="00FE07FE" w:rsidRDefault="00115B35">
            <w:pPr>
              <w:spacing w:before="40" w:after="40" w:line="220" w:lineRule="exact"/>
              <w:jc w:val="right"/>
              <w:rPr>
                <w:sz w:val="18"/>
              </w:rPr>
            </w:pPr>
            <w:r w:rsidRPr="00FE07FE">
              <w:rPr>
                <w:sz w:val="18"/>
              </w:rPr>
              <w:t>14,6%</w:t>
            </w:r>
          </w:p>
        </w:tc>
        <w:tc>
          <w:tcPr>
            <w:tcW w:w="567" w:type="dxa"/>
            <w:shd w:val="clear" w:color="auto" w:fill="auto"/>
            <w:noWrap/>
            <w:vAlign w:val="bottom"/>
            <w:hideMark/>
          </w:tcPr>
          <w:p w:rsidR="00C21DAA" w:rsidRPr="00FE07FE" w:rsidRDefault="00115B35">
            <w:pPr>
              <w:spacing w:before="40" w:after="40" w:line="220" w:lineRule="exact"/>
              <w:jc w:val="right"/>
              <w:rPr>
                <w:sz w:val="18"/>
              </w:rPr>
            </w:pPr>
            <w:r w:rsidRPr="00FE07FE">
              <w:rPr>
                <w:sz w:val="18"/>
              </w:rPr>
              <w:t>11,8%</w:t>
            </w:r>
          </w:p>
        </w:tc>
        <w:tc>
          <w:tcPr>
            <w:tcW w:w="567" w:type="dxa"/>
            <w:shd w:val="clear" w:color="auto" w:fill="auto"/>
            <w:noWrap/>
            <w:vAlign w:val="bottom"/>
            <w:hideMark/>
          </w:tcPr>
          <w:p w:rsidR="00C21DAA" w:rsidRPr="00FE07FE" w:rsidRDefault="00115B35">
            <w:pPr>
              <w:spacing w:before="40" w:after="40" w:line="220" w:lineRule="exact"/>
              <w:jc w:val="right"/>
              <w:rPr>
                <w:sz w:val="18"/>
              </w:rPr>
            </w:pPr>
            <w:r w:rsidRPr="00FE07FE">
              <w:rPr>
                <w:sz w:val="18"/>
              </w:rPr>
              <w:t>32,2%</w:t>
            </w:r>
          </w:p>
        </w:tc>
        <w:tc>
          <w:tcPr>
            <w:tcW w:w="567" w:type="dxa"/>
            <w:shd w:val="clear" w:color="auto" w:fill="auto"/>
            <w:noWrap/>
            <w:vAlign w:val="bottom"/>
            <w:hideMark/>
          </w:tcPr>
          <w:p w:rsidR="00C21DAA" w:rsidRPr="00FE07FE" w:rsidRDefault="00115B35">
            <w:pPr>
              <w:spacing w:before="40" w:after="40" w:line="220" w:lineRule="exact"/>
              <w:jc w:val="right"/>
              <w:rPr>
                <w:sz w:val="18"/>
              </w:rPr>
            </w:pPr>
            <w:r w:rsidRPr="00FE07FE">
              <w:rPr>
                <w:sz w:val="18"/>
              </w:rPr>
              <w:t>30,7%</w:t>
            </w:r>
          </w:p>
        </w:tc>
        <w:tc>
          <w:tcPr>
            <w:tcW w:w="567" w:type="dxa"/>
            <w:shd w:val="clear" w:color="auto" w:fill="auto"/>
            <w:noWrap/>
            <w:vAlign w:val="bottom"/>
            <w:hideMark/>
          </w:tcPr>
          <w:p w:rsidR="00C21DAA" w:rsidRPr="00FE07FE" w:rsidRDefault="00115B35">
            <w:pPr>
              <w:spacing w:before="40" w:after="40" w:line="220" w:lineRule="exact"/>
              <w:jc w:val="right"/>
              <w:rPr>
                <w:sz w:val="18"/>
              </w:rPr>
            </w:pPr>
            <w:r w:rsidRPr="00FE07FE">
              <w:rPr>
                <w:sz w:val="18"/>
              </w:rPr>
              <w:t>26,3%</w:t>
            </w:r>
          </w:p>
        </w:tc>
        <w:tc>
          <w:tcPr>
            <w:tcW w:w="567" w:type="dxa"/>
            <w:shd w:val="clear" w:color="auto" w:fill="auto"/>
            <w:noWrap/>
            <w:vAlign w:val="bottom"/>
            <w:hideMark/>
          </w:tcPr>
          <w:p w:rsidR="00C21DAA" w:rsidRPr="00FE07FE" w:rsidRDefault="00115B35">
            <w:pPr>
              <w:spacing w:before="40" w:after="40" w:line="220" w:lineRule="exact"/>
              <w:jc w:val="right"/>
              <w:rPr>
                <w:sz w:val="18"/>
              </w:rPr>
            </w:pPr>
            <w:r w:rsidRPr="00FE07FE">
              <w:rPr>
                <w:sz w:val="18"/>
              </w:rPr>
              <w:t>39,3%</w:t>
            </w:r>
          </w:p>
        </w:tc>
        <w:tc>
          <w:tcPr>
            <w:tcW w:w="567" w:type="dxa"/>
            <w:shd w:val="clear" w:color="auto" w:fill="auto"/>
            <w:noWrap/>
            <w:vAlign w:val="bottom"/>
            <w:hideMark/>
          </w:tcPr>
          <w:p w:rsidR="00C21DAA" w:rsidRPr="00FE07FE" w:rsidRDefault="00115B35">
            <w:pPr>
              <w:spacing w:before="40" w:after="40" w:line="220" w:lineRule="exact"/>
              <w:jc w:val="right"/>
              <w:rPr>
                <w:sz w:val="18"/>
              </w:rPr>
            </w:pPr>
            <w:r w:rsidRPr="00FE07FE">
              <w:rPr>
                <w:sz w:val="18"/>
              </w:rPr>
              <w:t>36,1%</w:t>
            </w:r>
          </w:p>
        </w:tc>
        <w:tc>
          <w:tcPr>
            <w:tcW w:w="644" w:type="dxa"/>
            <w:shd w:val="clear" w:color="auto" w:fill="auto"/>
            <w:noWrap/>
            <w:vAlign w:val="bottom"/>
            <w:hideMark/>
          </w:tcPr>
          <w:p w:rsidR="00C21DAA" w:rsidRPr="00FE07FE" w:rsidRDefault="00115B35">
            <w:pPr>
              <w:spacing w:before="40" w:after="40" w:line="220" w:lineRule="exact"/>
              <w:jc w:val="right"/>
              <w:rPr>
                <w:sz w:val="18"/>
              </w:rPr>
            </w:pPr>
            <w:r w:rsidRPr="00FE07FE">
              <w:rPr>
                <w:sz w:val="18"/>
              </w:rPr>
              <w:t>34,0%</w:t>
            </w:r>
          </w:p>
        </w:tc>
      </w:tr>
      <w:tr w:rsidR="00C21DAA" w:rsidRPr="00FE07FE" w:rsidTr="00500FFB">
        <w:tc>
          <w:tcPr>
            <w:tcW w:w="2269" w:type="dxa"/>
            <w:tcBorders>
              <w:bottom w:val="single" w:sz="4" w:space="0" w:color="auto"/>
            </w:tcBorders>
            <w:shd w:val="clear" w:color="auto" w:fill="auto"/>
            <w:hideMark/>
          </w:tcPr>
          <w:p w:rsidR="00C21DAA" w:rsidRPr="00FE07FE" w:rsidRDefault="00115B35">
            <w:pPr>
              <w:spacing w:before="40" w:after="40" w:line="220" w:lineRule="exact"/>
              <w:rPr>
                <w:sz w:val="18"/>
                <w:lang w:val="es-AR"/>
              </w:rPr>
            </w:pPr>
            <w:r w:rsidRPr="00FE07FE">
              <w:rPr>
                <w:sz w:val="18"/>
                <w:lang w:val="es-AR"/>
              </w:rPr>
              <w:t>¿Consumiste tabaco al menos una vez en el último mes?</w:t>
            </w:r>
          </w:p>
        </w:tc>
        <w:tc>
          <w:tcPr>
            <w:tcW w:w="566" w:type="dxa"/>
            <w:tcBorders>
              <w:bottom w:val="single" w:sz="4"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10,1%</w:t>
            </w:r>
          </w:p>
        </w:tc>
        <w:tc>
          <w:tcPr>
            <w:tcW w:w="566" w:type="dxa"/>
            <w:tcBorders>
              <w:bottom w:val="single" w:sz="4"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9,2%</w:t>
            </w:r>
          </w:p>
        </w:tc>
        <w:tc>
          <w:tcPr>
            <w:tcW w:w="567" w:type="dxa"/>
            <w:tcBorders>
              <w:bottom w:val="single" w:sz="4"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7,4%</w:t>
            </w:r>
          </w:p>
        </w:tc>
        <w:tc>
          <w:tcPr>
            <w:tcW w:w="567" w:type="dxa"/>
            <w:tcBorders>
              <w:bottom w:val="single" w:sz="4"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22,1%</w:t>
            </w:r>
          </w:p>
        </w:tc>
        <w:tc>
          <w:tcPr>
            <w:tcW w:w="567" w:type="dxa"/>
            <w:tcBorders>
              <w:bottom w:val="single" w:sz="4"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21,1%</w:t>
            </w:r>
          </w:p>
        </w:tc>
        <w:tc>
          <w:tcPr>
            <w:tcW w:w="567" w:type="dxa"/>
            <w:tcBorders>
              <w:bottom w:val="single" w:sz="4"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17,3%</w:t>
            </w:r>
          </w:p>
        </w:tc>
        <w:tc>
          <w:tcPr>
            <w:tcW w:w="567" w:type="dxa"/>
            <w:tcBorders>
              <w:bottom w:val="single" w:sz="4"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29,5%</w:t>
            </w:r>
          </w:p>
        </w:tc>
        <w:tc>
          <w:tcPr>
            <w:tcW w:w="567" w:type="dxa"/>
            <w:tcBorders>
              <w:bottom w:val="single" w:sz="4"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27,3%</w:t>
            </w:r>
          </w:p>
        </w:tc>
        <w:tc>
          <w:tcPr>
            <w:tcW w:w="644" w:type="dxa"/>
            <w:tcBorders>
              <w:bottom w:val="single" w:sz="4" w:space="0" w:color="auto"/>
            </w:tcBorders>
            <w:shd w:val="clear" w:color="auto" w:fill="auto"/>
            <w:noWrap/>
            <w:vAlign w:val="bottom"/>
            <w:hideMark/>
          </w:tcPr>
          <w:p w:rsidR="00C21DAA" w:rsidRPr="00FE07FE" w:rsidRDefault="00115B35">
            <w:pPr>
              <w:spacing w:before="40" w:after="40" w:line="220" w:lineRule="exact"/>
              <w:jc w:val="right"/>
              <w:rPr>
                <w:sz w:val="18"/>
              </w:rPr>
            </w:pPr>
            <w:r w:rsidRPr="00FE07FE">
              <w:rPr>
                <w:sz w:val="18"/>
              </w:rPr>
              <w:t>24,1%</w:t>
            </w:r>
          </w:p>
        </w:tc>
      </w:tr>
    </w:tbl>
    <w:p w:rsidR="00C21DAA" w:rsidRPr="00FE07FE" w:rsidRDefault="00C21DAA">
      <w:pPr>
        <w:ind w:left="-993"/>
        <w:jc w:val="center"/>
        <w:rPr>
          <w:lang w:val="es-AR"/>
        </w:rPr>
      </w:pPr>
    </w:p>
    <w:tbl>
      <w:tblPr>
        <w:tblW w:w="7371" w:type="dxa"/>
        <w:tblInd w:w="1134" w:type="dxa"/>
        <w:tblBorders>
          <w:top w:val="single" w:sz="4" w:space="0" w:color="auto"/>
        </w:tblBorders>
        <w:tblCellMar>
          <w:left w:w="0" w:type="dxa"/>
          <w:right w:w="0" w:type="dxa"/>
        </w:tblCellMar>
        <w:tblLook w:val="04A0" w:firstRow="1" w:lastRow="0" w:firstColumn="1" w:lastColumn="0" w:noHBand="0" w:noVBand="1"/>
      </w:tblPr>
      <w:tblGrid>
        <w:gridCol w:w="4742"/>
        <w:gridCol w:w="883"/>
        <w:gridCol w:w="992"/>
        <w:gridCol w:w="818"/>
      </w:tblGrid>
      <w:tr w:rsidR="001E76DE" w:rsidRPr="001E76DE" w:rsidTr="00500FFB">
        <w:trPr>
          <w:trHeight w:val="240"/>
          <w:tblHeader/>
        </w:trPr>
        <w:tc>
          <w:tcPr>
            <w:tcW w:w="4726" w:type="dxa"/>
            <w:vMerge w:val="restart"/>
            <w:tcBorders>
              <w:top w:val="single" w:sz="4" w:space="0" w:color="auto"/>
              <w:bottom w:val="single" w:sz="12" w:space="0" w:color="auto"/>
            </w:tcBorders>
            <w:shd w:val="clear" w:color="auto" w:fill="auto"/>
            <w:noWrap/>
            <w:vAlign w:val="bottom"/>
            <w:hideMark/>
          </w:tcPr>
          <w:p w:rsidR="00C21DAA" w:rsidRPr="001E76DE" w:rsidRDefault="00115B35">
            <w:pPr>
              <w:spacing w:before="80" w:after="80" w:line="200" w:lineRule="exact"/>
              <w:rPr>
                <w:bCs/>
                <w:i/>
                <w:sz w:val="16"/>
              </w:rPr>
            </w:pPr>
            <w:r w:rsidRPr="001E76DE">
              <w:rPr>
                <w:bCs/>
                <w:i/>
                <w:sz w:val="16"/>
              </w:rPr>
              <w:t>Prevalencia</w:t>
            </w:r>
          </w:p>
        </w:tc>
        <w:tc>
          <w:tcPr>
            <w:tcW w:w="2645" w:type="dxa"/>
            <w:gridSpan w:val="3"/>
            <w:tcBorders>
              <w:top w:val="single" w:sz="4" w:space="0" w:color="auto"/>
              <w:bottom w:val="single" w:sz="4" w:space="0" w:color="auto"/>
            </w:tcBorders>
            <w:shd w:val="clear" w:color="auto" w:fill="auto"/>
            <w:noWrap/>
            <w:vAlign w:val="bottom"/>
            <w:hideMark/>
          </w:tcPr>
          <w:p w:rsidR="00C21DAA" w:rsidRPr="001E76DE" w:rsidRDefault="00115B35" w:rsidP="00500FFB">
            <w:pPr>
              <w:spacing w:before="80" w:after="80" w:line="200" w:lineRule="exact"/>
              <w:ind w:left="113"/>
              <w:jc w:val="center"/>
              <w:rPr>
                <w:bCs/>
                <w:i/>
                <w:sz w:val="16"/>
              </w:rPr>
            </w:pPr>
            <w:r w:rsidRPr="001E76DE">
              <w:rPr>
                <w:bCs/>
                <w:i/>
                <w:sz w:val="16"/>
              </w:rPr>
              <w:t>Total</w:t>
            </w:r>
          </w:p>
        </w:tc>
      </w:tr>
      <w:tr w:rsidR="00D55A27" w:rsidRPr="001E76DE" w:rsidTr="00D55A27">
        <w:trPr>
          <w:trHeight w:val="240"/>
          <w:tblHeader/>
        </w:trPr>
        <w:tc>
          <w:tcPr>
            <w:tcW w:w="4726" w:type="dxa"/>
            <w:vMerge/>
            <w:tcBorders>
              <w:top w:val="single" w:sz="12" w:space="0" w:color="auto"/>
              <w:bottom w:val="single" w:sz="12" w:space="0" w:color="auto"/>
            </w:tcBorders>
            <w:shd w:val="clear" w:color="auto" w:fill="auto"/>
            <w:vAlign w:val="bottom"/>
            <w:hideMark/>
          </w:tcPr>
          <w:p w:rsidR="00C21DAA" w:rsidRPr="00500FFB" w:rsidRDefault="00C21DAA">
            <w:pPr>
              <w:spacing w:before="40" w:after="40" w:line="220" w:lineRule="exact"/>
              <w:rPr>
                <w:bCs/>
                <w:sz w:val="18"/>
              </w:rPr>
            </w:pPr>
          </w:p>
        </w:tc>
        <w:tc>
          <w:tcPr>
            <w:tcW w:w="867"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97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802"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r>
      <w:tr w:rsidR="00D55A27" w:rsidRPr="001E76DE" w:rsidTr="00500FFB">
        <w:trPr>
          <w:trHeight w:val="240"/>
        </w:trPr>
        <w:tc>
          <w:tcPr>
            <w:tcW w:w="4726" w:type="dxa"/>
            <w:tcBorders>
              <w:top w:val="single" w:sz="12" w:space="0" w:color="auto"/>
            </w:tcBorders>
            <w:shd w:val="clear" w:color="auto" w:fill="auto"/>
            <w:hideMark/>
          </w:tcPr>
          <w:p w:rsidR="00C21DAA" w:rsidRPr="001E76DE" w:rsidRDefault="00115B35">
            <w:pPr>
              <w:spacing w:before="40" w:after="40" w:line="220" w:lineRule="exact"/>
              <w:rPr>
                <w:sz w:val="18"/>
                <w:lang w:val="es-AR"/>
              </w:rPr>
            </w:pPr>
            <w:r w:rsidRPr="001E76DE">
              <w:rPr>
                <w:sz w:val="18"/>
                <w:lang w:val="es-AR"/>
              </w:rPr>
              <w:t>¿Consumiste marihuana alguna vez en la vida?</w:t>
            </w:r>
          </w:p>
        </w:tc>
        <w:tc>
          <w:tcPr>
            <w:tcW w:w="867"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12,0%</w:t>
            </w:r>
          </w:p>
        </w:tc>
        <w:tc>
          <w:tcPr>
            <w:tcW w:w="976"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14,0%</w:t>
            </w:r>
          </w:p>
        </w:tc>
        <w:tc>
          <w:tcPr>
            <w:tcW w:w="802" w:type="dxa"/>
            <w:tcBorders>
              <w:top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15,9%</w:t>
            </w:r>
          </w:p>
        </w:tc>
      </w:tr>
      <w:tr w:rsidR="00D55A27" w:rsidRPr="001E76DE" w:rsidTr="00500FFB">
        <w:trPr>
          <w:trHeight w:val="240"/>
        </w:trPr>
        <w:tc>
          <w:tcPr>
            <w:tcW w:w="4726" w:type="dxa"/>
            <w:shd w:val="clear" w:color="auto" w:fill="auto"/>
            <w:hideMark/>
          </w:tcPr>
          <w:p w:rsidR="00C21DAA" w:rsidRPr="001E76DE" w:rsidRDefault="00115B35">
            <w:pPr>
              <w:spacing w:before="40" w:after="40" w:line="220" w:lineRule="exact"/>
              <w:rPr>
                <w:sz w:val="18"/>
                <w:lang w:val="es-AR"/>
              </w:rPr>
            </w:pPr>
            <w:r w:rsidRPr="001E76DE">
              <w:rPr>
                <w:sz w:val="18"/>
                <w:lang w:val="es-AR"/>
              </w:rPr>
              <w:t>¿Consumiste marihuana al menos una vez en el último año?</w:t>
            </w:r>
          </w:p>
        </w:tc>
        <w:tc>
          <w:tcPr>
            <w:tcW w:w="867"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8,4%</w:t>
            </w:r>
          </w:p>
        </w:tc>
        <w:tc>
          <w:tcPr>
            <w:tcW w:w="976"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10,4%</w:t>
            </w:r>
          </w:p>
        </w:tc>
        <w:tc>
          <w:tcPr>
            <w:tcW w:w="802" w:type="dxa"/>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11,8%</w:t>
            </w:r>
          </w:p>
        </w:tc>
      </w:tr>
      <w:tr w:rsidR="00D55A27" w:rsidRPr="001E76DE" w:rsidTr="00500FFB">
        <w:trPr>
          <w:trHeight w:val="240"/>
        </w:trPr>
        <w:tc>
          <w:tcPr>
            <w:tcW w:w="4726" w:type="dxa"/>
            <w:tcBorders>
              <w:bottom w:val="single" w:sz="12" w:space="0" w:color="auto"/>
            </w:tcBorders>
            <w:shd w:val="clear" w:color="auto" w:fill="auto"/>
            <w:hideMark/>
          </w:tcPr>
          <w:p w:rsidR="00C21DAA" w:rsidRPr="001E76DE" w:rsidRDefault="00115B35">
            <w:pPr>
              <w:spacing w:before="40" w:after="40" w:line="220" w:lineRule="exact"/>
              <w:rPr>
                <w:sz w:val="18"/>
                <w:lang w:val="es-AR"/>
              </w:rPr>
            </w:pPr>
            <w:r w:rsidRPr="001E76DE">
              <w:rPr>
                <w:sz w:val="18"/>
                <w:lang w:val="es-AR"/>
              </w:rPr>
              <w:t>¿Consumiste marihuana al menos una vez en el último mes?</w:t>
            </w:r>
          </w:p>
        </w:tc>
        <w:tc>
          <w:tcPr>
            <w:tcW w:w="867"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4,8%</w:t>
            </w:r>
          </w:p>
        </w:tc>
        <w:tc>
          <w:tcPr>
            <w:tcW w:w="976"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6,2%</w:t>
            </w:r>
          </w:p>
        </w:tc>
        <w:tc>
          <w:tcPr>
            <w:tcW w:w="802" w:type="dxa"/>
            <w:tcBorders>
              <w:bottom w:val="single" w:sz="12" w:space="0" w:color="auto"/>
            </w:tcBorders>
            <w:shd w:val="clear" w:color="auto" w:fill="auto"/>
            <w:noWrap/>
            <w:vAlign w:val="bottom"/>
            <w:hideMark/>
          </w:tcPr>
          <w:p w:rsidR="00C21DAA" w:rsidRPr="001E76DE" w:rsidRDefault="00115B35" w:rsidP="00500FFB">
            <w:pPr>
              <w:spacing w:before="40" w:after="40" w:line="220" w:lineRule="exact"/>
              <w:ind w:left="113"/>
              <w:jc w:val="right"/>
              <w:rPr>
                <w:sz w:val="18"/>
              </w:rPr>
            </w:pPr>
            <w:r w:rsidRPr="001E76DE">
              <w:rPr>
                <w:sz w:val="18"/>
              </w:rPr>
              <w:t>7,6%</w:t>
            </w:r>
          </w:p>
        </w:tc>
      </w:tr>
    </w:tbl>
    <w:p w:rsidR="00C21DAA" w:rsidRPr="00FE07FE" w:rsidRDefault="00C21DAA">
      <w:pPr>
        <w:ind w:left="-993"/>
        <w:rPr>
          <w:lang w:val="es-AR"/>
        </w:rPr>
      </w:pP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550"/>
        <w:gridCol w:w="588"/>
        <w:gridCol w:w="585"/>
        <w:gridCol w:w="591"/>
        <w:gridCol w:w="679"/>
        <w:gridCol w:w="672"/>
        <w:gridCol w:w="677"/>
        <w:gridCol w:w="676"/>
        <w:gridCol w:w="672"/>
        <w:gridCol w:w="674"/>
      </w:tblGrid>
      <w:tr w:rsidR="00D55A27" w:rsidRPr="00D55A27" w:rsidTr="00500FFB">
        <w:trPr>
          <w:trHeight w:val="240"/>
          <w:tblHeader/>
        </w:trPr>
        <w:tc>
          <w:tcPr>
            <w:tcW w:w="2962" w:type="dxa"/>
            <w:vMerge w:val="restart"/>
            <w:tcBorders>
              <w:top w:val="single" w:sz="4" w:space="0" w:color="auto"/>
              <w:bottom w:val="single" w:sz="12" w:space="0" w:color="auto"/>
            </w:tcBorders>
            <w:shd w:val="clear" w:color="auto" w:fill="auto"/>
            <w:noWrap/>
            <w:vAlign w:val="bottom"/>
            <w:hideMark/>
          </w:tcPr>
          <w:p w:rsidR="00C21DAA" w:rsidRPr="00D55A27" w:rsidRDefault="00115B35" w:rsidP="00500FFB">
            <w:pPr>
              <w:keepNext/>
              <w:spacing w:before="80" w:after="80" w:line="200" w:lineRule="exact"/>
              <w:rPr>
                <w:bCs/>
                <w:i/>
                <w:sz w:val="16"/>
              </w:rPr>
            </w:pPr>
            <w:r w:rsidRPr="00D55A27">
              <w:rPr>
                <w:bCs/>
                <w:i/>
                <w:sz w:val="16"/>
              </w:rPr>
              <w:lastRenderedPageBreak/>
              <w:t>Prevalencia</w:t>
            </w:r>
          </w:p>
        </w:tc>
        <w:tc>
          <w:tcPr>
            <w:tcW w:w="2004" w:type="dxa"/>
            <w:gridSpan w:val="3"/>
            <w:tcBorders>
              <w:top w:val="single" w:sz="4" w:space="0" w:color="auto"/>
              <w:bottom w:val="single" w:sz="4" w:space="0" w:color="auto"/>
              <w:right w:val="single" w:sz="18" w:space="0" w:color="FFFFFF" w:themeColor="background1"/>
            </w:tcBorders>
            <w:shd w:val="clear" w:color="auto" w:fill="auto"/>
            <w:noWrap/>
            <w:vAlign w:val="bottom"/>
            <w:hideMark/>
          </w:tcPr>
          <w:p w:rsidR="00C21DAA" w:rsidRPr="00D55A27" w:rsidRDefault="00115B35" w:rsidP="00500FFB">
            <w:pPr>
              <w:keepNext/>
              <w:spacing w:before="80" w:after="80" w:line="200" w:lineRule="exact"/>
              <w:ind w:left="113"/>
              <w:jc w:val="center"/>
              <w:rPr>
                <w:bCs/>
                <w:i/>
                <w:sz w:val="16"/>
              </w:rPr>
            </w:pPr>
            <w:r w:rsidRPr="00D55A27">
              <w:rPr>
                <w:bCs/>
                <w:i/>
                <w:sz w:val="16"/>
              </w:rPr>
              <w:t>14 años o menos</w:t>
            </w:r>
          </w:p>
        </w:tc>
        <w:tc>
          <w:tcPr>
            <w:tcW w:w="2309" w:type="dxa"/>
            <w:gridSpan w:val="3"/>
            <w:tcBorders>
              <w:top w:val="single" w:sz="4" w:space="0" w:color="auto"/>
              <w:left w:val="single" w:sz="18" w:space="0" w:color="FFFFFF" w:themeColor="background1"/>
              <w:bottom w:val="single" w:sz="4" w:space="0" w:color="auto"/>
              <w:right w:val="single" w:sz="18" w:space="0" w:color="FFFFFF" w:themeColor="background1"/>
            </w:tcBorders>
            <w:shd w:val="clear" w:color="auto" w:fill="auto"/>
            <w:noWrap/>
            <w:vAlign w:val="bottom"/>
            <w:hideMark/>
          </w:tcPr>
          <w:p w:rsidR="00C21DAA" w:rsidRPr="00D55A27" w:rsidRDefault="00115B35" w:rsidP="00500FFB">
            <w:pPr>
              <w:keepNext/>
              <w:spacing w:before="80" w:after="80" w:line="200" w:lineRule="exact"/>
              <w:ind w:left="113"/>
              <w:jc w:val="center"/>
              <w:rPr>
                <w:bCs/>
                <w:i/>
                <w:sz w:val="16"/>
              </w:rPr>
            </w:pPr>
            <w:r w:rsidRPr="00D55A27">
              <w:rPr>
                <w:bCs/>
                <w:i/>
                <w:sz w:val="16"/>
              </w:rPr>
              <w:t>15 y 16 años</w:t>
            </w:r>
          </w:p>
        </w:tc>
        <w:tc>
          <w:tcPr>
            <w:tcW w:w="2309" w:type="dxa"/>
            <w:gridSpan w:val="3"/>
            <w:tcBorders>
              <w:top w:val="single" w:sz="4" w:space="0" w:color="auto"/>
              <w:left w:val="single" w:sz="18" w:space="0" w:color="FFFFFF" w:themeColor="background1"/>
              <w:bottom w:val="single" w:sz="4" w:space="0" w:color="auto"/>
            </w:tcBorders>
            <w:shd w:val="clear" w:color="auto" w:fill="auto"/>
            <w:noWrap/>
            <w:vAlign w:val="bottom"/>
            <w:hideMark/>
          </w:tcPr>
          <w:p w:rsidR="00C21DAA" w:rsidRPr="00D55A27" w:rsidRDefault="00115B35" w:rsidP="00500FFB">
            <w:pPr>
              <w:keepNext/>
              <w:spacing w:before="80" w:after="80" w:line="200" w:lineRule="exact"/>
              <w:ind w:left="113"/>
              <w:jc w:val="center"/>
              <w:rPr>
                <w:bCs/>
                <w:i/>
                <w:sz w:val="16"/>
              </w:rPr>
            </w:pPr>
            <w:r w:rsidRPr="00D55A27">
              <w:rPr>
                <w:bCs/>
                <w:i/>
                <w:sz w:val="16"/>
              </w:rPr>
              <w:t>17 años y más</w:t>
            </w:r>
          </w:p>
        </w:tc>
      </w:tr>
      <w:tr w:rsidR="00D55A27" w:rsidRPr="00D55A27" w:rsidTr="00500FFB">
        <w:trPr>
          <w:trHeight w:val="240"/>
          <w:tblHeader/>
        </w:trPr>
        <w:tc>
          <w:tcPr>
            <w:tcW w:w="2962" w:type="dxa"/>
            <w:vMerge/>
            <w:tcBorders>
              <w:top w:val="single" w:sz="12" w:space="0" w:color="auto"/>
              <w:bottom w:val="single" w:sz="12" w:space="0" w:color="auto"/>
            </w:tcBorders>
            <w:shd w:val="clear" w:color="auto" w:fill="auto"/>
            <w:vAlign w:val="bottom"/>
            <w:hideMark/>
          </w:tcPr>
          <w:p w:rsidR="00C21DAA" w:rsidRPr="00500FFB" w:rsidRDefault="00C21DAA" w:rsidP="00500FFB">
            <w:pPr>
              <w:keepNext/>
              <w:spacing w:before="40" w:after="40" w:line="220" w:lineRule="exact"/>
              <w:rPr>
                <w:bCs/>
                <w:sz w:val="18"/>
              </w:rPr>
            </w:pPr>
          </w:p>
        </w:tc>
        <w:tc>
          <w:tcPr>
            <w:tcW w:w="667" w:type="dxa"/>
            <w:tcBorders>
              <w:top w:val="single" w:sz="4" w:space="0" w:color="auto"/>
              <w:bottom w:val="single" w:sz="12" w:space="0" w:color="auto"/>
            </w:tcBorders>
            <w:shd w:val="clear" w:color="auto" w:fill="auto"/>
            <w:noWrap/>
            <w:vAlign w:val="bottom"/>
            <w:hideMark/>
          </w:tcPr>
          <w:p w:rsidR="00C21DAA" w:rsidRPr="00500FFB" w:rsidRDefault="00115B35" w:rsidP="00500FFB">
            <w:pPr>
              <w:keepNext/>
              <w:spacing w:before="80" w:after="80" w:line="200" w:lineRule="exact"/>
              <w:ind w:left="113"/>
              <w:jc w:val="right"/>
              <w:rPr>
                <w:bCs/>
                <w:i/>
                <w:sz w:val="16"/>
              </w:rPr>
            </w:pPr>
            <w:r w:rsidRPr="00500FFB">
              <w:rPr>
                <w:bCs/>
                <w:i/>
                <w:sz w:val="16"/>
              </w:rPr>
              <w:t>2009</w:t>
            </w:r>
          </w:p>
        </w:tc>
        <w:tc>
          <w:tcPr>
            <w:tcW w:w="667" w:type="dxa"/>
            <w:tcBorders>
              <w:top w:val="single" w:sz="4" w:space="0" w:color="auto"/>
              <w:bottom w:val="single" w:sz="12" w:space="0" w:color="auto"/>
            </w:tcBorders>
            <w:shd w:val="clear" w:color="auto" w:fill="auto"/>
            <w:noWrap/>
            <w:vAlign w:val="bottom"/>
            <w:hideMark/>
          </w:tcPr>
          <w:p w:rsidR="00C21DAA" w:rsidRPr="00500FFB" w:rsidRDefault="00115B35" w:rsidP="00500FFB">
            <w:pPr>
              <w:keepNext/>
              <w:spacing w:before="80" w:after="80" w:line="200" w:lineRule="exact"/>
              <w:ind w:left="113"/>
              <w:jc w:val="right"/>
              <w:rPr>
                <w:bCs/>
                <w:i/>
                <w:sz w:val="16"/>
              </w:rPr>
            </w:pPr>
            <w:r w:rsidRPr="00500FFB">
              <w:rPr>
                <w:bCs/>
                <w:i/>
                <w:sz w:val="16"/>
              </w:rPr>
              <w:t>2011</w:t>
            </w:r>
          </w:p>
        </w:tc>
        <w:tc>
          <w:tcPr>
            <w:tcW w:w="670"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keepNext/>
              <w:spacing w:before="80" w:after="80" w:line="200" w:lineRule="exact"/>
              <w:ind w:left="113"/>
              <w:jc w:val="right"/>
              <w:rPr>
                <w:bCs/>
                <w:i/>
                <w:sz w:val="16"/>
              </w:rPr>
            </w:pPr>
            <w:r w:rsidRPr="00500FFB">
              <w:rPr>
                <w:bCs/>
                <w:i/>
                <w:sz w:val="16"/>
              </w:rPr>
              <w:t>2014</w:t>
            </w:r>
          </w:p>
        </w:tc>
        <w:tc>
          <w:tcPr>
            <w:tcW w:w="769"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keepNext/>
              <w:spacing w:before="80" w:after="80" w:line="200" w:lineRule="exact"/>
              <w:ind w:left="113"/>
              <w:jc w:val="right"/>
              <w:rPr>
                <w:bCs/>
                <w:i/>
                <w:sz w:val="16"/>
              </w:rPr>
            </w:pPr>
            <w:r w:rsidRPr="00500FFB">
              <w:rPr>
                <w:bCs/>
                <w:i/>
                <w:sz w:val="16"/>
              </w:rPr>
              <w:t>2009</w:t>
            </w:r>
          </w:p>
        </w:tc>
        <w:tc>
          <w:tcPr>
            <w:tcW w:w="769" w:type="dxa"/>
            <w:tcBorders>
              <w:top w:val="single" w:sz="4" w:space="0" w:color="auto"/>
              <w:bottom w:val="single" w:sz="12" w:space="0" w:color="auto"/>
            </w:tcBorders>
            <w:shd w:val="clear" w:color="auto" w:fill="auto"/>
            <w:noWrap/>
            <w:vAlign w:val="bottom"/>
            <w:hideMark/>
          </w:tcPr>
          <w:p w:rsidR="00C21DAA" w:rsidRPr="00500FFB" w:rsidRDefault="00115B35" w:rsidP="00500FFB">
            <w:pPr>
              <w:keepNext/>
              <w:spacing w:before="80" w:after="80" w:line="200" w:lineRule="exact"/>
              <w:ind w:left="113"/>
              <w:jc w:val="right"/>
              <w:rPr>
                <w:bCs/>
                <w:i/>
                <w:sz w:val="16"/>
              </w:rPr>
            </w:pPr>
            <w:r w:rsidRPr="00500FFB">
              <w:rPr>
                <w:bCs/>
                <w:i/>
                <w:sz w:val="16"/>
              </w:rPr>
              <w:t>2011</w:t>
            </w:r>
          </w:p>
        </w:tc>
        <w:tc>
          <w:tcPr>
            <w:tcW w:w="771"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keepNext/>
              <w:spacing w:before="80" w:after="80" w:line="200" w:lineRule="exact"/>
              <w:ind w:left="113"/>
              <w:jc w:val="right"/>
              <w:rPr>
                <w:bCs/>
                <w:i/>
                <w:sz w:val="16"/>
              </w:rPr>
            </w:pPr>
            <w:r w:rsidRPr="00500FFB">
              <w:rPr>
                <w:bCs/>
                <w:i/>
                <w:sz w:val="16"/>
              </w:rPr>
              <w:t>2014</w:t>
            </w:r>
          </w:p>
        </w:tc>
        <w:tc>
          <w:tcPr>
            <w:tcW w:w="769"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keepNext/>
              <w:spacing w:before="80" w:after="80" w:line="200" w:lineRule="exact"/>
              <w:ind w:left="113"/>
              <w:jc w:val="right"/>
              <w:rPr>
                <w:bCs/>
                <w:i/>
                <w:sz w:val="16"/>
              </w:rPr>
            </w:pPr>
            <w:r w:rsidRPr="00500FFB">
              <w:rPr>
                <w:bCs/>
                <w:i/>
                <w:sz w:val="16"/>
              </w:rPr>
              <w:t>2009</w:t>
            </w:r>
          </w:p>
        </w:tc>
        <w:tc>
          <w:tcPr>
            <w:tcW w:w="769" w:type="dxa"/>
            <w:tcBorders>
              <w:top w:val="single" w:sz="4" w:space="0" w:color="auto"/>
              <w:bottom w:val="single" w:sz="12" w:space="0" w:color="auto"/>
            </w:tcBorders>
            <w:shd w:val="clear" w:color="auto" w:fill="auto"/>
            <w:noWrap/>
            <w:vAlign w:val="bottom"/>
            <w:hideMark/>
          </w:tcPr>
          <w:p w:rsidR="00C21DAA" w:rsidRPr="00500FFB" w:rsidRDefault="00115B35" w:rsidP="00500FFB">
            <w:pPr>
              <w:keepNext/>
              <w:spacing w:before="80" w:after="80" w:line="200" w:lineRule="exact"/>
              <w:ind w:left="113"/>
              <w:jc w:val="right"/>
              <w:rPr>
                <w:bCs/>
                <w:i/>
                <w:sz w:val="16"/>
              </w:rPr>
            </w:pPr>
            <w:r w:rsidRPr="00500FFB">
              <w:rPr>
                <w:bCs/>
                <w:i/>
                <w:sz w:val="16"/>
              </w:rPr>
              <w:t>2011</w:t>
            </w:r>
          </w:p>
        </w:tc>
        <w:tc>
          <w:tcPr>
            <w:tcW w:w="771" w:type="dxa"/>
            <w:tcBorders>
              <w:top w:val="single" w:sz="4" w:space="0" w:color="auto"/>
              <w:bottom w:val="single" w:sz="12" w:space="0" w:color="auto"/>
            </w:tcBorders>
            <w:shd w:val="clear" w:color="auto" w:fill="auto"/>
            <w:noWrap/>
            <w:vAlign w:val="bottom"/>
            <w:hideMark/>
          </w:tcPr>
          <w:p w:rsidR="00C21DAA" w:rsidRPr="00500FFB" w:rsidRDefault="00115B35" w:rsidP="00500FFB">
            <w:pPr>
              <w:keepNext/>
              <w:spacing w:before="80" w:after="80" w:line="200" w:lineRule="exact"/>
              <w:ind w:left="113"/>
              <w:jc w:val="right"/>
              <w:rPr>
                <w:bCs/>
                <w:i/>
                <w:sz w:val="16"/>
              </w:rPr>
            </w:pPr>
            <w:r w:rsidRPr="00500FFB">
              <w:rPr>
                <w:bCs/>
                <w:i/>
                <w:sz w:val="16"/>
              </w:rPr>
              <w:t>2014</w:t>
            </w:r>
          </w:p>
        </w:tc>
      </w:tr>
      <w:tr w:rsidR="00D55A27" w:rsidRPr="00D55A27" w:rsidTr="00500FFB">
        <w:trPr>
          <w:trHeight w:val="240"/>
        </w:trPr>
        <w:tc>
          <w:tcPr>
            <w:tcW w:w="2962" w:type="dxa"/>
            <w:tcBorders>
              <w:top w:val="single" w:sz="12" w:space="0" w:color="auto"/>
            </w:tcBorders>
            <w:shd w:val="clear" w:color="auto" w:fill="auto"/>
            <w:hideMark/>
          </w:tcPr>
          <w:p w:rsidR="00C21DAA" w:rsidRPr="00D55A27" w:rsidRDefault="00115B35" w:rsidP="00500FFB">
            <w:pPr>
              <w:keepNext/>
              <w:spacing w:before="40" w:after="40" w:line="220" w:lineRule="exact"/>
              <w:rPr>
                <w:sz w:val="18"/>
                <w:lang w:val="es-AR"/>
              </w:rPr>
            </w:pPr>
            <w:r w:rsidRPr="00D55A27">
              <w:rPr>
                <w:sz w:val="18"/>
                <w:lang w:val="es-AR"/>
              </w:rPr>
              <w:t>¿Consumiste marihuana alguna vez en la vida?</w:t>
            </w:r>
          </w:p>
        </w:tc>
        <w:tc>
          <w:tcPr>
            <w:tcW w:w="667" w:type="dxa"/>
            <w:tcBorders>
              <w:top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4,5%</w:t>
            </w:r>
          </w:p>
        </w:tc>
        <w:tc>
          <w:tcPr>
            <w:tcW w:w="667" w:type="dxa"/>
            <w:tcBorders>
              <w:top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5,4%</w:t>
            </w:r>
          </w:p>
        </w:tc>
        <w:tc>
          <w:tcPr>
            <w:tcW w:w="670" w:type="dxa"/>
            <w:tcBorders>
              <w:top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5,8%</w:t>
            </w:r>
          </w:p>
        </w:tc>
        <w:tc>
          <w:tcPr>
            <w:tcW w:w="769" w:type="dxa"/>
            <w:tcBorders>
              <w:top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13,2%</w:t>
            </w:r>
          </w:p>
        </w:tc>
        <w:tc>
          <w:tcPr>
            <w:tcW w:w="769" w:type="dxa"/>
            <w:tcBorders>
              <w:top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14,8%</w:t>
            </w:r>
          </w:p>
        </w:tc>
        <w:tc>
          <w:tcPr>
            <w:tcW w:w="771" w:type="dxa"/>
            <w:tcBorders>
              <w:top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18,3%</w:t>
            </w:r>
          </w:p>
        </w:tc>
        <w:tc>
          <w:tcPr>
            <w:tcW w:w="769" w:type="dxa"/>
            <w:tcBorders>
              <w:top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20,3%</w:t>
            </w:r>
          </w:p>
        </w:tc>
        <w:tc>
          <w:tcPr>
            <w:tcW w:w="769" w:type="dxa"/>
            <w:tcBorders>
              <w:top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23,0%</w:t>
            </w:r>
          </w:p>
        </w:tc>
        <w:tc>
          <w:tcPr>
            <w:tcW w:w="771" w:type="dxa"/>
            <w:tcBorders>
              <w:top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28,3%</w:t>
            </w:r>
          </w:p>
        </w:tc>
      </w:tr>
      <w:tr w:rsidR="00D55A27" w:rsidRPr="00D55A27" w:rsidTr="00D55A27">
        <w:trPr>
          <w:trHeight w:val="240"/>
        </w:trPr>
        <w:tc>
          <w:tcPr>
            <w:tcW w:w="2962" w:type="dxa"/>
            <w:shd w:val="clear" w:color="auto" w:fill="auto"/>
            <w:hideMark/>
          </w:tcPr>
          <w:p w:rsidR="00C21DAA" w:rsidRPr="00D55A27" w:rsidRDefault="00115B35" w:rsidP="00500FFB">
            <w:pPr>
              <w:keepNext/>
              <w:spacing w:before="40" w:after="40" w:line="220" w:lineRule="exact"/>
              <w:rPr>
                <w:sz w:val="18"/>
                <w:lang w:val="es-AR"/>
              </w:rPr>
            </w:pPr>
            <w:r w:rsidRPr="00D55A27">
              <w:rPr>
                <w:sz w:val="18"/>
                <w:lang w:val="es-AR"/>
              </w:rPr>
              <w:t>¿Consumiste marihuana al menos una vez en el último año?</w:t>
            </w:r>
          </w:p>
        </w:tc>
        <w:tc>
          <w:tcPr>
            <w:tcW w:w="667" w:type="dxa"/>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2,9%</w:t>
            </w:r>
          </w:p>
        </w:tc>
        <w:tc>
          <w:tcPr>
            <w:tcW w:w="667" w:type="dxa"/>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3,7%</w:t>
            </w:r>
          </w:p>
        </w:tc>
        <w:tc>
          <w:tcPr>
            <w:tcW w:w="670" w:type="dxa"/>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4,1%</w:t>
            </w:r>
          </w:p>
        </w:tc>
        <w:tc>
          <w:tcPr>
            <w:tcW w:w="769" w:type="dxa"/>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9,6%</w:t>
            </w:r>
          </w:p>
        </w:tc>
        <w:tc>
          <w:tcPr>
            <w:tcW w:w="769" w:type="dxa"/>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11,3%</w:t>
            </w:r>
          </w:p>
        </w:tc>
        <w:tc>
          <w:tcPr>
            <w:tcW w:w="771" w:type="dxa"/>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13,6%</w:t>
            </w:r>
          </w:p>
        </w:tc>
        <w:tc>
          <w:tcPr>
            <w:tcW w:w="769" w:type="dxa"/>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14,2%</w:t>
            </w:r>
          </w:p>
        </w:tc>
        <w:tc>
          <w:tcPr>
            <w:tcW w:w="769" w:type="dxa"/>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17,2%</w:t>
            </w:r>
          </w:p>
        </w:tc>
        <w:tc>
          <w:tcPr>
            <w:tcW w:w="771" w:type="dxa"/>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21,1%</w:t>
            </w:r>
          </w:p>
        </w:tc>
      </w:tr>
      <w:tr w:rsidR="00D55A27" w:rsidRPr="00D55A27" w:rsidTr="00D55A27">
        <w:trPr>
          <w:trHeight w:val="240"/>
        </w:trPr>
        <w:tc>
          <w:tcPr>
            <w:tcW w:w="2962" w:type="dxa"/>
            <w:tcBorders>
              <w:bottom w:val="single" w:sz="12" w:space="0" w:color="auto"/>
            </w:tcBorders>
            <w:shd w:val="clear" w:color="auto" w:fill="auto"/>
            <w:hideMark/>
          </w:tcPr>
          <w:p w:rsidR="00C21DAA" w:rsidRPr="00D55A27" w:rsidRDefault="00115B35" w:rsidP="00500FFB">
            <w:pPr>
              <w:keepNext/>
              <w:spacing w:before="40" w:after="40" w:line="220" w:lineRule="exact"/>
              <w:rPr>
                <w:sz w:val="18"/>
                <w:lang w:val="es-AR"/>
              </w:rPr>
            </w:pPr>
            <w:r w:rsidRPr="00D55A27">
              <w:rPr>
                <w:sz w:val="18"/>
                <w:lang w:val="es-AR"/>
              </w:rPr>
              <w:t>¿Consumiste marihuana al menos una vez en el último mes?</w:t>
            </w:r>
          </w:p>
        </w:tc>
        <w:tc>
          <w:tcPr>
            <w:tcW w:w="667" w:type="dxa"/>
            <w:tcBorders>
              <w:bottom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1,5%</w:t>
            </w:r>
          </w:p>
        </w:tc>
        <w:tc>
          <w:tcPr>
            <w:tcW w:w="667" w:type="dxa"/>
            <w:tcBorders>
              <w:bottom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2,2%</w:t>
            </w:r>
          </w:p>
        </w:tc>
        <w:tc>
          <w:tcPr>
            <w:tcW w:w="670" w:type="dxa"/>
            <w:tcBorders>
              <w:bottom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2,5%</w:t>
            </w:r>
          </w:p>
        </w:tc>
        <w:tc>
          <w:tcPr>
            <w:tcW w:w="769" w:type="dxa"/>
            <w:tcBorders>
              <w:bottom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5,8%</w:t>
            </w:r>
          </w:p>
        </w:tc>
        <w:tc>
          <w:tcPr>
            <w:tcW w:w="769" w:type="dxa"/>
            <w:tcBorders>
              <w:bottom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6,5%</w:t>
            </w:r>
          </w:p>
        </w:tc>
        <w:tc>
          <w:tcPr>
            <w:tcW w:w="771" w:type="dxa"/>
            <w:tcBorders>
              <w:bottom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8,8%</w:t>
            </w:r>
          </w:p>
        </w:tc>
        <w:tc>
          <w:tcPr>
            <w:tcW w:w="769" w:type="dxa"/>
            <w:tcBorders>
              <w:bottom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8,0%</w:t>
            </w:r>
          </w:p>
        </w:tc>
        <w:tc>
          <w:tcPr>
            <w:tcW w:w="769" w:type="dxa"/>
            <w:tcBorders>
              <w:bottom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10,4%</w:t>
            </w:r>
          </w:p>
        </w:tc>
        <w:tc>
          <w:tcPr>
            <w:tcW w:w="771" w:type="dxa"/>
            <w:tcBorders>
              <w:bottom w:val="single" w:sz="12" w:space="0" w:color="auto"/>
            </w:tcBorders>
            <w:shd w:val="clear" w:color="auto" w:fill="auto"/>
            <w:noWrap/>
            <w:vAlign w:val="bottom"/>
            <w:hideMark/>
          </w:tcPr>
          <w:p w:rsidR="00C21DAA" w:rsidRPr="00D55A27" w:rsidRDefault="00115B35" w:rsidP="00500FFB">
            <w:pPr>
              <w:keepNext/>
              <w:spacing w:before="40" w:after="40" w:line="220" w:lineRule="exact"/>
              <w:ind w:left="113"/>
              <w:jc w:val="right"/>
              <w:rPr>
                <w:sz w:val="18"/>
              </w:rPr>
            </w:pPr>
            <w:r w:rsidRPr="00D55A27">
              <w:rPr>
                <w:sz w:val="18"/>
              </w:rPr>
              <w:t>13,7%</w:t>
            </w:r>
          </w:p>
        </w:tc>
      </w:tr>
    </w:tbl>
    <w:p w:rsidR="00C21DAA" w:rsidRPr="00FE07FE" w:rsidRDefault="00C21DAA">
      <w:pPr>
        <w:ind w:left="-993"/>
        <w:rPr>
          <w:lang w:val="es-AR"/>
        </w:rPr>
      </w:pPr>
    </w:p>
    <w:p w:rsidR="00C21DAA" w:rsidRPr="00FE07FE" w:rsidRDefault="00C21DAA">
      <w:pPr>
        <w:ind w:left="-993"/>
        <w:rPr>
          <w:lang w:val="es-AR"/>
        </w:rPr>
      </w:pPr>
    </w:p>
    <w:tbl>
      <w:tblPr>
        <w:tblW w:w="7371" w:type="dxa"/>
        <w:tblInd w:w="1134" w:type="dxa"/>
        <w:tblBorders>
          <w:top w:val="single" w:sz="4" w:space="0" w:color="auto"/>
        </w:tblBorders>
        <w:tblCellMar>
          <w:left w:w="0" w:type="dxa"/>
          <w:right w:w="0" w:type="dxa"/>
        </w:tblCellMar>
        <w:tblLook w:val="04A0" w:firstRow="1" w:lastRow="0" w:firstColumn="1" w:lastColumn="0" w:noHBand="0" w:noVBand="1"/>
      </w:tblPr>
      <w:tblGrid>
        <w:gridCol w:w="4742"/>
        <w:gridCol w:w="883"/>
        <w:gridCol w:w="850"/>
        <w:gridCol w:w="960"/>
      </w:tblGrid>
      <w:tr w:rsidR="00D55A27" w:rsidRPr="00D55A27" w:rsidTr="00500FFB">
        <w:trPr>
          <w:trHeight w:val="240"/>
          <w:tblHeader/>
        </w:trPr>
        <w:tc>
          <w:tcPr>
            <w:tcW w:w="4726" w:type="dxa"/>
            <w:vMerge w:val="restart"/>
            <w:tcBorders>
              <w:top w:val="single" w:sz="4" w:space="0" w:color="auto"/>
              <w:bottom w:val="single" w:sz="12" w:space="0" w:color="auto"/>
            </w:tcBorders>
            <w:shd w:val="clear" w:color="auto" w:fill="auto"/>
            <w:noWrap/>
            <w:vAlign w:val="bottom"/>
            <w:hideMark/>
          </w:tcPr>
          <w:p w:rsidR="00C21DAA" w:rsidRPr="00D55A27" w:rsidRDefault="00115B35">
            <w:pPr>
              <w:spacing w:before="80" w:after="80" w:line="200" w:lineRule="exact"/>
              <w:rPr>
                <w:bCs/>
                <w:i/>
                <w:sz w:val="16"/>
              </w:rPr>
            </w:pPr>
            <w:r w:rsidRPr="00D55A27">
              <w:rPr>
                <w:bCs/>
                <w:i/>
                <w:sz w:val="16"/>
              </w:rPr>
              <w:t>Prevalencia</w:t>
            </w:r>
          </w:p>
        </w:tc>
        <w:tc>
          <w:tcPr>
            <w:tcW w:w="2645" w:type="dxa"/>
            <w:gridSpan w:val="3"/>
            <w:tcBorders>
              <w:top w:val="single" w:sz="4" w:space="0" w:color="auto"/>
              <w:bottom w:val="single" w:sz="4" w:space="0" w:color="auto"/>
            </w:tcBorders>
            <w:shd w:val="clear" w:color="auto" w:fill="auto"/>
            <w:noWrap/>
            <w:vAlign w:val="bottom"/>
            <w:hideMark/>
          </w:tcPr>
          <w:p w:rsidR="00C21DAA" w:rsidRPr="00D55A27" w:rsidRDefault="00115B35" w:rsidP="00500FFB">
            <w:pPr>
              <w:spacing w:before="80" w:after="80" w:line="200" w:lineRule="exact"/>
              <w:ind w:left="113"/>
              <w:jc w:val="center"/>
              <w:rPr>
                <w:bCs/>
                <w:i/>
                <w:sz w:val="16"/>
              </w:rPr>
            </w:pPr>
            <w:r w:rsidRPr="00D55A27">
              <w:rPr>
                <w:bCs/>
                <w:i/>
                <w:sz w:val="16"/>
              </w:rPr>
              <w:t>Total</w:t>
            </w:r>
          </w:p>
        </w:tc>
      </w:tr>
      <w:tr w:rsidR="00D55A27" w:rsidRPr="00D55A27" w:rsidTr="00500FFB">
        <w:trPr>
          <w:trHeight w:val="240"/>
          <w:tblHeader/>
        </w:trPr>
        <w:tc>
          <w:tcPr>
            <w:tcW w:w="4726" w:type="dxa"/>
            <w:vMerge/>
            <w:tcBorders>
              <w:top w:val="single" w:sz="12" w:space="0" w:color="auto"/>
              <w:bottom w:val="single" w:sz="12" w:space="0" w:color="auto"/>
            </w:tcBorders>
            <w:shd w:val="clear" w:color="auto" w:fill="auto"/>
            <w:vAlign w:val="bottom"/>
            <w:hideMark/>
          </w:tcPr>
          <w:p w:rsidR="00C21DAA" w:rsidRPr="00500FFB" w:rsidRDefault="00C21DAA">
            <w:pPr>
              <w:spacing w:before="40" w:after="40" w:line="220" w:lineRule="exact"/>
              <w:rPr>
                <w:bCs/>
                <w:sz w:val="18"/>
              </w:rPr>
            </w:pPr>
          </w:p>
        </w:tc>
        <w:tc>
          <w:tcPr>
            <w:tcW w:w="867"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834"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944"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r>
      <w:tr w:rsidR="00D55A27" w:rsidRPr="00D55A27" w:rsidTr="00500FFB">
        <w:trPr>
          <w:trHeight w:val="240"/>
        </w:trPr>
        <w:tc>
          <w:tcPr>
            <w:tcW w:w="4726" w:type="dxa"/>
            <w:tcBorders>
              <w:top w:val="single" w:sz="12" w:space="0" w:color="auto"/>
            </w:tcBorders>
            <w:shd w:val="clear" w:color="auto" w:fill="auto"/>
            <w:hideMark/>
          </w:tcPr>
          <w:p w:rsidR="00C21DAA" w:rsidRPr="00D55A27" w:rsidRDefault="00115B35">
            <w:pPr>
              <w:spacing w:before="40" w:after="40" w:line="220" w:lineRule="exact"/>
              <w:rPr>
                <w:sz w:val="18"/>
                <w:lang w:val="es-AR"/>
              </w:rPr>
            </w:pPr>
            <w:r w:rsidRPr="00D55A27">
              <w:rPr>
                <w:sz w:val="18"/>
                <w:lang w:val="es-AR"/>
              </w:rPr>
              <w:t>¿Consumiste psicofármacos alguna vez en la vida?</w:t>
            </w:r>
          </w:p>
        </w:tc>
        <w:tc>
          <w:tcPr>
            <w:tcW w:w="867"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5,1%</w:t>
            </w:r>
          </w:p>
        </w:tc>
        <w:tc>
          <w:tcPr>
            <w:tcW w:w="834"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5,8%</w:t>
            </w:r>
          </w:p>
        </w:tc>
        <w:tc>
          <w:tcPr>
            <w:tcW w:w="944"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5,9%</w:t>
            </w:r>
          </w:p>
        </w:tc>
      </w:tr>
      <w:tr w:rsidR="00D55A27" w:rsidRPr="00D55A27" w:rsidTr="00500FFB">
        <w:trPr>
          <w:trHeight w:val="240"/>
        </w:trPr>
        <w:tc>
          <w:tcPr>
            <w:tcW w:w="4726" w:type="dxa"/>
            <w:shd w:val="clear" w:color="auto" w:fill="auto"/>
            <w:hideMark/>
          </w:tcPr>
          <w:p w:rsidR="00C21DAA" w:rsidRPr="00D55A27" w:rsidRDefault="00115B35">
            <w:pPr>
              <w:spacing w:before="40" w:after="40" w:line="220" w:lineRule="exact"/>
              <w:rPr>
                <w:sz w:val="18"/>
                <w:lang w:val="es-AR"/>
              </w:rPr>
            </w:pPr>
            <w:r w:rsidRPr="00D55A27">
              <w:rPr>
                <w:sz w:val="18"/>
                <w:lang w:val="es-AR"/>
              </w:rPr>
              <w:t>¿Consumiste psicofármacos al menos una vez en el último año?</w:t>
            </w:r>
          </w:p>
        </w:tc>
        <w:tc>
          <w:tcPr>
            <w:tcW w:w="867"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3,0%</w:t>
            </w:r>
          </w:p>
        </w:tc>
        <w:tc>
          <w:tcPr>
            <w:tcW w:w="834"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3,0%</w:t>
            </w:r>
          </w:p>
        </w:tc>
        <w:tc>
          <w:tcPr>
            <w:tcW w:w="944"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3,3%</w:t>
            </w:r>
          </w:p>
        </w:tc>
      </w:tr>
      <w:tr w:rsidR="00D55A27" w:rsidRPr="00D55A27" w:rsidTr="00500FFB">
        <w:trPr>
          <w:trHeight w:val="240"/>
        </w:trPr>
        <w:tc>
          <w:tcPr>
            <w:tcW w:w="4726" w:type="dxa"/>
            <w:tcBorders>
              <w:bottom w:val="single" w:sz="12" w:space="0" w:color="auto"/>
            </w:tcBorders>
            <w:shd w:val="clear" w:color="auto" w:fill="auto"/>
            <w:hideMark/>
          </w:tcPr>
          <w:p w:rsidR="00C21DAA" w:rsidRPr="00D55A27" w:rsidRDefault="00115B35">
            <w:pPr>
              <w:spacing w:before="40" w:after="40" w:line="220" w:lineRule="exact"/>
              <w:rPr>
                <w:sz w:val="18"/>
                <w:lang w:val="es-AR"/>
              </w:rPr>
            </w:pPr>
            <w:r w:rsidRPr="00D55A27">
              <w:rPr>
                <w:sz w:val="18"/>
                <w:lang w:val="es-AR"/>
              </w:rPr>
              <w:t>¿Consumiste psicofármacos al menos una vez en el último mes?</w:t>
            </w:r>
          </w:p>
        </w:tc>
        <w:tc>
          <w:tcPr>
            <w:tcW w:w="867"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1,6%</w:t>
            </w:r>
          </w:p>
        </w:tc>
        <w:tc>
          <w:tcPr>
            <w:tcW w:w="834"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1,8%</w:t>
            </w:r>
          </w:p>
        </w:tc>
        <w:tc>
          <w:tcPr>
            <w:tcW w:w="944"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1,8%</w:t>
            </w:r>
          </w:p>
        </w:tc>
      </w:tr>
    </w:tbl>
    <w:p w:rsidR="00C21DAA" w:rsidRPr="00FE07FE" w:rsidRDefault="00C21DAA">
      <w:pPr>
        <w:ind w:left="-993"/>
        <w:rPr>
          <w:lang w:val="es-AR"/>
        </w:rPr>
      </w:pP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738"/>
        <w:gridCol w:w="626"/>
        <w:gridCol w:w="623"/>
        <w:gridCol w:w="626"/>
        <w:gridCol w:w="630"/>
        <w:gridCol w:w="623"/>
        <w:gridCol w:w="626"/>
        <w:gridCol w:w="626"/>
        <w:gridCol w:w="623"/>
        <w:gridCol w:w="623"/>
      </w:tblGrid>
      <w:tr w:rsidR="00D55A27" w:rsidRPr="00D55A27" w:rsidTr="00500FFB">
        <w:trPr>
          <w:trHeight w:val="240"/>
          <w:tblHeader/>
        </w:trPr>
        <w:tc>
          <w:tcPr>
            <w:tcW w:w="3222" w:type="dxa"/>
            <w:vMerge w:val="restart"/>
            <w:tcBorders>
              <w:top w:val="single" w:sz="4" w:space="0" w:color="auto"/>
              <w:bottom w:val="single" w:sz="12" w:space="0" w:color="auto"/>
            </w:tcBorders>
            <w:shd w:val="clear" w:color="auto" w:fill="auto"/>
            <w:noWrap/>
            <w:vAlign w:val="bottom"/>
            <w:hideMark/>
          </w:tcPr>
          <w:p w:rsidR="00C21DAA" w:rsidRPr="00D55A27" w:rsidRDefault="00115B35">
            <w:pPr>
              <w:spacing w:before="80" w:after="80" w:line="200" w:lineRule="exact"/>
              <w:rPr>
                <w:bCs/>
                <w:i/>
                <w:sz w:val="16"/>
              </w:rPr>
            </w:pPr>
            <w:r w:rsidRPr="00D55A27">
              <w:rPr>
                <w:bCs/>
                <w:i/>
                <w:sz w:val="16"/>
              </w:rPr>
              <w:t>Prevalencia</w:t>
            </w:r>
          </w:p>
        </w:tc>
        <w:tc>
          <w:tcPr>
            <w:tcW w:w="2163" w:type="dxa"/>
            <w:gridSpan w:val="3"/>
            <w:tcBorders>
              <w:top w:val="single" w:sz="4" w:space="0" w:color="auto"/>
              <w:bottom w:val="single" w:sz="4" w:space="0" w:color="auto"/>
              <w:right w:val="single" w:sz="18" w:space="0" w:color="FFFFFF" w:themeColor="background1"/>
            </w:tcBorders>
            <w:shd w:val="clear" w:color="auto" w:fill="auto"/>
            <w:noWrap/>
            <w:vAlign w:val="bottom"/>
            <w:hideMark/>
          </w:tcPr>
          <w:p w:rsidR="00C21DAA" w:rsidRPr="00D55A27" w:rsidRDefault="00115B35" w:rsidP="00500FFB">
            <w:pPr>
              <w:spacing w:before="80" w:after="80" w:line="200" w:lineRule="exact"/>
              <w:ind w:left="113"/>
              <w:jc w:val="center"/>
              <w:rPr>
                <w:bCs/>
                <w:i/>
                <w:sz w:val="16"/>
              </w:rPr>
            </w:pPr>
            <w:r w:rsidRPr="00D55A27">
              <w:rPr>
                <w:bCs/>
                <w:i/>
                <w:sz w:val="16"/>
              </w:rPr>
              <w:t>14 años o menos</w:t>
            </w:r>
          </w:p>
        </w:tc>
        <w:tc>
          <w:tcPr>
            <w:tcW w:w="2163" w:type="dxa"/>
            <w:gridSpan w:val="3"/>
            <w:tcBorders>
              <w:top w:val="single" w:sz="4" w:space="0" w:color="auto"/>
              <w:left w:val="single" w:sz="18" w:space="0" w:color="FFFFFF" w:themeColor="background1"/>
              <w:bottom w:val="single" w:sz="4" w:space="0" w:color="auto"/>
              <w:right w:val="single" w:sz="18" w:space="0" w:color="FFFFFF" w:themeColor="background1"/>
            </w:tcBorders>
            <w:shd w:val="clear" w:color="auto" w:fill="auto"/>
            <w:noWrap/>
            <w:vAlign w:val="bottom"/>
            <w:hideMark/>
          </w:tcPr>
          <w:p w:rsidR="00C21DAA" w:rsidRPr="00D55A27" w:rsidRDefault="00115B35" w:rsidP="00500FFB">
            <w:pPr>
              <w:spacing w:before="80" w:after="80" w:line="200" w:lineRule="exact"/>
              <w:ind w:left="113"/>
              <w:jc w:val="center"/>
              <w:rPr>
                <w:bCs/>
                <w:i/>
                <w:sz w:val="16"/>
              </w:rPr>
            </w:pPr>
            <w:r w:rsidRPr="00D55A27">
              <w:rPr>
                <w:bCs/>
                <w:i/>
                <w:sz w:val="16"/>
              </w:rPr>
              <w:t>15 y 16 años</w:t>
            </w:r>
          </w:p>
        </w:tc>
        <w:tc>
          <w:tcPr>
            <w:tcW w:w="2163" w:type="dxa"/>
            <w:gridSpan w:val="3"/>
            <w:tcBorders>
              <w:top w:val="single" w:sz="4" w:space="0" w:color="auto"/>
              <w:left w:val="single" w:sz="18" w:space="0" w:color="FFFFFF" w:themeColor="background1"/>
              <w:bottom w:val="single" w:sz="4" w:space="0" w:color="auto"/>
            </w:tcBorders>
            <w:shd w:val="clear" w:color="auto" w:fill="auto"/>
            <w:noWrap/>
            <w:vAlign w:val="bottom"/>
            <w:hideMark/>
          </w:tcPr>
          <w:p w:rsidR="00C21DAA" w:rsidRPr="00D55A27" w:rsidRDefault="00115B35" w:rsidP="00500FFB">
            <w:pPr>
              <w:spacing w:before="80" w:after="80" w:line="200" w:lineRule="exact"/>
              <w:ind w:left="113"/>
              <w:jc w:val="center"/>
              <w:rPr>
                <w:bCs/>
                <w:i/>
                <w:sz w:val="16"/>
              </w:rPr>
            </w:pPr>
            <w:r w:rsidRPr="00D55A27">
              <w:rPr>
                <w:bCs/>
                <w:i/>
                <w:sz w:val="16"/>
              </w:rPr>
              <w:t>17 años y más</w:t>
            </w:r>
          </w:p>
        </w:tc>
      </w:tr>
      <w:tr w:rsidR="00D55A27" w:rsidRPr="00D55A27" w:rsidTr="00500FFB">
        <w:trPr>
          <w:trHeight w:val="240"/>
          <w:tblHeader/>
        </w:trPr>
        <w:tc>
          <w:tcPr>
            <w:tcW w:w="3222" w:type="dxa"/>
            <w:vMerge/>
            <w:tcBorders>
              <w:top w:val="single" w:sz="12" w:space="0" w:color="auto"/>
              <w:bottom w:val="single" w:sz="12" w:space="0" w:color="auto"/>
            </w:tcBorders>
            <w:shd w:val="clear" w:color="auto" w:fill="auto"/>
            <w:vAlign w:val="bottom"/>
            <w:hideMark/>
          </w:tcPr>
          <w:p w:rsidR="00C21DAA" w:rsidRPr="00500FFB" w:rsidRDefault="00C21DAA">
            <w:pPr>
              <w:spacing w:before="40" w:after="40" w:line="220" w:lineRule="exact"/>
              <w:rPr>
                <w:bCs/>
                <w:sz w:val="18"/>
              </w:rPr>
            </w:pPr>
          </w:p>
        </w:tc>
        <w:tc>
          <w:tcPr>
            <w:tcW w:w="721"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721"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721"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c>
          <w:tcPr>
            <w:tcW w:w="721"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721"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721"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c>
          <w:tcPr>
            <w:tcW w:w="721"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721"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721"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r>
      <w:tr w:rsidR="00D55A27" w:rsidRPr="00D55A27" w:rsidTr="00D55A27">
        <w:trPr>
          <w:trHeight w:val="240"/>
        </w:trPr>
        <w:tc>
          <w:tcPr>
            <w:tcW w:w="3222" w:type="dxa"/>
            <w:tcBorders>
              <w:top w:val="single" w:sz="12" w:space="0" w:color="auto"/>
            </w:tcBorders>
            <w:shd w:val="clear" w:color="auto" w:fill="auto"/>
            <w:hideMark/>
          </w:tcPr>
          <w:p w:rsidR="00C21DAA" w:rsidRPr="00D55A27" w:rsidRDefault="00115B35">
            <w:pPr>
              <w:spacing w:before="40" w:after="40" w:line="220" w:lineRule="exact"/>
              <w:rPr>
                <w:sz w:val="18"/>
                <w:lang w:val="es-AR"/>
              </w:rPr>
            </w:pPr>
            <w:r w:rsidRPr="00D55A27">
              <w:rPr>
                <w:sz w:val="18"/>
                <w:lang w:val="es-AR"/>
              </w:rPr>
              <w:t>¿Consumiste psicofármacos alguna vez en la vida?</w:t>
            </w:r>
          </w:p>
        </w:tc>
        <w:tc>
          <w:tcPr>
            <w:tcW w:w="721"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3,3%</w:t>
            </w:r>
          </w:p>
        </w:tc>
        <w:tc>
          <w:tcPr>
            <w:tcW w:w="721"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3,5%</w:t>
            </w:r>
          </w:p>
        </w:tc>
        <w:tc>
          <w:tcPr>
            <w:tcW w:w="721"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3,7%</w:t>
            </w:r>
          </w:p>
        </w:tc>
        <w:tc>
          <w:tcPr>
            <w:tcW w:w="721"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6,1%</w:t>
            </w:r>
          </w:p>
        </w:tc>
        <w:tc>
          <w:tcPr>
            <w:tcW w:w="721"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6,5%</w:t>
            </w:r>
          </w:p>
        </w:tc>
        <w:tc>
          <w:tcPr>
            <w:tcW w:w="721"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6,7%</w:t>
            </w:r>
          </w:p>
        </w:tc>
        <w:tc>
          <w:tcPr>
            <w:tcW w:w="721"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6,1%</w:t>
            </w:r>
          </w:p>
        </w:tc>
        <w:tc>
          <w:tcPr>
            <w:tcW w:w="721"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7,4%</w:t>
            </w:r>
          </w:p>
        </w:tc>
        <w:tc>
          <w:tcPr>
            <w:tcW w:w="721"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8,1%</w:t>
            </w:r>
          </w:p>
        </w:tc>
      </w:tr>
      <w:tr w:rsidR="00D55A27" w:rsidRPr="00D55A27" w:rsidTr="00D55A27">
        <w:trPr>
          <w:trHeight w:val="240"/>
        </w:trPr>
        <w:tc>
          <w:tcPr>
            <w:tcW w:w="3222" w:type="dxa"/>
            <w:shd w:val="clear" w:color="auto" w:fill="auto"/>
            <w:hideMark/>
          </w:tcPr>
          <w:p w:rsidR="00C21DAA" w:rsidRPr="00D55A27" w:rsidRDefault="00115B35">
            <w:pPr>
              <w:spacing w:before="40" w:after="40" w:line="220" w:lineRule="exact"/>
              <w:rPr>
                <w:sz w:val="18"/>
                <w:lang w:val="es-AR"/>
              </w:rPr>
            </w:pPr>
            <w:r w:rsidRPr="00D55A27">
              <w:rPr>
                <w:sz w:val="18"/>
                <w:lang w:val="es-AR"/>
              </w:rPr>
              <w:t>¿Consumiste psicofármacos al menos una vez en el último año?</w:t>
            </w:r>
          </w:p>
        </w:tc>
        <w:tc>
          <w:tcPr>
            <w:tcW w:w="721"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1,9%</w:t>
            </w:r>
          </w:p>
        </w:tc>
        <w:tc>
          <w:tcPr>
            <w:tcW w:w="721"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1,8%</w:t>
            </w:r>
          </w:p>
        </w:tc>
        <w:tc>
          <w:tcPr>
            <w:tcW w:w="721"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2,1%</w:t>
            </w:r>
          </w:p>
        </w:tc>
        <w:tc>
          <w:tcPr>
            <w:tcW w:w="721"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3,9%</w:t>
            </w:r>
          </w:p>
        </w:tc>
        <w:tc>
          <w:tcPr>
            <w:tcW w:w="721"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3,5%</w:t>
            </w:r>
          </w:p>
        </w:tc>
        <w:tc>
          <w:tcPr>
            <w:tcW w:w="721"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3,9%</w:t>
            </w:r>
          </w:p>
        </w:tc>
        <w:tc>
          <w:tcPr>
            <w:tcW w:w="721"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3,3%</w:t>
            </w:r>
          </w:p>
        </w:tc>
        <w:tc>
          <w:tcPr>
            <w:tcW w:w="721"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3,9%</w:t>
            </w:r>
          </w:p>
        </w:tc>
        <w:tc>
          <w:tcPr>
            <w:tcW w:w="721"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4,3%</w:t>
            </w:r>
          </w:p>
        </w:tc>
      </w:tr>
      <w:tr w:rsidR="00D55A27" w:rsidRPr="00D55A27" w:rsidTr="00D55A27">
        <w:trPr>
          <w:trHeight w:val="240"/>
        </w:trPr>
        <w:tc>
          <w:tcPr>
            <w:tcW w:w="3222" w:type="dxa"/>
            <w:tcBorders>
              <w:bottom w:val="single" w:sz="12" w:space="0" w:color="auto"/>
            </w:tcBorders>
            <w:shd w:val="clear" w:color="auto" w:fill="auto"/>
            <w:hideMark/>
          </w:tcPr>
          <w:p w:rsidR="00C21DAA" w:rsidRPr="00D55A27" w:rsidRDefault="00115B35">
            <w:pPr>
              <w:spacing w:before="40" w:after="40" w:line="220" w:lineRule="exact"/>
              <w:rPr>
                <w:sz w:val="18"/>
                <w:lang w:val="es-AR"/>
              </w:rPr>
            </w:pPr>
            <w:r w:rsidRPr="00D55A27">
              <w:rPr>
                <w:sz w:val="18"/>
                <w:lang w:val="es-AR"/>
              </w:rPr>
              <w:t>¿Consumiste psicofármacos al menos una vez en el último mes?</w:t>
            </w:r>
          </w:p>
        </w:tc>
        <w:tc>
          <w:tcPr>
            <w:tcW w:w="721"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1,1%</w:t>
            </w:r>
          </w:p>
        </w:tc>
        <w:tc>
          <w:tcPr>
            <w:tcW w:w="721"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1,1%</w:t>
            </w:r>
          </w:p>
        </w:tc>
        <w:tc>
          <w:tcPr>
            <w:tcW w:w="721"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1,2%</w:t>
            </w:r>
          </w:p>
        </w:tc>
        <w:tc>
          <w:tcPr>
            <w:tcW w:w="721"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2,1%</w:t>
            </w:r>
          </w:p>
        </w:tc>
        <w:tc>
          <w:tcPr>
            <w:tcW w:w="721"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2,0%</w:t>
            </w:r>
          </w:p>
        </w:tc>
        <w:tc>
          <w:tcPr>
            <w:tcW w:w="721"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2,1%</w:t>
            </w:r>
          </w:p>
        </w:tc>
        <w:tc>
          <w:tcPr>
            <w:tcW w:w="721"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1,7%</w:t>
            </w:r>
          </w:p>
        </w:tc>
        <w:tc>
          <w:tcPr>
            <w:tcW w:w="721"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2,3%</w:t>
            </w:r>
          </w:p>
        </w:tc>
        <w:tc>
          <w:tcPr>
            <w:tcW w:w="721"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2,2%</w:t>
            </w:r>
          </w:p>
        </w:tc>
      </w:tr>
    </w:tbl>
    <w:p w:rsidR="00C21DAA" w:rsidRPr="00FE07FE" w:rsidRDefault="00C21DAA">
      <w:pPr>
        <w:ind w:left="-993"/>
        <w:rPr>
          <w:lang w:val="es-AR"/>
        </w:rPr>
      </w:pPr>
    </w:p>
    <w:p w:rsidR="00C21DAA" w:rsidRPr="00FE07FE" w:rsidRDefault="00C21DAA">
      <w:pPr>
        <w:ind w:left="-993"/>
        <w:rPr>
          <w:lang w:val="es-AR"/>
        </w:rPr>
      </w:pP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737"/>
        <w:gridCol w:w="626"/>
        <w:gridCol w:w="622"/>
        <w:gridCol w:w="628"/>
        <w:gridCol w:w="629"/>
        <w:gridCol w:w="622"/>
        <w:gridCol w:w="628"/>
        <w:gridCol w:w="626"/>
        <w:gridCol w:w="622"/>
        <w:gridCol w:w="624"/>
      </w:tblGrid>
      <w:tr w:rsidR="00D55A27" w:rsidRPr="00D55A27" w:rsidTr="00500FFB">
        <w:trPr>
          <w:trHeight w:val="240"/>
          <w:tblHeader/>
        </w:trPr>
        <w:tc>
          <w:tcPr>
            <w:tcW w:w="3202" w:type="dxa"/>
            <w:vMerge w:val="restart"/>
            <w:tcBorders>
              <w:top w:val="single" w:sz="4" w:space="0" w:color="auto"/>
              <w:bottom w:val="single" w:sz="12" w:space="0" w:color="auto"/>
            </w:tcBorders>
            <w:shd w:val="clear" w:color="auto" w:fill="auto"/>
            <w:noWrap/>
            <w:vAlign w:val="bottom"/>
            <w:hideMark/>
          </w:tcPr>
          <w:p w:rsidR="00C21DAA" w:rsidRPr="00D55A27" w:rsidRDefault="00115B35">
            <w:pPr>
              <w:spacing w:before="80" w:after="80" w:line="200" w:lineRule="exact"/>
              <w:rPr>
                <w:bCs/>
                <w:i/>
                <w:sz w:val="16"/>
              </w:rPr>
            </w:pPr>
            <w:r w:rsidRPr="00D55A27">
              <w:rPr>
                <w:bCs/>
                <w:i/>
                <w:sz w:val="16"/>
              </w:rPr>
              <w:t>Prevalencia</w:t>
            </w:r>
          </w:p>
        </w:tc>
        <w:tc>
          <w:tcPr>
            <w:tcW w:w="2150" w:type="dxa"/>
            <w:gridSpan w:val="3"/>
            <w:tcBorders>
              <w:top w:val="single" w:sz="4" w:space="0" w:color="auto"/>
              <w:bottom w:val="single" w:sz="4" w:space="0" w:color="auto"/>
              <w:right w:val="single" w:sz="18" w:space="0" w:color="FFFFFF" w:themeColor="background1"/>
            </w:tcBorders>
            <w:shd w:val="clear" w:color="auto" w:fill="auto"/>
            <w:noWrap/>
            <w:vAlign w:val="bottom"/>
            <w:hideMark/>
          </w:tcPr>
          <w:p w:rsidR="00C21DAA" w:rsidRPr="00D55A27" w:rsidRDefault="00115B35" w:rsidP="00500FFB">
            <w:pPr>
              <w:spacing w:before="80" w:after="80" w:line="200" w:lineRule="exact"/>
              <w:ind w:left="113"/>
              <w:jc w:val="center"/>
              <w:rPr>
                <w:bCs/>
                <w:i/>
                <w:sz w:val="16"/>
              </w:rPr>
            </w:pPr>
            <w:r w:rsidRPr="00D55A27">
              <w:rPr>
                <w:bCs/>
                <w:i/>
                <w:sz w:val="16"/>
              </w:rPr>
              <w:t>14 años o menos</w:t>
            </w:r>
          </w:p>
        </w:tc>
        <w:tc>
          <w:tcPr>
            <w:tcW w:w="2150" w:type="dxa"/>
            <w:gridSpan w:val="3"/>
            <w:tcBorders>
              <w:top w:val="single" w:sz="4" w:space="0" w:color="auto"/>
              <w:left w:val="single" w:sz="18" w:space="0" w:color="FFFFFF" w:themeColor="background1"/>
              <w:bottom w:val="single" w:sz="4" w:space="0" w:color="auto"/>
              <w:right w:val="single" w:sz="18" w:space="0" w:color="FFFFFF" w:themeColor="background1"/>
            </w:tcBorders>
            <w:shd w:val="clear" w:color="auto" w:fill="auto"/>
            <w:noWrap/>
            <w:vAlign w:val="bottom"/>
            <w:hideMark/>
          </w:tcPr>
          <w:p w:rsidR="00C21DAA" w:rsidRPr="00D55A27" w:rsidRDefault="00115B35" w:rsidP="00500FFB">
            <w:pPr>
              <w:spacing w:before="80" w:after="80" w:line="200" w:lineRule="exact"/>
              <w:ind w:left="113"/>
              <w:jc w:val="center"/>
              <w:rPr>
                <w:bCs/>
                <w:i/>
                <w:sz w:val="16"/>
              </w:rPr>
            </w:pPr>
            <w:r w:rsidRPr="00D55A27">
              <w:rPr>
                <w:bCs/>
                <w:i/>
                <w:sz w:val="16"/>
              </w:rPr>
              <w:t>15 y 16 años</w:t>
            </w:r>
          </w:p>
        </w:tc>
        <w:tc>
          <w:tcPr>
            <w:tcW w:w="2150" w:type="dxa"/>
            <w:gridSpan w:val="3"/>
            <w:tcBorders>
              <w:top w:val="single" w:sz="4" w:space="0" w:color="auto"/>
              <w:left w:val="single" w:sz="18" w:space="0" w:color="FFFFFF" w:themeColor="background1"/>
              <w:bottom w:val="single" w:sz="4" w:space="0" w:color="auto"/>
            </w:tcBorders>
            <w:shd w:val="clear" w:color="auto" w:fill="auto"/>
            <w:noWrap/>
            <w:vAlign w:val="bottom"/>
            <w:hideMark/>
          </w:tcPr>
          <w:p w:rsidR="00C21DAA" w:rsidRPr="00D55A27" w:rsidRDefault="00115B35" w:rsidP="00500FFB">
            <w:pPr>
              <w:spacing w:before="80" w:after="80" w:line="200" w:lineRule="exact"/>
              <w:ind w:left="113"/>
              <w:jc w:val="center"/>
              <w:rPr>
                <w:bCs/>
                <w:i/>
                <w:sz w:val="16"/>
              </w:rPr>
            </w:pPr>
            <w:r w:rsidRPr="00D55A27">
              <w:rPr>
                <w:bCs/>
                <w:i/>
                <w:sz w:val="16"/>
              </w:rPr>
              <w:t>17 años y más</w:t>
            </w:r>
          </w:p>
        </w:tc>
      </w:tr>
      <w:tr w:rsidR="00D55A27" w:rsidRPr="00D55A27" w:rsidTr="00500FFB">
        <w:trPr>
          <w:trHeight w:val="240"/>
          <w:tblHeader/>
        </w:trPr>
        <w:tc>
          <w:tcPr>
            <w:tcW w:w="3202" w:type="dxa"/>
            <w:vMerge/>
            <w:tcBorders>
              <w:top w:val="single" w:sz="12" w:space="0" w:color="auto"/>
              <w:bottom w:val="single" w:sz="12" w:space="0" w:color="auto"/>
            </w:tcBorders>
            <w:shd w:val="clear" w:color="auto" w:fill="auto"/>
            <w:vAlign w:val="bottom"/>
            <w:hideMark/>
          </w:tcPr>
          <w:p w:rsidR="00C21DAA" w:rsidRPr="00500FFB" w:rsidRDefault="00C21DAA">
            <w:pPr>
              <w:spacing w:before="40" w:after="40" w:line="220" w:lineRule="exact"/>
              <w:rPr>
                <w:bCs/>
                <w:sz w:val="18"/>
              </w:rPr>
            </w:pPr>
          </w:p>
        </w:tc>
        <w:tc>
          <w:tcPr>
            <w:tcW w:w="71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71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718"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c>
          <w:tcPr>
            <w:tcW w:w="716"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71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718" w:type="dxa"/>
            <w:tcBorders>
              <w:top w:val="single" w:sz="4" w:space="0" w:color="auto"/>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c>
          <w:tcPr>
            <w:tcW w:w="716" w:type="dxa"/>
            <w:tcBorders>
              <w:top w:val="single" w:sz="4" w:space="0" w:color="auto"/>
              <w:left w:val="single" w:sz="18" w:space="0" w:color="FFFFFF" w:themeColor="background1"/>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2009</w:t>
            </w:r>
          </w:p>
        </w:tc>
        <w:tc>
          <w:tcPr>
            <w:tcW w:w="716"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2011</w:t>
            </w:r>
          </w:p>
        </w:tc>
        <w:tc>
          <w:tcPr>
            <w:tcW w:w="718" w:type="dxa"/>
            <w:tcBorders>
              <w:top w:val="single" w:sz="4" w:space="0" w:color="auto"/>
              <w:bottom w:val="single" w:sz="12" w:space="0" w:color="auto"/>
            </w:tcBorders>
            <w:shd w:val="clear" w:color="auto" w:fill="auto"/>
            <w:noWrap/>
            <w:vAlign w:val="bottom"/>
            <w:hideMark/>
          </w:tcPr>
          <w:p w:rsidR="00C21DAA" w:rsidRPr="00500FFB" w:rsidRDefault="00115B35" w:rsidP="00500FFB">
            <w:pPr>
              <w:spacing w:before="80" w:after="80" w:line="200" w:lineRule="exact"/>
              <w:ind w:left="113"/>
              <w:jc w:val="right"/>
              <w:rPr>
                <w:bCs/>
                <w:i/>
                <w:sz w:val="16"/>
              </w:rPr>
            </w:pPr>
            <w:r w:rsidRPr="00500FFB">
              <w:rPr>
                <w:bCs/>
                <w:i/>
                <w:sz w:val="16"/>
              </w:rPr>
              <w:t>2014</w:t>
            </w:r>
          </w:p>
        </w:tc>
      </w:tr>
      <w:tr w:rsidR="00D55A27" w:rsidRPr="00D55A27" w:rsidTr="00500FFB">
        <w:trPr>
          <w:trHeight w:val="240"/>
        </w:trPr>
        <w:tc>
          <w:tcPr>
            <w:tcW w:w="3202" w:type="dxa"/>
            <w:tcBorders>
              <w:top w:val="single" w:sz="12" w:space="0" w:color="auto"/>
            </w:tcBorders>
            <w:shd w:val="clear" w:color="auto" w:fill="auto"/>
            <w:hideMark/>
          </w:tcPr>
          <w:p w:rsidR="00C21DAA" w:rsidRPr="00D55A27" w:rsidRDefault="00115B35">
            <w:pPr>
              <w:spacing w:before="40" w:after="40" w:line="220" w:lineRule="exact"/>
              <w:rPr>
                <w:sz w:val="18"/>
                <w:lang w:val="es-AR"/>
              </w:rPr>
            </w:pPr>
            <w:r w:rsidRPr="00D55A27">
              <w:rPr>
                <w:sz w:val="18"/>
                <w:lang w:val="es-AR"/>
              </w:rPr>
              <w:t>¿Consumiste cocaína alguna vez en la vida?</w:t>
            </w:r>
          </w:p>
        </w:tc>
        <w:tc>
          <w:tcPr>
            <w:tcW w:w="716"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1,7%</w:t>
            </w:r>
          </w:p>
        </w:tc>
        <w:tc>
          <w:tcPr>
            <w:tcW w:w="716"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2,2%</w:t>
            </w:r>
          </w:p>
        </w:tc>
        <w:tc>
          <w:tcPr>
            <w:tcW w:w="718"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1,9%</w:t>
            </w:r>
          </w:p>
        </w:tc>
        <w:tc>
          <w:tcPr>
            <w:tcW w:w="716"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4,8%</w:t>
            </w:r>
          </w:p>
        </w:tc>
        <w:tc>
          <w:tcPr>
            <w:tcW w:w="716"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4,8%</w:t>
            </w:r>
          </w:p>
        </w:tc>
        <w:tc>
          <w:tcPr>
            <w:tcW w:w="718"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3,8%</w:t>
            </w:r>
          </w:p>
        </w:tc>
        <w:tc>
          <w:tcPr>
            <w:tcW w:w="716"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5,9%</w:t>
            </w:r>
          </w:p>
        </w:tc>
        <w:tc>
          <w:tcPr>
            <w:tcW w:w="716"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6,7%</w:t>
            </w:r>
          </w:p>
        </w:tc>
        <w:tc>
          <w:tcPr>
            <w:tcW w:w="718" w:type="dxa"/>
            <w:tcBorders>
              <w:top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6,1%</w:t>
            </w:r>
          </w:p>
        </w:tc>
      </w:tr>
      <w:tr w:rsidR="00D55A27" w:rsidRPr="00D55A27" w:rsidTr="00D55A27">
        <w:trPr>
          <w:trHeight w:val="240"/>
        </w:trPr>
        <w:tc>
          <w:tcPr>
            <w:tcW w:w="3202" w:type="dxa"/>
            <w:shd w:val="clear" w:color="auto" w:fill="auto"/>
            <w:hideMark/>
          </w:tcPr>
          <w:p w:rsidR="00C21DAA" w:rsidRPr="00D55A27" w:rsidRDefault="00115B35">
            <w:pPr>
              <w:spacing w:before="40" w:after="40" w:line="220" w:lineRule="exact"/>
              <w:rPr>
                <w:sz w:val="18"/>
                <w:lang w:val="es-AR"/>
              </w:rPr>
            </w:pPr>
            <w:r w:rsidRPr="00D55A27">
              <w:rPr>
                <w:sz w:val="18"/>
                <w:lang w:val="es-AR"/>
              </w:rPr>
              <w:t>¿Consumiste cocaína al menos una vez en el último año?</w:t>
            </w:r>
          </w:p>
        </w:tc>
        <w:tc>
          <w:tcPr>
            <w:tcW w:w="716"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0,9%</w:t>
            </w:r>
          </w:p>
        </w:tc>
        <w:tc>
          <w:tcPr>
            <w:tcW w:w="716"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1,2%</w:t>
            </w:r>
          </w:p>
        </w:tc>
        <w:tc>
          <w:tcPr>
            <w:tcW w:w="718"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1,0%</w:t>
            </w:r>
          </w:p>
        </w:tc>
        <w:tc>
          <w:tcPr>
            <w:tcW w:w="716"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2,9%</w:t>
            </w:r>
          </w:p>
        </w:tc>
        <w:tc>
          <w:tcPr>
            <w:tcW w:w="716"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2,7%</w:t>
            </w:r>
          </w:p>
        </w:tc>
        <w:tc>
          <w:tcPr>
            <w:tcW w:w="718"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2,1%</w:t>
            </w:r>
          </w:p>
        </w:tc>
        <w:tc>
          <w:tcPr>
            <w:tcW w:w="716"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3,2%</w:t>
            </w:r>
          </w:p>
        </w:tc>
        <w:tc>
          <w:tcPr>
            <w:tcW w:w="716"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3,8%</w:t>
            </w:r>
          </w:p>
        </w:tc>
        <w:tc>
          <w:tcPr>
            <w:tcW w:w="718" w:type="dxa"/>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3,2%</w:t>
            </w:r>
          </w:p>
        </w:tc>
      </w:tr>
      <w:tr w:rsidR="00D55A27" w:rsidRPr="00D55A27" w:rsidTr="00500FFB">
        <w:trPr>
          <w:trHeight w:val="240"/>
        </w:trPr>
        <w:tc>
          <w:tcPr>
            <w:tcW w:w="3202" w:type="dxa"/>
            <w:tcBorders>
              <w:bottom w:val="single" w:sz="12" w:space="0" w:color="auto"/>
            </w:tcBorders>
            <w:shd w:val="clear" w:color="auto" w:fill="auto"/>
            <w:hideMark/>
          </w:tcPr>
          <w:p w:rsidR="00C21DAA" w:rsidRPr="00D55A27" w:rsidRDefault="00115B35">
            <w:pPr>
              <w:spacing w:before="40" w:after="40" w:line="220" w:lineRule="exact"/>
              <w:rPr>
                <w:sz w:val="18"/>
                <w:lang w:val="es-AR"/>
              </w:rPr>
            </w:pPr>
            <w:r w:rsidRPr="00D55A27">
              <w:rPr>
                <w:sz w:val="18"/>
                <w:lang w:val="es-AR"/>
              </w:rPr>
              <w:t>¿Consumiste cocaína al menos una vez en el último mes?</w:t>
            </w:r>
          </w:p>
        </w:tc>
        <w:tc>
          <w:tcPr>
            <w:tcW w:w="716"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0,6%</w:t>
            </w:r>
          </w:p>
        </w:tc>
        <w:tc>
          <w:tcPr>
            <w:tcW w:w="716"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0,7%</w:t>
            </w:r>
          </w:p>
        </w:tc>
        <w:tc>
          <w:tcPr>
            <w:tcW w:w="718"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0,6%</w:t>
            </w:r>
          </w:p>
        </w:tc>
        <w:tc>
          <w:tcPr>
            <w:tcW w:w="716"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1,8%</w:t>
            </w:r>
          </w:p>
        </w:tc>
        <w:tc>
          <w:tcPr>
            <w:tcW w:w="716"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1,4%</w:t>
            </w:r>
          </w:p>
        </w:tc>
        <w:tc>
          <w:tcPr>
            <w:tcW w:w="718"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1,0%</w:t>
            </w:r>
          </w:p>
        </w:tc>
        <w:tc>
          <w:tcPr>
            <w:tcW w:w="716"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1,6%</w:t>
            </w:r>
          </w:p>
        </w:tc>
        <w:tc>
          <w:tcPr>
            <w:tcW w:w="716"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1,9%</w:t>
            </w:r>
          </w:p>
        </w:tc>
        <w:tc>
          <w:tcPr>
            <w:tcW w:w="718" w:type="dxa"/>
            <w:tcBorders>
              <w:bottom w:val="single" w:sz="12" w:space="0" w:color="auto"/>
            </w:tcBorders>
            <w:shd w:val="clear" w:color="auto" w:fill="auto"/>
            <w:noWrap/>
            <w:vAlign w:val="bottom"/>
            <w:hideMark/>
          </w:tcPr>
          <w:p w:rsidR="00C21DAA" w:rsidRPr="00D55A27" w:rsidRDefault="00115B35" w:rsidP="00500FFB">
            <w:pPr>
              <w:spacing w:before="40" w:after="40" w:line="220" w:lineRule="exact"/>
              <w:ind w:left="113"/>
              <w:jc w:val="right"/>
              <w:rPr>
                <w:sz w:val="18"/>
              </w:rPr>
            </w:pPr>
            <w:r w:rsidRPr="00D55A27">
              <w:rPr>
                <w:sz w:val="18"/>
              </w:rPr>
              <w:t>1,5%</w:t>
            </w:r>
          </w:p>
        </w:tc>
      </w:tr>
    </w:tbl>
    <w:p w:rsidR="00C21DAA" w:rsidRPr="00FE07FE" w:rsidRDefault="00115B35">
      <w:pPr>
        <w:pStyle w:val="H23G"/>
        <w:rPr>
          <w:lang w:eastAsia="en-US"/>
        </w:rPr>
      </w:pPr>
      <w:r w:rsidRPr="00FE07FE">
        <w:rPr>
          <w:lang w:eastAsia="en-US"/>
        </w:rPr>
        <w:tab/>
      </w:r>
      <w:r w:rsidRPr="00FE07FE">
        <w:rPr>
          <w:lang w:eastAsia="en-US"/>
        </w:rPr>
        <w:tab/>
        <w:t>Derecho a un nivel de vida adecuado</w:t>
      </w:r>
    </w:p>
    <w:p w:rsidR="00C21DAA" w:rsidRPr="00FE07FE" w:rsidRDefault="00115B35">
      <w:pPr>
        <w:pStyle w:val="H4G"/>
        <w:rPr>
          <w:lang w:eastAsia="en-US"/>
        </w:rPr>
      </w:pPr>
      <w:r w:rsidRPr="00FE07FE">
        <w:rPr>
          <w:lang w:eastAsia="en-US"/>
        </w:rPr>
        <w:tab/>
      </w:r>
      <w:r w:rsidRPr="00FE07FE">
        <w:rPr>
          <w:lang w:eastAsia="en-US"/>
        </w:rPr>
        <w:tab/>
        <w:t>Párrafo 65</w:t>
      </w:r>
    </w:p>
    <w:p w:rsidR="00C21DAA" w:rsidRPr="00FE07FE" w:rsidRDefault="00FE07FE" w:rsidP="00500FFB">
      <w:pPr>
        <w:pStyle w:val="SingleTxtG"/>
        <w:rPr>
          <w:i/>
          <w:lang w:val="es-MX" w:eastAsia="en-US"/>
        </w:rPr>
      </w:pPr>
      <w:r w:rsidRPr="00500FFB">
        <w:rPr>
          <w:lang w:val="es-MX" w:eastAsia="en-US"/>
        </w:rPr>
        <w:t>196.</w:t>
      </w:r>
      <w:r w:rsidRPr="00500FFB">
        <w:rPr>
          <w:lang w:val="es-MX" w:eastAsia="en-US"/>
        </w:rPr>
        <w:tab/>
      </w:r>
      <w:r w:rsidR="00115B35" w:rsidRPr="00FE07FE">
        <w:rPr>
          <w:lang w:val="es-MX" w:eastAsia="en-US"/>
        </w:rPr>
        <w:t xml:space="preserve">El INDEC por </w:t>
      </w:r>
      <w:r w:rsidR="00D55A27">
        <w:rPr>
          <w:lang w:val="es-MX" w:eastAsia="en-US"/>
        </w:rPr>
        <w:t>D</w:t>
      </w:r>
      <w:r w:rsidR="00115B35" w:rsidRPr="00FE07FE">
        <w:rPr>
          <w:lang w:val="es-MX" w:eastAsia="en-US"/>
        </w:rPr>
        <w:t xml:space="preserve">ecreto </w:t>
      </w:r>
      <w:r w:rsidR="00D55A27">
        <w:rPr>
          <w:lang w:val="es-MX" w:eastAsia="en-US"/>
        </w:rPr>
        <w:t xml:space="preserve">núms. </w:t>
      </w:r>
      <w:r w:rsidR="00115B35" w:rsidRPr="00FE07FE">
        <w:rPr>
          <w:lang w:val="es-MX" w:eastAsia="en-US"/>
        </w:rPr>
        <w:t xml:space="preserve">181/15 y 55/16 dispuso las </w:t>
      </w:r>
      <w:r w:rsidR="00115B35" w:rsidRPr="00FE07FE">
        <w:rPr>
          <w:i/>
          <w:lang w:val="es-MX" w:eastAsia="en-US"/>
        </w:rPr>
        <w:t>investigaciones</w:t>
      </w:r>
      <w:r w:rsidR="00115B35" w:rsidRPr="00FE07FE">
        <w:rPr>
          <w:lang w:val="es-MX" w:eastAsia="en-US"/>
        </w:rPr>
        <w:t xml:space="preserve"> para establecer la regularidad de </w:t>
      </w:r>
      <w:r w:rsidR="00115B35" w:rsidRPr="00FE07FE">
        <w:rPr>
          <w:i/>
          <w:lang w:val="es-MX" w:eastAsia="en-US"/>
        </w:rPr>
        <w:t xml:space="preserve">procedimientos de obtención de datos, su procesamiento, elaboración de indicadores y difusión. </w:t>
      </w:r>
    </w:p>
    <w:p w:rsidR="00C21DAA" w:rsidRPr="00FE07FE" w:rsidRDefault="00FE07FE" w:rsidP="00500FFB">
      <w:pPr>
        <w:pStyle w:val="SingleTxtG"/>
        <w:rPr>
          <w:lang w:val="es-MX" w:eastAsia="en-US"/>
        </w:rPr>
      </w:pPr>
      <w:r w:rsidRPr="00500FFB">
        <w:rPr>
          <w:lang w:val="es-MX" w:eastAsia="en-US"/>
        </w:rPr>
        <w:t>197.</w:t>
      </w:r>
      <w:r w:rsidRPr="00500FFB">
        <w:rPr>
          <w:lang w:val="es-MX" w:eastAsia="en-US"/>
        </w:rPr>
        <w:tab/>
      </w:r>
      <w:r w:rsidR="00115B35" w:rsidRPr="00FE07FE">
        <w:rPr>
          <w:lang w:val="es-MX" w:eastAsia="en-US"/>
        </w:rPr>
        <w:t>UNICEF Argentina, presentó en 2016 un Informe en el cual indica que la pobreza total de niñas y niños y adolescentes es de 31</w:t>
      </w:r>
      <w:r w:rsidR="00D67A98">
        <w:rPr>
          <w:lang w:val="es-MX" w:eastAsia="en-US"/>
        </w:rPr>
        <w:t>,</w:t>
      </w:r>
      <w:r w:rsidR="00115B35" w:rsidRPr="00FE07FE">
        <w:rPr>
          <w:lang w:val="es-MX" w:eastAsia="en-US"/>
        </w:rPr>
        <w:t>7%, siendo la pobreza moderada de 0-5 años de 27</w:t>
      </w:r>
      <w:r w:rsidR="00D67A98">
        <w:rPr>
          <w:lang w:val="es-MX" w:eastAsia="en-US"/>
        </w:rPr>
        <w:t>,</w:t>
      </w:r>
      <w:r w:rsidR="00115B35" w:rsidRPr="00FE07FE">
        <w:rPr>
          <w:lang w:val="es-MX" w:eastAsia="en-US"/>
        </w:rPr>
        <w:t>5%, la correspondiente a la franja 6-12 años de 24</w:t>
      </w:r>
      <w:r w:rsidR="00D67A98">
        <w:rPr>
          <w:lang w:val="es-MX" w:eastAsia="en-US"/>
        </w:rPr>
        <w:t>,</w:t>
      </w:r>
      <w:r w:rsidR="00115B35" w:rsidRPr="00FE07FE">
        <w:rPr>
          <w:lang w:val="es-MX" w:eastAsia="en-US"/>
        </w:rPr>
        <w:t>8% y la de 12-17 años de 26</w:t>
      </w:r>
      <w:r w:rsidR="00D67A98">
        <w:rPr>
          <w:lang w:val="es-MX" w:eastAsia="en-US"/>
        </w:rPr>
        <w:t>,</w:t>
      </w:r>
      <w:r w:rsidR="00115B35" w:rsidRPr="00FE07FE">
        <w:rPr>
          <w:lang w:val="es-MX" w:eastAsia="en-US"/>
        </w:rPr>
        <w:t xml:space="preserve">2% (2015). </w:t>
      </w:r>
    </w:p>
    <w:p w:rsidR="00C21DAA" w:rsidRPr="00FE07FE" w:rsidRDefault="00FE07FE" w:rsidP="00500FFB">
      <w:pPr>
        <w:pStyle w:val="SingleTxtG"/>
        <w:rPr>
          <w:lang w:val="es-MX" w:eastAsia="en-US"/>
        </w:rPr>
      </w:pPr>
      <w:r w:rsidRPr="00500FFB">
        <w:rPr>
          <w:lang w:val="es-MX" w:eastAsia="en-US"/>
        </w:rPr>
        <w:t>198.</w:t>
      </w:r>
      <w:r w:rsidRPr="00500FFB">
        <w:rPr>
          <w:lang w:val="es-MX" w:eastAsia="en-US"/>
        </w:rPr>
        <w:tab/>
      </w:r>
      <w:r w:rsidR="00115B35" w:rsidRPr="00FE07FE">
        <w:rPr>
          <w:lang w:val="es-MX" w:eastAsia="en-US"/>
        </w:rPr>
        <w:t>Se desarrollaron las siguientes políticas públicas nacionales como estrategia integral de equidad social: la AUH, que como prestación monetaria suplementa el ingreso familiar y ayuda a los hogares a superar el umbral de pobreza monetaria; el Monotributo Social que registró a 146.904 titulares con hijas/os adheridos a la cobertura de salud y 7</w:t>
      </w:r>
      <w:r w:rsidR="001C4899">
        <w:rPr>
          <w:lang w:val="es-MX" w:eastAsia="en-US"/>
        </w:rPr>
        <w:t>.</w:t>
      </w:r>
      <w:r w:rsidR="00115B35" w:rsidRPr="00FE07FE">
        <w:rPr>
          <w:lang w:val="es-MX" w:eastAsia="en-US"/>
        </w:rPr>
        <w:t xml:space="preserve">060 de ellas perciben la AUH. El Plan Nacional de Primera Infancia que brinda </w:t>
      </w:r>
      <w:r w:rsidR="00115B35" w:rsidRPr="00FE07FE">
        <w:rPr>
          <w:lang w:val="es-MX" w:eastAsia="en-US"/>
        </w:rPr>
        <w:lastRenderedPageBreak/>
        <w:t>asistencia nutricional y trabaja con el Plan Nacional de Seguridad Alimentaria en Abordaje comunitario, el Pro Huerta y la Educación alimentaria nutricional; el Plan NACER; el PLAN SUMAR; la asignación de recursos para fortalecimiento de las trayectorias educativas de niños, niñas y jóvenes en contextos socioeconómicos; La Tarifa Social Federal para el transporte, la electricidad, el agua corriente, cloacas (en CABA y alrededores) y el gas; los Programas de Desarrollo Humano del Ministerio del Interior, Obras Públicas y Vivienda, de urbanización de villas y asentamientos, la regularización de la propiedad del suelo y acceso a la vivienda; el Plan Sanitario de Emergencia (PSE) de ACUMAR que interviene para reducir el impacto de los riesgos ambientales sobre la salud de la población y evalúa y deriva casos de niños menores de 6 años al área de salud; La Protección contra la Violencia a través de línea gratuita 102; el Plan Nacional para la Prevención y Erradicación del Trabajo Infantil; y el programa Conectar Igualdad que reduce la brecha digital y desarrolla la inclusión digital federal, entregando en 2016, 201.307 notebooks en todo el país.</w:t>
      </w:r>
    </w:p>
    <w:p w:rsidR="00C21DAA" w:rsidRPr="00FE07FE" w:rsidRDefault="00115B35">
      <w:pPr>
        <w:pStyle w:val="H1G"/>
        <w:rPr>
          <w:lang w:eastAsia="en-US"/>
        </w:rPr>
      </w:pPr>
      <w:r w:rsidRPr="00FE07FE">
        <w:rPr>
          <w:lang w:eastAsia="en-US"/>
        </w:rPr>
        <w:tab/>
        <w:t>F.</w:t>
      </w:r>
      <w:r w:rsidRPr="00FE07FE">
        <w:rPr>
          <w:lang w:eastAsia="en-US"/>
        </w:rPr>
        <w:tab/>
        <w:t>Educación, esparcimiento y actividades culturales (art.</w:t>
      </w:r>
      <w:r w:rsidR="001C4899">
        <w:rPr>
          <w:lang w:eastAsia="en-US"/>
        </w:rPr>
        <w:t xml:space="preserve"> </w:t>
      </w:r>
      <w:r w:rsidRPr="00FE07FE">
        <w:rPr>
          <w:lang w:eastAsia="en-US"/>
        </w:rPr>
        <w:t xml:space="preserve">28, 29 y 31 </w:t>
      </w:r>
      <w:r w:rsidR="00D55A27">
        <w:rPr>
          <w:lang w:eastAsia="en-US"/>
        </w:rPr>
        <w:br/>
      </w:r>
      <w:r w:rsidRPr="00FE07FE">
        <w:rPr>
          <w:lang w:eastAsia="en-US"/>
        </w:rPr>
        <w:t>de la Convención)</w:t>
      </w:r>
    </w:p>
    <w:p w:rsidR="00C21DAA" w:rsidRPr="00FE07FE" w:rsidRDefault="00115B35">
      <w:pPr>
        <w:pStyle w:val="H23G"/>
        <w:rPr>
          <w:lang w:eastAsia="en-US"/>
        </w:rPr>
      </w:pPr>
      <w:r w:rsidRPr="00FE07FE">
        <w:rPr>
          <w:lang w:eastAsia="en-US"/>
        </w:rPr>
        <w:tab/>
      </w:r>
      <w:r w:rsidRPr="00FE07FE">
        <w:rPr>
          <w:lang w:eastAsia="en-US"/>
        </w:rPr>
        <w:tab/>
        <w:t>Educación, incluidas la formación y la orientación profesionales</w:t>
      </w:r>
    </w:p>
    <w:p w:rsidR="00C21DAA" w:rsidRPr="00FE07FE" w:rsidRDefault="00115B35">
      <w:pPr>
        <w:pStyle w:val="H4G"/>
        <w:rPr>
          <w:lang w:eastAsia="en-US"/>
        </w:rPr>
      </w:pPr>
      <w:r w:rsidRPr="00FE07FE">
        <w:rPr>
          <w:lang w:eastAsia="en-US"/>
        </w:rPr>
        <w:tab/>
      </w:r>
      <w:r w:rsidRPr="00FE07FE">
        <w:rPr>
          <w:lang w:eastAsia="en-US"/>
        </w:rPr>
        <w:tab/>
        <w:t>Párrafo 68</w:t>
      </w:r>
    </w:p>
    <w:p w:rsidR="00C21DAA" w:rsidRPr="00FE07FE" w:rsidRDefault="00FE07FE" w:rsidP="00500FFB">
      <w:pPr>
        <w:pStyle w:val="SingleTxtG"/>
        <w:rPr>
          <w:lang w:val="es-MX" w:eastAsia="en-US"/>
        </w:rPr>
      </w:pPr>
      <w:r w:rsidRPr="00500FFB">
        <w:rPr>
          <w:lang w:val="es-MX" w:eastAsia="en-US"/>
        </w:rPr>
        <w:t>199.</w:t>
      </w:r>
      <w:r w:rsidRPr="00500FFB">
        <w:rPr>
          <w:lang w:val="es-MX" w:eastAsia="en-US"/>
        </w:rPr>
        <w:tab/>
      </w:r>
      <w:r w:rsidR="00115B35" w:rsidRPr="00FE07FE">
        <w:rPr>
          <w:lang w:val="es-MX" w:eastAsia="en-US"/>
        </w:rPr>
        <w:t xml:space="preserve">Para garantizar el derecho a la educación de los niños con discapacidades temporales o permanentes, en todos los niveles y modalidades, y a los fines de reducir las disparidades existentes entre las provincias se dictó la Resolución MED </w:t>
      </w:r>
      <w:r w:rsidR="001C4899">
        <w:rPr>
          <w:lang w:val="es-MX" w:eastAsia="en-US"/>
        </w:rPr>
        <w:t xml:space="preserve">núm. </w:t>
      </w:r>
      <w:r w:rsidR="00115B35" w:rsidRPr="00FE07FE">
        <w:rPr>
          <w:lang w:val="es-MX" w:eastAsia="en-US"/>
        </w:rPr>
        <w:t>994/2012. Para la concreción de los objetivos de la resolución se propició la transferencia financieras equitativas a los establecimientos de la Modalidad Educación especial de gestión estatal en todo el país distribuidos de la siguiente manera: CABA, $246.000; Buenos Aires, $3.998.000, Catamarca $170.000, Córdoba $740.000, Corrientes $464.000, Chaco $400.000, Chubut $302.000, Entre Rios, $436.000, Formosa $292.000, Jujuy $200.000, La Pampa $240.000, La Rioja, $120.000, Mendoza $580.000, Neuquén $372.000, Misiones $520.000, Río Negro $312.000, Salta $298.000, San Luis $92.000, Santa Cruz $212000, Santa Fe $1.118.000, Santiago del estero $214.000, Tucumán $256.000, Tierra del fuego $44.000 (AR$). Estos fondos se destinaron a 1</w:t>
      </w:r>
      <w:r w:rsidR="001C4899">
        <w:rPr>
          <w:lang w:val="es-MX" w:eastAsia="en-US"/>
        </w:rPr>
        <w:t>.</w:t>
      </w:r>
      <w:r w:rsidR="00115B35" w:rsidRPr="00FE07FE">
        <w:rPr>
          <w:lang w:val="es-MX" w:eastAsia="en-US"/>
        </w:rPr>
        <w:t>367 escuelas y centros de Formación profesional, que atienden a 110.000 alumnos en sede más 40.000 alumnos integrados en los distintos niveles educativos y modalidades. Además, el Plan de Mejoras Instituciones abordó 200 escuelas, aportó movilidad para 630 escuelas, el Programa Nacional Más Escuelas construyó 2</w:t>
      </w:r>
      <w:r w:rsidR="001C4899">
        <w:rPr>
          <w:lang w:val="es-MX" w:eastAsia="en-US"/>
        </w:rPr>
        <w:t>.</w:t>
      </w:r>
      <w:r w:rsidR="00115B35" w:rsidRPr="00FE07FE">
        <w:rPr>
          <w:lang w:val="es-MX" w:eastAsia="en-US"/>
        </w:rPr>
        <w:t xml:space="preserve">110 establecimientos con condiciones arquitectónicas de accesibilidad y unas 510 en proceso de construcción. </w:t>
      </w:r>
    </w:p>
    <w:p w:rsidR="00C21DAA" w:rsidRPr="00FE07FE" w:rsidRDefault="00FE07FE" w:rsidP="00500FFB">
      <w:pPr>
        <w:pStyle w:val="SingleTxtG"/>
        <w:rPr>
          <w:lang w:val="es-MX" w:eastAsia="en-US"/>
        </w:rPr>
      </w:pPr>
      <w:r w:rsidRPr="00500FFB">
        <w:rPr>
          <w:lang w:val="es-MX" w:eastAsia="en-US"/>
        </w:rPr>
        <w:t>200.</w:t>
      </w:r>
      <w:r w:rsidRPr="00500FFB">
        <w:rPr>
          <w:lang w:val="es-MX" w:eastAsia="en-US"/>
        </w:rPr>
        <w:tab/>
      </w:r>
      <w:r w:rsidR="00115B35" w:rsidRPr="00FE07FE">
        <w:rPr>
          <w:lang w:val="es-MX" w:eastAsia="en-US"/>
        </w:rPr>
        <w:t>Respecto a los niños indígenas, se dispuso para permanencia y no abandono por cuestiones de ingresos, 61</w:t>
      </w:r>
      <w:r w:rsidR="001C4899">
        <w:rPr>
          <w:lang w:val="es-MX" w:eastAsia="en-US"/>
        </w:rPr>
        <w:t>.</w:t>
      </w:r>
      <w:r w:rsidR="00115B35" w:rsidRPr="00FE07FE">
        <w:rPr>
          <w:lang w:val="es-MX" w:eastAsia="en-US"/>
        </w:rPr>
        <w:t>841 becas de estudio en el período 2003-2013, 17.571 becas para la formación docente de profesorado inicial, primario y secundario en todo el país. La matrícula escolar de población indígena fue en 2014 de 81</w:t>
      </w:r>
      <w:r w:rsidR="001C4899">
        <w:rPr>
          <w:lang w:val="es-MX" w:eastAsia="en-US"/>
        </w:rPr>
        <w:t>.</w:t>
      </w:r>
      <w:r w:rsidR="00115B35" w:rsidRPr="00FE07FE">
        <w:rPr>
          <w:lang w:val="es-MX" w:eastAsia="en-US"/>
        </w:rPr>
        <w:t xml:space="preserve">456 alumnos para todo el país. </w:t>
      </w:r>
    </w:p>
    <w:p w:rsidR="00C21DAA" w:rsidRPr="00FE07FE" w:rsidRDefault="00FE07FE" w:rsidP="00500FFB">
      <w:pPr>
        <w:pStyle w:val="SingleTxtG"/>
        <w:rPr>
          <w:lang w:val="es-MX" w:eastAsia="en-US"/>
        </w:rPr>
      </w:pPr>
      <w:r w:rsidRPr="00500FFB">
        <w:rPr>
          <w:lang w:val="es-MX" w:eastAsia="en-US"/>
        </w:rPr>
        <w:t>201.</w:t>
      </w:r>
      <w:r w:rsidRPr="00500FFB">
        <w:rPr>
          <w:lang w:val="es-MX" w:eastAsia="en-US"/>
        </w:rPr>
        <w:tab/>
      </w:r>
      <w:r w:rsidR="00115B35" w:rsidRPr="00FE07FE">
        <w:rPr>
          <w:lang w:val="es-MX" w:eastAsia="en-US"/>
        </w:rPr>
        <w:t xml:space="preserve">Respecto a las niñas madres, recordamos que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26061 establece la prohibición de discriminar por embarazo, maternidad y/o paternidad en las escuelas. Deben existir salas de lactancia materna o facilitar la posibilidad de que las niñas se retiren una hora del establecimiento y se prevé inasistencias para pre o post parto; en CABA son 45 días y en Buenos Aires 30 días. Además, CABA posee el Programa de Retención Escolar y ha entregado 6</w:t>
      </w:r>
      <w:r w:rsidR="001C4899">
        <w:rPr>
          <w:lang w:val="es-MX" w:eastAsia="en-US"/>
        </w:rPr>
        <w:t>.</w:t>
      </w:r>
      <w:r w:rsidR="00115B35" w:rsidRPr="00FE07FE">
        <w:rPr>
          <w:lang w:val="es-MX" w:eastAsia="en-US"/>
        </w:rPr>
        <w:t xml:space="preserve">205 asignaciones universales por embarazado a madres menores de 18 años de edad. </w:t>
      </w:r>
    </w:p>
    <w:p w:rsidR="00C21DAA" w:rsidRPr="00FE07FE" w:rsidRDefault="00FE07FE" w:rsidP="00500FFB">
      <w:pPr>
        <w:pStyle w:val="SingleTxtG"/>
        <w:keepNext/>
        <w:rPr>
          <w:lang w:val="es-MX" w:eastAsia="en-US"/>
        </w:rPr>
      </w:pPr>
      <w:r w:rsidRPr="00500FFB">
        <w:rPr>
          <w:lang w:val="es-MX" w:eastAsia="en-US"/>
        </w:rPr>
        <w:lastRenderedPageBreak/>
        <w:t>202.</w:t>
      </w:r>
      <w:r w:rsidRPr="00500FFB">
        <w:rPr>
          <w:lang w:val="es-MX" w:eastAsia="en-US"/>
        </w:rPr>
        <w:tab/>
      </w:r>
      <w:r w:rsidR="00115B35" w:rsidRPr="00FE07FE">
        <w:rPr>
          <w:lang w:val="es-MX" w:eastAsia="en-US"/>
        </w:rPr>
        <w:t>Las tasas del nivel educativos son:</w:t>
      </w:r>
    </w:p>
    <w:p w:rsidR="00C21DAA" w:rsidRPr="00FE07FE" w:rsidRDefault="00115B35" w:rsidP="00500FFB">
      <w:pPr>
        <w:pStyle w:val="SingleTxtG"/>
        <w:keepNext/>
        <w:rPr>
          <w:b/>
        </w:rPr>
      </w:pPr>
      <w:r w:rsidRPr="00FE07FE">
        <w:rPr>
          <w:b/>
        </w:rPr>
        <w:t>Tasa de egreso por nivel educativo. Total país. Años 2005-2013</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1893"/>
        <w:gridCol w:w="657"/>
        <w:gridCol w:w="657"/>
        <w:gridCol w:w="657"/>
        <w:gridCol w:w="657"/>
        <w:gridCol w:w="548"/>
        <w:gridCol w:w="657"/>
        <w:gridCol w:w="548"/>
        <w:gridCol w:w="548"/>
        <w:gridCol w:w="548"/>
      </w:tblGrid>
      <w:tr w:rsidR="004C17DB" w:rsidRPr="004C17DB" w:rsidTr="00500FFB">
        <w:trPr>
          <w:trHeight w:val="240"/>
          <w:tblHeader/>
        </w:trPr>
        <w:tc>
          <w:tcPr>
            <w:tcW w:w="1893"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rPr>
                <w:i/>
                <w:sz w:val="16"/>
                <w:lang w:val="es-AR"/>
              </w:rPr>
            </w:pPr>
            <w:r w:rsidRPr="004C17DB">
              <w:rPr>
                <w:i/>
                <w:sz w:val="16"/>
                <w:lang w:val="es-AR"/>
              </w:rPr>
              <w:t>Tasa de egreso</w:t>
            </w:r>
          </w:p>
        </w:tc>
        <w:tc>
          <w:tcPr>
            <w:tcW w:w="657"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ind w:left="113"/>
              <w:jc w:val="right"/>
              <w:rPr>
                <w:i/>
                <w:sz w:val="16"/>
                <w:lang w:val="es-AR"/>
              </w:rPr>
            </w:pPr>
            <w:r w:rsidRPr="004C17DB">
              <w:rPr>
                <w:i/>
                <w:sz w:val="16"/>
                <w:lang w:val="es-AR"/>
              </w:rPr>
              <w:t>2005</w:t>
            </w:r>
          </w:p>
        </w:tc>
        <w:tc>
          <w:tcPr>
            <w:tcW w:w="657"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ind w:left="113"/>
              <w:jc w:val="right"/>
              <w:rPr>
                <w:i/>
                <w:sz w:val="16"/>
                <w:lang w:val="es-AR"/>
              </w:rPr>
            </w:pPr>
            <w:r w:rsidRPr="004C17DB">
              <w:rPr>
                <w:i/>
                <w:sz w:val="16"/>
                <w:lang w:val="es-AR"/>
              </w:rPr>
              <w:t>2006</w:t>
            </w:r>
          </w:p>
        </w:tc>
        <w:tc>
          <w:tcPr>
            <w:tcW w:w="657"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ind w:left="113"/>
              <w:jc w:val="right"/>
              <w:rPr>
                <w:i/>
                <w:sz w:val="16"/>
                <w:lang w:val="es-AR"/>
              </w:rPr>
            </w:pPr>
            <w:r w:rsidRPr="004C17DB">
              <w:rPr>
                <w:i/>
                <w:sz w:val="16"/>
                <w:lang w:val="es-AR"/>
              </w:rPr>
              <w:t>2007</w:t>
            </w:r>
          </w:p>
        </w:tc>
        <w:tc>
          <w:tcPr>
            <w:tcW w:w="657"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ind w:left="113"/>
              <w:jc w:val="right"/>
              <w:rPr>
                <w:i/>
                <w:sz w:val="16"/>
                <w:lang w:val="es-AR"/>
              </w:rPr>
            </w:pPr>
            <w:r w:rsidRPr="004C17DB">
              <w:rPr>
                <w:i/>
                <w:sz w:val="16"/>
                <w:lang w:val="es-AR"/>
              </w:rPr>
              <w:t>2008</w:t>
            </w:r>
          </w:p>
        </w:tc>
        <w:tc>
          <w:tcPr>
            <w:tcW w:w="548"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ind w:left="113"/>
              <w:jc w:val="right"/>
              <w:rPr>
                <w:i/>
                <w:sz w:val="16"/>
                <w:lang w:val="es-AR"/>
              </w:rPr>
            </w:pPr>
            <w:r w:rsidRPr="004C17DB">
              <w:rPr>
                <w:i/>
                <w:sz w:val="16"/>
                <w:lang w:val="es-AR"/>
              </w:rPr>
              <w:t>2009</w:t>
            </w:r>
          </w:p>
        </w:tc>
        <w:tc>
          <w:tcPr>
            <w:tcW w:w="657"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ind w:left="113"/>
              <w:jc w:val="right"/>
              <w:rPr>
                <w:i/>
                <w:sz w:val="16"/>
                <w:lang w:val="es-AR"/>
              </w:rPr>
            </w:pPr>
            <w:r w:rsidRPr="004C17DB">
              <w:rPr>
                <w:i/>
                <w:sz w:val="16"/>
                <w:lang w:val="es-AR"/>
              </w:rPr>
              <w:t>2010</w:t>
            </w:r>
          </w:p>
        </w:tc>
        <w:tc>
          <w:tcPr>
            <w:tcW w:w="548"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ind w:left="113"/>
              <w:jc w:val="right"/>
              <w:rPr>
                <w:i/>
                <w:sz w:val="16"/>
                <w:lang w:val="es-AR"/>
              </w:rPr>
            </w:pPr>
            <w:r w:rsidRPr="004C17DB">
              <w:rPr>
                <w:i/>
                <w:sz w:val="16"/>
                <w:lang w:val="es-AR"/>
              </w:rPr>
              <w:t>2011</w:t>
            </w:r>
          </w:p>
        </w:tc>
        <w:tc>
          <w:tcPr>
            <w:tcW w:w="548"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ind w:left="113"/>
              <w:jc w:val="right"/>
              <w:rPr>
                <w:i/>
                <w:sz w:val="16"/>
                <w:lang w:val="es-AR"/>
              </w:rPr>
            </w:pPr>
            <w:r w:rsidRPr="004C17DB">
              <w:rPr>
                <w:i/>
                <w:sz w:val="16"/>
                <w:lang w:val="es-AR"/>
              </w:rPr>
              <w:t>2012</w:t>
            </w:r>
          </w:p>
        </w:tc>
        <w:tc>
          <w:tcPr>
            <w:tcW w:w="548" w:type="dxa"/>
            <w:tcBorders>
              <w:top w:val="single" w:sz="4" w:space="0" w:color="auto"/>
              <w:bottom w:val="single" w:sz="12" w:space="0" w:color="auto"/>
            </w:tcBorders>
            <w:shd w:val="clear" w:color="auto" w:fill="auto"/>
            <w:vAlign w:val="bottom"/>
          </w:tcPr>
          <w:p w:rsidR="00C21DAA" w:rsidRPr="004C17DB" w:rsidRDefault="00115B35" w:rsidP="00500FFB">
            <w:pPr>
              <w:keepNext/>
              <w:spacing w:before="80" w:after="80" w:line="200" w:lineRule="exact"/>
              <w:ind w:left="113"/>
              <w:jc w:val="right"/>
              <w:rPr>
                <w:i/>
                <w:sz w:val="16"/>
                <w:lang w:val="es-AR"/>
              </w:rPr>
            </w:pPr>
            <w:r w:rsidRPr="004C17DB">
              <w:rPr>
                <w:i/>
                <w:sz w:val="16"/>
                <w:lang w:val="es-AR"/>
              </w:rPr>
              <w:t>2013</w:t>
            </w:r>
          </w:p>
        </w:tc>
      </w:tr>
      <w:tr w:rsidR="004C17DB" w:rsidRPr="004C17DB" w:rsidTr="00500FFB">
        <w:trPr>
          <w:trHeight w:val="240"/>
        </w:trPr>
        <w:tc>
          <w:tcPr>
            <w:tcW w:w="1893" w:type="dxa"/>
            <w:tcBorders>
              <w:top w:val="single" w:sz="12" w:space="0" w:color="auto"/>
            </w:tcBorders>
            <w:shd w:val="clear" w:color="auto" w:fill="auto"/>
            <w:tcMar>
              <w:left w:w="0" w:type="dxa"/>
            </w:tcMar>
          </w:tcPr>
          <w:p w:rsidR="00C21DAA" w:rsidRPr="004C17DB" w:rsidRDefault="00115B35" w:rsidP="00500FFB">
            <w:pPr>
              <w:keepNext/>
              <w:spacing w:before="40" w:after="40" w:line="220" w:lineRule="exact"/>
              <w:rPr>
                <w:sz w:val="18"/>
                <w:lang w:val="es-AR"/>
              </w:rPr>
            </w:pPr>
            <w:r w:rsidRPr="004C17DB">
              <w:rPr>
                <w:sz w:val="18"/>
                <w:lang w:val="es-AR"/>
              </w:rPr>
              <w:t>Primario (6 años)</w:t>
            </w:r>
          </w:p>
        </w:tc>
        <w:tc>
          <w:tcPr>
            <w:tcW w:w="657" w:type="dxa"/>
            <w:tcBorders>
              <w:top w:val="single" w:sz="12" w:space="0" w:color="auto"/>
            </w:tcBorders>
            <w:shd w:val="clear" w:color="auto" w:fill="auto"/>
            <w:vAlign w:val="bottom"/>
          </w:tcPr>
          <w:p w:rsidR="00C21DAA" w:rsidRPr="004C17DB" w:rsidRDefault="00115B35" w:rsidP="00500FFB">
            <w:pPr>
              <w:keepNext/>
              <w:spacing w:before="40" w:after="40" w:line="220" w:lineRule="exact"/>
              <w:ind w:left="113"/>
              <w:jc w:val="right"/>
              <w:rPr>
                <w:sz w:val="18"/>
                <w:lang w:val="es-AR"/>
              </w:rPr>
            </w:pPr>
            <w:r w:rsidRPr="004C17DB">
              <w:rPr>
                <w:sz w:val="18"/>
                <w:lang w:val="es-AR"/>
              </w:rPr>
              <w:t>90,7</w:t>
            </w:r>
          </w:p>
        </w:tc>
        <w:tc>
          <w:tcPr>
            <w:tcW w:w="657" w:type="dxa"/>
            <w:tcBorders>
              <w:top w:val="single" w:sz="12" w:space="0" w:color="auto"/>
            </w:tcBorders>
            <w:shd w:val="clear" w:color="auto" w:fill="auto"/>
            <w:vAlign w:val="bottom"/>
          </w:tcPr>
          <w:p w:rsidR="00C21DAA" w:rsidRPr="004C17DB" w:rsidRDefault="00115B35" w:rsidP="00500FFB">
            <w:pPr>
              <w:keepNext/>
              <w:spacing w:before="40" w:after="40" w:line="220" w:lineRule="exact"/>
              <w:ind w:left="113"/>
              <w:jc w:val="right"/>
              <w:rPr>
                <w:sz w:val="18"/>
                <w:lang w:val="es-AR"/>
              </w:rPr>
            </w:pPr>
            <w:r w:rsidRPr="004C17DB">
              <w:rPr>
                <w:sz w:val="18"/>
                <w:lang w:val="es-AR"/>
              </w:rPr>
              <w:t>90,2</w:t>
            </w:r>
          </w:p>
        </w:tc>
        <w:tc>
          <w:tcPr>
            <w:tcW w:w="657" w:type="dxa"/>
            <w:tcBorders>
              <w:top w:val="single" w:sz="12" w:space="0" w:color="auto"/>
            </w:tcBorders>
            <w:shd w:val="clear" w:color="auto" w:fill="auto"/>
            <w:vAlign w:val="bottom"/>
          </w:tcPr>
          <w:p w:rsidR="00C21DAA" w:rsidRPr="004C17DB" w:rsidRDefault="00115B35" w:rsidP="00500FFB">
            <w:pPr>
              <w:keepNext/>
              <w:spacing w:before="40" w:after="40" w:line="220" w:lineRule="exact"/>
              <w:ind w:left="113"/>
              <w:jc w:val="right"/>
              <w:rPr>
                <w:sz w:val="18"/>
                <w:lang w:val="es-AR"/>
              </w:rPr>
            </w:pPr>
            <w:r w:rsidRPr="004C17DB">
              <w:rPr>
                <w:sz w:val="18"/>
                <w:lang w:val="es-AR"/>
              </w:rPr>
              <w:t>92,7</w:t>
            </w:r>
          </w:p>
        </w:tc>
        <w:tc>
          <w:tcPr>
            <w:tcW w:w="657" w:type="dxa"/>
            <w:tcBorders>
              <w:top w:val="single" w:sz="12" w:space="0" w:color="auto"/>
            </w:tcBorders>
            <w:shd w:val="clear" w:color="auto" w:fill="auto"/>
            <w:vAlign w:val="bottom"/>
          </w:tcPr>
          <w:p w:rsidR="00C21DAA" w:rsidRPr="004C17DB" w:rsidRDefault="00115B35" w:rsidP="00500FFB">
            <w:pPr>
              <w:keepNext/>
              <w:spacing w:before="40" w:after="40" w:line="220" w:lineRule="exact"/>
              <w:ind w:left="113"/>
              <w:jc w:val="right"/>
              <w:rPr>
                <w:sz w:val="18"/>
                <w:lang w:val="es-AR"/>
              </w:rPr>
            </w:pPr>
            <w:r w:rsidRPr="004C17DB">
              <w:rPr>
                <w:sz w:val="18"/>
                <w:lang w:val="es-AR"/>
              </w:rPr>
              <w:t>92,8</w:t>
            </w:r>
          </w:p>
        </w:tc>
        <w:tc>
          <w:tcPr>
            <w:tcW w:w="548" w:type="dxa"/>
            <w:tcBorders>
              <w:top w:val="single" w:sz="12" w:space="0" w:color="auto"/>
            </w:tcBorders>
            <w:shd w:val="clear" w:color="auto" w:fill="auto"/>
            <w:vAlign w:val="bottom"/>
          </w:tcPr>
          <w:p w:rsidR="00C21DAA" w:rsidRPr="004C17DB" w:rsidRDefault="00115B35" w:rsidP="00500FFB">
            <w:pPr>
              <w:keepNext/>
              <w:spacing w:before="40" w:after="40" w:line="220" w:lineRule="exact"/>
              <w:ind w:left="113"/>
              <w:jc w:val="right"/>
              <w:rPr>
                <w:sz w:val="18"/>
                <w:lang w:val="es-AR"/>
              </w:rPr>
            </w:pPr>
            <w:r w:rsidRPr="004C17DB">
              <w:rPr>
                <w:sz w:val="18"/>
                <w:lang w:val="es-AR"/>
              </w:rPr>
              <w:t>91,3</w:t>
            </w:r>
          </w:p>
        </w:tc>
        <w:tc>
          <w:tcPr>
            <w:tcW w:w="657" w:type="dxa"/>
            <w:tcBorders>
              <w:top w:val="single" w:sz="12" w:space="0" w:color="auto"/>
            </w:tcBorders>
            <w:shd w:val="clear" w:color="auto" w:fill="auto"/>
            <w:vAlign w:val="bottom"/>
          </w:tcPr>
          <w:p w:rsidR="00C21DAA" w:rsidRPr="004C17DB" w:rsidRDefault="00115B35" w:rsidP="00500FFB">
            <w:pPr>
              <w:keepNext/>
              <w:spacing w:before="40" w:after="40" w:line="220" w:lineRule="exact"/>
              <w:ind w:left="113"/>
              <w:jc w:val="right"/>
              <w:rPr>
                <w:sz w:val="18"/>
                <w:lang w:val="es-AR"/>
              </w:rPr>
            </w:pPr>
            <w:r w:rsidRPr="004C17DB">
              <w:rPr>
                <w:sz w:val="18"/>
                <w:lang w:val="es-AR"/>
              </w:rPr>
              <w:t>92,3</w:t>
            </w:r>
          </w:p>
        </w:tc>
        <w:tc>
          <w:tcPr>
            <w:tcW w:w="548" w:type="dxa"/>
            <w:tcBorders>
              <w:top w:val="single" w:sz="12" w:space="0" w:color="auto"/>
            </w:tcBorders>
            <w:shd w:val="clear" w:color="auto" w:fill="auto"/>
            <w:vAlign w:val="bottom"/>
          </w:tcPr>
          <w:p w:rsidR="00C21DAA" w:rsidRPr="004C17DB" w:rsidRDefault="00115B35" w:rsidP="00500FFB">
            <w:pPr>
              <w:keepNext/>
              <w:spacing w:before="40" w:after="40" w:line="220" w:lineRule="exact"/>
              <w:ind w:left="113"/>
              <w:jc w:val="right"/>
              <w:rPr>
                <w:sz w:val="18"/>
                <w:lang w:val="es-AR"/>
              </w:rPr>
            </w:pPr>
            <w:r w:rsidRPr="004C17DB">
              <w:rPr>
                <w:sz w:val="18"/>
                <w:lang w:val="es-AR"/>
              </w:rPr>
              <w:t>93,3</w:t>
            </w:r>
          </w:p>
        </w:tc>
        <w:tc>
          <w:tcPr>
            <w:tcW w:w="548" w:type="dxa"/>
            <w:tcBorders>
              <w:top w:val="single" w:sz="12" w:space="0" w:color="auto"/>
            </w:tcBorders>
            <w:shd w:val="clear" w:color="auto" w:fill="auto"/>
            <w:vAlign w:val="bottom"/>
          </w:tcPr>
          <w:p w:rsidR="00C21DAA" w:rsidRPr="004C17DB" w:rsidRDefault="00115B35" w:rsidP="00500FFB">
            <w:pPr>
              <w:keepNext/>
              <w:spacing w:before="40" w:after="40" w:line="220" w:lineRule="exact"/>
              <w:ind w:left="113"/>
              <w:jc w:val="right"/>
              <w:rPr>
                <w:sz w:val="18"/>
                <w:lang w:val="es-AR"/>
              </w:rPr>
            </w:pPr>
            <w:r w:rsidRPr="004C17DB">
              <w:rPr>
                <w:sz w:val="18"/>
                <w:lang w:val="es-AR"/>
              </w:rPr>
              <w:t>94,2</w:t>
            </w:r>
          </w:p>
        </w:tc>
        <w:tc>
          <w:tcPr>
            <w:tcW w:w="548" w:type="dxa"/>
            <w:tcBorders>
              <w:top w:val="single" w:sz="12" w:space="0" w:color="auto"/>
            </w:tcBorders>
            <w:shd w:val="clear" w:color="auto" w:fill="auto"/>
            <w:vAlign w:val="bottom"/>
          </w:tcPr>
          <w:p w:rsidR="00C21DAA" w:rsidRPr="004C17DB" w:rsidRDefault="00115B35" w:rsidP="00500FFB">
            <w:pPr>
              <w:keepNext/>
              <w:spacing w:before="40" w:after="40" w:line="220" w:lineRule="exact"/>
              <w:ind w:left="113"/>
              <w:jc w:val="right"/>
              <w:rPr>
                <w:sz w:val="18"/>
                <w:lang w:val="es-AR"/>
              </w:rPr>
            </w:pPr>
            <w:r w:rsidRPr="004C17DB">
              <w:rPr>
                <w:sz w:val="18"/>
                <w:lang w:val="es-AR"/>
              </w:rPr>
              <w:t>95,3</w:t>
            </w:r>
          </w:p>
        </w:tc>
      </w:tr>
      <w:tr w:rsidR="004C17DB" w:rsidRPr="004C17DB" w:rsidTr="00500FFB">
        <w:trPr>
          <w:trHeight w:val="240"/>
        </w:trPr>
        <w:tc>
          <w:tcPr>
            <w:tcW w:w="1893" w:type="dxa"/>
            <w:shd w:val="clear" w:color="auto" w:fill="auto"/>
            <w:tcMar>
              <w:left w:w="0" w:type="dxa"/>
            </w:tcMar>
          </w:tcPr>
          <w:p w:rsidR="00C21DAA" w:rsidRPr="004C17DB" w:rsidRDefault="00115B35">
            <w:pPr>
              <w:spacing w:before="40" w:after="40" w:line="220" w:lineRule="exact"/>
              <w:rPr>
                <w:sz w:val="18"/>
                <w:lang w:val="es-AR"/>
              </w:rPr>
            </w:pPr>
            <w:r w:rsidRPr="004C17DB">
              <w:rPr>
                <w:sz w:val="18"/>
                <w:lang w:val="es-AR"/>
              </w:rPr>
              <w:t xml:space="preserve">Secundario </w:t>
            </w:r>
            <w:r w:rsidR="004C17DB">
              <w:rPr>
                <w:sz w:val="18"/>
                <w:lang w:val="es-AR"/>
              </w:rPr>
              <w:t>–</w:t>
            </w:r>
            <w:r w:rsidRPr="004C17DB">
              <w:rPr>
                <w:sz w:val="18"/>
                <w:lang w:val="es-AR"/>
              </w:rPr>
              <w:t xml:space="preserve"> Ciclo Básico (3 años)</w:t>
            </w:r>
          </w:p>
        </w:tc>
        <w:tc>
          <w:tcPr>
            <w:tcW w:w="657" w:type="dxa"/>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69,0</w:t>
            </w:r>
          </w:p>
        </w:tc>
        <w:tc>
          <w:tcPr>
            <w:tcW w:w="657" w:type="dxa"/>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68,8</w:t>
            </w:r>
          </w:p>
        </w:tc>
        <w:tc>
          <w:tcPr>
            <w:tcW w:w="657" w:type="dxa"/>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72,5</w:t>
            </w:r>
          </w:p>
        </w:tc>
        <w:tc>
          <w:tcPr>
            <w:tcW w:w="657" w:type="dxa"/>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72,9</w:t>
            </w:r>
          </w:p>
        </w:tc>
        <w:tc>
          <w:tcPr>
            <w:tcW w:w="548" w:type="dxa"/>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70,3</w:t>
            </w:r>
          </w:p>
        </w:tc>
        <w:tc>
          <w:tcPr>
            <w:tcW w:w="657" w:type="dxa"/>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69,6</w:t>
            </w:r>
          </w:p>
        </w:tc>
        <w:tc>
          <w:tcPr>
            <w:tcW w:w="548" w:type="dxa"/>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72,2</w:t>
            </w:r>
          </w:p>
        </w:tc>
        <w:tc>
          <w:tcPr>
            <w:tcW w:w="548" w:type="dxa"/>
            <w:shd w:val="clear" w:color="auto" w:fill="auto"/>
            <w:vAlign w:val="bottom"/>
          </w:tcPr>
          <w:p w:rsidR="00C21DAA" w:rsidRPr="004C17DB" w:rsidRDefault="00115B35" w:rsidP="00500FFB">
            <w:pPr>
              <w:spacing w:before="40" w:after="40" w:line="220" w:lineRule="exact"/>
              <w:ind w:left="113"/>
              <w:jc w:val="right"/>
              <w:rPr>
                <w:bCs/>
                <w:sz w:val="18"/>
                <w:lang w:val="es-AR"/>
              </w:rPr>
            </w:pPr>
            <w:r w:rsidRPr="004C17DB">
              <w:rPr>
                <w:bCs/>
                <w:sz w:val="18"/>
                <w:lang w:val="es-AR"/>
              </w:rPr>
              <w:t>72,6</w:t>
            </w:r>
          </w:p>
        </w:tc>
        <w:tc>
          <w:tcPr>
            <w:tcW w:w="548" w:type="dxa"/>
            <w:shd w:val="clear" w:color="auto" w:fill="auto"/>
            <w:vAlign w:val="bottom"/>
          </w:tcPr>
          <w:p w:rsidR="00C21DAA" w:rsidRPr="004C17DB" w:rsidRDefault="00115B35" w:rsidP="00500FFB">
            <w:pPr>
              <w:spacing w:before="40" w:after="40" w:line="220" w:lineRule="exact"/>
              <w:ind w:left="113"/>
              <w:jc w:val="right"/>
              <w:rPr>
                <w:bCs/>
                <w:sz w:val="18"/>
                <w:lang w:val="es-AR"/>
              </w:rPr>
            </w:pPr>
            <w:r w:rsidRPr="004C17DB">
              <w:rPr>
                <w:bCs/>
                <w:sz w:val="18"/>
                <w:lang w:val="es-AR"/>
              </w:rPr>
              <w:t>73,2</w:t>
            </w:r>
          </w:p>
        </w:tc>
      </w:tr>
      <w:tr w:rsidR="004C17DB" w:rsidRPr="004C17DB" w:rsidTr="00500FFB">
        <w:trPr>
          <w:trHeight w:val="240"/>
        </w:trPr>
        <w:tc>
          <w:tcPr>
            <w:tcW w:w="1893" w:type="dxa"/>
            <w:tcBorders>
              <w:bottom w:val="single" w:sz="12" w:space="0" w:color="auto"/>
            </w:tcBorders>
            <w:shd w:val="clear" w:color="auto" w:fill="auto"/>
            <w:tcMar>
              <w:left w:w="0" w:type="dxa"/>
            </w:tcMar>
          </w:tcPr>
          <w:p w:rsidR="00C21DAA" w:rsidRPr="004C17DB" w:rsidRDefault="00115B35">
            <w:pPr>
              <w:spacing w:before="40" w:after="40" w:line="220" w:lineRule="exact"/>
              <w:rPr>
                <w:sz w:val="18"/>
                <w:lang w:val="es-AR"/>
              </w:rPr>
            </w:pPr>
            <w:r w:rsidRPr="004C17DB">
              <w:rPr>
                <w:sz w:val="18"/>
                <w:lang w:val="es-AR"/>
              </w:rPr>
              <w:t xml:space="preserve">Secundario </w:t>
            </w:r>
            <w:r w:rsidR="00D67A98">
              <w:rPr>
                <w:sz w:val="18"/>
                <w:lang w:val="es-AR"/>
              </w:rPr>
              <w:t>–</w:t>
            </w:r>
            <w:r w:rsidR="00D67A98" w:rsidRPr="004C17DB">
              <w:rPr>
                <w:sz w:val="18"/>
                <w:lang w:val="es-AR"/>
              </w:rPr>
              <w:t xml:space="preserve"> </w:t>
            </w:r>
            <w:r w:rsidRPr="004C17DB">
              <w:rPr>
                <w:sz w:val="18"/>
                <w:lang w:val="es-AR"/>
              </w:rPr>
              <w:t>Ciclo Orientado (3 años)</w:t>
            </w:r>
          </w:p>
        </w:tc>
        <w:tc>
          <w:tcPr>
            <w:tcW w:w="657" w:type="dxa"/>
            <w:tcBorders>
              <w:bottom w:val="single" w:sz="12" w:space="0" w:color="auto"/>
            </w:tcBorders>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48,5</w:t>
            </w:r>
          </w:p>
        </w:tc>
        <w:tc>
          <w:tcPr>
            <w:tcW w:w="657" w:type="dxa"/>
            <w:tcBorders>
              <w:bottom w:val="single" w:sz="12" w:space="0" w:color="auto"/>
            </w:tcBorders>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50,1</w:t>
            </w:r>
          </w:p>
        </w:tc>
        <w:tc>
          <w:tcPr>
            <w:tcW w:w="657" w:type="dxa"/>
            <w:tcBorders>
              <w:bottom w:val="single" w:sz="12" w:space="0" w:color="auto"/>
            </w:tcBorders>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51,9</w:t>
            </w:r>
          </w:p>
        </w:tc>
        <w:tc>
          <w:tcPr>
            <w:tcW w:w="657" w:type="dxa"/>
            <w:tcBorders>
              <w:bottom w:val="single" w:sz="12" w:space="0" w:color="auto"/>
            </w:tcBorders>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52,9</w:t>
            </w:r>
          </w:p>
        </w:tc>
        <w:tc>
          <w:tcPr>
            <w:tcW w:w="548" w:type="dxa"/>
            <w:tcBorders>
              <w:bottom w:val="single" w:sz="12" w:space="0" w:color="auto"/>
            </w:tcBorders>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57,9</w:t>
            </w:r>
          </w:p>
        </w:tc>
        <w:tc>
          <w:tcPr>
            <w:tcW w:w="657" w:type="dxa"/>
            <w:tcBorders>
              <w:bottom w:val="single" w:sz="12" w:space="0" w:color="auto"/>
            </w:tcBorders>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56,3</w:t>
            </w:r>
          </w:p>
        </w:tc>
        <w:tc>
          <w:tcPr>
            <w:tcW w:w="548" w:type="dxa"/>
            <w:tcBorders>
              <w:bottom w:val="single" w:sz="12" w:space="0" w:color="auto"/>
            </w:tcBorders>
            <w:shd w:val="clear" w:color="auto" w:fill="auto"/>
            <w:vAlign w:val="bottom"/>
          </w:tcPr>
          <w:p w:rsidR="00C21DAA" w:rsidRPr="004C17DB" w:rsidRDefault="00115B35" w:rsidP="00500FFB">
            <w:pPr>
              <w:spacing w:before="40" w:after="40" w:line="220" w:lineRule="exact"/>
              <w:ind w:left="113"/>
              <w:jc w:val="right"/>
              <w:rPr>
                <w:sz w:val="18"/>
                <w:lang w:val="es-AR"/>
              </w:rPr>
            </w:pPr>
            <w:r w:rsidRPr="004C17DB">
              <w:rPr>
                <w:sz w:val="18"/>
                <w:lang w:val="es-AR"/>
              </w:rPr>
              <w:t>56,2</w:t>
            </w:r>
          </w:p>
        </w:tc>
        <w:tc>
          <w:tcPr>
            <w:tcW w:w="548" w:type="dxa"/>
            <w:tcBorders>
              <w:bottom w:val="single" w:sz="12" w:space="0" w:color="auto"/>
            </w:tcBorders>
            <w:shd w:val="clear" w:color="auto" w:fill="auto"/>
            <w:vAlign w:val="bottom"/>
          </w:tcPr>
          <w:p w:rsidR="00C21DAA" w:rsidRPr="004C17DB" w:rsidRDefault="00115B35" w:rsidP="00500FFB">
            <w:pPr>
              <w:spacing w:before="40" w:after="40" w:line="220" w:lineRule="exact"/>
              <w:ind w:left="113"/>
              <w:jc w:val="right"/>
              <w:rPr>
                <w:bCs/>
                <w:sz w:val="18"/>
                <w:lang w:val="es-AR"/>
              </w:rPr>
            </w:pPr>
            <w:r w:rsidRPr="004C17DB">
              <w:rPr>
                <w:bCs/>
                <w:sz w:val="18"/>
                <w:lang w:val="es-AR"/>
              </w:rPr>
              <w:t>59,0</w:t>
            </w:r>
          </w:p>
        </w:tc>
        <w:tc>
          <w:tcPr>
            <w:tcW w:w="548" w:type="dxa"/>
            <w:tcBorders>
              <w:bottom w:val="single" w:sz="12" w:space="0" w:color="auto"/>
            </w:tcBorders>
            <w:shd w:val="clear" w:color="auto" w:fill="auto"/>
            <w:vAlign w:val="bottom"/>
          </w:tcPr>
          <w:p w:rsidR="00C21DAA" w:rsidRPr="004C17DB" w:rsidRDefault="00115B35" w:rsidP="00500FFB">
            <w:pPr>
              <w:spacing w:before="40" w:after="40" w:line="220" w:lineRule="exact"/>
              <w:ind w:left="113"/>
              <w:jc w:val="right"/>
              <w:rPr>
                <w:bCs/>
                <w:sz w:val="18"/>
                <w:lang w:val="es-AR"/>
              </w:rPr>
            </w:pPr>
            <w:r w:rsidRPr="004C17DB">
              <w:rPr>
                <w:bCs/>
                <w:sz w:val="18"/>
                <w:lang w:val="es-AR"/>
              </w:rPr>
              <w:t>59,4</w:t>
            </w:r>
          </w:p>
        </w:tc>
      </w:tr>
    </w:tbl>
    <w:p w:rsidR="00C21DAA" w:rsidRPr="00FE07FE" w:rsidRDefault="00115B35" w:rsidP="00500FFB">
      <w:pPr>
        <w:pStyle w:val="SingleTxtG"/>
        <w:keepNext/>
        <w:spacing w:before="240"/>
        <w:ind w:left="0"/>
        <w:rPr>
          <w:rFonts w:eastAsia="Calibri"/>
          <w:b/>
          <w:lang w:val="es-AR" w:eastAsia="en-US"/>
        </w:rPr>
      </w:pPr>
      <w:r w:rsidRPr="00FE07FE">
        <w:rPr>
          <w:rFonts w:eastAsia="Calibri"/>
          <w:b/>
          <w:lang w:val="es-AR" w:eastAsia="en-US"/>
        </w:rPr>
        <w:t>Tasa de abandono interanual 2013-2014</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1691"/>
        <w:gridCol w:w="499"/>
        <w:gridCol w:w="586"/>
        <w:gridCol w:w="586"/>
        <w:gridCol w:w="586"/>
        <w:gridCol w:w="499"/>
        <w:gridCol w:w="499"/>
        <w:gridCol w:w="499"/>
        <w:gridCol w:w="499"/>
        <w:gridCol w:w="586"/>
        <w:gridCol w:w="499"/>
        <w:gridCol w:w="499"/>
        <w:gridCol w:w="499"/>
        <w:gridCol w:w="499"/>
        <w:gridCol w:w="499"/>
        <w:gridCol w:w="496"/>
      </w:tblGrid>
      <w:tr w:rsidR="005D5480" w:rsidRPr="005D5480" w:rsidTr="005D5480">
        <w:trPr>
          <w:trHeight w:val="240"/>
          <w:tblHeader/>
        </w:trPr>
        <w:tc>
          <w:tcPr>
            <w:tcW w:w="888" w:type="pct"/>
            <w:tcBorders>
              <w:top w:val="single" w:sz="4" w:space="0" w:color="auto"/>
              <w:bottom w:val="single" w:sz="4" w:space="0" w:color="auto"/>
              <w:right w:val="single" w:sz="18" w:space="0" w:color="FFFFFF" w:themeColor="background1"/>
            </w:tcBorders>
            <w:shd w:val="clear" w:color="auto" w:fill="auto"/>
            <w:noWrap/>
            <w:vAlign w:val="bottom"/>
            <w:hideMark/>
          </w:tcPr>
          <w:p w:rsidR="00C21DAA" w:rsidRPr="00500FFB" w:rsidRDefault="00115B35" w:rsidP="00500FFB">
            <w:pPr>
              <w:keepNext/>
              <w:spacing w:before="80" w:after="80" w:line="200" w:lineRule="exact"/>
              <w:jc w:val="center"/>
              <w:rPr>
                <w:bCs/>
                <w:i/>
                <w:sz w:val="14"/>
                <w:szCs w:val="14"/>
                <w:lang w:val="en-US" w:eastAsia="en-US"/>
              </w:rPr>
            </w:pPr>
            <w:r w:rsidRPr="00500FFB">
              <w:rPr>
                <w:bCs/>
                <w:i/>
                <w:sz w:val="14"/>
                <w:szCs w:val="14"/>
                <w:lang w:val="en-US" w:eastAsia="en-US"/>
              </w:rPr>
              <w:t>División</w:t>
            </w:r>
          </w:p>
        </w:tc>
        <w:tc>
          <w:tcPr>
            <w:tcW w:w="1971" w:type="pct"/>
            <w:gridSpan w:val="7"/>
            <w:tcBorders>
              <w:top w:val="single" w:sz="4" w:space="0" w:color="auto"/>
              <w:left w:val="single" w:sz="18" w:space="0" w:color="FFFFFF" w:themeColor="background1"/>
              <w:bottom w:val="single" w:sz="4" w:space="0" w:color="auto"/>
              <w:right w:val="single" w:sz="18" w:space="0" w:color="FFFFFF" w:themeColor="background1"/>
            </w:tcBorders>
            <w:shd w:val="clear" w:color="auto" w:fill="auto"/>
            <w:noWrap/>
            <w:vAlign w:val="bottom"/>
            <w:hideMark/>
          </w:tcPr>
          <w:p w:rsidR="00C21DAA" w:rsidRPr="00500FFB" w:rsidRDefault="00115B35" w:rsidP="00500FFB">
            <w:pPr>
              <w:keepNext/>
              <w:spacing w:before="80" w:after="80" w:line="200" w:lineRule="exact"/>
              <w:ind w:left="113"/>
              <w:jc w:val="center"/>
              <w:rPr>
                <w:bCs/>
                <w:i/>
                <w:sz w:val="14"/>
                <w:szCs w:val="14"/>
                <w:lang w:val="en-US" w:eastAsia="en-US"/>
              </w:rPr>
            </w:pPr>
            <w:r w:rsidRPr="00500FFB">
              <w:rPr>
                <w:bCs/>
                <w:i/>
                <w:sz w:val="14"/>
                <w:szCs w:val="14"/>
                <w:lang w:val="en-US" w:eastAsia="en-US"/>
              </w:rPr>
              <w:t>Primaria (</w:t>
            </w:r>
            <w:r w:rsidR="00CD5E72">
              <w:rPr>
                <w:bCs/>
                <w:i/>
                <w:sz w:val="14"/>
                <w:szCs w:val="14"/>
                <w:lang w:val="en-US" w:eastAsia="en-US"/>
              </w:rPr>
              <w:t>6</w:t>
            </w:r>
            <w:r w:rsidRPr="00500FFB">
              <w:rPr>
                <w:bCs/>
                <w:i/>
                <w:sz w:val="14"/>
                <w:szCs w:val="14"/>
                <w:lang w:val="en-US" w:eastAsia="en-US"/>
              </w:rPr>
              <w:t xml:space="preserve"> años)</w:t>
            </w:r>
          </w:p>
        </w:tc>
        <w:tc>
          <w:tcPr>
            <w:tcW w:w="1094" w:type="pct"/>
            <w:gridSpan w:val="4"/>
            <w:tcBorders>
              <w:top w:val="single" w:sz="4" w:space="0" w:color="auto"/>
              <w:left w:val="single" w:sz="18" w:space="0" w:color="FFFFFF" w:themeColor="background1"/>
              <w:bottom w:val="single" w:sz="4" w:space="0" w:color="auto"/>
              <w:right w:val="single" w:sz="18" w:space="0" w:color="FFFFFF" w:themeColor="background1"/>
            </w:tcBorders>
            <w:shd w:val="clear" w:color="auto" w:fill="auto"/>
            <w:vAlign w:val="bottom"/>
            <w:hideMark/>
          </w:tcPr>
          <w:p w:rsidR="00C21DAA" w:rsidRPr="00500FFB" w:rsidRDefault="00115B35" w:rsidP="00500FFB">
            <w:pPr>
              <w:keepNext/>
              <w:spacing w:before="80" w:after="80" w:line="200" w:lineRule="exact"/>
              <w:ind w:left="113"/>
              <w:jc w:val="center"/>
              <w:rPr>
                <w:bCs/>
                <w:i/>
                <w:sz w:val="14"/>
                <w:szCs w:val="14"/>
                <w:lang w:val="en-US" w:eastAsia="en-US"/>
              </w:rPr>
            </w:pPr>
            <w:r w:rsidRPr="00500FFB">
              <w:rPr>
                <w:bCs/>
                <w:i/>
                <w:sz w:val="14"/>
                <w:szCs w:val="14"/>
                <w:lang w:val="en-US" w:eastAsia="en-US"/>
              </w:rPr>
              <w:t xml:space="preserve">Secundaria </w:t>
            </w:r>
            <w:r w:rsidR="005D5480" w:rsidRPr="00500FFB">
              <w:rPr>
                <w:bCs/>
                <w:i/>
                <w:sz w:val="14"/>
                <w:szCs w:val="14"/>
                <w:lang w:val="en-US" w:eastAsia="en-US"/>
              </w:rPr>
              <w:t>–</w:t>
            </w:r>
            <w:r w:rsidRPr="00500FFB">
              <w:rPr>
                <w:bCs/>
                <w:i/>
                <w:sz w:val="14"/>
                <w:szCs w:val="14"/>
                <w:lang w:val="en-US" w:eastAsia="en-US"/>
              </w:rPr>
              <w:t xml:space="preserve"> Ciclo Básico</w:t>
            </w:r>
          </w:p>
        </w:tc>
        <w:tc>
          <w:tcPr>
            <w:tcW w:w="1048" w:type="pct"/>
            <w:gridSpan w:val="4"/>
            <w:tcBorders>
              <w:top w:val="single" w:sz="4" w:space="0" w:color="auto"/>
              <w:left w:val="single" w:sz="18" w:space="0" w:color="FFFFFF" w:themeColor="background1"/>
              <w:bottom w:val="single" w:sz="4" w:space="0" w:color="auto"/>
              <w:right w:val="single" w:sz="18" w:space="0" w:color="FFFFFF" w:themeColor="background1"/>
            </w:tcBorders>
            <w:shd w:val="clear" w:color="auto" w:fill="auto"/>
            <w:vAlign w:val="bottom"/>
            <w:hideMark/>
          </w:tcPr>
          <w:p w:rsidR="00C21DAA" w:rsidRPr="00500FFB" w:rsidRDefault="00115B35" w:rsidP="00500FFB">
            <w:pPr>
              <w:keepNext/>
              <w:spacing w:before="80" w:after="80" w:line="200" w:lineRule="exact"/>
              <w:ind w:left="113"/>
              <w:jc w:val="center"/>
              <w:rPr>
                <w:bCs/>
                <w:i/>
                <w:sz w:val="14"/>
                <w:szCs w:val="14"/>
                <w:lang w:val="en-US" w:eastAsia="en-US"/>
              </w:rPr>
            </w:pPr>
            <w:r w:rsidRPr="00500FFB">
              <w:rPr>
                <w:bCs/>
                <w:i/>
                <w:sz w:val="14"/>
                <w:szCs w:val="14"/>
                <w:lang w:val="en-US" w:eastAsia="en-US"/>
              </w:rPr>
              <w:t xml:space="preserve">Secundaria </w:t>
            </w:r>
            <w:r w:rsidR="005D5480" w:rsidRPr="00500FFB">
              <w:rPr>
                <w:bCs/>
                <w:i/>
                <w:sz w:val="14"/>
                <w:szCs w:val="14"/>
                <w:lang w:val="en-US" w:eastAsia="en-US"/>
              </w:rPr>
              <w:t>–</w:t>
            </w:r>
            <w:r w:rsidRPr="00500FFB">
              <w:rPr>
                <w:bCs/>
                <w:i/>
                <w:sz w:val="14"/>
                <w:szCs w:val="14"/>
                <w:lang w:val="en-US" w:eastAsia="en-US"/>
              </w:rPr>
              <w:t xml:space="preserve"> Ciclo Orientado</w:t>
            </w:r>
          </w:p>
        </w:tc>
      </w:tr>
      <w:tr w:rsidR="005D5480" w:rsidRPr="005D5480" w:rsidTr="005D5480">
        <w:trPr>
          <w:trHeight w:val="240"/>
        </w:trPr>
        <w:tc>
          <w:tcPr>
            <w:tcW w:w="888" w:type="pct"/>
            <w:vMerge w:val="restart"/>
            <w:tcBorders>
              <w:top w:val="single" w:sz="4" w:space="0" w:color="auto"/>
              <w:bottom w:val="single" w:sz="12" w:space="0" w:color="auto"/>
              <w:right w:val="single" w:sz="18" w:space="0" w:color="FFFFFF" w:themeColor="background1"/>
            </w:tcBorders>
            <w:shd w:val="clear" w:color="auto" w:fill="auto"/>
            <w:noWrap/>
            <w:vAlign w:val="bottom"/>
            <w:hideMark/>
          </w:tcPr>
          <w:p w:rsidR="005D5480" w:rsidRPr="00500FFB" w:rsidRDefault="005D5480" w:rsidP="00500FFB">
            <w:pPr>
              <w:keepNext/>
              <w:spacing w:before="80" w:after="80" w:line="200" w:lineRule="exact"/>
              <w:rPr>
                <w:bCs/>
                <w:i/>
                <w:sz w:val="14"/>
                <w:szCs w:val="14"/>
                <w:lang w:val="en-US" w:eastAsia="en-US"/>
              </w:rPr>
            </w:pPr>
            <w:r w:rsidRPr="00500FFB">
              <w:rPr>
                <w:bCs/>
                <w:i/>
                <w:sz w:val="14"/>
                <w:szCs w:val="14"/>
                <w:lang w:val="en-US" w:eastAsia="en-US"/>
              </w:rPr>
              <w:t>Político Territorial</w:t>
            </w:r>
          </w:p>
        </w:tc>
        <w:tc>
          <w:tcPr>
            <w:tcW w:w="262" w:type="pct"/>
            <w:vMerge w:val="restart"/>
            <w:tcBorders>
              <w:top w:val="single" w:sz="4" w:space="0" w:color="auto"/>
              <w:left w:val="single" w:sz="18" w:space="0" w:color="FFFFFF" w:themeColor="background1"/>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Total</w:t>
            </w:r>
          </w:p>
        </w:tc>
        <w:tc>
          <w:tcPr>
            <w:tcW w:w="1709" w:type="pct"/>
            <w:gridSpan w:val="6"/>
            <w:tcBorders>
              <w:top w:val="single" w:sz="4" w:space="0" w:color="auto"/>
              <w:bottom w:val="single" w:sz="4" w:space="0" w:color="auto"/>
              <w:right w:val="single" w:sz="18" w:space="0" w:color="FFFFFF" w:themeColor="background1"/>
            </w:tcBorders>
            <w:shd w:val="clear" w:color="auto" w:fill="auto"/>
            <w:noWrap/>
            <w:vAlign w:val="bottom"/>
            <w:hideMark/>
          </w:tcPr>
          <w:p w:rsidR="005D5480" w:rsidRPr="00500FFB" w:rsidRDefault="005D5480" w:rsidP="00500FFB">
            <w:pPr>
              <w:keepNext/>
              <w:spacing w:before="80" w:after="80" w:line="200" w:lineRule="exact"/>
              <w:ind w:left="113"/>
              <w:jc w:val="center"/>
              <w:rPr>
                <w:bCs/>
                <w:i/>
                <w:sz w:val="14"/>
                <w:szCs w:val="14"/>
                <w:lang w:val="en-US" w:eastAsia="en-US"/>
              </w:rPr>
            </w:pPr>
            <w:r w:rsidRPr="00500FFB">
              <w:rPr>
                <w:bCs/>
                <w:i/>
                <w:sz w:val="14"/>
                <w:szCs w:val="14"/>
                <w:lang w:val="en-US" w:eastAsia="en-US"/>
              </w:rPr>
              <w:t>Año de estudio</w:t>
            </w:r>
          </w:p>
        </w:tc>
        <w:tc>
          <w:tcPr>
            <w:tcW w:w="262" w:type="pct"/>
            <w:vMerge w:val="restart"/>
            <w:tcBorders>
              <w:top w:val="single" w:sz="4" w:space="0" w:color="auto"/>
              <w:left w:val="single" w:sz="18" w:space="0" w:color="FFFFFF" w:themeColor="background1"/>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Total</w:t>
            </w:r>
          </w:p>
        </w:tc>
        <w:tc>
          <w:tcPr>
            <w:tcW w:w="832" w:type="pct"/>
            <w:gridSpan w:val="3"/>
            <w:tcBorders>
              <w:top w:val="single" w:sz="4" w:space="0" w:color="auto"/>
              <w:bottom w:val="single" w:sz="4" w:space="0" w:color="auto"/>
              <w:right w:val="single" w:sz="18" w:space="0" w:color="FFFFFF" w:themeColor="background1"/>
            </w:tcBorders>
            <w:shd w:val="clear" w:color="auto" w:fill="auto"/>
            <w:noWrap/>
            <w:vAlign w:val="bottom"/>
            <w:hideMark/>
          </w:tcPr>
          <w:p w:rsidR="005D5480" w:rsidRPr="00500FFB" w:rsidRDefault="005D5480" w:rsidP="00500FFB">
            <w:pPr>
              <w:keepNext/>
              <w:spacing w:before="80" w:after="80" w:line="200" w:lineRule="exact"/>
              <w:ind w:left="113"/>
              <w:jc w:val="center"/>
              <w:rPr>
                <w:bCs/>
                <w:i/>
                <w:sz w:val="14"/>
                <w:szCs w:val="14"/>
                <w:lang w:val="en-US" w:eastAsia="en-US"/>
              </w:rPr>
            </w:pPr>
            <w:r w:rsidRPr="00500FFB">
              <w:rPr>
                <w:bCs/>
                <w:i/>
                <w:sz w:val="14"/>
                <w:szCs w:val="14"/>
                <w:lang w:val="en-US" w:eastAsia="en-US"/>
              </w:rPr>
              <w:t>Año de estudio</w:t>
            </w:r>
          </w:p>
        </w:tc>
        <w:tc>
          <w:tcPr>
            <w:tcW w:w="262" w:type="pct"/>
            <w:vMerge w:val="restart"/>
            <w:tcBorders>
              <w:top w:val="single" w:sz="4" w:space="0" w:color="auto"/>
              <w:left w:val="single" w:sz="18" w:space="0" w:color="FFFFFF" w:themeColor="background1"/>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Total</w:t>
            </w:r>
          </w:p>
        </w:tc>
        <w:tc>
          <w:tcPr>
            <w:tcW w:w="786" w:type="pct"/>
            <w:gridSpan w:val="3"/>
            <w:tcBorders>
              <w:top w:val="single" w:sz="4" w:space="0" w:color="auto"/>
              <w:bottom w:val="single" w:sz="4" w:space="0" w:color="auto"/>
              <w:right w:val="single" w:sz="18" w:space="0" w:color="FFFFFF" w:themeColor="background1"/>
            </w:tcBorders>
            <w:shd w:val="clear" w:color="auto" w:fill="auto"/>
            <w:noWrap/>
            <w:vAlign w:val="bottom"/>
            <w:hideMark/>
          </w:tcPr>
          <w:p w:rsidR="005D5480" w:rsidRPr="00500FFB" w:rsidRDefault="005D5480" w:rsidP="00500FFB">
            <w:pPr>
              <w:keepNext/>
              <w:spacing w:before="80" w:after="80" w:line="200" w:lineRule="exact"/>
              <w:ind w:left="113"/>
              <w:jc w:val="center"/>
              <w:rPr>
                <w:bCs/>
                <w:i/>
                <w:sz w:val="14"/>
                <w:szCs w:val="14"/>
                <w:lang w:val="en-US" w:eastAsia="en-US"/>
              </w:rPr>
            </w:pPr>
            <w:r w:rsidRPr="00500FFB">
              <w:rPr>
                <w:bCs/>
                <w:i/>
                <w:sz w:val="14"/>
                <w:szCs w:val="14"/>
                <w:lang w:val="en-US" w:eastAsia="en-US"/>
              </w:rPr>
              <w:t>Año de estudio</w:t>
            </w:r>
          </w:p>
        </w:tc>
      </w:tr>
      <w:tr w:rsidR="005D5480" w:rsidRPr="005D5480" w:rsidTr="00500FFB">
        <w:trPr>
          <w:trHeight w:val="240"/>
        </w:trPr>
        <w:tc>
          <w:tcPr>
            <w:tcW w:w="888" w:type="pct"/>
            <w:vMerge/>
            <w:tcBorders>
              <w:top w:val="single" w:sz="4" w:space="0" w:color="auto"/>
              <w:bottom w:val="single" w:sz="12" w:space="0" w:color="auto"/>
              <w:right w:val="single" w:sz="18" w:space="0" w:color="FFFFFF" w:themeColor="background1"/>
            </w:tcBorders>
            <w:shd w:val="clear" w:color="auto" w:fill="auto"/>
            <w:noWrap/>
            <w:hideMark/>
          </w:tcPr>
          <w:p w:rsidR="005D5480" w:rsidRPr="00500FFB" w:rsidRDefault="005D5480" w:rsidP="00500FFB">
            <w:pPr>
              <w:keepNext/>
              <w:spacing w:before="40" w:after="40" w:line="220" w:lineRule="exact"/>
              <w:rPr>
                <w:sz w:val="14"/>
                <w:szCs w:val="14"/>
                <w:lang w:val="en-US" w:eastAsia="en-US"/>
              </w:rPr>
            </w:pPr>
          </w:p>
        </w:tc>
        <w:tc>
          <w:tcPr>
            <w:tcW w:w="262" w:type="pct"/>
            <w:vMerge/>
            <w:tcBorders>
              <w:top w:val="single" w:sz="4" w:space="0" w:color="auto"/>
              <w:left w:val="single" w:sz="18" w:space="0" w:color="FFFFFF" w:themeColor="background1"/>
              <w:bottom w:val="single" w:sz="12" w:space="0" w:color="auto"/>
            </w:tcBorders>
            <w:shd w:val="clear" w:color="auto" w:fill="auto"/>
            <w:vAlign w:val="bottom"/>
            <w:hideMark/>
          </w:tcPr>
          <w:p w:rsidR="005D5480" w:rsidRPr="00500FFB" w:rsidRDefault="005D5480" w:rsidP="00500FFB">
            <w:pPr>
              <w:keepNext/>
              <w:spacing w:before="40" w:after="40" w:line="220" w:lineRule="exact"/>
              <w:ind w:left="113"/>
              <w:jc w:val="right"/>
              <w:rPr>
                <w:bCs/>
                <w:sz w:val="14"/>
                <w:szCs w:val="14"/>
                <w:lang w:val="en-US" w:eastAsia="en-US"/>
              </w:rPr>
            </w:pPr>
          </w:p>
        </w:tc>
        <w:tc>
          <w:tcPr>
            <w:tcW w:w="308"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1º</w:t>
            </w:r>
          </w:p>
        </w:tc>
        <w:tc>
          <w:tcPr>
            <w:tcW w:w="308"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2º</w:t>
            </w:r>
          </w:p>
        </w:tc>
        <w:tc>
          <w:tcPr>
            <w:tcW w:w="308"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3º</w:t>
            </w:r>
          </w:p>
        </w:tc>
        <w:tc>
          <w:tcPr>
            <w:tcW w:w="262"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4º</w:t>
            </w:r>
          </w:p>
        </w:tc>
        <w:tc>
          <w:tcPr>
            <w:tcW w:w="262"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5º</w:t>
            </w:r>
          </w:p>
        </w:tc>
        <w:tc>
          <w:tcPr>
            <w:tcW w:w="262"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6º</w:t>
            </w:r>
          </w:p>
        </w:tc>
        <w:tc>
          <w:tcPr>
            <w:tcW w:w="262" w:type="pct"/>
            <w:vMerge/>
            <w:tcBorders>
              <w:top w:val="single" w:sz="4" w:space="0" w:color="auto"/>
              <w:bottom w:val="single" w:sz="12" w:space="0" w:color="auto"/>
            </w:tcBorders>
            <w:shd w:val="clear" w:color="auto" w:fill="auto"/>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p>
        </w:tc>
        <w:tc>
          <w:tcPr>
            <w:tcW w:w="308"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7°</w:t>
            </w:r>
          </w:p>
        </w:tc>
        <w:tc>
          <w:tcPr>
            <w:tcW w:w="262"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8°</w:t>
            </w:r>
          </w:p>
        </w:tc>
        <w:tc>
          <w:tcPr>
            <w:tcW w:w="262"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9°</w:t>
            </w:r>
          </w:p>
        </w:tc>
        <w:tc>
          <w:tcPr>
            <w:tcW w:w="262" w:type="pct"/>
            <w:vMerge/>
            <w:tcBorders>
              <w:top w:val="single" w:sz="4" w:space="0" w:color="auto"/>
              <w:bottom w:val="single" w:sz="12" w:space="0" w:color="auto"/>
            </w:tcBorders>
            <w:shd w:val="clear" w:color="auto" w:fill="auto"/>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p>
        </w:tc>
        <w:tc>
          <w:tcPr>
            <w:tcW w:w="262"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10°</w:t>
            </w:r>
          </w:p>
        </w:tc>
        <w:tc>
          <w:tcPr>
            <w:tcW w:w="262" w:type="pct"/>
            <w:tcBorders>
              <w:top w:val="single" w:sz="4" w:space="0" w:color="auto"/>
              <w:bottom w:val="single" w:sz="12" w:space="0" w:color="auto"/>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11°</w:t>
            </w:r>
          </w:p>
        </w:tc>
        <w:tc>
          <w:tcPr>
            <w:tcW w:w="262" w:type="pct"/>
            <w:tcBorders>
              <w:top w:val="single" w:sz="4" w:space="0" w:color="auto"/>
              <w:bottom w:val="single" w:sz="12" w:space="0" w:color="auto"/>
              <w:right w:val="single" w:sz="18" w:space="0" w:color="FFFFFF" w:themeColor="background1"/>
            </w:tcBorders>
            <w:shd w:val="clear" w:color="auto" w:fill="auto"/>
            <w:noWrap/>
            <w:vAlign w:val="bottom"/>
            <w:hideMark/>
          </w:tcPr>
          <w:p w:rsidR="005D5480" w:rsidRPr="00500FFB" w:rsidRDefault="005D5480" w:rsidP="00500FFB">
            <w:pPr>
              <w:keepNext/>
              <w:spacing w:before="80" w:after="80" w:line="200" w:lineRule="exact"/>
              <w:ind w:left="113"/>
              <w:jc w:val="right"/>
              <w:rPr>
                <w:bCs/>
                <w:i/>
                <w:sz w:val="14"/>
                <w:szCs w:val="14"/>
                <w:lang w:val="en-US" w:eastAsia="en-US"/>
              </w:rPr>
            </w:pPr>
            <w:r w:rsidRPr="00500FFB">
              <w:rPr>
                <w:bCs/>
                <w:i/>
                <w:sz w:val="14"/>
                <w:szCs w:val="14"/>
                <w:lang w:val="en-US" w:eastAsia="en-US"/>
              </w:rPr>
              <w:t>12°</w:t>
            </w:r>
          </w:p>
        </w:tc>
      </w:tr>
      <w:tr w:rsidR="005D5480" w:rsidRPr="005D5480" w:rsidTr="00500FFB">
        <w:trPr>
          <w:trHeight w:val="240"/>
        </w:trPr>
        <w:tc>
          <w:tcPr>
            <w:tcW w:w="888" w:type="pct"/>
            <w:tcBorders>
              <w:top w:val="single" w:sz="12" w:space="0" w:color="auto"/>
              <w:bottom w:val="single" w:sz="4" w:space="0" w:color="auto"/>
            </w:tcBorders>
            <w:shd w:val="clear" w:color="auto" w:fill="auto"/>
            <w:noWrap/>
            <w:hideMark/>
          </w:tcPr>
          <w:p w:rsidR="00C21DAA" w:rsidRPr="00500FFB" w:rsidRDefault="00115B35" w:rsidP="00500FFB">
            <w:pPr>
              <w:keepNext/>
              <w:spacing w:before="80" w:after="80" w:line="220" w:lineRule="exact"/>
              <w:ind w:left="284"/>
              <w:rPr>
                <w:b/>
                <w:bCs/>
                <w:sz w:val="16"/>
                <w:szCs w:val="16"/>
                <w:lang w:val="en-US" w:eastAsia="en-US"/>
              </w:rPr>
            </w:pPr>
            <w:r w:rsidRPr="00500FFB">
              <w:rPr>
                <w:b/>
                <w:bCs/>
                <w:sz w:val="16"/>
                <w:szCs w:val="16"/>
                <w:lang w:val="en-US" w:eastAsia="en-US"/>
              </w:rPr>
              <w:t>Total Pa</w:t>
            </w:r>
            <w:r w:rsidR="005D5480" w:rsidRPr="00500FFB">
              <w:rPr>
                <w:b/>
                <w:bCs/>
                <w:sz w:val="16"/>
                <w:szCs w:val="16"/>
                <w:lang w:val="en-US" w:eastAsia="en-US"/>
              </w:rPr>
              <w:t>í</w:t>
            </w:r>
            <w:r w:rsidRPr="00500FFB">
              <w:rPr>
                <w:b/>
                <w:bCs/>
                <w:sz w:val="16"/>
                <w:szCs w:val="16"/>
                <w:lang w:val="en-US" w:eastAsia="en-US"/>
              </w:rPr>
              <w:t>s</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97,08</w:t>
            </w:r>
          </w:p>
        </w:tc>
        <w:tc>
          <w:tcPr>
            <w:tcW w:w="308"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98,31</w:t>
            </w:r>
          </w:p>
        </w:tc>
        <w:tc>
          <w:tcPr>
            <w:tcW w:w="308"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96,22</w:t>
            </w:r>
          </w:p>
        </w:tc>
        <w:tc>
          <w:tcPr>
            <w:tcW w:w="308"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96,75</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96,81</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96,82</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97,60</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80,05</w:t>
            </w:r>
          </w:p>
        </w:tc>
        <w:tc>
          <w:tcPr>
            <w:tcW w:w="308"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89,58</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74,60</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75,61</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79,13</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76,17</w:t>
            </w:r>
          </w:p>
        </w:tc>
        <w:tc>
          <w:tcPr>
            <w:tcW w:w="262" w:type="pct"/>
            <w:tcBorders>
              <w:top w:val="single" w:sz="12" w:space="0" w:color="auto"/>
              <w:bottom w:val="single" w:sz="4" w:space="0" w:color="auto"/>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84,86</w:t>
            </w:r>
          </w:p>
        </w:tc>
        <w:tc>
          <w:tcPr>
            <w:tcW w:w="262" w:type="pct"/>
            <w:tcBorders>
              <w:top w:val="single" w:sz="12" w:space="0" w:color="auto"/>
              <w:bottom w:val="single" w:sz="4" w:space="0" w:color="auto"/>
              <w:right w:val="single" w:sz="18" w:space="0" w:color="FFFFFF" w:themeColor="background1"/>
            </w:tcBorders>
            <w:shd w:val="clear" w:color="auto" w:fill="auto"/>
            <w:noWrap/>
            <w:vAlign w:val="bottom"/>
            <w:hideMark/>
          </w:tcPr>
          <w:p w:rsidR="00C21DAA" w:rsidRPr="00500FFB" w:rsidRDefault="00115B35" w:rsidP="00500FFB">
            <w:pPr>
              <w:keepNext/>
              <w:spacing w:before="80" w:after="80" w:line="220" w:lineRule="exact"/>
              <w:ind w:left="113"/>
              <w:jc w:val="right"/>
              <w:rPr>
                <w:b/>
                <w:bCs/>
                <w:sz w:val="16"/>
                <w:szCs w:val="16"/>
                <w:lang w:val="en-US" w:eastAsia="en-US"/>
              </w:rPr>
            </w:pPr>
            <w:r w:rsidRPr="00500FFB">
              <w:rPr>
                <w:b/>
                <w:bCs/>
                <w:sz w:val="16"/>
                <w:szCs w:val="16"/>
                <w:lang w:val="en-US" w:eastAsia="en-US"/>
              </w:rPr>
              <w:t>76,69</w:t>
            </w:r>
          </w:p>
        </w:tc>
      </w:tr>
      <w:tr w:rsidR="005D5480" w:rsidRPr="005D5480" w:rsidTr="00500FFB">
        <w:trPr>
          <w:trHeight w:val="240"/>
        </w:trPr>
        <w:tc>
          <w:tcPr>
            <w:tcW w:w="888" w:type="pct"/>
            <w:tcBorders>
              <w:top w:val="single" w:sz="4" w:space="0" w:color="auto"/>
            </w:tcBorders>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Buenos Aires</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97,96</w:t>
            </w:r>
          </w:p>
        </w:tc>
        <w:tc>
          <w:tcPr>
            <w:tcW w:w="308"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99,66</w:t>
            </w:r>
          </w:p>
        </w:tc>
        <w:tc>
          <w:tcPr>
            <w:tcW w:w="308"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96,67</w:t>
            </w:r>
          </w:p>
        </w:tc>
        <w:tc>
          <w:tcPr>
            <w:tcW w:w="308"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97,19</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97,77</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97,86</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98,72</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79,40</w:t>
            </w:r>
          </w:p>
        </w:tc>
        <w:tc>
          <w:tcPr>
            <w:tcW w:w="308"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85,85</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74,57</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77,48</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76,13</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72,63</w:t>
            </w:r>
          </w:p>
        </w:tc>
        <w:tc>
          <w:tcPr>
            <w:tcW w:w="262" w:type="pct"/>
            <w:tcBorders>
              <w:top w:val="single" w:sz="4"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81,55</w:t>
            </w:r>
          </w:p>
        </w:tc>
        <w:tc>
          <w:tcPr>
            <w:tcW w:w="262" w:type="pct"/>
            <w:tcBorders>
              <w:top w:val="single" w:sz="4" w:space="0" w:color="auto"/>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75,00</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Conurbano</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97,76</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99,13</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96,34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96,92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97,57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97,81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98,94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80,08</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87,27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75,33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77,25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74,56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71,65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80,17</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72,24</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Resto de Buenos Aires</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98,29</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100,56</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97,22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97,64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98,08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97,95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98,35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78,27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83,54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73,28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77,86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78,84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74,36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83,93</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79,52</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Catamarca</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97,66</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99,56</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96,54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97,55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97,87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96,90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97,67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83,91</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87,77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86,51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76,38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83,03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84,12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86,83</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76,89</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Chaco</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95,88</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98,07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94,96</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94,85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95,06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95,87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96,78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80,87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102,32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70,06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73,32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82,70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79,28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88,00</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81,39</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Chubut</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98,98</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100,23</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97,74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99,15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98,69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98,98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99,14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77,16</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79,83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76,74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74,44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78,80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75,52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86,90</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74,56</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Ciudad de Buenos Aires</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97,92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97,21</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97,82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98,25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97,96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98,61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97,67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87,37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103,99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80,93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78,86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81,92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82,39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85,74</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76,98</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C</w:t>
            </w:r>
            <w:r w:rsidR="00CD5E72">
              <w:rPr>
                <w:bCs/>
                <w:sz w:val="16"/>
                <w:szCs w:val="16"/>
                <w:lang w:val="en-US" w:eastAsia="en-US"/>
              </w:rPr>
              <w:t>ó</w:t>
            </w:r>
            <w:r w:rsidRPr="00500FFB">
              <w:rPr>
                <w:bCs/>
                <w:sz w:val="16"/>
                <w:szCs w:val="16"/>
                <w:lang w:val="en-US" w:eastAsia="en-US"/>
              </w:rPr>
              <w:t>rdoba</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97,57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97,58</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97,54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97,51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97,56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97,08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98,16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80,12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81,64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80,55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77,84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80,44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78,21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90,16</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72,18</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Corrientes</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89,85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90,92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85,83</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90,13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87,70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91,65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93,37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79,15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80,72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76,69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80,08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83,06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77,91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86,43</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86,41</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Entre R</w:t>
            </w:r>
            <w:r w:rsidR="00CD5E72">
              <w:rPr>
                <w:bCs/>
                <w:sz w:val="16"/>
                <w:szCs w:val="16"/>
                <w:lang w:val="en-US" w:eastAsia="en-US"/>
              </w:rPr>
              <w:t>í</w:t>
            </w:r>
            <w:r w:rsidRPr="00500FFB">
              <w:rPr>
                <w:bCs/>
                <w:sz w:val="16"/>
                <w:szCs w:val="16"/>
                <w:lang w:val="en-US" w:eastAsia="en-US"/>
              </w:rPr>
              <w:t>os</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96,05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97,56</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95,91</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95,80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95,69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94,93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96,54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73,94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76,90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69,58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75,38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84,06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79,61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87,84</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86,34</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Formosa</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96,75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98,75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98,56</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95,92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95,49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95,28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96,81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79,39</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78,16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79,03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81,49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81,91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82,40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86,06</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76,53</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Jujuy</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99,39</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100,36</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99,14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99,12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99,18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99,30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99,30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84,57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101,28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82,35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71,12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85,37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84,84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94,79</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75,63</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 xml:space="preserve">La </w:t>
            </w:r>
            <w:r w:rsidR="00CD5E72">
              <w:rPr>
                <w:bCs/>
                <w:sz w:val="16"/>
                <w:szCs w:val="16"/>
                <w:lang w:val="en-US" w:eastAsia="en-US"/>
              </w:rPr>
              <w:t>P</w:t>
            </w:r>
            <w:r w:rsidRPr="00500FFB">
              <w:rPr>
                <w:bCs/>
                <w:sz w:val="16"/>
                <w:szCs w:val="16"/>
                <w:lang w:val="en-US" w:eastAsia="en-US"/>
              </w:rPr>
              <w:t>ampa</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99,83</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99,85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100,47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99,40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99,71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99,97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99,57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82,27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88,00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78,18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80,47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82,54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82,20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87,02</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77,56</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 xml:space="preserve">La </w:t>
            </w:r>
            <w:r w:rsidR="00CD5E72">
              <w:rPr>
                <w:bCs/>
                <w:sz w:val="16"/>
                <w:szCs w:val="16"/>
                <w:lang w:val="en-US" w:eastAsia="en-US"/>
              </w:rPr>
              <w:t>R</w:t>
            </w:r>
            <w:r w:rsidRPr="00500FFB">
              <w:rPr>
                <w:bCs/>
                <w:sz w:val="16"/>
                <w:szCs w:val="16"/>
                <w:lang w:val="en-US" w:eastAsia="en-US"/>
              </w:rPr>
              <w:t>ioja</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95,70</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95,48</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95,82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95,41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95,71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94,80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97,03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89,59</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100,32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87,16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81,40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88,58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85,36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92,22</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88,23</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Mendoza</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95,52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95,45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93,80</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96,22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95,10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94,89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97,86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80,01</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95,13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73,66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71,46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77,54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74,08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85,34</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73,43</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Misiones</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94,41</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97,90</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93,35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94,31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94,32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93,06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93,46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84,87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102,57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75,60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77,01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83,94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79,24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89,41</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85,29</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Neuqu</w:t>
            </w:r>
            <w:r w:rsidR="00CD5E72">
              <w:rPr>
                <w:bCs/>
                <w:sz w:val="16"/>
                <w:szCs w:val="16"/>
                <w:lang w:val="en-US" w:eastAsia="en-US"/>
              </w:rPr>
              <w:t>é</w:t>
            </w:r>
            <w:r w:rsidRPr="00500FFB">
              <w:rPr>
                <w:bCs/>
                <w:sz w:val="16"/>
                <w:szCs w:val="16"/>
                <w:lang w:val="en-US" w:eastAsia="en-US"/>
              </w:rPr>
              <w:t>n</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97,31</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98,62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97,92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96,45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98,18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95,86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96,76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72,70</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98,31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62,77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60,85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76,09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75,94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80,10</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71,43</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 xml:space="preserve">Rio </w:t>
            </w:r>
            <w:r w:rsidR="00CD5E72">
              <w:rPr>
                <w:bCs/>
                <w:sz w:val="16"/>
                <w:szCs w:val="16"/>
                <w:lang w:val="en-US" w:eastAsia="en-US"/>
              </w:rPr>
              <w:t>N</w:t>
            </w:r>
            <w:r w:rsidRPr="00500FFB">
              <w:rPr>
                <w:bCs/>
                <w:sz w:val="16"/>
                <w:szCs w:val="16"/>
                <w:lang w:val="en-US" w:eastAsia="en-US"/>
              </w:rPr>
              <w:t>egro</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98,94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100,64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98,70</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99,60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98,41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98,03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98,38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75,80</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102,17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67,17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60,91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74,15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71,26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76,30</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75,70</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Salta</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96,29</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97,64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95,42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96,02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96,76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94,68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97,33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82,69</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106,91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70,74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73,75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79,16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77,40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84,40</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75,75</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San Juan</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94,44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90,48</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94,05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94,87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95,56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94,94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97,41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73,09</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76,38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69,14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73,58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77,68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73,77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85,81</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74,05</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San Luis</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96,70</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97,90</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95,83</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98,04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97,74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95,36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95,34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82,48</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88,45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77,51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80,98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85,26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84,00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87,33</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84,53</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Santa Cruz</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98,42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100,43</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99,15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97,73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98,86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97,40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96,90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71,84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93,18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59,10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64,00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71,17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68,06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74,77</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71,74</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Santa Fe</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97,42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98,32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97,42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97,80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97,37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97,69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95,85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78,84</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101,38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67,96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69,70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79,73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75,86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86,27</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77,92</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 xml:space="preserve">Santiago </w:t>
            </w:r>
            <w:r w:rsidR="00CD5E72">
              <w:rPr>
                <w:bCs/>
                <w:sz w:val="16"/>
                <w:szCs w:val="16"/>
                <w:lang w:val="en-US" w:eastAsia="en-US"/>
              </w:rPr>
              <w:t>d</w:t>
            </w:r>
            <w:r w:rsidRPr="00500FFB">
              <w:rPr>
                <w:bCs/>
                <w:sz w:val="16"/>
                <w:szCs w:val="16"/>
                <w:lang w:val="en-US" w:eastAsia="en-US"/>
              </w:rPr>
              <w:t>el Estero</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94,88</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100,70</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93,17</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93,59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92,67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94,81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94,63</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81,25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94,40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75,26</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72,45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77,91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72,87</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83,31</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79,56</w:t>
            </w:r>
          </w:p>
        </w:tc>
      </w:tr>
      <w:tr w:rsidR="005D5480" w:rsidRPr="005D5480" w:rsidTr="005D5480">
        <w:trPr>
          <w:trHeight w:val="240"/>
        </w:trPr>
        <w:tc>
          <w:tcPr>
            <w:tcW w:w="888" w:type="pct"/>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 xml:space="preserve">Tierra </w:t>
            </w:r>
            <w:r w:rsidR="00CD5E72">
              <w:rPr>
                <w:bCs/>
                <w:sz w:val="16"/>
                <w:szCs w:val="16"/>
                <w:lang w:val="en-US" w:eastAsia="en-US"/>
              </w:rPr>
              <w:t>d</w:t>
            </w:r>
            <w:r w:rsidRPr="00500FFB">
              <w:rPr>
                <w:bCs/>
                <w:sz w:val="16"/>
                <w:szCs w:val="16"/>
                <w:lang w:val="en-US" w:eastAsia="en-US"/>
              </w:rPr>
              <w:t>el Fuego</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99,65</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101,32</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99,53</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100,04</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99,40</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97,75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99,85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81,21</w:t>
            </w:r>
          </w:p>
        </w:tc>
        <w:tc>
          <w:tcPr>
            <w:tcW w:w="308"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85,62</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75,41</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82,99</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84,08</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85,15</w:t>
            </w:r>
          </w:p>
        </w:tc>
        <w:tc>
          <w:tcPr>
            <w:tcW w:w="262" w:type="pct"/>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90,44</w:t>
            </w:r>
          </w:p>
        </w:tc>
        <w:tc>
          <w:tcPr>
            <w:tcW w:w="262" w:type="pct"/>
            <w:tcBorders>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75,23</w:t>
            </w:r>
          </w:p>
        </w:tc>
      </w:tr>
      <w:tr w:rsidR="005D5480" w:rsidRPr="005D5480" w:rsidTr="005D5480">
        <w:trPr>
          <w:trHeight w:val="240"/>
        </w:trPr>
        <w:tc>
          <w:tcPr>
            <w:tcW w:w="888" w:type="pct"/>
            <w:tcBorders>
              <w:bottom w:val="single" w:sz="12" w:space="0" w:color="auto"/>
            </w:tcBorders>
            <w:shd w:val="clear" w:color="auto" w:fill="auto"/>
            <w:noWrap/>
            <w:hideMark/>
          </w:tcPr>
          <w:p w:rsidR="00C21DAA" w:rsidRPr="00500FFB" w:rsidRDefault="00115B35">
            <w:pPr>
              <w:spacing w:before="40" w:after="40" w:line="220" w:lineRule="exact"/>
              <w:rPr>
                <w:bCs/>
                <w:sz w:val="16"/>
                <w:szCs w:val="16"/>
                <w:lang w:val="en-US" w:eastAsia="en-US"/>
              </w:rPr>
            </w:pPr>
            <w:r w:rsidRPr="00500FFB">
              <w:rPr>
                <w:bCs/>
                <w:sz w:val="16"/>
                <w:szCs w:val="16"/>
                <w:lang w:val="en-US" w:eastAsia="en-US"/>
              </w:rPr>
              <w:t>Tucum</w:t>
            </w:r>
            <w:r w:rsidR="00CD5E72">
              <w:rPr>
                <w:bCs/>
                <w:sz w:val="16"/>
                <w:szCs w:val="16"/>
                <w:lang w:val="en-US" w:eastAsia="en-US"/>
              </w:rPr>
              <w:t>á</w:t>
            </w:r>
            <w:r w:rsidRPr="00500FFB">
              <w:rPr>
                <w:bCs/>
                <w:sz w:val="16"/>
                <w:szCs w:val="16"/>
                <w:lang w:val="en-US" w:eastAsia="en-US"/>
              </w:rPr>
              <w:t>n</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98,31</w:t>
            </w:r>
          </w:p>
        </w:tc>
        <w:tc>
          <w:tcPr>
            <w:tcW w:w="308"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99,31</w:t>
            </w:r>
          </w:p>
        </w:tc>
        <w:tc>
          <w:tcPr>
            <w:tcW w:w="308"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98,37</w:t>
            </w:r>
          </w:p>
        </w:tc>
        <w:tc>
          <w:tcPr>
            <w:tcW w:w="308"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97,79</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97,68</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97,66</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99,12</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80,45</w:t>
            </w:r>
          </w:p>
        </w:tc>
        <w:tc>
          <w:tcPr>
            <w:tcW w:w="308"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83,36</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79,25</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78,07</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83,78</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82,10</w:t>
            </w:r>
          </w:p>
        </w:tc>
        <w:tc>
          <w:tcPr>
            <w:tcW w:w="262" w:type="pct"/>
            <w:tcBorders>
              <w:bottom w:val="single" w:sz="12" w:space="0" w:color="auto"/>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89,80</w:t>
            </w:r>
          </w:p>
        </w:tc>
        <w:tc>
          <w:tcPr>
            <w:tcW w:w="262" w:type="pct"/>
            <w:tcBorders>
              <w:bottom w:val="single" w:sz="12" w:space="0" w:color="auto"/>
              <w:right w:val="single" w:sz="18" w:space="0" w:color="FFFFFF" w:themeColor="background1"/>
            </w:tcBorders>
            <w:shd w:val="clear" w:color="auto" w:fill="auto"/>
            <w:noWrap/>
            <w:vAlign w:val="bottom"/>
            <w:hideMark/>
          </w:tcPr>
          <w:p w:rsidR="00C21DAA" w:rsidRPr="00500FFB" w:rsidRDefault="00115B35" w:rsidP="00500FFB">
            <w:pPr>
              <w:spacing w:before="40" w:after="40" w:line="220" w:lineRule="exact"/>
              <w:ind w:left="113"/>
              <w:jc w:val="right"/>
              <w:rPr>
                <w:sz w:val="16"/>
                <w:szCs w:val="16"/>
                <w:lang w:val="en-US" w:eastAsia="en-US"/>
              </w:rPr>
            </w:pPr>
            <w:r w:rsidRPr="00500FFB">
              <w:rPr>
                <w:sz w:val="16"/>
                <w:szCs w:val="16"/>
                <w:lang w:val="en-US" w:eastAsia="en-US"/>
              </w:rPr>
              <w:t>79,02</w:t>
            </w:r>
          </w:p>
        </w:tc>
      </w:tr>
    </w:tbl>
    <w:p w:rsidR="00C21DAA" w:rsidRPr="00500FFB" w:rsidRDefault="00115B35" w:rsidP="00500FFB">
      <w:pPr>
        <w:pStyle w:val="SingleTxtG"/>
        <w:spacing w:before="120" w:after="0" w:line="220" w:lineRule="exact"/>
        <w:ind w:left="170" w:right="0"/>
        <w:rPr>
          <w:sz w:val="16"/>
          <w:szCs w:val="16"/>
          <w:lang w:val="es-AR"/>
        </w:rPr>
      </w:pPr>
      <w:r w:rsidRPr="00500FFB">
        <w:rPr>
          <w:sz w:val="16"/>
          <w:szCs w:val="16"/>
          <w:lang w:val="es-AR"/>
        </w:rPr>
        <w:t>Tasa de abandono interanual: porcentaje de alumnos que no se matrícula en el año lectivo siguiente.</w:t>
      </w:r>
    </w:p>
    <w:p w:rsidR="00C21DAA" w:rsidRPr="00500FFB" w:rsidRDefault="00115B35" w:rsidP="00500FFB">
      <w:pPr>
        <w:pStyle w:val="SingleTxtG"/>
        <w:spacing w:after="240" w:line="220" w:lineRule="exact"/>
        <w:ind w:left="0" w:right="0" w:firstLine="170"/>
        <w:rPr>
          <w:rFonts w:eastAsia="Calibri"/>
          <w:sz w:val="16"/>
          <w:szCs w:val="16"/>
          <w:lang w:val="es-AR" w:eastAsia="en-US"/>
        </w:rPr>
      </w:pPr>
      <w:r w:rsidRPr="00500FFB">
        <w:rPr>
          <w:rFonts w:eastAsia="Calibri"/>
          <w:i/>
          <w:sz w:val="16"/>
          <w:szCs w:val="16"/>
          <w:lang w:val="es-AR" w:eastAsia="en-US"/>
        </w:rPr>
        <w:t>Fuente:</w:t>
      </w:r>
      <w:r w:rsidRPr="00500FFB">
        <w:rPr>
          <w:rFonts w:eastAsia="Calibri"/>
          <w:sz w:val="16"/>
          <w:szCs w:val="16"/>
          <w:lang w:val="es-AR" w:eastAsia="en-US"/>
        </w:rPr>
        <w:t xml:space="preserve"> Relevamientos anuales 2013 y 2014. DiNIECE. MEN</w:t>
      </w:r>
      <w:r w:rsidR="005C512D">
        <w:rPr>
          <w:rFonts w:eastAsia="Calibri"/>
          <w:sz w:val="16"/>
          <w:szCs w:val="16"/>
          <w:lang w:val="es-AR" w:eastAsia="en-US"/>
        </w:rPr>
        <w:t>.</w:t>
      </w:r>
    </w:p>
    <w:p w:rsidR="00C21DAA" w:rsidRPr="00FE07FE" w:rsidRDefault="00FE07FE" w:rsidP="00500FFB">
      <w:pPr>
        <w:pStyle w:val="SingleTxtG"/>
        <w:rPr>
          <w:lang w:val="es-MX" w:eastAsia="en-US"/>
        </w:rPr>
      </w:pPr>
      <w:r w:rsidRPr="00500FFB">
        <w:rPr>
          <w:lang w:val="es-MX" w:eastAsia="en-US"/>
        </w:rPr>
        <w:t>203.</w:t>
      </w:r>
      <w:r w:rsidRPr="00500FFB">
        <w:rPr>
          <w:lang w:val="es-MX" w:eastAsia="en-US"/>
        </w:rPr>
        <w:tab/>
      </w:r>
      <w:r w:rsidR="00115B35" w:rsidRPr="00FE07FE">
        <w:rPr>
          <w:lang w:val="es-MX" w:eastAsia="en-US"/>
        </w:rPr>
        <w:t>Respecto a la formación profesional, la ley de educación establece que es objetivo de la educación permanente la formación profesional para facilitar la inserción laboral (art.</w:t>
      </w:r>
      <w:r w:rsidR="005D5480">
        <w:rPr>
          <w:lang w:val="es-MX" w:eastAsia="en-US"/>
        </w:rPr>
        <w:t> </w:t>
      </w:r>
      <w:r w:rsidR="00115B35" w:rsidRPr="00FE07FE">
        <w:rPr>
          <w:lang w:val="es-MX" w:eastAsia="en-US"/>
        </w:rPr>
        <w:t xml:space="preserve">48). La provincia de Buenos Aires llevó a cabo en el 2014 el proyecto de fortalecimiento de la salud sexual y reproductiva en el marco de la aplicación de la ley de </w:t>
      </w:r>
      <w:r w:rsidR="00115B35" w:rsidRPr="00FE07FE">
        <w:rPr>
          <w:lang w:val="es-MX" w:eastAsia="en-US"/>
        </w:rPr>
        <w:lastRenderedPageBreak/>
        <w:t xml:space="preserve">ESI, formación de formadores. En el 2013 se realizó la campaña “sexualidades es placer” dirigida a adolescentes y jóvenes, con perspectiva de género. </w:t>
      </w:r>
    </w:p>
    <w:p w:rsidR="00C21DAA" w:rsidRPr="00FE07FE" w:rsidRDefault="00FE07FE" w:rsidP="00500FFB">
      <w:pPr>
        <w:pStyle w:val="SingleTxtG"/>
        <w:rPr>
          <w:lang w:val="es-MX" w:eastAsia="en-US"/>
        </w:rPr>
      </w:pPr>
      <w:r w:rsidRPr="00500FFB">
        <w:rPr>
          <w:lang w:val="es-MX" w:eastAsia="en-US"/>
        </w:rPr>
        <w:t>204.</w:t>
      </w:r>
      <w:r w:rsidRPr="00500FFB">
        <w:rPr>
          <w:lang w:val="es-MX" w:eastAsia="en-US"/>
        </w:rPr>
        <w:tab/>
      </w:r>
      <w:r w:rsidR="00115B35" w:rsidRPr="00FE07FE">
        <w:rPr>
          <w:lang w:val="es-MX" w:eastAsia="en-US"/>
        </w:rPr>
        <w:t xml:space="preserve">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26390 establece que, hasta los 15 años, los niños no pueden trabajar y desde los 16 hasta los 25, el trabajo es protegido y los contratos de trabajo son de aprendizaje con jornadas laborales formativas teórico-prácticas. </w:t>
      </w:r>
    </w:p>
    <w:p w:rsidR="00C21DAA" w:rsidRPr="00FE07FE" w:rsidRDefault="00FE07FE" w:rsidP="00500FFB">
      <w:pPr>
        <w:pStyle w:val="SingleTxtG"/>
        <w:rPr>
          <w:lang w:val="es-MX" w:eastAsia="en-US"/>
        </w:rPr>
      </w:pPr>
      <w:r w:rsidRPr="00500FFB">
        <w:rPr>
          <w:lang w:val="es-MX" w:eastAsia="en-US"/>
        </w:rPr>
        <w:t>205.</w:t>
      </w:r>
      <w:r w:rsidRPr="00500FFB">
        <w:rPr>
          <w:lang w:val="es-MX" w:eastAsia="en-US"/>
        </w:rPr>
        <w:tab/>
      </w:r>
      <w:r w:rsidR="00115B35" w:rsidRPr="00FE07FE">
        <w:rPr>
          <w:lang w:val="es-MX" w:eastAsia="en-US"/>
        </w:rPr>
        <w:t>La enseñanza de los derechos humanos en las escuelas es parte de la currícula escolar (</w:t>
      </w:r>
      <w:r w:rsidR="005D5480">
        <w:rPr>
          <w:lang w:val="es-MX" w:eastAsia="en-US"/>
        </w:rPr>
        <w:t>L</w:t>
      </w:r>
      <w:r w:rsidR="00115B35" w:rsidRPr="00FE07FE">
        <w:rPr>
          <w:lang w:val="es-MX" w:eastAsia="en-US"/>
        </w:rPr>
        <w:t xml:space="preserve">ey </w:t>
      </w:r>
      <w:r w:rsidR="005D5480">
        <w:rPr>
          <w:lang w:val="es-MX" w:eastAsia="en-US"/>
        </w:rPr>
        <w:t xml:space="preserve">núm. </w:t>
      </w:r>
      <w:r w:rsidR="00115B35" w:rsidRPr="00FE07FE">
        <w:rPr>
          <w:lang w:val="es-MX" w:eastAsia="en-US"/>
        </w:rPr>
        <w:t xml:space="preserve">26206). En particular la ESI, como derecho humano fundamental se prevé la </w:t>
      </w:r>
      <w:r w:rsidR="005D5480">
        <w:rPr>
          <w:lang w:val="es-MX" w:eastAsia="en-US"/>
        </w:rPr>
        <w:t>L</w:t>
      </w:r>
      <w:r w:rsidR="00115B35" w:rsidRPr="00FE07FE">
        <w:rPr>
          <w:lang w:val="es-MX" w:eastAsia="en-US"/>
        </w:rPr>
        <w:t xml:space="preserve">ey </w:t>
      </w:r>
      <w:r w:rsidR="005D5480">
        <w:rPr>
          <w:lang w:val="es-MX" w:eastAsia="en-US"/>
        </w:rPr>
        <w:t xml:space="preserve">núm. </w:t>
      </w:r>
      <w:r w:rsidR="00115B35" w:rsidRPr="00FE07FE">
        <w:rPr>
          <w:lang w:val="es-MX" w:eastAsia="en-US"/>
        </w:rPr>
        <w:t xml:space="preserve">26150. Para garantizar esos derechos, se imprimieron más de 10 millones de piezas gráficas y audiovisuales y se capacitaron 100.000 docentes.  </w:t>
      </w:r>
    </w:p>
    <w:tbl>
      <w:tblPr>
        <w:tblW w:w="7386" w:type="dxa"/>
        <w:tblInd w:w="1134" w:type="dxa"/>
        <w:tblBorders>
          <w:top w:val="single" w:sz="4" w:space="0" w:color="auto"/>
        </w:tblBorders>
        <w:tblCellMar>
          <w:left w:w="0" w:type="dxa"/>
          <w:right w:w="0" w:type="dxa"/>
        </w:tblCellMar>
        <w:tblLook w:val="04A0" w:firstRow="1" w:lastRow="0" w:firstColumn="1" w:lastColumn="0" w:noHBand="0" w:noVBand="1"/>
      </w:tblPr>
      <w:tblGrid>
        <w:gridCol w:w="5747"/>
        <w:gridCol w:w="1647"/>
      </w:tblGrid>
      <w:tr w:rsidR="00D273CE" w:rsidRPr="00D273CE" w:rsidTr="00D273CE">
        <w:trPr>
          <w:trHeight w:val="240"/>
          <w:tblHeader/>
        </w:trPr>
        <w:tc>
          <w:tcPr>
            <w:tcW w:w="7386" w:type="dxa"/>
            <w:gridSpan w:val="2"/>
            <w:tcBorders>
              <w:top w:val="single" w:sz="4" w:space="0" w:color="auto"/>
              <w:bottom w:val="single" w:sz="12" w:space="0" w:color="auto"/>
            </w:tcBorders>
            <w:shd w:val="clear" w:color="auto" w:fill="auto"/>
            <w:noWrap/>
            <w:vAlign w:val="bottom"/>
            <w:hideMark/>
          </w:tcPr>
          <w:p w:rsidR="00C21DAA" w:rsidRPr="00D273CE" w:rsidRDefault="00115B35">
            <w:pPr>
              <w:spacing w:before="80" w:after="80" w:line="200" w:lineRule="exact"/>
              <w:rPr>
                <w:bCs/>
                <w:i/>
                <w:sz w:val="16"/>
                <w:lang w:val="es-AR"/>
              </w:rPr>
            </w:pPr>
            <w:r w:rsidRPr="00D273CE">
              <w:rPr>
                <w:bCs/>
                <w:i/>
                <w:sz w:val="16"/>
                <w:lang w:val="es-AR"/>
              </w:rPr>
              <w:t>Producción y distribución de materiales ESI en las escuelas 2009-2015</w:t>
            </w:r>
          </w:p>
        </w:tc>
      </w:tr>
      <w:tr w:rsidR="00D273CE" w:rsidRPr="00D273CE" w:rsidTr="00500FFB">
        <w:trPr>
          <w:trHeight w:val="240"/>
        </w:trPr>
        <w:tc>
          <w:tcPr>
            <w:tcW w:w="5739" w:type="dxa"/>
            <w:tcBorders>
              <w:top w:val="single" w:sz="12" w:space="0" w:color="auto"/>
            </w:tcBorders>
            <w:shd w:val="clear" w:color="auto" w:fill="auto"/>
            <w:noWrap/>
            <w:hideMark/>
          </w:tcPr>
          <w:p w:rsidR="00C21DAA" w:rsidRPr="00D273CE" w:rsidRDefault="00115B35">
            <w:pPr>
              <w:spacing w:before="40" w:after="40" w:line="220" w:lineRule="exact"/>
              <w:rPr>
                <w:b/>
                <w:bCs/>
                <w:sz w:val="18"/>
                <w:lang w:val="es-AR"/>
              </w:rPr>
            </w:pPr>
            <w:r w:rsidRPr="00D273CE">
              <w:rPr>
                <w:b/>
                <w:bCs/>
                <w:sz w:val="18"/>
                <w:lang w:val="es-AR"/>
              </w:rPr>
              <w:t>Materiales impresos y CD</w:t>
            </w:r>
            <w:r w:rsidR="00D273CE">
              <w:rPr>
                <w:b/>
                <w:bCs/>
                <w:sz w:val="18"/>
                <w:lang w:val="es-AR"/>
              </w:rPr>
              <w:t>’</w:t>
            </w:r>
            <w:r w:rsidRPr="00D273CE">
              <w:rPr>
                <w:b/>
                <w:bCs/>
                <w:sz w:val="18"/>
                <w:lang w:val="es-AR"/>
              </w:rPr>
              <w:t>s y DVD</w:t>
            </w:r>
            <w:r w:rsidR="00D273CE">
              <w:rPr>
                <w:b/>
                <w:bCs/>
                <w:sz w:val="18"/>
                <w:lang w:val="es-AR"/>
              </w:rPr>
              <w:t>’</w:t>
            </w:r>
            <w:r w:rsidRPr="00D273CE">
              <w:rPr>
                <w:b/>
                <w:bCs/>
                <w:sz w:val="18"/>
                <w:lang w:val="es-AR"/>
              </w:rPr>
              <w:t>s</w:t>
            </w:r>
          </w:p>
        </w:tc>
        <w:tc>
          <w:tcPr>
            <w:tcW w:w="1647" w:type="dxa"/>
            <w:tcBorders>
              <w:top w:val="single" w:sz="12" w:space="0" w:color="auto"/>
            </w:tcBorders>
            <w:shd w:val="clear" w:color="auto" w:fill="auto"/>
            <w:vAlign w:val="bottom"/>
            <w:hideMark/>
          </w:tcPr>
          <w:p w:rsidR="00C21DAA" w:rsidRPr="00D273CE" w:rsidRDefault="00115B35" w:rsidP="00500FFB">
            <w:pPr>
              <w:spacing w:before="40" w:after="40" w:line="220" w:lineRule="exact"/>
              <w:jc w:val="right"/>
              <w:rPr>
                <w:b/>
                <w:bCs/>
                <w:sz w:val="18"/>
              </w:rPr>
            </w:pPr>
            <w:r w:rsidRPr="00D273CE">
              <w:rPr>
                <w:b/>
                <w:bCs/>
                <w:sz w:val="18"/>
              </w:rPr>
              <w:t>Ejemplares</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rPr>
            </w:pPr>
            <w:r w:rsidRPr="00D273CE">
              <w:rPr>
                <w:sz w:val="18"/>
              </w:rPr>
              <w:t>Lineamientos curriculares</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850</w:t>
            </w:r>
            <w:r w:rsidR="006B46D4" w:rsidRPr="00D273CE">
              <w:rPr>
                <w:sz w:val="18"/>
              </w:rPr>
              <w:t xml:space="preserve"> </w:t>
            </w:r>
            <w:r w:rsidRPr="00D273CE">
              <w:rPr>
                <w:sz w:val="18"/>
              </w:rPr>
              <w:t>000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Pósters y folletos de sensibilización</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2</w:t>
            </w:r>
            <w:r w:rsidR="006B46D4" w:rsidRPr="00D273CE">
              <w:rPr>
                <w:sz w:val="18"/>
              </w:rPr>
              <w:t xml:space="preserve"> </w:t>
            </w:r>
            <w:r w:rsidRPr="00D273CE">
              <w:rPr>
                <w:sz w:val="18"/>
              </w:rPr>
              <w:t>400</w:t>
            </w:r>
            <w:r w:rsidR="006B46D4" w:rsidRPr="00D273CE">
              <w:rPr>
                <w:sz w:val="18"/>
              </w:rPr>
              <w:t xml:space="preserve"> </w:t>
            </w:r>
            <w:r w:rsidRPr="00D273CE">
              <w:rPr>
                <w:sz w:val="18"/>
              </w:rPr>
              <w:t>000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Serie de Cuadernos ESI (inicial, primario, secundario y jóvenes y adultos, guías para el desarrollo institucional)</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1</w:t>
            </w:r>
            <w:r w:rsidR="006B46D4" w:rsidRPr="00D273CE">
              <w:rPr>
                <w:sz w:val="18"/>
              </w:rPr>
              <w:t xml:space="preserve"> </w:t>
            </w:r>
            <w:r w:rsidRPr="00D273CE">
              <w:rPr>
                <w:sz w:val="18"/>
              </w:rPr>
              <w:t>620</w:t>
            </w:r>
            <w:r w:rsidR="006B46D4" w:rsidRPr="00D273CE">
              <w:rPr>
                <w:sz w:val="18"/>
              </w:rPr>
              <w:t xml:space="preserve"> </w:t>
            </w:r>
            <w:r w:rsidRPr="00D273CE">
              <w:rPr>
                <w:sz w:val="18"/>
              </w:rPr>
              <w:t>000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 xml:space="preserve">Cuadernillo </w:t>
            </w:r>
            <w:r w:rsidR="00D273CE">
              <w:rPr>
                <w:sz w:val="18"/>
                <w:lang w:val="es-AR"/>
              </w:rPr>
              <w:t>“</w:t>
            </w:r>
            <w:r w:rsidRPr="00D273CE">
              <w:rPr>
                <w:sz w:val="18"/>
                <w:lang w:val="es-AR"/>
              </w:rPr>
              <w:t>Es parte de la vida</w:t>
            </w:r>
            <w:r w:rsidR="00D273CE">
              <w:rPr>
                <w:sz w:val="18"/>
                <w:lang w:val="es-AR"/>
              </w:rPr>
              <w:t>”</w:t>
            </w:r>
            <w:r w:rsidRPr="00D273CE">
              <w:rPr>
                <w:sz w:val="18"/>
                <w:lang w:val="es-AR"/>
              </w:rPr>
              <w:t xml:space="preserve"> para Educación Especial</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150</w:t>
            </w:r>
            <w:r w:rsidR="006B46D4" w:rsidRPr="00D273CE">
              <w:rPr>
                <w:sz w:val="18"/>
              </w:rPr>
              <w:t xml:space="preserve"> </w:t>
            </w:r>
            <w:r w:rsidRPr="00D273CE">
              <w:rPr>
                <w:sz w:val="18"/>
              </w:rPr>
              <w:t>000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Revista ESI para charlas en familia</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7</w:t>
            </w:r>
            <w:r w:rsidR="006B46D4" w:rsidRPr="00D273CE">
              <w:rPr>
                <w:sz w:val="18"/>
              </w:rPr>
              <w:t xml:space="preserve"> </w:t>
            </w:r>
            <w:r w:rsidRPr="00D273CE">
              <w:rPr>
                <w:sz w:val="18"/>
              </w:rPr>
              <w:t>200</w:t>
            </w:r>
            <w:r w:rsidR="006B46D4" w:rsidRPr="00D273CE">
              <w:rPr>
                <w:sz w:val="18"/>
              </w:rPr>
              <w:t xml:space="preserve"> </w:t>
            </w:r>
            <w:r w:rsidRPr="00D273CE">
              <w:rPr>
                <w:sz w:val="18"/>
              </w:rPr>
              <w:t>000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Láminas de ESI didácticas para el aula</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1</w:t>
            </w:r>
            <w:r w:rsidR="006B46D4" w:rsidRPr="00D273CE">
              <w:rPr>
                <w:sz w:val="18"/>
              </w:rPr>
              <w:t xml:space="preserve"> </w:t>
            </w:r>
            <w:r w:rsidRPr="00D273CE">
              <w:rPr>
                <w:sz w:val="18"/>
              </w:rPr>
              <w:t>485</w:t>
            </w:r>
            <w:r w:rsidR="006B46D4" w:rsidRPr="00D273CE">
              <w:rPr>
                <w:sz w:val="18"/>
              </w:rPr>
              <w:t xml:space="preserve"> </w:t>
            </w:r>
            <w:r w:rsidRPr="00D273CE">
              <w:rPr>
                <w:sz w:val="18"/>
              </w:rPr>
              <w:t>000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Láminas de ESI en Braille</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8</w:t>
            </w:r>
            <w:r w:rsidR="006B46D4" w:rsidRPr="00D273CE">
              <w:rPr>
                <w:sz w:val="18"/>
              </w:rPr>
              <w:t xml:space="preserve"> </w:t>
            </w:r>
            <w:r w:rsidRPr="00D273CE">
              <w:rPr>
                <w:sz w:val="18"/>
              </w:rPr>
              <w:t>000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rPr>
            </w:pPr>
            <w:r w:rsidRPr="00D273CE">
              <w:rPr>
                <w:sz w:val="18"/>
              </w:rPr>
              <w:t>DVD</w:t>
            </w:r>
            <w:r w:rsidR="001C4899">
              <w:rPr>
                <w:sz w:val="18"/>
              </w:rPr>
              <w:t>’</w:t>
            </w:r>
            <w:r w:rsidRPr="00D273CE">
              <w:rPr>
                <w:sz w:val="18"/>
              </w:rPr>
              <w:t>s</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30</w:t>
            </w:r>
            <w:r w:rsidR="006B46D4" w:rsidRPr="00D273CE">
              <w:rPr>
                <w:sz w:val="18"/>
              </w:rPr>
              <w:t xml:space="preserve"> </w:t>
            </w:r>
            <w:r w:rsidRPr="00D273CE">
              <w:rPr>
                <w:sz w:val="18"/>
              </w:rPr>
              <w:t>000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rPr>
            </w:pPr>
            <w:r w:rsidRPr="00D273CE">
              <w:rPr>
                <w:sz w:val="18"/>
              </w:rPr>
              <w:t>CD</w:t>
            </w:r>
            <w:r w:rsidR="001C4899">
              <w:rPr>
                <w:sz w:val="18"/>
              </w:rPr>
              <w:t>’</w:t>
            </w:r>
            <w:r w:rsidRPr="00D273CE">
              <w:rPr>
                <w:sz w:val="18"/>
              </w:rPr>
              <w:t>s Curso Virtual</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46</w:t>
            </w:r>
            <w:r w:rsidR="006B46D4" w:rsidRPr="00D273CE">
              <w:rPr>
                <w:sz w:val="18"/>
              </w:rPr>
              <w:t xml:space="preserve"> </w:t>
            </w:r>
            <w:r w:rsidRPr="00D273CE">
              <w:rPr>
                <w:sz w:val="18"/>
              </w:rPr>
              <w:t>200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b/>
                <w:bCs/>
                <w:sz w:val="18"/>
              </w:rPr>
            </w:pPr>
            <w:r w:rsidRPr="00D273CE">
              <w:rPr>
                <w:b/>
                <w:bCs/>
                <w:sz w:val="18"/>
              </w:rPr>
              <w:t>Materiales audiovisuales</w:t>
            </w:r>
          </w:p>
        </w:tc>
        <w:tc>
          <w:tcPr>
            <w:tcW w:w="1647" w:type="dxa"/>
            <w:shd w:val="clear" w:color="auto" w:fill="auto"/>
            <w:vAlign w:val="bottom"/>
            <w:hideMark/>
          </w:tcPr>
          <w:p w:rsidR="00C21DAA" w:rsidRPr="00D273CE" w:rsidRDefault="00115B35" w:rsidP="00500FFB">
            <w:pPr>
              <w:spacing w:before="40" w:after="40" w:line="220" w:lineRule="exact"/>
              <w:jc w:val="right"/>
              <w:rPr>
                <w:b/>
                <w:bCs/>
                <w:sz w:val="18"/>
              </w:rPr>
            </w:pPr>
            <w:r w:rsidRPr="00D273CE">
              <w:rPr>
                <w:b/>
                <w:bCs/>
                <w:sz w:val="18"/>
              </w:rPr>
              <w:t>Capítulos/secuencias</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rPr>
            </w:pPr>
            <w:r w:rsidRPr="00D273CE">
              <w:rPr>
                <w:sz w:val="18"/>
              </w:rPr>
              <w:t>Secuencias Didácticas Conectar Igualdad</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40</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Programas Canal Encuentro Queremos Saber</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14</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 xml:space="preserve">Programas Paka </w:t>
            </w:r>
            <w:r w:rsidR="00D273CE">
              <w:rPr>
                <w:sz w:val="18"/>
                <w:lang w:val="es-AR"/>
              </w:rPr>
              <w:t>“</w:t>
            </w:r>
            <w:r w:rsidRPr="00D273CE">
              <w:rPr>
                <w:sz w:val="18"/>
                <w:lang w:val="es-AR"/>
              </w:rPr>
              <w:t>Y ahora qué</w:t>
            </w:r>
            <w:r w:rsidR="00D273CE">
              <w:rPr>
                <w:sz w:val="18"/>
                <w:lang w:val="es-AR"/>
              </w:rPr>
              <w:t>”</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14</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rPr>
            </w:pPr>
            <w:r w:rsidRPr="00D273CE">
              <w:rPr>
                <w:sz w:val="18"/>
              </w:rPr>
              <w:t>Cortos ESI Canal Encuentro</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13</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Spot de la Revista ESI para charlas en familia</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1</w:t>
            </w:r>
          </w:p>
        </w:tc>
      </w:tr>
      <w:tr w:rsidR="00D273CE" w:rsidRPr="00D273CE" w:rsidTr="00500FFB">
        <w:trPr>
          <w:trHeight w:val="240"/>
        </w:trPr>
        <w:tc>
          <w:tcPr>
            <w:tcW w:w="5739" w:type="dxa"/>
            <w:shd w:val="clear" w:color="auto" w:fill="auto"/>
            <w:hideMark/>
          </w:tcPr>
          <w:p w:rsidR="00C21DAA" w:rsidRPr="00D273CE" w:rsidRDefault="00115B35">
            <w:pPr>
              <w:spacing w:before="40" w:after="40" w:line="220" w:lineRule="exact"/>
              <w:rPr>
                <w:sz w:val="18"/>
                <w:lang w:val="es-AR"/>
              </w:rPr>
            </w:pPr>
            <w:r w:rsidRPr="00D273CE">
              <w:rPr>
                <w:sz w:val="18"/>
                <w:lang w:val="es-AR"/>
              </w:rPr>
              <w:t>Videos de Experiencias ESI (inicial, primario, secundario y educación especial)</w:t>
            </w:r>
          </w:p>
        </w:tc>
        <w:tc>
          <w:tcPr>
            <w:tcW w:w="1647" w:type="dxa"/>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6</w:t>
            </w:r>
          </w:p>
        </w:tc>
      </w:tr>
      <w:tr w:rsidR="00D273CE" w:rsidRPr="00D273CE" w:rsidTr="00500FFB">
        <w:trPr>
          <w:trHeight w:val="240"/>
        </w:trPr>
        <w:tc>
          <w:tcPr>
            <w:tcW w:w="5739" w:type="dxa"/>
            <w:tcBorders>
              <w:bottom w:val="single" w:sz="12" w:space="0" w:color="auto"/>
            </w:tcBorders>
            <w:shd w:val="clear" w:color="auto" w:fill="auto"/>
            <w:hideMark/>
          </w:tcPr>
          <w:p w:rsidR="00C21DAA" w:rsidRPr="00D273CE" w:rsidRDefault="00115B35">
            <w:pPr>
              <w:spacing w:before="40" w:after="40" w:line="220" w:lineRule="exact"/>
              <w:rPr>
                <w:sz w:val="18"/>
                <w:lang w:val="es-AR"/>
              </w:rPr>
            </w:pPr>
            <w:r w:rsidRPr="00D273CE">
              <w:rPr>
                <w:sz w:val="18"/>
                <w:lang w:val="es-AR"/>
              </w:rPr>
              <w:t>Micros de Zamba y ESI (en proceso)</w:t>
            </w:r>
          </w:p>
        </w:tc>
        <w:tc>
          <w:tcPr>
            <w:tcW w:w="1647" w:type="dxa"/>
            <w:tcBorders>
              <w:bottom w:val="single" w:sz="12" w:space="0" w:color="auto"/>
            </w:tcBorders>
            <w:shd w:val="clear" w:color="auto" w:fill="auto"/>
            <w:vAlign w:val="bottom"/>
            <w:hideMark/>
          </w:tcPr>
          <w:p w:rsidR="00C21DAA" w:rsidRPr="00D273CE" w:rsidRDefault="00115B35" w:rsidP="00500FFB">
            <w:pPr>
              <w:spacing w:before="40" w:after="40" w:line="220" w:lineRule="exact"/>
              <w:jc w:val="right"/>
              <w:rPr>
                <w:sz w:val="18"/>
              </w:rPr>
            </w:pPr>
            <w:r w:rsidRPr="00D273CE">
              <w:rPr>
                <w:sz w:val="18"/>
              </w:rPr>
              <w:t>3</w:t>
            </w:r>
          </w:p>
        </w:tc>
      </w:tr>
    </w:tbl>
    <w:p w:rsidR="00C21DAA" w:rsidRPr="00FE07FE" w:rsidRDefault="00115B35">
      <w:pPr>
        <w:pStyle w:val="H4G"/>
        <w:rPr>
          <w:lang w:eastAsia="en-US"/>
        </w:rPr>
      </w:pPr>
      <w:r w:rsidRPr="00FE07FE">
        <w:rPr>
          <w:lang w:eastAsia="en-US"/>
        </w:rPr>
        <w:tab/>
      </w:r>
      <w:r w:rsidRPr="00FE07FE">
        <w:rPr>
          <w:lang w:eastAsia="en-US"/>
        </w:rPr>
        <w:tab/>
        <w:t>Párrafo 70</w:t>
      </w:r>
    </w:p>
    <w:p w:rsidR="00C21DAA" w:rsidRPr="00FE07FE" w:rsidRDefault="00FE07FE" w:rsidP="00500FFB">
      <w:pPr>
        <w:pStyle w:val="SingleTxtG"/>
        <w:rPr>
          <w:lang w:val="es-MX" w:eastAsia="en-US"/>
        </w:rPr>
      </w:pPr>
      <w:r w:rsidRPr="00500FFB">
        <w:rPr>
          <w:lang w:val="es-MX" w:eastAsia="en-US"/>
        </w:rPr>
        <w:t>206.</w:t>
      </w:r>
      <w:r w:rsidRPr="00500FFB">
        <w:rPr>
          <w:lang w:val="es-MX" w:eastAsia="en-US"/>
        </w:rPr>
        <w:tab/>
      </w:r>
      <w:r w:rsidR="00115B35" w:rsidRPr="00FE07FE">
        <w:rPr>
          <w:lang w:val="es-MX" w:eastAsia="en-US"/>
        </w:rPr>
        <w:t xml:space="preserve">El Estado adoptó medidas para proteger a niños contra la violencia en el ámbito educativo.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26892 establece el abordaje de la conflictividad social en sistema educativo nacional. Asimismo, el MED con acuerdo del CFE</w:t>
      </w:r>
      <w:r w:rsidR="00115B35" w:rsidRPr="00FE07FE">
        <w:rPr>
          <w:rStyle w:val="Refdenotaalpie"/>
        </w:rPr>
        <w:footnoteReference w:id="29"/>
      </w:r>
      <w:r w:rsidR="00115B35" w:rsidRPr="00FE07FE">
        <w:rPr>
          <w:lang w:val="es-MX" w:eastAsia="en-US"/>
        </w:rPr>
        <w:t xml:space="preserve"> confeccionó la </w:t>
      </w:r>
      <w:r w:rsidR="00115B35" w:rsidRPr="00FE07FE">
        <w:rPr>
          <w:b/>
          <w:lang w:val="es-MX" w:eastAsia="en-US"/>
        </w:rPr>
        <w:t>Guía Federal de Orientaciones para la Intervención Educativa ante Situaciones Complejas relacionadas con la vida escolar,</w:t>
      </w:r>
      <w:r w:rsidR="00115B35" w:rsidRPr="00FE07FE">
        <w:rPr>
          <w:lang w:val="es-MX" w:eastAsia="en-US"/>
        </w:rPr>
        <w:t xml:space="preserve"> que orienta sobre los posibles conflictos en el marco de la utilización de redes sociales, discriminación u hostigamiento por orientación sexual o identidad de género; situaciones de violencia que involucran a estudiantes y docentes, maltrato entre pares, restitución de derechos vulnerados, etc. (ANEXO III)</w:t>
      </w:r>
      <w:r w:rsidR="005C512D">
        <w:rPr>
          <w:lang w:val="es-MX" w:eastAsia="en-US"/>
        </w:rPr>
        <w:t>.</w:t>
      </w:r>
    </w:p>
    <w:p w:rsidR="00C21DAA" w:rsidRPr="00FE07FE" w:rsidRDefault="00FE07FE" w:rsidP="00500FFB">
      <w:pPr>
        <w:pStyle w:val="SingleTxtG"/>
        <w:rPr>
          <w:lang w:val="es-MX" w:eastAsia="en-US"/>
        </w:rPr>
      </w:pPr>
      <w:r w:rsidRPr="00500FFB">
        <w:rPr>
          <w:lang w:val="es-MX" w:eastAsia="en-US"/>
        </w:rPr>
        <w:t>207.</w:t>
      </w:r>
      <w:r w:rsidRPr="00500FFB">
        <w:rPr>
          <w:lang w:val="es-MX" w:eastAsia="en-US"/>
        </w:rPr>
        <w:tab/>
      </w:r>
      <w:r w:rsidR="00115B35" w:rsidRPr="00FE07FE">
        <w:rPr>
          <w:lang w:val="es-MX" w:eastAsia="en-US"/>
        </w:rPr>
        <w:t xml:space="preserve">En 2009 el CFE dictó la resolución </w:t>
      </w:r>
      <w:r w:rsidR="00DF1C7B">
        <w:rPr>
          <w:lang w:val="es-MX" w:eastAsia="en-US"/>
        </w:rPr>
        <w:t xml:space="preserve">núm. </w:t>
      </w:r>
      <w:r w:rsidR="00115B35" w:rsidRPr="00FE07FE">
        <w:rPr>
          <w:lang w:val="es-MX" w:eastAsia="en-US"/>
        </w:rPr>
        <w:t xml:space="preserve">93; </w:t>
      </w:r>
      <w:r w:rsidR="00115B35" w:rsidRPr="00FE07FE">
        <w:rPr>
          <w:b/>
          <w:lang w:val="es-MX" w:eastAsia="en-US"/>
        </w:rPr>
        <w:t>“Orientaciones para la organización pedagógica e institucional de la educación secundaria obligatoria”</w:t>
      </w:r>
      <w:r w:rsidR="00115B35" w:rsidRPr="00FE07FE">
        <w:rPr>
          <w:lang w:val="es-MX" w:eastAsia="en-US"/>
        </w:rPr>
        <w:t xml:space="preserve"> y en 2014 la resolución </w:t>
      </w:r>
      <w:r w:rsidR="00D273CE">
        <w:rPr>
          <w:lang w:val="es-MX" w:eastAsia="en-US"/>
        </w:rPr>
        <w:t xml:space="preserve">núm. </w:t>
      </w:r>
      <w:r w:rsidR="00115B35" w:rsidRPr="00FE07FE">
        <w:rPr>
          <w:lang w:val="es-MX" w:eastAsia="en-US"/>
        </w:rPr>
        <w:t>239</w:t>
      </w:r>
      <w:r w:rsidR="00115B35" w:rsidRPr="00500FFB">
        <w:rPr>
          <w:lang w:val="es-MX" w:eastAsia="en-US"/>
        </w:rPr>
        <w:t>:</w:t>
      </w:r>
      <w:r w:rsidR="00B1146A" w:rsidRPr="00500FFB">
        <w:rPr>
          <w:lang w:val="es-MX" w:eastAsia="en-US"/>
        </w:rPr>
        <w:t xml:space="preserve"> </w:t>
      </w:r>
      <w:r w:rsidR="00115B35" w:rsidRPr="00FE07FE">
        <w:rPr>
          <w:b/>
          <w:lang w:val="es-MX" w:eastAsia="en-US"/>
        </w:rPr>
        <w:t>“Pautas y criterios federales para la elaboración de acuerdos de convivencia para el nivel inicial y el nivel primario”</w:t>
      </w:r>
      <w:r w:rsidR="00115B35" w:rsidRPr="00FE07FE">
        <w:rPr>
          <w:lang w:val="es-MX" w:eastAsia="en-US"/>
        </w:rPr>
        <w:t xml:space="preserve"> que establece principios y criterios para generar acuerdos y la conformación de órganos de participación en la vida escolar, entre ellos consejos escolares y consejos de aula para el nivel primario.</w:t>
      </w:r>
    </w:p>
    <w:p w:rsidR="00C21DAA" w:rsidRPr="00FE07FE" w:rsidRDefault="00FE07FE" w:rsidP="00500FFB">
      <w:pPr>
        <w:pStyle w:val="SingleTxtG"/>
        <w:rPr>
          <w:b/>
          <w:lang w:val="es-MX" w:eastAsia="en-US"/>
        </w:rPr>
      </w:pPr>
      <w:r w:rsidRPr="00500FFB">
        <w:rPr>
          <w:lang w:val="es-MX" w:eastAsia="en-US"/>
        </w:rPr>
        <w:t>208.</w:t>
      </w:r>
      <w:r w:rsidRPr="00500FFB">
        <w:rPr>
          <w:lang w:val="es-MX" w:eastAsia="en-US"/>
        </w:rPr>
        <w:tab/>
      </w:r>
      <w:r w:rsidR="00115B35" w:rsidRPr="00FE07FE">
        <w:rPr>
          <w:lang w:val="es-MX" w:eastAsia="en-US"/>
        </w:rPr>
        <w:t xml:space="preserve">Se realizó el informe: </w:t>
      </w:r>
      <w:r w:rsidR="00115B35" w:rsidRPr="00FE07FE">
        <w:rPr>
          <w:b/>
          <w:lang w:val="es-MX" w:eastAsia="en-US"/>
        </w:rPr>
        <w:t>“Relevamiento cuantitativo sobre violencias en las escuelas desde la mirada de los alumnos 2010”</w:t>
      </w:r>
      <w:r w:rsidR="00115B35" w:rsidRPr="00FE07FE">
        <w:rPr>
          <w:lang w:val="es-MX" w:eastAsia="en-US"/>
        </w:rPr>
        <w:t xml:space="preserve">. El MED, junto al Observatorio </w:t>
      </w:r>
      <w:r w:rsidR="00115B35" w:rsidRPr="00FE07FE">
        <w:rPr>
          <w:lang w:val="es-MX" w:eastAsia="en-US"/>
        </w:rPr>
        <w:lastRenderedPageBreak/>
        <w:t xml:space="preserve">Argentino de Violencia en las Escuelas, desarrolló una publicación denominada: </w:t>
      </w:r>
      <w:r w:rsidR="00115B35" w:rsidRPr="00FE07FE">
        <w:rPr>
          <w:b/>
          <w:lang w:val="es-MX" w:eastAsia="en-US"/>
        </w:rPr>
        <w:t>“La</w:t>
      </w:r>
      <w:r w:rsidR="001C4899">
        <w:rPr>
          <w:b/>
          <w:lang w:val="es-MX" w:eastAsia="en-US"/>
        </w:rPr>
        <w:t> </w:t>
      </w:r>
      <w:r w:rsidR="00115B35" w:rsidRPr="00FE07FE">
        <w:rPr>
          <w:b/>
          <w:lang w:val="es-MX" w:eastAsia="en-US"/>
        </w:rPr>
        <w:t>convivencia en la escuela: recursos y orientaciones para el trabajo en el aula”.</w:t>
      </w:r>
    </w:p>
    <w:p w:rsidR="00C21DAA" w:rsidRPr="00FE07FE" w:rsidRDefault="00115B35">
      <w:pPr>
        <w:pStyle w:val="H1G"/>
        <w:rPr>
          <w:lang w:eastAsia="en-US"/>
        </w:rPr>
      </w:pPr>
      <w:r w:rsidRPr="00FE07FE">
        <w:rPr>
          <w:lang w:eastAsia="en-US"/>
        </w:rPr>
        <w:tab/>
        <w:t>G.</w:t>
      </w:r>
      <w:r w:rsidRPr="00FE07FE">
        <w:rPr>
          <w:lang w:eastAsia="en-US"/>
        </w:rPr>
        <w:tab/>
        <w:t>Medidas especiales de protección (art.</w:t>
      </w:r>
      <w:r w:rsidR="006B46D4">
        <w:rPr>
          <w:lang w:eastAsia="en-US"/>
        </w:rPr>
        <w:t xml:space="preserve"> </w:t>
      </w:r>
      <w:r w:rsidRPr="00FE07FE">
        <w:rPr>
          <w:lang w:eastAsia="en-US"/>
        </w:rPr>
        <w:t xml:space="preserve">22, 38, 39, 40, 37 b) y d), </w:t>
      </w:r>
      <w:r w:rsidR="006B46D4">
        <w:rPr>
          <w:lang w:eastAsia="en-US"/>
        </w:rPr>
        <w:br/>
      </w:r>
      <w:r w:rsidRPr="00FE07FE">
        <w:rPr>
          <w:lang w:eastAsia="en-US"/>
        </w:rPr>
        <w:t xml:space="preserve">30 y </w:t>
      </w:r>
      <w:smartTag w:uri="urn:schemas-microsoft-com:office:smarttags" w:element="metricconverter">
        <w:smartTagPr>
          <w:attr w:name="ProductID" w:val="32 a"/>
        </w:smartTagPr>
        <w:r w:rsidRPr="00FE07FE">
          <w:rPr>
            <w:lang w:eastAsia="en-US"/>
          </w:rPr>
          <w:t>32 a</w:t>
        </w:r>
      </w:smartTag>
      <w:r w:rsidRPr="00FE07FE">
        <w:rPr>
          <w:lang w:eastAsia="en-US"/>
        </w:rPr>
        <w:t xml:space="preserve"> 36 de la Convención)</w:t>
      </w:r>
    </w:p>
    <w:p w:rsidR="00C21DAA" w:rsidRPr="00FE07FE" w:rsidRDefault="00115B35">
      <w:pPr>
        <w:pStyle w:val="H23G"/>
        <w:rPr>
          <w:lang w:eastAsia="en-US"/>
        </w:rPr>
      </w:pPr>
      <w:r w:rsidRPr="00FE07FE">
        <w:rPr>
          <w:lang w:eastAsia="en-US"/>
        </w:rPr>
        <w:tab/>
      </w:r>
      <w:r w:rsidRPr="00FE07FE">
        <w:rPr>
          <w:lang w:eastAsia="en-US"/>
        </w:rPr>
        <w:tab/>
        <w:t>Niños refugiados o solicitantes de asilo no acompañados</w:t>
      </w:r>
    </w:p>
    <w:p w:rsidR="00C21DAA" w:rsidRPr="00FE07FE" w:rsidRDefault="00115B35">
      <w:pPr>
        <w:pStyle w:val="H4G"/>
        <w:rPr>
          <w:lang w:eastAsia="en-US"/>
        </w:rPr>
      </w:pPr>
      <w:r w:rsidRPr="00FE07FE">
        <w:rPr>
          <w:lang w:eastAsia="en-US"/>
        </w:rPr>
        <w:tab/>
      </w:r>
      <w:r w:rsidRPr="00FE07FE">
        <w:rPr>
          <w:lang w:eastAsia="en-US"/>
        </w:rPr>
        <w:tab/>
        <w:t>Párrafo 72</w:t>
      </w:r>
    </w:p>
    <w:p w:rsidR="00C21DAA" w:rsidRPr="00FE07FE" w:rsidRDefault="00FE07FE" w:rsidP="00500FFB">
      <w:pPr>
        <w:pStyle w:val="SingleTxtG"/>
        <w:rPr>
          <w:lang w:val="es-MX" w:eastAsia="en-US"/>
        </w:rPr>
      </w:pPr>
      <w:r w:rsidRPr="00500FFB">
        <w:rPr>
          <w:lang w:val="es-MX" w:eastAsia="en-US"/>
        </w:rPr>
        <w:t>209.</w:t>
      </w:r>
      <w:r w:rsidRPr="00500FFB">
        <w:rPr>
          <w:lang w:val="es-MX" w:eastAsia="en-US"/>
        </w:rPr>
        <w:tab/>
      </w:r>
      <w:r w:rsidR="00115B35" w:rsidRPr="00FE07FE">
        <w:rPr>
          <w:lang w:val="es-MX" w:eastAsia="en-US"/>
        </w:rPr>
        <w:t xml:space="preserve">La Comisión para la Asistencia y Protección Integral del Refugiado y Peticionante de Refugio de la </w:t>
      </w:r>
      <w:hyperlink r:id="rId14" w:history="1">
        <w:r w:rsidR="00115B35" w:rsidRPr="00FE07FE">
          <w:rPr>
            <w:lang w:val="es-MX" w:eastAsia="en-US"/>
          </w:rPr>
          <w:t>Defensoría General</w:t>
        </w:r>
      </w:hyperlink>
      <w:r w:rsidR="00115B35" w:rsidRPr="00FE07FE">
        <w:rPr>
          <w:lang w:val="es-MX" w:eastAsia="en-US"/>
        </w:rPr>
        <w:t xml:space="preserve"> de la Nación (DGN) interviene frente a personas con necesidades sociales o solicitantes del reconocimiento, en especial los niños que llegan al país. Se trata de un trabajo conjunto con organismos gubernamentales y ONG y demás operadores judiciales, para otorgar una red de apoyo a fin de que le sean reconocidos sus derechos como refugiados. Se creó el Programa para la Asistencia y Protección Integral del Niño, Niña y Adolescente no Acompañado o Separado de su Familia Refugiado o Peticionante de Refugio. Se designó un funcionario Tutor Ad</w:t>
      </w:r>
      <w:r w:rsidR="00D67A98">
        <w:rPr>
          <w:lang w:val="es-MX" w:eastAsia="en-US"/>
        </w:rPr>
        <w:t xml:space="preserve"> </w:t>
      </w:r>
      <w:r w:rsidR="00115B35" w:rsidRPr="00FE07FE">
        <w:rPr>
          <w:lang w:val="es-MX" w:eastAsia="en-US"/>
        </w:rPr>
        <w:t>hoc de los niños no acompañados</w:t>
      </w:r>
      <w:r w:rsidR="005C512D">
        <w:rPr>
          <w:lang w:val="es-MX" w:eastAsia="en-US"/>
        </w:rPr>
        <w:t xml:space="preserve"> </w:t>
      </w:r>
      <w:r w:rsidR="00115B35" w:rsidRPr="00FE07FE">
        <w:rPr>
          <w:lang w:val="es-MX" w:eastAsia="en-US"/>
        </w:rPr>
        <w:t xml:space="preserve">para ejercer la representación y asesoramiento tanto en el ámbito jurídico como administrativo. </w:t>
      </w:r>
    </w:p>
    <w:p w:rsidR="00C21DAA" w:rsidRPr="00FE07FE" w:rsidRDefault="00FE07FE" w:rsidP="00500FFB">
      <w:pPr>
        <w:pStyle w:val="SingleTxtG"/>
        <w:rPr>
          <w:lang w:val="es-MX" w:eastAsia="en-US"/>
        </w:rPr>
      </w:pPr>
      <w:r w:rsidRPr="00500FFB">
        <w:rPr>
          <w:lang w:val="es-MX" w:eastAsia="en-US"/>
        </w:rPr>
        <w:t>210.</w:t>
      </w:r>
      <w:r w:rsidRPr="00500FFB">
        <w:rPr>
          <w:lang w:val="es-MX" w:eastAsia="en-US"/>
        </w:rPr>
        <w:tab/>
      </w:r>
      <w:r w:rsidR="00115B35" w:rsidRPr="00FE07FE">
        <w:rPr>
          <w:lang w:val="es-MX" w:eastAsia="en-US"/>
        </w:rPr>
        <w:t xml:space="preserve">En 2011, una mesa de trabajo conformada por Comisión Nacional para los Refugiados (CONARE), la Dirección Nacional de Migraciones (DNM), el Alto Comisionado de las Naciones Unidas para los Refugiados (ACNUR), UNICEF, la Organización Internacional para las Migraciones (OIM), la SENAF y el MPD, acordó el “Protocolo para la protección, asistencia y búsqueda de soluciones duraderas para los niños no acompañados o separados de sus familias en busca de asilo”. Con disposiciones iniciales de protección, recepción y atención de niños, niñas y adolescentes no acompañados y separados, así como a la implementación de un procedimiento especial para la determinación de las necesidades de protección internacional. Desde el 2008 hasta la actualidad, el Programa asistió a un total de 251 niños, niñas y adolescentes no acompañados o separados de sus familias solicitantes de refugio y se elaboran estadísticas anuales de población que se asiste. En 2016, 18 niños, niñas y adolescentes se encuentran bajo tutela. </w:t>
      </w:r>
    </w:p>
    <w:p w:rsidR="00C21DAA" w:rsidRPr="00FE07FE" w:rsidRDefault="00A45CE4">
      <w:pPr>
        <w:spacing w:line="360" w:lineRule="auto"/>
        <w:jc w:val="center"/>
        <w:rPr>
          <w:sz w:val="24"/>
          <w:szCs w:val="24"/>
          <w:lang w:eastAsia="en-US"/>
        </w:rPr>
      </w:pPr>
      <w:r>
        <w:rPr>
          <w:noProof/>
          <w:lang w:eastAsia="zh-CN"/>
        </w:rPr>
        <w:drawing>
          <wp:inline distT="0" distB="0" distL="0" distR="0" wp14:anchorId="5F743A41" wp14:editId="08EBAA6E">
            <wp:extent cx="4228465" cy="1891665"/>
            <wp:effectExtent l="0" t="0" r="0" b="0"/>
            <wp:docPr id="10" name="Imag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1DAA" w:rsidRPr="00FE07FE" w:rsidRDefault="00FE07FE" w:rsidP="00500FFB">
      <w:pPr>
        <w:pStyle w:val="SingleTxtG"/>
        <w:rPr>
          <w:lang w:val="es-MX" w:eastAsia="en-US"/>
        </w:rPr>
      </w:pPr>
      <w:r w:rsidRPr="00500FFB">
        <w:rPr>
          <w:lang w:val="es-MX" w:eastAsia="en-US"/>
        </w:rPr>
        <w:t>211.</w:t>
      </w:r>
      <w:r w:rsidRPr="00500FFB">
        <w:rPr>
          <w:lang w:val="es-MX" w:eastAsia="en-US"/>
        </w:rPr>
        <w:tab/>
      </w:r>
      <w:r w:rsidR="00115B35" w:rsidRPr="00FE07FE">
        <w:rPr>
          <w:lang w:val="es-MX" w:eastAsia="en-US"/>
        </w:rPr>
        <w:t xml:space="preserve">En el marco de NIÑ@SUR, se aprobó en 2012 un programa de acciones y actividades para garantizar los derechos de los niños y de sus familias. El interés superior del niño constituye la norma básica para guiar las medidas y decisiones que son adoptadas en el marco de la interpretación y aplicación de la “Guía Regional del MERCOSUR para la identificación de las necesidades especiales de protección a niñas niños y adolescentes migrantes”. </w:t>
      </w:r>
    </w:p>
    <w:p w:rsidR="00C21DAA" w:rsidRPr="00FE07FE" w:rsidRDefault="00115B35">
      <w:pPr>
        <w:pStyle w:val="H23G"/>
        <w:rPr>
          <w:lang w:eastAsia="en-US"/>
        </w:rPr>
      </w:pPr>
      <w:r w:rsidRPr="00FE07FE">
        <w:rPr>
          <w:lang w:eastAsia="en-US"/>
        </w:rPr>
        <w:lastRenderedPageBreak/>
        <w:tab/>
      </w:r>
      <w:r w:rsidRPr="00FE07FE">
        <w:rPr>
          <w:lang w:eastAsia="en-US"/>
        </w:rPr>
        <w:tab/>
        <w:t>Explotación económica, con inclusión del trabajo infantil</w:t>
      </w:r>
    </w:p>
    <w:p w:rsidR="00C21DAA" w:rsidRPr="00FE07FE" w:rsidRDefault="00115B35">
      <w:pPr>
        <w:pStyle w:val="H4G"/>
        <w:rPr>
          <w:lang w:eastAsia="en-US"/>
        </w:rPr>
      </w:pPr>
      <w:r w:rsidRPr="00FE07FE">
        <w:rPr>
          <w:lang w:eastAsia="en-US"/>
        </w:rPr>
        <w:tab/>
      </w:r>
      <w:r w:rsidRPr="00FE07FE">
        <w:rPr>
          <w:lang w:eastAsia="en-US"/>
        </w:rPr>
        <w:tab/>
        <w:t>Párrafo 74</w:t>
      </w:r>
    </w:p>
    <w:p w:rsidR="00C21DAA" w:rsidRPr="00FE07FE" w:rsidRDefault="00FE07FE" w:rsidP="00500FFB">
      <w:pPr>
        <w:pStyle w:val="SingleTxtG"/>
        <w:rPr>
          <w:lang w:val="es-MX" w:eastAsia="en-US"/>
        </w:rPr>
      </w:pPr>
      <w:r w:rsidRPr="00500FFB">
        <w:rPr>
          <w:lang w:val="es-MX" w:eastAsia="en-US"/>
        </w:rPr>
        <w:t>212.</w:t>
      </w:r>
      <w:r w:rsidRPr="00500FFB">
        <w:rPr>
          <w:lang w:val="es-MX" w:eastAsia="en-US"/>
        </w:rPr>
        <w:tab/>
      </w:r>
      <w:r w:rsidR="00115B35" w:rsidRPr="00FE07FE">
        <w:rPr>
          <w:lang w:val="es-MX" w:eastAsia="en-US"/>
        </w:rPr>
        <w:t xml:space="preserve">Los niños matriculados en el sistema educativo, registraron una suba del 10% en la modalidad común pasando de 10.114.000 de alumnos en 2007 a 11.134.000 en 2015. En la modalidad especial el aumento de la matrícula fue del 6% para el mismo período. 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23690 prohibió el trabajo infantil y la </w:t>
      </w:r>
      <w:r w:rsidR="006B46D4">
        <w:rPr>
          <w:lang w:val="es-MX" w:eastAsia="en-US"/>
        </w:rPr>
        <w:t>L</w:t>
      </w:r>
      <w:r w:rsidR="00115B35" w:rsidRPr="00FE07FE">
        <w:rPr>
          <w:lang w:val="es-MX" w:eastAsia="en-US"/>
        </w:rPr>
        <w:t xml:space="preserve">ey nacional </w:t>
      </w:r>
      <w:r w:rsidR="006B46D4">
        <w:rPr>
          <w:lang w:val="es-MX" w:eastAsia="en-US"/>
        </w:rPr>
        <w:t xml:space="preserve">núm. </w:t>
      </w:r>
      <w:r w:rsidR="00115B35" w:rsidRPr="00FE07FE">
        <w:rPr>
          <w:lang w:val="es-MX" w:eastAsia="en-US"/>
        </w:rPr>
        <w:t xml:space="preserve">26847 incorporó al CPPN el artículo 148 </w:t>
      </w:r>
      <w:r w:rsidR="00115B35" w:rsidRPr="00500FFB">
        <w:rPr>
          <w:i/>
          <w:lang w:val="es-MX" w:eastAsia="en-US"/>
        </w:rPr>
        <w:t>bis</w:t>
      </w:r>
      <w:r w:rsidR="00115B35" w:rsidRPr="00FE07FE">
        <w:rPr>
          <w:lang w:val="es-MX" w:eastAsia="en-US"/>
        </w:rPr>
        <w:t xml:space="preserve"> que tipifica el delito, y establece la pena de 1 a 4 años de prisión a quién explotase económicamente a un niño o niña.  </w:t>
      </w:r>
    </w:p>
    <w:p w:rsidR="00C21DAA" w:rsidRPr="00FE07FE" w:rsidRDefault="00FE07FE" w:rsidP="00500FFB">
      <w:pPr>
        <w:pStyle w:val="SingleTxtG"/>
        <w:rPr>
          <w:lang w:val="es-MX" w:eastAsia="en-US"/>
        </w:rPr>
      </w:pPr>
      <w:r w:rsidRPr="00500FFB">
        <w:rPr>
          <w:lang w:val="es-MX" w:eastAsia="en-US"/>
        </w:rPr>
        <w:t>213.</w:t>
      </w:r>
      <w:r w:rsidRPr="00500FFB">
        <w:rPr>
          <w:lang w:val="es-MX" w:eastAsia="en-US"/>
        </w:rPr>
        <w:tab/>
      </w:r>
      <w:r w:rsidR="00115B35" w:rsidRPr="00FE07FE">
        <w:rPr>
          <w:lang w:val="es-MX" w:eastAsia="en-US"/>
        </w:rPr>
        <w:t xml:space="preserve">En 2016 mediante el </w:t>
      </w:r>
      <w:r w:rsidR="006B46D4">
        <w:rPr>
          <w:lang w:val="es-MX" w:eastAsia="en-US"/>
        </w:rPr>
        <w:t>D</w:t>
      </w:r>
      <w:r w:rsidR="00115B35" w:rsidRPr="00FE07FE">
        <w:rPr>
          <w:lang w:val="es-MX" w:eastAsia="en-US"/>
        </w:rPr>
        <w:t xml:space="preserve">ecreto </w:t>
      </w:r>
      <w:r w:rsidR="006B46D4">
        <w:rPr>
          <w:lang w:val="es-MX" w:eastAsia="en-US"/>
        </w:rPr>
        <w:t>P</w:t>
      </w:r>
      <w:r w:rsidR="00115B35" w:rsidRPr="00FE07FE">
        <w:rPr>
          <w:lang w:val="es-MX" w:eastAsia="en-US"/>
        </w:rPr>
        <w:t xml:space="preserve">residencial </w:t>
      </w:r>
      <w:r w:rsidR="006B46D4">
        <w:rPr>
          <w:lang w:val="es-MX" w:eastAsia="en-US"/>
        </w:rPr>
        <w:t xml:space="preserve">núm. </w:t>
      </w:r>
      <w:r w:rsidR="00115B35" w:rsidRPr="00FE07FE">
        <w:rPr>
          <w:lang w:val="es-MX" w:eastAsia="en-US"/>
        </w:rPr>
        <w:t>116/16 se establecen 23 tipos de trabajo, actividades, ocupaciones y tareas que constituyen trabajo peligroso y peores formas para las personas menores de</w:t>
      </w:r>
      <w:r w:rsidR="006B46D4">
        <w:rPr>
          <w:lang w:val="es-MX" w:eastAsia="en-US"/>
        </w:rPr>
        <w:t xml:space="preserve"> </w:t>
      </w:r>
      <w:r w:rsidR="00115B35" w:rsidRPr="00FE07FE">
        <w:rPr>
          <w:lang w:val="es-MX" w:eastAsia="en-US"/>
        </w:rPr>
        <w:t xml:space="preserve">18 años, en los términos del artículo 3, inciso d), del Convenio sobre la Prohibición de las Peores Formas de Trabajo Infantil y la Acción Inmediata para su Eliminación, aprobado por la </w:t>
      </w:r>
      <w:r w:rsidR="006B46D4">
        <w:rPr>
          <w:lang w:val="es-MX" w:eastAsia="en-US"/>
        </w:rPr>
        <w:t>L</w:t>
      </w:r>
      <w:r w:rsidR="00115B35" w:rsidRPr="00FE07FE">
        <w:rPr>
          <w:lang w:val="es-MX" w:eastAsia="en-US"/>
        </w:rPr>
        <w:t xml:space="preserve">ey </w:t>
      </w:r>
      <w:r w:rsidR="006B46D4">
        <w:rPr>
          <w:lang w:val="es-MX" w:eastAsia="en-US"/>
        </w:rPr>
        <w:t xml:space="preserve">núm. </w:t>
      </w:r>
      <w:r w:rsidR="00115B35" w:rsidRPr="00FE07FE">
        <w:rPr>
          <w:lang w:val="es-MX" w:eastAsia="en-US"/>
        </w:rPr>
        <w:t xml:space="preserve">25255. El decreto faculta al MTESS a actualizar periódicamente la lista de trabajos peligrosos, en consulta con las organizaciones de empleadores y empleados. </w:t>
      </w:r>
    </w:p>
    <w:p w:rsidR="00C21DAA" w:rsidRPr="00FE07FE" w:rsidRDefault="00FE07FE" w:rsidP="00500FFB">
      <w:pPr>
        <w:pStyle w:val="SingleTxtG"/>
        <w:rPr>
          <w:lang w:val="es-MX" w:eastAsia="en-US"/>
        </w:rPr>
      </w:pPr>
      <w:r w:rsidRPr="00500FFB">
        <w:rPr>
          <w:lang w:val="es-MX" w:eastAsia="en-US"/>
        </w:rPr>
        <w:t>214.</w:t>
      </w:r>
      <w:r w:rsidRPr="00500FFB">
        <w:rPr>
          <w:lang w:val="es-MX" w:eastAsia="en-US"/>
        </w:rPr>
        <w:tab/>
      </w:r>
      <w:r w:rsidR="00115B35" w:rsidRPr="00FE07FE">
        <w:rPr>
          <w:lang w:val="es-MX" w:eastAsia="en-US"/>
        </w:rPr>
        <w:t xml:space="preserve">La vigilancia eficaz, se realiza a través del MTESS que cuenta con el Plan Nacional de Regularización del Trabajo (PNRT), este posee 400 inspectores a todo el país a través de 40 delegaciones regionales, que realizan operativos de control periódicos. </w:t>
      </w:r>
    </w:p>
    <w:p w:rsidR="00C21DAA" w:rsidRPr="00FE07FE" w:rsidRDefault="00FE07FE" w:rsidP="00500FFB">
      <w:pPr>
        <w:pStyle w:val="SingleTxtG"/>
        <w:rPr>
          <w:lang w:val="es-MX" w:eastAsia="en-US"/>
        </w:rPr>
      </w:pPr>
      <w:r w:rsidRPr="00500FFB">
        <w:rPr>
          <w:lang w:val="es-MX" w:eastAsia="en-US"/>
        </w:rPr>
        <w:t>215.</w:t>
      </w:r>
      <w:r w:rsidRPr="00500FFB">
        <w:rPr>
          <w:lang w:val="es-MX" w:eastAsia="en-US"/>
        </w:rPr>
        <w:tab/>
      </w:r>
      <w:r w:rsidR="00115B35" w:rsidRPr="00FE07FE">
        <w:rPr>
          <w:lang w:val="es-MX" w:eastAsia="en-US"/>
        </w:rPr>
        <w:t>El Observatorio de Trabajo Infantil y Adolescente-OITA, es uno de los componentes del "Programa Encuesta y Observatorio de Trabajo Infantil”, por un acuerdo entre el MTEySS y el IPEC/OIT.</w:t>
      </w:r>
    </w:p>
    <w:p w:rsidR="00C21DAA" w:rsidRPr="00FE07FE" w:rsidRDefault="00FE07FE" w:rsidP="00500FFB">
      <w:pPr>
        <w:pStyle w:val="SingleTxtG"/>
        <w:rPr>
          <w:lang w:val="es-MX" w:eastAsia="en-US"/>
        </w:rPr>
      </w:pPr>
      <w:r w:rsidRPr="00500FFB">
        <w:rPr>
          <w:lang w:val="es-MX" w:eastAsia="en-US"/>
        </w:rPr>
        <w:t>216.</w:t>
      </w:r>
      <w:r w:rsidRPr="00500FFB">
        <w:rPr>
          <w:lang w:val="es-MX" w:eastAsia="en-US"/>
        </w:rPr>
        <w:tab/>
      </w:r>
      <w:r w:rsidR="00115B35" w:rsidRPr="00FE07FE">
        <w:rPr>
          <w:lang w:val="es-MX" w:eastAsia="en-US"/>
        </w:rPr>
        <w:t xml:space="preserve">A partir del 2006, las actividades del OTIA se enmarcan sucesivamente en varios convenios que el MTEySS suscribe con UNICEF: </w:t>
      </w:r>
      <w:r w:rsidR="00B1146A">
        <w:rPr>
          <w:lang w:val="es-MX" w:eastAsia="en-US"/>
        </w:rPr>
        <w:t>“</w:t>
      </w:r>
      <w:r w:rsidR="00115B35" w:rsidRPr="00FE07FE">
        <w:rPr>
          <w:lang w:val="es-MX" w:eastAsia="en-US"/>
        </w:rPr>
        <w:t>Contribución al Observatorio de Trabajo Infantil y Adolescente</w:t>
      </w:r>
      <w:r w:rsidR="00B1146A">
        <w:rPr>
          <w:lang w:val="es-MX" w:eastAsia="en-US"/>
        </w:rPr>
        <w:t>”</w:t>
      </w:r>
      <w:r w:rsidR="00B1146A" w:rsidRPr="00FE07FE">
        <w:rPr>
          <w:lang w:val="es-MX" w:eastAsia="en-US"/>
        </w:rPr>
        <w:t xml:space="preserve">; </w:t>
      </w:r>
      <w:r w:rsidR="00115B35" w:rsidRPr="00FE07FE">
        <w:rPr>
          <w:lang w:val="es-MX" w:eastAsia="en-US"/>
        </w:rPr>
        <w:t xml:space="preserve">con el PNUD: ARG/04/036: </w:t>
      </w:r>
      <w:r w:rsidR="00B1146A">
        <w:rPr>
          <w:lang w:val="es-MX" w:eastAsia="en-US"/>
        </w:rPr>
        <w:t>“</w:t>
      </w:r>
      <w:r w:rsidR="00115B35" w:rsidRPr="00FE07FE">
        <w:rPr>
          <w:lang w:val="es-MX" w:eastAsia="en-US"/>
        </w:rPr>
        <w:t>Sistema de información para la evaluación y el monitoreo del empleo, el trabajo y la inclusión social</w:t>
      </w:r>
      <w:r w:rsidR="00B1146A">
        <w:rPr>
          <w:lang w:val="es-MX" w:eastAsia="en-US"/>
        </w:rPr>
        <w:t>”</w:t>
      </w:r>
      <w:r w:rsidR="00B1146A" w:rsidRPr="00FE07FE">
        <w:rPr>
          <w:lang w:val="es-MX" w:eastAsia="en-US"/>
        </w:rPr>
        <w:t xml:space="preserve"> </w:t>
      </w:r>
      <w:r w:rsidR="00115B35" w:rsidRPr="00FE07FE">
        <w:rPr>
          <w:lang w:val="es-MX" w:eastAsia="en-US"/>
        </w:rPr>
        <w:t xml:space="preserve">y, en forma conjunta, con OIT, el PNUD y UNICEF: el </w:t>
      </w:r>
      <w:r w:rsidR="00B1146A">
        <w:rPr>
          <w:lang w:val="es-MX" w:eastAsia="en-US"/>
        </w:rPr>
        <w:t>“</w:t>
      </w:r>
      <w:r w:rsidR="00115B35" w:rsidRPr="00FE07FE">
        <w:rPr>
          <w:lang w:val="es-MX" w:eastAsia="en-US"/>
        </w:rPr>
        <w:t xml:space="preserve">Programa Conjunto de apoyo al Plan Nacional para la Prevención y Erradicación del Trabajo Infantil”, que rige en la actualidad. </w:t>
      </w:r>
    </w:p>
    <w:p w:rsidR="00C21DAA" w:rsidRPr="00FE07FE" w:rsidRDefault="00FE07FE" w:rsidP="00500FFB">
      <w:pPr>
        <w:pStyle w:val="SingleTxtG"/>
        <w:rPr>
          <w:lang w:val="es-MX" w:eastAsia="en-US"/>
        </w:rPr>
      </w:pPr>
      <w:r w:rsidRPr="00500FFB">
        <w:rPr>
          <w:lang w:val="es-MX" w:eastAsia="en-US"/>
        </w:rPr>
        <w:t>217.</w:t>
      </w:r>
      <w:r w:rsidRPr="00500FFB">
        <w:rPr>
          <w:lang w:val="es-MX" w:eastAsia="en-US"/>
        </w:rPr>
        <w:tab/>
      </w:r>
      <w:r w:rsidR="00115B35" w:rsidRPr="00FE07FE">
        <w:rPr>
          <w:lang w:val="es-MX" w:eastAsia="en-US"/>
        </w:rPr>
        <w:t xml:space="preserve">Resultados recabados: </w:t>
      </w:r>
    </w:p>
    <w:p w:rsidR="00D273CE" w:rsidRPr="00500FFB" w:rsidRDefault="00115B35" w:rsidP="00500FFB">
      <w:pPr>
        <w:pStyle w:val="SingleTxtG"/>
        <w:spacing w:after="0"/>
      </w:pPr>
      <w:r w:rsidRPr="00500FFB">
        <w:t>Cuadro 9</w:t>
      </w:r>
    </w:p>
    <w:p w:rsidR="00C21DAA" w:rsidRPr="00FE07FE" w:rsidRDefault="00115B35" w:rsidP="00500FFB">
      <w:pPr>
        <w:pStyle w:val="SingleTxtG"/>
        <w:jc w:val="left"/>
        <w:rPr>
          <w:b/>
        </w:rPr>
      </w:pPr>
      <w:r w:rsidRPr="00FE07FE">
        <w:rPr>
          <w:b/>
        </w:rPr>
        <w:t xml:space="preserve">Porcentaje de NNyA de 5 a 17 años en actividades económicas y no económicas </w:t>
      </w:r>
      <w:r w:rsidR="00D273CE">
        <w:rPr>
          <w:b/>
        </w:rPr>
        <w:br/>
      </w:r>
      <w:r w:rsidRPr="00FE07FE">
        <w:rPr>
          <w:b/>
        </w:rPr>
        <w:t>por grupos de edad. Total nacional urbano. Tercer trimestre de 2012</w:t>
      </w:r>
    </w:p>
    <w:tbl>
      <w:tblPr>
        <w:tblW w:w="7370" w:type="dxa"/>
        <w:tblInd w:w="1134" w:type="dxa"/>
        <w:tblBorders>
          <w:top w:val="single" w:sz="4" w:space="0" w:color="auto"/>
        </w:tblBorders>
        <w:tblCellMar>
          <w:left w:w="0" w:type="dxa"/>
          <w:right w:w="0" w:type="dxa"/>
        </w:tblCellMar>
        <w:tblLook w:val="04A0" w:firstRow="1" w:lastRow="0" w:firstColumn="1" w:lastColumn="0" w:noHBand="0" w:noVBand="1"/>
      </w:tblPr>
      <w:tblGrid>
        <w:gridCol w:w="2453"/>
        <w:gridCol w:w="1309"/>
        <w:gridCol w:w="1277"/>
        <w:gridCol w:w="1155"/>
        <w:gridCol w:w="1176"/>
      </w:tblGrid>
      <w:tr w:rsidR="00D273CE" w:rsidRPr="00D273CE" w:rsidTr="00500FFB">
        <w:trPr>
          <w:trHeight w:val="240"/>
          <w:tblHeader/>
        </w:trPr>
        <w:tc>
          <w:tcPr>
            <w:tcW w:w="2453" w:type="dxa"/>
            <w:vMerge w:val="restart"/>
            <w:tcBorders>
              <w:top w:val="single" w:sz="4" w:space="0" w:color="auto"/>
              <w:bottom w:val="single" w:sz="12" w:space="0" w:color="auto"/>
            </w:tcBorders>
            <w:shd w:val="clear" w:color="auto" w:fill="auto"/>
            <w:vAlign w:val="bottom"/>
          </w:tcPr>
          <w:p w:rsidR="00C21DAA" w:rsidRPr="00D273CE" w:rsidRDefault="00115B35">
            <w:pPr>
              <w:spacing w:before="80" w:after="80" w:line="200" w:lineRule="exact"/>
              <w:rPr>
                <w:i/>
                <w:sz w:val="16"/>
              </w:rPr>
            </w:pPr>
            <w:r w:rsidRPr="00D273CE">
              <w:rPr>
                <w:i/>
                <w:sz w:val="16"/>
              </w:rPr>
              <w:t>Actividad</w:t>
            </w:r>
          </w:p>
        </w:tc>
        <w:tc>
          <w:tcPr>
            <w:tcW w:w="3741" w:type="dxa"/>
            <w:gridSpan w:val="3"/>
            <w:tcBorders>
              <w:top w:val="single" w:sz="4" w:space="0" w:color="auto"/>
              <w:bottom w:val="single" w:sz="4" w:space="0" w:color="auto"/>
            </w:tcBorders>
            <w:shd w:val="clear" w:color="auto" w:fill="auto"/>
            <w:vAlign w:val="bottom"/>
          </w:tcPr>
          <w:p w:rsidR="00C21DAA" w:rsidRPr="00D273CE" w:rsidRDefault="00115B35" w:rsidP="00500FFB">
            <w:pPr>
              <w:spacing w:before="80" w:after="80" w:line="200" w:lineRule="exact"/>
              <w:ind w:left="113"/>
              <w:jc w:val="center"/>
              <w:rPr>
                <w:i/>
                <w:sz w:val="16"/>
              </w:rPr>
            </w:pPr>
            <w:r w:rsidRPr="00D273CE">
              <w:rPr>
                <w:i/>
                <w:sz w:val="16"/>
              </w:rPr>
              <w:t>De 5 a 15 años</w:t>
            </w:r>
          </w:p>
        </w:tc>
        <w:tc>
          <w:tcPr>
            <w:tcW w:w="1176" w:type="dxa"/>
            <w:vMerge w:val="restart"/>
            <w:tcBorders>
              <w:top w:val="single" w:sz="4" w:space="0" w:color="auto"/>
              <w:bottom w:val="single" w:sz="12" w:space="0" w:color="auto"/>
            </w:tcBorders>
            <w:shd w:val="clear" w:color="auto" w:fill="auto"/>
            <w:vAlign w:val="bottom"/>
          </w:tcPr>
          <w:p w:rsidR="00C21DAA" w:rsidRPr="00D273CE" w:rsidRDefault="00115B35" w:rsidP="00500FFB">
            <w:pPr>
              <w:spacing w:before="80" w:after="80" w:line="200" w:lineRule="exact"/>
              <w:ind w:left="113"/>
              <w:jc w:val="right"/>
              <w:rPr>
                <w:i/>
                <w:sz w:val="16"/>
              </w:rPr>
            </w:pPr>
            <w:r w:rsidRPr="00D273CE">
              <w:rPr>
                <w:i/>
                <w:sz w:val="16"/>
              </w:rPr>
              <w:t>16 y 17 años</w:t>
            </w:r>
          </w:p>
        </w:tc>
      </w:tr>
      <w:tr w:rsidR="00D273CE" w:rsidRPr="00D273CE" w:rsidTr="00500FFB">
        <w:trPr>
          <w:trHeight w:val="240"/>
          <w:tblHeader/>
        </w:trPr>
        <w:tc>
          <w:tcPr>
            <w:tcW w:w="2453" w:type="dxa"/>
            <w:vMerge/>
            <w:tcBorders>
              <w:top w:val="single" w:sz="12" w:space="0" w:color="auto"/>
              <w:bottom w:val="single" w:sz="12" w:space="0" w:color="auto"/>
            </w:tcBorders>
            <w:shd w:val="clear" w:color="auto" w:fill="auto"/>
            <w:vAlign w:val="bottom"/>
          </w:tcPr>
          <w:p w:rsidR="00C21DAA" w:rsidRPr="00500FFB" w:rsidRDefault="00C21DAA">
            <w:pPr>
              <w:spacing w:before="40" w:after="40" w:line="220" w:lineRule="exact"/>
              <w:rPr>
                <w:sz w:val="18"/>
              </w:rPr>
            </w:pPr>
          </w:p>
        </w:tc>
        <w:tc>
          <w:tcPr>
            <w:tcW w:w="1309" w:type="dxa"/>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6"/>
              </w:rPr>
            </w:pPr>
            <w:r w:rsidRPr="00500FFB">
              <w:rPr>
                <w:i/>
                <w:sz w:val="16"/>
              </w:rPr>
              <w:t>5 a 13 años</w:t>
            </w:r>
          </w:p>
        </w:tc>
        <w:tc>
          <w:tcPr>
            <w:tcW w:w="1277" w:type="dxa"/>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6"/>
              </w:rPr>
            </w:pPr>
            <w:r w:rsidRPr="00500FFB">
              <w:rPr>
                <w:i/>
                <w:sz w:val="16"/>
              </w:rPr>
              <w:t>14 y 15 años</w:t>
            </w:r>
          </w:p>
        </w:tc>
        <w:tc>
          <w:tcPr>
            <w:tcW w:w="1155" w:type="dxa"/>
            <w:tcBorders>
              <w:top w:val="single" w:sz="4" w:space="0" w:color="auto"/>
              <w:bottom w:val="single" w:sz="12" w:space="0" w:color="auto"/>
            </w:tcBorders>
            <w:shd w:val="clear" w:color="auto" w:fill="auto"/>
            <w:vAlign w:val="bottom"/>
          </w:tcPr>
          <w:p w:rsidR="00C21DAA" w:rsidRPr="00500FFB" w:rsidRDefault="00115B35" w:rsidP="00500FFB">
            <w:pPr>
              <w:spacing w:before="80" w:after="80" w:line="200" w:lineRule="exact"/>
              <w:ind w:left="113"/>
              <w:jc w:val="right"/>
              <w:rPr>
                <w:i/>
                <w:sz w:val="16"/>
              </w:rPr>
            </w:pPr>
            <w:r w:rsidRPr="00500FFB">
              <w:rPr>
                <w:i/>
                <w:sz w:val="16"/>
              </w:rPr>
              <w:t>De 5 a 15 años</w:t>
            </w:r>
          </w:p>
        </w:tc>
        <w:tc>
          <w:tcPr>
            <w:tcW w:w="1176" w:type="dxa"/>
            <w:vMerge/>
            <w:tcBorders>
              <w:top w:val="single" w:sz="12" w:space="0" w:color="auto"/>
              <w:bottom w:val="single" w:sz="12" w:space="0" w:color="auto"/>
            </w:tcBorders>
            <w:shd w:val="clear" w:color="auto" w:fill="auto"/>
            <w:vAlign w:val="bottom"/>
          </w:tcPr>
          <w:p w:rsidR="00C21DAA" w:rsidRPr="00500FFB" w:rsidRDefault="00C21DAA" w:rsidP="00500FFB">
            <w:pPr>
              <w:spacing w:before="40" w:after="40" w:line="220" w:lineRule="exact"/>
              <w:ind w:left="113"/>
              <w:jc w:val="right"/>
              <w:rPr>
                <w:sz w:val="18"/>
              </w:rPr>
            </w:pPr>
          </w:p>
        </w:tc>
      </w:tr>
      <w:tr w:rsidR="00D273CE" w:rsidRPr="00D273CE" w:rsidTr="00500FFB">
        <w:trPr>
          <w:trHeight w:val="240"/>
        </w:trPr>
        <w:tc>
          <w:tcPr>
            <w:tcW w:w="2453" w:type="dxa"/>
            <w:tcBorders>
              <w:top w:val="single" w:sz="12" w:space="0" w:color="auto"/>
            </w:tcBorders>
            <w:shd w:val="clear" w:color="auto" w:fill="auto"/>
          </w:tcPr>
          <w:p w:rsidR="00C21DAA" w:rsidRPr="00D273CE" w:rsidRDefault="00115B35">
            <w:pPr>
              <w:spacing w:before="40" w:after="40" w:line="220" w:lineRule="exact"/>
              <w:rPr>
                <w:sz w:val="18"/>
              </w:rPr>
            </w:pPr>
            <w:r w:rsidRPr="00D273CE">
              <w:rPr>
                <w:sz w:val="18"/>
              </w:rPr>
              <w:t xml:space="preserve">Trabajó </w:t>
            </w:r>
          </w:p>
        </w:tc>
        <w:tc>
          <w:tcPr>
            <w:tcW w:w="1309" w:type="dxa"/>
            <w:tcBorders>
              <w:top w:val="single" w:sz="12" w:space="0" w:color="auto"/>
            </w:tcBorders>
            <w:shd w:val="clear" w:color="auto" w:fill="auto"/>
            <w:vAlign w:val="bottom"/>
          </w:tcPr>
          <w:p w:rsidR="00C21DAA" w:rsidRPr="00D273CE" w:rsidRDefault="00115B35" w:rsidP="00500FFB">
            <w:pPr>
              <w:spacing w:before="40" w:after="40" w:line="220" w:lineRule="exact"/>
              <w:ind w:left="113"/>
              <w:jc w:val="right"/>
              <w:rPr>
                <w:sz w:val="18"/>
              </w:rPr>
            </w:pPr>
            <w:r w:rsidRPr="00D273CE">
              <w:rPr>
                <w:sz w:val="18"/>
              </w:rPr>
              <w:t>2,0</w:t>
            </w:r>
          </w:p>
        </w:tc>
        <w:tc>
          <w:tcPr>
            <w:tcW w:w="1277" w:type="dxa"/>
            <w:tcBorders>
              <w:top w:val="single" w:sz="12" w:space="0" w:color="auto"/>
            </w:tcBorders>
            <w:shd w:val="clear" w:color="auto" w:fill="auto"/>
            <w:vAlign w:val="bottom"/>
          </w:tcPr>
          <w:p w:rsidR="00C21DAA" w:rsidRPr="00D273CE" w:rsidRDefault="00115B35" w:rsidP="00500FFB">
            <w:pPr>
              <w:spacing w:before="40" w:after="40" w:line="220" w:lineRule="exact"/>
              <w:ind w:left="113"/>
              <w:jc w:val="right"/>
              <w:rPr>
                <w:sz w:val="18"/>
              </w:rPr>
            </w:pPr>
            <w:r w:rsidRPr="00D273CE">
              <w:rPr>
                <w:sz w:val="18"/>
              </w:rPr>
              <w:t>7,5</w:t>
            </w:r>
          </w:p>
        </w:tc>
        <w:tc>
          <w:tcPr>
            <w:tcW w:w="1155" w:type="dxa"/>
            <w:tcBorders>
              <w:top w:val="single" w:sz="12" w:space="0" w:color="auto"/>
            </w:tcBorders>
            <w:shd w:val="clear" w:color="auto" w:fill="auto"/>
            <w:vAlign w:val="bottom"/>
          </w:tcPr>
          <w:p w:rsidR="00C21DAA" w:rsidRPr="00D273CE" w:rsidRDefault="00115B35" w:rsidP="00500FFB">
            <w:pPr>
              <w:spacing w:before="40" w:after="40" w:line="220" w:lineRule="exact"/>
              <w:ind w:left="113"/>
              <w:jc w:val="right"/>
              <w:rPr>
                <w:sz w:val="18"/>
              </w:rPr>
            </w:pPr>
            <w:r w:rsidRPr="00D273CE">
              <w:rPr>
                <w:sz w:val="18"/>
              </w:rPr>
              <w:t>3,0</w:t>
            </w:r>
          </w:p>
        </w:tc>
        <w:tc>
          <w:tcPr>
            <w:tcW w:w="1176" w:type="dxa"/>
            <w:tcBorders>
              <w:top w:val="single" w:sz="12" w:space="0" w:color="auto"/>
            </w:tcBorders>
            <w:shd w:val="clear" w:color="auto" w:fill="auto"/>
            <w:vAlign w:val="bottom"/>
          </w:tcPr>
          <w:p w:rsidR="00C21DAA" w:rsidRPr="00D273CE" w:rsidRDefault="00115B35" w:rsidP="00500FFB">
            <w:pPr>
              <w:spacing w:before="40" w:after="40" w:line="220" w:lineRule="exact"/>
              <w:ind w:left="113"/>
              <w:jc w:val="right"/>
              <w:rPr>
                <w:sz w:val="18"/>
              </w:rPr>
            </w:pPr>
            <w:r w:rsidRPr="00D273CE">
              <w:rPr>
                <w:sz w:val="18"/>
              </w:rPr>
              <w:t>16,8</w:t>
            </w:r>
          </w:p>
        </w:tc>
      </w:tr>
      <w:tr w:rsidR="00D273CE" w:rsidRPr="00D273CE" w:rsidTr="00500FFB">
        <w:trPr>
          <w:trHeight w:val="240"/>
        </w:trPr>
        <w:tc>
          <w:tcPr>
            <w:tcW w:w="2453" w:type="dxa"/>
            <w:shd w:val="clear" w:color="auto" w:fill="auto"/>
          </w:tcPr>
          <w:p w:rsidR="00C21DAA" w:rsidRPr="00D273CE" w:rsidRDefault="00115B35">
            <w:pPr>
              <w:spacing w:before="40" w:after="40" w:line="220" w:lineRule="exact"/>
              <w:rPr>
                <w:sz w:val="18"/>
              </w:rPr>
            </w:pPr>
            <w:r w:rsidRPr="00D273CE">
              <w:rPr>
                <w:sz w:val="18"/>
              </w:rPr>
              <w:t xml:space="preserve">Productiva para autoconsumo </w:t>
            </w:r>
          </w:p>
        </w:tc>
        <w:tc>
          <w:tcPr>
            <w:tcW w:w="1309" w:type="dxa"/>
            <w:shd w:val="clear" w:color="auto" w:fill="auto"/>
            <w:vAlign w:val="bottom"/>
          </w:tcPr>
          <w:p w:rsidR="00C21DAA" w:rsidRPr="00D273CE" w:rsidRDefault="00115B35" w:rsidP="00500FFB">
            <w:pPr>
              <w:spacing w:before="40" w:after="40" w:line="220" w:lineRule="exact"/>
              <w:ind w:left="113"/>
              <w:jc w:val="right"/>
              <w:rPr>
                <w:sz w:val="18"/>
              </w:rPr>
            </w:pPr>
            <w:r w:rsidRPr="00D273CE">
              <w:rPr>
                <w:sz w:val="18"/>
              </w:rPr>
              <w:t>2,1</w:t>
            </w:r>
          </w:p>
        </w:tc>
        <w:tc>
          <w:tcPr>
            <w:tcW w:w="1277" w:type="dxa"/>
            <w:shd w:val="clear" w:color="auto" w:fill="auto"/>
            <w:vAlign w:val="bottom"/>
          </w:tcPr>
          <w:p w:rsidR="00C21DAA" w:rsidRPr="00D273CE" w:rsidRDefault="00115B35" w:rsidP="00500FFB">
            <w:pPr>
              <w:spacing w:before="40" w:after="40" w:line="220" w:lineRule="exact"/>
              <w:ind w:left="113"/>
              <w:jc w:val="right"/>
              <w:rPr>
                <w:sz w:val="18"/>
              </w:rPr>
            </w:pPr>
            <w:r w:rsidRPr="00D273CE">
              <w:rPr>
                <w:sz w:val="18"/>
              </w:rPr>
              <w:t>6,4</w:t>
            </w:r>
          </w:p>
        </w:tc>
        <w:tc>
          <w:tcPr>
            <w:tcW w:w="1155" w:type="dxa"/>
            <w:shd w:val="clear" w:color="auto" w:fill="auto"/>
            <w:vAlign w:val="bottom"/>
          </w:tcPr>
          <w:p w:rsidR="00C21DAA" w:rsidRPr="00D273CE" w:rsidRDefault="00115B35" w:rsidP="00500FFB">
            <w:pPr>
              <w:spacing w:before="40" w:after="40" w:line="220" w:lineRule="exact"/>
              <w:ind w:left="113"/>
              <w:jc w:val="right"/>
              <w:rPr>
                <w:sz w:val="18"/>
              </w:rPr>
            </w:pPr>
            <w:r w:rsidRPr="00D273CE">
              <w:rPr>
                <w:sz w:val="18"/>
              </w:rPr>
              <w:t>2,9</w:t>
            </w:r>
          </w:p>
        </w:tc>
        <w:tc>
          <w:tcPr>
            <w:tcW w:w="1176" w:type="dxa"/>
            <w:shd w:val="clear" w:color="auto" w:fill="auto"/>
            <w:vAlign w:val="bottom"/>
          </w:tcPr>
          <w:p w:rsidR="00C21DAA" w:rsidRPr="00D273CE" w:rsidRDefault="00115B35" w:rsidP="00500FFB">
            <w:pPr>
              <w:spacing w:before="40" w:after="40" w:line="220" w:lineRule="exact"/>
              <w:ind w:left="113"/>
              <w:jc w:val="right"/>
              <w:rPr>
                <w:sz w:val="18"/>
              </w:rPr>
            </w:pPr>
            <w:r w:rsidRPr="00D273CE">
              <w:rPr>
                <w:sz w:val="18"/>
              </w:rPr>
              <w:t>8,5</w:t>
            </w:r>
          </w:p>
        </w:tc>
      </w:tr>
      <w:tr w:rsidR="00D273CE" w:rsidRPr="00D273CE" w:rsidTr="00500FFB">
        <w:trPr>
          <w:trHeight w:val="240"/>
        </w:trPr>
        <w:tc>
          <w:tcPr>
            <w:tcW w:w="2453" w:type="dxa"/>
            <w:tcBorders>
              <w:bottom w:val="single" w:sz="4" w:space="0" w:color="auto"/>
            </w:tcBorders>
            <w:shd w:val="clear" w:color="auto" w:fill="auto"/>
          </w:tcPr>
          <w:p w:rsidR="00C21DAA" w:rsidRPr="00D273CE" w:rsidRDefault="00115B35">
            <w:pPr>
              <w:spacing w:before="40" w:after="40" w:line="220" w:lineRule="exact"/>
              <w:rPr>
                <w:sz w:val="18"/>
                <w:szCs w:val="18"/>
              </w:rPr>
            </w:pPr>
            <w:r w:rsidRPr="00D273CE">
              <w:rPr>
                <w:sz w:val="18"/>
                <w:szCs w:val="18"/>
              </w:rPr>
              <w:t xml:space="preserve">Tarea doméstica intensa </w:t>
            </w:r>
          </w:p>
        </w:tc>
        <w:tc>
          <w:tcPr>
            <w:tcW w:w="1309" w:type="dxa"/>
            <w:tcBorders>
              <w:bottom w:val="single" w:sz="4" w:space="0" w:color="auto"/>
            </w:tcBorders>
            <w:shd w:val="clear" w:color="auto" w:fill="auto"/>
            <w:vAlign w:val="bottom"/>
          </w:tcPr>
          <w:p w:rsidR="00C21DAA" w:rsidRPr="00D273CE" w:rsidRDefault="00115B35" w:rsidP="00500FFB">
            <w:pPr>
              <w:spacing w:before="40" w:after="40" w:line="220" w:lineRule="exact"/>
              <w:ind w:left="113"/>
              <w:jc w:val="right"/>
              <w:rPr>
                <w:sz w:val="18"/>
                <w:szCs w:val="18"/>
              </w:rPr>
            </w:pPr>
            <w:r w:rsidRPr="00D273CE">
              <w:rPr>
                <w:sz w:val="18"/>
                <w:szCs w:val="18"/>
              </w:rPr>
              <w:t>2,6</w:t>
            </w:r>
          </w:p>
        </w:tc>
        <w:tc>
          <w:tcPr>
            <w:tcW w:w="1277" w:type="dxa"/>
            <w:tcBorders>
              <w:bottom w:val="single" w:sz="4" w:space="0" w:color="auto"/>
            </w:tcBorders>
            <w:shd w:val="clear" w:color="auto" w:fill="auto"/>
            <w:vAlign w:val="bottom"/>
          </w:tcPr>
          <w:p w:rsidR="00C21DAA" w:rsidRPr="00D273CE" w:rsidRDefault="00115B35" w:rsidP="00500FFB">
            <w:pPr>
              <w:spacing w:before="40" w:after="40" w:line="220" w:lineRule="exact"/>
              <w:ind w:left="113"/>
              <w:jc w:val="right"/>
              <w:rPr>
                <w:sz w:val="18"/>
                <w:szCs w:val="18"/>
              </w:rPr>
            </w:pPr>
            <w:r w:rsidRPr="00D273CE">
              <w:rPr>
                <w:sz w:val="18"/>
                <w:szCs w:val="18"/>
              </w:rPr>
              <w:t>6,5</w:t>
            </w:r>
          </w:p>
        </w:tc>
        <w:tc>
          <w:tcPr>
            <w:tcW w:w="1155" w:type="dxa"/>
            <w:tcBorders>
              <w:bottom w:val="single" w:sz="4" w:space="0" w:color="auto"/>
            </w:tcBorders>
            <w:shd w:val="clear" w:color="auto" w:fill="auto"/>
            <w:vAlign w:val="bottom"/>
          </w:tcPr>
          <w:p w:rsidR="00C21DAA" w:rsidRPr="00D273CE" w:rsidRDefault="00115B35" w:rsidP="00500FFB">
            <w:pPr>
              <w:spacing w:before="40" w:after="40" w:line="220" w:lineRule="exact"/>
              <w:ind w:left="113"/>
              <w:jc w:val="right"/>
              <w:rPr>
                <w:sz w:val="18"/>
                <w:szCs w:val="18"/>
              </w:rPr>
            </w:pPr>
            <w:r w:rsidRPr="00D273CE">
              <w:rPr>
                <w:sz w:val="18"/>
                <w:szCs w:val="18"/>
              </w:rPr>
              <w:t>3,4</w:t>
            </w:r>
          </w:p>
        </w:tc>
        <w:tc>
          <w:tcPr>
            <w:tcW w:w="1176" w:type="dxa"/>
            <w:tcBorders>
              <w:bottom w:val="single" w:sz="4" w:space="0" w:color="auto"/>
            </w:tcBorders>
            <w:shd w:val="clear" w:color="auto" w:fill="auto"/>
            <w:vAlign w:val="bottom"/>
          </w:tcPr>
          <w:p w:rsidR="00C21DAA" w:rsidRPr="00D273CE" w:rsidRDefault="00115B35" w:rsidP="00500FFB">
            <w:pPr>
              <w:spacing w:before="40" w:after="40" w:line="220" w:lineRule="exact"/>
              <w:ind w:left="113"/>
              <w:jc w:val="right"/>
              <w:rPr>
                <w:sz w:val="18"/>
                <w:szCs w:val="18"/>
              </w:rPr>
            </w:pPr>
            <w:r w:rsidRPr="00D273CE">
              <w:rPr>
                <w:sz w:val="18"/>
                <w:szCs w:val="18"/>
              </w:rPr>
              <w:t>11,3</w:t>
            </w:r>
          </w:p>
        </w:tc>
      </w:tr>
    </w:tbl>
    <w:p w:rsidR="00C21DAA" w:rsidRPr="00FE07FE" w:rsidRDefault="00115B35" w:rsidP="00500FFB">
      <w:pPr>
        <w:pStyle w:val="SingleTxtG"/>
        <w:spacing w:before="120" w:after="240" w:line="220" w:lineRule="exact"/>
        <w:ind w:firstLine="170"/>
        <w:rPr>
          <w:sz w:val="18"/>
          <w:szCs w:val="18"/>
        </w:rPr>
      </w:pPr>
      <w:r w:rsidRPr="00500FFB">
        <w:rPr>
          <w:i/>
          <w:sz w:val="18"/>
          <w:szCs w:val="18"/>
        </w:rPr>
        <w:t>Fuente:</w:t>
      </w:r>
      <w:r w:rsidRPr="00FE07FE">
        <w:rPr>
          <w:sz w:val="18"/>
          <w:szCs w:val="18"/>
        </w:rPr>
        <w:t xml:space="preserve"> MTEySS – OTIA, sobre la base de MANNyA (EAHU – INDEC)</w:t>
      </w:r>
      <w:r w:rsidR="00D273CE">
        <w:rPr>
          <w:sz w:val="18"/>
          <w:szCs w:val="18"/>
        </w:rPr>
        <w:t>.</w:t>
      </w:r>
    </w:p>
    <w:p w:rsidR="00C21DAA" w:rsidRPr="00FE07FE" w:rsidRDefault="00FE07FE" w:rsidP="00500FFB">
      <w:pPr>
        <w:pStyle w:val="SingleTxtG"/>
        <w:rPr>
          <w:lang w:val="es-MX" w:eastAsia="en-US"/>
        </w:rPr>
      </w:pPr>
      <w:r w:rsidRPr="00500FFB">
        <w:rPr>
          <w:lang w:val="es-MX" w:eastAsia="en-US"/>
        </w:rPr>
        <w:t>218.</w:t>
      </w:r>
      <w:r w:rsidRPr="00500FFB">
        <w:rPr>
          <w:lang w:val="es-MX" w:eastAsia="en-US"/>
        </w:rPr>
        <w:tab/>
      </w:r>
      <w:r w:rsidR="00115B35" w:rsidRPr="00FE07FE">
        <w:rPr>
          <w:lang w:val="es-MX" w:eastAsia="en-US"/>
        </w:rPr>
        <w:t xml:space="preserve">El Plan Nacional para la Prevención y Erradicación del Trabajo Infantil y Protección del Trabajo Adolescente 2016-2020 es coordinado por la CONAETI, y contempla información estadística recabada. </w:t>
      </w:r>
    </w:p>
    <w:p w:rsidR="00C21DAA" w:rsidRPr="00FE07FE" w:rsidRDefault="00115B35">
      <w:pPr>
        <w:pStyle w:val="H23G"/>
        <w:rPr>
          <w:lang w:eastAsia="en-US"/>
        </w:rPr>
      </w:pPr>
      <w:r w:rsidRPr="00FE07FE">
        <w:rPr>
          <w:lang w:eastAsia="en-US"/>
        </w:rPr>
        <w:tab/>
      </w:r>
      <w:r w:rsidRPr="00FE07FE">
        <w:rPr>
          <w:lang w:eastAsia="en-US"/>
        </w:rPr>
        <w:tab/>
        <w:t>Trata, explotación sexual y abusos sexuales</w:t>
      </w:r>
    </w:p>
    <w:p w:rsidR="00C21DAA" w:rsidRPr="00FE07FE" w:rsidRDefault="00115B35">
      <w:pPr>
        <w:pStyle w:val="H4G"/>
        <w:rPr>
          <w:lang w:eastAsia="en-US"/>
        </w:rPr>
      </w:pPr>
      <w:r w:rsidRPr="00FE07FE">
        <w:rPr>
          <w:lang w:eastAsia="en-US"/>
        </w:rPr>
        <w:tab/>
      </w:r>
      <w:r w:rsidRPr="00FE07FE">
        <w:rPr>
          <w:lang w:eastAsia="en-US"/>
        </w:rPr>
        <w:tab/>
        <w:t>Párrafo 76</w:t>
      </w:r>
    </w:p>
    <w:p w:rsidR="00C21DAA" w:rsidRPr="00FE07FE" w:rsidRDefault="00FE07FE" w:rsidP="00500FFB">
      <w:pPr>
        <w:pStyle w:val="SingleTxtG"/>
        <w:rPr>
          <w:lang w:val="es-MX" w:eastAsia="en-US"/>
        </w:rPr>
      </w:pPr>
      <w:r w:rsidRPr="00500FFB">
        <w:rPr>
          <w:lang w:val="es-MX" w:eastAsia="en-US"/>
        </w:rPr>
        <w:t>219.</w:t>
      </w:r>
      <w:r w:rsidRPr="00500FFB">
        <w:rPr>
          <w:lang w:val="es-MX" w:eastAsia="en-US"/>
        </w:rPr>
        <w:tab/>
      </w:r>
      <w:r w:rsidR="00115B35" w:rsidRPr="00FE07FE">
        <w:rPr>
          <w:lang w:val="es-MX" w:eastAsia="en-US"/>
        </w:rPr>
        <w:t xml:space="preserve">La </w:t>
      </w:r>
      <w:r w:rsidR="007C1E21">
        <w:rPr>
          <w:lang w:val="es-MX" w:eastAsia="en-US"/>
        </w:rPr>
        <w:t>L</w:t>
      </w:r>
      <w:r w:rsidR="00115B35" w:rsidRPr="00FE07FE">
        <w:rPr>
          <w:lang w:val="es-MX" w:eastAsia="en-US"/>
        </w:rPr>
        <w:t xml:space="preserve">ey </w:t>
      </w:r>
      <w:r w:rsidR="007C1E21">
        <w:rPr>
          <w:lang w:val="es-MX" w:eastAsia="en-US"/>
        </w:rPr>
        <w:t xml:space="preserve">núm. </w:t>
      </w:r>
      <w:r w:rsidR="00115B35" w:rsidRPr="00FE07FE">
        <w:rPr>
          <w:lang w:val="es-MX" w:eastAsia="en-US"/>
        </w:rPr>
        <w:t xml:space="preserve">26842 creó el “Comité Ejecutivo para la Lucha contra la Trata y Explotación de Personas y para la Protección y Asistencia a las Víctimas”, organismo con autonomía funcional que articula las acciones de prevención, sanción y asistencia en materia de Trata de Personas desarrolladas por el MJDH, MSG, MDS y el MTESS. </w:t>
      </w:r>
    </w:p>
    <w:p w:rsidR="00C21DAA" w:rsidRPr="00FE07FE" w:rsidRDefault="00FE07FE" w:rsidP="00500FFB">
      <w:pPr>
        <w:pStyle w:val="SingleTxtG"/>
        <w:rPr>
          <w:lang w:val="es-MX" w:eastAsia="en-US"/>
        </w:rPr>
      </w:pPr>
      <w:r w:rsidRPr="00500FFB">
        <w:rPr>
          <w:lang w:val="es-MX" w:eastAsia="en-US"/>
        </w:rPr>
        <w:lastRenderedPageBreak/>
        <w:t>220.</w:t>
      </w:r>
      <w:r w:rsidRPr="00500FFB">
        <w:rPr>
          <w:lang w:val="es-MX" w:eastAsia="en-US"/>
        </w:rPr>
        <w:tab/>
      </w:r>
      <w:r w:rsidR="00115B35" w:rsidRPr="00FE07FE">
        <w:rPr>
          <w:lang w:val="es-MX" w:eastAsia="en-US"/>
        </w:rPr>
        <w:t xml:space="preserve">Programas y políticas públicas contra la trata: </w:t>
      </w:r>
      <w:r w:rsidR="00115B35" w:rsidRPr="00FE07FE">
        <w:rPr>
          <w:b/>
          <w:lang w:val="es-MX" w:eastAsia="en-US"/>
        </w:rPr>
        <w:t>MJDH</w:t>
      </w:r>
      <w:r w:rsidR="00115B35" w:rsidRPr="00FE07FE">
        <w:rPr>
          <w:lang w:val="es-MX" w:eastAsia="en-US"/>
        </w:rPr>
        <w:t xml:space="preserve">: Programa Nacional de Rescate y Acompañamiento a las Personas Damnificadas por el Delito de Trata (Resolución </w:t>
      </w:r>
      <w:r w:rsidR="00686E9E">
        <w:rPr>
          <w:lang w:val="es-MX" w:eastAsia="en-US"/>
        </w:rPr>
        <w:t xml:space="preserve">núm. </w:t>
      </w:r>
      <w:r w:rsidR="00115B35" w:rsidRPr="00FE07FE">
        <w:rPr>
          <w:lang w:val="es-MX" w:eastAsia="en-US"/>
        </w:rPr>
        <w:t xml:space="preserve">731/2012); Oficina de Monitoreo de Publicación de Avisos de Oferta de Comercio Sexual (OM) (Decreto </w:t>
      </w:r>
      <w:r w:rsidR="00D67A98">
        <w:rPr>
          <w:lang w:val="es-MX" w:eastAsia="en-US"/>
        </w:rPr>
        <w:t xml:space="preserve">núm. </w:t>
      </w:r>
      <w:r w:rsidR="00115B35" w:rsidRPr="00FE07FE">
        <w:rPr>
          <w:lang w:val="es-MX" w:eastAsia="en-US"/>
        </w:rPr>
        <w:t xml:space="preserve">936/2011). </w:t>
      </w:r>
      <w:r w:rsidR="00115B35" w:rsidRPr="00FE07FE">
        <w:rPr>
          <w:b/>
          <w:lang w:val="es-MX" w:eastAsia="en-US"/>
        </w:rPr>
        <w:t>MSG</w:t>
      </w:r>
      <w:r w:rsidR="00115B35" w:rsidRPr="00FE07FE">
        <w:rPr>
          <w:lang w:val="es-MX" w:eastAsia="en-US"/>
        </w:rPr>
        <w:t xml:space="preserve">: Fuerzas de Seguridad Federales cuentan con unidades específicas: Policía Federal Argentina: División Trata de Personas; Gendarmería Nacional Argentina: Departamento Anti-Trata de Personas; Prefectura Naval Argentina: Departamento Investigaciones de Trata de Personas; Policía de Seguridad Aeroportuaria: Unidad Operacional del Control del Narcotráfico y Delitos Complejos; Sistema Integrado de Información Criminal del Delito de Trata de Personas (SISTRATA); Línea 0800-555-5065: gratuita recibe denuncias que pueden incluir casos de trata; y Coordinación de Lucha contra la Trata de Personas y los Delitos contra la Integridad Sexual. </w:t>
      </w:r>
      <w:r w:rsidR="00115B35" w:rsidRPr="00FE07FE">
        <w:rPr>
          <w:b/>
          <w:lang w:val="es-MX" w:eastAsia="en-US"/>
        </w:rPr>
        <w:t>MPF</w:t>
      </w:r>
      <w:r w:rsidR="00115B35" w:rsidRPr="00FE07FE">
        <w:rPr>
          <w:lang w:val="es-MX" w:eastAsia="en-US"/>
        </w:rPr>
        <w:t xml:space="preserve">: Programa Especial para la Atención de Niñas, Niños y Adolescentes Víctimas de Maltrato y Abuso Sexual. </w:t>
      </w:r>
      <w:r w:rsidR="00115B35" w:rsidRPr="00FE07FE">
        <w:rPr>
          <w:b/>
          <w:lang w:val="es-MX" w:eastAsia="en-US"/>
        </w:rPr>
        <w:t>MTESS</w:t>
      </w:r>
      <w:r w:rsidR="00115B35" w:rsidRPr="00FE07FE">
        <w:rPr>
          <w:lang w:val="es-MX" w:eastAsia="en-US"/>
        </w:rPr>
        <w:t xml:space="preserve">: Plan Nacional de Regularización del Trabajo (PNRT); Canales de denuncias: 0800-666-4100 o vía mail; Convenios con diferentes organismos para prevenir, detectar e investigar el delito de trata de personas. </w:t>
      </w:r>
      <w:r w:rsidR="00115B35" w:rsidRPr="00FE07FE">
        <w:rPr>
          <w:b/>
          <w:lang w:val="es-MX" w:eastAsia="en-US"/>
        </w:rPr>
        <w:t>Consejo Nacional de las Mujeres</w:t>
      </w:r>
      <w:r w:rsidR="00115B35" w:rsidRPr="00FE07FE">
        <w:rPr>
          <w:lang w:val="es-MX" w:eastAsia="en-US"/>
        </w:rPr>
        <w:t xml:space="preserve"> (</w:t>
      </w:r>
      <w:r w:rsidR="00DF1C7B">
        <w:rPr>
          <w:lang w:val="es-MX" w:eastAsia="en-US"/>
        </w:rPr>
        <w:t>L</w:t>
      </w:r>
      <w:r w:rsidR="00115B35" w:rsidRPr="00FE07FE">
        <w:rPr>
          <w:lang w:val="es-MX" w:eastAsia="en-US"/>
        </w:rPr>
        <w:t xml:space="preserve">ey </w:t>
      </w:r>
      <w:r w:rsidR="00DF1C7B">
        <w:rPr>
          <w:lang w:val="es-MX" w:eastAsia="en-US"/>
        </w:rPr>
        <w:t xml:space="preserve">núm. </w:t>
      </w:r>
      <w:r w:rsidR="00115B35" w:rsidRPr="00FE07FE">
        <w:rPr>
          <w:lang w:val="es-MX" w:eastAsia="en-US"/>
        </w:rPr>
        <w:t xml:space="preserve">26485) Línea 144: atención telefónica destinada a contener y asesorar mujeres. </w:t>
      </w:r>
      <w:r w:rsidR="00115B35" w:rsidRPr="00FE07FE">
        <w:rPr>
          <w:b/>
          <w:lang w:val="es-MX" w:eastAsia="en-US"/>
        </w:rPr>
        <w:t>SENAF</w:t>
      </w:r>
      <w:r w:rsidR="00115B35" w:rsidRPr="00FE07FE">
        <w:rPr>
          <w:lang w:val="es-MX" w:eastAsia="en-US"/>
        </w:rPr>
        <w:t xml:space="preserve">: Área para la Prevención de las Peores Formas de Vulneración de Derechos, garantiza la asistencia de las víctimas del delito de Trata de Personas. La atención se rige por el Protocolo Nacional de Asistencia a víctimas de Trata de Personas y de Explotación Sexual Infantil y por las Directrices para la aplicación del protocolo de asistencia a personas víctimas de trata y de explotación sexual infantil (2008). </w:t>
      </w:r>
    </w:p>
    <w:p w:rsidR="00C21DAA" w:rsidRPr="00FE07FE" w:rsidRDefault="00FE07FE" w:rsidP="00500FFB">
      <w:pPr>
        <w:pStyle w:val="SingleTxtG"/>
        <w:rPr>
          <w:lang w:val="es-MX" w:eastAsia="en-US"/>
        </w:rPr>
      </w:pPr>
      <w:r w:rsidRPr="00500FFB">
        <w:rPr>
          <w:lang w:val="es-MX" w:eastAsia="en-US"/>
        </w:rPr>
        <w:t>221.</w:t>
      </w:r>
      <w:r w:rsidRPr="00500FFB">
        <w:rPr>
          <w:lang w:val="es-MX" w:eastAsia="en-US"/>
        </w:rPr>
        <w:tab/>
      </w:r>
      <w:r w:rsidR="00115B35" w:rsidRPr="00FE07FE">
        <w:rPr>
          <w:lang w:val="es-MX" w:eastAsia="en-US"/>
        </w:rPr>
        <w:t xml:space="preserve">Respecto de las </w:t>
      </w:r>
      <w:r w:rsidR="00115B35" w:rsidRPr="00FE07FE">
        <w:rPr>
          <w:b/>
          <w:i/>
          <w:lang w:val="es-MX" w:eastAsia="en-US"/>
        </w:rPr>
        <w:t>medidas legislativas</w:t>
      </w:r>
      <w:r w:rsidR="00115B35" w:rsidRPr="00FE07FE">
        <w:rPr>
          <w:lang w:val="es-MX" w:eastAsia="en-US"/>
        </w:rPr>
        <w:t xml:space="preserve">: la </w:t>
      </w:r>
      <w:r w:rsidR="00DF1C7B">
        <w:rPr>
          <w:lang w:val="es-MX" w:eastAsia="en-US"/>
        </w:rPr>
        <w:t>L</w:t>
      </w:r>
      <w:r w:rsidR="00115B35" w:rsidRPr="00FE07FE">
        <w:rPr>
          <w:lang w:val="es-MX" w:eastAsia="en-US"/>
        </w:rPr>
        <w:t xml:space="preserve">ey </w:t>
      </w:r>
      <w:r w:rsidR="00DF1C7B">
        <w:rPr>
          <w:lang w:val="es-MX" w:eastAsia="en-US"/>
        </w:rPr>
        <w:t xml:space="preserve">núm. </w:t>
      </w:r>
      <w:r w:rsidR="00115B35" w:rsidRPr="00FE07FE">
        <w:rPr>
          <w:lang w:val="es-MX" w:eastAsia="en-US"/>
        </w:rPr>
        <w:t xml:space="preserve">26364 permitió incorporar el delito federal de trata de personas al CPPN en CPN. La </w:t>
      </w:r>
      <w:r>
        <w:rPr>
          <w:lang w:val="es-MX" w:eastAsia="en-US"/>
        </w:rPr>
        <w:t>L</w:t>
      </w:r>
      <w:r w:rsidR="00115B35" w:rsidRPr="00FE07FE">
        <w:rPr>
          <w:lang w:val="es-MX" w:eastAsia="en-US"/>
        </w:rPr>
        <w:t xml:space="preserve">ey </w:t>
      </w:r>
      <w:r>
        <w:rPr>
          <w:lang w:val="es-MX" w:eastAsia="en-US"/>
        </w:rPr>
        <w:t xml:space="preserve">núm. </w:t>
      </w:r>
      <w:r w:rsidR="00115B35" w:rsidRPr="00FE07FE">
        <w:rPr>
          <w:lang w:val="es-MX" w:eastAsia="en-US"/>
        </w:rPr>
        <w:t xml:space="preserve">26842 establece que independientemente de la edad de la víctima el consentimiento es irrelevante para considerar penalmente responsables a los autores del delito sin la necesidad de acreditar los medios comisivos para probar la existencia del delito. La mencionada normativa establece agravantes para las penas cuando la situación de explotación es ejercida sobre niños. Todas las provincias y CABA suscribieron las “Directrices para la articulación de la asistencia” en el año 2012. La SENAF, a través del área de las peores formas de vulneración de derechos, ha dispuesto un sistema articulado creando puntos focales de asistencia a personas víctimas del delito de trata, haciéndose cargo de la asistencia integral. La SENAF convoca a reuniones periódicas de los distintos puntos focales. </w:t>
      </w:r>
    </w:p>
    <w:p w:rsidR="00C21DAA" w:rsidRPr="00FE07FE" w:rsidRDefault="00FE07FE" w:rsidP="00500FFB">
      <w:pPr>
        <w:pStyle w:val="SingleTxtG"/>
        <w:rPr>
          <w:lang w:val="es-MX" w:eastAsia="en-US"/>
        </w:rPr>
      </w:pPr>
      <w:r w:rsidRPr="00500FFB">
        <w:rPr>
          <w:lang w:val="es-MX" w:eastAsia="en-US"/>
        </w:rPr>
        <w:t>222.</w:t>
      </w:r>
      <w:r w:rsidRPr="00500FFB">
        <w:rPr>
          <w:lang w:val="es-MX" w:eastAsia="en-US"/>
        </w:rPr>
        <w:tab/>
      </w:r>
      <w:r w:rsidR="00115B35" w:rsidRPr="00FE07FE">
        <w:rPr>
          <w:b/>
          <w:lang w:val="es-MX" w:eastAsia="en-US"/>
        </w:rPr>
        <w:t xml:space="preserve">La Resolución </w:t>
      </w:r>
      <w:r w:rsidR="00D273CE">
        <w:rPr>
          <w:b/>
          <w:lang w:val="es-MX" w:eastAsia="en-US"/>
        </w:rPr>
        <w:t xml:space="preserve">núm. </w:t>
      </w:r>
      <w:r w:rsidR="00115B35" w:rsidRPr="00FE07FE">
        <w:rPr>
          <w:b/>
          <w:lang w:val="es-MX" w:eastAsia="en-US"/>
        </w:rPr>
        <w:t>742/11</w:t>
      </w:r>
      <w:r w:rsidR="00115B35" w:rsidRPr="00FE07FE">
        <w:rPr>
          <w:lang w:val="es-MX" w:eastAsia="en-US"/>
        </w:rPr>
        <w:t xml:space="preserve"> aprueba el Protocolo de Actuación de las Fuerzas Federales Para el Rescate de Víctimas de Trata de Personas. Respecto al abuso sexual, la </w:t>
      </w:r>
      <w:r w:rsidR="00D273CE">
        <w:rPr>
          <w:lang w:val="es-MX" w:eastAsia="en-US"/>
        </w:rPr>
        <w:t>L</w:t>
      </w:r>
      <w:r w:rsidR="00115B35" w:rsidRPr="00FE07FE">
        <w:rPr>
          <w:lang w:val="es-MX" w:eastAsia="en-US"/>
        </w:rPr>
        <w:t xml:space="preserve">ey </w:t>
      </w:r>
      <w:r w:rsidR="00D273CE">
        <w:rPr>
          <w:lang w:val="es-MX" w:eastAsia="en-US"/>
        </w:rPr>
        <w:t xml:space="preserve">núm. </w:t>
      </w:r>
      <w:r w:rsidR="00115B35" w:rsidRPr="00FE07FE">
        <w:rPr>
          <w:lang w:val="es-MX" w:eastAsia="en-US"/>
        </w:rPr>
        <w:t>26705 modifica el CPPN, incorporando: cuando la víctima fuere menor de edad la prescripción de la acción comenzará a correr desde la medianoche del día en que éste haya alcanzado la mayoría de edad.</w:t>
      </w:r>
    </w:p>
    <w:p w:rsidR="00C21DAA" w:rsidRPr="00FE07FE" w:rsidRDefault="00FE07FE" w:rsidP="00500FFB">
      <w:pPr>
        <w:pStyle w:val="SingleTxtG"/>
        <w:rPr>
          <w:b/>
          <w:i/>
          <w:lang w:val="es-MX" w:eastAsia="en-US"/>
        </w:rPr>
      </w:pPr>
      <w:r w:rsidRPr="00500FFB">
        <w:rPr>
          <w:lang w:val="es-MX" w:eastAsia="en-US"/>
        </w:rPr>
        <w:t>223.</w:t>
      </w:r>
      <w:r w:rsidRPr="00500FFB">
        <w:rPr>
          <w:lang w:val="es-MX" w:eastAsia="en-US"/>
        </w:rPr>
        <w:tab/>
      </w:r>
      <w:r w:rsidR="00115B35" w:rsidRPr="00FE07FE">
        <w:rPr>
          <w:lang w:val="es-MX" w:eastAsia="en-US"/>
        </w:rPr>
        <w:t xml:space="preserve">En 2014, el MJDH firmó un convenio de cooperación y asistencia técnica con Aerolíneas Argentinas, Aeropuertos Argentina 2000 S.A. y la Federación Argentina de Personal Aeronáutico para capacitar a sus trabajadores en </w:t>
      </w:r>
      <w:r w:rsidR="00115B35" w:rsidRPr="00FE07FE">
        <w:rPr>
          <w:b/>
          <w:i/>
          <w:lang w:val="es-MX" w:eastAsia="en-US"/>
        </w:rPr>
        <w:t>materia de prevención, detección de delito y asistencia a las víctimas de trata de personas.</w:t>
      </w:r>
    </w:p>
    <w:p w:rsidR="00C21DAA" w:rsidRPr="00FE07FE" w:rsidRDefault="00FE07FE" w:rsidP="00500FFB">
      <w:pPr>
        <w:pStyle w:val="SingleTxtG"/>
        <w:rPr>
          <w:lang w:val="es-MX" w:eastAsia="en-US"/>
        </w:rPr>
      </w:pPr>
      <w:r w:rsidRPr="00500FFB">
        <w:rPr>
          <w:lang w:val="es-MX" w:eastAsia="en-US"/>
        </w:rPr>
        <w:t>224.</w:t>
      </w:r>
      <w:r w:rsidRPr="00500FFB">
        <w:rPr>
          <w:lang w:val="es-MX" w:eastAsia="en-US"/>
        </w:rPr>
        <w:tab/>
      </w:r>
      <w:r w:rsidR="00115B35" w:rsidRPr="00FE07FE">
        <w:rPr>
          <w:lang w:val="es-MX" w:eastAsia="en-US"/>
        </w:rPr>
        <w:t xml:space="preserve">Respecto del </w:t>
      </w:r>
      <w:r w:rsidR="00115B35" w:rsidRPr="00FE07FE">
        <w:rPr>
          <w:b/>
          <w:i/>
          <w:lang w:val="es-MX" w:eastAsia="en-US"/>
        </w:rPr>
        <w:t xml:space="preserve">juzgamiento efectivo de los casos de violencia sexual </w:t>
      </w:r>
      <w:r w:rsidR="00115B35" w:rsidRPr="00FE07FE">
        <w:rPr>
          <w:lang w:val="es-MX" w:eastAsia="en-US"/>
        </w:rPr>
        <w:t>contra los niños, la Unidad Fiscal para la Investigación de Delitos contra la Integridad Sexual de Niñas y Niños (UFISEX) brinda apoyo y asistencia técnica a los fiscales que intervienen en este tipo de casos y adopta medidas para asegurar el derecho del niño a ser oído. Asimismo, se promueven medidas de prevención dirigidas a evitar la continuidad o repetición de hechos de violencia sexual contando con un registro estadístico de los sumarios en trámite en los que participa la unidad fiscal (ANEXO III).</w:t>
      </w:r>
    </w:p>
    <w:p w:rsidR="00C21DAA" w:rsidRPr="00FE07FE" w:rsidRDefault="00FE07FE" w:rsidP="00500FFB">
      <w:pPr>
        <w:pStyle w:val="SingleTxtG"/>
        <w:rPr>
          <w:lang w:val="es-MX" w:eastAsia="en-US"/>
        </w:rPr>
      </w:pPr>
      <w:r w:rsidRPr="00500FFB">
        <w:rPr>
          <w:lang w:val="es-MX" w:eastAsia="en-US"/>
        </w:rPr>
        <w:t>225.</w:t>
      </w:r>
      <w:r w:rsidRPr="00500FFB">
        <w:rPr>
          <w:lang w:val="es-MX" w:eastAsia="en-US"/>
        </w:rPr>
        <w:tab/>
      </w:r>
      <w:r w:rsidR="00115B35" w:rsidRPr="00FE07FE">
        <w:rPr>
          <w:lang w:val="es-MX" w:eastAsia="en-US"/>
        </w:rPr>
        <w:t xml:space="preserve">Respecto de la </w:t>
      </w:r>
      <w:r w:rsidR="00115B35" w:rsidRPr="00FE07FE">
        <w:rPr>
          <w:b/>
          <w:i/>
          <w:lang w:val="es-MX" w:eastAsia="en-US"/>
        </w:rPr>
        <w:t>persecución penal de los delitos de trata de niños, niñas y adolescentes,</w:t>
      </w:r>
      <w:r w:rsidR="00115B35" w:rsidRPr="00FE07FE">
        <w:rPr>
          <w:lang w:val="es-MX" w:eastAsia="en-US"/>
        </w:rPr>
        <w:t xml:space="preserve"> el MPF creó la Procuraduría de Trata y Explotación de personas (PROTEX)</w:t>
      </w:r>
      <w:r w:rsidR="00115B35" w:rsidRPr="00FE07FE">
        <w:rPr>
          <w:rStyle w:val="Refdenotaalpie"/>
        </w:rPr>
        <w:footnoteReference w:id="30"/>
      </w:r>
      <w:r w:rsidR="00115B35" w:rsidRPr="00FE07FE">
        <w:rPr>
          <w:lang w:val="es-MX" w:eastAsia="en-US"/>
        </w:rPr>
        <w:t xml:space="preserve"> diseñando la política criminal del MPF en la materia, y prestando apoyo a las fiscalías de todo el país en casos de trata de niños, para el rescate de las víctimas y la agilización del proceso judicial. </w:t>
      </w:r>
    </w:p>
    <w:p w:rsidR="00C21DAA" w:rsidRPr="00FE07FE" w:rsidRDefault="00FE07FE" w:rsidP="00500FFB">
      <w:pPr>
        <w:pStyle w:val="SingleTxtG"/>
        <w:rPr>
          <w:lang w:val="es-MX" w:eastAsia="en-US"/>
        </w:rPr>
      </w:pPr>
      <w:r w:rsidRPr="00500FFB">
        <w:rPr>
          <w:lang w:val="es-MX" w:eastAsia="en-US"/>
        </w:rPr>
        <w:lastRenderedPageBreak/>
        <w:t>226.</w:t>
      </w:r>
      <w:r w:rsidRPr="00500FFB">
        <w:rPr>
          <w:lang w:val="es-MX" w:eastAsia="en-US"/>
        </w:rPr>
        <w:tab/>
      </w:r>
      <w:r w:rsidR="00115B35" w:rsidRPr="00FE07FE">
        <w:rPr>
          <w:lang w:val="es-MX" w:eastAsia="en-US"/>
        </w:rPr>
        <w:t>Entre 2008 y 2015, se dictaron 448 casos de procesamiento por trata de 259 víctimas niños, niñas o adolescentes, y en 2016 fueron 339 fueron niños víctimas o acompañantes de adultos familiares en situación de explotación, siendo 237 retornados a su lugar de origen.</w:t>
      </w:r>
    </w:p>
    <w:p w:rsidR="00D273CE" w:rsidRDefault="00115B35" w:rsidP="00500FFB">
      <w:pPr>
        <w:pStyle w:val="SingleTxtG"/>
        <w:keepNext/>
        <w:spacing w:after="0"/>
        <w:ind w:left="851"/>
        <w:rPr>
          <w:b/>
          <w:lang w:val="es-AR"/>
        </w:rPr>
      </w:pPr>
      <w:r w:rsidRPr="00FE07FE">
        <w:rPr>
          <w:b/>
          <w:lang w:val="es-AR"/>
        </w:rPr>
        <w:t>Tabla</w:t>
      </w:r>
    </w:p>
    <w:p w:rsidR="00C21DAA" w:rsidRPr="00FE07FE" w:rsidRDefault="00115B35" w:rsidP="00500FFB">
      <w:pPr>
        <w:pStyle w:val="SingleTxtG"/>
        <w:keepNext/>
        <w:ind w:left="851"/>
        <w:jc w:val="left"/>
        <w:rPr>
          <w:b/>
          <w:lang w:val="es-AR"/>
        </w:rPr>
      </w:pPr>
      <w:r w:rsidRPr="00FE07FE">
        <w:rPr>
          <w:b/>
          <w:lang w:val="es-AR"/>
        </w:rPr>
        <w:t xml:space="preserve">Asistencia a víctimas de trata. Casos atendidos en forma directa según </w:t>
      </w:r>
      <w:r w:rsidR="00D273CE">
        <w:rPr>
          <w:b/>
          <w:lang w:val="es-AR"/>
        </w:rPr>
        <w:br/>
      </w:r>
      <w:r w:rsidRPr="00FE07FE">
        <w:rPr>
          <w:b/>
          <w:lang w:val="es-AR"/>
        </w:rPr>
        <w:t>edad</w:t>
      </w:r>
      <w:r w:rsidR="00D273CE">
        <w:rPr>
          <w:b/>
          <w:lang w:val="es-AR"/>
        </w:rPr>
        <w:t xml:space="preserve">. </w:t>
      </w:r>
      <w:r w:rsidRPr="00FE07FE">
        <w:rPr>
          <w:b/>
          <w:lang w:val="es-AR"/>
        </w:rPr>
        <w:t>2015</w:t>
      </w:r>
    </w:p>
    <w:p w:rsidR="00C21DAA" w:rsidRPr="00FE07FE" w:rsidRDefault="00A45CE4">
      <w:pPr>
        <w:spacing w:line="360" w:lineRule="auto"/>
        <w:jc w:val="center"/>
      </w:pPr>
      <w:r w:rsidRPr="00D273CE">
        <w:rPr>
          <w:noProof/>
          <w:lang w:eastAsia="zh-CN"/>
        </w:rPr>
        <w:drawing>
          <wp:inline distT="0" distB="0" distL="0" distR="0" wp14:anchorId="53F5F721" wp14:editId="1E169D88">
            <wp:extent cx="5153025" cy="2676525"/>
            <wp:effectExtent l="0" t="0" r="0" b="0"/>
            <wp:docPr id="9" name="Obje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73CE" w:rsidRDefault="00115B35" w:rsidP="00500FFB">
      <w:pPr>
        <w:pStyle w:val="SingleTxtG"/>
        <w:spacing w:after="0"/>
        <w:ind w:left="851"/>
        <w:jc w:val="left"/>
        <w:rPr>
          <w:b/>
          <w:lang w:val="es-AR"/>
        </w:rPr>
      </w:pPr>
      <w:r w:rsidRPr="00FE07FE">
        <w:rPr>
          <w:b/>
          <w:lang w:val="es-AR"/>
        </w:rPr>
        <w:t>Tabla</w:t>
      </w:r>
    </w:p>
    <w:p w:rsidR="00C21DAA" w:rsidRPr="00FE07FE" w:rsidRDefault="00115B35" w:rsidP="00500FFB">
      <w:pPr>
        <w:pStyle w:val="SingleTxtG"/>
        <w:ind w:left="851"/>
        <w:jc w:val="left"/>
        <w:rPr>
          <w:noProof/>
          <w:lang w:val="en-GB" w:eastAsia="en-GB"/>
        </w:rPr>
      </w:pPr>
      <w:r w:rsidRPr="00FE07FE">
        <w:rPr>
          <w:b/>
          <w:lang w:val="es-AR"/>
        </w:rPr>
        <w:t>Asistencia a víctimas de trata. Casos atendidos en forma directa según género. 2015</w:t>
      </w:r>
    </w:p>
    <w:p w:rsidR="00C21DAA" w:rsidRPr="00FE07FE" w:rsidRDefault="00A45CE4" w:rsidP="00500FFB">
      <w:pPr>
        <w:pStyle w:val="SingleTxtG"/>
        <w:ind w:left="680" w:right="851"/>
        <w:jc w:val="center"/>
        <w:rPr>
          <w:b/>
          <w:lang w:val="es-AR"/>
        </w:rPr>
      </w:pPr>
      <w:r w:rsidRPr="00D273CE">
        <w:rPr>
          <w:noProof/>
          <w:lang w:eastAsia="zh-CN"/>
        </w:rPr>
        <w:drawing>
          <wp:inline distT="0" distB="0" distL="0" distR="0" wp14:anchorId="64A63D80" wp14:editId="58924232">
            <wp:extent cx="5362575" cy="2667000"/>
            <wp:effectExtent l="0" t="0" r="0" b="0"/>
            <wp:docPr id="7" name="Obje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21DAA" w:rsidRPr="00FE07FE" w:rsidRDefault="00115B35">
      <w:pPr>
        <w:pStyle w:val="H23G"/>
        <w:rPr>
          <w:lang w:eastAsia="en-US"/>
        </w:rPr>
      </w:pPr>
      <w:r w:rsidRPr="00FE07FE">
        <w:rPr>
          <w:lang w:eastAsia="en-US"/>
        </w:rPr>
        <w:tab/>
      </w:r>
      <w:r w:rsidRPr="00FE07FE">
        <w:rPr>
          <w:lang w:eastAsia="en-US"/>
        </w:rPr>
        <w:tab/>
        <w:t xml:space="preserve">Administración de la Justicia Juvenil </w:t>
      </w:r>
    </w:p>
    <w:p w:rsidR="00C21DAA" w:rsidRPr="00FE07FE" w:rsidRDefault="00115B35">
      <w:pPr>
        <w:pStyle w:val="H4G"/>
        <w:rPr>
          <w:lang w:eastAsia="en-US"/>
        </w:rPr>
      </w:pPr>
      <w:r w:rsidRPr="00FE07FE">
        <w:rPr>
          <w:lang w:eastAsia="en-US"/>
        </w:rPr>
        <w:tab/>
      </w:r>
      <w:r w:rsidRPr="00FE07FE">
        <w:rPr>
          <w:lang w:eastAsia="en-US"/>
        </w:rPr>
        <w:tab/>
        <w:t xml:space="preserve">Párrafo 80 </w:t>
      </w:r>
    </w:p>
    <w:p w:rsidR="00C21DAA" w:rsidRPr="00FE07FE" w:rsidRDefault="00FE07FE" w:rsidP="00500FFB">
      <w:pPr>
        <w:pStyle w:val="SingleTxtG"/>
        <w:rPr>
          <w:lang w:val="es-MX" w:eastAsia="en-US"/>
        </w:rPr>
      </w:pPr>
      <w:r w:rsidRPr="00500FFB">
        <w:rPr>
          <w:lang w:val="es-MX" w:eastAsia="en-US"/>
        </w:rPr>
        <w:t>227.</w:t>
      </w:r>
      <w:r w:rsidRPr="00500FFB">
        <w:rPr>
          <w:lang w:val="es-MX" w:eastAsia="en-US"/>
        </w:rPr>
        <w:tab/>
      </w:r>
      <w:r w:rsidR="00115B35" w:rsidRPr="00FE07FE">
        <w:rPr>
          <w:lang w:val="es-MX" w:eastAsia="en-US"/>
        </w:rPr>
        <w:t>El COFENAF se expidió en varias oportunidades sobre la necesidad de contar con una Ley Penal Juvenil acorde a la CDN, las Reglas de Beijín y de la Habana, las Directrices de Riad y las Observaciones Generales del Comité de Derechos del Niño de la ONU: “Hacia una mayor Calidad institucional de los dispositivos penales Juveniles”</w:t>
      </w:r>
      <w:r w:rsidR="00686E9E">
        <w:rPr>
          <w:lang w:val="es-MX" w:eastAsia="en-US"/>
        </w:rPr>
        <w:t xml:space="preserve"> </w:t>
      </w:r>
      <w:r w:rsidR="00115B35" w:rsidRPr="00FE07FE">
        <w:rPr>
          <w:lang w:val="es-MX" w:eastAsia="en-US"/>
        </w:rPr>
        <w:t>(2011); “Respecto de la inconstitucionalidad e inconvencionalidad de la aplicación y ejecución de las penas Privativas de Libertad perpetuas e materia de penal juvenil”</w:t>
      </w:r>
      <w:r w:rsidR="00686E9E">
        <w:rPr>
          <w:lang w:val="es-MX" w:eastAsia="en-US"/>
        </w:rPr>
        <w:t xml:space="preserve"> </w:t>
      </w:r>
      <w:r w:rsidR="00115B35" w:rsidRPr="00FE07FE">
        <w:rPr>
          <w:lang w:val="es-MX" w:eastAsia="en-US"/>
        </w:rPr>
        <w:t xml:space="preserve">(2013); “Por una ley penal juvenil acorde a los parámetros de las Reglas y Directrices </w:t>
      </w:r>
      <w:r w:rsidR="00115B35" w:rsidRPr="00FE07FE">
        <w:rPr>
          <w:lang w:val="es-MX" w:eastAsia="en-US"/>
        </w:rPr>
        <w:lastRenderedPageBreak/>
        <w:t>complementarias de la CDN”.</w:t>
      </w:r>
      <w:r w:rsidR="00686E9E">
        <w:rPr>
          <w:lang w:val="es-MX" w:eastAsia="en-US"/>
        </w:rPr>
        <w:t xml:space="preserve"> </w:t>
      </w:r>
      <w:r w:rsidR="00115B35" w:rsidRPr="00FE07FE">
        <w:rPr>
          <w:lang w:val="es-MX" w:eastAsia="en-US"/>
        </w:rPr>
        <w:t>(2014); y “Contenidos mínimos de una nueva Ley Penal Juvenil”.</w:t>
      </w:r>
      <w:r w:rsidR="00686E9E">
        <w:rPr>
          <w:lang w:val="es-MX" w:eastAsia="en-US"/>
        </w:rPr>
        <w:t xml:space="preserve"> </w:t>
      </w:r>
      <w:r w:rsidR="00115B35" w:rsidRPr="00FE07FE">
        <w:rPr>
          <w:lang w:val="es-MX" w:eastAsia="en-US"/>
        </w:rPr>
        <w:t xml:space="preserve">(2016). </w:t>
      </w:r>
    </w:p>
    <w:p w:rsidR="00C21DAA" w:rsidRPr="00FE07FE" w:rsidRDefault="00FE07FE" w:rsidP="00500FFB">
      <w:pPr>
        <w:pStyle w:val="SingleTxtG"/>
        <w:rPr>
          <w:lang w:val="es-MX" w:eastAsia="en-US"/>
        </w:rPr>
      </w:pPr>
      <w:r w:rsidRPr="00500FFB">
        <w:rPr>
          <w:lang w:val="es-MX" w:eastAsia="en-US"/>
        </w:rPr>
        <w:t>228.</w:t>
      </w:r>
      <w:r w:rsidRPr="00500FFB">
        <w:rPr>
          <w:lang w:val="es-MX" w:eastAsia="en-US"/>
        </w:rPr>
        <w:tab/>
      </w:r>
      <w:r w:rsidR="00115B35" w:rsidRPr="00FE07FE">
        <w:rPr>
          <w:lang w:val="es-MX" w:eastAsia="en-US"/>
        </w:rPr>
        <w:t xml:space="preserve">Los impactos de la aplicación la </w:t>
      </w:r>
      <w:r w:rsidR="001C4899">
        <w:rPr>
          <w:lang w:val="es-MX" w:eastAsia="en-US"/>
        </w:rPr>
        <w:t>L</w:t>
      </w:r>
      <w:r w:rsidR="00115B35" w:rsidRPr="00FE07FE">
        <w:rPr>
          <w:lang w:val="es-MX" w:eastAsia="en-US"/>
        </w:rPr>
        <w:t xml:space="preserve">ey </w:t>
      </w:r>
      <w:r w:rsidR="001C4899">
        <w:rPr>
          <w:lang w:val="es-MX" w:eastAsia="en-US"/>
        </w:rPr>
        <w:t xml:space="preserve">núm. </w:t>
      </w:r>
      <w:r w:rsidR="00115B35" w:rsidRPr="00FE07FE">
        <w:rPr>
          <w:lang w:val="es-MX" w:eastAsia="en-US"/>
        </w:rPr>
        <w:t>26061 en el actual sistema penal juvenil, produjo los siguientes resultados: la población penal juvenil en 2015 fue de 3908 adolescentes en todo el territorio nacional, (0</w:t>
      </w:r>
      <w:r w:rsidR="001D5DDE">
        <w:rPr>
          <w:lang w:val="es-MX" w:eastAsia="en-US"/>
        </w:rPr>
        <w:t>,</w:t>
      </w:r>
      <w:r w:rsidR="00115B35" w:rsidRPr="00FE07FE">
        <w:rPr>
          <w:lang w:val="es-MX" w:eastAsia="en-US"/>
        </w:rPr>
        <w:t>14% del total de la población de 14 a 17 años), siendo 412 menores de 16 años y 3496 de 16 y 17 años. Los mismos fueron alojados en 118 dispositivos diferenciados en 31 residencias socioeducativas (26,3% del total de los dispositivos); 26 programas de supervisión y monitoreo (22%</w:t>
      </w:r>
      <w:r w:rsidR="001D5DDE">
        <w:rPr>
          <w:lang w:val="es-MX" w:eastAsia="en-US"/>
        </w:rPr>
        <w:t xml:space="preserve"> </w:t>
      </w:r>
      <w:r w:rsidR="00115B35" w:rsidRPr="00FE07FE">
        <w:rPr>
          <w:lang w:val="es-MX" w:eastAsia="en-US"/>
        </w:rPr>
        <w:t>de los mismos) y 61 dispositivos de privación de libertad (51,7%). En cuanto a la defensa técnica, es menester informar que en los programas de supervisión en territorio, el 97</w:t>
      </w:r>
      <w:r w:rsidR="001C4899">
        <w:rPr>
          <w:lang w:val="es-MX" w:eastAsia="en-US"/>
        </w:rPr>
        <w:t>,</w:t>
      </w:r>
      <w:r w:rsidR="00115B35" w:rsidRPr="00FE07FE">
        <w:rPr>
          <w:lang w:val="es-MX" w:eastAsia="en-US"/>
        </w:rPr>
        <w:t>6% cuenta con defensa oficial, mientras que en establecimientos de restricción de libertad el 92</w:t>
      </w:r>
      <w:r w:rsidR="001C4899">
        <w:rPr>
          <w:lang w:val="es-MX" w:eastAsia="en-US"/>
        </w:rPr>
        <w:t>,</w:t>
      </w:r>
      <w:r w:rsidR="00115B35" w:rsidRPr="00FE07FE">
        <w:rPr>
          <w:lang w:val="es-MX" w:eastAsia="en-US"/>
        </w:rPr>
        <w:t>4% de los adolescentes cuenta con defensa oficial y en los establecimientos de privación de libertad, el 90</w:t>
      </w:r>
      <w:r w:rsidR="001C4899">
        <w:rPr>
          <w:lang w:val="es-MX" w:eastAsia="en-US"/>
        </w:rPr>
        <w:t>,</w:t>
      </w:r>
      <w:r w:rsidR="00115B35" w:rsidRPr="00FE07FE">
        <w:rPr>
          <w:lang w:val="es-MX" w:eastAsia="en-US"/>
        </w:rPr>
        <w:t>6 % de los adolescentes alojados cuentan con defensa oficial. En suma, el 96</w:t>
      </w:r>
      <w:r w:rsidR="001C4899">
        <w:rPr>
          <w:lang w:val="es-MX" w:eastAsia="en-US"/>
        </w:rPr>
        <w:t>,</w:t>
      </w:r>
      <w:r w:rsidR="00115B35" w:rsidRPr="00FE07FE">
        <w:rPr>
          <w:lang w:val="es-MX" w:eastAsia="en-US"/>
        </w:rPr>
        <w:t>19% cuentan con defensa técnica oficial.</w:t>
      </w:r>
    </w:p>
    <w:tbl>
      <w:tblPr>
        <w:tblW w:w="7470" w:type="dxa"/>
        <w:tblInd w:w="1134" w:type="dxa"/>
        <w:tblBorders>
          <w:top w:val="single" w:sz="4" w:space="0" w:color="auto"/>
        </w:tblBorders>
        <w:tblCellMar>
          <w:left w:w="0" w:type="dxa"/>
          <w:right w:w="0" w:type="dxa"/>
        </w:tblCellMar>
        <w:tblLook w:val="04A0" w:firstRow="1" w:lastRow="0" w:firstColumn="1" w:lastColumn="0" w:noHBand="0" w:noVBand="1"/>
      </w:tblPr>
      <w:tblGrid>
        <w:gridCol w:w="1900"/>
        <w:gridCol w:w="1676"/>
        <w:gridCol w:w="1163"/>
        <w:gridCol w:w="1910"/>
        <w:gridCol w:w="901"/>
      </w:tblGrid>
      <w:tr w:rsidR="00D273CE" w:rsidRPr="00D273CE" w:rsidTr="00500FFB">
        <w:trPr>
          <w:trHeight w:val="240"/>
          <w:tblHeader/>
        </w:trPr>
        <w:tc>
          <w:tcPr>
            <w:tcW w:w="7470" w:type="dxa"/>
            <w:gridSpan w:val="5"/>
            <w:tcBorders>
              <w:top w:val="single" w:sz="4" w:space="0" w:color="auto"/>
              <w:bottom w:val="single" w:sz="4" w:space="0" w:color="auto"/>
            </w:tcBorders>
            <w:shd w:val="clear" w:color="auto" w:fill="auto"/>
            <w:vAlign w:val="bottom"/>
            <w:hideMark/>
          </w:tcPr>
          <w:p w:rsidR="00C21DAA" w:rsidRPr="00D273CE" w:rsidRDefault="00115B35" w:rsidP="00500FFB">
            <w:pPr>
              <w:spacing w:before="80" w:after="80" w:line="200" w:lineRule="exact"/>
              <w:jc w:val="center"/>
              <w:rPr>
                <w:bCs/>
                <w:i/>
                <w:sz w:val="16"/>
                <w:lang w:val="es-AR"/>
              </w:rPr>
            </w:pPr>
            <w:r w:rsidRPr="00D273CE">
              <w:rPr>
                <w:bCs/>
                <w:i/>
                <w:sz w:val="16"/>
                <w:lang w:val="es-AR"/>
              </w:rPr>
              <w:t xml:space="preserve">Tiempo de permanencia de adolescentes incluidos en dispositivos penales juveniles </w:t>
            </w:r>
            <w:r w:rsidR="00542A88">
              <w:rPr>
                <w:bCs/>
                <w:i/>
                <w:sz w:val="16"/>
                <w:lang w:val="es-AR"/>
              </w:rPr>
              <w:br/>
            </w:r>
            <w:r w:rsidRPr="00D273CE">
              <w:rPr>
                <w:bCs/>
                <w:i/>
                <w:sz w:val="16"/>
                <w:lang w:val="es-AR"/>
              </w:rPr>
              <w:t xml:space="preserve">según modalidad año 2015 </w:t>
            </w:r>
            <w:r w:rsidR="00542A88">
              <w:rPr>
                <w:bCs/>
                <w:i/>
                <w:sz w:val="16"/>
                <w:lang w:val="es-AR"/>
              </w:rPr>
              <w:t>–</w:t>
            </w:r>
            <w:r w:rsidRPr="00D273CE">
              <w:rPr>
                <w:bCs/>
                <w:i/>
                <w:sz w:val="16"/>
                <w:lang w:val="es-AR"/>
              </w:rPr>
              <w:t xml:space="preserve"> Datos provisorios</w:t>
            </w:r>
          </w:p>
        </w:tc>
      </w:tr>
      <w:tr w:rsidR="00542A88" w:rsidRPr="00D273CE" w:rsidTr="00500FFB">
        <w:trPr>
          <w:trHeight w:val="240"/>
        </w:trPr>
        <w:tc>
          <w:tcPr>
            <w:tcW w:w="1884"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rPr>
                <w:bCs/>
                <w:i/>
                <w:sz w:val="16"/>
                <w:lang w:val="es-AR"/>
              </w:rPr>
            </w:pPr>
            <w:r w:rsidRPr="00500FFB">
              <w:rPr>
                <w:bCs/>
                <w:i/>
                <w:sz w:val="16"/>
                <w:lang w:val="es-AR"/>
              </w:rPr>
              <w:t xml:space="preserve">Tiempo de permanencia </w:t>
            </w:r>
          </w:p>
        </w:tc>
        <w:tc>
          <w:tcPr>
            <w:tcW w:w="1660"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jc w:val="right"/>
              <w:rPr>
                <w:bCs/>
                <w:i/>
                <w:sz w:val="16"/>
                <w:lang w:val="es-AR"/>
              </w:rPr>
            </w:pPr>
            <w:r w:rsidRPr="00500FFB">
              <w:rPr>
                <w:bCs/>
                <w:i/>
                <w:sz w:val="16"/>
                <w:lang w:val="es-AR"/>
              </w:rPr>
              <w:t>Centros socioeducativos de r</w:t>
            </w:r>
            <w:r w:rsidR="00542A88">
              <w:rPr>
                <w:bCs/>
                <w:i/>
                <w:sz w:val="16"/>
                <w:lang w:val="es-AR"/>
              </w:rPr>
              <w:t>é</w:t>
            </w:r>
            <w:r w:rsidRPr="00500FFB">
              <w:rPr>
                <w:bCs/>
                <w:i/>
                <w:sz w:val="16"/>
                <w:lang w:val="es-AR"/>
              </w:rPr>
              <w:t>gimen cerrado</w:t>
            </w:r>
          </w:p>
        </w:tc>
        <w:tc>
          <w:tcPr>
            <w:tcW w:w="1147"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jc w:val="right"/>
              <w:rPr>
                <w:bCs/>
                <w:i/>
                <w:sz w:val="16"/>
                <w:lang w:val="es-AR"/>
              </w:rPr>
            </w:pPr>
            <w:r w:rsidRPr="00500FFB">
              <w:rPr>
                <w:bCs/>
                <w:i/>
                <w:sz w:val="16"/>
                <w:lang w:val="es-AR"/>
              </w:rPr>
              <w:t>Residencias socioeducativas</w:t>
            </w:r>
          </w:p>
        </w:tc>
        <w:tc>
          <w:tcPr>
            <w:tcW w:w="1894"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jc w:val="right"/>
              <w:rPr>
                <w:bCs/>
                <w:i/>
                <w:sz w:val="16"/>
                <w:lang w:val="es-AR"/>
              </w:rPr>
            </w:pPr>
            <w:r w:rsidRPr="00500FFB">
              <w:rPr>
                <w:bCs/>
                <w:i/>
                <w:sz w:val="16"/>
                <w:lang w:val="es-AR"/>
              </w:rPr>
              <w:t>Programas de supervisi</w:t>
            </w:r>
            <w:r w:rsidR="00542A88">
              <w:rPr>
                <w:bCs/>
                <w:i/>
                <w:sz w:val="16"/>
                <w:lang w:val="es-AR"/>
              </w:rPr>
              <w:t>ó</w:t>
            </w:r>
            <w:r w:rsidRPr="00500FFB">
              <w:rPr>
                <w:bCs/>
                <w:i/>
                <w:sz w:val="16"/>
                <w:lang w:val="es-AR"/>
              </w:rPr>
              <w:t>n y monitoreo en territorio</w:t>
            </w:r>
          </w:p>
        </w:tc>
        <w:tc>
          <w:tcPr>
            <w:tcW w:w="885" w:type="dxa"/>
            <w:tcBorders>
              <w:top w:val="single" w:sz="4" w:space="0" w:color="auto"/>
              <w:bottom w:val="single" w:sz="12" w:space="0" w:color="auto"/>
            </w:tcBorders>
            <w:shd w:val="clear" w:color="auto" w:fill="auto"/>
            <w:vAlign w:val="bottom"/>
            <w:hideMark/>
          </w:tcPr>
          <w:p w:rsidR="00C21DAA" w:rsidRPr="00500FFB" w:rsidRDefault="00115B35" w:rsidP="00500FFB">
            <w:pPr>
              <w:spacing w:before="80" w:after="80" w:line="200" w:lineRule="exact"/>
              <w:jc w:val="right"/>
              <w:rPr>
                <w:bCs/>
                <w:i/>
                <w:sz w:val="16"/>
                <w:lang w:val="es-AR"/>
              </w:rPr>
            </w:pPr>
            <w:r w:rsidRPr="00500FFB">
              <w:rPr>
                <w:bCs/>
                <w:i/>
                <w:sz w:val="16"/>
                <w:lang w:val="es-AR"/>
              </w:rPr>
              <w:t>Total</w:t>
            </w:r>
          </w:p>
        </w:tc>
      </w:tr>
      <w:tr w:rsidR="00542A88" w:rsidRPr="00D273CE" w:rsidTr="00500FFB">
        <w:trPr>
          <w:trHeight w:val="240"/>
        </w:trPr>
        <w:tc>
          <w:tcPr>
            <w:tcW w:w="1884" w:type="dxa"/>
            <w:tcBorders>
              <w:top w:val="single" w:sz="12" w:space="0" w:color="auto"/>
            </w:tcBorders>
            <w:shd w:val="clear" w:color="auto" w:fill="auto"/>
            <w:noWrap/>
            <w:hideMark/>
          </w:tcPr>
          <w:p w:rsidR="00C21DAA" w:rsidRPr="00D273CE" w:rsidRDefault="00115B35">
            <w:pPr>
              <w:spacing w:before="40" w:after="40" w:line="220" w:lineRule="exact"/>
              <w:rPr>
                <w:sz w:val="18"/>
              </w:rPr>
            </w:pPr>
            <w:r w:rsidRPr="00D273CE">
              <w:rPr>
                <w:sz w:val="18"/>
              </w:rPr>
              <w:t>Hasta 30 días</w:t>
            </w:r>
          </w:p>
        </w:tc>
        <w:tc>
          <w:tcPr>
            <w:tcW w:w="1660" w:type="dxa"/>
            <w:tcBorders>
              <w:top w:val="single" w:sz="12" w:space="0" w:color="auto"/>
            </w:tcBorders>
            <w:shd w:val="clear" w:color="auto" w:fill="auto"/>
            <w:noWrap/>
            <w:hideMark/>
          </w:tcPr>
          <w:p w:rsidR="00C21DAA" w:rsidRPr="00D273CE" w:rsidRDefault="00115B35" w:rsidP="00500FFB">
            <w:pPr>
              <w:spacing w:before="40" w:after="40" w:line="220" w:lineRule="exact"/>
              <w:jc w:val="right"/>
              <w:rPr>
                <w:sz w:val="18"/>
              </w:rPr>
            </w:pPr>
            <w:r w:rsidRPr="00D273CE">
              <w:rPr>
                <w:sz w:val="18"/>
              </w:rPr>
              <w:t>23,4</w:t>
            </w:r>
          </w:p>
        </w:tc>
        <w:tc>
          <w:tcPr>
            <w:tcW w:w="1147" w:type="dxa"/>
            <w:tcBorders>
              <w:top w:val="single" w:sz="12" w:space="0" w:color="auto"/>
            </w:tcBorders>
            <w:shd w:val="clear" w:color="auto" w:fill="auto"/>
            <w:noWrap/>
            <w:hideMark/>
          </w:tcPr>
          <w:p w:rsidR="00C21DAA" w:rsidRPr="00D273CE" w:rsidRDefault="00115B35" w:rsidP="00500FFB">
            <w:pPr>
              <w:spacing w:before="40" w:after="40" w:line="220" w:lineRule="exact"/>
              <w:jc w:val="right"/>
              <w:rPr>
                <w:sz w:val="18"/>
              </w:rPr>
            </w:pPr>
            <w:r w:rsidRPr="00D273CE">
              <w:rPr>
                <w:sz w:val="18"/>
              </w:rPr>
              <w:t>34,3</w:t>
            </w:r>
          </w:p>
        </w:tc>
        <w:tc>
          <w:tcPr>
            <w:tcW w:w="1894" w:type="dxa"/>
            <w:tcBorders>
              <w:top w:val="single" w:sz="12" w:space="0" w:color="auto"/>
            </w:tcBorders>
            <w:shd w:val="clear" w:color="auto" w:fill="auto"/>
            <w:noWrap/>
            <w:hideMark/>
          </w:tcPr>
          <w:p w:rsidR="00C21DAA" w:rsidRPr="00D273CE" w:rsidRDefault="00115B35" w:rsidP="00500FFB">
            <w:pPr>
              <w:spacing w:before="40" w:after="40" w:line="220" w:lineRule="exact"/>
              <w:jc w:val="right"/>
              <w:rPr>
                <w:sz w:val="18"/>
              </w:rPr>
            </w:pPr>
            <w:r w:rsidRPr="00D273CE">
              <w:rPr>
                <w:sz w:val="18"/>
              </w:rPr>
              <w:t>6,4</w:t>
            </w:r>
          </w:p>
        </w:tc>
        <w:tc>
          <w:tcPr>
            <w:tcW w:w="885" w:type="dxa"/>
            <w:tcBorders>
              <w:top w:val="single" w:sz="12" w:space="0" w:color="auto"/>
            </w:tcBorders>
            <w:shd w:val="clear" w:color="auto" w:fill="auto"/>
            <w:noWrap/>
            <w:hideMark/>
          </w:tcPr>
          <w:p w:rsidR="00C21DAA" w:rsidRPr="00D273CE" w:rsidRDefault="00115B35" w:rsidP="00500FFB">
            <w:pPr>
              <w:spacing w:before="40" w:after="40" w:line="220" w:lineRule="exact"/>
              <w:jc w:val="right"/>
              <w:rPr>
                <w:sz w:val="18"/>
              </w:rPr>
            </w:pPr>
            <w:r w:rsidRPr="00D273CE">
              <w:rPr>
                <w:sz w:val="18"/>
              </w:rPr>
              <w:t>10,2</w:t>
            </w:r>
          </w:p>
        </w:tc>
      </w:tr>
      <w:tr w:rsidR="00542A88" w:rsidRPr="00D273CE" w:rsidTr="00500FFB">
        <w:trPr>
          <w:trHeight w:val="240"/>
        </w:trPr>
        <w:tc>
          <w:tcPr>
            <w:tcW w:w="1884" w:type="dxa"/>
            <w:shd w:val="clear" w:color="auto" w:fill="auto"/>
            <w:noWrap/>
            <w:hideMark/>
          </w:tcPr>
          <w:p w:rsidR="00C21DAA" w:rsidRPr="00D273CE" w:rsidRDefault="00115B35">
            <w:pPr>
              <w:spacing w:before="40" w:after="40" w:line="220" w:lineRule="exact"/>
              <w:rPr>
                <w:sz w:val="18"/>
              </w:rPr>
            </w:pPr>
            <w:r w:rsidRPr="00D273CE">
              <w:rPr>
                <w:sz w:val="18"/>
              </w:rPr>
              <w:t>Entre 1 y 4 meses</w:t>
            </w:r>
          </w:p>
        </w:tc>
        <w:tc>
          <w:tcPr>
            <w:tcW w:w="1660"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37,6</w:t>
            </w:r>
          </w:p>
        </w:tc>
        <w:tc>
          <w:tcPr>
            <w:tcW w:w="1147"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35,5</w:t>
            </w:r>
          </w:p>
        </w:tc>
        <w:tc>
          <w:tcPr>
            <w:tcW w:w="1894"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15,6</w:t>
            </w:r>
          </w:p>
        </w:tc>
        <w:tc>
          <w:tcPr>
            <w:tcW w:w="885"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20,2</w:t>
            </w:r>
          </w:p>
        </w:tc>
      </w:tr>
      <w:tr w:rsidR="00542A88" w:rsidRPr="00D273CE" w:rsidTr="00500FFB">
        <w:trPr>
          <w:trHeight w:val="240"/>
        </w:trPr>
        <w:tc>
          <w:tcPr>
            <w:tcW w:w="1884" w:type="dxa"/>
            <w:shd w:val="clear" w:color="auto" w:fill="auto"/>
            <w:noWrap/>
            <w:hideMark/>
          </w:tcPr>
          <w:p w:rsidR="00C21DAA" w:rsidRPr="00D273CE" w:rsidRDefault="00115B35">
            <w:pPr>
              <w:spacing w:before="40" w:after="40" w:line="220" w:lineRule="exact"/>
              <w:rPr>
                <w:sz w:val="18"/>
              </w:rPr>
            </w:pPr>
            <w:r w:rsidRPr="00D273CE">
              <w:rPr>
                <w:sz w:val="18"/>
              </w:rPr>
              <w:t>entre 4 y 6 meses</w:t>
            </w:r>
          </w:p>
        </w:tc>
        <w:tc>
          <w:tcPr>
            <w:tcW w:w="1660"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11,7</w:t>
            </w:r>
          </w:p>
        </w:tc>
        <w:tc>
          <w:tcPr>
            <w:tcW w:w="1147"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9,3</w:t>
            </w:r>
          </w:p>
        </w:tc>
        <w:tc>
          <w:tcPr>
            <w:tcW w:w="1894"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12,2</w:t>
            </w:r>
          </w:p>
        </w:tc>
        <w:tc>
          <w:tcPr>
            <w:tcW w:w="885"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12</w:t>
            </w:r>
          </w:p>
        </w:tc>
      </w:tr>
      <w:tr w:rsidR="00542A88" w:rsidRPr="00D273CE" w:rsidTr="00500FFB">
        <w:trPr>
          <w:trHeight w:val="240"/>
        </w:trPr>
        <w:tc>
          <w:tcPr>
            <w:tcW w:w="1884" w:type="dxa"/>
            <w:shd w:val="clear" w:color="auto" w:fill="auto"/>
            <w:noWrap/>
            <w:hideMark/>
          </w:tcPr>
          <w:p w:rsidR="00C21DAA" w:rsidRPr="00D273CE" w:rsidRDefault="00115B35">
            <w:pPr>
              <w:spacing w:before="40" w:after="40" w:line="220" w:lineRule="exact"/>
              <w:rPr>
                <w:sz w:val="18"/>
              </w:rPr>
            </w:pPr>
            <w:r w:rsidRPr="00D273CE">
              <w:rPr>
                <w:sz w:val="18"/>
              </w:rPr>
              <w:t>Entre 7 meses y 1 año</w:t>
            </w:r>
          </w:p>
        </w:tc>
        <w:tc>
          <w:tcPr>
            <w:tcW w:w="1660"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16,8</w:t>
            </w:r>
          </w:p>
        </w:tc>
        <w:tc>
          <w:tcPr>
            <w:tcW w:w="1147"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10,5</w:t>
            </w:r>
          </w:p>
        </w:tc>
        <w:tc>
          <w:tcPr>
            <w:tcW w:w="1894"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32</w:t>
            </w:r>
          </w:p>
        </w:tc>
        <w:tc>
          <w:tcPr>
            <w:tcW w:w="885"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28,7</w:t>
            </w:r>
          </w:p>
        </w:tc>
      </w:tr>
      <w:tr w:rsidR="00542A88" w:rsidRPr="00D273CE" w:rsidTr="00500FFB">
        <w:trPr>
          <w:trHeight w:val="240"/>
        </w:trPr>
        <w:tc>
          <w:tcPr>
            <w:tcW w:w="1884" w:type="dxa"/>
            <w:shd w:val="clear" w:color="auto" w:fill="auto"/>
            <w:noWrap/>
            <w:hideMark/>
          </w:tcPr>
          <w:p w:rsidR="00C21DAA" w:rsidRPr="00D273CE" w:rsidRDefault="00115B35">
            <w:pPr>
              <w:spacing w:before="40" w:after="40" w:line="220" w:lineRule="exact"/>
              <w:rPr>
                <w:sz w:val="18"/>
              </w:rPr>
            </w:pPr>
            <w:r w:rsidRPr="00D273CE">
              <w:rPr>
                <w:sz w:val="18"/>
              </w:rPr>
              <w:t>Entre 1 y 2 años</w:t>
            </w:r>
          </w:p>
        </w:tc>
        <w:tc>
          <w:tcPr>
            <w:tcW w:w="1660"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7,3</w:t>
            </w:r>
          </w:p>
        </w:tc>
        <w:tc>
          <w:tcPr>
            <w:tcW w:w="1147"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8,1</w:t>
            </w:r>
          </w:p>
        </w:tc>
        <w:tc>
          <w:tcPr>
            <w:tcW w:w="1894"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24,5</w:t>
            </w:r>
          </w:p>
        </w:tc>
        <w:tc>
          <w:tcPr>
            <w:tcW w:w="885"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20,9</w:t>
            </w:r>
          </w:p>
        </w:tc>
      </w:tr>
      <w:tr w:rsidR="00542A88" w:rsidRPr="00D273CE" w:rsidTr="00500FFB">
        <w:trPr>
          <w:trHeight w:val="240"/>
        </w:trPr>
        <w:tc>
          <w:tcPr>
            <w:tcW w:w="1884" w:type="dxa"/>
            <w:shd w:val="clear" w:color="auto" w:fill="auto"/>
            <w:noWrap/>
            <w:hideMark/>
          </w:tcPr>
          <w:p w:rsidR="00C21DAA" w:rsidRPr="00D273CE" w:rsidRDefault="00115B35">
            <w:pPr>
              <w:spacing w:before="40" w:after="40" w:line="220" w:lineRule="exact"/>
              <w:rPr>
                <w:sz w:val="18"/>
              </w:rPr>
            </w:pPr>
            <w:r w:rsidRPr="00D273CE">
              <w:rPr>
                <w:sz w:val="18"/>
              </w:rPr>
              <w:t>Más de 2 años</w:t>
            </w:r>
          </w:p>
        </w:tc>
        <w:tc>
          <w:tcPr>
            <w:tcW w:w="1660"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2,8</w:t>
            </w:r>
          </w:p>
        </w:tc>
        <w:tc>
          <w:tcPr>
            <w:tcW w:w="1147"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2,3</w:t>
            </w:r>
          </w:p>
        </w:tc>
        <w:tc>
          <w:tcPr>
            <w:tcW w:w="1894"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8,6</w:t>
            </w:r>
          </w:p>
        </w:tc>
        <w:tc>
          <w:tcPr>
            <w:tcW w:w="885" w:type="dxa"/>
            <w:shd w:val="clear" w:color="auto" w:fill="auto"/>
            <w:noWrap/>
            <w:hideMark/>
          </w:tcPr>
          <w:p w:rsidR="00C21DAA" w:rsidRPr="00D273CE" w:rsidRDefault="00115B35" w:rsidP="00500FFB">
            <w:pPr>
              <w:spacing w:before="40" w:after="40" w:line="220" w:lineRule="exact"/>
              <w:jc w:val="right"/>
              <w:rPr>
                <w:sz w:val="18"/>
              </w:rPr>
            </w:pPr>
            <w:r w:rsidRPr="00D273CE">
              <w:rPr>
                <w:sz w:val="18"/>
              </w:rPr>
              <w:t>7,4</w:t>
            </w:r>
          </w:p>
        </w:tc>
      </w:tr>
      <w:tr w:rsidR="00542A88" w:rsidRPr="00D273CE" w:rsidTr="00542A88">
        <w:trPr>
          <w:trHeight w:val="240"/>
        </w:trPr>
        <w:tc>
          <w:tcPr>
            <w:tcW w:w="1884" w:type="dxa"/>
            <w:tcBorders>
              <w:bottom w:val="single" w:sz="4" w:space="0" w:color="auto"/>
            </w:tcBorders>
            <w:shd w:val="clear" w:color="auto" w:fill="auto"/>
            <w:noWrap/>
            <w:hideMark/>
          </w:tcPr>
          <w:p w:rsidR="00C21DAA" w:rsidRPr="00D273CE" w:rsidRDefault="00115B35">
            <w:pPr>
              <w:spacing w:before="40" w:after="40" w:line="220" w:lineRule="exact"/>
              <w:rPr>
                <w:sz w:val="18"/>
              </w:rPr>
            </w:pPr>
            <w:r w:rsidRPr="00D273CE">
              <w:rPr>
                <w:sz w:val="18"/>
              </w:rPr>
              <w:t>Sin datos</w:t>
            </w:r>
          </w:p>
        </w:tc>
        <w:tc>
          <w:tcPr>
            <w:tcW w:w="1660" w:type="dxa"/>
            <w:tcBorders>
              <w:bottom w:val="single" w:sz="4" w:space="0" w:color="auto"/>
            </w:tcBorders>
            <w:shd w:val="clear" w:color="auto" w:fill="auto"/>
            <w:noWrap/>
            <w:hideMark/>
          </w:tcPr>
          <w:p w:rsidR="00C21DAA" w:rsidRPr="00D273CE" w:rsidRDefault="00115B35" w:rsidP="00500FFB">
            <w:pPr>
              <w:spacing w:before="40" w:after="40" w:line="220" w:lineRule="exact"/>
              <w:jc w:val="right"/>
              <w:rPr>
                <w:sz w:val="18"/>
              </w:rPr>
            </w:pPr>
            <w:r w:rsidRPr="00D273CE">
              <w:rPr>
                <w:sz w:val="18"/>
              </w:rPr>
              <w:t>0,3</w:t>
            </w:r>
          </w:p>
        </w:tc>
        <w:tc>
          <w:tcPr>
            <w:tcW w:w="1147" w:type="dxa"/>
            <w:tcBorders>
              <w:bottom w:val="single" w:sz="4" w:space="0" w:color="auto"/>
            </w:tcBorders>
            <w:shd w:val="clear" w:color="auto" w:fill="auto"/>
            <w:noWrap/>
            <w:hideMark/>
          </w:tcPr>
          <w:p w:rsidR="00C21DAA" w:rsidRPr="00D273CE" w:rsidRDefault="00115B35" w:rsidP="00500FFB">
            <w:pPr>
              <w:spacing w:before="40" w:after="40" w:line="220" w:lineRule="exact"/>
              <w:jc w:val="right"/>
              <w:rPr>
                <w:sz w:val="18"/>
              </w:rPr>
            </w:pPr>
            <w:r w:rsidRPr="00D273CE">
              <w:rPr>
                <w:sz w:val="18"/>
              </w:rPr>
              <w:t>-</w:t>
            </w:r>
          </w:p>
        </w:tc>
        <w:tc>
          <w:tcPr>
            <w:tcW w:w="1894" w:type="dxa"/>
            <w:tcBorders>
              <w:bottom w:val="single" w:sz="4" w:space="0" w:color="auto"/>
            </w:tcBorders>
            <w:shd w:val="clear" w:color="auto" w:fill="auto"/>
            <w:noWrap/>
            <w:hideMark/>
          </w:tcPr>
          <w:p w:rsidR="00C21DAA" w:rsidRPr="00D273CE" w:rsidRDefault="00115B35" w:rsidP="00500FFB">
            <w:pPr>
              <w:spacing w:before="40" w:after="40" w:line="220" w:lineRule="exact"/>
              <w:jc w:val="right"/>
              <w:rPr>
                <w:sz w:val="18"/>
              </w:rPr>
            </w:pPr>
            <w:r w:rsidRPr="00D273CE">
              <w:rPr>
                <w:sz w:val="18"/>
              </w:rPr>
              <w:t>0,8</w:t>
            </w:r>
          </w:p>
        </w:tc>
        <w:tc>
          <w:tcPr>
            <w:tcW w:w="885" w:type="dxa"/>
            <w:tcBorders>
              <w:bottom w:val="single" w:sz="4" w:space="0" w:color="auto"/>
            </w:tcBorders>
            <w:shd w:val="clear" w:color="auto" w:fill="auto"/>
            <w:noWrap/>
            <w:hideMark/>
          </w:tcPr>
          <w:p w:rsidR="00C21DAA" w:rsidRPr="00D273CE" w:rsidRDefault="00115B35" w:rsidP="00500FFB">
            <w:pPr>
              <w:spacing w:before="40" w:after="40" w:line="220" w:lineRule="exact"/>
              <w:jc w:val="right"/>
              <w:rPr>
                <w:sz w:val="18"/>
              </w:rPr>
            </w:pPr>
            <w:r w:rsidRPr="00D273CE">
              <w:rPr>
                <w:sz w:val="18"/>
              </w:rPr>
              <w:t>0,7</w:t>
            </w:r>
          </w:p>
        </w:tc>
      </w:tr>
      <w:tr w:rsidR="00542A88" w:rsidRPr="00542A88" w:rsidTr="00542A88">
        <w:trPr>
          <w:trHeight w:val="240"/>
        </w:trPr>
        <w:tc>
          <w:tcPr>
            <w:tcW w:w="1884" w:type="dxa"/>
            <w:tcBorders>
              <w:top w:val="single" w:sz="4" w:space="0" w:color="auto"/>
              <w:bottom w:val="single" w:sz="12" w:space="0" w:color="auto"/>
            </w:tcBorders>
            <w:shd w:val="clear" w:color="auto" w:fill="auto"/>
            <w:noWrap/>
            <w:hideMark/>
          </w:tcPr>
          <w:p w:rsidR="00C21DAA" w:rsidRPr="00500FFB" w:rsidRDefault="00115B35" w:rsidP="00500FFB">
            <w:pPr>
              <w:spacing w:before="80" w:after="80" w:line="220" w:lineRule="exact"/>
              <w:ind w:left="284"/>
              <w:rPr>
                <w:b/>
                <w:sz w:val="18"/>
              </w:rPr>
            </w:pPr>
            <w:r w:rsidRPr="00500FFB">
              <w:rPr>
                <w:b/>
                <w:sz w:val="18"/>
              </w:rPr>
              <w:t>Total</w:t>
            </w:r>
          </w:p>
        </w:tc>
        <w:tc>
          <w:tcPr>
            <w:tcW w:w="1660" w:type="dxa"/>
            <w:tcBorders>
              <w:top w:val="single" w:sz="4" w:space="0" w:color="auto"/>
              <w:bottom w:val="single" w:sz="12" w:space="0" w:color="auto"/>
            </w:tcBorders>
            <w:shd w:val="clear" w:color="auto" w:fill="auto"/>
            <w:noWrap/>
            <w:hideMark/>
          </w:tcPr>
          <w:p w:rsidR="00C21DAA" w:rsidRPr="00500FFB" w:rsidRDefault="00115B35" w:rsidP="00500FFB">
            <w:pPr>
              <w:spacing w:before="80" w:after="80" w:line="220" w:lineRule="exact"/>
              <w:jc w:val="right"/>
              <w:rPr>
                <w:b/>
                <w:sz w:val="18"/>
              </w:rPr>
            </w:pPr>
            <w:r w:rsidRPr="00500FFB">
              <w:rPr>
                <w:b/>
                <w:sz w:val="18"/>
              </w:rPr>
              <w:t>100</w:t>
            </w:r>
          </w:p>
        </w:tc>
        <w:tc>
          <w:tcPr>
            <w:tcW w:w="1147" w:type="dxa"/>
            <w:tcBorders>
              <w:top w:val="single" w:sz="4" w:space="0" w:color="auto"/>
              <w:bottom w:val="single" w:sz="12" w:space="0" w:color="auto"/>
            </w:tcBorders>
            <w:shd w:val="clear" w:color="auto" w:fill="auto"/>
            <w:noWrap/>
            <w:hideMark/>
          </w:tcPr>
          <w:p w:rsidR="00C21DAA" w:rsidRPr="00500FFB" w:rsidRDefault="00115B35" w:rsidP="00500FFB">
            <w:pPr>
              <w:spacing w:before="80" w:after="80" w:line="220" w:lineRule="exact"/>
              <w:jc w:val="right"/>
              <w:rPr>
                <w:b/>
                <w:sz w:val="18"/>
              </w:rPr>
            </w:pPr>
            <w:r w:rsidRPr="00500FFB">
              <w:rPr>
                <w:b/>
                <w:sz w:val="18"/>
              </w:rPr>
              <w:t>100</w:t>
            </w:r>
          </w:p>
        </w:tc>
        <w:tc>
          <w:tcPr>
            <w:tcW w:w="1894" w:type="dxa"/>
            <w:tcBorders>
              <w:top w:val="single" w:sz="4" w:space="0" w:color="auto"/>
              <w:bottom w:val="single" w:sz="12" w:space="0" w:color="auto"/>
            </w:tcBorders>
            <w:shd w:val="clear" w:color="auto" w:fill="auto"/>
            <w:noWrap/>
            <w:hideMark/>
          </w:tcPr>
          <w:p w:rsidR="00C21DAA" w:rsidRPr="00500FFB" w:rsidRDefault="00115B35" w:rsidP="00500FFB">
            <w:pPr>
              <w:spacing w:before="80" w:after="80" w:line="220" w:lineRule="exact"/>
              <w:jc w:val="right"/>
              <w:rPr>
                <w:b/>
                <w:sz w:val="18"/>
              </w:rPr>
            </w:pPr>
            <w:r w:rsidRPr="00500FFB">
              <w:rPr>
                <w:b/>
                <w:sz w:val="18"/>
              </w:rPr>
              <w:t>100</w:t>
            </w:r>
          </w:p>
        </w:tc>
        <w:tc>
          <w:tcPr>
            <w:tcW w:w="885" w:type="dxa"/>
            <w:tcBorders>
              <w:top w:val="single" w:sz="4" w:space="0" w:color="auto"/>
              <w:bottom w:val="single" w:sz="12" w:space="0" w:color="auto"/>
            </w:tcBorders>
            <w:shd w:val="clear" w:color="auto" w:fill="auto"/>
            <w:noWrap/>
            <w:hideMark/>
          </w:tcPr>
          <w:p w:rsidR="00C21DAA" w:rsidRPr="00500FFB" w:rsidRDefault="00115B35" w:rsidP="00500FFB">
            <w:pPr>
              <w:spacing w:before="80" w:after="80" w:line="220" w:lineRule="exact"/>
              <w:jc w:val="right"/>
              <w:rPr>
                <w:b/>
                <w:sz w:val="18"/>
              </w:rPr>
            </w:pPr>
            <w:r w:rsidRPr="00500FFB">
              <w:rPr>
                <w:b/>
                <w:sz w:val="18"/>
              </w:rPr>
              <w:t>100</w:t>
            </w:r>
          </w:p>
        </w:tc>
      </w:tr>
    </w:tbl>
    <w:p w:rsidR="00C21DAA" w:rsidRPr="00FE07FE" w:rsidRDefault="00FE07FE" w:rsidP="00500FFB">
      <w:pPr>
        <w:pStyle w:val="SingleTxtG"/>
        <w:spacing w:before="240"/>
        <w:rPr>
          <w:lang w:val="es-MX" w:eastAsia="en-US"/>
        </w:rPr>
      </w:pPr>
      <w:r w:rsidRPr="00500FFB">
        <w:rPr>
          <w:lang w:val="es-MX" w:eastAsia="en-US"/>
        </w:rPr>
        <w:t>229.</w:t>
      </w:r>
      <w:r w:rsidRPr="00500FFB">
        <w:rPr>
          <w:lang w:val="es-MX" w:eastAsia="en-US"/>
        </w:rPr>
        <w:tab/>
      </w:r>
      <w:r w:rsidR="00115B35" w:rsidRPr="00FE07FE">
        <w:rPr>
          <w:lang w:val="es-MX" w:eastAsia="en-US"/>
        </w:rPr>
        <w:t xml:space="preserve">Los centros de privación de libertad poseen programas de educación de formación profesional, de identidad y de educación no formal, de recreación, deportes, entre otras.    </w:t>
      </w:r>
    </w:p>
    <w:p w:rsidR="00C21DAA" w:rsidRPr="00FE07FE" w:rsidRDefault="00FE07FE" w:rsidP="00500FFB">
      <w:pPr>
        <w:pStyle w:val="SingleTxtG"/>
        <w:rPr>
          <w:lang w:val="es-MX" w:eastAsia="en-US"/>
        </w:rPr>
      </w:pPr>
      <w:r w:rsidRPr="00500FFB">
        <w:rPr>
          <w:lang w:val="es-MX" w:eastAsia="en-US"/>
        </w:rPr>
        <w:t>230.</w:t>
      </w:r>
      <w:r w:rsidRPr="00500FFB">
        <w:rPr>
          <w:lang w:val="es-MX" w:eastAsia="en-US"/>
        </w:rPr>
        <w:tab/>
      </w:r>
      <w:r w:rsidR="00115B35" w:rsidRPr="00FE07FE">
        <w:rPr>
          <w:lang w:val="es-MX" w:eastAsia="en-US"/>
        </w:rPr>
        <w:t>En un caso reciente, el Procurador Fiscal ante la CSJN reafirmó las obligaciones del Estado de asegurar el acceso a la justicia y la tutela judicial efectiva de niños</w:t>
      </w:r>
      <w:r w:rsidR="00115B35" w:rsidRPr="00FE07FE">
        <w:rPr>
          <w:rStyle w:val="Refdenotaalpie"/>
        </w:rPr>
        <w:footnoteReference w:id="31"/>
      </w:r>
      <w:r w:rsidR="00115B35" w:rsidRPr="00FE07FE">
        <w:rPr>
          <w:lang w:val="es-MX" w:eastAsia="en-US"/>
        </w:rPr>
        <w:t>. Asimismo, consideró que los jueces deben adoptar las medidas necesarias para remover los obstáculos que pudiesen existir para que se respeten los derechos de cada niño</w:t>
      </w:r>
      <w:r w:rsidR="00115B35" w:rsidRPr="00FE07FE">
        <w:rPr>
          <w:rStyle w:val="Refdenotaalpie"/>
        </w:rPr>
        <w:footnoteReference w:id="32"/>
      </w:r>
      <w:r w:rsidR="00115B35" w:rsidRPr="00FE07FE">
        <w:rPr>
          <w:lang w:val="es-MX" w:eastAsia="en-US"/>
        </w:rPr>
        <w:t>.</w:t>
      </w:r>
    </w:p>
    <w:p w:rsidR="00C21DAA" w:rsidRPr="00FE07FE" w:rsidRDefault="00FE07FE" w:rsidP="00500FFB">
      <w:pPr>
        <w:pStyle w:val="SingleTxtG"/>
        <w:rPr>
          <w:lang w:val="es-MX" w:eastAsia="en-US"/>
        </w:rPr>
      </w:pPr>
      <w:r w:rsidRPr="00500FFB">
        <w:rPr>
          <w:lang w:val="es-MX" w:eastAsia="en-US"/>
        </w:rPr>
        <w:t>231.</w:t>
      </w:r>
      <w:r w:rsidRPr="00500FFB">
        <w:rPr>
          <w:lang w:val="es-MX" w:eastAsia="en-US"/>
        </w:rPr>
        <w:tab/>
      </w:r>
      <w:r w:rsidR="00115B35" w:rsidRPr="00FE07FE">
        <w:rPr>
          <w:lang w:val="es-MX" w:eastAsia="en-US"/>
        </w:rPr>
        <w:t xml:space="preserve">En 2016 y con asistencia de UNICEF, se firmó un convenio para desarrollar centros de admisión (CAD) en todas las provincias, para garantizar la aplicación del principio de especialidad que establece la normativa en la materia. En 2014, se elaboró el Protocolo 33 de Actuación de las Fuerzas de Seguridad e Instituciones Policiales Nacionales en procedimientos que involucren a niños en presunta infracción a la ley penal. (Resolución </w:t>
      </w:r>
      <w:r w:rsidR="00D5464A">
        <w:rPr>
          <w:lang w:val="es-MX" w:eastAsia="en-US"/>
        </w:rPr>
        <w:t xml:space="preserve">núm. </w:t>
      </w:r>
      <w:r w:rsidR="00115B35" w:rsidRPr="00FE07FE">
        <w:rPr>
          <w:lang w:val="es-MX" w:eastAsia="en-US"/>
        </w:rPr>
        <w:t>906/2014)</w:t>
      </w:r>
      <w:r w:rsidR="003309C9">
        <w:rPr>
          <w:lang w:val="es-MX" w:eastAsia="en-US"/>
        </w:rPr>
        <w:t>.</w:t>
      </w:r>
    </w:p>
    <w:p w:rsidR="00C21DAA" w:rsidRPr="00FE07FE" w:rsidRDefault="00FE07FE" w:rsidP="00500FFB">
      <w:pPr>
        <w:pStyle w:val="SingleTxtG"/>
        <w:rPr>
          <w:lang w:val="es-MX" w:eastAsia="en-US"/>
        </w:rPr>
      </w:pPr>
      <w:r w:rsidRPr="00500FFB">
        <w:rPr>
          <w:lang w:val="es-MX" w:eastAsia="en-US"/>
        </w:rPr>
        <w:t>232.</w:t>
      </w:r>
      <w:r w:rsidRPr="00500FFB">
        <w:rPr>
          <w:lang w:val="es-MX" w:eastAsia="en-US"/>
        </w:rPr>
        <w:tab/>
      </w:r>
      <w:r w:rsidR="00115B35" w:rsidRPr="00FE07FE">
        <w:rPr>
          <w:lang w:val="es-MX" w:eastAsia="en-US"/>
        </w:rPr>
        <w:t>Se suscribió un convenio entre la SENAF y el Observatorio Internacional de Justicia Juvenil para investigación, formación y divulgación en el ámbito de la justicia juvenil en</w:t>
      </w:r>
      <w:r w:rsidR="003309C9">
        <w:rPr>
          <w:lang w:val="es-MX" w:eastAsia="en-US"/>
        </w:rPr>
        <w:t xml:space="preserve"> </w:t>
      </w:r>
      <w:r w:rsidR="00115B35" w:rsidRPr="00FE07FE">
        <w:rPr>
          <w:lang w:val="es-MX" w:eastAsia="en-US"/>
        </w:rPr>
        <w:t xml:space="preserve">2013. </w:t>
      </w:r>
    </w:p>
    <w:p w:rsidR="00C21DAA" w:rsidRPr="00FE07FE" w:rsidRDefault="00115B35">
      <w:pPr>
        <w:pStyle w:val="H23G"/>
        <w:rPr>
          <w:lang w:eastAsia="en-US"/>
        </w:rPr>
      </w:pPr>
      <w:r w:rsidRPr="00FE07FE">
        <w:rPr>
          <w:lang w:eastAsia="en-US"/>
        </w:rPr>
        <w:tab/>
      </w:r>
      <w:r w:rsidRPr="00FE07FE">
        <w:rPr>
          <w:lang w:eastAsia="en-US"/>
        </w:rPr>
        <w:tab/>
        <w:t>Protección de los testigos y las víctimas de delitos</w:t>
      </w:r>
    </w:p>
    <w:p w:rsidR="00C21DAA" w:rsidRPr="00FE07FE" w:rsidRDefault="00115B35">
      <w:pPr>
        <w:pStyle w:val="H4G"/>
        <w:rPr>
          <w:lang w:eastAsia="en-US"/>
        </w:rPr>
      </w:pPr>
      <w:r w:rsidRPr="00FE07FE">
        <w:rPr>
          <w:lang w:eastAsia="en-US"/>
        </w:rPr>
        <w:tab/>
      </w:r>
      <w:r w:rsidRPr="00FE07FE">
        <w:rPr>
          <w:lang w:eastAsia="en-US"/>
        </w:rPr>
        <w:tab/>
        <w:t>Párrafo 81</w:t>
      </w:r>
    </w:p>
    <w:p w:rsidR="00C21DAA" w:rsidRPr="00FE07FE" w:rsidRDefault="00FE07FE" w:rsidP="00500FFB">
      <w:pPr>
        <w:pStyle w:val="SingleTxtG"/>
        <w:rPr>
          <w:lang w:val="es-MX" w:eastAsia="en-US"/>
        </w:rPr>
      </w:pPr>
      <w:r w:rsidRPr="00500FFB">
        <w:rPr>
          <w:lang w:val="es-MX" w:eastAsia="en-US"/>
        </w:rPr>
        <w:t>233.</w:t>
      </w:r>
      <w:r w:rsidRPr="00500FFB">
        <w:rPr>
          <w:lang w:val="es-MX" w:eastAsia="en-US"/>
        </w:rPr>
        <w:tab/>
      </w:r>
      <w:r w:rsidR="00115B35" w:rsidRPr="00FE07FE">
        <w:rPr>
          <w:lang w:val="es-MX" w:eastAsia="en-US"/>
        </w:rPr>
        <w:t>La Procuraduría General de la Nación</w:t>
      </w:r>
      <w:r>
        <w:rPr>
          <w:lang w:val="es-MX" w:eastAsia="en-US"/>
        </w:rPr>
        <w:t xml:space="preserve"> </w:t>
      </w:r>
      <w:r w:rsidR="00115B35" w:rsidRPr="00FE07FE">
        <w:rPr>
          <w:lang w:val="es-MX" w:eastAsia="en-US"/>
        </w:rPr>
        <w:t xml:space="preserve">(PGN) desarrolló herramientas para guiar la actuación de los fiscales en la toma de declaraciones a niños víctimas o testigos en el marco de un proceso penal, y en causas por trata de personas y delitos contra la integridad sexual. Las mismas tienden a que se cumpla lo dispuesto en el artículo 250 </w:t>
      </w:r>
      <w:r w:rsidR="00115B35" w:rsidRPr="00500FFB">
        <w:rPr>
          <w:i/>
          <w:lang w:val="es-MX" w:eastAsia="en-US"/>
        </w:rPr>
        <w:t>bis</w:t>
      </w:r>
      <w:r w:rsidR="00115B35" w:rsidRPr="00FE07FE">
        <w:rPr>
          <w:lang w:val="es-MX" w:eastAsia="en-US"/>
        </w:rPr>
        <w:t xml:space="preserve"> del CPPN, </w:t>
      </w:r>
      <w:r w:rsidR="00115B35" w:rsidRPr="00FE07FE">
        <w:rPr>
          <w:lang w:val="es-MX" w:eastAsia="en-US"/>
        </w:rPr>
        <w:lastRenderedPageBreak/>
        <w:t>y apuntan a efectivizar el derecho de los niños a ser escuchados, a evitar su revictimización a la vez que a garantizar el principio de protección especial</w:t>
      </w:r>
      <w:r w:rsidR="00115B35" w:rsidRPr="00FE07FE">
        <w:rPr>
          <w:rStyle w:val="Refdenotaalpie"/>
        </w:rPr>
        <w:footnoteReference w:id="33"/>
      </w:r>
      <w:r w:rsidR="00D5464A">
        <w:rPr>
          <w:lang w:val="es-MX" w:eastAsia="en-US"/>
        </w:rPr>
        <w:t>.</w:t>
      </w:r>
      <w:r w:rsidR="00115B35" w:rsidRPr="00FE07FE">
        <w:rPr>
          <w:lang w:val="es-MX" w:eastAsia="en-US"/>
        </w:rPr>
        <w:t xml:space="preserve"> Asimismo, establece un procedimiento especial para tomar declaración a niños, niñas y adolescentes menores de</w:t>
      </w:r>
      <w:r w:rsidR="00D5464A">
        <w:rPr>
          <w:lang w:val="es-MX" w:eastAsia="en-US"/>
        </w:rPr>
        <w:t> </w:t>
      </w:r>
      <w:r w:rsidR="00115B35" w:rsidRPr="00FE07FE">
        <w:rPr>
          <w:lang w:val="es-MX" w:eastAsia="en-US"/>
        </w:rPr>
        <w:t>16</w:t>
      </w:r>
      <w:r w:rsidR="00D5464A">
        <w:rPr>
          <w:lang w:val="es-MX" w:eastAsia="en-US"/>
        </w:rPr>
        <w:t> </w:t>
      </w:r>
      <w:r w:rsidR="00115B35" w:rsidRPr="00FE07FE">
        <w:rPr>
          <w:lang w:val="es-MX" w:eastAsia="en-US"/>
        </w:rPr>
        <w:t xml:space="preserve">años en el marco de un proceso penal, y evitar la intromisión en cuestiones atenientes a la intimidad de la víctima o testigo. </w:t>
      </w:r>
    </w:p>
    <w:p w:rsidR="00C21DAA" w:rsidRPr="00FE07FE" w:rsidRDefault="00FE07FE" w:rsidP="00500FFB">
      <w:pPr>
        <w:pStyle w:val="SingleTxtG"/>
        <w:rPr>
          <w:lang w:val="es-MX" w:eastAsia="en-US"/>
        </w:rPr>
      </w:pPr>
      <w:r w:rsidRPr="00500FFB">
        <w:rPr>
          <w:lang w:val="es-MX" w:eastAsia="en-US"/>
        </w:rPr>
        <w:t>234.</w:t>
      </w:r>
      <w:r w:rsidRPr="00500FFB">
        <w:rPr>
          <w:lang w:val="es-MX" w:eastAsia="en-US"/>
        </w:rPr>
        <w:tab/>
      </w:r>
      <w:r w:rsidR="00115B35" w:rsidRPr="00FE07FE">
        <w:rPr>
          <w:lang w:val="es-MX" w:eastAsia="en-US"/>
        </w:rPr>
        <w:t xml:space="preserve">En el marco del MERCOSUR, se adoptó la Guía de actuación para los Ministerios Públicos en la investigación penal de casos de violencia sexual perpetrados en el marco de crímenes internacionales, y de lesa humanidad. </w:t>
      </w:r>
    </w:p>
    <w:p w:rsidR="00C21DAA" w:rsidRPr="00FE07FE" w:rsidRDefault="00FE07FE" w:rsidP="00500FFB">
      <w:pPr>
        <w:pStyle w:val="SingleTxtG"/>
        <w:rPr>
          <w:lang w:val="es-MX" w:eastAsia="en-US"/>
        </w:rPr>
      </w:pPr>
      <w:r w:rsidRPr="00500FFB">
        <w:rPr>
          <w:lang w:val="es-MX" w:eastAsia="en-US"/>
        </w:rPr>
        <w:t>235.</w:t>
      </w:r>
      <w:r w:rsidRPr="00500FFB">
        <w:rPr>
          <w:lang w:val="es-MX" w:eastAsia="en-US"/>
        </w:rPr>
        <w:tab/>
      </w:r>
      <w:r w:rsidR="00115B35" w:rsidRPr="00FE07FE">
        <w:rPr>
          <w:lang w:val="es-MX" w:eastAsia="en-US"/>
        </w:rPr>
        <w:t>El Programa Especial para la Atención de Niñas, Niños y Adolescentes Víctimas de Maltrato y Abuso Sexual, del MPF, asesora, acompaña y asiste a los niños víctimas de maltrato y abuso sexual y a las personas adultas o instituciones encargadas de su cuidado durante todo el proceso penal para garantizar su derecho a la información y su participación. De acuerdo con los datos del MPF se ha intervenido en un total de 653 casos entre agosto de 2014 y enero de 2016.</w:t>
      </w:r>
    </w:p>
    <w:p w:rsidR="00C21DAA" w:rsidRPr="00FE07FE" w:rsidRDefault="00115B35">
      <w:pPr>
        <w:pStyle w:val="H1G"/>
        <w:rPr>
          <w:lang w:eastAsia="en-US"/>
        </w:rPr>
      </w:pPr>
      <w:r w:rsidRPr="00FE07FE">
        <w:rPr>
          <w:lang w:eastAsia="en-US"/>
        </w:rPr>
        <w:tab/>
        <w:t>H.</w:t>
      </w:r>
      <w:r w:rsidRPr="00FE07FE">
        <w:rPr>
          <w:lang w:eastAsia="en-US"/>
        </w:rPr>
        <w:tab/>
        <w:t>Seguimiento y difusión</w:t>
      </w:r>
    </w:p>
    <w:p w:rsidR="00C21DAA" w:rsidRPr="00FE07FE" w:rsidRDefault="00115B35">
      <w:pPr>
        <w:pStyle w:val="H23G"/>
        <w:rPr>
          <w:lang w:eastAsia="en-US"/>
        </w:rPr>
      </w:pPr>
      <w:r w:rsidRPr="00FE07FE">
        <w:rPr>
          <w:lang w:eastAsia="en-US"/>
        </w:rPr>
        <w:tab/>
      </w:r>
      <w:r w:rsidRPr="00FE07FE">
        <w:rPr>
          <w:lang w:eastAsia="en-US"/>
        </w:rPr>
        <w:tab/>
        <w:t>Seguimiento</w:t>
      </w:r>
    </w:p>
    <w:p w:rsidR="00C21DAA" w:rsidRPr="00FE07FE" w:rsidRDefault="00115B35">
      <w:pPr>
        <w:pStyle w:val="H4G"/>
        <w:rPr>
          <w:lang w:eastAsia="en-US"/>
        </w:rPr>
      </w:pPr>
      <w:r w:rsidRPr="00FE07FE">
        <w:rPr>
          <w:lang w:eastAsia="en-US"/>
        </w:rPr>
        <w:tab/>
      </w:r>
      <w:r w:rsidRPr="00FE07FE">
        <w:rPr>
          <w:lang w:eastAsia="en-US"/>
        </w:rPr>
        <w:tab/>
        <w:t>Párrafo 82</w:t>
      </w:r>
    </w:p>
    <w:p w:rsidR="00C21DAA" w:rsidRPr="00FE07FE" w:rsidRDefault="00FE07FE" w:rsidP="00500FFB">
      <w:pPr>
        <w:pStyle w:val="SingleTxtG"/>
        <w:rPr>
          <w:lang w:val="es-MX" w:eastAsia="en-US"/>
        </w:rPr>
      </w:pPr>
      <w:r w:rsidRPr="00500FFB">
        <w:rPr>
          <w:lang w:val="es-MX" w:eastAsia="en-US"/>
        </w:rPr>
        <w:t>236.</w:t>
      </w:r>
      <w:r w:rsidRPr="00500FFB">
        <w:rPr>
          <w:lang w:val="es-MX" w:eastAsia="en-US"/>
        </w:rPr>
        <w:tab/>
      </w:r>
      <w:r w:rsidR="00115B35" w:rsidRPr="00FE07FE">
        <w:rPr>
          <w:lang w:val="es-MX" w:eastAsia="en-US"/>
        </w:rPr>
        <w:t xml:space="preserve">El Estado ha avanzado en la aplicación de las observaciones que el Honorable Comité de los Derecho del Niño realizó. Para ello, articuló con todos los poderes y los niveles del Estado en pos de esa aplicación y considera que aquellas que aún no se han cumplido son imperativas para la formulación y ejecución de las políticas públicas de infancia, adolescencia y familia. </w:t>
      </w:r>
    </w:p>
    <w:p w:rsidR="00C21DAA" w:rsidRPr="00FE07FE" w:rsidRDefault="00115B35">
      <w:pPr>
        <w:pStyle w:val="H23G"/>
        <w:rPr>
          <w:lang w:eastAsia="en-US"/>
        </w:rPr>
      </w:pPr>
      <w:r w:rsidRPr="00FE07FE">
        <w:rPr>
          <w:lang w:eastAsia="en-US"/>
        </w:rPr>
        <w:tab/>
      </w:r>
      <w:r w:rsidRPr="00FE07FE">
        <w:rPr>
          <w:lang w:eastAsia="en-US"/>
        </w:rPr>
        <w:tab/>
        <w:t xml:space="preserve">Difusión. </w:t>
      </w:r>
    </w:p>
    <w:p w:rsidR="00C21DAA" w:rsidRPr="00FE07FE" w:rsidRDefault="00115B35">
      <w:pPr>
        <w:pStyle w:val="H4G"/>
        <w:rPr>
          <w:lang w:eastAsia="en-US"/>
        </w:rPr>
      </w:pPr>
      <w:r w:rsidRPr="00FE07FE">
        <w:rPr>
          <w:lang w:eastAsia="en-US"/>
        </w:rPr>
        <w:tab/>
      </w:r>
      <w:r w:rsidRPr="00FE07FE">
        <w:rPr>
          <w:lang w:eastAsia="en-US"/>
        </w:rPr>
        <w:tab/>
        <w:t>Párrafo 83</w:t>
      </w:r>
    </w:p>
    <w:p w:rsidR="00D55A27" w:rsidRDefault="00FE07FE">
      <w:pPr>
        <w:pStyle w:val="SingleTxtG"/>
      </w:pPr>
      <w:r w:rsidRPr="00500FFB">
        <w:rPr>
          <w:lang w:val="es-MX" w:eastAsia="en-US"/>
        </w:rPr>
        <w:t>237.</w:t>
      </w:r>
      <w:r w:rsidRPr="00500FFB">
        <w:rPr>
          <w:lang w:val="es-MX" w:eastAsia="en-US"/>
        </w:rPr>
        <w:tab/>
      </w:r>
      <w:r w:rsidR="00115B35" w:rsidRPr="00FE07FE">
        <w:rPr>
          <w:lang w:val="es-MX" w:eastAsia="en-US"/>
        </w:rPr>
        <w:t xml:space="preserve">El Estado difundió los documentos CRC/C/ARG/3-4, CRC/C/ARG/CO/3-4, CRC/C/15/Add.187, CRC/C/70/Add.10, en todo el país a través del COFENAF, y en todas las actividades realizadas. Los mismos fueron traducidos en forma amigable al español, idiomas originarios, adaptado para niños con discapacidad y se realizaron publicaciones para las instituciones que trabajan con niños. Es un compromiso del Estado que tanto la CDN como sus protocolos facultativos, sean respetados en su totalidad por todas las instituciones y la comunidad, para garantizar el ejercicio pleno de los derechos de los niños de todo </w:t>
      </w:r>
      <w:r w:rsidR="00115B35" w:rsidRPr="00FE07FE">
        <w:t>el país.</w:t>
      </w:r>
    </w:p>
    <w:p w:rsidR="00C21DAA" w:rsidRDefault="00D55A27" w:rsidP="00500FFB">
      <w:pPr>
        <w:pStyle w:val="SingleTxtG"/>
        <w:suppressAutoHyphens/>
        <w:spacing w:before="240" w:after="0"/>
        <w:jc w:val="center"/>
        <w:rPr>
          <w:lang w:val="es-MX" w:eastAsia="en-US"/>
        </w:rPr>
      </w:pPr>
      <w:r>
        <w:rPr>
          <w:u w:val="single"/>
          <w:lang w:val="es-MX" w:eastAsia="en-US"/>
        </w:rPr>
        <w:tab/>
      </w:r>
      <w:r>
        <w:rPr>
          <w:u w:val="single"/>
          <w:lang w:val="es-MX" w:eastAsia="en-US"/>
        </w:rPr>
        <w:tab/>
      </w:r>
      <w:r>
        <w:rPr>
          <w:u w:val="single"/>
          <w:lang w:val="es-MX" w:eastAsia="en-US"/>
        </w:rPr>
        <w:tab/>
      </w:r>
    </w:p>
    <w:sectPr w:rsidR="00C21DAA" w:rsidSect="00500FFB">
      <w:headerReference w:type="even" r:id="rId18"/>
      <w:headerReference w:type="default" r:id="rId19"/>
      <w:footerReference w:type="even" r:id="rId20"/>
      <w:footerReference w:type="default" r:id="rId21"/>
      <w:footerReference w:type="first" r:id="rId22"/>
      <w:pgSz w:w="11906" w:h="16838" w:code="9"/>
      <w:pgMar w:top="1418" w:right="127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D79" w:rsidRDefault="00283D79">
      <w:r>
        <w:separator/>
      </w:r>
    </w:p>
  </w:endnote>
  <w:endnote w:type="continuationSeparator" w:id="0">
    <w:p w:rsidR="00283D79" w:rsidRDefault="00283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1B6" w:rsidRDefault="004411B6">
    <w:pPr>
      <w:pStyle w:val="Piedepgina"/>
      <w:tabs>
        <w:tab w:val="right" w:pos="9638"/>
      </w:tabs>
    </w:pPr>
    <w:r>
      <w:rPr>
        <w:b/>
        <w:sz w:val="18"/>
      </w:rPr>
      <w:fldChar w:fldCharType="begin"/>
    </w:r>
    <w:r>
      <w:rPr>
        <w:b/>
        <w:sz w:val="18"/>
      </w:rPr>
      <w:instrText xml:space="preserve"> PAGE  \* MERGEFORMAT </w:instrText>
    </w:r>
    <w:r>
      <w:rPr>
        <w:b/>
        <w:sz w:val="18"/>
      </w:rPr>
      <w:fldChar w:fldCharType="separate"/>
    </w:r>
    <w:r w:rsidR="008F77A5">
      <w:rPr>
        <w:b/>
        <w:noProof/>
        <w:sz w:val="18"/>
      </w:rPr>
      <w:t>2</w:t>
    </w:r>
    <w:r>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1B6" w:rsidRDefault="004411B6">
    <w:pPr>
      <w:pStyle w:val="Piedepgina"/>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F77A5">
      <w:rPr>
        <w:b/>
        <w:noProof/>
        <w:sz w:val="18"/>
      </w:rPr>
      <w:t>21</w:t>
    </w:r>
    <w:r>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40E" w:rsidRPr="0053240E" w:rsidRDefault="0053240E" w:rsidP="0053240E">
    <w:pPr>
      <w:pStyle w:val="Piedepgina"/>
      <w:spacing w:before="120" w:line="240" w:lineRule="auto"/>
      <w:rPr>
        <w:sz w:val="20"/>
      </w:rPr>
    </w:pPr>
    <w:r>
      <w:rPr>
        <w:sz w:val="20"/>
      </w:rPr>
      <w:t>GE.17-18833  (S)</w:t>
    </w:r>
    <w:r>
      <w:rPr>
        <w:sz w:val="20"/>
      </w:rPr>
      <w:br/>
    </w:r>
    <w:r w:rsidRPr="0053240E">
      <w:rPr>
        <w:rFonts w:ascii="C39T30Lfz" w:hAnsi="C39T30Lfz"/>
        <w:sz w:val="56"/>
      </w:rPr>
      <w:t></w:t>
    </w:r>
    <w:r w:rsidRPr="0053240E">
      <w:rPr>
        <w:rFonts w:ascii="C39T30Lfz" w:hAnsi="C39T30Lfz"/>
        <w:sz w:val="56"/>
      </w:rPr>
      <w:t></w:t>
    </w:r>
    <w:r w:rsidRPr="0053240E">
      <w:rPr>
        <w:rFonts w:ascii="C39T30Lfz" w:hAnsi="C39T30Lfz"/>
        <w:sz w:val="56"/>
      </w:rPr>
      <w:t></w:t>
    </w:r>
    <w:r w:rsidRPr="0053240E">
      <w:rPr>
        <w:rFonts w:ascii="C39T30Lfz" w:hAnsi="C39T30Lfz"/>
        <w:sz w:val="56"/>
      </w:rPr>
      <w:t></w:t>
    </w:r>
    <w:r w:rsidRPr="0053240E">
      <w:rPr>
        <w:rFonts w:ascii="C39T30Lfz" w:hAnsi="C39T30Lfz"/>
        <w:sz w:val="56"/>
      </w:rPr>
      <w:t></w:t>
    </w:r>
    <w:r w:rsidRPr="0053240E">
      <w:rPr>
        <w:rFonts w:ascii="C39T30Lfz" w:hAnsi="C39T30Lfz"/>
        <w:sz w:val="56"/>
      </w:rPr>
      <w:t></w:t>
    </w:r>
    <w:r w:rsidRPr="0053240E">
      <w:rPr>
        <w:rFonts w:ascii="C39T30Lfz" w:hAnsi="C39T30Lfz"/>
        <w:sz w:val="56"/>
      </w:rPr>
      <w:t></w:t>
    </w:r>
    <w:r w:rsidRPr="0053240E">
      <w:rPr>
        <w:rFonts w:ascii="C39T30Lfz" w:hAnsi="C39T30Lfz"/>
        <w:sz w:val="56"/>
      </w:rPr>
      <w:t></w:t>
    </w:r>
    <w:r w:rsidRPr="0053240E">
      <w:rPr>
        <w:rFonts w:ascii="C39T30Lfz" w:hAnsi="C39T30Lfz"/>
        <w:sz w:val="56"/>
      </w:rPr>
      <w:t></w:t>
    </w:r>
    <w:r w:rsidRPr="0053240E">
      <w:rPr>
        <w:rFonts w:ascii="C39T30Lfz" w:hAnsi="C39T30Lfz"/>
        <w:noProof/>
        <w:sz w:val="56"/>
        <w:lang w:eastAsia="zh-CN"/>
      </w:rPr>
      <w:drawing>
        <wp:anchor distT="0" distB="0" distL="114300" distR="114300" simplePos="0" relativeHeight="251660288" behindDoc="0" locked="1" layoutInCell="1" allowOverlap="1">
          <wp:simplePos x="0" y="0"/>
          <wp:positionH relativeFrom="margin">
            <wp:posOffset>4319905</wp:posOffset>
          </wp:positionH>
          <wp:positionV relativeFrom="margin">
            <wp:posOffset>9145270</wp:posOffset>
          </wp:positionV>
          <wp:extent cx="1087200" cy="230400"/>
          <wp:effectExtent l="0" t="0" r="0" b="0"/>
          <wp:wrapNone/>
          <wp:docPr id="2" name="Imagen 2"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00" cy="2304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zh-CN"/>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1" name="Imagen 1" descr="https://undocs.org/m2/QRCode.ashx?DS=CRC/C/ARG/5-6&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CRC/C/ARG/5-6&amp;Size=2&amp;Lang=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D79" w:rsidRDefault="00283D79">
      <w:pPr>
        <w:tabs>
          <w:tab w:val="right" w:pos="2155"/>
        </w:tabs>
        <w:spacing w:after="80" w:line="240" w:lineRule="auto"/>
        <w:ind w:left="680"/>
        <w:rPr>
          <w:u w:val="single"/>
        </w:rPr>
      </w:pPr>
      <w:r>
        <w:rPr>
          <w:u w:val="single"/>
        </w:rPr>
        <w:tab/>
      </w:r>
    </w:p>
  </w:footnote>
  <w:footnote w:type="continuationSeparator" w:id="0">
    <w:p w:rsidR="00283D79" w:rsidRDefault="00283D79">
      <w:r>
        <w:continuationSeparator/>
      </w:r>
    </w:p>
  </w:footnote>
  <w:footnote w:id="1">
    <w:p w:rsidR="004411B6" w:rsidRDefault="004411B6">
      <w:pPr>
        <w:pStyle w:val="Textonotapie"/>
      </w:pPr>
      <w:r>
        <w:tab/>
      </w:r>
      <w:r>
        <w:rPr>
          <w:rStyle w:val="Refdenotaalpie"/>
          <w:sz w:val="20"/>
          <w:vertAlign w:val="baseline"/>
        </w:rPr>
        <w:t>*</w:t>
      </w:r>
      <w:r>
        <w:tab/>
        <w:t>El presente documento se publica sin haber sido objeto de revisión editorial oficial.</w:t>
      </w:r>
    </w:p>
  </w:footnote>
  <w:footnote w:id="2">
    <w:p w:rsidR="004411B6" w:rsidRDefault="004411B6">
      <w:pPr>
        <w:pStyle w:val="Textonotapie"/>
      </w:pPr>
      <w:r>
        <w:rPr>
          <w:rStyle w:val="Refdenotaalpie"/>
          <w:sz w:val="20"/>
          <w:vertAlign w:val="baseline"/>
        </w:rPr>
        <w:tab/>
        <w:t>**</w:t>
      </w:r>
      <w:r>
        <w:rPr>
          <w:rStyle w:val="Refdenotaalpie"/>
          <w:vertAlign w:val="baseline"/>
        </w:rPr>
        <w:tab/>
      </w:r>
      <w:r>
        <w:t>Los anexos y los apéndices del presente documento pueden consultarse en los archivos de la Secretaría. También se encuentran disponibles en la página web del Comité.</w:t>
      </w:r>
    </w:p>
  </w:footnote>
  <w:footnote w:id="3">
    <w:p w:rsidR="004411B6" w:rsidRDefault="004411B6">
      <w:pPr>
        <w:pStyle w:val="Textonotapie"/>
      </w:pPr>
      <w:r>
        <w:tab/>
      </w:r>
      <w:r>
        <w:rPr>
          <w:rStyle w:val="Refdenotaalpie"/>
        </w:rPr>
        <w:footnoteRef/>
      </w:r>
      <w:r>
        <w:tab/>
        <w:t>Como lo señala la Corte IDH, “El término niño abarca, evidentemente, los niños, las niñas y los adolescentes” (Opinión Consultiva 17, párr. 42, nota 45).</w:t>
      </w:r>
    </w:p>
  </w:footnote>
  <w:footnote w:id="4">
    <w:p w:rsidR="004411B6" w:rsidRDefault="004411B6">
      <w:pPr>
        <w:pStyle w:val="Textonotapie"/>
      </w:pPr>
      <w:r>
        <w:tab/>
      </w:r>
      <w:r>
        <w:rPr>
          <w:rStyle w:val="Refdenotaalpie"/>
        </w:rPr>
        <w:footnoteRef/>
      </w:r>
      <w:r>
        <w:tab/>
        <w:t>Decreto reglamentario núm. 415/06 de la Ley núm. 26061.</w:t>
      </w:r>
    </w:p>
  </w:footnote>
  <w:footnote w:id="5">
    <w:p w:rsidR="004411B6" w:rsidRDefault="004411B6">
      <w:pPr>
        <w:pStyle w:val="Textonotapie"/>
      </w:pPr>
      <w:r>
        <w:tab/>
      </w:r>
      <w:r>
        <w:rPr>
          <w:rStyle w:val="Refdenotaalpie"/>
        </w:rPr>
        <w:footnoteRef/>
      </w:r>
      <w:r>
        <w:tab/>
        <w:t>La OMS colaboró con la traducción de la Guía de Evaluación de Calidad para espacios amigables de adolescentes.</w:t>
      </w:r>
    </w:p>
  </w:footnote>
  <w:footnote w:id="6">
    <w:p w:rsidR="004411B6" w:rsidRDefault="004411B6">
      <w:pPr>
        <w:pStyle w:val="Textonotapie"/>
      </w:pPr>
      <w:r>
        <w:tab/>
      </w:r>
      <w:r>
        <w:rPr>
          <w:rStyle w:val="Refdenotaalpie"/>
        </w:rPr>
        <w:footnoteRef/>
      </w:r>
      <w:r>
        <w:tab/>
        <w:t>En cooperación técnica con UNICEF y SAP.</w:t>
      </w:r>
    </w:p>
  </w:footnote>
  <w:footnote w:id="7">
    <w:p w:rsidR="004411B6" w:rsidRDefault="004411B6">
      <w:pPr>
        <w:pStyle w:val="Textonotapie"/>
      </w:pPr>
      <w:r>
        <w:tab/>
      </w:r>
      <w:r>
        <w:rPr>
          <w:rStyle w:val="Refdenotaalpie"/>
        </w:rPr>
        <w:footnoteRef/>
      </w:r>
      <w:r>
        <w:tab/>
        <w:t>En cooperación técnica con la UNFPA.</w:t>
      </w:r>
    </w:p>
  </w:footnote>
  <w:footnote w:id="8">
    <w:p w:rsidR="004411B6" w:rsidRDefault="004411B6">
      <w:pPr>
        <w:pStyle w:val="Textonotapie"/>
      </w:pPr>
      <w:r>
        <w:tab/>
      </w:r>
      <w:r>
        <w:rPr>
          <w:rStyle w:val="Refdenotaalpie"/>
        </w:rPr>
        <w:footnoteRef/>
      </w:r>
      <w:r>
        <w:tab/>
        <w:t>Quechua, Qom, Wichi, Pilagá, Avá Guaraní, Mbya Guaraní, Mapuzungun en su variedad de escritura ranguileo y unificado.</w:t>
      </w:r>
    </w:p>
  </w:footnote>
  <w:footnote w:id="9">
    <w:p w:rsidR="004411B6" w:rsidRDefault="004411B6">
      <w:pPr>
        <w:pStyle w:val="Textonotapie"/>
      </w:pPr>
      <w:r>
        <w:tab/>
      </w:r>
      <w:r>
        <w:rPr>
          <w:rStyle w:val="Refdenotaalpie"/>
        </w:rPr>
        <w:footnoteRef/>
      </w:r>
      <w:r>
        <w:tab/>
      </w:r>
      <w:hyperlink r:id="rId1" w:history="1">
        <w:r>
          <w:rPr>
            <w:rStyle w:val="Hipervnculo"/>
            <w:color w:val="auto"/>
            <w:u w:val="none"/>
          </w:rPr>
          <w:t>http://www.trabajo.gov.ar/left/estadisticas/otia/centroDoc/verDocumento.asp?id=226</w:t>
        </w:r>
      </w:hyperlink>
      <w:r>
        <w:rPr>
          <w:rStyle w:val="Hipervnculo"/>
          <w:color w:val="auto"/>
          <w:u w:val="none"/>
        </w:rPr>
        <w:t>.</w:t>
      </w:r>
    </w:p>
  </w:footnote>
  <w:footnote w:id="10">
    <w:p w:rsidR="004411B6" w:rsidRDefault="004411B6">
      <w:pPr>
        <w:pStyle w:val="Textonotapie"/>
      </w:pPr>
      <w:r>
        <w:tab/>
      </w:r>
      <w:r>
        <w:rPr>
          <w:rStyle w:val="Refdenotaalpie"/>
        </w:rPr>
        <w:footnoteRef/>
      </w:r>
      <w:r>
        <w:tab/>
        <w:t>SENNAF-UNICEF, Relevamiento nacional sobre adolescentes en conflicto con la ley penal, Buenos Aires, 2015, p. 32.</w:t>
      </w:r>
    </w:p>
  </w:footnote>
  <w:footnote w:id="11">
    <w:p w:rsidR="004411B6" w:rsidRDefault="004411B6">
      <w:pPr>
        <w:pStyle w:val="Textonotapie"/>
      </w:pPr>
      <w:r>
        <w:tab/>
      </w:r>
      <w:r>
        <w:rPr>
          <w:rStyle w:val="Refdenotaalpie"/>
        </w:rPr>
        <w:footnoteRef/>
      </w:r>
      <w:r>
        <w:tab/>
        <w:t>ANEXO III. Organismos identificados como Autoridades provinciales de aplicación. Total país.</w:t>
      </w:r>
    </w:p>
  </w:footnote>
  <w:footnote w:id="12">
    <w:p w:rsidR="004411B6" w:rsidRDefault="004411B6">
      <w:pPr>
        <w:pStyle w:val="Textonotapie"/>
      </w:pPr>
      <w:r>
        <w:tab/>
      </w:r>
      <w:r>
        <w:rPr>
          <w:rStyle w:val="Refdenotaalpie"/>
        </w:rPr>
        <w:footnoteRef/>
      </w:r>
      <w:r>
        <w:tab/>
        <w:t>Ley núm. 26061, artículo 42 sobre los niveles de acción del Sistema de Protección Integral: NACIONAL, FEDERAL y PROVINCIAL.</w:t>
      </w:r>
    </w:p>
  </w:footnote>
  <w:footnote w:id="13">
    <w:p w:rsidR="004411B6" w:rsidRDefault="004411B6">
      <w:pPr>
        <w:pStyle w:val="Textonotapie"/>
      </w:pPr>
      <w:r>
        <w:tab/>
      </w:r>
      <w:r>
        <w:rPr>
          <w:rStyle w:val="Refdenotaalpie"/>
        </w:rPr>
        <w:footnoteRef/>
      </w:r>
      <w:r>
        <w:tab/>
        <w:t>La serie a partir de 2011 se trabajó con información pública de cinco provincias representativas del 58% del gasto social provincial y para las restantes jurisdicciones se realizaron estimaciones.</w:t>
      </w:r>
    </w:p>
  </w:footnote>
  <w:footnote w:id="14">
    <w:p w:rsidR="004411B6" w:rsidRPr="00AD620F" w:rsidRDefault="004411B6">
      <w:pPr>
        <w:pStyle w:val="Textonotapie"/>
        <w:widowControl w:val="0"/>
        <w:tabs>
          <w:tab w:val="clear" w:pos="1021"/>
          <w:tab w:val="right" w:pos="1020"/>
        </w:tabs>
        <w:suppressAutoHyphens/>
      </w:pPr>
      <w:r>
        <w:tab/>
      </w:r>
      <w:r>
        <w:rPr>
          <w:rStyle w:val="Refdenotaalpie"/>
        </w:rPr>
        <w:footnoteRef/>
      </w:r>
      <w:r>
        <w:tab/>
        <w:t>Anexo III. Ministerio de Hacienda y Finanzas Públicas – (MHFP).</w:t>
      </w:r>
    </w:p>
  </w:footnote>
  <w:footnote w:id="15">
    <w:p w:rsidR="004411B6" w:rsidRDefault="004411B6" w:rsidP="00500FFB">
      <w:pPr>
        <w:pStyle w:val="Textonotapie"/>
        <w:spacing w:after="60"/>
      </w:pPr>
      <w:r>
        <w:tab/>
      </w:r>
      <w:r>
        <w:rPr>
          <w:rStyle w:val="Refdenotaalpie"/>
        </w:rPr>
        <w:footnoteRef/>
      </w:r>
      <w:r>
        <w:tab/>
        <w:t>En millones de $ y en porcentajes. GPC (N-P): Gasto Público Consolidado (Nación – Provincias).</w:t>
      </w:r>
    </w:p>
    <w:p w:rsidR="004411B6" w:rsidRDefault="004411B6" w:rsidP="00500FFB">
      <w:pPr>
        <w:pStyle w:val="Textonotapie"/>
        <w:spacing w:after="60"/>
      </w:pPr>
      <w:r>
        <w:tab/>
      </w:r>
      <w:r>
        <w:tab/>
        <w:t>GPSC (N-P): Gasto Público Social Consolidado (Nación -Provincias).</w:t>
      </w:r>
    </w:p>
    <w:p w:rsidR="004411B6" w:rsidRPr="00AD620F" w:rsidRDefault="004411B6">
      <w:pPr>
        <w:pStyle w:val="Textonotapie"/>
        <w:tabs>
          <w:tab w:val="clear" w:pos="1021"/>
          <w:tab w:val="right" w:pos="1020"/>
        </w:tabs>
      </w:pPr>
      <w:r>
        <w:tab/>
      </w:r>
      <w:r>
        <w:tab/>
      </w:r>
      <w:r w:rsidRPr="00500FFB">
        <w:rPr>
          <w:i/>
        </w:rPr>
        <w:t>Fuente:</w:t>
      </w:r>
      <w:r>
        <w:t xml:space="preserve"> Subsecretaría de Programación Macroeconómica – MHFP.</w:t>
      </w:r>
    </w:p>
  </w:footnote>
  <w:footnote w:id="16">
    <w:p w:rsidR="004411B6" w:rsidRDefault="004411B6" w:rsidP="00500FFB">
      <w:pPr>
        <w:pStyle w:val="Textonotapie"/>
        <w:spacing w:after="60"/>
      </w:pPr>
      <w:r>
        <w:tab/>
      </w:r>
      <w:r>
        <w:rPr>
          <w:rStyle w:val="Refdenotaalpie"/>
        </w:rPr>
        <w:footnoteRef/>
      </w:r>
      <w:r>
        <w:tab/>
        <w:t>En millones de $ y en porcentajes*. Estimación provisoria sujeta a revisión. Ver consideraciones metodológicas ISCN (N-P): Inversión Social Consolidada dirigida a la Niñez (Nación – Provincias).</w:t>
      </w:r>
    </w:p>
    <w:p w:rsidR="004411B6" w:rsidRDefault="004411B6" w:rsidP="00500FFB">
      <w:pPr>
        <w:pStyle w:val="Textonotapie"/>
        <w:spacing w:after="60"/>
      </w:pPr>
      <w:r>
        <w:tab/>
      </w:r>
      <w:r>
        <w:tab/>
        <w:t>GPC (N-P): Gasto Público Consolidado (Nación – Provincias).</w:t>
      </w:r>
    </w:p>
    <w:p w:rsidR="004411B6" w:rsidRDefault="004411B6" w:rsidP="00500FFB">
      <w:pPr>
        <w:pStyle w:val="Textonotapie"/>
        <w:spacing w:after="60"/>
      </w:pPr>
      <w:r>
        <w:tab/>
      </w:r>
      <w:r>
        <w:tab/>
        <w:t>GPSC (N-P): Gasto Público Social Consolidado (Nación -Provincias).</w:t>
      </w:r>
    </w:p>
    <w:p w:rsidR="004411B6" w:rsidRDefault="004411B6" w:rsidP="00500FFB">
      <w:pPr>
        <w:pStyle w:val="Textonotapie"/>
        <w:spacing w:after="60"/>
      </w:pPr>
      <w:r>
        <w:tab/>
      </w:r>
      <w:r>
        <w:tab/>
      </w:r>
      <w:r w:rsidRPr="00500FFB">
        <w:rPr>
          <w:i/>
        </w:rPr>
        <w:t>Nota:</w:t>
      </w:r>
      <w:r>
        <w:t xml:space="preserve"> Se utiliza estimación PIB nominal base 1993.</w:t>
      </w:r>
    </w:p>
    <w:p w:rsidR="004411B6" w:rsidRPr="00AD620F" w:rsidRDefault="004411B6">
      <w:pPr>
        <w:pStyle w:val="Textonotapie"/>
        <w:tabs>
          <w:tab w:val="clear" w:pos="1021"/>
          <w:tab w:val="right" w:pos="1020"/>
        </w:tabs>
      </w:pPr>
      <w:r>
        <w:tab/>
      </w:r>
      <w:r>
        <w:tab/>
      </w:r>
      <w:r w:rsidRPr="00500FFB">
        <w:rPr>
          <w:i/>
        </w:rPr>
        <w:t>Fuente:</w:t>
      </w:r>
      <w:r>
        <w:t xml:space="preserve"> Subsecretaría de Programación Macroeconómica – MHFP.</w:t>
      </w:r>
    </w:p>
  </w:footnote>
  <w:footnote w:id="17">
    <w:p w:rsidR="004411B6" w:rsidRDefault="004411B6" w:rsidP="00500FFB">
      <w:pPr>
        <w:pStyle w:val="Textonotapie"/>
        <w:spacing w:after="60"/>
      </w:pPr>
      <w:r>
        <w:tab/>
      </w:r>
      <w:r>
        <w:rPr>
          <w:rStyle w:val="Refdenotaalpie"/>
        </w:rPr>
        <w:footnoteRef/>
      </w:r>
      <w:r>
        <w:tab/>
        <w:t>En millones de $. Estimación provisoria sujeta a revisión. Ver consideraciones metodológicas.</w:t>
      </w:r>
    </w:p>
    <w:p w:rsidR="004411B6" w:rsidRPr="00AD620F" w:rsidRDefault="004411B6">
      <w:pPr>
        <w:pStyle w:val="Textonotapie"/>
      </w:pPr>
      <w:r>
        <w:tab/>
      </w:r>
      <w:r>
        <w:tab/>
      </w:r>
      <w:r w:rsidRPr="00500FFB">
        <w:rPr>
          <w:i/>
        </w:rPr>
        <w:t>Fuente:</w:t>
      </w:r>
      <w:r>
        <w:t xml:space="preserve"> Subsecretaría de Programación Macroeconómica – MHFP.</w:t>
      </w:r>
    </w:p>
  </w:footnote>
  <w:footnote w:id="18">
    <w:p w:rsidR="004411B6" w:rsidRDefault="004411B6" w:rsidP="00500FFB">
      <w:pPr>
        <w:pStyle w:val="Textonotapie"/>
        <w:spacing w:after="60"/>
      </w:pPr>
      <w:r>
        <w:tab/>
      </w:r>
      <w:r>
        <w:rPr>
          <w:rStyle w:val="Refdenotaalpie"/>
        </w:rPr>
        <w:footnoteRef/>
      </w:r>
      <w:r>
        <w:tab/>
        <w:t>En porcentajes del PIB. Estimación provisoria sujeta a revisión. Ver consideraciones metodológicas.</w:t>
      </w:r>
    </w:p>
    <w:p w:rsidR="004411B6" w:rsidRPr="00AD620F" w:rsidRDefault="004411B6">
      <w:pPr>
        <w:pStyle w:val="Textonotapie"/>
      </w:pPr>
      <w:r>
        <w:tab/>
      </w:r>
      <w:r>
        <w:tab/>
      </w:r>
      <w:r w:rsidRPr="00500FFB">
        <w:rPr>
          <w:i/>
        </w:rPr>
        <w:t>Fuente:</w:t>
      </w:r>
      <w:r>
        <w:t xml:space="preserve"> Subsecretaría de Programación Macroeconómica – MHFP.</w:t>
      </w:r>
    </w:p>
  </w:footnote>
  <w:footnote w:id="19">
    <w:p w:rsidR="004411B6" w:rsidRDefault="004411B6">
      <w:pPr>
        <w:pStyle w:val="Textonotapie"/>
      </w:pPr>
      <w:r>
        <w:tab/>
      </w:r>
      <w:r>
        <w:rPr>
          <w:rStyle w:val="Refdenotaalpie"/>
        </w:rPr>
        <w:footnoteRef/>
      </w:r>
      <w:r>
        <w:tab/>
        <w:t>Creada en 2006 mediante Resolución DGN núm. 841/2006.</w:t>
      </w:r>
    </w:p>
  </w:footnote>
  <w:footnote w:id="20">
    <w:p w:rsidR="004411B6" w:rsidRDefault="004411B6">
      <w:pPr>
        <w:pStyle w:val="Textonotapie"/>
      </w:pPr>
      <w:r>
        <w:tab/>
      </w:r>
      <w:r>
        <w:rPr>
          <w:rStyle w:val="Refdenotaalpie"/>
        </w:rPr>
        <w:footnoteRef/>
      </w:r>
      <w:r>
        <w:tab/>
        <w:t>http://www.dni.gov.ar/cronograma/cronograma.php.</w:t>
      </w:r>
    </w:p>
  </w:footnote>
  <w:footnote w:id="21">
    <w:p w:rsidR="004411B6" w:rsidRDefault="004411B6">
      <w:pPr>
        <w:pStyle w:val="Textonotapie"/>
      </w:pPr>
      <w:r>
        <w:tab/>
      </w:r>
      <w:r>
        <w:rPr>
          <w:rStyle w:val="Refdenotaalpie"/>
        </w:rPr>
        <w:footnoteRef/>
      </w:r>
      <w:r>
        <w:tab/>
        <w:t xml:space="preserve">Causa núm. 7722/13. Intervienen el Juzgado Federal núm. 1 de Morón y la Fiscalía Federal núm. 1 de Morón. </w:t>
      </w:r>
    </w:p>
  </w:footnote>
  <w:footnote w:id="22">
    <w:p w:rsidR="004411B6" w:rsidRDefault="004411B6">
      <w:pPr>
        <w:pStyle w:val="Textonotapie"/>
      </w:pPr>
      <w:r>
        <w:tab/>
      </w:r>
      <w:r>
        <w:rPr>
          <w:rStyle w:val="Refdenotaalpie"/>
        </w:rPr>
        <w:footnoteRef/>
      </w:r>
      <w:r>
        <w:tab/>
        <w:t>Fondo de fomento concursable para medios de comunicación audiovisual, art. 97 inc. f de la Ley núm. 26522.</w:t>
      </w:r>
    </w:p>
  </w:footnote>
  <w:footnote w:id="23">
    <w:p w:rsidR="004411B6" w:rsidRDefault="004411B6">
      <w:pPr>
        <w:pStyle w:val="Textonotapie"/>
      </w:pPr>
      <w:r>
        <w:tab/>
      </w:r>
      <w:r>
        <w:rPr>
          <w:rStyle w:val="Refdenotaalpie"/>
        </w:rPr>
        <w:footnoteRef/>
      </w:r>
      <w:r>
        <w:tab/>
        <w:t>SIIPPNAF – Principales resultados 2014.</w:t>
      </w:r>
    </w:p>
  </w:footnote>
  <w:footnote w:id="24">
    <w:p w:rsidR="004411B6" w:rsidRDefault="004411B6">
      <w:pPr>
        <w:pStyle w:val="Textonotapie"/>
      </w:pPr>
      <w:r>
        <w:tab/>
      </w:r>
      <w:r>
        <w:rPr>
          <w:rStyle w:val="Refdenotaalpie"/>
        </w:rPr>
        <w:footnoteRef/>
      </w:r>
      <w:r>
        <w:tab/>
        <w:t>http://portales.educacion.gov.ar/infd/files/2013/04/Res-CFE-174_12.pdf.</w:t>
      </w:r>
    </w:p>
  </w:footnote>
  <w:footnote w:id="25">
    <w:p w:rsidR="004411B6" w:rsidRDefault="004411B6">
      <w:pPr>
        <w:pStyle w:val="Textonotapie"/>
      </w:pPr>
      <w:r>
        <w:tab/>
      </w:r>
      <w:r>
        <w:rPr>
          <w:rStyle w:val="Refdenotaalpie"/>
        </w:rPr>
        <w:footnoteRef/>
      </w:r>
      <w:r>
        <w:tab/>
      </w:r>
      <w:r w:rsidRPr="00500FFB">
        <w:rPr>
          <w:i/>
        </w:rPr>
        <w:t>Fuente:</w:t>
      </w:r>
      <w:r>
        <w:t xml:space="preserve"> ANSES.</w:t>
      </w:r>
    </w:p>
  </w:footnote>
  <w:footnote w:id="26">
    <w:p w:rsidR="004411B6" w:rsidRDefault="004411B6">
      <w:pPr>
        <w:pStyle w:val="Textonotapie"/>
      </w:pPr>
      <w:r>
        <w:tab/>
      </w:r>
      <w:r>
        <w:rPr>
          <w:rStyle w:val="Refdenotaalpie"/>
        </w:rPr>
        <w:footnoteRef/>
      </w:r>
      <w:r>
        <w:tab/>
        <w:t>Salud Materno Infantil Diagnóstico de situación República Argentina, 2005-2014.</w:t>
      </w:r>
    </w:p>
  </w:footnote>
  <w:footnote w:id="27">
    <w:p w:rsidR="004411B6" w:rsidRDefault="004411B6">
      <w:pPr>
        <w:pStyle w:val="Textonotapie"/>
      </w:pPr>
      <w:r>
        <w:tab/>
      </w:r>
      <w:r>
        <w:rPr>
          <w:rStyle w:val="Refdenotaalpie"/>
        </w:rPr>
        <w:footnoteRef/>
      </w:r>
      <w:r>
        <w:tab/>
        <w:t>http://www.msal.gob.ar/ent/images/stories/vigilancia/pdf/2014-09_informe-EMSE-2012.pdf.</w:t>
      </w:r>
    </w:p>
  </w:footnote>
  <w:footnote w:id="28">
    <w:p w:rsidR="004411B6" w:rsidRPr="00AD620F" w:rsidRDefault="004411B6">
      <w:pPr>
        <w:pStyle w:val="Textonotapie"/>
        <w:widowControl w:val="0"/>
        <w:tabs>
          <w:tab w:val="clear" w:pos="1021"/>
          <w:tab w:val="right" w:pos="1020"/>
        </w:tabs>
        <w:suppressAutoHyphens/>
      </w:pPr>
      <w:r>
        <w:tab/>
      </w:r>
      <w:r>
        <w:rPr>
          <w:rStyle w:val="Refdenotaalpie"/>
        </w:rPr>
        <w:footnoteRef/>
      </w:r>
      <w:r>
        <w:tab/>
        <w:t>http://www.observatorio.gov.ar/media/k2/attachments/VIZEstudioZNacionalZaZEstudiantes</w:t>
      </w:r>
      <w:r>
        <w:br/>
        <w:t>ZdeZNivelZMedioZCENTROZ-ZAoZ2014.pdf.</w:t>
      </w:r>
    </w:p>
  </w:footnote>
  <w:footnote w:id="29">
    <w:p w:rsidR="004411B6" w:rsidRDefault="004411B6">
      <w:pPr>
        <w:pStyle w:val="Textonotapie"/>
      </w:pPr>
      <w:r>
        <w:tab/>
      </w:r>
      <w:r>
        <w:rPr>
          <w:rStyle w:val="Refdenotaalpie"/>
        </w:rPr>
        <w:footnoteRef/>
      </w:r>
      <w:r>
        <w:tab/>
      </w:r>
      <w:r>
        <w:rPr>
          <w:rFonts w:eastAsia="Calibri"/>
        </w:rPr>
        <w:t>Resolución núm. 217/14.</w:t>
      </w:r>
    </w:p>
  </w:footnote>
  <w:footnote w:id="30">
    <w:p w:rsidR="004411B6" w:rsidRDefault="004411B6">
      <w:pPr>
        <w:pStyle w:val="Textonotapie"/>
      </w:pPr>
      <w:r>
        <w:tab/>
      </w:r>
      <w:r>
        <w:rPr>
          <w:rStyle w:val="Refdenotaalpie"/>
        </w:rPr>
        <w:footnoteRef/>
      </w:r>
      <w:r>
        <w:tab/>
        <w:t>Resolución PGN núm. 805/13.</w:t>
      </w:r>
    </w:p>
  </w:footnote>
  <w:footnote w:id="31">
    <w:p w:rsidR="004411B6" w:rsidRDefault="004411B6">
      <w:pPr>
        <w:pStyle w:val="Textonotapie"/>
      </w:pPr>
      <w:r>
        <w:tab/>
      </w:r>
      <w:r>
        <w:rPr>
          <w:rStyle w:val="Refdenotaalpie"/>
        </w:rPr>
        <w:footnoteRef/>
      </w:r>
      <w:r>
        <w:tab/>
        <w:t>http://www.mpf.gob.ar/dictamenes/2016/VAbramovich/marzo/MPD_FCB_35784_2013.pdf.</w:t>
      </w:r>
    </w:p>
  </w:footnote>
  <w:footnote w:id="32">
    <w:p w:rsidR="004411B6" w:rsidRDefault="004411B6">
      <w:pPr>
        <w:pStyle w:val="Textonotapie"/>
      </w:pPr>
      <w:r>
        <w:tab/>
      </w:r>
      <w:r>
        <w:rPr>
          <w:rStyle w:val="Refdenotaalpie"/>
        </w:rPr>
        <w:footnoteRef/>
      </w:r>
      <w:r>
        <w:tab/>
        <w:t>http://www.mpf.gob.ar/dictamenes/2015/VAbramovich/diciembre/NL_FRO_2365_2014_RH1.pdf.</w:t>
      </w:r>
    </w:p>
  </w:footnote>
  <w:footnote w:id="33">
    <w:p w:rsidR="004411B6" w:rsidRDefault="004411B6">
      <w:pPr>
        <w:pStyle w:val="Textonotapie"/>
        <w:widowControl w:val="0"/>
        <w:tabs>
          <w:tab w:val="clear" w:pos="1021"/>
          <w:tab w:val="right" w:pos="1020"/>
        </w:tabs>
        <w:suppressAutoHyphens/>
        <w:rPr>
          <w:lang w:val="fr-CH"/>
        </w:rPr>
      </w:pPr>
      <w:r>
        <w:tab/>
      </w:r>
      <w:r>
        <w:rPr>
          <w:rStyle w:val="Refdenotaalpie"/>
        </w:rPr>
        <w:footnoteRef/>
      </w:r>
      <w:r>
        <w:tab/>
        <w:t>Resolución 2005/20 ECOSOC.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1B6" w:rsidRDefault="004411B6">
    <w:pPr>
      <w:pStyle w:val="Encabezado"/>
    </w:pPr>
    <w:r>
      <w:t>CRC/C/ARG/5-6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1B6" w:rsidRDefault="004411B6">
    <w:pPr>
      <w:pStyle w:val="Encabezado"/>
      <w:jc w:val="right"/>
    </w:pPr>
    <w:r>
      <w:t>CRC/C/ARG/5-6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F4F98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EF0C94"/>
    <w:multiLevelType w:val="hybridMultilevel"/>
    <w:tmpl w:val="DBBEB3E6"/>
    <w:lvl w:ilvl="0" w:tplc="9A9E2F16">
      <w:numFmt w:val="bullet"/>
      <w:lvlText w:val=""/>
      <w:lvlJc w:val="left"/>
      <w:pPr>
        <w:ind w:left="720" w:hanging="360"/>
      </w:pPr>
      <w:rPr>
        <w:rFonts w:ascii="Symbol" w:eastAsia="Calibri"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6CD0608"/>
    <w:multiLevelType w:val="hybridMultilevel"/>
    <w:tmpl w:val="5D2239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A85402"/>
    <w:multiLevelType w:val="hybridMultilevel"/>
    <w:tmpl w:val="19E834D2"/>
    <w:lvl w:ilvl="0" w:tplc="B1989288">
      <w:start w:val="1"/>
      <w:numFmt w:val="decimal"/>
      <w:lvlText w:val="%1."/>
      <w:lvlJc w:val="left"/>
      <w:pPr>
        <w:ind w:left="1854" w:hanging="360"/>
      </w:pPr>
      <w:rPr>
        <w:b w:val="0"/>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09D84A92"/>
    <w:multiLevelType w:val="hybridMultilevel"/>
    <w:tmpl w:val="D1A6709E"/>
    <w:lvl w:ilvl="0" w:tplc="756AFD8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2A2A0C"/>
    <w:multiLevelType w:val="hybridMultilevel"/>
    <w:tmpl w:val="C7E42F26"/>
    <w:lvl w:ilvl="0" w:tplc="9DB81BB8">
      <w:numFmt w:val="bullet"/>
      <w:lvlText w:val="-"/>
      <w:lvlJc w:val="left"/>
      <w:pPr>
        <w:ind w:left="644" w:hanging="360"/>
      </w:pPr>
      <w:rPr>
        <w:rFonts w:ascii="Arial" w:eastAsia="Times New Roman" w:hAnsi="Arial" w:cs="Arial"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15" w15:restartNumberingAfterBreak="0">
    <w:nsid w:val="15CE27A7"/>
    <w:multiLevelType w:val="hybridMultilevel"/>
    <w:tmpl w:val="73AE720A"/>
    <w:lvl w:ilvl="0" w:tplc="D4B4BE7E">
      <w:numFmt w:val="bullet"/>
      <w:lvlText w:val="-"/>
      <w:lvlJc w:val="left"/>
      <w:pPr>
        <w:ind w:left="720" w:hanging="360"/>
      </w:pPr>
      <w:rPr>
        <w:rFonts w:ascii="Times New Roman" w:eastAsia="Calibr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93D3995"/>
    <w:multiLevelType w:val="hybridMultilevel"/>
    <w:tmpl w:val="38601ED8"/>
    <w:lvl w:ilvl="0" w:tplc="272AE6C2">
      <w:start w:val="1"/>
      <w:numFmt w:val="upperRoman"/>
      <w:lvlText w:val="%1."/>
      <w:lvlJc w:val="left"/>
      <w:pPr>
        <w:ind w:left="1425" w:hanging="720"/>
      </w:pPr>
      <w:rPr>
        <w:rFonts w:hint="default"/>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17" w15:restartNumberingAfterBreak="0">
    <w:nsid w:val="298C0897"/>
    <w:multiLevelType w:val="hybridMultilevel"/>
    <w:tmpl w:val="12E2C9E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2A455270"/>
    <w:multiLevelType w:val="hybridMultilevel"/>
    <w:tmpl w:val="BD4ED3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F673A4"/>
    <w:multiLevelType w:val="hybridMultilevel"/>
    <w:tmpl w:val="0A440FB2"/>
    <w:lvl w:ilvl="0" w:tplc="9538071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050E30"/>
    <w:multiLevelType w:val="hybridMultilevel"/>
    <w:tmpl w:val="B1627E9A"/>
    <w:lvl w:ilvl="0" w:tplc="067064C0">
      <w:start w:val="2"/>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1F343B2"/>
    <w:multiLevelType w:val="hybridMultilevel"/>
    <w:tmpl w:val="5FA0D0CC"/>
    <w:lvl w:ilvl="0" w:tplc="2C0A0019">
      <w:start w:val="1"/>
      <w:numFmt w:val="lowerLetter"/>
      <w:lvlText w:val="%1."/>
      <w:lvlJc w:val="left"/>
      <w:pPr>
        <w:ind w:left="1353" w:hanging="360"/>
      </w:pPr>
      <w:rPr>
        <w:rFonts w:hint="default"/>
      </w:rPr>
    </w:lvl>
    <w:lvl w:ilvl="1" w:tplc="2C0A0019" w:tentative="1">
      <w:start w:val="1"/>
      <w:numFmt w:val="lowerLetter"/>
      <w:lvlText w:val="%2."/>
      <w:lvlJc w:val="left"/>
      <w:pPr>
        <w:ind w:left="2073" w:hanging="360"/>
      </w:pPr>
    </w:lvl>
    <w:lvl w:ilvl="2" w:tplc="2C0A001B" w:tentative="1">
      <w:start w:val="1"/>
      <w:numFmt w:val="lowerRoman"/>
      <w:lvlText w:val="%3."/>
      <w:lvlJc w:val="right"/>
      <w:pPr>
        <w:ind w:left="2793" w:hanging="180"/>
      </w:pPr>
    </w:lvl>
    <w:lvl w:ilvl="3" w:tplc="2C0A000F" w:tentative="1">
      <w:start w:val="1"/>
      <w:numFmt w:val="decimal"/>
      <w:lvlText w:val="%4."/>
      <w:lvlJc w:val="left"/>
      <w:pPr>
        <w:ind w:left="3513" w:hanging="360"/>
      </w:pPr>
    </w:lvl>
    <w:lvl w:ilvl="4" w:tplc="2C0A0019" w:tentative="1">
      <w:start w:val="1"/>
      <w:numFmt w:val="lowerLetter"/>
      <w:lvlText w:val="%5."/>
      <w:lvlJc w:val="left"/>
      <w:pPr>
        <w:ind w:left="4233" w:hanging="360"/>
      </w:pPr>
    </w:lvl>
    <w:lvl w:ilvl="5" w:tplc="2C0A001B" w:tentative="1">
      <w:start w:val="1"/>
      <w:numFmt w:val="lowerRoman"/>
      <w:lvlText w:val="%6."/>
      <w:lvlJc w:val="right"/>
      <w:pPr>
        <w:ind w:left="4953" w:hanging="180"/>
      </w:pPr>
    </w:lvl>
    <w:lvl w:ilvl="6" w:tplc="2C0A000F" w:tentative="1">
      <w:start w:val="1"/>
      <w:numFmt w:val="decimal"/>
      <w:lvlText w:val="%7."/>
      <w:lvlJc w:val="left"/>
      <w:pPr>
        <w:ind w:left="5673" w:hanging="360"/>
      </w:pPr>
    </w:lvl>
    <w:lvl w:ilvl="7" w:tplc="2C0A0019" w:tentative="1">
      <w:start w:val="1"/>
      <w:numFmt w:val="lowerLetter"/>
      <w:lvlText w:val="%8."/>
      <w:lvlJc w:val="left"/>
      <w:pPr>
        <w:ind w:left="6393" w:hanging="360"/>
      </w:pPr>
    </w:lvl>
    <w:lvl w:ilvl="8" w:tplc="2C0A001B" w:tentative="1">
      <w:start w:val="1"/>
      <w:numFmt w:val="lowerRoman"/>
      <w:lvlText w:val="%9."/>
      <w:lvlJc w:val="right"/>
      <w:pPr>
        <w:ind w:left="7113" w:hanging="180"/>
      </w:pPr>
    </w:lvl>
  </w:abstractNum>
  <w:abstractNum w:abstractNumId="23" w15:restartNumberingAfterBreak="0">
    <w:nsid w:val="44595964"/>
    <w:multiLevelType w:val="hybridMultilevel"/>
    <w:tmpl w:val="AA249248"/>
    <w:lvl w:ilvl="0" w:tplc="28B065F4">
      <w:numFmt w:val="bullet"/>
      <w:lvlText w:val="-"/>
      <w:lvlJc w:val="left"/>
      <w:pPr>
        <w:ind w:left="644" w:hanging="360"/>
      </w:pPr>
      <w:rPr>
        <w:rFonts w:ascii="Arial" w:eastAsia="Times New Roman" w:hAnsi="Arial" w:cs="Arial" w:hint="default"/>
      </w:rPr>
    </w:lvl>
    <w:lvl w:ilvl="1" w:tplc="2C0A0003" w:tentative="1">
      <w:start w:val="1"/>
      <w:numFmt w:val="bullet"/>
      <w:lvlText w:val="o"/>
      <w:lvlJc w:val="left"/>
      <w:pPr>
        <w:ind w:left="1364" w:hanging="360"/>
      </w:pPr>
      <w:rPr>
        <w:rFonts w:ascii="Courier New" w:hAnsi="Courier New" w:cs="Courier New" w:hint="default"/>
      </w:rPr>
    </w:lvl>
    <w:lvl w:ilvl="2" w:tplc="2C0A0005" w:tentative="1">
      <w:start w:val="1"/>
      <w:numFmt w:val="bullet"/>
      <w:lvlText w:val=""/>
      <w:lvlJc w:val="left"/>
      <w:pPr>
        <w:ind w:left="2084" w:hanging="360"/>
      </w:pPr>
      <w:rPr>
        <w:rFonts w:ascii="Wingdings" w:hAnsi="Wingdings" w:hint="default"/>
      </w:rPr>
    </w:lvl>
    <w:lvl w:ilvl="3" w:tplc="2C0A0001" w:tentative="1">
      <w:start w:val="1"/>
      <w:numFmt w:val="bullet"/>
      <w:lvlText w:val=""/>
      <w:lvlJc w:val="left"/>
      <w:pPr>
        <w:ind w:left="2804" w:hanging="360"/>
      </w:pPr>
      <w:rPr>
        <w:rFonts w:ascii="Symbol" w:hAnsi="Symbol" w:hint="default"/>
      </w:rPr>
    </w:lvl>
    <w:lvl w:ilvl="4" w:tplc="2C0A0003" w:tentative="1">
      <w:start w:val="1"/>
      <w:numFmt w:val="bullet"/>
      <w:lvlText w:val="o"/>
      <w:lvlJc w:val="left"/>
      <w:pPr>
        <w:ind w:left="3524" w:hanging="360"/>
      </w:pPr>
      <w:rPr>
        <w:rFonts w:ascii="Courier New" w:hAnsi="Courier New" w:cs="Courier New" w:hint="default"/>
      </w:rPr>
    </w:lvl>
    <w:lvl w:ilvl="5" w:tplc="2C0A0005" w:tentative="1">
      <w:start w:val="1"/>
      <w:numFmt w:val="bullet"/>
      <w:lvlText w:val=""/>
      <w:lvlJc w:val="left"/>
      <w:pPr>
        <w:ind w:left="4244" w:hanging="360"/>
      </w:pPr>
      <w:rPr>
        <w:rFonts w:ascii="Wingdings" w:hAnsi="Wingdings" w:hint="default"/>
      </w:rPr>
    </w:lvl>
    <w:lvl w:ilvl="6" w:tplc="2C0A0001" w:tentative="1">
      <w:start w:val="1"/>
      <w:numFmt w:val="bullet"/>
      <w:lvlText w:val=""/>
      <w:lvlJc w:val="left"/>
      <w:pPr>
        <w:ind w:left="4964" w:hanging="360"/>
      </w:pPr>
      <w:rPr>
        <w:rFonts w:ascii="Symbol" w:hAnsi="Symbol" w:hint="default"/>
      </w:rPr>
    </w:lvl>
    <w:lvl w:ilvl="7" w:tplc="2C0A0003" w:tentative="1">
      <w:start w:val="1"/>
      <w:numFmt w:val="bullet"/>
      <w:lvlText w:val="o"/>
      <w:lvlJc w:val="left"/>
      <w:pPr>
        <w:ind w:left="5684" w:hanging="360"/>
      </w:pPr>
      <w:rPr>
        <w:rFonts w:ascii="Courier New" w:hAnsi="Courier New" w:cs="Courier New" w:hint="default"/>
      </w:rPr>
    </w:lvl>
    <w:lvl w:ilvl="8" w:tplc="2C0A0005" w:tentative="1">
      <w:start w:val="1"/>
      <w:numFmt w:val="bullet"/>
      <w:lvlText w:val=""/>
      <w:lvlJc w:val="left"/>
      <w:pPr>
        <w:ind w:left="6404" w:hanging="360"/>
      </w:pPr>
      <w:rPr>
        <w:rFonts w:ascii="Wingdings" w:hAnsi="Wingdings" w:hint="default"/>
      </w:rPr>
    </w:lvl>
  </w:abstractNum>
  <w:abstractNum w:abstractNumId="24" w15:restartNumberingAfterBreak="0">
    <w:nsid w:val="4E857C87"/>
    <w:multiLevelType w:val="hybridMultilevel"/>
    <w:tmpl w:val="AD2AA204"/>
    <w:lvl w:ilvl="0" w:tplc="20E2F6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61532F"/>
    <w:multiLevelType w:val="hybridMultilevel"/>
    <w:tmpl w:val="01AA1552"/>
    <w:lvl w:ilvl="0" w:tplc="110AEA82">
      <w:start w:val="1"/>
      <w:numFmt w:val="decimal"/>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5493541A"/>
    <w:multiLevelType w:val="hybridMultilevel"/>
    <w:tmpl w:val="C98A29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62D4D"/>
    <w:multiLevelType w:val="hybridMultilevel"/>
    <w:tmpl w:val="C90EC7F0"/>
    <w:lvl w:ilvl="0" w:tplc="6876164C">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A91DEE"/>
    <w:multiLevelType w:val="hybridMultilevel"/>
    <w:tmpl w:val="DE6A3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B132BCE"/>
    <w:multiLevelType w:val="hybridMultilevel"/>
    <w:tmpl w:val="639A8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6B006F"/>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61455D17"/>
    <w:multiLevelType w:val="hybridMultilevel"/>
    <w:tmpl w:val="61766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75504931"/>
    <w:multiLevelType w:val="hybridMultilevel"/>
    <w:tmpl w:val="9C7480F4"/>
    <w:lvl w:ilvl="0" w:tplc="6156AF4C">
      <w:start w:val="1"/>
      <w:numFmt w:val="decimal"/>
      <w:lvlText w:val="%1)"/>
      <w:lvlJc w:val="left"/>
      <w:pPr>
        <w:ind w:left="-207" w:hanging="360"/>
      </w:pPr>
      <w:rPr>
        <w:rFonts w:hint="default"/>
        <w:b/>
      </w:rPr>
    </w:lvl>
    <w:lvl w:ilvl="1" w:tplc="2C0A0019" w:tentative="1">
      <w:start w:val="1"/>
      <w:numFmt w:val="lowerLetter"/>
      <w:lvlText w:val="%2."/>
      <w:lvlJc w:val="left"/>
      <w:pPr>
        <w:ind w:left="513" w:hanging="360"/>
      </w:pPr>
    </w:lvl>
    <w:lvl w:ilvl="2" w:tplc="2C0A001B" w:tentative="1">
      <w:start w:val="1"/>
      <w:numFmt w:val="lowerRoman"/>
      <w:lvlText w:val="%3."/>
      <w:lvlJc w:val="right"/>
      <w:pPr>
        <w:ind w:left="1233" w:hanging="180"/>
      </w:pPr>
    </w:lvl>
    <w:lvl w:ilvl="3" w:tplc="2C0A000F" w:tentative="1">
      <w:start w:val="1"/>
      <w:numFmt w:val="decimal"/>
      <w:lvlText w:val="%4."/>
      <w:lvlJc w:val="left"/>
      <w:pPr>
        <w:ind w:left="1953" w:hanging="360"/>
      </w:pPr>
    </w:lvl>
    <w:lvl w:ilvl="4" w:tplc="2C0A0019" w:tentative="1">
      <w:start w:val="1"/>
      <w:numFmt w:val="lowerLetter"/>
      <w:lvlText w:val="%5."/>
      <w:lvlJc w:val="left"/>
      <w:pPr>
        <w:ind w:left="2673" w:hanging="360"/>
      </w:pPr>
    </w:lvl>
    <w:lvl w:ilvl="5" w:tplc="2C0A001B" w:tentative="1">
      <w:start w:val="1"/>
      <w:numFmt w:val="lowerRoman"/>
      <w:lvlText w:val="%6."/>
      <w:lvlJc w:val="right"/>
      <w:pPr>
        <w:ind w:left="3393" w:hanging="180"/>
      </w:pPr>
    </w:lvl>
    <w:lvl w:ilvl="6" w:tplc="2C0A000F" w:tentative="1">
      <w:start w:val="1"/>
      <w:numFmt w:val="decimal"/>
      <w:lvlText w:val="%7."/>
      <w:lvlJc w:val="left"/>
      <w:pPr>
        <w:ind w:left="4113" w:hanging="360"/>
      </w:pPr>
    </w:lvl>
    <w:lvl w:ilvl="7" w:tplc="2C0A0019" w:tentative="1">
      <w:start w:val="1"/>
      <w:numFmt w:val="lowerLetter"/>
      <w:lvlText w:val="%8."/>
      <w:lvlJc w:val="left"/>
      <w:pPr>
        <w:ind w:left="4833" w:hanging="360"/>
      </w:pPr>
    </w:lvl>
    <w:lvl w:ilvl="8" w:tplc="2C0A001B" w:tentative="1">
      <w:start w:val="1"/>
      <w:numFmt w:val="lowerRoman"/>
      <w:lvlText w:val="%9."/>
      <w:lvlJc w:val="right"/>
      <w:pPr>
        <w:ind w:left="5553" w:hanging="180"/>
      </w:pPr>
    </w:lvl>
  </w:abstractNum>
  <w:abstractNum w:abstractNumId="35" w15:restartNumberingAfterBreak="0">
    <w:nsid w:val="78C20317"/>
    <w:multiLevelType w:val="hybridMultilevel"/>
    <w:tmpl w:val="D7E04788"/>
    <w:lvl w:ilvl="0" w:tplc="E7AC6A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D71E7B"/>
    <w:multiLevelType w:val="hybridMultilevel"/>
    <w:tmpl w:val="F62CB012"/>
    <w:lvl w:ilvl="0" w:tplc="2F9A6BC6">
      <w:start w:val="1"/>
      <w:numFmt w:val="upperRoman"/>
      <w:lvlText w:val="%1."/>
      <w:lvlJc w:val="left"/>
      <w:pPr>
        <w:tabs>
          <w:tab w:val="num" w:pos="1155"/>
        </w:tabs>
        <w:ind w:left="1155" w:hanging="720"/>
      </w:pPr>
      <w:rPr>
        <w:rFonts w:ascii="Times New Roman" w:eastAsia="Times New Roman" w:hAnsi="Times New Roman" w:cs="Times New Roman"/>
      </w:rPr>
    </w:lvl>
    <w:lvl w:ilvl="1" w:tplc="0C0A0019" w:tentative="1">
      <w:start w:val="1"/>
      <w:numFmt w:val="lowerLetter"/>
      <w:lvlText w:val="%2."/>
      <w:lvlJc w:val="left"/>
      <w:pPr>
        <w:tabs>
          <w:tab w:val="num" w:pos="1515"/>
        </w:tabs>
        <w:ind w:left="1515" w:hanging="360"/>
      </w:pPr>
    </w:lvl>
    <w:lvl w:ilvl="2" w:tplc="0C0A001B" w:tentative="1">
      <w:start w:val="1"/>
      <w:numFmt w:val="lowerRoman"/>
      <w:lvlText w:val="%3."/>
      <w:lvlJc w:val="right"/>
      <w:pPr>
        <w:tabs>
          <w:tab w:val="num" w:pos="2235"/>
        </w:tabs>
        <w:ind w:left="2235" w:hanging="180"/>
      </w:pPr>
    </w:lvl>
    <w:lvl w:ilvl="3" w:tplc="0C0A000F" w:tentative="1">
      <w:start w:val="1"/>
      <w:numFmt w:val="decimal"/>
      <w:lvlText w:val="%4."/>
      <w:lvlJc w:val="left"/>
      <w:pPr>
        <w:tabs>
          <w:tab w:val="num" w:pos="2955"/>
        </w:tabs>
        <w:ind w:left="2955" w:hanging="360"/>
      </w:pPr>
    </w:lvl>
    <w:lvl w:ilvl="4" w:tplc="0C0A0019" w:tentative="1">
      <w:start w:val="1"/>
      <w:numFmt w:val="lowerLetter"/>
      <w:lvlText w:val="%5."/>
      <w:lvlJc w:val="left"/>
      <w:pPr>
        <w:tabs>
          <w:tab w:val="num" w:pos="3675"/>
        </w:tabs>
        <w:ind w:left="3675" w:hanging="360"/>
      </w:pPr>
    </w:lvl>
    <w:lvl w:ilvl="5" w:tplc="0C0A001B" w:tentative="1">
      <w:start w:val="1"/>
      <w:numFmt w:val="lowerRoman"/>
      <w:lvlText w:val="%6."/>
      <w:lvlJc w:val="right"/>
      <w:pPr>
        <w:tabs>
          <w:tab w:val="num" w:pos="4395"/>
        </w:tabs>
        <w:ind w:left="4395" w:hanging="180"/>
      </w:pPr>
    </w:lvl>
    <w:lvl w:ilvl="6" w:tplc="0C0A000F" w:tentative="1">
      <w:start w:val="1"/>
      <w:numFmt w:val="decimal"/>
      <w:lvlText w:val="%7."/>
      <w:lvlJc w:val="left"/>
      <w:pPr>
        <w:tabs>
          <w:tab w:val="num" w:pos="5115"/>
        </w:tabs>
        <w:ind w:left="5115" w:hanging="360"/>
      </w:pPr>
    </w:lvl>
    <w:lvl w:ilvl="7" w:tplc="0C0A0019" w:tentative="1">
      <w:start w:val="1"/>
      <w:numFmt w:val="lowerLetter"/>
      <w:lvlText w:val="%8."/>
      <w:lvlJc w:val="left"/>
      <w:pPr>
        <w:tabs>
          <w:tab w:val="num" w:pos="5835"/>
        </w:tabs>
        <w:ind w:left="5835" w:hanging="360"/>
      </w:pPr>
    </w:lvl>
    <w:lvl w:ilvl="8" w:tplc="0C0A001B" w:tentative="1">
      <w:start w:val="1"/>
      <w:numFmt w:val="lowerRoman"/>
      <w:lvlText w:val="%9."/>
      <w:lvlJc w:val="right"/>
      <w:pPr>
        <w:tabs>
          <w:tab w:val="num" w:pos="6555"/>
        </w:tabs>
        <w:ind w:left="6555" w:hanging="180"/>
      </w:pPr>
    </w:lvl>
  </w:abstractNum>
  <w:abstractNum w:abstractNumId="37"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15:restartNumberingAfterBreak="0">
    <w:nsid w:val="7A1A1998"/>
    <w:multiLevelType w:val="hybridMultilevel"/>
    <w:tmpl w:val="31EE0834"/>
    <w:lvl w:ilvl="0" w:tplc="FA507B6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37"/>
  </w:num>
  <w:num w:numId="4">
    <w:abstractNumId w:val="33"/>
  </w:num>
  <w:num w:numId="5">
    <w:abstractNumId w:val="30"/>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36"/>
  </w:num>
  <w:num w:numId="17">
    <w:abstractNumId w:val="27"/>
  </w:num>
  <w:num w:numId="18">
    <w:abstractNumId w:val="31"/>
  </w:num>
  <w:num w:numId="19">
    <w:abstractNumId w:val="29"/>
  </w:num>
  <w:num w:numId="20">
    <w:abstractNumId w:val="20"/>
  </w:num>
  <w:num w:numId="21">
    <w:abstractNumId w:val="24"/>
  </w:num>
  <w:num w:numId="22">
    <w:abstractNumId w:val="21"/>
  </w:num>
  <w:num w:numId="23">
    <w:abstractNumId w:val="14"/>
  </w:num>
  <w:num w:numId="24">
    <w:abstractNumId w:val="11"/>
  </w:num>
  <w:num w:numId="25">
    <w:abstractNumId w:val="23"/>
  </w:num>
  <w:num w:numId="26">
    <w:abstractNumId w:val="17"/>
  </w:num>
  <w:num w:numId="27">
    <w:abstractNumId w:val="22"/>
  </w:num>
  <w:num w:numId="28">
    <w:abstractNumId w:val="35"/>
  </w:num>
  <w:num w:numId="29">
    <w:abstractNumId w:val="18"/>
  </w:num>
  <w:num w:numId="30">
    <w:abstractNumId w:val="26"/>
  </w:num>
  <w:num w:numId="31">
    <w:abstractNumId w:val="10"/>
  </w:num>
  <w:num w:numId="32">
    <w:abstractNumId w:val="13"/>
  </w:num>
  <w:num w:numId="33">
    <w:abstractNumId w:val="15"/>
  </w:num>
  <w:num w:numId="34">
    <w:abstractNumId w:val="34"/>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8"/>
  </w:num>
  <w:num w:numId="38">
    <w:abstractNumId w:val="28"/>
  </w:num>
  <w:num w:numId="39">
    <w:abstractNumId w:val="12"/>
  </w:num>
  <w:num w:numId="40">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DAA"/>
    <w:rsid w:val="000B7ED8"/>
    <w:rsid w:val="0010755A"/>
    <w:rsid w:val="00115B35"/>
    <w:rsid w:val="00130607"/>
    <w:rsid w:val="00177204"/>
    <w:rsid w:val="001C4899"/>
    <w:rsid w:val="001D5DDE"/>
    <w:rsid w:val="001D5E7F"/>
    <w:rsid w:val="001E4A0E"/>
    <w:rsid w:val="001E76DE"/>
    <w:rsid w:val="00232E07"/>
    <w:rsid w:val="00283D79"/>
    <w:rsid w:val="002D2FE4"/>
    <w:rsid w:val="002F50CE"/>
    <w:rsid w:val="003309C9"/>
    <w:rsid w:val="003773E2"/>
    <w:rsid w:val="004411B6"/>
    <w:rsid w:val="004722A5"/>
    <w:rsid w:val="004B1CD5"/>
    <w:rsid w:val="004C17DB"/>
    <w:rsid w:val="00500FFB"/>
    <w:rsid w:val="0052144D"/>
    <w:rsid w:val="0053240E"/>
    <w:rsid w:val="00542A88"/>
    <w:rsid w:val="00594EB2"/>
    <w:rsid w:val="005A5411"/>
    <w:rsid w:val="005C512D"/>
    <w:rsid w:val="005D5480"/>
    <w:rsid w:val="00620F56"/>
    <w:rsid w:val="006308D1"/>
    <w:rsid w:val="00686E9E"/>
    <w:rsid w:val="006B46D4"/>
    <w:rsid w:val="006D286C"/>
    <w:rsid w:val="00700FA0"/>
    <w:rsid w:val="007203F4"/>
    <w:rsid w:val="007B6F5F"/>
    <w:rsid w:val="007C1E21"/>
    <w:rsid w:val="00800CE6"/>
    <w:rsid w:val="0080667C"/>
    <w:rsid w:val="00812BC0"/>
    <w:rsid w:val="00851377"/>
    <w:rsid w:val="008A1A80"/>
    <w:rsid w:val="008C4B84"/>
    <w:rsid w:val="008F77A5"/>
    <w:rsid w:val="00A45CE4"/>
    <w:rsid w:val="00A50807"/>
    <w:rsid w:val="00AA455D"/>
    <w:rsid w:val="00AD620F"/>
    <w:rsid w:val="00B1146A"/>
    <w:rsid w:val="00B9425B"/>
    <w:rsid w:val="00BC45E2"/>
    <w:rsid w:val="00C21DAA"/>
    <w:rsid w:val="00C2305A"/>
    <w:rsid w:val="00C37936"/>
    <w:rsid w:val="00CD5E72"/>
    <w:rsid w:val="00D273CE"/>
    <w:rsid w:val="00D5464A"/>
    <w:rsid w:val="00D55A27"/>
    <w:rsid w:val="00D67A98"/>
    <w:rsid w:val="00DF1C7B"/>
    <w:rsid w:val="00E60DCC"/>
    <w:rsid w:val="00F369EE"/>
    <w:rsid w:val="00F837AF"/>
    <w:rsid w:val="00F83CD1"/>
    <w:rsid w:val="00F90A3A"/>
    <w:rsid w:val="00FD30E3"/>
    <w:rsid w:val="00FE07FE"/>
    <w:rsid w:val="00FE652D"/>
    <w:rsid w:val="00FF72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15:docId w15:val="{9D7D195C-1CDE-4E8B-8805-55B6017A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tLeast"/>
    </w:pPr>
  </w:style>
  <w:style w:type="paragraph" w:styleId="Ttulo1">
    <w:name w:val="heading 1"/>
    <w:aliases w:val="Table_G"/>
    <w:basedOn w:val="SingleTxtG"/>
    <w:next w:val="SingleTxtG"/>
    <w:qFormat/>
    <w:pPr>
      <w:keepNext/>
      <w:spacing w:after="0" w:line="240" w:lineRule="auto"/>
      <w:outlineLvl w:val="0"/>
    </w:pPr>
    <w:rPr>
      <w:rFonts w:cs="Arial"/>
      <w:bCs/>
      <w:szCs w:val="32"/>
    </w:rPr>
  </w:style>
  <w:style w:type="paragraph" w:styleId="Ttulo2">
    <w:name w:val="heading 2"/>
    <w:basedOn w:val="Normal"/>
    <w:next w:val="Normal"/>
    <w:qFormat/>
    <w:pPr>
      <w:keepNext/>
      <w:outlineLvl w:val="1"/>
    </w:pPr>
    <w:rPr>
      <w:rFonts w:cs="Arial"/>
      <w:bCs/>
      <w:iCs/>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4_G,Footnotes refss,Texto de nota al pie,Ref,de nota al pie,normal,Appel note de bas de page,Footnote number,referencia nota al pie,BVI fnr,f,16 Point,Superscript 6 Point,Texto nota al pie,Footnote Reference Char3,Footnote symbol"/>
    <w:qFormat/>
    <w:rPr>
      <w:rFonts w:ascii="Times New Roman" w:hAnsi="Times New Roman"/>
      <w:sz w:val="18"/>
      <w:vertAlign w:val="superscript"/>
    </w:rPr>
  </w:style>
  <w:style w:type="paragraph" w:customStyle="1" w:styleId="HMG">
    <w:name w:val="_ H __M_G"/>
    <w:basedOn w:val="Normal"/>
    <w:next w:val="Normal"/>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uppressAutoHyphens/>
      <w:spacing w:before="240" w:after="120" w:line="240" w:lineRule="exact"/>
      <w:ind w:left="1134" w:right="1134" w:hanging="1134"/>
    </w:pPr>
  </w:style>
  <w:style w:type="paragraph" w:styleId="Encabezado">
    <w:name w:val="header"/>
    <w:aliases w:val="6_G"/>
    <w:basedOn w:val="Normal"/>
    <w:next w:val="Normal"/>
    <w:pPr>
      <w:pBdr>
        <w:bottom w:val="single" w:sz="4" w:space="4" w:color="auto"/>
      </w:pBdr>
      <w:spacing w:line="240" w:lineRule="auto"/>
    </w:pPr>
    <w:rPr>
      <w:b/>
      <w:sz w:val="18"/>
    </w:rPr>
  </w:style>
  <w:style w:type="paragraph" w:customStyle="1" w:styleId="SingleTxtG">
    <w:name w:val="_ Single Txt_G"/>
    <w:basedOn w:val="Normal"/>
    <w:pPr>
      <w:spacing w:after="120"/>
      <w:ind w:left="1134" w:right="1134"/>
      <w:jc w:val="both"/>
    </w:pPr>
  </w:style>
  <w:style w:type="paragraph" w:customStyle="1" w:styleId="SMG">
    <w:name w:val="__S_M_G"/>
    <w:basedOn w:val="Normal"/>
    <w:next w:val="Normal"/>
    <w:pPr>
      <w:keepNext/>
      <w:keepLines/>
      <w:suppressAutoHyphens/>
      <w:spacing w:before="240" w:after="240" w:line="420" w:lineRule="exact"/>
      <w:ind w:left="1134" w:right="1134"/>
    </w:pPr>
    <w:rPr>
      <w:b/>
      <w:sz w:val="40"/>
    </w:rPr>
  </w:style>
  <w:style w:type="paragraph" w:customStyle="1" w:styleId="SLG">
    <w:name w:val="__S_L_G"/>
    <w:basedOn w:val="Normal"/>
    <w:next w:val="Normal"/>
    <w:pPr>
      <w:keepNext/>
      <w:keepLines/>
      <w:spacing w:before="240" w:after="240" w:line="580" w:lineRule="exact"/>
      <w:ind w:left="1134" w:right="1134"/>
    </w:pPr>
    <w:rPr>
      <w:b/>
      <w:sz w:val="56"/>
    </w:rPr>
  </w:style>
  <w:style w:type="paragraph" w:customStyle="1" w:styleId="SSG">
    <w:name w:val="__S_S_G"/>
    <w:basedOn w:val="Normal"/>
    <w:next w:val="Normal"/>
    <w:pPr>
      <w:keepNext/>
      <w:keepLines/>
      <w:spacing w:before="240" w:after="240" w:line="300" w:lineRule="exact"/>
      <w:ind w:left="1134" w:right="1134"/>
    </w:pPr>
    <w:rPr>
      <w:b/>
      <w:sz w:val="28"/>
    </w:rPr>
  </w:style>
  <w:style w:type="paragraph" w:styleId="Piedepgina">
    <w:name w:val="footer"/>
    <w:aliases w:val="3_G"/>
    <w:basedOn w:val="Normal"/>
    <w:next w:val="Normal"/>
    <w:link w:val="PiedepginaCar"/>
    <w:uiPriority w:val="99"/>
    <w:rPr>
      <w:sz w:val="16"/>
    </w:rPr>
  </w:style>
  <w:style w:type="paragraph" w:customStyle="1" w:styleId="XLargeG">
    <w:name w:val="__XLarge_G"/>
    <w:basedOn w:val="Normal"/>
    <w:next w:val="Normal"/>
    <w:pPr>
      <w:keepNext/>
      <w:keepLines/>
      <w:spacing w:before="240" w:after="240" w:line="420" w:lineRule="exact"/>
      <w:ind w:left="1134" w:right="1134"/>
    </w:pPr>
    <w:rPr>
      <w:b/>
      <w:sz w:val="40"/>
    </w:rPr>
  </w:style>
  <w:style w:type="paragraph" w:styleId="Textonotapie">
    <w:name w:val="footnote text"/>
    <w:aliases w:val="5_G"/>
    <w:basedOn w:val="Normal"/>
    <w:link w:val="TextonotapieCar"/>
    <w:qFormat/>
    <w:pPr>
      <w:tabs>
        <w:tab w:val="right" w:pos="1021"/>
      </w:tabs>
      <w:spacing w:line="220" w:lineRule="exact"/>
      <w:ind w:left="1134" w:right="1134" w:hanging="1134"/>
    </w:pPr>
    <w:rPr>
      <w:sz w:val="18"/>
    </w:rPr>
  </w:style>
  <w:style w:type="table" w:styleId="Tablaconcuadrcula">
    <w:name w:val="Table Grid"/>
    <w:basedOn w:val="Tablanormal"/>
    <w:semiHidden/>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styleId="111111">
    <w:name w:val="Outline List 2"/>
    <w:basedOn w:val="Sinlista"/>
    <w:semiHidden/>
    <w:pPr>
      <w:numPr>
        <w:numId w:val="3"/>
      </w:numPr>
    </w:pPr>
  </w:style>
  <w:style w:type="numbering" w:styleId="1ai">
    <w:name w:val="Outline List 1"/>
    <w:basedOn w:val="Sinlista"/>
    <w:semiHidden/>
    <w:pPr>
      <w:numPr>
        <w:numId w:val="4"/>
      </w:numPr>
    </w:pPr>
  </w:style>
  <w:style w:type="character" w:styleId="AcrnimoHTML">
    <w:name w:val="HTML Acronym"/>
    <w:basedOn w:val="Fuentedeprrafopredeter"/>
    <w:semiHidden/>
  </w:style>
  <w:style w:type="numbering" w:styleId="ArtculoSeccin">
    <w:name w:val="Outline List 3"/>
    <w:basedOn w:val="Sinlista"/>
    <w:semiHidden/>
    <w:pPr>
      <w:numPr>
        <w:numId w:val="5"/>
      </w:numPr>
    </w:pPr>
  </w:style>
  <w:style w:type="paragraph" w:styleId="Cierre">
    <w:name w:val="Closing"/>
    <w:basedOn w:val="Normal"/>
    <w:semiHidden/>
    <w:pPr>
      <w:ind w:left="4252"/>
    </w:pPr>
  </w:style>
  <w:style w:type="character" w:styleId="CitaHTML">
    <w:name w:val="HTML Cite"/>
    <w:semiHidden/>
    <w:rPr>
      <w:i/>
      <w:iCs/>
    </w:rPr>
  </w:style>
  <w:style w:type="character" w:styleId="CdigoHTML">
    <w:name w:val="HTML Code"/>
    <w:semiHidden/>
    <w:rPr>
      <w:rFonts w:ascii="Courier New" w:hAnsi="Courier New" w:cs="Courier New"/>
      <w:sz w:val="20"/>
      <w:szCs w:val="20"/>
    </w:rPr>
  </w:style>
  <w:style w:type="paragraph" w:styleId="Continuarlista">
    <w:name w:val="List Continue"/>
    <w:basedOn w:val="Normal"/>
    <w:semiHidden/>
    <w:pPr>
      <w:spacing w:after="120"/>
      <w:ind w:left="283"/>
    </w:pPr>
  </w:style>
  <w:style w:type="paragraph" w:styleId="Continuarlista2">
    <w:name w:val="List Continue 2"/>
    <w:basedOn w:val="Normal"/>
    <w:semiHidden/>
    <w:pPr>
      <w:spacing w:after="120"/>
      <w:ind w:left="566"/>
    </w:pPr>
  </w:style>
  <w:style w:type="paragraph" w:styleId="Continuarlista3">
    <w:name w:val="List Continue 3"/>
    <w:basedOn w:val="Normal"/>
    <w:semiHidden/>
    <w:pPr>
      <w:spacing w:after="120"/>
      <w:ind w:left="849"/>
    </w:pPr>
  </w:style>
  <w:style w:type="paragraph" w:styleId="Continuarlista4">
    <w:name w:val="List Continue 4"/>
    <w:basedOn w:val="Normal"/>
    <w:semiHidden/>
    <w:pPr>
      <w:spacing w:after="120"/>
      <w:ind w:left="1132"/>
    </w:pPr>
  </w:style>
  <w:style w:type="paragraph" w:styleId="Continuarlista5">
    <w:name w:val="List Continue 5"/>
    <w:basedOn w:val="Normal"/>
    <w:semiHidden/>
    <w:pPr>
      <w:spacing w:after="120"/>
      <w:ind w:left="1415"/>
    </w:pPr>
  </w:style>
  <w:style w:type="character" w:styleId="DefinicinHTML">
    <w:name w:val="HTML Definition"/>
    <w:semiHidden/>
    <w:rPr>
      <w:i/>
      <w:iCs/>
    </w:rPr>
  </w:style>
  <w:style w:type="paragraph" w:styleId="DireccinHTML">
    <w:name w:val="HTML Address"/>
    <w:basedOn w:val="Normal"/>
    <w:semiHidden/>
    <w:rPr>
      <w:i/>
      <w:iCs/>
    </w:rPr>
  </w:style>
  <w:style w:type="paragraph" w:styleId="Direccinsobre">
    <w:name w:val="envelope address"/>
    <w:basedOn w:val="Normal"/>
    <w:semiHidden/>
    <w:pPr>
      <w:framePr w:w="7920" w:h="1980" w:hRule="exact" w:hSpace="141" w:wrap="auto" w:hAnchor="page" w:xAlign="center" w:yAlign="bottom"/>
      <w:ind w:left="2880"/>
    </w:pPr>
    <w:rPr>
      <w:rFonts w:ascii="Arial" w:hAnsi="Arial" w:cs="Arial"/>
      <w:sz w:val="24"/>
      <w:szCs w:val="24"/>
    </w:rPr>
  </w:style>
  <w:style w:type="character" w:styleId="EjemplodeHTML">
    <w:name w:val="HTML Sample"/>
    <w:semiHidden/>
    <w:rPr>
      <w:rFonts w:ascii="Courier New" w:hAnsi="Courier New" w:cs="Courier New"/>
    </w:rPr>
  </w:style>
  <w:style w:type="paragraph" w:styleId="Encabezadodemensaje">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semiHidden/>
  </w:style>
  <w:style w:type="character" w:styleId="nfasis">
    <w:name w:val="Emphasis"/>
    <w:uiPriority w:val="20"/>
    <w:qFormat/>
    <w:rPr>
      <w:i/>
      <w:iCs/>
    </w:rPr>
  </w:style>
  <w:style w:type="paragraph" w:styleId="Fecha">
    <w:name w:val="Date"/>
    <w:basedOn w:val="Normal"/>
    <w:next w:val="Normal"/>
    <w:semiHidden/>
  </w:style>
  <w:style w:type="paragraph" w:styleId="Firma">
    <w:name w:val="Signature"/>
    <w:basedOn w:val="Normal"/>
    <w:semiHidden/>
    <w:pPr>
      <w:ind w:left="4252"/>
    </w:pPr>
  </w:style>
  <w:style w:type="paragraph" w:styleId="Firmadecorreoelectrnico">
    <w:name w:val="E-mail Signature"/>
    <w:basedOn w:val="Normal"/>
    <w:semiHidden/>
  </w:style>
  <w:style w:type="character" w:styleId="Hipervnculo">
    <w:name w:val="Hyperlink"/>
    <w:uiPriority w:val="99"/>
    <w:rPr>
      <w:color w:val="0000FF"/>
      <w:u w:val="single"/>
    </w:rPr>
  </w:style>
  <w:style w:type="character" w:styleId="Hipervnculovisitado">
    <w:name w:val="FollowedHyperlink"/>
    <w:semiHidden/>
    <w:rPr>
      <w:color w:val="800080"/>
      <w:u w:val="single"/>
    </w:rPr>
  </w:style>
  <w:style w:type="paragraph" w:styleId="HTMLconformatoprevio">
    <w:name w:val="HTML Preformatted"/>
    <w:basedOn w:val="Normal"/>
    <w:semiHidden/>
    <w:rPr>
      <w:rFonts w:ascii="Courier New" w:hAnsi="Courier New" w:cs="Courier New"/>
    </w:rPr>
  </w:style>
  <w:style w:type="paragraph" w:styleId="Lista">
    <w:name w:val="List"/>
    <w:basedOn w:val="Normal"/>
    <w:semiHidden/>
    <w:pPr>
      <w:ind w:left="283" w:hanging="283"/>
    </w:pPr>
  </w:style>
  <w:style w:type="paragraph" w:styleId="Lista2">
    <w:name w:val="List 2"/>
    <w:basedOn w:val="Normal"/>
    <w:semiHidden/>
    <w:pPr>
      <w:ind w:left="566" w:hanging="283"/>
    </w:pPr>
  </w:style>
  <w:style w:type="paragraph" w:styleId="Lista3">
    <w:name w:val="List 3"/>
    <w:basedOn w:val="Normal"/>
    <w:semiHidden/>
    <w:pPr>
      <w:ind w:left="849" w:hanging="283"/>
    </w:pPr>
  </w:style>
  <w:style w:type="paragraph" w:styleId="Lista4">
    <w:name w:val="List 4"/>
    <w:basedOn w:val="Normal"/>
    <w:semiHidden/>
    <w:pPr>
      <w:ind w:left="1132" w:hanging="283"/>
    </w:pPr>
  </w:style>
  <w:style w:type="paragraph" w:styleId="Lista5">
    <w:name w:val="List 5"/>
    <w:basedOn w:val="Normal"/>
    <w:semiHidden/>
    <w:pPr>
      <w:ind w:left="1415" w:hanging="283"/>
    </w:pPr>
  </w:style>
  <w:style w:type="paragraph" w:styleId="Listaconnmeros">
    <w:name w:val="List Number"/>
    <w:basedOn w:val="Normal"/>
    <w:semiHidden/>
    <w:pPr>
      <w:numPr>
        <w:numId w:val="6"/>
      </w:numPr>
    </w:pPr>
  </w:style>
  <w:style w:type="paragraph" w:styleId="Listaconnmeros2">
    <w:name w:val="List Number 2"/>
    <w:basedOn w:val="Normal"/>
    <w:semiHidden/>
    <w:pPr>
      <w:numPr>
        <w:numId w:val="7"/>
      </w:numPr>
    </w:pPr>
  </w:style>
  <w:style w:type="paragraph" w:styleId="Listaconnmeros3">
    <w:name w:val="List Number 3"/>
    <w:basedOn w:val="Normal"/>
    <w:semiHidden/>
    <w:pPr>
      <w:numPr>
        <w:numId w:val="8"/>
      </w:numPr>
    </w:pPr>
  </w:style>
  <w:style w:type="paragraph" w:styleId="Listaconnmeros4">
    <w:name w:val="List Number 4"/>
    <w:basedOn w:val="Normal"/>
    <w:semiHidden/>
    <w:pPr>
      <w:numPr>
        <w:numId w:val="9"/>
      </w:numPr>
    </w:pPr>
  </w:style>
  <w:style w:type="paragraph" w:styleId="Listaconnmeros5">
    <w:name w:val="List Number 5"/>
    <w:basedOn w:val="Normal"/>
    <w:semiHidden/>
    <w:pPr>
      <w:numPr>
        <w:numId w:val="10"/>
      </w:numPr>
    </w:pPr>
  </w:style>
  <w:style w:type="paragraph" w:styleId="Listaconvietas">
    <w:name w:val="List Bullet"/>
    <w:basedOn w:val="Normal"/>
    <w:semiHidden/>
    <w:pPr>
      <w:numPr>
        <w:numId w:val="11"/>
      </w:numPr>
    </w:pPr>
  </w:style>
  <w:style w:type="paragraph" w:styleId="Listaconvietas2">
    <w:name w:val="List Bullet 2"/>
    <w:basedOn w:val="Normal"/>
    <w:semiHidden/>
    <w:pPr>
      <w:numPr>
        <w:numId w:val="12"/>
      </w:numPr>
    </w:pPr>
  </w:style>
  <w:style w:type="paragraph" w:styleId="Listaconvietas3">
    <w:name w:val="List Bullet 3"/>
    <w:basedOn w:val="Normal"/>
    <w:semiHidden/>
    <w:pPr>
      <w:numPr>
        <w:numId w:val="13"/>
      </w:numPr>
    </w:pPr>
  </w:style>
  <w:style w:type="paragraph" w:styleId="Listaconvietas4">
    <w:name w:val="List Bullet 4"/>
    <w:basedOn w:val="Normal"/>
    <w:semiHidden/>
    <w:pPr>
      <w:numPr>
        <w:numId w:val="14"/>
      </w:numPr>
    </w:pPr>
  </w:style>
  <w:style w:type="paragraph" w:styleId="Listaconvietas5">
    <w:name w:val="List Bullet 5"/>
    <w:basedOn w:val="Normal"/>
    <w:semiHidden/>
    <w:pPr>
      <w:numPr>
        <w:numId w:val="15"/>
      </w:numPr>
    </w:pPr>
  </w:style>
  <w:style w:type="character" w:styleId="MquinadeescribirHTML">
    <w:name w:val="HTML Typewriter"/>
    <w:semiHidden/>
    <w:rPr>
      <w:rFonts w:ascii="Courier New" w:hAnsi="Courier New" w:cs="Courier New"/>
      <w:sz w:val="20"/>
      <w:szCs w:val="20"/>
    </w:rPr>
  </w:style>
  <w:style w:type="paragraph" w:styleId="NormalWeb">
    <w:name w:val="Normal (Web)"/>
    <w:basedOn w:val="Normal"/>
    <w:uiPriority w:val="99"/>
    <w:rPr>
      <w:sz w:val="24"/>
      <w:szCs w:val="24"/>
    </w:rPr>
  </w:style>
  <w:style w:type="character" w:styleId="Nmerodelnea">
    <w:name w:val="line number"/>
    <w:basedOn w:val="Fuentedeprrafopredeter"/>
    <w:semiHidden/>
  </w:style>
  <w:style w:type="character" w:styleId="Nmerodepgina">
    <w:name w:val="page number"/>
    <w:aliases w:val="7_G"/>
    <w:rPr>
      <w:b/>
      <w:sz w:val="18"/>
    </w:rPr>
  </w:style>
  <w:style w:type="character" w:styleId="Refdenotaalfinal">
    <w:name w:val="endnote reference"/>
    <w:aliases w:val="1_G"/>
    <w:rPr>
      <w:rFonts w:ascii="Times New Roman" w:hAnsi="Times New Roman"/>
      <w:sz w:val="18"/>
      <w:vertAlign w:val="superscript"/>
    </w:rPr>
  </w:style>
  <w:style w:type="paragraph" w:styleId="Remitedesobre">
    <w:name w:val="envelope return"/>
    <w:basedOn w:val="Normal"/>
    <w:semiHidden/>
    <w:rPr>
      <w:rFonts w:ascii="Arial" w:hAnsi="Arial" w:cs="Arial"/>
    </w:rPr>
  </w:style>
  <w:style w:type="paragraph" w:styleId="Saludo">
    <w:name w:val="Salutation"/>
    <w:basedOn w:val="Normal"/>
    <w:next w:val="Normal"/>
    <w:semiHidden/>
  </w:style>
  <w:style w:type="paragraph" w:styleId="Sangra2detindependiente">
    <w:name w:val="Body Text Indent 2"/>
    <w:basedOn w:val="Normal"/>
    <w:semiHidden/>
    <w:pPr>
      <w:spacing w:after="120" w:line="480" w:lineRule="auto"/>
      <w:ind w:left="283"/>
    </w:pPr>
  </w:style>
  <w:style w:type="paragraph" w:styleId="Sangra3detindependiente">
    <w:name w:val="Body Text Indent 3"/>
    <w:basedOn w:val="Normal"/>
    <w:semiHidden/>
    <w:pPr>
      <w:spacing w:after="120"/>
      <w:ind w:left="283"/>
    </w:pPr>
    <w:rPr>
      <w:sz w:val="16"/>
      <w:szCs w:val="16"/>
    </w:rPr>
  </w:style>
  <w:style w:type="paragraph" w:styleId="Sangradetextonormal">
    <w:name w:val="Body Text Indent"/>
    <w:basedOn w:val="Normal"/>
    <w:semiHidden/>
    <w:pPr>
      <w:spacing w:after="120"/>
      <w:ind w:left="283"/>
    </w:pPr>
  </w:style>
  <w:style w:type="paragraph" w:styleId="Sangranormal">
    <w:name w:val="Normal Indent"/>
    <w:basedOn w:val="Normal"/>
    <w:semiHidden/>
    <w:pPr>
      <w:ind w:left="567"/>
    </w:pPr>
  </w:style>
  <w:style w:type="paragraph" w:styleId="Subttulo">
    <w:name w:val="Subtitle"/>
    <w:basedOn w:val="Normal"/>
    <w:qFormat/>
    <w:pPr>
      <w:spacing w:after="60"/>
      <w:jc w:val="center"/>
      <w:outlineLvl w:val="1"/>
    </w:pPr>
    <w:rPr>
      <w:rFonts w:ascii="Arial" w:hAnsi="Arial" w:cs="Arial"/>
      <w:sz w:val="24"/>
      <w:szCs w:val="24"/>
    </w:rPr>
  </w:style>
  <w:style w:type="table" w:styleId="Tablabsica1">
    <w:name w:val="Table Simple 1"/>
    <w:basedOn w:val="Tablanormal"/>
    <w:semiHidden/>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semiHidden/>
    <w:rPr>
      <w:rFonts w:ascii="Courier New" w:hAnsi="Courier New" w:cs="Courier New"/>
      <w:sz w:val="20"/>
      <w:szCs w:val="20"/>
    </w:rPr>
  </w:style>
  <w:style w:type="paragraph" w:styleId="Textodebloque">
    <w:name w:val="Block Text"/>
    <w:basedOn w:val="Normal"/>
    <w:semiHidden/>
    <w:pPr>
      <w:spacing w:after="120"/>
      <w:ind w:left="1440" w:right="1440"/>
    </w:pPr>
  </w:style>
  <w:style w:type="character" w:styleId="Textoennegrita">
    <w:name w:val="Strong"/>
    <w:qFormat/>
    <w:rPr>
      <w:b/>
      <w:bCs/>
    </w:rPr>
  </w:style>
  <w:style w:type="paragraph" w:styleId="Textoindependiente">
    <w:name w:val="Body Text"/>
    <w:basedOn w:val="Normal"/>
    <w:semiHidden/>
    <w:pPr>
      <w:spacing w:after="120"/>
    </w:pPr>
  </w:style>
  <w:style w:type="paragraph" w:styleId="Textoindependiente2">
    <w:name w:val="Body Text 2"/>
    <w:basedOn w:val="Normal"/>
    <w:semiHidden/>
    <w:pPr>
      <w:spacing w:after="120" w:line="480" w:lineRule="auto"/>
    </w:pPr>
  </w:style>
  <w:style w:type="paragraph" w:styleId="Textoindependiente3">
    <w:name w:val="Body Text 3"/>
    <w:basedOn w:val="Normal"/>
    <w:semiHidden/>
    <w:pPr>
      <w:spacing w:after="120"/>
    </w:pPr>
    <w:rPr>
      <w:sz w:val="16"/>
      <w:szCs w:val="16"/>
    </w:rPr>
  </w:style>
  <w:style w:type="paragraph" w:styleId="Textoindependienteprimerasangra">
    <w:name w:val="Body Text First Indent"/>
    <w:basedOn w:val="Textoindependiente"/>
    <w:semiHidden/>
    <w:pPr>
      <w:ind w:firstLine="210"/>
    </w:pPr>
  </w:style>
  <w:style w:type="paragraph" w:styleId="Textoindependienteprimerasangra2">
    <w:name w:val="Body Text First Indent 2"/>
    <w:basedOn w:val="Sangradetextonormal"/>
    <w:semiHidden/>
    <w:pPr>
      <w:ind w:firstLine="210"/>
    </w:pPr>
  </w:style>
  <w:style w:type="paragraph" w:styleId="Textonotaalfinal">
    <w:name w:val="endnote text"/>
    <w:aliases w:val="2_G"/>
    <w:basedOn w:val="Textonotapie"/>
    <w:link w:val="TextonotaalfinalCar"/>
  </w:style>
  <w:style w:type="paragraph" w:styleId="Textosinformato">
    <w:name w:val="Plain Text"/>
    <w:basedOn w:val="Normal"/>
    <w:semiHidden/>
    <w:rPr>
      <w:rFonts w:ascii="Courier New" w:hAnsi="Courier New" w:cs="Courier New"/>
    </w:rPr>
  </w:style>
  <w:style w:type="paragraph" w:styleId="Ttulo">
    <w:name w:val="Title"/>
    <w:basedOn w:val="Normal"/>
    <w:qFormat/>
    <w:pPr>
      <w:spacing w:before="240" w:after="60"/>
      <w:jc w:val="center"/>
      <w:outlineLvl w:val="0"/>
    </w:pPr>
    <w:rPr>
      <w:rFonts w:ascii="Arial" w:hAnsi="Arial" w:cs="Arial"/>
      <w:b/>
      <w:bCs/>
      <w:kern w:val="28"/>
      <w:sz w:val="32"/>
      <w:szCs w:val="32"/>
    </w:rPr>
  </w:style>
  <w:style w:type="character" w:styleId="VariableHTML">
    <w:name w:val="HTML Variable"/>
    <w:semiHidden/>
    <w:rPr>
      <w:i/>
      <w:iCs/>
    </w:rPr>
  </w:style>
  <w:style w:type="paragraph" w:customStyle="1" w:styleId="Bullet1G">
    <w:name w:val="_Bullet 1_G"/>
    <w:basedOn w:val="Normal"/>
    <w:pPr>
      <w:numPr>
        <w:numId w:val="1"/>
      </w:numPr>
      <w:spacing w:after="120"/>
      <w:ind w:right="1134"/>
      <w:jc w:val="both"/>
    </w:pPr>
    <w:rPr>
      <w:lang w:eastAsia="en-US"/>
    </w:rPr>
  </w:style>
  <w:style w:type="paragraph" w:customStyle="1" w:styleId="Bullet2G">
    <w:name w:val="_Bullet 2_G"/>
    <w:basedOn w:val="Normal"/>
    <w:pPr>
      <w:numPr>
        <w:numId w:val="2"/>
      </w:numPr>
      <w:spacing w:after="120"/>
      <w:ind w:right="1134"/>
      <w:jc w:val="both"/>
    </w:pPr>
  </w:style>
  <w:style w:type="numbering" w:customStyle="1" w:styleId="NoList1">
    <w:name w:val="No List1"/>
    <w:next w:val="Sinlista"/>
    <w:semiHidden/>
  </w:style>
  <w:style w:type="paragraph" w:customStyle="1" w:styleId="NoSpacing1">
    <w:name w:val="No Spacing1"/>
    <w:rPr>
      <w:rFonts w:ascii="Calibri" w:hAnsi="Calibri"/>
      <w:sz w:val="22"/>
      <w:szCs w:val="22"/>
      <w:lang w:val="es-CL" w:eastAsia="en-US"/>
    </w:rPr>
  </w:style>
  <w:style w:type="table" w:customStyle="1" w:styleId="TableGrid1">
    <w:name w:val="Table Grid1"/>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Pr>
    <w:tcPr>
      <w:tcMar>
        <w:left w:w="68" w:type="dxa"/>
        <w:right w:w="68" w:type="dxa"/>
      </w:tcMar>
    </w:tcPr>
  </w:style>
  <w:style w:type="character" w:styleId="Refdecomentario">
    <w:name w:val="annotation reference"/>
    <w:rPr>
      <w:sz w:val="16"/>
      <w:szCs w:val="16"/>
    </w:rPr>
  </w:style>
  <w:style w:type="paragraph" w:styleId="Textocomentario">
    <w:name w:val="annotation text"/>
    <w:basedOn w:val="Normal"/>
    <w:link w:val="TextocomentarioCar"/>
    <w:pPr>
      <w:spacing w:line="240" w:lineRule="auto"/>
    </w:pPr>
    <w:rPr>
      <w:lang w:eastAsia="en-US"/>
    </w:rPr>
  </w:style>
  <w:style w:type="character" w:customStyle="1" w:styleId="TextocomentarioCar">
    <w:name w:val="Texto comentario Car"/>
    <w:link w:val="Textocomentario"/>
    <w:rPr>
      <w:lang w:val="es-ES" w:eastAsia="en-US"/>
    </w:rPr>
  </w:style>
  <w:style w:type="paragraph" w:styleId="Asuntodelcomentario">
    <w:name w:val="annotation subject"/>
    <w:basedOn w:val="Textocomentario"/>
    <w:next w:val="Textocomentario"/>
    <w:link w:val="AsuntodelcomentarioCar"/>
    <w:rPr>
      <w:b/>
      <w:bCs/>
    </w:rPr>
  </w:style>
  <w:style w:type="character" w:customStyle="1" w:styleId="AsuntodelcomentarioCar">
    <w:name w:val="Asunto del comentario Car"/>
    <w:link w:val="Asuntodelcomentario"/>
    <w:rPr>
      <w:b/>
      <w:bCs/>
      <w:lang w:val="es-ES" w:eastAsia="en-US"/>
    </w:rPr>
  </w:style>
  <w:style w:type="paragraph" w:styleId="Textodeglobo">
    <w:name w:val="Balloon Text"/>
    <w:basedOn w:val="Normal"/>
    <w:link w:val="TextodegloboCar"/>
    <w:pPr>
      <w:spacing w:line="240" w:lineRule="auto"/>
    </w:pPr>
    <w:rPr>
      <w:rFonts w:ascii="Tahoma" w:hAnsi="Tahoma" w:cs="Tahoma"/>
      <w:sz w:val="16"/>
      <w:szCs w:val="16"/>
      <w:lang w:eastAsia="en-US"/>
    </w:rPr>
  </w:style>
  <w:style w:type="character" w:customStyle="1" w:styleId="TextodegloboCar">
    <w:name w:val="Texto de globo Car"/>
    <w:link w:val="Textodeglobo"/>
    <w:rPr>
      <w:rFonts w:ascii="Tahoma" w:hAnsi="Tahoma" w:cs="Tahoma"/>
      <w:sz w:val="16"/>
      <w:szCs w:val="16"/>
      <w:lang w:val="es-ES" w:eastAsia="en-US"/>
    </w:rPr>
  </w:style>
  <w:style w:type="character" w:styleId="Referenciaintensa">
    <w:name w:val="Intense Reference"/>
    <w:uiPriority w:val="32"/>
    <w:qFormat/>
    <w:rPr>
      <w:b/>
      <w:bCs/>
      <w:smallCaps/>
      <w:color w:val="5B9BD5"/>
      <w:spacing w:val="5"/>
    </w:rPr>
  </w:style>
  <w:style w:type="character" w:styleId="nfasisintenso">
    <w:name w:val="Intense Emphasis"/>
    <w:uiPriority w:val="21"/>
    <w:qFormat/>
    <w:rPr>
      <w:i/>
      <w:iCs/>
      <w:color w:val="5B9BD5"/>
    </w:rPr>
  </w:style>
  <w:style w:type="paragraph" w:styleId="Citadestacada">
    <w:name w:val="Intense Quote"/>
    <w:basedOn w:val="Normal"/>
    <w:next w:val="Normal"/>
    <w:link w:val="CitadestacadaCar"/>
    <w:uiPriority w:val="30"/>
    <w:qFormat/>
    <w:pPr>
      <w:pBdr>
        <w:top w:val="single" w:sz="4" w:space="10" w:color="5B9BD5"/>
        <w:bottom w:val="single" w:sz="4" w:space="10" w:color="5B9BD5"/>
      </w:pBdr>
      <w:spacing w:before="360" w:after="360" w:line="240" w:lineRule="auto"/>
      <w:ind w:left="864" w:right="864"/>
      <w:jc w:val="center"/>
    </w:pPr>
    <w:rPr>
      <w:i/>
      <w:iCs/>
      <w:color w:val="5B9BD5"/>
      <w:sz w:val="24"/>
      <w:szCs w:val="24"/>
      <w:lang w:eastAsia="x-none"/>
    </w:rPr>
  </w:style>
  <w:style w:type="character" w:customStyle="1" w:styleId="CitadestacadaCar">
    <w:name w:val="Cita destacada Car"/>
    <w:link w:val="Citadestacada"/>
    <w:uiPriority w:val="30"/>
    <w:rPr>
      <w:i/>
      <w:iCs/>
      <w:color w:val="5B9BD5"/>
      <w:sz w:val="24"/>
      <w:szCs w:val="24"/>
      <w:lang w:val="es-ES" w:eastAsia="x-none"/>
    </w:rPr>
  </w:style>
  <w:style w:type="paragraph" w:styleId="Cita">
    <w:name w:val="Quote"/>
    <w:basedOn w:val="Normal"/>
    <w:next w:val="Normal"/>
    <w:link w:val="CitaCar"/>
    <w:uiPriority w:val="29"/>
    <w:qFormat/>
    <w:pPr>
      <w:spacing w:before="200" w:after="160" w:line="240" w:lineRule="auto"/>
      <w:ind w:left="864" w:right="864"/>
      <w:jc w:val="center"/>
    </w:pPr>
    <w:rPr>
      <w:i/>
      <w:iCs/>
      <w:color w:val="404040"/>
      <w:sz w:val="24"/>
      <w:szCs w:val="24"/>
      <w:lang w:eastAsia="x-none"/>
    </w:rPr>
  </w:style>
  <w:style w:type="character" w:customStyle="1" w:styleId="CitaCar">
    <w:name w:val="Cita Car"/>
    <w:link w:val="Cita"/>
    <w:uiPriority w:val="29"/>
    <w:rPr>
      <w:i/>
      <w:iCs/>
      <w:color w:val="404040"/>
      <w:sz w:val="24"/>
      <w:szCs w:val="24"/>
      <w:lang w:val="es-ES" w:eastAsia="x-none"/>
    </w:rPr>
  </w:style>
  <w:style w:type="character" w:customStyle="1" w:styleId="PiedepginaCar">
    <w:name w:val="Pie de página Car"/>
    <w:aliases w:val="3_G Car"/>
    <w:link w:val="Piedepgina"/>
    <w:uiPriority w:val="99"/>
    <w:rPr>
      <w:sz w:val="16"/>
      <w:lang w:val="es-ES" w:eastAsia="es-ES"/>
    </w:rPr>
  </w:style>
  <w:style w:type="character" w:customStyle="1" w:styleId="TextonotaalfinalCar">
    <w:name w:val="Texto nota al final Car"/>
    <w:aliases w:val="2_G Car"/>
    <w:link w:val="Textonotaalfinal"/>
    <w:rPr>
      <w:sz w:val="18"/>
      <w:lang w:val="es-ES" w:eastAsia="es-ES"/>
    </w:rPr>
  </w:style>
  <w:style w:type="character" w:customStyle="1" w:styleId="TextonotapieCar">
    <w:name w:val="Texto nota pie Car"/>
    <w:aliases w:val="5_G Car"/>
    <w:link w:val="Textonotapie"/>
    <w:rPr>
      <w:sz w:val="18"/>
      <w:lang w:val="es-ES" w:eastAsia="es-ES"/>
    </w:rPr>
  </w:style>
  <w:style w:type="paragraph" w:styleId="Prrafodelista">
    <w:name w:val="List Paragraph"/>
    <w:basedOn w:val="Normal"/>
    <w:uiPriority w:val="34"/>
    <w:qFormat/>
    <w:pPr>
      <w:spacing w:after="160" w:line="259" w:lineRule="auto"/>
      <w:ind w:left="720"/>
      <w:contextualSpacing/>
    </w:pPr>
    <w:rPr>
      <w:rFonts w:ascii="Calibri" w:eastAsia="Calibri" w:hAnsi="Calibri"/>
      <w:sz w:val="22"/>
      <w:szCs w:val="22"/>
      <w:lang w:val="en-US" w:eastAsia="en-US"/>
    </w:rPr>
  </w:style>
  <w:style w:type="paragraph" w:styleId="Sinespaciado">
    <w:name w:val="No Spacing"/>
    <w:uiPriority w:val="1"/>
    <w:qFormat/>
    <w:rPr>
      <w:sz w:val="24"/>
      <w:szCs w:val="24"/>
      <w:lang w:eastAsia="en-US"/>
    </w:rPr>
  </w:style>
  <w:style w:type="character" w:customStyle="1" w:styleId="apple-converted-space">
    <w:name w:val="apple-converted-space"/>
    <w:basedOn w:val="Fuentedeprrafoprede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14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3.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hyperlink" Target="http://www.enredados.org.a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pd.gov.ar/index.php/defensora-general/defensoria-general-adjunta-de-la-nacion"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trabajo.gov.ar/left/estadisticas/otia/centroDoc/verDocumento.asp?id=22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7.9310344827586213E-2"/>
          <c:y val="9.5563139931740607E-2"/>
          <c:w val="0.90344827586206888"/>
          <c:h val="0.72354948805460739"/>
        </c:manualLayout>
      </c:layout>
      <c:barChart>
        <c:barDir val="col"/>
        <c:grouping val="clustered"/>
        <c:varyColors val="0"/>
        <c:ser>
          <c:idx val="0"/>
          <c:order val="0"/>
          <c:tx>
            <c:strRef>
              <c:f>Sheet1!$B$1</c:f>
              <c:strCache>
                <c:ptCount val="1"/>
              </c:strCache>
            </c:strRef>
          </c:tx>
          <c:spPr>
            <a:solidFill>
              <a:srgbClr val="9999FF"/>
            </a:solidFill>
            <a:ln w="7610">
              <a:solidFill>
                <a:srgbClr val="000000"/>
              </a:solidFill>
              <a:prstDash val="solid"/>
            </a:ln>
          </c:spPr>
          <c:invertIfNegative val="0"/>
          <c:dPt>
            <c:idx val="0"/>
            <c:invertIfNegative val="0"/>
            <c:bubble3D val="0"/>
            <c:spPr>
              <a:solidFill>
                <a:srgbClr val="FF0000"/>
              </a:solidFill>
              <a:ln w="7610">
                <a:solidFill>
                  <a:srgbClr val="000000"/>
                </a:solidFill>
                <a:prstDash val="solid"/>
              </a:ln>
            </c:spPr>
            <c:extLst>
              <c:ext xmlns:c16="http://schemas.microsoft.com/office/drawing/2014/chart" uri="{C3380CC4-5D6E-409C-BE32-E72D297353CC}">
                <c16:uniqueId val="{00000000-CDD1-4993-9A13-DD7458ED71E6}"/>
              </c:ext>
            </c:extLst>
          </c:dPt>
          <c:dPt>
            <c:idx val="1"/>
            <c:invertIfNegative val="0"/>
            <c:bubble3D val="0"/>
            <c:spPr>
              <a:solidFill>
                <a:srgbClr val="FFFF99"/>
              </a:solidFill>
              <a:ln w="7610">
                <a:solidFill>
                  <a:srgbClr val="000000"/>
                </a:solidFill>
                <a:prstDash val="solid"/>
              </a:ln>
            </c:spPr>
            <c:extLst>
              <c:ext xmlns:c16="http://schemas.microsoft.com/office/drawing/2014/chart" uri="{C3380CC4-5D6E-409C-BE32-E72D297353CC}">
                <c16:uniqueId val="{00000001-CDD1-4993-9A13-DD7458ED71E6}"/>
              </c:ext>
            </c:extLst>
          </c:dPt>
          <c:dPt>
            <c:idx val="2"/>
            <c:invertIfNegative val="0"/>
            <c:bubble3D val="0"/>
            <c:spPr>
              <a:solidFill>
                <a:srgbClr val="00CCFF"/>
              </a:solidFill>
              <a:ln w="7610">
                <a:solidFill>
                  <a:srgbClr val="000000"/>
                </a:solidFill>
                <a:prstDash val="solid"/>
              </a:ln>
            </c:spPr>
            <c:extLst>
              <c:ext xmlns:c16="http://schemas.microsoft.com/office/drawing/2014/chart" uri="{C3380CC4-5D6E-409C-BE32-E72D297353CC}">
                <c16:uniqueId val="{00000002-CDD1-4993-9A13-DD7458ED71E6}"/>
              </c:ext>
            </c:extLst>
          </c:dPt>
          <c:dLbls>
            <c:dLbl>
              <c:idx val="0"/>
              <c:layout/>
              <c:tx>
                <c:rich>
                  <a:bodyPr/>
                  <a:lstStyle/>
                  <a:p>
                    <a:pPr>
                      <a:defRPr sz="614" b="1" i="0" u="none" strike="noStrike" baseline="0">
                        <a:solidFill>
                          <a:srgbClr val="000000"/>
                        </a:solidFill>
                        <a:latin typeface="Calibri"/>
                        <a:ea typeface="Calibri"/>
                        <a:cs typeface="Calibri"/>
                      </a:defRPr>
                    </a:pPr>
                    <a:r>
                      <a:rPr lang="en-US"/>
                      <a:t> 23,69</a:t>
                    </a:r>
                  </a:p>
                </c:rich>
              </c:tx>
              <c:spPr>
                <a:noFill/>
                <a:ln w="15219">
                  <a:noFill/>
                </a:ln>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DD1-4993-9A13-DD7458ED71E6}"/>
                </c:ext>
              </c:extLst>
            </c:dLbl>
            <c:dLbl>
              <c:idx val="1"/>
              <c:layout/>
              <c:tx>
                <c:rich>
                  <a:bodyPr/>
                  <a:lstStyle/>
                  <a:p>
                    <a:pPr>
                      <a:defRPr sz="614" b="1" i="0" u="none" strike="noStrike" baseline="0">
                        <a:solidFill>
                          <a:srgbClr val="000000"/>
                        </a:solidFill>
                        <a:latin typeface="Calibri"/>
                        <a:ea typeface="Calibri"/>
                        <a:cs typeface="Calibri"/>
                      </a:defRPr>
                    </a:pPr>
                    <a:r>
                      <a:rPr lang="en-US"/>
                      <a:t>39,23</a:t>
                    </a:r>
                  </a:p>
                </c:rich>
              </c:tx>
              <c:spPr>
                <a:noFill/>
                <a:ln w="15219">
                  <a:noFill/>
                </a:ln>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DD1-4993-9A13-DD7458ED71E6}"/>
                </c:ext>
              </c:extLst>
            </c:dLbl>
            <c:dLbl>
              <c:idx val="2"/>
              <c:layout/>
              <c:tx>
                <c:rich>
                  <a:bodyPr/>
                  <a:lstStyle/>
                  <a:p>
                    <a:pPr>
                      <a:defRPr sz="614" b="1" i="0" u="none" strike="noStrike" baseline="0">
                        <a:solidFill>
                          <a:srgbClr val="000000"/>
                        </a:solidFill>
                        <a:latin typeface="Calibri"/>
                        <a:ea typeface="Calibri"/>
                        <a:cs typeface="Calibri"/>
                      </a:defRPr>
                    </a:pPr>
                    <a:r>
                      <a:rPr lang="en-US"/>
                      <a:t>35,94</a:t>
                    </a:r>
                  </a:p>
                </c:rich>
              </c:tx>
              <c:spPr>
                <a:noFill/>
                <a:ln w="15219">
                  <a:noFill/>
                </a:ln>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DD1-4993-9A13-DD7458ED71E6}"/>
                </c:ext>
              </c:extLst>
            </c:dLbl>
            <c:spPr>
              <a:noFill/>
              <a:ln w="15219">
                <a:noFill/>
              </a:ln>
            </c:spPr>
            <c:txPr>
              <a:bodyPr wrap="square" lIns="38100" tIns="19050" rIns="38100" bIns="19050" anchor="ctr">
                <a:spAutoFit/>
              </a:bodyPr>
              <a:lstStyle/>
              <a:p>
                <a:pPr>
                  <a:defRPr sz="616" b="1" i="0" u="none" strike="noStrike" baseline="0">
                    <a:solidFill>
                      <a:srgbClr val="000000"/>
                    </a:solidFill>
                    <a:latin typeface="Calibri"/>
                    <a:ea typeface="Calibri"/>
                    <a:cs typeface="Calibri"/>
                  </a:defRPr>
                </a:pPr>
                <a:endParaRPr lang="es-ES"/>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0 a 5 años</c:v>
                </c:pt>
                <c:pt idx="1">
                  <c:v>6 a 12 años</c:v>
                </c:pt>
                <c:pt idx="2">
                  <c:v>13 a 17 años </c:v>
                </c:pt>
              </c:strCache>
            </c:strRef>
          </c:cat>
          <c:val>
            <c:numRef>
              <c:f>Sheet1!$B$2:$B$4</c:f>
              <c:numCache>
                <c:formatCode>General</c:formatCode>
                <c:ptCount val="3"/>
                <c:pt idx="0">
                  <c:v>23.69</c:v>
                </c:pt>
                <c:pt idx="1">
                  <c:v>39.229999999999997</c:v>
                </c:pt>
                <c:pt idx="2">
                  <c:v>35.94</c:v>
                </c:pt>
              </c:numCache>
            </c:numRef>
          </c:val>
          <c:extLst>
            <c:ext xmlns:c16="http://schemas.microsoft.com/office/drawing/2014/chart" uri="{C3380CC4-5D6E-409C-BE32-E72D297353CC}">
              <c16:uniqueId val="{00000003-CDD1-4993-9A13-DD7458ED71E6}"/>
            </c:ext>
          </c:extLst>
        </c:ser>
        <c:dLbls>
          <c:showLegendKey val="0"/>
          <c:showVal val="0"/>
          <c:showCatName val="0"/>
          <c:showSerName val="0"/>
          <c:showPercent val="0"/>
          <c:showBubbleSize val="0"/>
        </c:dLbls>
        <c:gapWidth val="150"/>
        <c:axId val="185757056"/>
        <c:axId val="189949056"/>
      </c:barChart>
      <c:catAx>
        <c:axId val="185757056"/>
        <c:scaling>
          <c:orientation val="minMax"/>
        </c:scaling>
        <c:delete val="0"/>
        <c:axPos val="b"/>
        <c:numFmt formatCode="General" sourceLinked="1"/>
        <c:majorTickMark val="out"/>
        <c:minorTickMark val="none"/>
        <c:tickLblPos val="nextTo"/>
        <c:spPr>
          <a:ln w="1902">
            <a:solidFill>
              <a:srgbClr val="000000"/>
            </a:solidFill>
            <a:prstDash val="solid"/>
          </a:ln>
        </c:spPr>
        <c:txPr>
          <a:bodyPr rot="0" vert="horz"/>
          <a:lstStyle/>
          <a:p>
            <a:pPr>
              <a:defRPr sz="616" b="1" i="0" u="none" strike="noStrike" baseline="0">
                <a:solidFill>
                  <a:srgbClr val="000000"/>
                </a:solidFill>
                <a:latin typeface="Calibri"/>
                <a:ea typeface="Calibri"/>
                <a:cs typeface="Calibri"/>
              </a:defRPr>
            </a:pPr>
            <a:endParaRPr lang="es-ES"/>
          </a:p>
        </c:txPr>
        <c:crossAx val="189949056"/>
        <c:crosses val="autoZero"/>
        <c:auto val="1"/>
        <c:lblAlgn val="ctr"/>
        <c:lblOffset val="100"/>
        <c:tickLblSkip val="1"/>
        <c:tickMarkSkip val="1"/>
        <c:noMultiLvlLbl val="0"/>
      </c:catAx>
      <c:valAx>
        <c:axId val="189949056"/>
        <c:scaling>
          <c:orientation val="minMax"/>
        </c:scaling>
        <c:delete val="0"/>
        <c:axPos val="l"/>
        <c:majorGridlines>
          <c:spPr>
            <a:ln w="7610">
              <a:solidFill>
                <a:srgbClr val="C0C0C0"/>
              </a:solidFill>
              <a:prstDash val="solid"/>
            </a:ln>
          </c:spPr>
        </c:majorGridlines>
        <c:numFmt formatCode="General" sourceLinked="1"/>
        <c:majorTickMark val="out"/>
        <c:minorTickMark val="none"/>
        <c:tickLblPos val="nextTo"/>
        <c:spPr>
          <a:ln w="1902">
            <a:solidFill>
              <a:srgbClr val="000000"/>
            </a:solidFill>
            <a:prstDash val="solid"/>
          </a:ln>
        </c:spPr>
        <c:txPr>
          <a:bodyPr rot="0" vert="horz"/>
          <a:lstStyle/>
          <a:p>
            <a:pPr>
              <a:defRPr sz="616" b="1" i="0" u="none" strike="noStrike" baseline="0">
                <a:solidFill>
                  <a:srgbClr val="000000"/>
                </a:solidFill>
                <a:latin typeface="Calibri"/>
                <a:ea typeface="Calibri"/>
                <a:cs typeface="Calibri"/>
              </a:defRPr>
            </a:pPr>
            <a:endParaRPr lang="es-ES"/>
          </a:p>
        </c:txPr>
        <c:crossAx val="185757056"/>
        <c:crosses val="autoZero"/>
        <c:crossBetween val="between"/>
      </c:valAx>
      <c:spPr>
        <a:noFill/>
        <a:ln w="7610">
          <a:solidFill>
            <a:srgbClr val="808080"/>
          </a:solidFill>
          <a:prstDash val="solid"/>
        </a:ln>
      </c:spPr>
    </c:plotArea>
    <c:plotVisOnly val="1"/>
    <c:dispBlanksAs val="gap"/>
    <c:showDLblsOverMax val="0"/>
  </c:chart>
  <c:spPr>
    <a:noFill/>
    <a:ln>
      <a:noFill/>
    </a:ln>
  </c:spPr>
  <c:txPr>
    <a:bodyPr/>
    <a:lstStyle/>
    <a:p>
      <a:pPr>
        <a:defRPr sz="616" b="1" i="0" u="none" strike="noStrike" baseline="0">
          <a:solidFill>
            <a:srgbClr val="000000"/>
          </a:solidFill>
          <a:latin typeface="Calibri"/>
          <a:ea typeface="Calibri"/>
          <a:cs typeface="Calibri"/>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accent1"/>
              </a:solidFill>
            </a:ln>
          </c:spPr>
          <c:dPt>
            <c:idx val="0"/>
            <c:bubble3D val="0"/>
            <c:spPr>
              <a:solidFill>
                <a:schemeClr val="accent1"/>
              </a:solidFill>
              <a:ln>
                <a:solidFill>
                  <a:schemeClr val="accent1"/>
                </a:solidFill>
              </a:ln>
            </c:spPr>
            <c:extLst>
              <c:ext xmlns:c16="http://schemas.microsoft.com/office/drawing/2014/chart" uri="{C3380CC4-5D6E-409C-BE32-E72D297353CC}">
                <c16:uniqueId val="{00000000-0403-430A-A2CD-C8AD2924CB62}"/>
              </c:ext>
            </c:extLst>
          </c:dPt>
          <c:dPt>
            <c:idx val="1"/>
            <c:bubble3D val="0"/>
            <c:spPr>
              <a:solidFill>
                <a:srgbClr val="F79646">
                  <a:lumMod val="75000"/>
                </a:srgbClr>
              </a:solidFill>
              <a:ln>
                <a:solidFill>
                  <a:schemeClr val="accent1"/>
                </a:solidFill>
              </a:ln>
            </c:spPr>
            <c:extLst>
              <c:ext xmlns:c16="http://schemas.microsoft.com/office/drawing/2014/chart" uri="{C3380CC4-5D6E-409C-BE32-E72D297353CC}">
                <c16:uniqueId val="{00000001-0403-430A-A2CD-C8AD2924CB62}"/>
              </c:ext>
            </c:extLst>
          </c:dPt>
          <c:dLbls>
            <c:spPr>
              <a:solidFill>
                <a:schemeClr val="tx1"/>
              </a:solidFill>
              <a:ln>
                <a:solidFill>
                  <a:sysClr val="windowText" lastClr="000000"/>
                </a:solidFill>
              </a:ln>
            </c:spPr>
            <c:txPr>
              <a:bodyPr/>
              <a:lstStyle/>
              <a:p>
                <a:pPr>
                  <a:defRPr b="1">
                    <a:solidFill>
                      <a:schemeClr val="bg1"/>
                    </a:solidFill>
                  </a:defRPr>
                </a:pPr>
                <a:endParaRPr lang="es-E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Hoja2!$G$9:$G$13</c:f>
              <c:strCache>
                <c:ptCount val="5"/>
                <c:pt idx="0">
                  <c:v>Asistencia directa</c:v>
                </c:pt>
                <c:pt idx="1">
                  <c:v>Asistencia financiera</c:v>
                </c:pt>
                <c:pt idx="2">
                  <c:v>Brasil, Chile, Ecuador, Haití, Irak- Kurdistán, México </c:v>
                </c:pt>
                <c:pt idx="3">
                  <c:v>China</c:v>
                </c:pt>
                <c:pt idx="4">
                  <c:v>Colombia</c:v>
                </c:pt>
              </c:strCache>
            </c:strRef>
          </c:cat>
          <c:val>
            <c:numRef>
              <c:f>Hoja2!$H$9:$H$10</c:f>
              <c:numCache>
                <c:formatCode>0.00%</c:formatCode>
                <c:ptCount val="2"/>
                <c:pt idx="0">
                  <c:v>0.37</c:v>
                </c:pt>
                <c:pt idx="1">
                  <c:v>0.51</c:v>
                </c:pt>
              </c:numCache>
            </c:numRef>
          </c:val>
          <c:extLst>
            <c:ext xmlns:c16="http://schemas.microsoft.com/office/drawing/2014/chart" uri="{C3380CC4-5D6E-409C-BE32-E72D297353CC}">
              <c16:uniqueId val="{00000002-0403-430A-A2CD-C8AD2924CB62}"/>
            </c:ext>
          </c:extLst>
        </c:ser>
        <c:dLbls>
          <c:showLegendKey val="0"/>
          <c:showVal val="0"/>
          <c:showCatName val="0"/>
          <c:showSerName val="0"/>
          <c:showPercent val="0"/>
          <c:showBubbleSize val="0"/>
          <c:showLeaderLines val="1"/>
        </c:dLbls>
        <c:firstSliceAng val="0"/>
      </c:pieChart>
      <c:spPr>
        <a:noFill/>
        <a:ln w="24890">
          <a:noFill/>
        </a:ln>
      </c:spPr>
    </c:plotArea>
    <c:legend>
      <c:legendPos val="r"/>
      <c:layout>
        <c:manualLayout>
          <c:xMode val="edge"/>
          <c:yMode val="edge"/>
          <c:x val="0.78871202250797789"/>
          <c:y val="0.41791052871158629"/>
          <c:w val="0.19536905908344193"/>
          <c:h val="0.15223871923758603"/>
        </c:manualLayout>
      </c:layout>
      <c:overlay val="0"/>
      <c:spPr>
        <a:gradFill>
          <a:gsLst>
            <a:gs pos="0">
              <a:schemeClr val="bg1">
                <a:lumMod val="85000"/>
              </a:schemeClr>
            </a:gs>
            <a:gs pos="94000">
              <a:schemeClr val="bg1">
                <a:lumMod val="95000"/>
              </a:schemeClr>
            </a:gs>
            <a:gs pos="0">
              <a:srgbClr val="7D8496"/>
            </a:gs>
            <a:gs pos="0">
              <a:srgbClr val="E6E6E6"/>
            </a:gs>
            <a:gs pos="100000">
              <a:schemeClr val="bg1">
                <a:lumMod val="95000"/>
              </a:schemeClr>
            </a:gs>
            <a:gs pos="100000">
              <a:srgbClr val="E6E6E6"/>
            </a:gs>
          </a:gsLst>
          <a:lin ang="5400000" scaled="0"/>
        </a:gradFill>
        <a:ln>
          <a:solidFill>
            <a:schemeClr val="accent1"/>
          </a:solidFill>
        </a:ln>
      </c:spPr>
      <c:txPr>
        <a:bodyPr/>
        <a:lstStyle/>
        <a:p>
          <a:pPr>
            <a:defRPr sz="757">
              <a:latin typeface="+mn-lt"/>
            </a:defRPr>
          </a:pPr>
          <a:endParaRPr lang="es-ES"/>
        </a:p>
      </c:txPr>
    </c:legend>
    <c:plotVisOnly val="1"/>
    <c:dispBlanksAs val="gap"/>
    <c:showDLblsOverMax val="0"/>
  </c:chart>
  <c:spPr>
    <a:gradFill>
      <a:gsLst>
        <a:gs pos="0">
          <a:schemeClr val="bg1">
            <a:lumMod val="85000"/>
          </a:schemeClr>
        </a:gs>
        <a:gs pos="94000">
          <a:schemeClr val="bg1">
            <a:lumMod val="95000"/>
          </a:schemeClr>
        </a:gs>
        <a:gs pos="0">
          <a:srgbClr val="7D8496"/>
        </a:gs>
        <a:gs pos="47000">
          <a:srgbClr val="E6E6E6"/>
        </a:gs>
        <a:gs pos="100000">
          <a:schemeClr val="bg1">
            <a:lumMod val="95000"/>
          </a:schemeClr>
        </a:gs>
        <a:gs pos="100000">
          <a:srgbClr val="E6E6E6"/>
        </a:gs>
      </a:gsLst>
      <a:lin ang="5400000" scaled="0"/>
    </a:gradFill>
    <a:effectLst>
      <a:outerShdw blurRad="50800" dist="50800" dir="5400000" algn="ctr" rotWithShape="0">
        <a:schemeClr val="bg1">
          <a:lumMod val="50000"/>
        </a:schemeClr>
      </a:outerShdw>
    </a:effectLst>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85627734033246"/>
          <c:y val="0.16245370370370371"/>
          <c:w val="0.40287467191601051"/>
          <c:h val="0.6714577865266842"/>
        </c:manualLayout>
      </c:layout>
      <c:pieChart>
        <c:varyColors val="1"/>
        <c:ser>
          <c:idx val="0"/>
          <c:order val="0"/>
          <c:dPt>
            <c:idx val="0"/>
            <c:bubble3D val="0"/>
            <c:spPr>
              <a:solidFill>
                <a:schemeClr val="bg1">
                  <a:lumMod val="50000"/>
                </a:schemeClr>
              </a:solidFill>
              <a:ln w="18327">
                <a:solidFill>
                  <a:schemeClr val="lt1"/>
                </a:solidFill>
              </a:ln>
              <a:effectLst/>
            </c:spPr>
            <c:extLst>
              <c:ext xmlns:c16="http://schemas.microsoft.com/office/drawing/2014/chart" uri="{C3380CC4-5D6E-409C-BE32-E72D297353CC}">
                <c16:uniqueId val="{00000000-B2E6-4DE4-8DF8-4257CFC54CFA}"/>
              </c:ext>
            </c:extLst>
          </c:dPt>
          <c:dPt>
            <c:idx val="1"/>
            <c:bubble3D val="0"/>
            <c:spPr>
              <a:solidFill>
                <a:srgbClr val="9BBB59">
                  <a:lumMod val="75000"/>
                </a:srgbClr>
              </a:solidFill>
              <a:ln w="18327">
                <a:solidFill>
                  <a:schemeClr val="lt1"/>
                </a:solidFill>
              </a:ln>
              <a:effectLst/>
            </c:spPr>
            <c:extLst>
              <c:ext xmlns:c16="http://schemas.microsoft.com/office/drawing/2014/chart" uri="{C3380CC4-5D6E-409C-BE32-E72D297353CC}">
                <c16:uniqueId val="{00000001-B2E6-4DE4-8DF8-4257CFC54CFA}"/>
              </c:ext>
            </c:extLst>
          </c:dPt>
          <c:dPt>
            <c:idx val="2"/>
            <c:bubble3D val="0"/>
            <c:spPr>
              <a:solidFill>
                <a:srgbClr val="9BBB59">
                  <a:lumMod val="60000"/>
                  <a:lumOff val="40000"/>
                </a:srgbClr>
              </a:solidFill>
              <a:ln w="18327">
                <a:solidFill>
                  <a:schemeClr val="lt1"/>
                </a:solidFill>
              </a:ln>
              <a:effectLst/>
            </c:spPr>
            <c:extLst>
              <c:ext xmlns:c16="http://schemas.microsoft.com/office/drawing/2014/chart" uri="{C3380CC4-5D6E-409C-BE32-E72D297353CC}">
                <c16:uniqueId val="{00000002-B2E6-4DE4-8DF8-4257CFC54CFA}"/>
              </c:ext>
            </c:extLst>
          </c:dPt>
          <c:dPt>
            <c:idx val="3"/>
            <c:bubble3D val="0"/>
            <c:spPr>
              <a:solidFill>
                <a:srgbClr val="9BBB59">
                  <a:lumMod val="20000"/>
                  <a:lumOff val="80000"/>
                </a:srgbClr>
              </a:solidFill>
              <a:ln w="18327">
                <a:solidFill>
                  <a:schemeClr val="lt1"/>
                </a:solidFill>
              </a:ln>
              <a:effectLst/>
            </c:spPr>
            <c:extLst>
              <c:ext xmlns:c16="http://schemas.microsoft.com/office/drawing/2014/chart" uri="{C3380CC4-5D6E-409C-BE32-E72D297353CC}">
                <c16:uniqueId val="{00000003-B2E6-4DE4-8DF8-4257CFC54CFA}"/>
              </c:ext>
            </c:extLst>
          </c:dPt>
          <c:dPt>
            <c:idx val="4"/>
            <c:bubble3D val="0"/>
            <c:spPr>
              <a:solidFill>
                <a:schemeClr val="accent5"/>
              </a:solidFill>
              <a:ln w="18327">
                <a:solidFill>
                  <a:schemeClr val="lt1"/>
                </a:solidFill>
              </a:ln>
              <a:effectLst/>
            </c:spPr>
            <c:extLst>
              <c:ext xmlns:c16="http://schemas.microsoft.com/office/drawing/2014/chart" uri="{C3380CC4-5D6E-409C-BE32-E72D297353CC}">
                <c16:uniqueId val="{00000004-B2E6-4DE4-8DF8-4257CFC54CFA}"/>
              </c:ext>
            </c:extLst>
          </c:dPt>
          <c:dLbls>
            <c:dLbl>
              <c:idx val="0"/>
              <c:layout>
                <c:manualLayout>
                  <c:x val="5.5429352580927384E-2"/>
                  <c:y val="-0.1457600612423447"/>
                </c:manualLayout>
              </c:layout>
              <c:spPr>
                <a:noFill/>
                <a:ln w="24436">
                  <a:noFill/>
                </a:ln>
              </c:spPr>
              <c:txPr>
                <a:bodyPr/>
                <a:lstStyle/>
                <a:p>
                  <a:pPr>
                    <a:defRPr sz="864" b="0" i="0" u="none" strike="noStrike" baseline="0">
                      <a:solidFill>
                        <a:srgbClr val="333333"/>
                      </a:solidFill>
                      <a:latin typeface="Calibri"/>
                      <a:ea typeface="Calibri"/>
                      <a:cs typeface="Calibri"/>
                    </a:defRPr>
                  </a:pPr>
                  <a:endParaRPr lang="es-E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2E6-4DE4-8DF8-4257CFC54CFA}"/>
                </c:ext>
              </c:extLst>
            </c:dLbl>
            <c:dLbl>
              <c:idx val="1"/>
              <c:layout>
                <c:manualLayout>
                  <c:x val="-7.482327209098863E-2"/>
                  <c:y val="0.17091426071741031"/>
                </c:manualLayout>
              </c:layout>
              <c:spPr>
                <a:noFill/>
                <a:ln w="24436">
                  <a:noFill/>
                </a:ln>
              </c:spPr>
              <c:txPr>
                <a:bodyPr/>
                <a:lstStyle/>
                <a:p>
                  <a:pPr>
                    <a:defRPr sz="864" b="0" i="0" u="none" strike="noStrike" baseline="0">
                      <a:solidFill>
                        <a:srgbClr val="333333"/>
                      </a:solidFill>
                      <a:latin typeface="Calibri"/>
                      <a:ea typeface="Calibri"/>
                      <a:cs typeface="Calibri"/>
                    </a:defRPr>
                  </a:pPr>
                  <a:endParaRPr lang="es-E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E6-4DE4-8DF8-4257CFC54CFA}"/>
                </c:ext>
              </c:extLst>
            </c:dLbl>
            <c:spPr>
              <a:noFill/>
              <a:ln w="24436">
                <a:noFill/>
              </a:ln>
            </c:spPr>
            <c:txPr>
              <a:bodyPr wrap="square" lIns="38100" tIns="19050" rIns="38100" bIns="19050" anchor="ctr">
                <a:spAutoFit/>
              </a:bodyPr>
              <a:lstStyle/>
              <a:p>
                <a:pPr>
                  <a:defRPr sz="864" b="0" i="0" u="none" strike="noStrike" baseline="0">
                    <a:solidFill>
                      <a:srgbClr val="333333"/>
                    </a:solidFill>
                    <a:latin typeface="Calibri"/>
                    <a:ea typeface="Calibri"/>
                    <a:cs typeface="Calibri"/>
                  </a:defRPr>
                </a:pPr>
                <a:endParaRPr lang="es-ES"/>
              </a:p>
            </c:txPr>
            <c:showLegendKey val="0"/>
            <c:showVal val="1"/>
            <c:showCatName val="1"/>
            <c:showSerName val="0"/>
            <c:showPercent val="0"/>
            <c:showBubbleSize val="0"/>
            <c:showLeaderLines val="1"/>
            <c:leaderLines>
              <c:spPr>
                <a:ln w="9164"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Hoja3!$F$22:$F$26</c:f>
              <c:strCache>
                <c:ptCount val="4"/>
                <c:pt idx="0">
                  <c:v>Obra Social (Incluye PAMI)</c:v>
                </c:pt>
                <c:pt idx="1">
                  <c:v>Prepaga a través de obra social</c:v>
                </c:pt>
                <c:pt idx="2">
                  <c:v>Prepaga sólo por contratación voluntaria</c:v>
                </c:pt>
                <c:pt idx="3">
                  <c:v>Programas y planes estatales de salud</c:v>
                </c:pt>
              </c:strCache>
            </c:strRef>
          </c:cat>
          <c:val>
            <c:numRef>
              <c:f>Hoja3!$G$22:$G$26</c:f>
              <c:numCache>
                <c:formatCode>0.0%</c:formatCode>
                <c:ptCount val="5"/>
                <c:pt idx="0">
                  <c:v>0.81</c:v>
                </c:pt>
                <c:pt idx="1">
                  <c:v>0.105</c:v>
                </c:pt>
                <c:pt idx="2">
                  <c:v>4.4999999999999998E-2</c:v>
                </c:pt>
                <c:pt idx="3">
                  <c:v>0.04</c:v>
                </c:pt>
              </c:numCache>
            </c:numRef>
          </c:val>
          <c:extLst>
            <c:ext xmlns:c16="http://schemas.microsoft.com/office/drawing/2014/chart" uri="{C3380CC4-5D6E-409C-BE32-E72D297353CC}">
              <c16:uniqueId val="{00000005-B2E6-4DE4-8DF8-4257CFC54CFA}"/>
            </c:ext>
          </c:extLst>
        </c:ser>
        <c:dLbls>
          <c:showLegendKey val="0"/>
          <c:showVal val="0"/>
          <c:showCatName val="0"/>
          <c:showSerName val="0"/>
          <c:showPercent val="0"/>
          <c:showBubbleSize val="0"/>
          <c:showLeaderLines val="1"/>
        </c:dLbls>
        <c:firstSliceAng val="0"/>
      </c:pieChart>
      <c:spPr>
        <a:noFill/>
        <a:ln w="25366">
          <a:noFill/>
        </a:ln>
      </c:spPr>
    </c:plotArea>
    <c:plotVisOnly val="1"/>
    <c:dispBlanksAs val="gap"/>
    <c:showDLblsOverMax val="0"/>
  </c:chart>
  <c:spPr>
    <a:solidFill>
      <a:schemeClr val="bg1"/>
    </a:solidFill>
    <a:ln w="9164" cap="flat" cmpd="sng" algn="ctr">
      <a:solidFill>
        <a:schemeClr val="tx1">
          <a:lumMod val="15000"/>
          <a:lumOff val="85000"/>
        </a:schemeClr>
      </a:solidFill>
      <a:round/>
    </a:ln>
    <a:effectLst/>
  </c:spPr>
  <c:txPr>
    <a:bodyPr/>
    <a:lstStyle/>
    <a:p>
      <a:pPr>
        <a:defRPr sz="864" b="0" i="0" u="none" strike="noStrike" baseline="0">
          <a:solidFill>
            <a:srgbClr val="000000"/>
          </a:solidFill>
          <a:latin typeface="Calibri"/>
          <a:ea typeface="Calibri"/>
          <a:cs typeface="Calibri"/>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US"/>
              <a:t>Niños y Niñas por nacionalidad en Argentina</a:t>
            </a:r>
          </a:p>
        </c:rich>
      </c:tx>
      <c:layout/>
      <c:overlay val="0"/>
      <c:spPr>
        <a:noFill/>
        <a:ln w="25400">
          <a:noFill/>
        </a:ln>
      </c:spPr>
    </c:title>
    <c:autoTitleDeleted val="0"/>
    <c:plotArea>
      <c:layout/>
      <c:barChart>
        <c:barDir val="col"/>
        <c:grouping val="stacked"/>
        <c:varyColors val="0"/>
        <c:ser>
          <c:idx val="0"/>
          <c:order val="0"/>
          <c:tx>
            <c:strRef>
              <c:f>'[Gráfico en   EVERGREY Info SS Desarrollo Area Relaciones Internacionales RELACIONES INTERNACIONALES INSTITUCIONES INTERNACIONALES NACIONES UNIDAS COMITÉ DE LOS DERECHOS DEL NIÑO INFORME 5 Y 6 Informe final INFORME V y VI ARGENTINA.doc]Hoja1'!$B$1</c:f>
              <c:strCache>
                <c:ptCount val="1"/>
                <c:pt idx="0">
                  <c:v>NIÑOS</c:v>
                </c:pt>
              </c:strCache>
            </c:strRef>
          </c:tx>
          <c:spPr>
            <a:solidFill>
              <a:srgbClr val="5B9BD5"/>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'[Gráfico en   EVERGREY Info SS Desarrollo Area Relaciones Internacionales RELACIONES INTERNACIONALES INSTITUCIONES INTERNACIONALES NACIONES UNIDAS COMITÉ DE LOS DERECHOS DEL NIÑO INFORME 5 Y 6 Informe final INFORME V y VI ARGENTINA.doc]Hoja1'!$A$2:$A$12</c:f>
              <c:strCache>
                <c:ptCount val="11"/>
                <c:pt idx="0">
                  <c:v>Armenia</c:v>
                </c:pt>
                <c:pt idx="1">
                  <c:v>Colombiana</c:v>
                </c:pt>
                <c:pt idx="2">
                  <c:v>Salvadoreña</c:v>
                </c:pt>
                <c:pt idx="3">
                  <c:v>Ghanesa</c:v>
                </c:pt>
                <c:pt idx="4">
                  <c:v>Haitiana</c:v>
                </c:pt>
                <c:pt idx="5">
                  <c:v>Iraquí</c:v>
                </c:pt>
                <c:pt idx="6">
                  <c:v>Libia</c:v>
                </c:pt>
                <c:pt idx="7">
                  <c:v>Nigeriana</c:v>
                </c:pt>
                <c:pt idx="8">
                  <c:v>Senegalesa</c:v>
                </c:pt>
                <c:pt idx="9">
                  <c:v>Siria</c:v>
                </c:pt>
                <c:pt idx="10">
                  <c:v>Ucraniana</c:v>
                </c:pt>
              </c:strCache>
            </c:strRef>
          </c:cat>
          <c:val>
            <c:numRef>
              <c:f>'[Gráfico en   EVERGREY Info SS Desarrollo Area Relaciones Internacionales RELACIONES INTERNACIONALES INSTITUCIONES INTERNACIONALES NACIONES UNIDAS COMITÉ DE LOS DERECHOS DEL NIÑO INFORME 5 Y 6 Informe final INFORME V y VI ARGENTINA.doc]Hoja1'!$B$2:$B$12</c:f>
              <c:numCache>
                <c:formatCode>General</c:formatCode>
                <c:ptCount val="11"/>
                <c:pt idx="0">
                  <c:v>1</c:v>
                </c:pt>
                <c:pt idx="1">
                  <c:v>4</c:v>
                </c:pt>
                <c:pt idx="2">
                  <c:v>1</c:v>
                </c:pt>
                <c:pt idx="3">
                  <c:v>2</c:v>
                </c:pt>
                <c:pt idx="4">
                  <c:v>1</c:v>
                </c:pt>
                <c:pt idx="5">
                  <c:v>1</c:v>
                </c:pt>
                <c:pt idx="6">
                  <c:v>1</c:v>
                </c:pt>
                <c:pt idx="8">
                  <c:v>2</c:v>
                </c:pt>
                <c:pt idx="10">
                  <c:v>1</c:v>
                </c:pt>
              </c:numCache>
            </c:numRef>
          </c:val>
          <c:extLst>
            <c:ext xmlns:c16="http://schemas.microsoft.com/office/drawing/2014/chart" uri="{C3380CC4-5D6E-409C-BE32-E72D297353CC}">
              <c16:uniqueId val="{00000000-43E0-4622-9BC2-760EE50F56D4}"/>
            </c:ext>
          </c:extLst>
        </c:ser>
        <c:ser>
          <c:idx val="1"/>
          <c:order val="1"/>
          <c:tx>
            <c:strRef>
              <c:f>'[Gráfico en   EVERGREY Info SS Desarrollo Area Relaciones Internacionales RELACIONES INTERNACIONALES INSTITUCIONES INTERNACIONALES NACIONES UNIDAS COMITÉ DE LOS DERECHOS DEL NIÑO INFORME 5 Y 6 Informe final INFORME V y VI ARGENTINA.doc]Hoja1'!$C$1</c:f>
              <c:strCache>
                <c:ptCount val="1"/>
                <c:pt idx="0">
                  <c:v>NIÑAS</c:v>
                </c:pt>
              </c:strCache>
            </c:strRef>
          </c:tx>
          <c:spPr>
            <a:solidFill>
              <a:srgbClr val="ED7D31"/>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'[Gráfico en   EVERGREY Info SS Desarrollo Area Relaciones Internacionales RELACIONES INTERNACIONALES INSTITUCIONES INTERNACIONALES NACIONES UNIDAS COMITÉ DE LOS DERECHOS DEL NIÑO INFORME 5 Y 6 Informe final INFORME V y VI ARGENTINA.doc]Hoja1'!$A$2:$A$12</c:f>
              <c:strCache>
                <c:ptCount val="11"/>
                <c:pt idx="0">
                  <c:v>Armenia</c:v>
                </c:pt>
                <c:pt idx="1">
                  <c:v>Colombiana</c:v>
                </c:pt>
                <c:pt idx="2">
                  <c:v>Salvadoreña</c:v>
                </c:pt>
                <c:pt idx="3">
                  <c:v>Ghanesa</c:v>
                </c:pt>
                <c:pt idx="4">
                  <c:v>Haitiana</c:v>
                </c:pt>
                <c:pt idx="5">
                  <c:v>Iraquí</c:v>
                </c:pt>
                <c:pt idx="6">
                  <c:v>Libia</c:v>
                </c:pt>
                <c:pt idx="7">
                  <c:v>Nigeriana</c:v>
                </c:pt>
                <c:pt idx="8">
                  <c:v>Senegalesa</c:v>
                </c:pt>
                <c:pt idx="9">
                  <c:v>Siria</c:v>
                </c:pt>
                <c:pt idx="10">
                  <c:v>Ucraniana</c:v>
                </c:pt>
              </c:strCache>
            </c:strRef>
          </c:cat>
          <c:val>
            <c:numRef>
              <c:f>'[Gráfico en   EVERGREY Info SS Desarrollo Area Relaciones Internacionales RELACIONES INTERNACIONALES INSTITUCIONES INTERNACIONALES NACIONES UNIDAS COMITÉ DE LOS DERECHOS DEL NIÑO INFORME 5 Y 6 Informe final INFORME V y VI ARGENTINA.doc]Hoja1'!$C$2:$C$12</c:f>
              <c:numCache>
                <c:formatCode>General</c:formatCode>
                <c:ptCount val="11"/>
                <c:pt idx="1">
                  <c:v>1</c:v>
                </c:pt>
                <c:pt idx="7">
                  <c:v>1</c:v>
                </c:pt>
                <c:pt idx="9">
                  <c:v>2</c:v>
                </c:pt>
              </c:numCache>
            </c:numRef>
          </c:val>
          <c:extLst>
            <c:ext xmlns:c16="http://schemas.microsoft.com/office/drawing/2014/chart" uri="{C3380CC4-5D6E-409C-BE32-E72D297353CC}">
              <c16:uniqueId val="{00000001-43E0-4622-9BC2-760EE50F56D4}"/>
            </c:ext>
          </c:extLst>
        </c:ser>
        <c:dLbls>
          <c:showLegendKey val="0"/>
          <c:showVal val="0"/>
          <c:showCatName val="0"/>
          <c:showSerName val="0"/>
          <c:showPercent val="0"/>
          <c:showBubbleSize val="0"/>
        </c:dLbls>
        <c:gapWidth val="150"/>
        <c:overlap val="100"/>
        <c:axId val="76748288"/>
        <c:axId val="76749824"/>
      </c:barChart>
      <c:catAx>
        <c:axId val="7674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es-ES"/>
          </a:p>
        </c:txPr>
        <c:crossAx val="76749824"/>
        <c:crosses val="autoZero"/>
        <c:auto val="1"/>
        <c:lblAlgn val="ctr"/>
        <c:lblOffset val="100"/>
        <c:noMultiLvlLbl val="0"/>
      </c:catAx>
      <c:valAx>
        <c:axId val="7674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ES"/>
          </a:p>
        </c:txPr>
        <c:crossAx val="76748288"/>
        <c:crosses val="autoZero"/>
        <c:crossBetween val="between"/>
      </c:valAx>
      <c:spPr>
        <a:noFill/>
        <a:ln w="25400">
          <a:noFill/>
        </a:ln>
      </c:spPr>
    </c:plotArea>
    <c:legend>
      <c:legendPos val="b"/>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accent1"/>
              </a:solidFill>
            </a:ln>
          </c:spPr>
          <c:dPt>
            <c:idx val="0"/>
            <c:bubble3D val="0"/>
            <c:spPr>
              <a:solidFill>
                <a:schemeClr val="accent1"/>
              </a:solidFill>
              <a:ln>
                <a:solidFill>
                  <a:schemeClr val="accent1"/>
                </a:solidFill>
              </a:ln>
            </c:spPr>
            <c:extLst>
              <c:ext xmlns:c16="http://schemas.microsoft.com/office/drawing/2014/chart" uri="{C3380CC4-5D6E-409C-BE32-E72D297353CC}">
                <c16:uniqueId val="{00000000-6C3F-4393-B89D-D187C08D8C5D}"/>
              </c:ext>
            </c:extLst>
          </c:dPt>
          <c:dPt>
            <c:idx val="1"/>
            <c:bubble3D val="0"/>
            <c:spPr>
              <a:solidFill>
                <a:srgbClr val="F79646">
                  <a:lumMod val="75000"/>
                </a:srgbClr>
              </a:solidFill>
              <a:ln>
                <a:solidFill>
                  <a:schemeClr val="accent1"/>
                </a:solidFill>
              </a:ln>
            </c:spPr>
            <c:extLst>
              <c:ext xmlns:c16="http://schemas.microsoft.com/office/drawing/2014/chart" uri="{C3380CC4-5D6E-409C-BE32-E72D297353CC}">
                <c16:uniqueId val="{00000001-6C3F-4393-B89D-D187C08D8C5D}"/>
              </c:ext>
            </c:extLst>
          </c:dPt>
          <c:dLbls>
            <c:spPr>
              <a:solidFill>
                <a:schemeClr val="tx1"/>
              </a:solidFill>
              <a:ln>
                <a:solidFill>
                  <a:sysClr val="windowText" lastClr="000000"/>
                </a:solidFill>
              </a:ln>
            </c:spPr>
            <c:txPr>
              <a:bodyPr/>
              <a:lstStyle/>
              <a:p>
                <a:pPr>
                  <a:defRPr b="1">
                    <a:solidFill>
                      <a:schemeClr val="bg1"/>
                    </a:solidFill>
                  </a:defRPr>
                </a:pPr>
                <a:endParaRPr lang="es-E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Hoja2!$G$9:$G$13</c:f>
              <c:strCache>
                <c:ptCount val="5"/>
                <c:pt idx="0">
                  <c:v>Menor de 18 años</c:v>
                </c:pt>
                <c:pt idx="1">
                  <c:v>Mayor de 18 años </c:v>
                </c:pt>
                <c:pt idx="2">
                  <c:v>Brasil, Chile, Ecuador, Haití, Irak- Kurdistán, México </c:v>
                </c:pt>
                <c:pt idx="3">
                  <c:v>China</c:v>
                </c:pt>
                <c:pt idx="4">
                  <c:v>Colombia</c:v>
                </c:pt>
              </c:strCache>
            </c:strRef>
          </c:cat>
          <c:val>
            <c:numRef>
              <c:f>Hoja2!$H$9:$H$10</c:f>
              <c:numCache>
                <c:formatCode>0.00%</c:formatCode>
                <c:ptCount val="2"/>
                <c:pt idx="0">
                  <c:v>0.13</c:v>
                </c:pt>
                <c:pt idx="1">
                  <c:v>0.7</c:v>
                </c:pt>
              </c:numCache>
            </c:numRef>
          </c:val>
          <c:extLst>
            <c:ext xmlns:c16="http://schemas.microsoft.com/office/drawing/2014/chart" uri="{C3380CC4-5D6E-409C-BE32-E72D297353CC}">
              <c16:uniqueId val="{00000002-6C3F-4393-B89D-D187C08D8C5D}"/>
            </c:ext>
          </c:extLst>
        </c:ser>
        <c:dLbls>
          <c:showLegendKey val="0"/>
          <c:showVal val="0"/>
          <c:showCatName val="0"/>
          <c:showSerName val="0"/>
          <c:showPercent val="0"/>
          <c:showBubbleSize val="0"/>
          <c:showLeaderLines val="1"/>
        </c:dLbls>
        <c:firstSliceAng val="0"/>
      </c:pieChart>
      <c:spPr>
        <a:noFill/>
        <a:ln w="24863">
          <a:noFill/>
        </a:ln>
      </c:spPr>
    </c:plotArea>
    <c:legend>
      <c:legendPos val="r"/>
      <c:layout>
        <c:manualLayout>
          <c:xMode val="edge"/>
          <c:yMode val="edge"/>
          <c:x val="0.79518070618531178"/>
          <c:y val="0.41791060504054089"/>
          <c:w val="0.18825295894616945"/>
          <c:h val="0.15223877684434428"/>
        </c:manualLayout>
      </c:layout>
      <c:overlay val="0"/>
      <c:spPr>
        <a:gradFill>
          <a:gsLst>
            <a:gs pos="0">
              <a:schemeClr val="bg1">
                <a:lumMod val="85000"/>
              </a:schemeClr>
            </a:gs>
            <a:gs pos="94000">
              <a:schemeClr val="bg1">
                <a:lumMod val="95000"/>
              </a:schemeClr>
            </a:gs>
            <a:gs pos="0">
              <a:srgbClr val="7D8496"/>
            </a:gs>
            <a:gs pos="0">
              <a:srgbClr val="E6E6E6"/>
            </a:gs>
            <a:gs pos="100000">
              <a:schemeClr val="bg1">
                <a:lumMod val="95000"/>
              </a:schemeClr>
            </a:gs>
            <a:gs pos="100000">
              <a:srgbClr val="E6E6E6"/>
            </a:gs>
          </a:gsLst>
          <a:lin ang="5400000" scaled="0"/>
        </a:gradFill>
        <a:ln>
          <a:solidFill>
            <a:schemeClr val="accent1"/>
          </a:solidFill>
        </a:ln>
      </c:spPr>
      <c:txPr>
        <a:bodyPr/>
        <a:lstStyle/>
        <a:p>
          <a:pPr>
            <a:defRPr sz="468">
              <a:latin typeface="+mn-lt"/>
            </a:defRPr>
          </a:pPr>
          <a:endParaRPr lang="es-ES"/>
        </a:p>
      </c:txPr>
    </c:legend>
    <c:plotVisOnly val="1"/>
    <c:dispBlanksAs val="gap"/>
    <c:showDLblsOverMax val="0"/>
  </c:chart>
  <c:spPr>
    <a:gradFill>
      <a:gsLst>
        <a:gs pos="0">
          <a:schemeClr val="bg1">
            <a:lumMod val="85000"/>
          </a:schemeClr>
        </a:gs>
        <a:gs pos="94000">
          <a:schemeClr val="bg1">
            <a:lumMod val="95000"/>
          </a:schemeClr>
        </a:gs>
        <a:gs pos="0">
          <a:srgbClr val="7D8496"/>
        </a:gs>
        <a:gs pos="47000">
          <a:srgbClr val="E6E6E6"/>
        </a:gs>
        <a:gs pos="100000">
          <a:schemeClr val="bg1">
            <a:lumMod val="95000"/>
          </a:schemeClr>
        </a:gs>
        <a:gs pos="100000">
          <a:srgbClr val="E6E6E6"/>
        </a:gs>
      </a:gsLst>
      <a:lin ang="5400000" scaled="0"/>
    </a:gradFill>
    <a:effectLst>
      <a:outerShdw blurRad="50800" dist="50800" dir="5400000" algn="ctr" rotWithShape="0">
        <a:schemeClr val="bg1">
          <a:lumMod val="50000"/>
        </a:schemeClr>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chemeClr val="accent1"/>
              </a:solidFill>
            </a:ln>
          </c:spPr>
          <c:dPt>
            <c:idx val="0"/>
            <c:bubble3D val="0"/>
            <c:spPr>
              <a:solidFill>
                <a:schemeClr val="accent1"/>
              </a:solidFill>
              <a:ln>
                <a:solidFill>
                  <a:schemeClr val="accent1"/>
                </a:solidFill>
              </a:ln>
            </c:spPr>
            <c:extLst>
              <c:ext xmlns:c16="http://schemas.microsoft.com/office/drawing/2014/chart" uri="{C3380CC4-5D6E-409C-BE32-E72D297353CC}">
                <c16:uniqueId val="{00000000-7C48-4793-A5EB-ECBD786977F5}"/>
              </c:ext>
            </c:extLst>
          </c:dPt>
          <c:dPt>
            <c:idx val="1"/>
            <c:bubble3D val="0"/>
            <c:spPr>
              <a:solidFill>
                <a:srgbClr val="F79646">
                  <a:lumMod val="75000"/>
                </a:srgbClr>
              </a:solidFill>
              <a:ln>
                <a:solidFill>
                  <a:schemeClr val="accent1"/>
                </a:solidFill>
              </a:ln>
            </c:spPr>
            <c:extLst>
              <c:ext xmlns:c16="http://schemas.microsoft.com/office/drawing/2014/chart" uri="{C3380CC4-5D6E-409C-BE32-E72D297353CC}">
                <c16:uniqueId val="{00000001-7C48-4793-A5EB-ECBD786977F5}"/>
              </c:ext>
            </c:extLst>
          </c:dPt>
          <c:dLbls>
            <c:spPr>
              <a:solidFill>
                <a:schemeClr val="tx1"/>
              </a:solidFill>
              <a:ln>
                <a:solidFill>
                  <a:sysClr val="windowText" lastClr="000000"/>
                </a:solidFill>
              </a:ln>
            </c:spPr>
            <c:txPr>
              <a:bodyPr/>
              <a:lstStyle/>
              <a:p>
                <a:pPr>
                  <a:defRPr b="1">
                    <a:solidFill>
                      <a:schemeClr val="bg1"/>
                    </a:solidFill>
                  </a:defRPr>
                </a:pPr>
                <a:endParaRPr lang="es-ES"/>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Hoja2!$G$9:$G$13</c:f>
              <c:strCache>
                <c:ptCount val="5"/>
                <c:pt idx="0">
                  <c:v>Masculino</c:v>
                </c:pt>
                <c:pt idx="1">
                  <c:v>Femenino</c:v>
                </c:pt>
                <c:pt idx="2">
                  <c:v>Brasil, Chile, Ecuador, Haití, Irak- Kurdistán, México </c:v>
                </c:pt>
                <c:pt idx="3">
                  <c:v>China</c:v>
                </c:pt>
                <c:pt idx="4">
                  <c:v>Colombia</c:v>
                </c:pt>
              </c:strCache>
            </c:strRef>
          </c:cat>
          <c:val>
            <c:numRef>
              <c:f>Hoja2!$H$9:$H$10</c:f>
              <c:numCache>
                <c:formatCode>0.00%</c:formatCode>
                <c:ptCount val="2"/>
                <c:pt idx="0">
                  <c:v>0.31</c:v>
                </c:pt>
                <c:pt idx="1">
                  <c:v>0.69</c:v>
                </c:pt>
              </c:numCache>
            </c:numRef>
          </c:val>
          <c:extLst>
            <c:ext xmlns:c16="http://schemas.microsoft.com/office/drawing/2014/chart" uri="{C3380CC4-5D6E-409C-BE32-E72D297353CC}">
              <c16:uniqueId val="{00000002-7C48-4793-A5EB-ECBD786977F5}"/>
            </c:ext>
          </c:extLst>
        </c:ser>
        <c:dLbls>
          <c:showLegendKey val="0"/>
          <c:showVal val="0"/>
          <c:showCatName val="0"/>
          <c:showSerName val="0"/>
          <c:showPercent val="0"/>
          <c:showBubbleSize val="0"/>
          <c:showLeaderLines val="1"/>
        </c:dLbls>
        <c:firstSliceAng val="0"/>
      </c:pieChart>
      <c:spPr>
        <a:noFill/>
        <a:ln w="24866">
          <a:noFill/>
        </a:ln>
      </c:spPr>
    </c:plotArea>
    <c:legend>
      <c:legendPos val="r"/>
      <c:layout>
        <c:manualLayout>
          <c:xMode val="edge"/>
          <c:yMode val="edge"/>
          <c:x val="0.86887614591654305"/>
          <c:y val="0.42011869784933598"/>
          <c:w val="0.11527387880862716"/>
          <c:h val="0.15088807928859638"/>
        </c:manualLayout>
      </c:layout>
      <c:overlay val="0"/>
      <c:spPr>
        <a:gradFill>
          <a:gsLst>
            <a:gs pos="0">
              <a:schemeClr val="bg1">
                <a:lumMod val="85000"/>
              </a:schemeClr>
            </a:gs>
            <a:gs pos="94000">
              <a:schemeClr val="bg1">
                <a:lumMod val="95000"/>
              </a:schemeClr>
            </a:gs>
            <a:gs pos="0">
              <a:srgbClr val="7D8496"/>
            </a:gs>
            <a:gs pos="0">
              <a:srgbClr val="E6E6E6"/>
            </a:gs>
            <a:gs pos="100000">
              <a:schemeClr val="bg1">
                <a:lumMod val="95000"/>
              </a:schemeClr>
            </a:gs>
            <a:gs pos="100000">
              <a:srgbClr val="E6E6E6"/>
            </a:gs>
          </a:gsLst>
          <a:lin ang="5400000" scaled="0"/>
        </a:gradFill>
        <a:ln>
          <a:solidFill>
            <a:schemeClr val="accent1"/>
          </a:solidFill>
        </a:ln>
      </c:spPr>
      <c:txPr>
        <a:bodyPr/>
        <a:lstStyle/>
        <a:p>
          <a:pPr>
            <a:defRPr sz="468">
              <a:latin typeface="+mn-lt"/>
            </a:defRPr>
          </a:pPr>
          <a:endParaRPr lang="es-ES"/>
        </a:p>
      </c:txPr>
    </c:legend>
    <c:plotVisOnly val="1"/>
    <c:dispBlanksAs val="gap"/>
    <c:showDLblsOverMax val="0"/>
  </c:chart>
  <c:spPr>
    <a:gradFill>
      <a:gsLst>
        <a:gs pos="0">
          <a:schemeClr val="bg1">
            <a:lumMod val="85000"/>
          </a:schemeClr>
        </a:gs>
        <a:gs pos="94000">
          <a:schemeClr val="bg1">
            <a:lumMod val="95000"/>
          </a:schemeClr>
        </a:gs>
        <a:gs pos="0">
          <a:srgbClr val="7D8496"/>
        </a:gs>
        <a:gs pos="47000">
          <a:srgbClr val="E6E6E6"/>
        </a:gs>
        <a:gs pos="100000">
          <a:schemeClr val="bg1">
            <a:lumMod val="95000"/>
          </a:schemeClr>
        </a:gs>
        <a:gs pos="100000">
          <a:srgbClr val="E6E6E6"/>
        </a:gs>
      </a:gsLst>
      <a:lin ang="5400000" scaled="0"/>
    </a:gradFill>
    <a:effectLst>
      <a:outerShdw blurRad="50800" dist="50800" dir="5400000" algn="ctr" rotWithShape="0">
        <a:schemeClr val="bg1">
          <a:lumMod val="50000"/>
        </a:schemeClr>
      </a:outerShdw>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0B5AA-5BB3-407C-9F62-52CEE349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23643</Words>
  <Characters>130041</Characters>
  <Application>Microsoft Office Word</Application>
  <DocSecurity>0</DocSecurity>
  <Lines>1083</Lines>
  <Paragraphs>306</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Naciones Unidas</vt:lpstr>
      <vt:lpstr>Naciones Unidas</vt:lpstr>
      <vt:lpstr>Naciones Unidas</vt:lpstr>
    </vt:vector>
  </TitlesOfParts>
  <Company>OHCHR</Company>
  <LinksUpToDate>false</LinksUpToDate>
  <CharactersWithSpaces>153378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CRC/C/ARG/5-6</dc:title>
  <dc:subject/>
  <dc:creator>Generic TPSSPA1</dc:creator>
  <cp:keywords/>
  <dc:description/>
  <cp:lastModifiedBy>Generic TPSSPA1</cp:lastModifiedBy>
  <cp:revision>3</cp:revision>
  <cp:lastPrinted>2017-11-01T09:31:00Z</cp:lastPrinted>
  <dcterms:created xsi:type="dcterms:W3CDTF">2017-11-01T09:31:00Z</dcterms:created>
  <dcterms:modified xsi:type="dcterms:W3CDTF">2017-11-01T09:31:00Z</dcterms:modified>
</cp:coreProperties>
</file>