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72"/>
        <w:gridCol w:w="2730"/>
      </w:tblGrid>
      <w:tr w:rsidR="00CD3580" w:rsidTr="00E57D62">
        <w:trPr>
          <w:trHeight w:val="1011"/>
        </w:trPr>
        <w:tc>
          <w:tcPr>
            <w:tcW w:w="1560" w:type="dxa"/>
            <w:tcBorders>
              <w:top w:val="nil"/>
              <w:left w:val="nil"/>
              <w:bottom w:val="single" w:sz="6" w:space="0" w:color="auto"/>
              <w:right w:val="nil"/>
            </w:tcBorders>
          </w:tcPr>
          <w:p w:rsidR="00CD3580" w:rsidRDefault="00CD3580" w:rsidP="00E57D62">
            <w:pPr>
              <w:spacing w:before="240"/>
              <w:rPr>
                <w:rFonts w:ascii="Univers" w:hAnsi="Univers"/>
                <w:b/>
                <w:sz w:val="16"/>
              </w:rPr>
            </w:pPr>
            <w:r>
              <w:rPr>
                <w:rFonts w:ascii="Univers" w:hAnsi="Univers"/>
                <w:b/>
                <w:sz w:val="28"/>
              </w:rPr>
              <w:t>UNITED</w:t>
            </w:r>
            <w:r>
              <w:rPr>
                <w:rFonts w:ascii="Univers" w:hAnsi="Univers"/>
                <w:b/>
                <w:sz w:val="28"/>
              </w:rPr>
              <w:br/>
              <w:t>NATIONS</w:t>
            </w:r>
          </w:p>
        </w:tc>
        <w:tc>
          <w:tcPr>
            <w:tcW w:w="5172" w:type="dxa"/>
            <w:tcBorders>
              <w:top w:val="nil"/>
              <w:left w:val="nil"/>
              <w:bottom w:val="single" w:sz="6" w:space="0" w:color="auto"/>
              <w:right w:val="nil"/>
            </w:tcBorders>
            <w:vAlign w:val="center"/>
          </w:tcPr>
          <w:p w:rsidR="00CD3580" w:rsidRPr="00D81544" w:rsidRDefault="00CD3580" w:rsidP="00E57D62">
            <w:pPr>
              <w:jc w:val="center"/>
              <w:rPr>
                <w:b/>
                <w:bCs/>
                <w:color w:val="FF0000"/>
                <w:sz w:val="32"/>
                <w:szCs w:val="32"/>
              </w:rPr>
            </w:pPr>
          </w:p>
        </w:tc>
        <w:tc>
          <w:tcPr>
            <w:tcW w:w="2730" w:type="dxa"/>
            <w:tcBorders>
              <w:top w:val="nil"/>
              <w:left w:val="nil"/>
              <w:bottom w:val="single" w:sz="6" w:space="0" w:color="auto"/>
              <w:right w:val="nil"/>
            </w:tcBorders>
            <w:vAlign w:val="bottom"/>
          </w:tcPr>
          <w:p w:rsidR="00CD3580" w:rsidRDefault="00CD3580" w:rsidP="00E57D62">
            <w:pPr>
              <w:jc w:val="right"/>
              <w:rPr>
                <w:rFonts w:ascii="Univers" w:hAnsi="Univers"/>
                <w:b/>
                <w:sz w:val="72"/>
              </w:rPr>
            </w:pPr>
            <w:r>
              <w:rPr>
                <w:rFonts w:ascii="Univers" w:hAnsi="Univers"/>
                <w:b/>
                <w:sz w:val="72"/>
              </w:rPr>
              <w:t>CERD</w:t>
            </w:r>
          </w:p>
        </w:tc>
      </w:tr>
      <w:tr w:rsidR="00CD3580" w:rsidTr="00E57D62">
        <w:trPr>
          <w:trHeight w:val="1976"/>
        </w:trPr>
        <w:tc>
          <w:tcPr>
            <w:tcW w:w="1560" w:type="dxa"/>
            <w:tcBorders>
              <w:top w:val="single" w:sz="6" w:space="0" w:color="auto"/>
              <w:left w:val="nil"/>
              <w:bottom w:val="single" w:sz="36" w:space="0" w:color="auto"/>
              <w:right w:val="nil"/>
            </w:tcBorders>
          </w:tcPr>
          <w:p w:rsidR="00CD3580" w:rsidRDefault="00CD3580" w:rsidP="00E57D62">
            <w:r w:rsidRPr="006D42D6">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pt" o:ole="" fillcolor="window">
                  <v:imagedata r:id="rId7" o:title=""/>
                </v:shape>
                <o:OLEObject Type="Embed" ProgID="Word.Picture.8" ShapeID="_x0000_i1025" DrawAspect="Content" ObjectID="_1396025340" r:id="rId8"/>
              </w:object>
            </w:r>
          </w:p>
        </w:tc>
        <w:tc>
          <w:tcPr>
            <w:tcW w:w="5172" w:type="dxa"/>
            <w:tcBorders>
              <w:top w:val="single" w:sz="6" w:space="0" w:color="auto"/>
              <w:left w:val="nil"/>
              <w:bottom w:val="single" w:sz="36" w:space="0" w:color="auto"/>
              <w:right w:val="nil"/>
            </w:tcBorders>
          </w:tcPr>
          <w:p w:rsidR="00CD3580" w:rsidRDefault="00CD3580" w:rsidP="00E57D62">
            <w:pPr>
              <w:spacing w:before="360"/>
              <w:rPr>
                <w:rFonts w:ascii="Univers" w:hAnsi="Univers"/>
                <w:sz w:val="36"/>
                <w:szCs w:val="36"/>
              </w:rPr>
            </w:pPr>
            <w:r>
              <w:rPr>
                <w:rFonts w:ascii="Univers" w:hAnsi="Univers"/>
                <w:b/>
                <w:sz w:val="36"/>
                <w:szCs w:val="36"/>
              </w:rPr>
              <w:t>International Convention on</w:t>
            </w:r>
            <w:r>
              <w:rPr>
                <w:rFonts w:ascii="Univers" w:hAnsi="Univers"/>
                <w:b/>
                <w:sz w:val="36"/>
                <w:szCs w:val="36"/>
              </w:rPr>
              <w:br/>
              <w:t>the Elimination</w:t>
            </w:r>
            <w:r>
              <w:rPr>
                <w:rFonts w:ascii="Univers" w:hAnsi="Univers"/>
                <w:b/>
                <w:sz w:val="36"/>
                <w:szCs w:val="36"/>
              </w:rPr>
              <w:br/>
              <w:t>of all Forms of</w:t>
            </w:r>
            <w:r>
              <w:rPr>
                <w:rFonts w:ascii="Univers" w:hAnsi="Univers"/>
                <w:b/>
                <w:sz w:val="36"/>
                <w:szCs w:val="36"/>
              </w:rPr>
              <w:br/>
              <w:t>Racial Discrimination</w:t>
            </w:r>
          </w:p>
        </w:tc>
        <w:tc>
          <w:tcPr>
            <w:tcW w:w="2730" w:type="dxa"/>
            <w:tcBorders>
              <w:top w:val="single" w:sz="6" w:space="0" w:color="auto"/>
              <w:left w:val="nil"/>
              <w:bottom w:val="single" w:sz="36" w:space="0" w:color="auto"/>
              <w:right w:val="nil"/>
            </w:tcBorders>
          </w:tcPr>
          <w:p w:rsidR="00CD3580" w:rsidRPr="00DD61D4" w:rsidRDefault="00CD3580" w:rsidP="00E57D62"/>
          <w:p w:rsidR="00CD3580" w:rsidRPr="00DD61D4" w:rsidRDefault="00CD3580" w:rsidP="00E57D62">
            <w:pPr>
              <w:rPr>
                <w:lang w:val="pt-BR"/>
              </w:rPr>
            </w:pPr>
            <w:r w:rsidRPr="00DD61D4">
              <w:rPr>
                <w:lang w:val="pt-BR"/>
              </w:rPr>
              <w:t>Distr.</w:t>
            </w:r>
          </w:p>
          <w:p w:rsidR="00CD3580" w:rsidRPr="00DD61D4" w:rsidRDefault="00CD3580" w:rsidP="00E57D62">
            <w:pPr>
              <w:rPr>
                <w:lang w:val="pt-BR"/>
              </w:rPr>
            </w:pPr>
            <w:r w:rsidRPr="00DD61D4">
              <w:rPr>
                <w:lang w:val="pt-BR"/>
              </w:rPr>
              <w:t>GENERAL</w:t>
            </w:r>
          </w:p>
          <w:p w:rsidR="00CD3580" w:rsidRPr="00DD61D4" w:rsidRDefault="00CD3580" w:rsidP="00E57D62">
            <w:pPr>
              <w:rPr>
                <w:lang w:val="pt-BR"/>
              </w:rPr>
            </w:pPr>
          </w:p>
          <w:p w:rsidR="00CD3580" w:rsidRPr="00DD61D4" w:rsidRDefault="00CD3580" w:rsidP="00CD3580">
            <w:pPr>
              <w:rPr>
                <w:lang w:val="pt-BR"/>
              </w:rPr>
            </w:pPr>
            <w:r w:rsidRPr="00DD61D4">
              <w:rPr>
                <w:lang w:val="pt-BR"/>
              </w:rPr>
              <w:t>CERD/C/</w:t>
            </w:r>
            <w:r>
              <w:rPr>
                <w:lang w:val="pt-BR"/>
              </w:rPr>
              <w:t>CHN</w:t>
            </w:r>
            <w:r w:rsidRPr="00DD61D4">
              <w:rPr>
                <w:lang w:val="pt-BR"/>
              </w:rPr>
              <w:t>/CO/</w:t>
            </w:r>
            <w:r>
              <w:rPr>
                <w:lang w:val="pt-BR"/>
              </w:rPr>
              <w:t>10-13</w:t>
            </w:r>
          </w:p>
          <w:p w:rsidR="00CD3580" w:rsidRPr="00DD61D4" w:rsidRDefault="009151AE" w:rsidP="00E57D62">
            <w:r>
              <w:rPr>
                <w:lang w:val="pt-BR"/>
              </w:rPr>
              <w:t>15</w:t>
            </w:r>
            <w:r w:rsidR="00A42754">
              <w:rPr>
                <w:lang w:val="pt-BR"/>
              </w:rPr>
              <w:t xml:space="preserve"> </w:t>
            </w:r>
            <w:r w:rsidR="0075780E">
              <w:rPr>
                <w:lang w:val="pt-BR"/>
              </w:rPr>
              <w:t>September</w:t>
            </w:r>
            <w:r w:rsidR="00CD3580" w:rsidRPr="00DD61D4">
              <w:t xml:space="preserve"> 2009</w:t>
            </w:r>
          </w:p>
          <w:p w:rsidR="00CD3580" w:rsidRPr="00DD61D4" w:rsidRDefault="00CD3580" w:rsidP="00E57D62">
            <w:pPr>
              <w:rPr>
                <w:lang w:val="pt-BR"/>
              </w:rPr>
            </w:pPr>
          </w:p>
          <w:p w:rsidR="00CD3580" w:rsidRPr="00DD61D4" w:rsidRDefault="00CD3580" w:rsidP="00E57D62">
            <w:r w:rsidRPr="00DD61D4">
              <w:t xml:space="preserve">Original:  </w:t>
            </w:r>
            <w:fldSimple w:instr=" FILLIN &quot;Orig. Lang.&quot; \* MERGEFORMAT ">
              <w:r w:rsidRPr="00DD61D4">
                <w:t>ENGLISH</w:t>
              </w:r>
            </w:fldSimple>
          </w:p>
          <w:p w:rsidR="00CD3580" w:rsidRPr="00DD61D4" w:rsidRDefault="00CD3580" w:rsidP="00E57D62"/>
        </w:tc>
      </w:tr>
    </w:tbl>
    <w:p w:rsidR="005A62EF" w:rsidRPr="0088419E" w:rsidRDefault="005A62EF" w:rsidP="005A62EF"/>
    <w:p w:rsidR="005A62EF" w:rsidRPr="0088419E" w:rsidRDefault="005A62EF" w:rsidP="005A62EF">
      <w:r w:rsidRPr="0088419E">
        <w:t>COMMITTEE ON THE ELIMINATION</w:t>
      </w:r>
      <w:r w:rsidRPr="0088419E">
        <w:br/>
        <w:t>OF RACIAL DISCRIMINATION</w:t>
      </w:r>
      <w:r w:rsidRPr="0088419E">
        <w:br/>
        <w:t>Seventy-fifth session</w:t>
      </w:r>
      <w:r w:rsidRPr="0088419E">
        <w:br/>
        <w:t>3 – 28 August 2009</w:t>
      </w:r>
    </w:p>
    <w:p w:rsidR="005A62EF" w:rsidRPr="0088419E" w:rsidRDefault="005A62EF">
      <w:pPr>
        <w:pStyle w:val="Heading2"/>
        <w:numPr>
          <w:ilvl w:val="0"/>
          <w:numId w:val="0"/>
        </w:numPr>
        <w:spacing w:before="0" w:after="0" w:line="240" w:lineRule="auto"/>
        <w:jc w:val="left"/>
        <w:rPr>
          <w:lang w:val="en-US"/>
        </w:rPr>
      </w:pPr>
    </w:p>
    <w:p w:rsidR="005A62EF" w:rsidRPr="0088419E" w:rsidRDefault="005A62EF" w:rsidP="005A62EF">
      <w:pPr>
        <w:jc w:val="center"/>
        <w:rPr>
          <w:b/>
          <w:bCs/>
        </w:rPr>
      </w:pPr>
    </w:p>
    <w:p w:rsidR="005A62EF" w:rsidRPr="0088419E" w:rsidRDefault="005A62EF" w:rsidP="005A62EF">
      <w:pPr>
        <w:jc w:val="center"/>
        <w:rPr>
          <w:b/>
          <w:bCs/>
        </w:rPr>
      </w:pPr>
      <w:r w:rsidRPr="0088419E">
        <w:rPr>
          <w:b/>
          <w:bCs/>
        </w:rPr>
        <w:t>CONSIDERATION OF REPORTS SUBMITTED BY STATES PARTIES</w:t>
      </w:r>
    </w:p>
    <w:p w:rsidR="005A62EF" w:rsidRPr="0088419E" w:rsidRDefault="005A62EF" w:rsidP="005A62EF">
      <w:pPr>
        <w:jc w:val="center"/>
        <w:rPr>
          <w:b/>
          <w:bCs/>
        </w:rPr>
      </w:pPr>
      <w:r w:rsidRPr="0088419E">
        <w:rPr>
          <w:b/>
          <w:bCs/>
        </w:rPr>
        <w:t>UNDER ARTICLE 9 OF THE CONVENTION</w:t>
      </w:r>
    </w:p>
    <w:p w:rsidR="005A62EF" w:rsidRPr="0088419E" w:rsidRDefault="005A62EF" w:rsidP="005A62EF">
      <w:pPr>
        <w:jc w:val="center"/>
        <w:rPr>
          <w:b/>
          <w:bCs/>
        </w:rPr>
      </w:pPr>
    </w:p>
    <w:p w:rsidR="005A62EF" w:rsidRPr="0088419E" w:rsidRDefault="005A62EF" w:rsidP="005A62EF">
      <w:pPr>
        <w:jc w:val="center"/>
        <w:rPr>
          <w:b/>
          <w:bCs/>
        </w:rPr>
      </w:pPr>
      <w:r w:rsidRPr="0088419E">
        <w:rPr>
          <w:b/>
          <w:bCs/>
        </w:rPr>
        <w:t>Concluding observations of the Committee on the</w:t>
      </w:r>
      <w:r w:rsidRPr="0088419E">
        <w:rPr>
          <w:b/>
          <w:bCs/>
        </w:rPr>
        <w:br/>
        <w:t>Elimination of Racial Discrimination</w:t>
      </w:r>
    </w:p>
    <w:p w:rsidR="005A62EF" w:rsidRPr="0088419E" w:rsidRDefault="005A62EF" w:rsidP="005A62EF">
      <w:pPr>
        <w:jc w:val="center"/>
        <w:rPr>
          <w:b/>
          <w:bCs/>
        </w:rPr>
      </w:pPr>
    </w:p>
    <w:p w:rsidR="005A62EF" w:rsidRPr="0088419E" w:rsidRDefault="005A62EF" w:rsidP="005A62EF">
      <w:pPr>
        <w:jc w:val="center"/>
        <w:rPr>
          <w:b/>
          <w:bCs/>
        </w:rPr>
      </w:pPr>
      <w:smartTag w:uri="urn:schemas-microsoft-com:office:smarttags" w:element="place">
        <w:smartTag w:uri="urn:schemas-microsoft-com:office:smarttags" w:element="country-region">
          <w:r w:rsidRPr="0088419E">
            <w:rPr>
              <w:b/>
              <w:bCs/>
            </w:rPr>
            <w:t>CHINA</w:t>
          </w:r>
        </w:smartTag>
      </w:smartTag>
      <w:r w:rsidRPr="0088419E">
        <w:rPr>
          <w:b/>
          <w:bCs/>
        </w:rPr>
        <w:t xml:space="preserve"> </w:t>
      </w:r>
    </w:p>
    <w:p w:rsidR="005A62EF" w:rsidRPr="0088419E" w:rsidRDefault="005A62EF" w:rsidP="005A62EF">
      <w:pPr>
        <w:jc w:val="center"/>
        <w:rPr>
          <w:b/>
          <w:bCs/>
        </w:rPr>
      </w:pPr>
      <w:r w:rsidRPr="0088419E">
        <w:rPr>
          <w:b/>
          <w:bCs/>
        </w:rPr>
        <w:t xml:space="preserve">(including Hong Kong and </w:t>
      </w:r>
      <w:smartTag w:uri="urn:schemas-microsoft-com:office:smarttags" w:element="place">
        <w:r w:rsidRPr="0088419E">
          <w:rPr>
            <w:b/>
            <w:bCs/>
          </w:rPr>
          <w:t>Macau</w:t>
        </w:r>
      </w:smartTag>
      <w:r w:rsidRPr="0088419E">
        <w:rPr>
          <w:b/>
          <w:bCs/>
        </w:rPr>
        <w:t xml:space="preserve"> Special Administrative Regions) </w:t>
      </w:r>
    </w:p>
    <w:p w:rsidR="005A62EF" w:rsidRPr="0088419E" w:rsidRDefault="005A62EF" w:rsidP="00CD3580">
      <w:pPr>
        <w:spacing w:line="360" w:lineRule="auto"/>
      </w:pPr>
    </w:p>
    <w:p w:rsidR="005A62EF" w:rsidRPr="0088419E" w:rsidRDefault="005A62EF" w:rsidP="009151AE">
      <w:pPr>
        <w:numPr>
          <w:ilvl w:val="0"/>
          <w:numId w:val="13"/>
        </w:numPr>
        <w:jc w:val="both"/>
      </w:pPr>
      <w:r w:rsidRPr="0088419E">
        <w:t xml:space="preserve">The Committee considered the tenth to thirteenth periodic reports of </w:t>
      </w:r>
      <w:smartTag w:uri="urn:schemas-microsoft-com:office:smarttags" w:element="place">
        <w:smartTag w:uri="urn:schemas-microsoft-com:office:smarttags" w:element="country-region">
          <w:r w:rsidRPr="0088419E">
            <w:t>China</w:t>
          </w:r>
        </w:smartTag>
      </w:smartTag>
      <w:r w:rsidRPr="0088419E">
        <w:t xml:space="preserve"> (CERD/C/CHN/13), including Hong Kong Special Administrative Region (CERD/C/HKG/13) and Macau Special Administrative Region (CERD/C/MAC/13), at its 1942</w:t>
      </w:r>
      <w:r w:rsidR="006C10A4">
        <w:t>nd</w:t>
      </w:r>
      <w:r w:rsidRPr="0088419E">
        <w:t xml:space="preserve"> and 1943</w:t>
      </w:r>
      <w:r w:rsidR="006C10A4">
        <w:t>rd</w:t>
      </w:r>
      <w:r w:rsidRPr="0088419E">
        <w:t xml:space="preserve"> meetings (CERD/C/SR.1942 and CERD/C/SR.1943), held on 7 and 10 August 2009. At its </w:t>
      </w:r>
      <w:r w:rsidR="00A87226">
        <w:t>1966</w:t>
      </w:r>
      <w:r w:rsidR="006C10A4">
        <w:t>th</w:t>
      </w:r>
      <w:r w:rsidR="00A87226">
        <w:t xml:space="preserve"> </w:t>
      </w:r>
      <w:r w:rsidRPr="0088419E">
        <w:t>meeting (CERD/C/SR.</w:t>
      </w:r>
      <w:r w:rsidR="00A87226">
        <w:t>1966</w:t>
      </w:r>
      <w:r w:rsidRPr="0088419E">
        <w:t xml:space="preserve">), held on </w:t>
      </w:r>
      <w:r w:rsidR="00E63D58">
        <w:t xml:space="preserve">25 </w:t>
      </w:r>
      <w:r w:rsidRPr="0088419E">
        <w:t>August 2009, it adopted the following concluding observations.</w:t>
      </w:r>
    </w:p>
    <w:p w:rsidR="005A62EF" w:rsidRPr="0088419E" w:rsidRDefault="005A62EF" w:rsidP="009151AE">
      <w:pPr>
        <w:jc w:val="both"/>
      </w:pPr>
    </w:p>
    <w:p w:rsidR="005A62EF" w:rsidRDefault="005A62EF" w:rsidP="009151AE">
      <w:pPr>
        <w:pStyle w:val="Heading2"/>
        <w:numPr>
          <w:ilvl w:val="2"/>
          <w:numId w:val="13"/>
        </w:numPr>
        <w:tabs>
          <w:tab w:val="clear" w:pos="2340"/>
          <w:tab w:val="left" w:pos="360"/>
        </w:tabs>
        <w:spacing w:before="0" w:after="0" w:line="240" w:lineRule="auto"/>
        <w:ind w:left="0" w:firstLine="0"/>
        <w:rPr>
          <w:lang w:val="en-US"/>
        </w:rPr>
      </w:pPr>
      <w:r w:rsidRPr="0088419E">
        <w:rPr>
          <w:lang w:val="en-US"/>
        </w:rPr>
        <w:t>Introduction</w:t>
      </w:r>
    </w:p>
    <w:p w:rsidR="00CD3580" w:rsidRPr="00CD3580" w:rsidRDefault="00CD3580" w:rsidP="009151AE">
      <w:pPr>
        <w:rPr>
          <w:lang w:eastAsia="en-US"/>
        </w:rPr>
      </w:pPr>
    </w:p>
    <w:p w:rsidR="005A62EF" w:rsidRPr="0088419E" w:rsidRDefault="005A62EF" w:rsidP="009151AE">
      <w:pPr>
        <w:numPr>
          <w:ilvl w:val="0"/>
          <w:numId w:val="13"/>
        </w:numPr>
        <w:autoSpaceDE w:val="0"/>
        <w:autoSpaceDN w:val="0"/>
        <w:adjustRightInd w:val="0"/>
        <w:jc w:val="both"/>
      </w:pPr>
      <w:r w:rsidRPr="0088419E">
        <w:t xml:space="preserve">The Committee welcomes the submission of the tenth to thirteenth periodic reports </w:t>
      </w:r>
      <w:r w:rsidR="00076F3F" w:rsidRPr="0088419E">
        <w:t xml:space="preserve">of </w:t>
      </w:r>
      <w:smartTag w:uri="urn:schemas-microsoft-com:office:smarttags" w:element="country-region">
        <w:r w:rsidR="00076F3F" w:rsidRPr="0088419E">
          <w:t>China</w:t>
        </w:r>
      </w:smartTag>
      <w:r w:rsidR="00076F3F" w:rsidRPr="0088419E">
        <w:t xml:space="preserve"> including </w:t>
      </w:r>
      <w:smartTag w:uri="urn:schemas-microsoft-com:office:smarttags" w:element="place">
        <w:r w:rsidR="00076F3F" w:rsidRPr="0088419E">
          <w:t>Hong Kong</w:t>
        </w:r>
      </w:smartTag>
      <w:r w:rsidR="00076F3F" w:rsidRPr="0088419E">
        <w:t xml:space="preserve"> and Macau S</w:t>
      </w:r>
      <w:r w:rsidR="00270287">
        <w:t xml:space="preserve">pecial </w:t>
      </w:r>
      <w:r w:rsidR="00076F3F" w:rsidRPr="0088419E">
        <w:t>A</w:t>
      </w:r>
      <w:r w:rsidR="00270287">
        <w:t xml:space="preserve">dministrative </w:t>
      </w:r>
      <w:r w:rsidR="00076F3F" w:rsidRPr="0088419E">
        <w:t>R</w:t>
      </w:r>
      <w:r w:rsidR="00270287">
        <w:t>egion</w:t>
      </w:r>
      <w:r w:rsidR="00076F3F" w:rsidRPr="0088419E">
        <w:t xml:space="preserve">s </w:t>
      </w:r>
      <w:r w:rsidRPr="0088419E">
        <w:t xml:space="preserve">and the opportunity thus offered </w:t>
      </w:r>
      <w:r w:rsidRPr="0088419E">
        <w:rPr>
          <w:rFonts w:eastAsia="Times New Roman"/>
          <w:lang w:eastAsia="de-DE" w:bidi="x-none"/>
        </w:rPr>
        <w:t>to resume the dialogue with the State party</w:t>
      </w:r>
      <w:r w:rsidRPr="0088419E">
        <w:t xml:space="preserve">. </w:t>
      </w:r>
      <w:r w:rsidRPr="0088419E">
        <w:rPr>
          <w:rFonts w:eastAsia="Times New Roman"/>
          <w:lang w:eastAsia="de-DE" w:bidi="de-DE"/>
        </w:rPr>
        <w:t xml:space="preserve">It also expresses its appreciation for the constructive dialogue held with the </w:t>
      </w:r>
      <w:r w:rsidR="00034403">
        <w:rPr>
          <w:rFonts w:eastAsia="Times New Roman"/>
          <w:lang w:eastAsia="de-DE" w:bidi="de-DE"/>
        </w:rPr>
        <w:t xml:space="preserve">large and </w:t>
      </w:r>
      <w:r w:rsidR="00270287">
        <w:rPr>
          <w:rFonts w:eastAsia="Times New Roman"/>
          <w:lang w:eastAsia="de-DE" w:bidi="de-DE"/>
        </w:rPr>
        <w:t>competent</w:t>
      </w:r>
      <w:r w:rsidRPr="0088419E">
        <w:rPr>
          <w:rFonts w:eastAsia="Times New Roman"/>
          <w:lang w:eastAsia="de-DE" w:bidi="de-DE"/>
        </w:rPr>
        <w:t xml:space="preserve"> delegation and the comprehensive written and oral responses provided to the list of issues and the questions posed by Committee members.</w:t>
      </w:r>
    </w:p>
    <w:p w:rsidR="005A62EF" w:rsidRPr="0088419E" w:rsidRDefault="005A62EF" w:rsidP="009151AE">
      <w:pPr>
        <w:tabs>
          <w:tab w:val="left" w:pos="360"/>
        </w:tabs>
        <w:autoSpaceDE w:val="0"/>
        <w:autoSpaceDN w:val="0"/>
        <w:adjustRightInd w:val="0"/>
        <w:jc w:val="both"/>
      </w:pPr>
    </w:p>
    <w:p w:rsidR="005A62EF" w:rsidRDefault="005A62EF" w:rsidP="009151AE">
      <w:pPr>
        <w:pStyle w:val="Heading2"/>
        <w:numPr>
          <w:ilvl w:val="0"/>
          <w:numId w:val="0"/>
        </w:numPr>
        <w:tabs>
          <w:tab w:val="left" w:pos="360"/>
        </w:tabs>
        <w:spacing w:before="0" w:after="0" w:line="240" w:lineRule="auto"/>
        <w:rPr>
          <w:lang w:val="en-US"/>
        </w:rPr>
      </w:pPr>
      <w:r w:rsidRPr="0088419E">
        <w:rPr>
          <w:lang w:val="en-US"/>
        </w:rPr>
        <w:t>B.</w:t>
      </w:r>
      <w:r w:rsidR="006C10A4">
        <w:rPr>
          <w:lang w:val="en-US"/>
        </w:rPr>
        <w:tab/>
      </w:r>
      <w:r w:rsidRPr="0088419E">
        <w:rPr>
          <w:lang w:val="en-US"/>
        </w:rPr>
        <w:t>Positive aspects</w:t>
      </w:r>
    </w:p>
    <w:p w:rsidR="00CD3580" w:rsidRPr="00CD3580" w:rsidRDefault="00CD3580" w:rsidP="009151AE">
      <w:pPr>
        <w:rPr>
          <w:lang w:eastAsia="en-US"/>
        </w:rPr>
      </w:pPr>
    </w:p>
    <w:p w:rsidR="005A62EF" w:rsidRPr="0088419E" w:rsidRDefault="005A62EF" w:rsidP="009151AE">
      <w:pPr>
        <w:pStyle w:val="Default"/>
        <w:numPr>
          <w:ilvl w:val="0"/>
          <w:numId w:val="13"/>
        </w:numPr>
        <w:jc w:val="both"/>
      </w:pPr>
      <w:r w:rsidRPr="0088419E">
        <w:t xml:space="preserve">The Committee welcomes the adoption of the </w:t>
      </w:r>
      <w:r w:rsidR="00270287">
        <w:t>N</w:t>
      </w:r>
      <w:r w:rsidRPr="0088419E">
        <w:t xml:space="preserve">ational </w:t>
      </w:r>
      <w:r w:rsidR="00270287">
        <w:t>H</w:t>
      </w:r>
      <w:r w:rsidRPr="0088419E">
        <w:t xml:space="preserve">uman </w:t>
      </w:r>
      <w:r w:rsidR="00270287">
        <w:t>R</w:t>
      </w:r>
      <w:r w:rsidRPr="0088419E">
        <w:t xml:space="preserve">ights </w:t>
      </w:r>
      <w:r w:rsidR="00270287">
        <w:t>A</w:t>
      </w:r>
      <w:r w:rsidRPr="0088419E">
        <w:t xml:space="preserve">ction </w:t>
      </w:r>
      <w:r w:rsidR="006738D2">
        <w:t>P</w:t>
      </w:r>
      <w:r w:rsidRPr="0088419E">
        <w:t>lan 2009-2010, which includes a chapter on the protection of the rights of ethnic minorities.</w:t>
      </w:r>
    </w:p>
    <w:p w:rsidR="005A62EF" w:rsidRPr="0088419E" w:rsidRDefault="005A62EF" w:rsidP="009151AE">
      <w:pPr>
        <w:pStyle w:val="Default"/>
        <w:ind w:left="360"/>
        <w:jc w:val="both"/>
      </w:pPr>
    </w:p>
    <w:p w:rsidR="005A62EF" w:rsidRPr="0088419E" w:rsidRDefault="005A62EF" w:rsidP="009151AE">
      <w:pPr>
        <w:pStyle w:val="Default"/>
        <w:numPr>
          <w:ilvl w:val="0"/>
          <w:numId w:val="13"/>
        </w:numPr>
        <w:jc w:val="both"/>
      </w:pPr>
      <w:r w:rsidRPr="0088419E">
        <w:t xml:space="preserve">The Committee notes with satisfaction the adoption of a range of laws at the national, provincial and local level to protect the rights of minorities, in particular the revised </w:t>
      </w:r>
      <w:r w:rsidRPr="0088419E">
        <w:rPr>
          <w:iCs/>
        </w:rPr>
        <w:t xml:space="preserve">Regional Ethnic Autonomy Law of the People’s Republic of China </w:t>
      </w:r>
      <w:r w:rsidR="00076F3F" w:rsidRPr="0088419E">
        <w:t xml:space="preserve">of </w:t>
      </w:r>
      <w:r w:rsidRPr="0088419E">
        <w:t xml:space="preserve">2001 </w:t>
      </w:r>
      <w:r w:rsidR="00D2005A">
        <w:t xml:space="preserve">and </w:t>
      </w:r>
      <w:r w:rsidR="00076F3F" w:rsidRPr="0088419E">
        <w:t xml:space="preserve">the </w:t>
      </w:r>
      <w:r w:rsidRPr="0088419E">
        <w:rPr>
          <w:iCs/>
        </w:rPr>
        <w:t xml:space="preserve">Rules of the State Council on the </w:t>
      </w:r>
      <w:r w:rsidR="00080595">
        <w:rPr>
          <w:iCs/>
        </w:rPr>
        <w:t>i</w:t>
      </w:r>
      <w:r w:rsidRPr="0088419E">
        <w:rPr>
          <w:iCs/>
        </w:rPr>
        <w:t>mplementation of th</w:t>
      </w:r>
      <w:r w:rsidR="00076F3F" w:rsidRPr="0088419E">
        <w:rPr>
          <w:iCs/>
        </w:rPr>
        <w:t>at</w:t>
      </w:r>
      <w:r w:rsidRPr="0088419E">
        <w:rPr>
          <w:i/>
        </w:rPr>
        <w:t xml:space="preserve"> </w:t>
      </w:r>
      <w:r w:rsidR="00076F3F" w:rsidRPr="0088419E">
        <w:rPr>
          <w:iCs/>
        </w:rPr>
        <w:t xml:space="preserve">law adopted in </w:t>
      </w:r>
      <w:r w:rsidRPr="0088419E">
        <w:rPr>
          <w:iCs/>
        </w:rPr>
        <w:t>2005</w:t>
      </w:r>
      <w:r w:rsidR="007442ED">
        <w:rPr>
          <w:iCs/>
        </w:rPr>
        <w:t xml:space="preserve">, </w:t>
      </w:r>
      <w:r w:rsidR="007442ED" w:rsidRPr="0088419E">
        <w:rPr>
          <w:iCs/>
        </w:rPr>
        <w:t>as well as the Regulations on Ethnic Work in Cities and the Regulations on Ethnic Administrative Work</w:t>
      </w:r>
      <w:r w:rsidRPr="0088419E">
        <w:rPr>
          <w:iCs/>
        </w:rPr>
        <w:t>.</w:t>
      </w:r>
      <w:r w:rsidRPr="0088419E">
        <w:t xml:space="preserve"> </w:t>
      </w:r>
    </w:p>
    <w:p w:rsidR="005A62EF" w:rsidRPr="0088419E" w:rsidRDefault="005A62EF" w:rsidP="009151AE">
      <w:pPr>
        <w:pStyle w:val="Default"/>
        <w:jc w:val="both"/>
      </w:pPr>
    </w:p>
    <w:p w:rsidR="005A62EF" w:rsidRPr="0088419E" w:rsidRDefault="005A62EF" w:rsidP="009151AE">
      <w:pPr>
        <w:pStyle w:val="Default"/>
        <w:numPr>
          <w:ilvl w:val="0"/>
          <w:numId w:val="13"/>
        </w:numPr>
        <w:jc w:val="both"/>
      </w:pPr>
      <w:r w:rsidRPr="0088419E">
        <w:t>The Committee commends the State party for the adoption of a number of program</w:t>
      </w:r>
      <w:r w:rsidR="00080595">
        <w:t>me</w:t>
      </w:r>
      <w:r w:rsidRPr="0088419E">
        <w:t>s and policies aimed at the advancement of minorities, including the</w:t>
      </w:r>
      <w:r w:rsidRPr="0088419E">
        <w:rPr>
          <w:i/>
        </w:rPr>
        <w:t xml:space="preserve"> </w:t>
      </w:r>
      <w:r w:rsidRPr="0088419E">
        <w:rPr>
          <w:iCs/>
        </w:rPr>
        <w:t>11</w:t>
      </w:r>
      <w:r w:rsidR="00AB5F0A">
        <w:rPr>
          <w:iCs/>
        </w:rPr>
        <w:t>th</w:t>
      </w:r>
      <w:r w:rsidRPr="0088419E">
        <w:rPr>
          <w:iCs/>
        </w:rPr>
        <w:t xml:space="preserve"> Five-Year Program</w:t>
      </w:r>
      <w:r w:rsidR="00AB5F0A">
        <w:rPr>
          <w:iCs/>
        </w:rPr>
        <w:t>me</w:t>
      </w:r>
      <w:r w:rsidRPr="0088419E">
        <w:rPr>
          <w:iCs/>
        </w:rPr>
        <w:t xml:space="preserve"> for </w:t>
      </w:r>
      <w:r w:rsidR="00076F3F" w:rsidRPr="0088419E">
        <w:rPr>
          <w:iCs/>
        </w:rPr>
        <w:t xml:space="preserve">the </w:t>
      </w:r>
      <w:r w:rsidRPr="0088419E">
        <w:rPr>
          <w:iCs/>
        </w:rPr>
        <w:t>Ethnic Minority Cause, the Program</w:t>
      </w:r>
      <w:r w:rsidR="00AB5F0A">
        <w:rPr>
          <w:iCs/>
        </w:rPr>
        <w:t>me</w:t>
      </w:r>
      <w:r w:rsidRPr="0088419E">
        <w:rPr>
          <w:iCs/>
        </w:rPr>
        <w:t xml:space="preserve"> </w:t>
      </w:r>
      <w:r w:rsidR="00080595">
        <w:rPr>
          <w:iCs/>
        </w:rPr>
        <w:t xml:space="preserve">for </w:t>
      </w:r>
      <w:r w:rsidR="008D24D2">
        <w:rPr>
          <w:iCs/>
        </w:rPr>
        <w:t>Help</w:t>
      </w:r>
      <w:r w:rsidR="00080595">
        <w:rPr>
          <w:iCs/>
        </w:rPr>
        <w:t xml:space="preserve">ing the Development of </w:t>
      </w:r>
      <w:r w:rsidR="00076F3F" w:rsidRPr="0088419E">
        <w:rPr>
          <w:iCs/>
        </w:rPr>
        <w:t xml:space="preserve"> </w:t>
      </w:r>
      <w:r w:rsidRPr="0088419E">
        <w:rPr>
          <w:iCs/>
        </w:rPr>
        <w:t xml:space="preserve">Ethnic </w:t>
      </w:r>
      <w:r w:rsidR="00080595">
        <w:rPr>
          <w:iCs/>
        </w:rPr>
        <w:t>Minorities</w:t>
      </w:r>
      <w:r w:rsidR="00080595" w:rsidRPr="0088419E">
        <w:rPr>
          <w:iCs/>
        </w:rPr>
        <w:t xml:space="preserve"> </w:t>
      </w:r>
      <w:r w:rsidRPr="0088419E">
        <w:rPr>
          <w:iCs/>
        </w:rPr>
        <w:t xml:space="preserve">with Relatively Small Populations (2005-2010), the </w:t>
      </w:r>
      <w:r w:rsidR="00080595">
        <w:rPr>
          <w:rFonts w:eastAsia="Times New Roman"/>
        </w:rPr>
        <w:t>g</w:t>
      </w:r>
      <w:r w:rsidRPr="0088419E">
        <w:rPr>
          <w:rFonts w:eastAsia="Times New Roman"/>
        </w:rPr>
        <w:t xml:space="preserve">rand </w:t>
      </w:r>
      <w:r w:rsidR="00080595">
        <w:rPr>
          <w:rFonts w:eastAsia="Times New Roman"/>
        </w:rPr>
        <w:t>s</w:t>
      </w:r>
      <w:r w:rsidRPr="0088419E">
        <w:rPr>
          <w:rFonts w:eastAsia="Times New Roman"/>
        </w:rPr>
        <w:t xml:space="preserve">trategy for the development of China’s </w:t>
      </w:r>
      <w:r w:rsidR="00080595">
        <w:rPr>
          <w:rFonts w:eastAsia="Times New Roman"/>
        </w:rPr>
        <w:t>w</w:t>
      </w:r>
      <w:r w:rsidRPr="0088419E">
        <w:rPr>
          <w:rFonts w:eastAsia="Times New Roman"/>
        </w:rPr>
        <w:t xml:space="preserve">est </w:t>
      </w:r>
      <w:r w:rsidRPr="0088419E">
        <w:rPr>
          <w:iCs/>
        </w:rPr>
        <w:t>and the 11</w:t>
      </w:r>
      <w:r w:rsidR="00AB5F0A">
        <w:rPr>
          <w:iCs/>
        </w:rPr>
        <w:t>th</w:t>
      </w:r>
      <w:r w:rsidRPr="0088419E">
        <w:rPr>
          <w:iCs/>
        </w:rPr>
        <w:t xml:space="preserve"> Five-Year Program</w:t>
      </w:r>
      <w:r w:rsidR="00AB5F0A">
        <w:rPr>
          <w:iCs/>
        </w:rPr>
        <w:t>me</w:t>
      </w:r>
      <w:r w:rsidRPr="0088419E">
        <w:rPr>
          <w:iCs/>
        </w:rPr>
        <w:t xml:space="preserve"> for Action on Prosperity Promotion in Border Areas.</w:t>
      </w:r>
    </w:p>
    <w:p w:rsidR="005A62EF" w:rsidRPr="0088419E" w:rsidRDefault="005A62EF" w:rsidP="009151AE">
      <w:pPr>
        <w:pStyle w:val="Default"/>
        <w:jc w:val="both"/>
      </w:pPr>
    </w:p>
    <w:p w:rsidR="005A62EF" w:rsidRPr="0088419E" w:rsidRDefault="005A62EF" w:rsidP="009151AE">
      <w:pPr>
        <w:pStyle w:val="Default"/>
        <w:numPr>
          <w:ilvl w:val="0"/>
          <w:numId w:val="13"/>
        </w:numPr>
        <w:jc w:val="both"/>
        <w:rPr>
          <w:lang w:eastAsia="en-US"/>
        </w:rPr>
      </w:pPr>
      <w:r w:rsidRPr="0088419E">
        <w:t>The Committee notes with appreciation the rate of economic development and the adoption of policies and programmes aimed at achieving an equal level of development in all regions, including the autonomous provinces largely inhabited by ethnic minorities.</w:t>
      </w:r>
    </w:p>
    <w:p w:rsidR="005A62EF" w:rsidRPr="0088419E" w:rsidRDefault="005A62EF" w:rsidP="009151AE">
      <w:pPr>
        <w:pStyle w:val="Default"/>
        <w:jc w:val="both"/>
        <w:rPr>
          <w:lang w:eastAsia="en-US"/>
        </w:rPr>
      </w:pPr>
    </w:p>
    <w:p w:rsidR="00A74F34" w:rsidRPr="006C10A4" w:rsidRDefault="00A74F34" w:rsidP="009151AE">
      <w:pPr>
        <w:jc w:val="center"/>
        <w:rPr>
          <w:b/>
        </w:rPr>
      </w:pPr>
      <w:r w:rsidRPr="006C10A4">
        <w:rPr>
          <w:b/>
        </w:rPr>
        <w:t xml:space="preserve">Hong Kong and </w:t>
      </w:r>
      <w:smartTag w:uri="urn:schemas-microsoft-com:office:smarttags" w:element="place">
        <w:r w:rsidRPr="006C10A4">
          <w:rPr>
            <w:b/>
          </w:rPr>
          <w:t>Macau</w:t>
        </w:r>
      </w:smartTag>
      <w:r w:rsidRPr="006C10A4">
        <w:rPr>
          <w:b/>
        </w:rPr>
        <w:t xml:space="preserve"> Special Administrative Regions</w:t>
      </w:r>
    </w:p>
    <w:p w:rsidR="00A74F34" w:rsidRPr="0088419E" w:rsidRDefault="00A74F34" w:rsidP="009151AE"/>
    <w:p w:rsidR="00A74F34" w:rsidRDefault="00A74F34" w:rsidP="009151AE">
      <w:pPr>
        <w:pStyle w:val="Default"/>
        <w:numPr>
          <w:ilvl w:val="0"/>
          <w:numId w:val="13"/>
        </w:numPr>
        <w:jc w:val="both"/>
      </w:pPr>
      <w:r w:rsidRPr="0088419E">
        <w:t>The Committee welcomes the adoption of the Race Discrimination Ordinance (</w:t>
      </w:r>
      <w:r w:rsidR="0000534E">
        <w:t>c</w:t>
      </w:r>
      <w:r w:rsidRPr="0088419E">
        <w:t>hapter 602 of the Laws of Hong Kong), which entered into force in 2009.</w:t>
      </w:r>
    </w:p>
    <w:p w:rsidR="00A74F34" w:rsidRDefault="00A74F34" w:rsidP="009151AE">
      <w:pPr>
        <w:pStyle w:val="Default"/>
        <w:ind w:left="360"/>
        <w:jc w:val="both"/>
      </w:pPr>
    </w:p>
    <w:p w:rsidR="00A74F34" w:rsidRPr="0088419E" w:rsidRDefault="00A74F34" w:rsidP="009151AE">
      <w:pPr>
        <w:pStyle w:val="Default"/>
        <w:numPr>
          <w:ilvl w:val="0"/>
          <w:numId w:val="13"/>
        </w:numPr>
      </w:pPr>
      <w:r w:rsidRPr="0088419E">
        <w:rPr>
          <w:lang w:eastAsia="en-US"/>
        </w:rPr>
        <w:t xml:space="preserve">The Committee notes with satisfaction the adoption of </w:t>
      </w:r>
      <w:r w:rsidRPr="0088419E">
        <w:t>Law 6/2008 on the Fight Against Trafficking in Persons, as well as Law 1/2004, establishing the Legal Framework on the Recognition and Loss of Refugee Status, in Macau SAR.</w:t>
      </w:r>
    </w:p>
    <w:p w:rsidR="005A62EF" w:rsidRPr="0088419E" w:rsidRDefault="005A62EF" w:rsidP="009151AE">
      <w:pPr>
        <w:tabs>
          <w:tab w:val="left" w:pos="360"/>
        </w:tabs>
        <w:rPr>
          <w:lang w:eastAsia="en-US"/>
        </w:rPr>
      </w:pPr>
    </w:p>
    <w:p w:rsidR="005A62EF" w:rsidRDefault="005A62EF" w:rsidP="009151AE">
      <w:pPr>
        <w:pStyle w:val="Heading2"/>
        <w:numPr>
          <w:ilvl w:val="0"/>
          <w:numId w:val="18"/>
        </w:numPr>
        <w:tabs>
          <w:tab w:val="clear" w:pos="720"/>
          <w:tab w:val="left" w:pos="360"/>
        </w:tabs>
        <w:spacing w:before="0" w:after="0" w:line="240" w:lineRule="auto"/>
        <w:ind w:left="0" w:firstLine="0"/>
        <w:rPr>
          <w:lang w:val="en-US"/>
        </w:rPr>
      </w:pPr>
      <w:r w:rsidRPr="0088419E">
        <w:rPr>
          <w:lang w:val="en-US"/>
        </w:rPr>
        <w:t>Concerns and recommendations</w:t>
      </w:r>
    </w:p>
    <w:p w:rsidR="00CD3580" w:rsidRPr="00CD3580" w:rsidRDefault="00CD3580" w:rsidP="009151AE">
      <w:pPr>
        <w:ind w:left="360"/>
        <w:rPr>
          <w:lang w:eastAsia="en-US"/>
        </w:rPr>
      </w:pPr>
    </w:p>
    <w:p w:rsidR="005A62EF" w:rsidRPr="00CD3580" w:rsidRDefault="005A62EF" w:rsidP="009151AE">
      <w:pPr>
        <w:numPr>
          <w:ilvl w:val="0"/>
          <w:numId w:val="13"/>
        </w:numPr>
        <w:tabs>
          <w:tab w:val="clear" w:pos="851"/>
          <w:tab w:val="num" w:pos="0"/>
        </w:tabs>
        <w:autoSpaceDE w:val="0"/>
        <w:autoSpaceDN w:val="0"/>
        <w:adjustRightInd w:val="0"/>
        <w:jc w:val="both"/>
      </w:pPr>
      <w:r w:rsidRPr="0088419E">
        <w:t xml:space="preserve">The Committee </w:t>
      </w:r>
      <w:r w:rsidR="0002070D">
        <w:t>notes</w:t>
      </w:r>
      <w:r w:rsidR="0002070D" w:rsidRPr="0088419E">
        <w:t xml:space="preserve"> </w:t>
      </w:r>
      <w:r w:rsidRPr="0088419E">
        <w:t xml:space="preserve">the lack of disaggregated statistical data regarding the </w:t>
      </w:r>
      <w:r w:rsidR="00EF44A5" w:rsidRPr="0088419E">
        <w:t>socio-economic status of</w:t>
      </w:r>
      <w:r w:rsidRPr="0088419E">
        <w:t xml:space="preserve"> members of ethnic minorities, non-citizens, asylum-seekers and refugees</w:t>
      </w:r>
      <w:r w:rsidRPr="0088419E">
        <w:rPr>
          <w:rFonts w:eastAsia="Times New Roman"/>
          <w:lang w:eastAsia="de-DE" w:bidi="de-DE"/>
        </w:rPr>
        <w:t xml:space="preserve">. </w:t>
      </w:r>
    </w:p>
    <w:p w:rsidR="00CD3580" w:rsidRPr="0088419E" w:rsidRDefault="00CD3580" w:rsidP="009151AE">
      <w:pPr>
        <w:autoSpaceDE w:val="0"/>
        <w:autoSpaceDN w:val="0"/>
        <w:adjustRightInd w:val="0"/>
        <w:ind w:left="357"/>
        <w:jc w:val="both"/>
      </w:pPr>
    </w:p>
    <w:p w:rsidR="005A62EF" w:rsidRPr="00155B5D" w:rsidRDefault="00155B5D" w:rsidP="009151AE">
      <w:pPr>
        <w:autoSpaceDE w:val="0"/>
        <w:autoSpaceDN w:val="0"/>
        <w:adjustRightInd w:val="0"/>
        <w:ind w:left="1134"/>
        <w:rPr>
          <w:b/>
          <w:bCs/>
        </w:rPr>
      </w:pPr>
      <w:r w:rsidRPr="00155B5D">
        <w:rPr>
          <w:b/>
          <w:bCs/>
        </w:rPr>
        <w:t xml:space="preserve">In accordance with its </w:t>
      </w:r>
      <w:r w:rsidR="00AB5F0A">
        <w:rPr>
          <w:b/>
          <w:bCs/>
        </w:rPr>
        <w:t>g</w:t>
      </w:r>
      <w:r w:rsidR="00B23CBF">
        <w:rPr>
          <w:b/>
          <w:bCs/>
        </w:rPr>
        <w:t xml:space="preserve">eneral </w:t>
      </w:r>
      <w:r w:rsidR="00AB5F0A">
        <w:rPr>
          <w:b/>
          <w:bCs/>
        </w:rPr>
        <w:t>r</w:t>
      </w:r>
      <w:r w:rsidRPr="00155B5D">
        <w:rPr>
          <w:b/>
          <w:bCs/>
        </w:rPr>
        <w:t>ecommendation</w:t>
      </w:r>
      <w:r w:rsidR="00B23CBF">
        <w:rPr>
          <w:b/>
          <w:bCs/>
        </w:rPr>
        <w:t xml:space="preserve"> No.</w:t>
      </w:r>
      <w:r w:rsidRPr="00155B5D">
        <w:rPr>
          <w:b/>
          <w:bCs/>
        </w:rPr>
        <w:t xml:space="preserve"> 8 (1990) </w:t>
      </w:r>
      <w:r w:rsidR="00B76926">
        <w:rPr>
          <w:b/>
          <w:bCs/>
        </w:rPr>
        <w:t>concerning the interpretation and application</w:t>
      </w:r>
      <w:r w:rsidR="00AB5F0A">
        <w:rPr>
          <w:b/>
          <w:bCs/>
        </w:rPr>
        <w:t xml:space="preserve"> </w:t>
      </w:r>
      <w:r w:rsidR="00B76926">
        <w:rPr>
          <w:b/>
          <w:bCs/>
        </w:rPr>
        <w:t xml:space="preserve">of article 1, paragraphs 1 and 4 of the Convention </w:t>
      </w:r>
      <w:r w:rsidRPr="00155B5D">
        <w:rPr>
          <w:b/>
          <w:bCs/>
        </w:rPr>
        <w:t>and paragraphs 10 to 12 of its revised reporting guidelines (CERD/C/2007/1), t</w:t>
      </w:r>
      <w:r w:rsidR="005A62EF" w:rsidRPr="00155B5D">
        <w:rPr>
          <w:b/>
          <w:bCs/>
        </w:rPr>
        <w:t xml:space="preserve">he Committee reiterates its request </w:t>
      </w:r>
      <w:r w:rsidR="005A62EF" w:rsidRPr="00155B5D">
        <w:rPr>
          <w:b/>
          <w:lang w:eastAsia="en-US"/>
        </w:rPr>
        <w:t>(A/56/18, para. 250)</w:t>
      </w:r>
      <w:r w:rsidR="005A62EF" w:rsidRPr="00155B5D">
        <w:rPr>
          <w:lang w:eastAsia="en-US"/>
        </w:rPr>
        <w:t xml:space="preserve"> </w:t>
      </w:r>
      <w:r w:rsidR="005A62EF" w:rsidRPr="00155B5D">
        <w:rPr>
          <w:b/>
          <w:bCs/>
        </w:rPr>
        <w:t>that the State party include</w:t>
      </w:r>
      <w:r w:rsidR="000044F1" w:rsidRPr="00155B5D">
        <w:rPr>
          <w:b/>
          <w:bCs/>
        </w:rPr>
        <w:t>,</w:t>
      </w:r>
      <w:r w:rsidR="005A62EF" w:rsidRPr="00155B5D">
        <w:rPr>
          <w:b/>
          <w:bCs/>
        </w:rPr>
        <w:t xml:space="preserve"> in its next periodic report</w:t>
      </w:r>
      <w:r w:rsidR="000044F1" w:rsidRPr="00155B5D">
        <w:rPr>
          <w:b/>
          <w:bCs/>
        </w:rPr>
        <w:t>,</w:t>
      </w:r>
      <w:r w:rsidR="005A62EF" w:rsidRPr="00155B5D">
        <w:rPr>
          <w:b/>
          <w:bCs/>
        </w:rPr>
        <w:t xml:space="preserve"> updated </w:t>
      </w:r>
      <w:r w:rsidR="000044F1" w:rsidRPr="00155B5D">
        <w:rPr>
          <w:b/>
          <w:bCs/>
        </w:rPr>
        <w:t xml:space="preserve">and detailed </w:t>
      </w:r>
      <w:r w:rsidR="005A62EF" w:rsidRPr="00155B5D">
        <w:rPr>
          <w:b/>
          <w:bCs/>
        </w:rPr>
        <w:t>statistical data on</w:t>
      </w:r>
      <w:r w:rsidR="005A62EF" w:rsidRPr="00155B5D">
        <w:t xml:space="preserve"> </w:t>
      </w:r>
      <w:r w:rsidR="005A62EF" w:rsidRPr="00155B5D">
        <w:rPr>
          <w:b/>
          <w:bCs/>
        </w:rPr>
        <w:t>the socio-economic situation of the population, disaggregated by ethnic group</w:t>
      </w:r>
      <w:r w:rsidR="00076F3F" w:rsidRPr="00155B5D">
        <w:rPr>
          <w:b/>
          <w:bCs/>
        </w:rPr>
        <w:t>s</w:t>
      </w:r>
      <w:r w:rsidR="005A62EF" w:rsidRPr="00155B5D">
        <w:rPr>
          <w:b/>
          <w:bCs/>
        </w:rPr>
        <w:t xml:space="preserve"> </w:t>
      </w:r>
      <w:r w:rsidR="00076F3F" w:rsidRPr="00155B5D">
        <w:rPr>
          <w:b/>
          <w:bCs/>
        </w:rPr>
        <w:t xml:space="preserve">and </w:t>
      </w:r>
      <w:r w:rsidR="0088419E" w:rsidRPr="00155B5D">
        <w:rPr>
          <w:b/>
          <w:bCs/>
        </w:rPr>
        <w:t>nationali</w:t>
      </w:r>
      <w:r w:rsidR="00D2005A">
        <w:rPr>
          <w:b/>
          <w:bCs/>
        </w:rPr>
        <w:t>ti</w:t>
      </w:r>
      <w:r w:rsidR="00270287" w:rsidRPr="00155B5D">
        <w:rPr>
          <w:b/>
          <w:bCs/>
        </w:rPr>
        <w:t>es</w:t>
      </w:r>
      <w:r w:rsidR="00EF44A5" w:rsidRPr="00155B5D">
        <w:rPr>
          <w:b/>
          <w:bCs/>
        </w:rPr>
        <w:t>. In this regard, it r</w:t>
      </w:r>
      <w:r w:rsidR="005A62EF" w:rsidRPr="00155B5D">
        <w:rPr>
          <w:b/>
          <w:bCs/>
        </w:rPr>
        <w:t>ecall</w:t>
      </w:r>
      <w:r w:rsidR="00EF44A5" w:rsidRPr="00155B5D">
        <w:rPr>
          <w:b/>
          <w:bCs/>
        </w:rPr>
        <w:t xml:space="preserve">s </w:t>
      </w:r>
      <w:r w:rsidR="005A62EF" w:rsidRPr="00155B5D">
        <w:rPr>
          <w:b/>
          <w:bCs/>
        </w:rPr>
        <w:t>the importance of gathering accurate and up-to-date data on the ethnic composition of the population</w:t>
      </w:r>
      <w:r w:rsidR="00EF44A5" w:rsidRPr="00155B5D">
        <w:rPr>
          <w:b/>
          <w:bCs/>
        </w:rPr>
        <w:t>.</w:t>
      </w:r>
    </w:p>
    <w:p w:rsidR="005A62EF" w:rsidRPr="0088419E" w:rsidRDefault="005A62EF" w:rsidP="009151AE">
      <w:pPr>
        <w:pStyle w:val="BodyTextIndent2"/>
        <w:spacing w:after="0"/>
        <w:jc w:val="both"/>
        <w:rPr>
          <w:szCs w:val="24"/>
          <w:lang w:val="en-US"/>
        </w:rPr>
      </w:pPr>
    </w:p>
    <w:p w:rsidR="005A62EF" w:rsidRDefault="005A62EF" w:rsidP="009151AE">
      <w:pPr>
        <w:numPr>
          <w:ilvl w:val="0"/>
          <w:numId w:val="13"/>
        </w:numPr>
      </w:pPr>
      <w:r w:rsidRPr="0088419E">
        <w:t xml:space="preserve">While taking note of article 4 of the </w:t>
      </w:r>
      <w:r w:rsidR="00A74D81">
        <w:t xml:space="preserve">Constitution of the </w:t>
      </w:r>
      <w:r w:rsidRPr="0088419E">
        <w:t xml:space="preserve">State party, stipulating that all ethnic groups in the State party are equal, the Committee reiterates its concern (A/56/18, para. 241) that the domestic legislation of the State party does not contain a definition of racial discrimination in </w:t>
      </w:r>
      <w:r w:rsidR="00076F3F" w:rsidRPr="0088419E">
        <w:t xml:space="preserve">full </w:t>
      </w:r>
      <w:r w:rsidRPr="0088419E">
        <w:t>conformity with the definition set out in article 1 of the Convention,</w:t>
      </w:r>
      <w:r w:rsidRPr="0088419E">
        <w:rPr>
          <w:lang w:eastAsia="de-DE" w:bidi="de-DE"/>
        </w:rPr>
        <w:t xml:space="preserve"> as it does not </w:t>
      </w:r>
      <w:r w:rsidR="00D47BF2">
        <w:rPr>
          <w:lang w:eastAsia="de-DE" w:bidi="de-DE"/>
        </w:rPr>
        <w:t xml:space="preserve">include a </w:t>
      </w:r>
      <w:r w:rsidRPr="0088419E">
        <w:rPr>
          <w:lang w:eastAsia="de-DE" w:bidi="de-DE"/>
        </w:rPr>
        <w:t>prohibit</w:t>
      </w:r>
      <w:r w:rsidR="00D47BF2">
        <w:rPr>
          <w:lang w:eastAsia="de-DE" w:bidi="de-DE"/>
        </w:rPr>
        <w:t>ion of</w:t>
      </w:r>
      <w:r w:rsidRPr="0088419E">
        <w:rPr>
          <w:lang w:eastAsia="de-DE" w:bidi="de-DE"/>
        </w:rPr>
        <w:t xml:space="preserve"> discrimination</w:t>
      </w:r>
      <w:r w:rsidRPr="0088419E">
        <w:rPr>
          <w:i/>
          <w:lang w:eastAsia="de-DE" w:bidi="de-DE"/>
        </w:rPr>
        <w:t xml:space="preserve"> </w:t>
      </w:r>
      <w:r w:rsidRPr="0088419E">
        <w:rPr>
          <w:lang w:eastAsia="de-DE" w:bidi="de-DE"/>
        </w:rPr>
        <w:t>on the grounds of descent and national origin</w:t>
      </w:r>
      <w:r w:rsidRPr="0088419E">
        <w:t>. (art. 1)</w:t>
      </w:r>
    </w:p>
    <w:p w:rsidR="00CD3580" w:rsidRPr="0088419E" w:rsidRDefault="00CD3580" w:rsidP="009151AE">
      <w:pPr>
        <w:ind w:left="357"/>
        <w:jc w:val="both"/>
      </w:pPr>
    </w:p>
    <w:p w:rsidR="005A62EF" w:rsidRPr="0088419E" w:rsidRDefault="005A62EF" w:rsidP="009151AE">
      <w:pPr>
        <w:ind w:left="1134"/>
      </w:pPr>
      <w:r w:rsidRPr="0088419E">
        <w:rPr>
          <w:b/>
          <w:bCs/>
        </w:rPr>
        <w:t xml:space="preserve">The Committee recommends that the State party adopt a comprehensive definition of racial discrimination, fully in accordance with article 1, paragraph 1, of the Convention, prohibiting discrimination on the basis of race, colour, descent, or national or ethnic origin. In this regard, the Committee </w:t>
      </w:r>
      <w:r w:rsidR="00D47BF2">
        <w:rPr>
          <w:b/>
          <w:bCs/>
        </w:rPr>
        <w:t>especially</w:t>
      </w:r>
      <w:r w:rsidR="00D47BF2" w:rsidRPr="0088419E">
        <w:rPr>
          <w:b/>
          <w:bCs/>
        </w:rPr>
        <w:t xml:space="preserve"> </w:t>
      </w:r>
      <w:r w:rsidRPr="0088419E">
        <w:rPr>
          <w:b/>
          <w:bCs/>
        </w:rPr>
        <w:t xml:space="preserve">draws the </w:t>
      </w:r>
      <w:r w:rsidR="00A74D81">
        <w:rPr>
          <w:b/>
          <w:bCs/>
        </w:rPr>
        <w:t xml:space="preserve">attention of the </w:t>
      </w:r>
      <w:r w:rsidRPr="0088419E">
        <w:rPr>
          <w:b/>
          <w:bCs/>
        </w:rPr>
        <w:t xml:space="preserve">State party to its </w:t>
      </w:r>
      <w:r w:rsidR="001D55FD">
        <w:rPr>
          <w:b/>
          <w:bCs/>
        </w:rPr>
        <w:t>g</w:t>
      </w:r>
      <w:r w:rsidRPr="0088419E">
        <w:rPr>
          <w:b/>
          <w:bCs/>
        </w:rPr>
        <w:t xml:space="preserve">eneral </w:t>
      </w:r>
      <w:r w:rsidR="001D55FD">
        <w:rPr>
          <w:b/>
          <w:bCs/>
        </w:rPr>
        <w:t>r</w:t>
      </w:r>
      <w:r w:rsidR="00B23CBF">
        <w:rPr>
          <w:b/>
          <w:bCs/>
        </w:rPr>
        <w:t>ecommendation</w:t>
      </w:r>
      <w:r w:rsidRPr="0088419E">
        <w:rPr>
          <w:b/>
          <w:bCs/>
        </w:rPr>
        <w:t xml:space="preserve"> </w:t>
      </w:r>
      <w:r w:rsidR="002C67D6">
        <w:rPr>
          <w:b/>
          <w:bCs/>
        </w:rPr>
        <w:t>N</w:t>
      </w:r>
      <w:r w:rsidRPr="0088419E">
        <w:rPr>
          <w:b/>
          <w:bCs/>
        </w:rPr>
        <w:t xml:space="preserve">o. 30 (2004) on </w:t>
      </w:r>
      <w:r w:rsidR="00235618">
        <w:rPr>
          <w:b/>
          <w:bCs/>
        </w:rPr>
        <w:t xml:space="preserve">discrimination against </w:t>
      </w:r>
      <w:r w:rsidRPr="0088419E">
        <w:rPr>
          <w:b/>
          <w:bCs/>
        </w:rPr>
        <w:t>non-citizens.</w:t>
      </w:r>
    </w:p>
    <w:p w:rsidR="005A62EF" w:rsidRPr="0088419E" w:rsidRDefault="005A62EF" w:rsidP="009151AE">
      <w:pPr>
        <w:autoSpaceDE w:val="0"/>
        <w:autoSpaceDN w:val="0"/>
        <w:adjustRightInd w:val="0"/>
        <w:ind w:left="360"/>
        <w:jc w:val="both"/>
      </w:pPr>
    </w:p>
    <w:p w:rsidR="005A62EF" w:rsidRDefault="005A62EF" w:rsidP="009151AE">
      <w:pPr>
        <w:numPr>
          <w:ilvl w:val="0"/>
          <w:numId w:val="13"/>
        </w:numPr>
        <w:autoSpaceDE w:val="0"/>
        <w:autoSpaceDN w:val="0"/>
        <w:adjustRightInd w:val="0"/>
      </w:pPr>
      <w:r w:rsidRPr="0088419E">
        <w:t xml:space="preserve">While noting the information </w:t>
      </w:r>
      <w:r w:rsidR="00A74D81">
        <w:t xml:space="preserve">provided by the State party </w:t>
      </w:r>
      <w:r w:rsidRPr="0088419E">
        <w:t xml:space="preserve">on legislation at the national, provincial and local levels aimed at protecting the rights of minorities, the Committee reiterates its concern </w:t>
      </w:r>
      <w:r w:rsidRPr="0088419E">
        <w:rPr>
          <w:lang w:eastAsia="en-US"/>
        </w:rPr>
        <w:t xml:space="preserve">(A/56/18, para. 242) </w:t>
      </w:r>
      <w:r w:rsidRPr="0088419E">
        <w:t>that the State party has not adopted a comprehensive anti-discrimination law</w:t>
      </w:r>
      <w:r w:rsidR="0088419E">
        <w:t xml:space="preserve"> to protect individuals from racial discrimination</w:t>
      </w:r>
      <w:r w:rsidRPr="0088419E">
        <w:t>. (art. 2)</w:t>
      </w:r>
    </w:p>
    <w:p w:rsidR="00CD3580" w:rsidRPr="0088419E" w:rsidRDefault="00CD3580" w:rsidP="009151AE">
      <w:pPr>
        <w:autoSpaceDE w:val="0"/>
        <w:autoSpaceDN w:val="0"/>
        <w:adjustRightInd w:val="0"/>
        <w:jc w:val="both"/>
      </w:pPr>
    </w:p>
    <w:p w:rsidR="005A62EF" w:rsidRPr="0088419E" w:rsidRDefault="0088419E" w:rsidP="00915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pPr>
      <w:r>
        <w:rPr>
          <w:b/>
          <w:bCs/>
        </w:rPr>
        <w:t>T</w:t>
      </w:r>
      <w:r w:rsidR="005A62EF" w:rsidRPr="0088419E">
        <w:rPr>
          <w:b/>
          <w:bCs/>
        </w:rPr>
        <w:t>he Committee recommends that the State party adopt a comprehensive law</w:t>
      </w:r>
      <w:r w:rsidR="00A15C7D" w:rsidRPr="0088419E">
        <w:rPr>
          <w:b/>
          <w:bCs/>
        </w:rPr>
        <w:t>,</w:t>
      </w:r>
      <w:r w:rsidR="005A62EF" w:rsidRPr="0088419E">
        <w:rPr>
          <w:b/>
          <w:bCs/>
        </w:rPr>
        <w:t xml:space="preserve"> at the national level</w:t>
      </w:r>
      <w:r w:rsidR="00A15C7D" w:rsidRPr="0088419E">
        <w:rPr>
          <w:b/>
          <w:bCs/>
        </w:rPr>
        <w:t>,</w:t>
      </w:r>
      <w:r w:rsidR="005A62EF" w:rsidRPr="0088419E">
        <w:rPr>
          <w:b/>
          <w:bCs/>
        </w:rPr>
        <w:t xml:space="preserve"> on the elimination of discrimination on the grounds of race, colour, descent or national or ethnic origin, </w:t>
      </w:r>
      <w:r w:rsidR="005A62EF" w:rsidRPr="0088419E">
        <w:rPr>
          <w:rFonts w:eastAsia="Times New Roman"/>
          <w:b/>
          <w:bCs/>
          <w:lang w:eastAsia="de-DE" w:bidi="de-DE"/>
        </w:rPr>
        <w:t>covering all rights and freedoms protected under the Convention</w:t>
      </w:r>
      <w:r w:rsidR="006738D2">
        <w:rPr>
          <w:rFonts w:eastAsia="Times New Roman"/>
          <w:b/>
          <w:bCs/>
          <w:lang w:eastAsia="de-DE" w:bidi="de-DE"/>
        </w:rPr>
        <w:t>.</w:t>
      </w:r>
      <w:r w:rsidR="005A62EF" w:rsidRPr="0088419E">
        <w:rPr>
          <w:b/>
          <w:bCs/>
        </w:rPr>
        <w:t xml:space="preserve">  </w:t>
      </w:r>
    </w:p>
    <w:p w:rsidR="005A62EF" w:rsidRPr="0088419E" w:rsidRDefault="005A62EF" w:rsidP="009151AE">
      <w:pPr>
        <w:ind w:left="720"/>
        <w:jc w:val="both"/>
        <w:rPr>
          <w:b/>
          <w:bCs/>
        </w:rPr>
      </w:pPr>
    </w:p>
    <w:p w:rsidR="005A62EF" w:rsidRPr="0088419E" w:rsidRDefault="005A62EF" w:rsidP="009151AE">
      <w:pPr>
        <w:numPr>
          <w:ilvl w:val="0"/>
          <w:numId w:val="13"/>
        </w:numPr>
      </w:pPr>
      <w:r w:rsidRPr="0088419E">
        <w:t>The Committee</w:t>
      </w:r>
      <w:r w:rsidR="00E40AE9" w:rsidRPr="0088419E">
        <w:t xml:space="preserve">, </w:t>
      </w:r>
      <w:r w:rsidR="0002070D">
        <w:t>taking into account</w:t>
      </w:r>
      <w:r w:rsidR="00E40AE9" w:rsidRPr="0088419E">
        <w:t xml:space="preserve"> that the </w:t>
      </w:r>
      <w:r w:rsidR="006738D2">
        <w:t>N</w:t>
      </w:r>
      <w:r w:rsidR="00E40AE9" w:rsidRPr="0088419E">
        <w:t xml:space="preserve">ational </w:t>
      </w:r>
      <w:r w:rsidR="006738D2">
        <w:t>H</w:t>
      </w:r>
      <w:r w:rsidR="00E40AE9" w:rsidRPr="0088419E">
        <w:t xml:space="preserve">uman </w:t>
      </w:r>
      <w:r w:rsidR="006738D2">
        <w:t>R</w:t>
      </w:r>
      <w:r w:rsidR="00E40AE9" w:rsidRPr="0088419E">
        <w:t xml:space="preserve">ights </w:t>
      </w:r>
      <w:r w:rsidR="006738D2">
        <w:t>A</w:t>
      </w:r>
      <w:r w:rsidR="00E40AE9" w:rsidRPr="0088419E">
        <w:t xml:space="preserve">ction </w:t>
      </w:r>
      <w:r w:rsidR="006738D2">
        <w:t>P</w:t>
      </w:r>
      <w:r w:rsidR="00E40AE9" w:rsidRPr="0088419E">
        <w:t>lan is set to end in 2010,</w:t>
      </w:r>
      <w:r w:rsidRPr="0088419E">
        <w:t xml:space="preserve"> </w:t>
      </w:r>
      <w:r w:rsidR="0002070D">
        <w:t>notes</w:t>
      </w:r>
      <w:r w:rsidRPr="0088419E">
        <w:t xml:space="preserve"> the l</w:t>
      </w:r>
      <w:r w:rsidR="00A15C7D" w:rsidRPr="0088419E">
        <w:t xml:space="preserve">ack of information regarding </w:t>
      </w:r>
      <w:r w:rsidR="006738D2">
        <w:t>the</w:t>
      </w:r>
      <w:r w:rsidR="00E40AE9" w:rsidRPr="0088419E">
        <w:t xml:space="preserve"> </w:t>
      </w:r>
      <w:r w:rsidR="004610D2" w:rsidRPr="0088419E">
        <w:t>exten</w:t>
      </w:r>
      <w:r w:rsidR="006738D2">
        <w:t>sion</w:t>
      </w:r>
      <w:r w:rsidR="004610D2" w:rsidRPr="0088419E">
        <w:t xml:space="preserve"> </w:t>
      </w:r>
      <w:r w:rsidR="006738D2">
        <w:t xml:space="preserve">of </w:t>
      </w:r>
      <w:r w:rsidR="004610D2" w:rsidRPr="0088419E">
        <w:t>the</w:t>
      </w:r>
      <w:r w:rsidR="00E40AE9" w:rsidRPr="0088419E">
        <w:t xml:space="preserve"> duration of this </w:t>
      </w:r>
      <w:r w:rsidR="006738D2">
        <w:t>P</w:t>
      </w:r>
      <w:r w:rsidRPr="0088419E">
        <w:t>lan. (art. 2)</w:t>
      </w:r>
    </w:p>
    <w:p w:rsidR="005A62EF" w:rsidRPr="0088419E" w:rsidRDefault="005A62EF" w:rsidP="009151AE">
      <w:pPr>
        <w:ind w:left="1134"/>
      </w:pPr>
      <w:r w:rsidRPr="0088419E">
        <w:rPr>
          <w:b/>
          <w:bCs/>
        </w:rPr>
        <w:t>The Committee encourages the State party to extend t</w:t>
      </w:r>
      <w:r w:rsidR="006738D2">
        <w:rPr>
          <w:b/>
          <w:bCs/>
        </w:rPr>
        <w:t>he Action Plan</w:t>
      </w:r>
      <w:r w:rsidRPr="0088419E">
        <w:rPr>
          <w:b/>
          <w:bCs/>
        </w:rPr>
        <w:t xml:space="preserve"> beyond 2010, </w:t>
      </w:r>
      <w:r w:rsidR="00A15C7D" w:rsidRPr="0088419E">
        <w:rPr>
          <w:b/>
          <w:bCs/>
        </w:rPr>
        <w:t xml:space="preserve">to </w:t>
      </w:r>
      <w:r w:rsidR="00E40AE9" w:rsidRPr="0088419E">
        <w:rPr>
          <w:b/>
          <w:bCs/>
        </w:rPr>
        <w:t xml:space="preserve">consider </w:t>
      </w:r>
      <w:r w:rsidRPr="0088419E">
        <w:rPr>
          <w:b/>
          <w:bCs/>
        </w:rPr>
        <w:t>includ</w:t>
      </w:r>
      <w:r w:rsidR="00E40AE9" w:rsidRPr="0088419E">
        <w:rPr>
          <w:b/>
          <w:bCs/>
        </w:rPr>
        <w:t>ing</w:t>
      </w:r>
      <w:r w:rsidRPr="0088419E">
        <w:rPr>
          <w:b/>
          <w:bCs/>
        </w:rPr>
        <w:t xml:space="preserve"> </w:t>
      </w:r>
      <w:r w:rsidR="00E40AE9" w:rsidRPr="0088419E">
        <w:rPr>
          <w:b/>
          <w:bCs/>
        </w:rPr>
        <w:t>specific provisions</w:t>
      </w:r>
      <w:r w:rsidRPr="0088419E">
        <w:rPr>
          <w:b/>
          <w:bCs/>
        </w:rPr>
        <w:t xml:space="preserve"> on the elimination of racial discrimination</w:t>
      </w:r>
      <w:r w:rsidR="006738D2">
        <w:rPr>
          <w:b/>
          <w:bCs/>
        </w:rPr>
        <w:t xml:space="preserve"> and to promote its full implementation</w:t>
      </w:r>
      <w:r w:rsidRPr="0088419E">
        <w:rPr>
          <w:b/>
          <w:bCs/>
        </w:rPr>
        <w:t>.</w:t>
      </w:r>
    </w:p>
    <w:p w:rsidR="005A62EF" w:rsidRPr="0088419E" w:rsidRDefault="005A62EF" w:rsidP="009151AE">
      <w:pPr>
        <w:ind w:left="720"/>
        <w:rPr>
          <w:b/>
          <w:bCs/>
        </w:rPr>
      </w:pPr>
    </w:p>
    <w:p w:rsidR="005A62EF" w:rsidRPr="00B71183" w:rsidRDefault="005A62EF" w:rsidP="009151AE">
      <w:pPr>
        <w:numPr>
          <w:ilvl w:val="0"/>
          <w:numId w:val="13"/>
        </w:numPr>
        <w:rPr>
          <w:rFonts w:eastAsia="Times New Roman"/>
          <w:lang w:eastAsia="de-DE" w:bidi="de-DE"/>
        </w:rPr>
      </w:pPr>
      <w:r w:rsidRPr="0088419E">
        <w:rPr>
          <w:lang w:eastAsia="en-US"/>
        </w:rPr>
        <w:t xml:space="preserve">The Committee, acknowledging the information provided by the delegation concerning natural migration within the State party, notes with concern reports according to which </w:t>
      </w:r>
      <w:r w:rsidR="00D60A9B">
        <w:rPr>
          <w:lang w:eastAsia="en-US"/>
        </w:rPr>
        <w:t xml:space="preserve">the system of </w:t>
      </w:r>
      <w:r w:rsidRPr="0088419E">
        <w:rPr>
          <w:lang w:eastAsia="en-US"/>
        </w:rPr>
        <w:t xml:space="preserve">incentives granted to work and settle in the autonomous minority </w:t>
      </w:r>
      <w:r w:rsidR="00256EBE">
        <w:rPr>
          <w:lang w:eastAsia="en-US"/>
        </w:rPr>
        <w:t>regions</w:t>
      </w:r>
      <w:r w:rsidR="00256EBE" w:rsidRPr="0088419E">
        <w:rPr>
          <w:lang w:eastAsia="en-US"/>
        </w:rPr>
        <w:t xml:space="preserve"> </w:t>
      </w:r>
      <w:r w:rsidRPr="0088419E">
        <w:rPr>
          <w:lang w:eastAsia="en-US"/>
        </w:rPr>
        <w:t xml:space="preserve">may result in substantive changes in the demographic composition </w:t>
      </w:r>
      <w:r w:rsidR="00C71EF2">
        <w:rPr>
          <w:lang w:eastAsia="en-US"/>
        </w:rPr>
        <w:t>that</w:t>
      </w:r>
      <w:r w:rsidRPr="0088419E">
        <w:rPr>
          <w:lang w:eastAsia="en-US"/>
        </w:rPr>
        <w:t xml:space="preserve"> impact </w:t>
      </w:r>
      <w:r w:rsidR="00D60A9B">
        <w:rPr>
          <w:lang w:eastAsia="en-US"/>
        </w:rPr>
        <w:t xml:space="preserve">negatively </w:t>
      </w:r>
      <w:r w:rsidRPr="0088419E">
        <w:rPr>
          <w:lang w:eastAsia="en-US"/>
        </w:rPr>
        <w:t>on local traditions and culture</w:t>
      </w:r>
      <w:r w:rsidR="006738D2">
        <w:rPr>
          <w:lang w:eastAsia="en-US"/>
        </w:rPr>
        <w:t>s</w:t>
      </w:r>
      <w:r w:rsidRPr="0088419E">
        <w:rPr>
          <w:lang w:eastAsia="en-US"/>
        </w:rPr>
        <w:t xml:space="preserve"> in these regions. (arts. 2 and 5)</w:t>
      </w:r>
    </w:p>
    <w:p w:rsidR="00B71183" w:rsidRPr="006738D2" w:rsidRDefault="00B71183" w:rsidP="009151AE">
      <w:pPr>
        <w:jc w:val="both"/>
        <w:rPr>
          <w:rFonts w:eastAsia="Times New Roman"/>
          <w:lang w:eastAsia="de-DE" w:bidi="de-DE"/>
        </w:rPr>
      </w:pPr>
    </w:p>
    <w:p w:rsidR="005A62EF" w:rsidRPr="0088419E" w:rsidRDefault="005A62EF" w:rsidP="009151AE">
      <w:pPr>
        <w:ind w:left="1134"/>
        <w:rPr>
          <w:b/>
          <w:lang w:eastAsia="en-US"/>
        </w:rPr>
      </w:pPr>
      <w:r w:rsidRPr="0088419E">
        <w:rPr>
          <w:rFonts w:eastAsia="Times New Roman"/>
          <w:b/>
          <w:lang w:eastAsia="de-DE" w:bidi="de-DE"/>
        </w:rPr>
        <w:t>The Committee reiterates its previous recommendation (</w:t>
      </w:r>
      <w:r w:rsidRPr="0088419E">
        <w:rPr>
          <w:b/>
          <w:lang w:bidi="de-DE"/>
        </w:rPr>
        <w:t>CERD/C/304/Add.15, para. 26</w:t>
      </w:r>
      <w:r w:rsidRPr="0088419E">
        <w:rPr>
          <w:rFonts w:eastAsia="Times New Roman"/>
          <w:b/>
          <w:lang w:eastAsia="de-DE" w:bidi="de-DE"/>
        </w:rPr>
        <w:t xml:space="preserve">) that any policies or incentives offered that may result in a substantial alteration of the demographic composition of autonomous </w:t>
      </w:r>
      <w:r w:rsidR="00A15C7D" w:rsidRPr="0088419E">
        <w:rPr>
          <w:rFonts w:eastAsia="Times New Roman"/>
          <w:b/>
          <w:lang w:eastAsia="de-DE" w:bidi="de-DE"/>
        </w:rPr>
        <w:t xml:space="preserve">minority </w:t>
      </w:r>
      <w:r w:rsidRPr="0088419E">
        <w:rPr>
          <w:rFonts w:eastAsia="Times New Roman"/>
          <w:b/>
          <w:lang w:eastAsia="de-DE" w:bidi="de-DE"/>
        </w:rPr>
        <w:t>areas be reviewed.</w:t>
      </w:r>
    </w:p>
    <w:p w:rsidR="005A62EF" w:rsidRDefault="005A62EF" w:rsidP="009151AE">
      <w:pPr>
        <w:ind w:left="360"/>
        <w:jc w:val="both"/>
        <w:rPr>
          <w:lang w:eastAsia="en-US"/>
        </w:rPr>
      </w:pPr>
    </w:p>
    <w:p w:rsidR="000A6875" w:rsidRDefault="000A6875" w:rsidP="009151AE">
      <w:pPr>
        <w:numPr>
          <w:ilvl w:val="0"/>
          <w:numId w:val="13"/>
        </w:numPr>
        <w:rPr>
          <w:rFonts w:eastAsia="Times New Roman"/>
          <w:lang w:eastAsia="de-DE" w:bidi="de-DE"/>
        </w:rPr>
      </w:pPr>
      <w:r w:rsidRPr="0088419E">
        <w:rPr>
          <w:lang w:eastAsia="en-US"/>
        </w:rPr>
        <w:t xml:space="preserve">While noting the ongoing reforms of the national household registration system </w:t>
      </w:r>
      <w:r w:rsidRPr="0088419E">
        <w:rPr>
          <w:rFonts w:eastAsia="Times New Roman"/>
          <w:lang w:eastAsia="de-DE" w:bidi="de-DE"/>
        </w:rPr>
        <w:t>(</w:t>
      </w:r>
      <w:r w:rsidRPr="0088419E">
        <w:rPr>
          <w:rFonts w:eastAsia="Times New Roman"/>
          <w:i/>
          <w:iCs/>
          <w:lang w:eastAsia="de-DE" w:bidi="de-DE"/>
        </w:rPr>
        <w:t>hukou</w:t>
      </w:r>
      <w:r w:rsidRPr="0088419E">
        <w:rPr>
          <w:rFonts w:eastAsia="Times New Roman"/>
          <w:lang w:eastAsia="de-DE" w:bidi="de-DE"/>
        </w:rPr>
        <w:t>)</w:t>
      </w:r>
      <w:r w:rsidRPr="0088419E">
        <w:rPr>
          <w:lang w:eastAsia="en-US"/>
        </w:rPr>
        <w:t xml:space="preserve">, the Committee is concerned at the </w:t>
      </w:r>
      <w:r w:rsidRPr="001D55FD">
        <w:rPr>
          <w:rFonts w:eastAsia="Times New Roman"/>
          <w:iCs/>
          <w:lang w:eastAsia="de-DE" w:bidi="de-DE"/>
        </w:rPr>
        <w:t>de facto</w:t>
      </w:r>
      <w:r w:rsidRPr="0088419E">
        <w:rPr>
          <w:rFonts w:eastAsia="Times New Roman"/>
          <w:lang w:eastAsia="de-DE" w:bidi="de-DE"/>
        </w:rPr>
        <w:t xml:space="preserve"> discrimination against internal migrants in the fields of employment, social security, health services, and education that indirectly result from that system, which </w:t>
      </w:r>
      <w:r w:rsidR="000F2954">
        <w:rPr>
          <w:rFonts w:eastAsia="Times New Roman"/>
          <w:lang w:eastAsia="de-DE" w:bidi="de-DE"/>
        </w:rPr>
        <w:t>also</w:t>
      </w:r>
      <w:r w:rsidR="000F2954" w:rsidRPr="0088419E">
        <w:rPr>
          <w:rFonts w:eastAsia="Times New Roman"/>
          <w:lang w:eastAsia="de-DE" w:bidi="de-DE"/>
        </w:rPr>
        <w:t xml:space="preserve"> </w:t>
      </w:r>
      <w:r w:rsidRPr="0088419E">
        <w:rPr>
          <w:rFonts w:eastAsia="Times New Roman"/>
          <w:lang w:eastAsia="de-DE" w:bidi="de-DE"/>
        </w:rPr>
        <w:t>affects members</w:t>
      </w:r>
      <w:r>
        <w:rPr>
          <w:rFonts w:eastAsia="Times New Roman"/>
          <w:lang w:eastAsia="de-DE" w:bidi="de-DE"/>
        </w:rPr>
        <w:t xml:space="preserve"> of ethnic minorities</w:t>
      </w:r>
      <w:r w:rsidR="00C04794">
        <w:rPr>
          <w:rFonts w:eastAsia="Times New Roman"/>
          <w:lang w:eastAsia="de-DE" w:bidi="de-DE"/>
        </w:rPr>
        <w:t>, and in particular women</w:t>
      </w:r>
      <w:r>
        <w:rPr>
          <w:rFonts w:eastAsia="Times New Roman"/>
          <w:lang w:eastAsia="de-DE" w:bidi="de-DE"/>
        </w:rPr>
        <w:t>. (art. 5</w:t>
      </w:r>
      <w:r w:rsidR="001D55FD">
        <w:rPr>
          <w:rFonts w:eastAsia="Times New Roman"/>
          <w:lang w:eastAsia="de-DE" w:bidi="de-DE"/>
        </w:rPr>
        <w:t xml:space="preserve"> </w:t>
      </w:r>
      <w:r>
        <w:rPr>
          <w:rFonts w:eastAsia="Times New Roman"/>
          <w:lang w:eastAsia="de-DE" w:bidi="de-DE"/>
        </w:rPr>
        <w:t>(a</w:t>
      </w:r>
      <w:r w:rsidRPr="0088419E">
        <w:rPr>
          <w:rFonts w:eastAsia="Times New Roman"/>
          <w:lang w:eastAsia="de-DE" w:bidi="de-DE"/>
        </w:rPr>
        <w:t>)</w:t>
      </w:r>
      <w:r>
        <w:rPr>
          <w:rFonts w:eastAsia="Times New Roman"/>
          <w:lang w:eastAsia="de-DE" w:bidi="de-DE"/>
        </w:rPr>
        <w:t xml:space="preserve"> and 2</w:t>
      </w:r>
      <w:r w:rsidRPr="0088419E">
        <w:rPr>
          <w:rFonts w:eastAsia="Times New Roman"/>
          <w:lang w:eastAsia="de-DE" w:bidi="de-DE"/>
        </w:rPr>
        <w:t>)</w:t>
      </w:r>
    </w:p>
    <w:p w:rsidR="00CD3580" w:rsidRPr="0088419E" w:rsidRDefault="00CD3580" w:rsidP="009151AE">
      <w:pPr>
        <w:jc w:val="both"/>
        <w:rPr>
          <w:rFonts w:eastAsia="Times New Roman"/>
          <w:lang w:eastAsia="de-DE" w:bidi="de-DE"/>
        </w:rPr>
      </w:pPr>
    </w:p>
    <w:p w:rsidR="000A6875" w:rsidRPr="0088419E" w:rsidRDefault="000A6875" w:rsidP="009151AE">
      <w:pPr>
        <w:ind w:left="720"/>
        <w:rPr>
          <w:b/>
          <w:lang w:eastAsia="en-US"/>
        </w:rPr>
      </w:pPr>
      <w:r w:rsidRPr="0088419E">
        <w:rPr>
          <w:rFonts w:eastAsia="Times New Roman"/>
          <w:b/>
          <w:lang w:eastAsia="de-DE" w:bidi="de-DE"/>
        </w:rPr>
        <w:t xml:space="preserve">The Committee recommends that the State party implement its decision to reform the </w:t>
      </w:r>
      <w:r w:rsidRPr="0088419E">
        <w:rPr>
          <w:rFonts w:eastAsia="Times New Roman"/>
          <w:b/>
          <w:i/>
          <w:iCs/>
          <w:lang w:eastAsia="de-DE" w:bidi="de-DE"/>
        </w:rPr>
        <w:t>hukou</w:t>
      </w:r>
      <w:r w:rsidRPr="0088419E">
        <w:rPr>
          <w:rFonts w:eastAsia="Times New Roman"/>
          <w:b/>
          <w:lang w:eastAsia="de-DE" w:bidi="de-DE"/>
        </w:rPr>
        <w:t xml:space="preserve"> system and to ensure that internal migrants, in particular members of ethnic minorities, will be able to enjoy the same work, social security, health and education benefits as long-time </w:t>
      </w:r>
      <w:r w:rsidR="000F2954">
        <w:rPr>
          <w:rFonts w:eastAsia="Times New Roman"/>
          <w:b/>
          <w:lang w:eastAsia="de-DE" w:bidi="de-DE"/>
        </w:rPr>
        <w:t>urban</w:t>
      </w:r>
      <w:r w:rsidR="000F2954" w:rsidRPr="0088419E">
        <w:rPr>
          <w:rFonts w:eastAsia="Times New Roman"/>
          <w:b/>
          <w:lang w:eastAsia="de-DE" w:bidi="de-DE"/>
        </w:rPr>
        <w:t xml:space="preserve"> </w:t>
      </w:r>
      <w:r w:rsidRPr="0088419E">
        <w:rPr>
          <w:rFonts w:eastAsia="Times New Roman"/>
          <w:b/>
          <w:lang w:eastAsia="de-DE" w:bidi="de-DE"/>
        </w:rPr>
        <w:t xml:space="preserve">residents. </w:t>
      </w:r>
    </w:p>
    <w:p w:rsidR="000A6875" w:rsidRDefault="000A6875" w:rsidP="009151AE">
      <w:pPr>
        <w:ind w:left="360"/>
        <w:jc w:val="both"/>
        <w:rPr>
          <w:lang w:eastAsia="en-US"/>
        </w:rPr>
      </w:pPr>
    </w:p>
    <w:p w:rsidR="000A6875" w:rsidRDefault="000A6875" w:rsidP="009151AE">
      <w:pPr>
        <w:numPr>
          <w:ilvl w:val="0"/>
          <w:numId w:val="13"/>
        </w:numPr>
        <w:rPr>
          <w:lang w:eastAsia="en-US"/>
        </w:rPr>
      </w:pPr>
      <w:r w:rsidRPr="0088419E">
        <w:rPr>
          <w:lang w:eastAsia="en-US"/>
        </w:rPr>
        <w:t xml:space="preserve">While acknowledging the information provided by the State party on the revision of its legislation regarding administrative detention and </w:t>
      </w:r>
      <w:r w:rsidR="006738D2">
        <w:rPr>
          <w:lang w:eastAsia="en-US"/>
        </w:rPr>
        <w:t>“</w:t>
      </w:r>
      <w:r w:rsidRPr="0088419E">
        <w:rPr>
          <w:lang w:eastAsia="en-US"/>
        </w:rPr>
        <w:t>re-education through labour</w:t>
      </w:r>
      <w:r w:rsidR="006738D2">
        <w:rPr>
          <w:lang w:eastAsia="en-US"/>
        </w:rPr>
        <w:t>”</w:t>
      </w:r>
      <w:r w:rsidRPr="0088419E">
        <w:rPr>
          <w:lang w:eastAsia="en-US"/>
        </w:rPr>
        <w:t xml:space="preserve">, the Committee is concerned at reports that in practice </w:t>
      </w:r>
      <w:r w:rsidR="006738D2">
        <w:rPr>
          <w:lang w:eastAsia="en-US"/>
        </w:rPr>
        <w:t xml:space="preserve">effective </w:t>
      </w:r>
      <w:r w:rsidRPr="0088419E">
        <w:rPr>
          <w:lang w:eastAsia="en-US"/>
        </w:rPr>
        <w:t xml:space="preserve">judicial control of these </w:t>
      </w:r>
      <w:r w:rsidR="006738D2">
        <w:rPr>
          <w:lang w:eastAsia="en-US"/>
        </w:rPr>
        <w:t>measures</w:t>
      </w:r>
      <w:r w:rsidR="006738D2" w:rsidRPr="0088419E">
        <w:rPr>
          <w:lang w:eastAsia="en-US"/>
        </w:rPr>
        <w:t xml:space="preserve"> </w:t>
      </w:r>
      <w:r w:rsidRPr="0088419E">
        <w:rPr>
          <w:lang w:eastAsia="en-US"/>
        </w:rPr>
        <w:t xml:space="preserve">is limited and that the application of these laws </w:t>
      </w:r>
      <w:r w:rsidR="007F5F1C">
        <w:rPr>
          <w:lang w:eastAsia="en-US"/>
        </w:rPr>
        <w:t xml:space="preserve">may </w:t>
      </w:r>
      <w:r w:rsidRPr="0088419E">
        <w:rPr>
          <w:lang w:eastAsia="en-US"/>
        </w:rPr>
        <w:t xml:space="preserve">disproportionately affect members of ethnic minorities. (art. 5(a) and (b)) </w:t>
      </w:r>
    </w:p>
    <w:p w:rsidR="00CD3580" w:rsidRPr="0088419E" w:rsidRDefault="00CD3580" w:rsidP="009151AE">
      <w:pPr>
        <w:jc w:val="both"/>
        <w:rPr>
          <w:lang w:eastAsia="en-US"/>
        </w:rPr>
      </w:pPr>
    </w:p>
    <w:p w:rsidR="000A6875" w:rsidRPr="0088419E" w:rsidRDefault="000A6875" w:rsidP="009151AE">
      <w:pPr>
        <w:ind w:left="720"/>
        <w:rPr>
          <w:b/>
          <w:bCs/>
          <w:lang w:eastAsia="en-US"/>
        </w:rPr>
      </w:pPr>
      <w:r w:rsidRPr="0088419E">
        <w:rPr>
          <w:b/>
          <w:bCs/>
          <w:lang w:eastAsia="en-US"/>
        </w:rPr>
        <w:t xml:space="preserve">The Committee </w:t>
      </w:r>
      <w:r w:rsidR="0091234A">
        <w:rPr>
          <w:b/>
          <w:bCs/>
          <w:lang w:eastAsia="en-US"/>
        </w:rPr>
        <w:t>call</w:t>
      </w:r>
      <w:r w:rsidR="0091234A" w:rsidRPr="0088419E">
        <w:rPr>
          <w:b/>
          <w:bCs/>
          <w:lang w:eastAsia="en-US"/>
        </w:rPr>
        <w:t xml:space="preserve">s </w:t>
      </w:r>
      <w:r w:rsidR="0091234A">
        <w:rPr>
          <w:b/>
          <w:bCs/>
          <w:lang w:eastAsia="en-US"/>
        </w:rPr>
        <w:t xml:space="preserve">upon </w:t>
      </w:r>
      <w:r w:rsidRPr="0088419E">
        <w:rPr>
          <w:b/>
          <w:bCs/>
          <w:lang w:eastAsia="en-US"/>
        </w:rPr>
        <w:t xml:space="preserve">the State party to take effective measures with a view to ensuring that the application of administrative detention and </w:t>
      </w:r>
      <w:r w:rsidR="00283C43">
        <w:rPr>
          <w:b/>
          <w:bCs/>
          <w:lang w:eastAsia="en-US"/>
        </w:rPr>
        <w:t>“</w:t>
      </w:r>
      <w:r w:rsidRPr="0088419E">
        <w:rPr>
          <w:b/>
          <w:bCs/>
          <w:lang w:eastAsia="en-US"/>
        </w:rPr>
        <w:t>re-education through labor</w:t>
      </w:r>
      <w:r w:rsidR="00283C43">
        <w:rPr>
          <w:b/>
          <w:bCs/>
          <w:lang w:eastAsia="en-US"/>
        </w:rPr>
        <w:t>”</w:t>
      </w:r>
      <w:r w:rsidRPr="0088419E">
        <w:rPr>
          <w:b/>
          <w:bCs/>
          <w:lang w:eastAsia="en-US"/>
        </w:rPr>
        <w:t xml:space="preserve"> is </w:t>
      </w:r>
      <w:r w:rsidR="00B75E4A">
        <w:rPr>
          <w:b/>
          <w:bCs/>
          <w:lang w:eastAsia="en-US"/>
        </w:rPr>
        <w:t>used restricti</w:t>
      </w:r>
      <w:r w:rsidR="00835080">
        <w:rPr>
          <w:b/>
          <w:bCs/>
          <w:lang w:eastAsia="en-US"/>
        </w:rPr>
        <w:t>vely</w:t>
      </w:r>
      <w:r w:rsidR="00B75E4A">
        <w:rPr>
          <w:b/>
          <w:bCs/>
          <w:lang w:eastAsia="en-US"/>
        </w:rPr>
        <w:t xml:space="preserve"> and </w:t>
      </w:r>
      <w:r w:rsidRPr="0088419E">
        <w:rPr>
          <w:b/>
          <w:bCs/>
          <w:lang w:eastAsia="en-US"/>
        </w:rPr>
        <w:t xml:space="preserve">subject to </w:t>
      </w:r>
      <w:r w:rsidR="00B75E4A">
        <w:rPr>
          <w:b/>
          <w:bCs/>
          <w:lang w:eastAsia="en-US"/>
        </w:rPr>
        <w:t xml:space="preserve">full </w:t>
      </w:r>
      <w:r w:rsidRPr="0088419E">
        <w:rPr>
          <w:b/>
          <w:bCs/>
          <w:lang w:eastAsia="en-US"/>
        </w:rPr>
        <w:t xml:space="preserve">judicial control </w:t>
      </w:r>
      <w:r w:rsidR="00B75E4A">
        <w:rPr>
          <w:b/>
          <w:bCs/>
          <w:lang w:eastAsia="en-US"/>
        </w:rPr>
        <w:t xml:space="preserve">in line with international human rights standards, </w:t>
      </w:r>
      <w:r w:rsidRPr="0088419E">
        <w:rPr>
          <w:b/>
          <w:bCs/>
          <w:lang w:eastAsia="en-US"/>
        </w:rPr>
        <w:t>and that these p</w:t>
      </w:r>
      <w:r w:rsidR="00283C43">
        <w:rPr>
          <w:b/>
          <w:bCs/>
          <w:lang w:eastAsia="en-US"/>
        </w:rPr>
        <w:t>ractices</w:t>
      </w:r>
      <w:r w:rsidRPr="0088419E">
        <w:rPr>
          <w:b/>
          <w:bCs/>
          <w:lang w:eastAsia="en-US"/>
        </w:rPr>
        <w:t xml:space="preserve"> are not disproportionately applied to members of ethnic minorities. It requests the State party to provide, in its next periodic report, information, including disaggregated statistics by ethnic group, on cases in which these </w:t>
      </w:r>
      <w:r w:rsidR="00283C43">
        <w:rPr>
          <w:b/>
          <w:bCs/>
          <w:lang w:eastAsia="en-US"/>
        </w:rPr>
        <w:t>measure</w:t>
      </w:r>
      <w:r w:rsidR="00283C43" w:rsidRPr="0088419E">
        <w:rPr>
          <w:b/>
          <w:bCs/>
          <w:lang w:eastAsia="en-US"/>
        </w:rPr>
        <w:t xml:space="preserve">s </w:t>
      </w:r>
      <w:r w:rsidRPr="0088419E">
        <w:rPr>
          <w:b/>
          <w:bCs/>
          <w:lang w:eastAsia="en-US"/>
        </w:rPr>
        <w:t xml:space="preserve">were administered, and on appeals lodged, if any. </w:t>
      </w:r>
      <w:r w:rsidR="00283C43" w:rsidRPr="0088419E">
        <w:rPr>
          <w:b/>
          <w:bCs/>
          <w:lang w:eastAsia="en-US"/>
        </w:rPr>
        <w:t xml:space="preserve">In this regard, the Committee also draws the </w:t>
      </w:r>
      <w:r w:rsidR="00A74D81">
        <w:rPr>
          <w:b/>
          <w:bCs/>
          <w:lang w:eastAsia="en-US"/>
        </w:rPr>
        <w:t xml:space="preserve">attention of the </w:t>
      </w:r>
      <w:r w:rsidR="00283C43" w:rsidRPr="0088419E">
        <w:rPr>
          <w:b/>
          <w:bCs/>
          <w:lang w:eastAsia="en-US"/>
        </w:rPr>
        <w:t>State party to the Univers</w:t>
      </w:r>
      <w:r w:rsidR="00283C43">
        <w:rPr>
          <w:b/>
          <w:bCs/>
          <w:lang w:eastAsia="en-US"/>
        </w:rPr>
        <w:t xml:space="preserve">al Periodic Review procedure and in particular </w:t>
      </w:r>
      <w:r w:rsidR="00A74D81">
        <w:rPr>
          <w:b/>
          <w:bCs/>
          <w:lang w:eastAsia="en-US"/>
        </w:rPr>
        <w:t>r</w:t>
      </w:r>
      <w:r w:rsidR="00283C43" w:rsidRPr="0088419E">
        <w:rPr>
          <w:b/>
          <w:bCs/>
          <w:lang w:eastAsia="en-US"/>
        </w:rPr>
        <w:t>ecommendation 31</w:t>
      </w:r>
      <w:r w:rsidR="00A74D81">
        <w:rPr>
          <w:b/>
          <w:bCs/>
          <w:lang w:eastAsia="en-US"/>
        </w:rPr>
        <w:t xml:space="preserve"> of the Working Group</w:t>
      </w:r>
      <w:r w:rsidR="00283C43">
        <w:rPr>
          <w:b/>
          <w:bCs/>
          <w:lang w:eastAsia="en-US"/>
        </w:rPr>
        <w:t>, which enjoyed the support of the State party (A/HRC/11/25</w:t>
      </w:r>
      <w:r w:rsidR="00283C43" w:rsidRPr="0088419E">
        <w:rPr>
          <w:b/>
          <w:bCs/>
          <w:lang w:eastAsia="en-US"/>
        </w:rPr>
        <w:t>).</w:t>
      </w:r>
      <w:r w:rsidR="00283C43">
        <w:rPr>
          <w:b/>
          <w:bCs/>
          <w:lang w:eastAsia="en-US"/>
        </w:rPr>
        <w:t xml:space="preserve"> </w:t>
      </w:r>
      <w:r w:rsidRPr="0088419E">
        <w:rPr>
          <w:b/>
          <w:bCs/>
          <w:lang w:eastAsia="en-US"/>
        </w:rPr>
        <w:t xml:space="preserve">In light of the </w:t>
      </w:r>
      <w:r w:rsidR="007442ED">
        <w:rPr>
          <w:b/>
          <w:bCs/>
          <w:lang w:eastAsia="en-US"/>
        </w:rPr>
        <w:t>section</w:t>
      </w:r>
      <w:r w:rsidR="007442ED" w:rsidRPr="0088419E">
        <w:rPr>
          <w:b/>
          <w:bCs/>
          <w:lang w:eastAsia="en-US"/>
        </w:rPr>
        <w:t xml:space="preserve"> </w:t>
      </w:r>
      <w:r w:rsidRPr="0088419E">
        <w:rPr>
          <w:b/>
          <w:bCs/>
          <w:lang w:eastAsia="en-US"/>
        </w:rPr>
        <w:t xml:space="preserve">in the </w:t>
      </w:r>
      <w:r w:rsidR="00283C43">
        <w:rPr>
          <w:b/>
          <w:bCs/>
          <w:lang w:eastAsia="en-US"/>
        </w:rPr>
        <w:t>N</w:t>
      </w:r>
      <w:r w:rsidRPr="0088419E">
        <w:rPr>
          <w:b/>
          <w:bCs/>
          <w:lang w:eastAsia="en-US"/>
        </w:rPr>
        <w:t xml:space="preserve">ational </w:t>
      </w:r>
      <w:r w:rsidR="007E5884">
        <w:rPr>
          <w:b/>
          <w:bCs/>
          <w:lang w:eastAsia="en-US"/>
        </w:rPr>
        <w:t>H</w:t>
      </w:r>
      <w:r w:rsidRPr="0088419E">
        <w:rPr>
          <w:b/>
          <w:bCs/>
          <w:lang w:eastAsia="en-US"/>
        </w:rPr>
        <w:t xml:space="preserve">uman </w:t>
      </w:r>
      <w:r w:rsidR="007E5884">
        <w:rPr>
          <w:b/>
          <w:bCs/>
          <w:lang w:eastAsia="en-US"/>
        </w:rPr>
        <w:t>R</w:t>
      </w:r>
      <w:r w:rsidRPr="0088419E">
        <w:rPr>
          <w:b/>
          <w:bCs/>
          <w:lang w:eastAsia="en-US"/>
        </w:rPr>
        <w:t xml:space="preserve">ights </w:t>
      </w:r>
      <w:r w:rsidR="007E5884">
        <w:rPr>
          <w:b/>
          <w:bCs/>
          <w:lang w:eastAsia="en-US"/>
        </w:rPr>
        <w:t>A</w:t>
      </w:r>
      <w:r w:rsidRPr="0088419E">
        <w:rPr>
          <w:b/>
          <w:bCs/>
          <w:lang w:eastAsia="en-US"/>
        </w:rPr>
        <w:t xml:space="preserve">ction </w:t>
      </w:r>
      <w:r w:rsidR="007E5884">
        <w:rPr>
          <w:b/>
          <w:bCs/>
          <w:lang w:eastAsia="en-US"/>
        </w:rPr>
        <w:t>P</w:t>
      </w:r>
      <w:r w:rsidRPr="0088419E">
        <w:rPr>
          <w:b/>
          <w:bCs/>
          <w:lang w:eastAsia="en-US"/>
        </w:rPr>
        <w:t>lan regarding the prohibition of illegal detention, it also encourages the State party to consider the complete abolition of such laws</w:t>
      </w:r>
      <w:r w:rsidR="00B75E4A">
        <w:rPr>
          <w:b/>
          <w:bCs/>
          <w:lang w:eastAsia="en-US"/>
        </w:rPr>
        <w:t>, as recommended by the Committee against Torture (</w:t>
      </w:r>
      <w:r w:rsidR="00A9598F">
        <w:rPr>
          <w:b/>
          <w:bCs/>
          <w:lang w:eastAsia="en-US"/>
        </w:rPr>
        <w:t>CAT/C/CHN/CO/4, para. 13</w:t>
      </w:r>
      <w:r w:rsidR="00B75E4A">
        <w:rPr>
          <w:b/>
          <w:bCs/>
          <w:lang w:eastAsia="en-US"/>
        </w:rPr>
        <w:t>)</w:t>
      </w:r>
      <w:r w:rsidRPr="0088419E">
        <w:rPr>
          <w:b/>
          <w:bCs/>
          <w:lang w:eastAsia="en-US"/>
        </w:rPr>
        <w:t xml:space="preserve">. </w:t>
      </w:r>
    </w:p>
    <w:p w:rsidR="000A6875" w:rsidRPr="0088419E" w:rsidRDefault="000A6875" w:rsidP="009151AE">
      <w:pPr>
        <w:ind w:left="360"/>
        <w:jc w:val="both"/>
        <w:rPr>
          <w:lang w:eastAsia="en-US"/>
        </w:rPr>
      </w:pPr>
    </w:p>
    <w:p w:rsidR="000A6875" w:rsidRDefault="000A6875" w:rsidP="009151AE">
      <w:pPr>
        <w:numPr>
          <w:ilvl w:val="0"/>
          <w:numId w:val="13"/>
        </w:numPr>
        <w:rPr>
          <w:lang w:eastAsia="en-US"/>
        </w:rPr>
      </w:pPr>
      <w:r w:rsidRPr="0088419E">
        <w:rPr>
          <w:lang w:eastAsia="en-US"/>
        </w:rPr>
        <w:t xml:space="preserve">While noting that the State party is in the process of drafting a refugee law, the Committee reiterates its concern (A/56/18, para. 246) that asylum-seekers from the Democratic People’s </w:t>
      </w:r>
      <w:smartTag w:uri="urn:schemas-microsoft-com:office:smarttags" w:element="place">
        <w:smartTag w:uri="urn:schemas-microsoft-com:office:smarttags" w:element="PlaceType">
          <w:r w:rsidRPr="0088419E">
            <w:rPr>
              <w:lang w:eastAsia="en-US"/>
            </w:rPr>
            <w:t>Republic</w:t>
          </w:r>
        </w:smartTag>
        <w:r w:rsidRPr="0088419E">
          <w:rPr>
            <w:lang w:eastAsia="en-US"/>
          </w:rPr>
          <w:t xml:space="preserve"> of </w:t>
        </w:r>
        <w:smartTag w:uri="urn:schemas-microsoft-com:office:smarttags" w:element="country-region">
          <w:smartTag w:uri="urn:schemas-microsoft-com:office:smarttags" w:element="PlaceName">
            <w:r w:rsidRPr="0088419E">
              <w:rPr>
                <w:lang w:eastAsia="en-US"/>
              </w:rPr>
              <w:t>Korea</w:t>
            </w:r>
          </w:smartTag>
        </w:smartTag>
      </w:smartTag>
      <w:r w:rsidRPr="0088419E">
        <w:rPr>
          <w:lang w:eastAsia="en-US"/>
        </w:rPr>
        <w:t xml:space="preserve"> continue to be systematically refused asylum and forcibly returned. (art. 5(b)) </w:t>
      </w:r>
    </w:p>
    <w:p w:rsidR="00B71183" w:rsidRPr="0088419E" w:rsidRDefault="00B71183" w:rsidP="009151AE">
      <w:pPr>
        <w:ind w:left="357"/>
        <w:jc w:val="both"/>
        <w:rPr>
          <w:lang w:eastAsia="en-US"/>
        </w:rPr>
      </w:pPr>
    </w:p>
    <w:p w:rsidR="000A6875" w:rsidRPr="0088419E" w:rsidRDefault="000A6875" w:rsidP="009151AE">
      <w:pPr>
        <w:ind w:left="720"/>
        <w:rPr>
          <w:b/>
          <w:bCs/>
          <w:lang w:eastAsia="en-US"/>
        </w:rPr>
      </w:pPr>
      <w:r w:rsidRPr="0088419E">
        <w:rPr>
          <w:b/>
          <w:bCs/>
        </w:rPr>
        <w:t xml:space="preserve">The Committee recommends that the State party adopt legislation relating to refugee status as soon as possible. Bearing in mind its </w:t>
      </w:r>
      <w:r w:rsidR="00A74D81">
        <w:rPr>
          <w:b/>
          <w:bCs/>
        </w:rPr>
        <w:t>g</w:t>
      </w:r>
      <w:r w:rsidRPr="0088419E">
        <w:rPr>
          <w:b/>
          <w:bCs/>
        </w:rPr>
        <w:t xml:space="preserve">eneral </w:t>
      </w:r>
      <w:r w:rsidR="00A74D81">
        <w:rPr>
          <w:b/>
          <w:bCs/>
        </w:rPr>
        <w:t>r</w:t>
      </w:r>
      <w:r w:rsidR="00B23CBF">
        <w:rPr>
          <w:b/>
          <w:bCs/>
        </w:rPr>
        <w:t xml:space="preserve">ecommendation </w:t>
      </w:r>
      <w:r w:rsidR="002C67D6">
        <w:rPr>
          <w:b/>
          <w:bCs/>
        </w:rPr>
        <w:t>N</w:t>
      </w:r>
      <w:r w:rsidRPr="0088419E">
        <w:rPr>
          <w:b/>
          <w:bCs/>
        </w:rPr>
        <w:t>o. 30,</w:t>
      </w:r>
      <w:r w:rsidRPr="0088419E">
        <w:rPr>
          <w:b/>
          <w:bCs/>
          <w:lang w:eastAsia="en-US"/>
        </w:rPr>
        <w:t xml:space="preserve"> the Committee </w:t>
      </w:r>
      <w:r w:rsidR="0091234A">
        <w:rPr>
          <w:b/>
          <w:bCs/>
          <w:lang w:eastAsia="en-US"/>
        </w:rPr>
        <w:t>call</w:t>
      </w:r>
      <w:r w:rsidR="0091234A" w:rsidRPr="0088419E">
        <w:rPr>
          <w:b/>
          <w:bCs/>
          <w:lang w:eastAsia="en-US"/>
        </w:rPr>
        <w:t xml:space="preserve">s </w:t>
      </w:r>
      <w:r w:rsidR="0091234A">
        <w:rPr>
          <w:b/>
          <w:bCs/>
          <w:lang w:eastAsia="en-US"/>
        </w:rPr>
        <w:t>upon</w:t>
      </w:r>
      <w:r w:rsidR="0091234A" w:rsidRPr="0088419E" w:rsidDel="0091234A">
        <w:rPr>
          <w:b/>
          <w:bCs/>
          <w:lang w:eastAsia="en-US"/>
        </w:rPr>
        <w:t xml:space="preserve"> </w:t>
      </w:r>
      <w:r w:rsidRPr="0088419E">
        <w:rPr>
          <w:b/>
          <w:bCs/>
          <w:lang w:eastAsia="en-US"/>
        </w:rPr>
        <w:t>the State party to</w:t>
      </w:r>
      <w:r w:rsidRPr="0088419E">
        <w:rPr>
          <w:b/>
          <w:bCs/>
        </w:rPr>
        <w:t xml:space="preserve"> take all necessary legal and policy measures to ensure that all asylum-seekers have the merits of their individual cases considered by a</w:t>
      </w:r>
      <w:r w:rsidR="00667A96">
        <w:rPr>
          <w:b/>
          <w:bCs/>
        </w:rPr>
        <w:t>n</w:t>
      </w:r>
      <w:r w:rsidRPr="0088419E">
        <w:rPr>
          <w:b/>
          <w:bCs/>
        </w:rPr>
        <w:t xml:space="preserve"> </w:t>
      </w:r>
      <w:r w:rsidR="00667A96">
        <w:rPr>
          <w:b/>
          <w:bCs/>
        </w:rPr>
        <w:t>independent and impartial authority</w:t>
      </w:r>
      <w:r w:rsidRPr="0088419E">
        <w:rPr>
          <w:b/>
          <w:bCs/>
        </w:rPr>
        <w:t xml:space="preserve">. </w:t>
      </w:r>
    </w:p>
    <w:p w:rsidR="000A6875" w:rsidRPr="0088419E" w:rsidRDefault="000A6875" w:rsidP="009151AE">
      <w:pPr>
        <w:ind w:left="360"/>
        <w:jc w:val="both"/>
        <w:rPr>
          <w:lang w:eastAsia="en-US"/>
        </w:rPr>
      </w:pPr>
    </w:p>
    <w:p w:rsidR="005A62EF" w:rsidRPr="00CD3580" w:rsidRDefault="00A74D81" w:rsidP="009151AE">
      <w:pPr>
        <w:numPr>
          <w:ilvl w:val="0"/>
          <w:numId w:val="13"/>
        </w:numPr>
        <w:rPr>
          <w:color w:val="000000"/>
        </w:rPr>
      </w:pPr>
      <w:r>
        <w:rPr>
          <w:lang w:eastAsia="en-US"/>
        </w:rPr>
        <w:t>The Committee notes</w:t>
      </w:r>
      <w:r w:rsidR="005A62EF" w:rsidRPr="0088419E">
        <w:rPr>
          <w:lang w:eastAsia="en-US"/>
        </w:rPr>
        <w:t xml:space="preserve"> the information provided by the State party </w:t>
      </w:r>
      <w:r w:rsidR="00FB1CC4">
        <w:rPr>
          <w:lang w:eastAsia="en-US"/>
        </w:rPr>
        <w:t xml:space="preserve">regarding </w:t>
      </w:r>
      <w:r w:rsidR="00FB1CC4" w:rsidRPr="00256EBE">
        <w:rPr>
          <w:lang w:eastAsia="en-US"/>
        </w:rPr>
        <w:t xml:space="preserve">the events in </w:t>
      </w:r>
      <w:r w:rsidR="00407BFE" w:rsidRPr="00256EBE">
        <w:t xml:space="preserve">Tibet Autonomous Region </w:t>
      </w:r>
      <w:r w:rsidR="00FB1CC4" w:rsidRPr="00256EBE">
        <w:rPr>
          <w:lang w:eastAsia="en-US"/>
        </w:rPr>
        <w:t>in March</w:t>
      </w:r>
      <w:r w:rsidR="00FB1CC4">
        <w:rPr>
          <w:lang w:eastAsia="en-US"/>
        </w:rPr>
        <w:t xml:space="preserve"> 2008, as well as </w:t>
      </w:r>
      <w:r w:rsidR="005A62EF" w:rsidRPr="0088419E">
        <w:rPr>
          <w:lang w:eastAsia="en-US"/>
        </w:rPr>
        <w:t xml:space="preserve">the events in </w:t>
      </w:r>
      <w:smartTag w:uri="urn:schemas-microsoft-com:office:smarttags" w:element="place">
        <w:smartTag w:uri="urn:schemas-microsoft-com:office:smarttags" w:element="City">
          <w:r w:rsidR="005A62EF" w:rsidRPr="0088419E">
            <w:rPr>
              <w:lang w:eastAsia="en-US"/>
            </w:rPr>
            <w:t>Urumqi</w:t>
          </w:r>
        </w:smartTag>
      </w:smartTag>
      <w:r w:rsidR="005A62EF" w:rsidRPr="0088419E">
        <w:rPr>
          <w:lang w:eastAsia="en-US"/>
        </w:rPr>
        <w:t>, Xinjian</w:t>
      </w:r>
      <w:r>
        <w:rPr>
          <w:lang w:eastAsia="en-US"/>
        </w:rPr>
        <w:t>g</w:t>
      </w:r>
      <w:r w:rsidR="005A62EF" w:rsidRPr="0088419E">
        <w:rPr>
          <w:lang w:eastAsia="en-US"/>
        </w:rPr>
        <w:t xml:space="preserve"> </w:t>
      </w:r>
      <w:r w:rsidR="00204B86">
        <w:rPr>
          <w:lang w:eastAsia="en-US"/>
        </w:rPr>
        <w:t>Uighur Autonomous Region</w:t>
      </w:r>
      <w:r w:rsidR="00FB1CC4">
        <w:rPr>
          <w:lang w:eastAsia="en-US"/>
        </w:rPr>
        <w:t>, in July 2009</w:t>
      </w:r>
      <w:r w:rsidR="006916D1">
        <w:rPr>
          <w:lang w:eastAsia="en-US"/>
        </w:rPr>
        <w:t>.</w:t>
      </w:r>
      <w:r w:rsidR="00113776">
        <w:rPr>
          <w:lang w:eastAsia="en-US"/>
        </w:rPr>
        <w:t xml:space="preserve"> </w:t>
      </w:r>
      <w:r w:rsidR="006916D1">
        <w:rPr>
          <w:lang w:eastAsia="en-US"/>
        </w:rPr>
        <w:t>It</w:t>
      </w:r>
      <w:r w:rsidR="00FA41F7" w:rsidRPr="0088419E">
        <w:rPr>
          <w:lang w:eastAsia="en-US"/>
        </w:rPr>
        <w:t xml:space="preserve"> regrets the loss of life</w:t>
      </w:r>
      <w:r w:rsidR="002E0FBC">
        <w:rPr>
          <w:lang w:eastAsia="en-US"/>
        </w:rPr>
        <w:t xml:space="preserve">, including among the </w:t>
      </w:r>
      <w:r>
        <w:rPr>
          <w:lang w:eastAsia="en-US"/>
        </w:rPr>
        <w:t xml:space="preserve">armed forces </w:t>
      </w:r>
      <w:r w:rsidR="00190747">
        <w:rPr>
          <w:lang w:eastAsia="en-US"/>
        </w:rPr>
        <w:t xml:space="preserve">and police </w:t>
      </w:r>
      <w:r>
        <w:rPr>
          <w:lang w:eastAsia="en-US"/>
        </w:rPr>
        <w:t xml:space="preserve">of the </w:t>
      </w:r>
      <w:r w:rsidR="002E0FBC">
        <w:rPr>
          <w:lang w:eastAsia="en-US"/>
        </w:rPr>
        <w:t>State party,</w:t>
      </w:r>
      <w:r w:rsidR="00FA41F7" w:rsidRPr="0088419E">
        <w:rPr>
          <w:lang w:eastAsia="en-US"/>
        </w:rPr>
        <w:t xml:space="preserve"> </w:t>
      </w:r>
      <w:r w:rsidR="00113776">
        <w:rPr>
          <w:lang w:eastAsia="en-US"/>
        </w:rPr>
        <w:t>and the suffering of all victims. While it</w:t>
      </w:r>
      <w:r w:rsidR="00FA41F7" w:rsidRPr="0088419E">
        <w:rPr>
          <w:lang w:eastAsia="en-US"/>
        </w:rPr>
        <w:t xml:space="preserve"> </w:t>
      </w:r>
      <w:r w:rsidR="005A62EF" w:rsidRPr="0088419E">
        <w:rPr>
          <w:color w:val="000000"/>
        </w:rPr>
        <w:t xml:space="preserve">recognizes the </w:t>
      </w:r>
      <w:r>
        <w:rPr>
          <w:color w:val="000000"/>
        </w:rPr>
        <w:t xml:space="preserve">duty of the </w:t>
      </w:r>
      <w:r w:rsidR="005A62EF" w:rsidRPr="0088419E">
        <w:rPr>
          <w:color w:val="000000"/>
        </w:rPr>
        <w:t xml:space="preserve">State party to maintain public order, </w:t>
      </w:r>
      <w:r w:rsidR="00113776">
        <w:rPr>
          <w:lang w:eastAsia="en-US"/>
        </w:rPr>
        <w:t>the Committee</w:t>
      </w:r>
      <w:r w:rsidR="005A62EF" w:rsidRPr="0088419E">
        <w:rPr>
          <w:lang w:eastAsia="en-US"/>
        </w:rPr>
        <w:t xml:space="preserve"> is concerned at reports alleging </w:t>
      </w:r>
      <w:r w:rsidR="002522F4" w:rsidRPr="0088419E">
        <w:rPr>
          <w:lang w:eastAsia="en-US"/>
        </w:rPr>
        <w:t xml:space="preserve">the </w:t>
      </w:r>
      <w:r w:rsidR="00EC1B37">
        <w:rPr>
          <w:lang w:eastAsia="en-US"/>
        </w:rPr>
        <w:t>disproportionate</w:t>
      </w:r>
      <w:r w:rsidR="00EC1B37" w:rsidRPr="0088419E">
        <w:rPr>
          <w:lang w:eastAsia="en-US"/>
        </w:rPr>
        <w:t xml:space="preserve"> </w:t>
      </w:r>
      <w:r w:rsidR="002522F4" w:rsidRPr="0088419E">
        <w:rPr>
          <w:lang w:eastAsia="en-US"/>
        </w:rPr>
        <w:t xml:space="preserve">use of </w:t>
      </w:r>
      <w:r w:rsidR="005A62EF" w:rsidRPr="0088419E">
        <w:rPr>
          <w:lang w:eastAsia="en-US"/>
        </w:rPr>
        <w:t xml:space="preserve">force against </w:t>
      </w:r>
      <w:r w:rsidR="00001A53" w:rsidRPr="0088419E">
        <w:rPr>
          <w:lang w:eastAsia="en-US"/>
        </w:rPr>
        <w:t xml:space="preserve">ethnic </w:t>
      </w:r>
      <w:r w:rsidR="009F40CB">
        <w:rPr>
          <w:lang w:eastAsia="en-US"/>
        </w:rPr>
        <w:t xml:space="preserve">Tibetans and </w:t>
      </w:r>
      <w:r w:rsidR="00001A53" w:rsidRPr="0088419E">
        <w:rPr>
          <w:lang w:eastAsia="en-US"/>
        </w:rPr>
        <w:t xml:space="preserve">Uighurs </w:t>
      </w:r>
      <w:r w:rsidR="005A62EF" w:rsidRPr="0088419E">
        <w:rPr>
          <w:lang w:eastAsia="en-US"/>
        </w:rPr>
        <w:t>an</w:t>
      </w:r>
      <w:r w:rsidR="00001A53">
        <w:rPr>
          <w:lang w:eastAsia="en-US"/>
        </w:rPr>
        <w:t xml:space="preserve">d the </w:t>
      </w:r>
      <w:r w:rsidR="00D13F52">
        <w:rPr>
          <w:lang w:eastAsia="en-US"/>
        </w:rPr>
        <w:t xml:space="preserve">important </w:t>
      </w:r>
      <w:r w:rsidR="00001A53">
        <w:rPr>
          <w:lang w:eastAsia="en-US"/>
        </w:rPr>
        <w:t>number of  detentions</w:t>
      </w:r>
      <w:r w:rsidR="005A62EF" w:rsidRPr="0088419E">
        <w:rPr>
          <w:lang w:eastAsia="en-US"/>
        </w:rPr>
        <w:t>. (art. 5(a) and (b))</w:t>
      </w:r>
    </w:p>
    <w:p w:rsidR="00CD3580" w:rsidRPr="0088419E" w:rsidRDefault="00CD3580" w:rsidP="009151AE">
      <w:pPr>
        <w:jc w:val="both"/>
        <w:rPr>
          <w:color w:val="000000"/>
        </w:rPr>
      </w:pPr>
    </w:p>
    <w:p w:rsidR="005A62EF" w:rsidRPr="0088419E" w:rsidRDefault="005A62EF" w:rsidP="009151AE">
      <w:pPr>
        <w:ind w:left="720"/>
        <w:rPr>
          <w:b/>
          <w:bCs/>
          <w:lang w:eastAsia="en-US"/>
        </w:rPr>
      </w:pPr>
      <w:r w:rsidRPr="0088419E">
        <w:rPr>
          <w:b/>
          <w:bCs/>
          <w:color w:val="000000"/>
        </w:rPr>
        <w:t xml:space="preserve">The Committee </w:t>
      </w:r>
      <w:r w:rsidR="00FA5011">
        <w:rPr>
          <w:b/>
          <w:bCs/>
          <w:color w:val="000000"/>
        </w:rPr>
        <w:t>calls upon</w:t>
      </w:r>
      <w:r w:rsidR="00FA5011" w:rsidRPr="0088419E">
        <w:rPr>
          <w:b/>
          <w:bCs/>
          <w:color w:val="000000"/>
        </w:rPr>
        <w:t xml:space="preserve"> </w:t>
      </w:r>
      <w:r w:rsidRPr="0088419E">
        <w:rPr>
          <w:b/>
          <w:bCs/>
          <w:color w:val="000000"/>
        </w:rPr>
        <w:t xml:space="preserve">the State party to </w:t>
      </w:r>
      <w:r w:rsidR="00840208" w:rsidRPr="0088419E">
        <w:rPr>
          <w:b/>
          <w:bCs/>
          <w:color w:val="000000"/>
        </w:rPr>
        <w:t xml:space="preserve">ensure that those detained in connection with the </w:t>
      </w:r>
      <w:r w:rsidR="009F40CB">
        <w:rPr>
          <w:b/>
          <w:bCs/>
          <w:color w:val="000000"/>
        </w:rPr>
        <w:t xml:space="preserve">above </w:t>
      </w:r>
      <w:r w:rsidR="00840208" w:rsidRPr="0088419E">
        <w:rPr>
          <w:b/>
          <w:bCs/>
          <w:color w:val="000000"/>
        </w:rPr>
        <w:t xml:space="preserve">events are guaranteed </w:t>
      </w:r>
      <w:r w:rsidR="009F40CB" w:rsidRPr="0088419E">
        <w:rPr>
          <w:b/>
          <w:bCs/>
          <w:color w:val="000000"/>
        </w:rPr>
        <w:t xml:space="preserve">humane treatment </w:t>
      </w:r>
      <w:r w:rsidR="009F40CB">
        <w:rPr>
          <w:b/>
          <w:bCs/>
          <w:color w:val="000000"/>
        </w:rPr>
        <w:t xml:space="preserve">while </w:t>
      </w:r>
      <w:r w:rsidR="009F40CB" w:rsidRPr="0088419E">
        <w:rPr>
          <w:b/>
          <w:bCs/>
          <w:color w:val="000000"/>
        </w:rPr>
        <w:t xml:space="preserve">in custody </w:t>
      </w:r>
      <w:r w:rsidR="009F40CB">
        <w:rPr>
          <w:b/>
          <w:bCs/>
          <w:color w:val="000000"/>
        </w:rPr>
        <w:t xml:space="preserve">and </w:t>
      </w:r>
      <w:r w:rsidR="00840208" w:rsidRPr="0088419E">
        <w:rPr>
          <w:b/>
          <w:bCs/>
          <w:color w:val="000000"/>
        </w:rPr>
        <w:t>fair tri</w:t>
      </w:r>
      <w:r w:rsidR="00001A53">
        <w:rPr>
          <w:b/>
          <w:bCs/>
          <w:color w:val="000000"/>
        </w:rPr>
        <w:t>a</w:t>
      </w:r>
      <w:r w:rsidR="00840208" w:rsidRPr="0088419E">
        <w:rPr>
          <w:b/>
          <w:bCs/>
          <w:color w:val="000000"/>
        </w:rPr>
        <w:t>l standards</w:t>
      </w:r>
      <w:r w:rsidR="00001A53">
        <w:rPr>
          <w:b/>
          <w:bCs/>
          <w:color w:val="000000"/>
        </w:rPr>
        <w:t xml:space="preserve"> according to international law</w:t>
      </w:r>
      <w:r w:rsidR="00840208" w:rsidRPr="0088419E">
        <w:rPr>
          <w:b/>
          <w:bCs/>
          <w:color w:val="000000"/>
        </w:rPr>
        <w:t xml:space="preserve">, including access to a lawyer of their choice, presumption of innocence, and </w:t>
      </w:r>
      <w:r w:rsidR="009F40CB">
        <w:rPr>
          <w:b/>
          <w:bCs/>
          <w:color w:val="000000"/>
        </w:rPr>
        <w:t>handing down proportionate sentences on those found guilty</w:t>
      </w:r>
      <w:r w:rsidR="00840208" w:rsidRPr="0088419E">
        <w:rPr>
          <w:b/>
          <w:bCs/>
          <w:color w:val="000000"/>
        </w:rPr>
        <w:t>.</w:t>
      </w:r>
      <w:r w:rsidR="002522F4" w:rsidRPr="0088419E">
        <w:rPr>
          <w:b/>
          <w:bCs/>
          <w:color w:val="000000"/>
        </w:rPr>
        <w:t xml:space="preserve"> The Committee further recommends that the State party carefully consider the root causes of such</w:t>
      </w:r>
      <w:r w:rsidR="009F40CB">
        <w:rPr>
          <w:b/>
          <w:bCs/>
          <w:color w:val="000000"/>
        </w:rPr>
        <w:t xml:space="preserve"> events, including</w:t>
      </w:r>
      <w:r w:rsidR="002522F4" w:rsidRPr="0088419E">
        <w:rPr>
          <w:b/>
          <w:bCs/>
          <w:color w:val="000000"/>
        </w:rPr>
        <w:t xml:space="preserve"> inter-ethnic violence</w:t>
      </w:r>
      <w:r w:rsidR="009F40CB">
        <w:rPr>
          <w:b/>
          <w:bCs/>
          <w:color w:val="000000"/>
        </w:rPr>
        <w:t xml:space="preserve">, </w:t>
      </w:r>
      <w:r w:rsidR="009F40CB" w:rsidRPr="00600D4F">
        <w:rPr>
          <w:b/>
          <w:bCs/>
          <w:color w:val="000000"/>
        </w:rPr>
        <w:t>and the reasons why t</w:t>
      </w:r>
      <w:r w:rsidR="0002070D">
        <w:rPr>
          <w:b/>
          <w:bCs/>
          <w:color w:val="000000"/>
        </w:rPr>
        <w:t>he situation</w:t>
      </w:r>
      <w:r w:rsidR="009F40CB" w:rsidRPr="00600D4F">
        <w:rPr>
          <w:b/>
          <w:bCs/>
          <w:color w:val="000000"/>
        </w:rPr>
        <w:t xml:space="preserve"> escalated</w:t>
      </w:r>
      <w:r w:rsidR="002522F4" w:rsidRPr="0088419E">
        <w:rPr>
          <w:b/>
          <w:bCs/>
          <w:color w:val="000000"/>
        </w:rPr>
        <w:t>.</w:t>
      </w:r>
    </w:p>
    <w:p w:rsidR="005A62EF" w:rsidRPr="0088419E" w:rsidRDefault="005A62EF" w:rsidP="009151AE">
      <w:pPr>
        <w:jc w:val="both"/>
        <w:rPr>
          <w:lang w:eastAsia="en-US"/>
        </w:rPr>
      </w:pPr>
    </w:p>
    <w:p w:rsidR="005A62EF" w:rsidRPr="00B71183" w:rsidRDefault="005A62EF" w:rsidP="009151AE">
      <w:pPr>
        <w:numPr>
          <w:ilvl w:val="0"/>
          <w:numId w:val="13"/>
        </w:numPr>
        <w:rPr>
          <w:rFonts w:eastAsia="Times New Roman"/>
          <w:lang w:eastAsia="de-DE" w:bidi="de-DE"/>
        </w:rPr>
      </w:pPr>
      <w:r w:rsidRPr="0088419E">
        <w:t xml:space="preserve">The Committee welcomes the measures </w:t>
      </w:r>
      <w:r w:rsidRPr="0088419E">
        <w:rPr>
          <w:rFonts w:eastAsia="Times New Roman"/>
          <w:lang w:eastAsia="de-DE" w:bidi="de-DE"/>
        </w:rPr>
        <w:t xml:space="preserve">taken by the State party to ensure fair and adequate representation of minorities in the administration, </w:t>
      </w:r>
      <w:r w:rsidR="00190747">
        <w:rPr>
          <w:rFonts w:eastAsia="Times New Roman"/>
          <w:lang w:eastAsia="de-DE" w:bidi="de-DE"/>
        </w:rPr>
        <w:t xml:space="preserve">the </w:t>
      </w:r>
      <w:r w:rsidRPr="0088419E">
        <w:rPr>
          <w:rFonts w:eastAsia="Times New Roman"/>
          <w:lang w:eastAsia="de-DE" w:bidi="de-DE"/>
        </w:rPr>
        <w:t>police force, and the military</w:t>
      </w:r>
      <w:r w:rsidR="00C17510" w:rsidRPr="0088419E">
        <w:rPr>
          <w:rFonts w:eastAsia="Times New Roman"/>
          <w:lang w:eastAsia="de-DE" w:bidi="de-DE"/>
        </w:rPr>
        <w:t>.</w:t>
      </w:r>
      <w:r w:rsidRPr="0088419E">
        <w:rPr>
          <w:rFonts w:eastAsia="Times New Roman"/>
          <w:lang w:eastAsia="de-DE" w:bidi="de-DE"/>
        </w:rPr>
        <w:t xml:space="preserve"> </w:t>
      </w:r>
      <w:r w:rsidR="00C17510" w:rsidRPr="0088419E">
        <w:rPr>
          <w:rFonts w:eastAsia="Times New Roman"/>
          <w:lang w:eastAsia="de-DE" w:bidi="de-DE"/>
        </w:rPr>
        <w:t>Notwithstanding</w:t>
      </w:r>
      <w:r w:rsidR="00C17510" w:rsidRPr="0088419E">
        <w:t xml:space="preserve"> </w:t>
      </w:r>
      <w:r w:rsidRPr="0088419E">
        <w:t xml:space="preserve">the data provided by the State party on the </w:t>
      </w:r>
      <w:r w:rsidR="00FC4E8D">
        <w:t>participation</w:t>
      </w:r>
      <w:r w:rsidR="00FC4E8D" w:rsidRPr="0088419E">
        <w:t xml:space="preserve"> </w:t>
      </w:r>
      <w:r w:rsidRPr="0088419E">
        <w:t>of ethnic minorities, including women, in public service and in decision-mak</w:t>
      </w:r>
      <w:r w:rsidR="00C17510" w:rsidRPr="0088419E">
        <w:t>ing positions in political life</w:t>
      </w:r>
      <w:r w:rsidRPr="0088419E">
        <w:rPr>
          <w:rFonts w:eastAsia="Times New Roman"/>
          <w:lang w:eastAsia="de-DE" w:bidi="de-DE"/>
        </w:rPr>
        <w:t>, the Committee is concerned about the continuing under-representation of minorities, particularly</w:t>
      </w:r>
      <w:r w:rsidRPr="0088419E">
        <w:t xml:space="preserve"> of</w:t>
      </w:r>
      <w:r w:rsidR="00040B4F">
        <w:t xml:space="preserve"> minority women, in public life</w:t>
      </w:r>
      <w:r w:rsidRPr="0088419E">
        <w:t>. (art. 5(c)) </w:t>
      </w:r>
    </w:p>
    <w:p w:rsidR="00B71183" w:rsidRPr="0088419E" w:rsidRDefault="00B71183" w:rsidP="009151AE">
      <w:pPr>
        <w:jc w:val="both"/>
        <w:rPr>
          <w:rFonts w:eastAsia="Times New Roman"/>
          <w:lang w:eastAsia="de-DE" w:bidi="de-DE"/>
        </w:rPr>
      </w:pPr>
    </w:p>
    <w:p w:rsidR="005A62EF" w:rsidRPr="0088419E" w:rsidRDefault="005A62EF" w:rsidP="009151AE">
      <w:pPr>
        <w:ind w:left="720"/>
        <w:rPr>
          <w:b/>
          <w:bCs/>
        </w:rPr>
      </w:pPr>
      <w:r w:rsidRPr="0088419E">
        <w:rPr>
          <w:b/>
          <w:bCs/>
          <w:color w:val="000000"/>
        </w:rPr>
        <w:t xml:space="preserve">The Committee recommends that the State party </w:t>
      </w:r>
      <w:r w:rsidRPr="0088419E">
        <w:rPr>
          <w:b/>
          <w:bCs/>
        </w:rPr>
        <w:t xml:space="preserve">intensify its efforts </w:t>
      </w:r>
      <w:r w:rsidRPr="0088419E">
        <w:rPr>
          <w:rFonts w:eastAsia="Times New Roman"/>
          <w:b/>
          <w:bCs/>
          <w:lang w:eastAsia="de-DE" w:bidi="de-DE"/>
        </w:rPr>
        <w:t>aimed at</w:t>
      </w:r>
      <w:r w:rsidR="002522F4" w:rsidRPr="0088419E">
        <w:rPr>
          <w:rFonts w:eastAsia="Times New Roman"/>
          <w:b/>
          <w:bCs/>
          <w:lang w:eastAsia="de-DE" w:bidi="de-DE"/>
        </w:rPr>
        <w:t xml:space="preserve"> </w:t>
      </w:r>
      <w:r w:rsidRPr="0088419E">
        <w:rPr>
          <w:rFonts w:eastAsia="Times New Roman"/>
          <w:b/>
          <w:bCs/>
          <w:lang w:eastAsia="de-DE" w:bidi="de-DE"/>
        </w:rPr>
        <w:t xml:space="preserve">fair and adequate </w:t>
      </w:r>
      <w:r w:rsidR="00FC4E8D" w:rsidRPr="00FC4E8D">
        <w:rPr>
          <w:b/>
          <w:bCs/>
        </w:rPr>
        <w:t>participation</w:t>
      </w:r>
      <w:r w:rsidR="00FC4E8D" w:rsidRPr="0088419E">
        <w:t xml:space="preserve"> </w:t>
      </w:r>
      <w:r w:rsidRPr="0088419E">
        <w:rPr>
          <w:rFonts w:eastAsia="Times New Roman"/>
          <w:b/>
          <w:bCs/>
          <w:lang w:eastAsia="de-DE" w:bidi="de-DE"/>
        </w:rPr>
        <w:t>of all minority groups in public service</w:t>
      </w:r>
      <w:r w:rsidR="00251545" w:rsidRPr="0088419E">
        <w:rPr>
          <w:rFonts w:eastAsia="Times New Roman"/>
          <w:b/>
          <w:bCs/>
          <w:lang w:eastAsia="de-DE" w:bidi="de-DE"/>
        </w:rPr>
        <w:t xml:space="preserve">, </w:t>
      </w:r>
      <w:r w:rsidR="00251545" w:rsidRPr="0088419E">
        <w:rPr>
          <w:b/>
          <w:bCs/>
          <w:color w:val="000000"/>
        </w:rPr>
        <w:t>including the military,</w:t>
      </w:r>
      <w:r w:rsidRPr="0088419E">
        <w:rPr>
          <w:rFonts w:eastAsia="Times New Roman"/>
          <w:b/>
          <w:bCs/>
          <w:lang w:eastAsia="de-DE" w:bidi="de-DE"/>
        </w:rPr>
        <w:t xml:space="preserve"> and political life</w:t>
      </w:r>
      <w:r w:rsidRPr="0088419E">
        <w:rPr>
          <w:b/>
          <w:bCs/>
          <w:color w:val="000000"/>
        </w:rPr>
        <w:t xml:space="preserve">. </w:t>
      </w:r>
      <w:r w:rsidRPr="0088419E">
        <w:rPr>
          <w:rFonts w:eastAsia="Times New Roman"/>
          <w:b/>
          <w:bCs/>
          <w:lang w:eastAsia="de-DE" w:bidi="de-DE"/>
        </w:rPr>
        <w:t xml:space="preserve">It also recommends </w:t>
      </w:r>
      <w:r w:rsidR="002522F4" w:rsidRPr="0088419E">
        <w:rPr>
          <w:rFonts w:eastAsia="Times New Roman"/>
          <w:b/>
          <w:bCs/>
          <w:lang w:eastAsia="de-DE" w:bidi="de-DE"/>
        </w:rPr>
        <w:t xml:space="preserve">that </w:t>
      </w:r>
      <w:r w:rsidRPr="0088419E">
        <w:rPr>
          <w:rFonts w:eastAsia="Times New Roman"/>
          <w:b/>
          <w:bCs/>
          <w:lang w:eastAsia="de-DE" w:bidi="de-DE"/>
        </w:rPr>
        <w:t>the State party encourag</w:t>
      </w:r>
      <w:r w:rsidR="00251545" w:rsidRPr="0088419E">
        <w:rPr>
          <w:rFonts w:eastAsia="Times New Roman"/>
          <w:b/>
          <w:bCs/>
          <w:lang w:eastAsia="de-DE" w:bidi="de-DE"/>
        </w:rPr>
        <w:t>e</w:t>
      </w:r>
      <w:r w:rsidRPr="0088419E">
        <w:rPr>
          <w:rFonts w:eastAsia="Times New Roman"/>
          <w:b/>
          <w:bCs/>
          <w:lang w:eastAsia="de-DE" w:bidi="de-DE"/>
        </w:rPr>
        <w:t xml:space="preserve"> minority women to become more active in public life</w:t>
      </w:r>
      <w:r w:rsidR="00251545" w:rsidRPr="0088419E">
        <w:rPr>
          <w:rFonts w:eastAsia="Times New Roman"/>
          <w:b/>
          <w:bCs/>
          <w:lang w:eastAsia="de-DE" w:bidi="de-DE"/>
        </w:rPr>
        <w:t xml:space="preserve"> and</w:t>
      </w:r>
      <w:r w:rsidRPr="0088419E">
        <w:rPr>
          <w:b/>
          <w:bCs/>
          <w:color w:val="000000"/>
        </w:rPr>
        <w:t xml:space="preserve"> draws the </w:t>
      </w:r>
      <w:r w:rsidR="00A74D81">
        <w:rPr>
          <w:b/>
          <w:bCs/>
          <w:color w:val="000000"/>
        </w:rPr>
        <w:t xml:space="preserve">attention of the </w:t>
      </w:r>
      <w:r w:rsidRPr="0088419E">
        <w:rPr>
          <w:b/>
          <w:bCs/>
          <w:color w:val="000000"/>
        </w:rPr>
        <w:t xml:space="preserve">State party to </w:t>
      </w:r>
      <w:r w:rsidR="00190747">
        <w:rPr>
          <w:b/>
          <w:bCs/>
          <w:color w:val="000000"/>
        </w:rPr>
        <w:t>its g</w:t>
      </w:r>
      <w:r w:rsidRPr="0088419E">
        <w:rPr>
          <w:b/>
          <w:bCs/>
          <w:color w:val="000000"/>
        </w:rPr>
        <w:t xml:space="preserve">eneral </w:t>
      </w:r>
      <w:r w:rsidR="00190747">
        <w:rPr>
          <w:b/>
          <w:bCs/>
          <w:color w:val="000000"/>
        </w:rPr>
        <w:t>r</w:t>
      </w:r>
      <w:r w:rsidRPr="0088419E">
        <w:rPr>
          <w:b/>
          <w:bCs/>
          <w:color w:val="000000"/>
        </w:rPr>
        <w:t xml:space="preserve">ecommendation </w:t>
      </w:r>
      <w:r w:rsidR="002C67D6">
        <w:rPr>
          <w:b/>
          <w:bCs/>
          <w:color w:val="000000"/>
        </w:rPr>
        <w:t>N</w:t>
      </w:r>
      <w:r w:rsidRPr="0088419E">
        <w:rPr>
          <w:b/>
          <w:bCs/>
          <w:color w:val="000000"/>
        </w:rPr>
        <w:t xml:space="preserve">o. 25 (2000) on </w:t>
      </w:r>
      <w:hyperlink r:id="rId9" w:history="1"/>
      <w:r w:rsidRPr="0088419E">
        <w:rPr>
          <w:b/>
          <w:bCs/>
          <w:color w:val="000000"/>
        </w:rPr>
        <w:t xml:space="preserve">gender-related dimensions of racial discrimination. </w:t>
      </w:r>
      <w:r w:rsidRPr="0088419E">
        <w:rPr>
          <w:b/>
          <w:bCs/>
        </w:rPr>
        <w:t xml:space="preserve">The Committee requests the State party to provide, in its next periodic report, more detailed information on the representation of ethnic minorities in public life, </w:t>
      </w:r>
      <w:r w:rsidR="00040B4F">
        <w:rPr>
          <w:b/>
          <w:bCs/>
        </w:rPr>
        <w:t xml:space="preserve">with an indication of the </w:t>
      </w:r>
      <w:r w:rsidR="00190747">
        <w:rPr>
          <w:b/>
          <w:bCs/>
        </w:rPr>
        <w:t xml:space="preserve">level of </w:t>
      </w:r>
      <w:r w:rsidR="00040B4F">
        <w:rPr>
          <w:b/>
          <w:bCs/>
        </w:rPr>
        <w:t>representation in higher-level positions</w:t>
      </w:r>
      <w:r w:rsidRPr="0088419E">
        <w:rPr>
          <w:b/>
          <w:bCs/>
        </w:rPr>
        <w:t>.</w:t>
      </w:r>
    </w:p>
    <w:p w:rsidR="005A62EF" w:rsidRPr="0088419E" w:rsidRDefault="005A62EF" w:rsidP="009151AE">
      <w:pPr>
        <w:ind w:left="360"/>
        <w:jc w:val="both"/>
        <w:rPr>
          <w:lang w:eastAsia="en-US"/>
        </w:rPr>
      </w:pPr>
    </w:p>
    <w:p w:rsidR="005A62EF" w:rsidRDefault="005A62EF" w:rsidP="009151AE">
      <w:pPr>
        <w:numPr>
          <w:ilvl w:val="0"/>
          <w:numId w:val="13"/>
        </w:numPr>
        <w:rPr>
          <w:lang w:eastAsia="en-US"/>
        </w:rPr>
      </w:pPr>
      <w:r w:rsidRPr="0088419E">
        <w:rPr>
          <w:lang w:eastAsia="en-US"/>
        </w:rPr>
        <w:t xml:space="preserve">Despite the delegation’s assurance that lawyers can exercise their profession freely and in accordance with the </w:t>
      </w:r>
      <w:r w:rsidRPr="00CD32DD">
        <w:rPr>
          <w:lang w:eastAsia="en-US"/>
        </w:rPr>
        <w:t>Lawyer</w:t>
      </w:r>
      <w:r w:rsidR="00CD32DD" w:rsidRPr="00CD32DD">
        <w:rPr>
          <w:lang w:eastAsia="en-US"/>
        </w:rPr>
        <w:t>s’</w:t>
      </w:r>
      <w:r w:rsidRPr="00CD32DD">
        <w:rPr>
          <w:lang w:eastAsia="en-US"/>
        </w:rPr>
        <w:t xml:space="preserve"> Law</w:t>
      </w:r>
      <w:r w:rsidRPr="0088419E">
        <w:rPr>
          <w:lang w:eastAsia="en-US"/>
        </w:rPr>
        <w:t>, the Committee notes with concern reports o</w:t>
      </w:r>
      <w:r w:rsidR="002522F4" w:rsidRPr="0088419E">
        <w:rPr>
          <w:lang w:eastAsia="en-US"/>
        </w:rPr>
        <w:t>n</w:t>
      </w:r>
      <w:r w:rsidRPr="0088419E">
        <w:rPr>
          <w:lang w:eastAsia="en-US"/>
        </w:rPr>
        <w:t xml:space="preserve"> </w:t>
      </w:r>
      <w:r w:rsidR="002522F4" w:rsidRPr="0088419E">
        <w:rPr>
          <w:lang w:eastAsia="en-US"/>
        </w:rPr>
        <w:t xml:space="preserve">the </w:t>
      </w:r>
      <w:r w:rsidRPr="0088419E">
        <w:rPr>
          <w:lang w:eastAsia="en-US"/>
        </w:rPr>
        <w:t>harassment of defen</w:t>
      </w:r>
      <w:r w:rsidR="00190747">
        <w:rPr>
          <w:lang w:eastAsia="en-US"/>
        </w:rPr>
        <w:t>c</w:t>
      </w:r>
      <w:r w:rsidRPr="0088419E">
        <w:rPr>
          <w:lang w:eastAsia="en-US"/>
        </w:rPr>
        <w:t xml:space="preserve">e lawyers taking up cases of human rights violations, </w:t>
      </w:r>
      <w:r w:rsidR="00FC4E8D">
        <w:rPr>
          <w:lang w:eastAsia="en-US"/>
        </w:rPr>
        <w:t>especially</w:t>
      </w:r>
      <w:r w:rsidR="00FC4E8D" w:rsidRPr="0088419E">
        <w:rPr>
          <w:lang w:eastAsia="en-US"/>
        </w:rPr>
        <w:t xml:space="preserve"> </w:t>
      </w:r>
      <w:r w:rsidRPr="0088419E">
        <w:rPr>
          <w:lang w:eastAsia="en-US"/>
        </w:rPr>
        <w:t xml:space="preserve">those </w:t>
      </w:r>
      <w:r w:rsidR="00FC4E8D">
        <w:rPr>
          <w:lang w:eastAsia="en-US"/>
        </w:rPr>
        <w:t>introduced by members of ethnic minorities</w:t>
      </w:r>
      <w:r w:rsidRPr="0088419E">
        <w:t>. I</w:t>
      </w:r>
      <w:r w:rsidR="002522F4" w:rsidRPr="0088419E">
        <w:t>n this regard, i</w:t>
      </w:r>
      <w:r w:rsidRPr="0088419E">
        <w:t xml:space="preserve">t also notes that the </w:t>
      </w:r>
      <w:r w:rsidR="00667A96">
        <w:t xml:space="preserve">National Human Rights Action Plan expresses the </w:t>
      </w:r>
      <w:r w:rsidR="00A74D81">
        <w:t xml:space="preserve">intention of the </w:t>
      </w:r>
      <w:r w:rsidRPr="0088419E">
        <w:t>State party to revise or amend any laws incompatible with the Lawyers Law. (art. 5(d))</w:t>
      </w:r>
    </w:p>
    <w:p w:rsidR="00CD3580" w:rsidRPr="0088419E" w:rsidRDefault="00CD3580" w:rsidP="009151AE">
      <w:pPr>
        <w:jc w:val="both"/>
        <w:rPr>
          <w:lang w:eastAsia="en-US"/>
        </w:rPr>
      </w:pPr>
    </w:p>
    <w:p w:rsidR="005A62EF" w:rsidRPr="0088419E" w:rsidRDefault="005A62EF" w:rsidP="009151AE">
      <w:pPr>
        <w:ind w:left="720"/>
        <w:rPr>
          <w:b/>
          <w:bCs/>
          <w:lang w:eastAsia="en-US"/>
        </w:rPr>
      </w:pPr>
      <w:r w:rsidRPr="0088419E">
        <w:rPr>
          <w:b/>
          <w:bCs/>
          <w:lang w:eastAsia="en-US"/>
        </w:rPr>
        <w:t xml:space="preserve">The Committee </w:t>
      </w:r>
      <w:r w:rsidR="0091234A">
        <w:rPr>
          <w:b/>
          <w:bCs/>
          <w:lang w:eastAsia="en-US"/>
        </w:rPr>
        <w:t>call</w:t>
      </w:r>
      <w:r w:rsidR="0091234A" w:rsidRPr="0088419E">
        <w:rPr>
          <w:b/>
          <w:bCs/>
          <w:lang w:eastAsia="en-US"/>
        </w:rPr>
        <w:t xml:space="preserve">s </w:t>
      </w:r>
      <w:r w:rsidR="0091234A">
        <w:rPr>
          <w:b/>
          <w:bCs/>
          <w:lang w:eastAsia="en-US"/>
        </w:rPr>
        <w:t>upon</w:t>
      </w:r>
      <w:r w:rsidR="0091234A" w:rsidRPr="0088419E" w:rsidDel="0091234A">
        <w:rPr>
          <w:b/>
          <w:bCs/>
          <w:lang w:eastAsia="en-US"/>
        </w:rPr>
        <w:t xml:space="preserve"> </w:t>
      </w:r>
      <w:r w:rsidRPr="0088419E">
        <w:rPr>
          <w:b/>
          <w:bCs/>
          <w:lang w:eastAsia="en-US"/>
        </w:rPr>
        <w:t xml:space="preserve">the State party to take all appropriate measures to ensure that lawyers can exercise their profession freely, in law and in practice, and to </w:t>
      </w:r>
      <w:r w:rsidR="00251545" w:rsidRPr="0088419E">
        <w:rPr>
          <w:b/>
          <w:bCs/>
          <w:lang w:eastAsia="en-US"/>
        </w:rPr>
        <w:t xml:space="preserve">promptly and impartially </w:t>
      </w:r>
      <w:r w:rsidRPr="0088419E">
        <w:rPr>
          <w:b/>
          <w:bCs/>
          <w:lang w:eastAsia="en-US"/>
        </w:rPr>
        <w:t xml:space="preserve">investigate all allegations of harassment, intimidation, or other acts impeding the work of lawyers. In line with the chapter on the right to a fair trial in the </w:t>
      </w:r>
      <w:r w:rsidR="00A96823">
        <w:rPr>
          <w:b/>
          <w:bCs/>
          <w:lang w:eastAsia="en-US"/>
        </w:rPr>
        <w:t>N</w:t>
      </w:r>
      <w:r w:rsidRPr="0088419E">
        <w:rPr>
          <w:b/>
          <w:bCs/>
          <w:lang w:eastAsia="en-US"/>
        </w:rPr>
        <w:t xml:space="preserve">ational </w:t>
      </w:r>
      <w:r w:rsidR="00A96823">
        <w:rPr>
          <w:b/>
          <w:bCs/>
          <w:lang w:eastAsia="en-US"/>
        </w:rPr>
        <w:t>H</w:t>
      </w:r>
      <w:r w:rsidRPr="0088419E">
        <w:rPr>
          <w:b/>
          <w:bCs/>
          <w:lang w:eastAsia="en-US"/>
        </w:rPr>
        <w:t xml:space="preserve">uman </w:t>
      </w:r>
      <w:r w:rsidR="00A96823">
        <w:rPr>
          <w:b/>
          <w:bCs/>
          <w:lang w:eastAsia="en-US"/>
        </w:rPr>
        <w:t>R</w:t>
      </w:r>
      <w:r w:rsidRPr="0088419E">
        <w:rPr>
          <w:b/>
          <w:bCs/>
          <w:lang w:eastAsia="en-US"/>
        </w:rPr>
        <w:t xml:space="preserve">ights </w:t>
      </w:r>
      <w:r w:rsidR="00A96823">
        <w:rPr>
          <w:b/>
          <w:bCs/>
          <w:lang w:eastAsia="en-US"/>
        </w:rPr>
        <w:t>A</w:t>
      </w:r>
      <w:r w:rsidRPr="0088419E">
        <w:rPr>
          <w:b/>
          <w:bCs/>
          <w:lang w:eastAsia="en-US"/>
        </w:rPr>
        <w:t xml:space="preserve">ction </w:t>
      </w:r>
      <w:r w:rsidR="00A96823">
        <w:rPr>
          <w:b/>
          <w:bCs/>
          <w:lang w:eastAsia="en-US"/>
        </w:rPr>
        <w:t>P</w:t>
      </w:r>
      <w:r w:rsidRPr="0088419E">
        <w:rPr>
          <w:b/>
          <w:bCs/>
          <w:lang w:eastAsia="en-US"/>
        </w:rPr>
        <w:t xml:space="preserve">lan, it recommends that the State party revise </w:t>
      </w:r>
      <w:r w:rsidR="002522F4" w:rsidRPr="0088419E">
        <w:rPr>
          <w:b/>
          <w:bCs/>
          <w:lang w:eastAsia="en-US"/>
        </w:rPr>
        <w:t xml:space="preserve">all </w:t>
      </w:r>
      <w:r w:rsidRPr="0088419E">
        <w:rPr>
          <w:b/>
          <w:bCs/>
        </w:rPr>
        <w:t>laws</w:t>
      </w:r>
      <w:r w:rsidR="002522F4" w:rsidRPr="0088419E">
        <w:rPr>
          <w:b/>
          <w:bCs/>
        </w:rPr>
        <w:t xml:space="preserve"> and</w:t>
      </w:r>
      <w:r w:rsidRPr="0088419E">
        <w:rPr>
          <w:b/>
          <w:bCs/>
        </w:rPr>
        <w:t xml:space="preserve"> regulations that are inconsistent with the </w:t>
      </w:r>
      <w:r w:rsidRPr="00CD32DD">
        <w:rPr>
          <w:b/>
          <w:bCs/>
        </w:rPr>
        <w:t>Lawyers</w:t>
      </w:r>
      <w:r w:rsidR="00CD32DD" w:rsidRPr="00CD32DD">
        <w:rPr>
          <w:b/>
          <w:bCs/>
        </w:rPr>
        <w:t>’</w:t>
      </w:r>
      <w:r w:rsidRPr="00CD32DD">
        <w:rPr>
          <w:b/>
          <w:bCs/>
        </w:rPr>
        <w:t xml:space="preserve"> Law</w:t>
      </w:r>
      <w:r w:rsidR="00001A53">
        <w:rPr>
          <w:b/>
          <w:bCs/>
        </w:rPr>
        <w:t xml:space="preserve"> and international standards</w:t>
      </w:r>
      <w:r w:rsidRPr="0088419E">
        <w:rPr>
          <w:b/>
          <w:bCs/>
          <w:lang w:eastAsia="en-US"/>
        </w:rPr>
        <w:t>.</w:t>
      </w:r>
    </w:p>
    <w:p w:rsidR="005A62EF" w:rsidRPr="0088419E" w:rsidRDefault="005A62EF" w:rsidP="009151AE">
      <w:pPr>
        <w:ind w:left="720"/>
        <w:jc w:val="both"/>
        <w:rPr>
          <w:b/>
          <w:bCs/>
          <w:lang w:eastAsia="en-US"/>
        </w:rPr>
      </w:pPr>
    </w:p>
    <w:p w:rsidR="005A62EF" w:rsidRDefault="005A62EF" w:rsidP="009151AE">
      <w:pPr>
        <w:numPr>
          <w:ilvl w:val="0"/>
          <w:numId w:val="13"/>
        </w:numPr>
        <w:tabs>
          <w:tab w:val="clear" w:pos="851"/>
          <w:tab w:val="num" w:pos="0"/>
        </w:tabs>
        <w:jc w:val="both"/>
        <w:rPr>
          <w:lang w:eastAsia="en-US"/>
        </w:rPr>
      </w:pPr>
      <w:r w:rsidRPr="0088419E">
        <w:rPr>
          <w:lang w:eastAsia="en-US"/>
        </w:rPr>
        <w:t xml:space="preserve">Notwithstanding the assurances provided by the State party delegation, the Committee remains concerned about reports that members of some minority groups </w:t>
      </w:r>
      <w:r w:rsidRPr="0088419E">
        <w:t>do not fully enjoy freedom of religion</w:t>
      </w:r>
      <w:r w:rsidRPr="0088419E">
        <w:rPr>
          <w:lang w:eastAsia="en-US"/>
        </w:rPr>
        <w:t>. (art. 5(d))</w:t>
      </w:r>
    </w:p>
    <w:p w:rsidR="00CD3580" w:rsidRPr="0088419E" w:rsidRDefault="00CD3580" w:rsidP="009151AE">
      <w:pPr>
        <w:ind w:left="357"/>
        <w:jc w:val="both"/>
        <w:rPr>
          <w:lang w:eastAsia="en-US"/>
        </w:rPr>
      </w:pPr>
    </w:p>
    <w:p w:rsidR="005A62EF" w:rsidRPr="0088419E" w:rsidRDefault="005A62EF" w:rsidP="009151AE">
      <w:pPr>
        <w:ind w:left="720"/>
        <w:rPr>
          <w:b/>
          <w:bCs/>
          <w:lang w:eastAsia="en-US"/>
        </w:rPr>
      </w:pPr>
      <w:r w:rsidRPr="0088419E">
        <w:rPr>
          <w:b/>
          <w:bCs/>
          <w:lang w:eastAsia="en-US"/>
        </w:rPr>
        <w:t>T</w:t>
      </w:r>
      <w:r w:rsidR="00835080">
        <w:rPr>
          <w:b/>
          <w:bCs/>
          <w:lang w:eastAsia="en-US"/>
        </w:rPr>
        <w:t>aking into account the intersectionality between ethnicity and religion, t</w:t>
      </w:r>
      <w:r w:rsidRPr="0088419E">
        <w:rPr>
          <w:b/>
          <w:bCs/>
          <w:lang w:eastAsia="en-US"/>
        </w:rPr>
        <w:t xml:space="preserve">he Committee recommends that the State party ensure </w:t>
      </w:r>
      <w:r w:rsidRPr="0088419E">
        <w:rPr>
          <w:b/>
          <w:bCs/>
        </w:rPr>
        <w:t>respect for the right of members of all ethnic groups to freely enjoy freedom of religion.</w:t>
      </w:r>
    </w:p>
    <w:p w:rsidR="005A62EF" w:rsidRPr="0088419E" w:rsidRDefault="005A62EF" w:rsidP="009151AE">
      <w:pPr>
        <w:ind w:left="720"/>
        <w:jc w:val="both"/>
        <w:rPr>
          <w:b/>
          <w:bCs/>
          <w:lang w:eastAsia="en-US"/>
        </w:rPr>
      </w:pPr>
    </w:p>
    <w:p w:rsidR="005A62EF" w:rsidRPr="00CD3580" w:rsidRDefault="005A62EF" w:rsidP="009151AE">
      <w:pPr>
        <w:numPr>
          <w:ilvl w:val="0"/>
          <w:numId w:val="13"/>
        </w:numPr>
        <w:rPr>
          <w:rFonts w:eastAsia="Times New Roman"/>
          <w:lang w:eastAsia="de-DE" w:bidi="de-DE"/>
        </w:rPr>
      </w:pPr>
      <w:r w:rsidRPr="0088419E">
        <w:rPr>
          <w:lang w:eastAsia="en-US"/>
        </w:rPr>
        <w:t xml:space="preserve">While welcoming the measures taken to eliminate economic development disparities between different regions, the Committee </w:t>
      </w:r>
      <w:r w:rsidRPr="0088419E">
        <w:rPr>
          <w:rFonts w:eastAsia="Times New Roman"/>
          <w:lang w:eastAsia="de-DE" w:bidi="de-DE"/>
        </w:rPr>
        <w:t xml:space="preserve">notes that the </w:t>
      </w:r>
      <w:r w:rsidR="00190747">
        <w:rPr>
          <w:rFonts w:eastAsia="Times New Roman"/>
          <w:lang w:eastAsia="de-DE" w:bidi="de-DE"/>
        </w:rPr>
        <w:t>w</w:t>
      </w:r>
      <w:r w:rsidRPr="0088419E">
        <w:rPr>
          <w:rFonts w:eastAsia="Times New Roman"/>
          <w:lang w:eastAsia="de-DE" w:bidi="de-DE"/>
        </w:rPr>
        <w:t xml:space="preserve">estern provinces and regions </w:t>
      </w:r>
      <w:r w:rsidRPr="0088419E">
        <w:rPr>
          <w:rFonts w:eastAsia="Times New Roman"/>
          <w:bCs/>
          <w:lang w:eastAsia="de-DE" w:bidi="de-DE"/>
        </w:rPr>
        <w:t>that are inhabited by the most numerous minorities</w:t>
      </w:r>
      <w:r w:rsidRPr="0088419E">
        <w:rPr>
          <w:rFonts w:eastAsia="Times New Roman"/>
          <w:lang w:eastAsia="de-DE" w:bidi="de-DE"/>
        </w:rPr>
        <w:t xml:space="preserve"> continue to be economically underdeveloped. </w:t>
      </w:r>
      <w:r w:rsidR="0066218B" w:rsidRPr="0088419E">
        <w:rPr>
          <w:rFonts w:eastAsia="Times New Roman"/>
          <w:lang w:eastAsia="de-DE" w:bidi="de-DE"/>
        </w:rPr>
        <w:t>However, i</w:t>
      </w:r>
      <w:r w:rsidRPr="0088419E">
        <w:rPr>
          <w:lang w:eastAsia="en-US"/>
        </w:rPr>
        <w:t xml:space="preserve">t also reiterates its previous observation (A/56/18, para. 243) that economic </w:t>
      </w:r>
      <w:r w:rsidR="009001BD">
        <w:rPr>
          <w:lang w:eastAsia="en-US"/>
        </w:rPr>
        <w:t>growth</w:t>
      </w:r>
      <w:r w:rsidR="009001BD" w:rsidRPr="0088419E">
        <w:rPr>
          <w:lang w:eastAsia="en-US"/>
        </w:rPr>
        <w:t xml:space="preserve"> </w:t>
      </w:r>
      <w:r w:rsidRPr="0088419E">
        <w:rPr>
          <w:lang w:eastAsia="en-US"/>
        </w:rPr>
        <w:t xml:space="preserve">in minority regions, </w:t>
      </w:r>
      <w:r w:rsidRPr="00190747">
        <w:rPr>
          <w:lang w:eastAsia="en-US"/>
        </w:rPr>
        <w:t>ipso facto</w:t>
      </w:r>
      <w:r w:rsidRPr="0088419E">
        <w:rPr>
          <w:lang w:eastAsia="en-US"/>
        </w:rPr>
        <w:t>, is not tantamount to the equal enjoyment of economic, social and cultural rights in accordance with article 5</w:t>
      </w:r>
      <w:r w:rsidR="00190747">
        <w:rPr>
          <w:lang w:eastAsia="en-US"/>
        </w:rPr>
        <w:t xml:space="preserve"> </w:t>
      </w:r>
      <w:r w:rsidRPr="0088419E">
        <w:rPr>
          <w:lang w:eastAsia="en-US"/>
        </w:rPr>
        <w:t>(e) of the Convention. (art. 5</w:t>
      </w:r>
      <w:r w:rsidR="00190747">
        <w:rPr>
          <w:lang w:eastAsia="en-US"/>
        </w:rPr>
        <w:t xml:space="preserve"> </w:t>
      </w:r>
      <w:r w:rsidRPr="0088419E">
        <w:rPr>
          <w:lang w:eastAsia="en-US"/>
        </w:rPr>
        <w:t>(e))</w:t>
      </w:r>
    </w:p>
    <w:p w:rsidR="00CD3580" w:rsidRPr="0088419E" w:rsidRDefault="00CD3580" w:rsidP="009151AE">
      <w:pPr>
        <w:jc w:val="both"/>
        <w:rPr>
          <w:rFonts w:eastAsia="Times New Roman"/>
          <w:lang w:eastAsia="de-DE" w:bidi="de-DE"/>
        </w:rPr>
      </w:pPr>
    </w:p>
    <w:p w:rsidR="005A62EF" w:rsidRPr="0088419E" w:rsidRDefault="005A62EF" w:rsidP="009151AE">
      <w:pPr>
        <w:ind w:left="1134"/>
        <w:rPr>
          <w:b/>
          <w:bCs/>
          <w:lang w:eastAsia="en-US"/>
        </w:rPr>
      </w:pPr>
      <w:r w:rsidRPr="0088419E">
        <w:rPr>
          <w:rFonts w:eastAsia="Times New Roman"/>
          <w:b/>
          <w:bCs/>
          <w:lang w:eastAsia="de-DE" w:bidi="de-DE"/>
        </w:rPr>
        <w:t xml:space="preserve">The Committee recommends that the State party continue to intensify its efforts aimed at creating conditions for sustainable development in the </w:t>
      </w:r>
      <w:r w:rsidR="00190747">
        <w:rPr>
          <w:rFonts w:eastAsia="Times New Roman"/>
          <w:b/>
          <w:bCs/>
          <w:lang w:eastAsia="de-DE" w:bidi="de-DE"/>
        </w:rPr>
        <w:t>w</w:t>
      </w:r>
      <w:r w:rsidRPr="0088419E">
        <w:rPr>
          <w:rFonts w:eastAsia="Times New Roman"/>
          <w:b/>
          <w:bCs/>
          <w:lang w:eastAsia="de-DE" w:bidi="de-DE"/>
        </w:rPr>
        <w:t xml:space="preserve">estern areas </w:t>
      </w:r>
      <w:r w:rsidR="00B2159E" w:rsidRPr="0088419E">
        <w:rPr>
          <w:rFonts w:eastAsia="Times New Roman"/>
          <w:b/>
          <w:bCs/>
          <w:lang w:eastAsia="de-DE" w:bidi="de-DE"/>
        </w:rPr>
        <w:t xml:space="preserve">and to </w:t>
      </w:r>
      <w:r w:rsidRPr="0088419E">
        <w:rPr>
          <w:rFonts w:eastAsia="Times New Roman"/>
          <w:b/>
          <w:bCs/>
          <w:lang w:eastAsia="de-DE" w:bidi="de-DE"/>
        </w:rPr>
        <w:t>eliminat</w:t>
      </w:r>
      <w:r w:rsidR="00B2159E" w:rsidRPr="0088419E">
        <w:rPr>
          <w:rFonts w:eastAsia="Times New Roman"/>
          <w:b/>
          <w:bCs/>
          <w:lang w:eastAsia="de-DE" w:bidi="de-DE"/>
        </w:rPr>
        <w:t>e</w:t>
      </w:r>
      <w:r w:rsidRPr="0088419E">
        <w:rPr>
          <w:rFonts w:eastAsia="Times New Roman"/>
          <w:b/>
          <w:bCs/>
          <w:lang w:eastAsia="de-DE" w:bidi="de-DE"/>
        </w:rPr>
        <w:t xml:space="preserve"> economic and social disparities between </w:t>
      </w:r>
      <w:r w:rsidR="00B2159E" w:rsidRPr="0088419E">
        <w:rPr>
          <w:rFonts w:eastAsia="Times New Roman"/>
          <w:b/>
          <w:bCs/>
          <w:lang w:eastAsia="de-DE" w:bidi="de-DE"/>
        </w:rPr>
        <w:t xml:space="preserve">the </w:t>
      </w:r>
      <w:r w:rsidRPr="0088419E">
        <w:rPr>
          <w:rFonts w:eastAsia="Times New Roman"/>
          <w:b/>
          <w:bCs/>
          <w:lang w:eastAsia="de-DE" w:bidi="de-DE"/>
        </w:rPr>
        <w:t xml:space="preserve">regions. It also </w:t>
      </w:r>
      <w:r w:rsidRPr="0088419E">
        <w:rPr>
          <w:b/>
          <w:bCs/>
          <w:lang w:eastAsia="en-US"/>
        </w:rPr>
        <w:t>request</w:t>
      </w:r>
      <w:r w:rsidR="00B2159E" w:rsidRPr="0088419E">
        <w:rPr>
          <w:b/>
          <w:bCs/>
          <w:lang w:eastAsia="en-US"/>
        </w:rPr>
        <w:t>s</w:t>
      </w:r>
      <w:r w:rsidRPr="0088419E">
        <w:rPr>
          <w:b/>
          <w:bCs/>
          <w:lang w:eastAsia="en-US"/>
        </w:rPr>
        <w:t xml:space="preserve"> that the State party provide further information on the enjoyment of economic, social and cultural rights by all </w:t>
      </w:r>
      <w:r w:rsidR="00B2159E" w:rsidRPr="0088419E">
        <w:rPr>
          <w:b/>
          <w:bCs/>
          <w:lang w:eastAsia="en-US"/>
        </w:rPr>
        <w:t xml:space="preserve">ethnic groups </w:t>
      </w:r>
      <w:r w:rsidRPr="0088419E">
        <w:rPr>
          <w:b/>
          <w:bCs/>
          <w:lang w:eastAsia="en-US"/>
        </w:rPr>
        <w:t xml:space="preserve">of the State party and the effectiveness of the measures taken to ensure that all minority groups benefit from the economic growth. </w:t>
      </w:r>
      <w:r w:rsidR="00B2159E" w:rsidRPr="0088419E">
        <w:rPr>
          <w:b/>
          <w:bCs/>
          <w:lang w:eastAsia="en-US"/>
        </w:rPr>
        <w:t>At the same time</w:t>
      </w:r>
      <w:r w:rsidRPr="0088419E">
        <w:rPr>
          <w:b/>
          <w:bCs/>
          <w:lang w:eastAsia="en-US"/>
        </w:rPr>
        <w:t>, it reiterates its recommendation that the State party take all necessary steps to fully ensure the promotion of and respect for local and regional cultures and traditions.</w:t>
      </w:r>
    </w:p>
    <w:p w:rsidR="005A62EF" w:rsidRPr="0088419E" w:rsidRDefault="005A62EF" w:rsidP="009151AE">
      <w:pPr>
        <w:ind w:left="360"/>
        <w:jc w:val="both"/>
        <w:rPr>
          <w:lang w:eastAsia="en-US"/>
        </w:rPr>
      </w:pPr>
    </w:p>
    <w:p w:rsidR="005A62EF" w:rsidRDefault="005A62EF" w:rsidP="009151AE">
      <w:pPr>
        <w:numPr>
          <w:ilvl w:val="0"/>
          <w:numId w:val="13"/>
        </w:numPr>
        <w:rPr>
          <w:lang w:eastAsia="en-US"/>
        </w:rPr>
      </w:pPr>
      <w:r w:rsidRPr="0088419E">
        <w:rPr>
          <w:lang w:eastAsia="en-US"/>
        </w:rPr>
        <w:t>The Committee has taken note of the policy of bilingual education for ethnic minorities</w:t>
      </w:r>
      <w:r w:rsidR="00A74D81">
        <w:rPr>
          <w:lang w:eastAsia="en-US"/>
        </w:rPr>
        <w:t xml:space="preserve"> of the State party</w:t>
      </w:r>
      <w:r w:rsidR="0066218B" w:rsidRPr="0088419E">
        <w:rPr>
          <w:lang w:eastAsia="en-US"/>
        </w:rPr>
        <w:t>,</w:t>
      </w:r>
      <w:r w:rsidRPr="0088419E">
        <w:rPr>
          <w:lang w:eastAsia="en-US"/>
        </w:rPr>
        <w:t xml:space="preserve"> </w:t>
      </w:r>
      <w:r w:rsidR="0066218B" w:rsidRPr="0088419E">
        <w:rPr>
          <w:lang w:eastAsia="en-US"/>
        </w:rPr>
        <w:t>including</w:t>
      </w:r>
      <w:r w:rsidRPr="0088419E">
        <w:rPr>
          <w:lang w:eastAsia="en-US"/>
        </w:rPr>
        <w:t xml:space="preserve"> the range of bilingual teaching models. It is </w:t>
      </w:r>
      <w:r w:rsidR="002E0FBC">
        <w:rPr>
          <w:lang w:eastAsia="en-US"/>
        </w:rPr>
        <w:t xml:space="preserve">however </w:t>
      </w:r>
      <w:r w:rsidRPr="0088419E">
        <w:rPr>
          <w:lang w:eastAsia="en-US"/>
        </w:rPr>
        <w:t>concerned at reports that in practice Mandarin is the sole language of instruction</w:t>
      </w:r>
      <w:r w:rsidR="0066218B" w:rsidRPr="0088419E">
        <w:rPr>
          <w:lang w:eastAsia="en-US"/>
        </w:rPr>
        <w:t xml:space="preserve"> in many schools in the autonomous minority provinces</w:t>
      </w:r>
      <w:r w:rsidRPr="0088419E">
        <w:rPr>
          <w:lang w:eastAsia="en-US"/>
        </w:rPr>
        <w:t xml:space="preserve">, especially </w:t>
      </w:r>
      <w:r w:rsidR="003A09B6">
        <w:rPr>
          <w:lang w:eastAsia="en-US"/>
        </w:rPr>
        <w:t>at</w:t>
      </w:r>
      <w:r w:rsidRPr="0088419E">
        <w:rPr>
          <w:lang w:eastAsia="en-US"/>
        </w:rPr>
        <w:t xml:space="preserve"> </w:t>
      </w:r>
      <w:r w:rsidR="0066218B" w:rsidRPr="0088419E">
        <w:rPr>
          <w:lang w:eastAsia="en-US"/>
        </w:rPr>
        <w:t>secondary and higher</w:t>
      </w:r>
      <w:r w:rsidRPr="0088419E">
        <w:rPr>
          <w:lang w:eastAsia="en-US"/>
        </w:rPr>
        <w:t xml:space="preserve"> level</w:t>
      </w:r>
      <w:r w:rsidR="0066218B" w:rsidRPr="0088419E">
        <w:rPr>
          <w:lang w:eastAsia="en-US"/>
        </w:rPr>
        <w:t>s of education</w:t>
      </w:r>
      <w:r w:rsidRPr="0088419E">
        <w:rPr>
          <w:lang w:eastAsia="en-US"/>
        </w:rPr>
        <w:t>. While noting with appreciation the increase in school enrolment rates in minority regions and the various measures adopted to enable access to education for members of ethnic minorities, it reiterates its concern (A/56/18, para. 245) about remaining disparities for ethnic minority children in accessing education, which is often linked to the availability of teaching in Mandarin only. (art. 5</w:t>
      </w:r>
      <w:r w:rsidR="003A09B6">
        <w:rPr>
          <w:lang w:eastAsia="en-US"/>
        </w:rPr>
        <w:t xml:space="preserve"> </w:t>
      </w:r>
      <w:r w:rsidRPr="0088419E">
        <w:rPr>
          <w:lang w:eastAsia="en-US"/>
        </w:rPr>
        <w:t>(e))</w:t>
      </w:r>
    </w:p>
    <w:p w:rsidR="003A09B6" w:rsidRPr="0088419E" w:rsidRDefault="003A09B6" w:rsidP="009151AE">
      <w:pPr>
        <w:rPr>
          <w:lang w:eastAsia="en-US"/>
        </w:rPr>
      </w:pPr>
    </w:p>
    <w:p w:rsidR="005A62EF" w:rsidRPr="00352BA3" w:rsidRDefault="005A62EF" w:rsidP="009151AE">
      <w:pPr>
        <w:autoSpaceDE w:val="0"/>
        <w:autoSpaceDN w:val="0"/>
        <w:adjustRightInd w:val="0"/>
        <w:ind w:left="720"/>
        <w:rPr>
          <w:sz w:val="20"/>
          <w:szCs w:val="20"/>
        </w:rPr>
      </w:pPr>
      <w:r w:rsidRPr="0088419E">
        <w:rPr>
          <w:b/>
          <w:bCs/>
          <w:lang w:eastAsia="en-US"/>
        </w:rPr>
        <w:t xml:space="preserve">The Committee </w:t>
      </w:r>
      <w:r w:rsidR="00835080">
        <w:rPr>
          <w:b/>
          <w:bCs/>
          <w:lang w:eastAsia="en-US"/>
        </w:rPr>
        <w:t>recommends</w:t>
      </w:r>
      <w:r w:rsidR="00835080" w:rsidRPr="0088419E">
        <w:rPr>
          <w:b/>
          <w:bCs/>
          <w:lang w:eastAsia="en-US"/>
        </w:rPr>
        <w:t xml:space="preserve"> </w:t>
      </w:r>
      <w:r w:rsidRPr="0088419E">
        <w:rPr>
          <w:b/>
          <w:bCs/>
          <w:lang w:eastAsia="en-US"/>
        </w:rPr>
        <w:t xml:space="preserve">the State party to intensify its efforts to ensure the implementation of legislation and policies on bilingual education at all </w:t>
      </w:r>
      <w:r w:rsidR="003A09B6">
        <w:rPr>
          <w:b/>
          <w:bCs/>
          <w:lang w:eastAsia="en-US"/>
        </w:rPr>
        <w:t xml:space="preserve">levels  of </w:t>
      </w:r>
      <w:r w:rsidRPr="0088419E">
        <w:rPr>
          <w:b/>
          <w:bCs/>
          <w:lang w:eastAsia="en-US"/>
        </w:rPr>
        <w:t>education</w:t>
      </w:r>
      <w:r w:rsidR="00835080">
        <w:rPr>
          <w:b/>
          <w:bCs/>
          <w:lang w:eastAsia="en-US"/>
        </w:rPr>
        <w:t>, taking into account the relevant recommendations of the Forum on Minority Issues</w:t>
      </w:r>
      <w:r w:rsidR="00352BA3" w:rsidRPr="00352BA3">
        <w:t xml:space="preserve"> </w:t>
      </w:r>
      <w:r w:rsidR="003E6F3F" w:rsidRPr="003E6F3F">
        <w:rPr>
          <w:b/>
          <w:bCs/>
        </w:rPr>
        <w:t>of 15 and 16 December 2008</w:t>
      </w:r>
      <w:r w:rsidR="003E6F3F">
        <w:t xml:space="preserve"> </w:t>
      </w:r>
      <w:r w:rsidR="00FE400C" w:rsidRPr="00FE400C">
        <w:rPr>
          <w:b/>
          <w:bCs/>
        </w:rPr>
        <w:t>(</w:t>
      </w:r>
      <w:r w:rsidR="00352BA3" w:rsidRPr="00FE400C">
        <w:rPr>
          <w:b/>
          <w:bCs/>
        </w:rPr>
        <w:t>A/HRC/10/11/Add.1</w:t>
      </w:r>
      <w:r w:rsidR="00352BA3">
        <w:rPr>
          <w:sz w:val="20"/>
          <w:szCs w:val="20"/>
        </w:rPr>
        <w:t>)</w:t>
      </w:r>
      <w:r w:rsidRPr="0088419E">
        <w:rPr>
          <w:b/>
          <w:bCs/>
          <w:lang w:eastAsia="en-US"/>
        </w:rPr>
        <w:t>. It also recommends</w:t>
      </w:r>
      <w:r w:rsidR="00B2159E" w:rsidRPr="0088419E">
        <w:rPr>
          <w:b/>
          <w:bCs/>
          <w:lang w:eastAsia="en-US"/>
        </w:rPr>
        <w:t xml:space="preserve"> that</w:t>
      </w:r>
      <w:r w:rsidRPr="0088419E">
        <w:rPr>
          <w:b/>
          <w:bCs/>
          <w:lang w:eastAsia="en-US"/>
        </w:rPr>
        <w:t xml:space="preserve"> the State party ensure that special measures adopted to promote access to education </w:t>
      </w:r>
      <w:r w:rsidR="003A09B6">
        <w:rPr>
          <w:b/>
          <w:bCs/>
          <w:lang w:eastAsia="en-US"/>
        </w:rPr>
        <w:t xml:space="preserve">for </w:t>
      </w:r>
      <w:r w:rsidRPr="0088419E">
        <w:rPr>
          <w:b/>
          <w:bCs/>
          <w:lang w:eastAsia="en-US"/>
        </w:rPr>
        <w:t xml:space="preserve">children of ethnic minorities, such as scholarships or lower entry qualification, are available in practice. It also requests the State party to provide detailed information, including disaggregated statistics on enrolment in primary, secondary and higher education of </w:t>
      </w:r>
      <w:r w:rsidR="00835080">
        <w:rPr>
          <w:b/>
          <w:bCs/>
          <w:lang w:eastAsia="en-US"/>
        </w:rPr>
        <w:t xml:space="preserve">members of </w:t>
      </w:r>
      <w:r w:rsidRPr="0088419E">
        <w:rPr>
          <w:b/>
          <w:bCs/>
          <w:lang w:eastAsia="en-US"/>
        </w:rPr>
        <w:t xml:space="preserve">ethnic minorities, in its next periodic report. In this regard, the Committee also draws the </w:t>
      </w:r>
      <w:r w:rsidR="00A74D81">
        <w:rPr>
          <w:b/>
          <w:bCs/>
          <w:lang w:eastAsia="en-US"/>
        </w:rPr>
        <w:t xml:space="preserve">attention of the </w:t>
      </w:r>
      <w:r w:rsidRPr="0088419E">
        <w:rPr>
          <w:b/>
          <w:bCs/>
          <w:lang w:eastAsia="en-US"/>
        </w:rPr>
        <w:t xml:space="preserve">State party to </w:t>
      </w:r>
      <w:r w:rsidR="00001A53">
        <w:rPr>
          <w:b/>
          <w:bCs/>
          <w:lang w:eastAsia="en-US"/>
        </w:rPr>
        <w:t xml:space="preserve">the </w:t>
      </w:r>
      <w:r w:rsidR="00001A53" w:rsidRPr="0088419E">
        <w:rPr>
          <w:b/>
          <w:bCs/>
          <w:lang w:eastAsia="en-US"/>
        </w:rPr>
        <w:t>Univers</w:t>
      </w:r>
      <w:r w:rsidR="00001A53">
        <w:rPr>
          <w:b/>
          <w:bCs/>
          <w:lang w:eastAsia="en-US"/>
        </w:rPr>
        <w:t xml:space="preserve">al Periodic Review procedure and in particular </w:t>
      </w:r>
      <w:r w:rsidR="003A09B6">
        <w:rPr>
          <w:b/>
          <w:bCs/>
          <w:lang w:eastAsia="en-US"/>
        </w:rPr>
        <w:t>r</w:t>
      </w:r>
      <w:r w:rsidR="00001A53">
        <w:rPr>
          <w:b/>
          <w:bCs/>
          <w:lang w:eastAsia="en-US"/>
        </w:rPr>
        <w:t xml:space="preserve">ecommendation </w:t>
      </w:r>
      <w:r w:rsidR="00001A53" w:rsidRPr="0088419E">
        <w:rPr>
          <w:b/>
          <w:bCs/>
          <w:lang w:eastAsia="en-US"/>
        </w:rPr>
        <w:t>1</w:t>
      </w:r>
      <w:r w:rsidR="00001A53">
        <w:rPr>
          <w:b/>
          <w:bCs/>
          <w:lang w:eastAsia="en-US"/>
        </w:rPr>
        <w:t>6, which enjoyed the support of the State party (A/HRC/11/25</w:t>
      </w:r>
      <w:r w:rsidR="00001A53" w:rsidRPr="0088419E">
        <w:rPr>
          <w:b/>
          <w:bCs/>
          <w:lang w:eastAsia="en-US"/>
        </w:rPr>
        <w:t>)</w:t>
      </w:r>
      <w:r w:rsidRPr="0088419E">
        <w:rPr>
          <w:b/>
          <w:bCs/>
          <w:lang w:eastAsia="en-US"/>
        </w:rPr>
        <w:t>.</w:t>
      </w:r>
    </w:p>
    <w:p w:rsidR="005A62EF" w:rsidRPr="0088419E" w:rsidRDefault="005A62EF" w:rsidP="009151AE">
      <w:pPr>
        <w:ind w:left="360"/>
        <w:jc w:val="both"/>
        <w:rPr>
          <w:lang w:eastAsia="en-US"/>
        </w:rPr>
      </w:pPr>
    </w:p>
    <w:p w:rsidR="005A62EF" w:rsidRDefault="005A62EF" w:rsidP="009151AE">
      <w:pPr>
        <w:numPr>
          <w:ilvl w:val="0"/>
          <w:numId w:val="13"/>
        </w:numPr>
        <w:rPr>
          <w:lang w:eastAsia="en-US"/>
        </w:rPr>
      </w:pPr>
      <w:r w:rsidRPr="0088419E">
        <w:rPr>
          <w:lang w:eastAsia="en-US"/>
        </w:rPr>
        <w:t xml:space="preserve">The Committee regrets </w:t>
      </w:r>
      <w:r w:rsidR="00FC4E8D">
        <w:rPr>
          <w:lang w:eastAsia="en-US"/>
        </w:rPr>
        <w:t>that the State party did not provide more</w:t>
      </w:r>
      <w:r w:rsidRPr="0088419E">
        <w:rPr>
          <w:lang w:eastAsia="en-US"/>
        </w:rPr>
        <w:t xml:space="preserve"> detailed information on illiteracy among different minority groups and the measures taken by the State party to target those groups that are most affected. It remains concerned at reports of high illiteracy </w:t>
      </w:r>
      <w:r w:rsidR="009272DE" w:rsidRPr="0088419E">
        <w:rPr>
          <w:lang w:eastAsia="en-US"/>
        </w:rPr>
        <w:t xml:space="preserve">rates </w:t>
      </w:r>
      <w:r w:rsidRPr="0088419E">
        <w:rPr>
          <w:lang w:eastAsia="en-US"/>
        </w:rPr>
        <w:t xml:space="preserve">among </w:t>
      </w:r>
      <w:r w:rsidR="00B2159E" w:rsidRPr="0088419E">
        <w:rPr>
          <w:lang w:eastAsia="en-US"/>
        </w:rPr>
        <w:t xml:space="preserve">some </w:t>
      </w:r>
      <w:r w:rsidRPr="0088419E">
        <w:rPr>
          <w:lang w:eastAsia="en-US"/>
        </w:rPr>
        <w:t>ethnic minorities. (art. 5</w:t>
      </w:r>
      <w:r w:rsidR="003A09B6">
        <w:rPr>
          <w:lang w:eastAsia="en-US"/>
        </w:rPr>
        <w:t xml:space="preserve"> </w:t>
      </w:r>
      <w:r w:rsidRPr="0088419E">
        <w:rPr>
          <w:lang w:eastAsia="en-US"/>
        </w:rPr>
        <w:t xml:space="preserve">(e)) </w:t>
      </w:r>
    </w:p>
    <w:p w:rsidR="00CD3580" w:rsidRPr="0088419E" w:rsidRDefault="00CD3580" w:rsidP="009151AE">
      <w:pPr>
        <w:jc w:val="both"/>
        <w:rPr>
          <w:lang w:eastAsia="en-US"/>
        </w:rPr>
      </w:pPr>
    </w:p>
    <w:p w:rsidR="005A62EF" w:rsidRPr="0088419E" w:rsidRDefault="005A62EF" w:rsidP="009151AE">
      <w:pPr>
        <w:ind w:left="720"/>
        <w:rPr>
          <w:b/>
          <w:bCs/>
          <w:lang w:eastAsia="en-US"/>
        </w:rPr>
      </w:pPr>
      <w:r w:rsidRPr="0088419E">
        <w:rPr>
          <w:b/>
          <w:bCs/>
          <w:lang w:eastAsia="en-US"/>
        </w:rPr>
        <w:t xml:space="preserve">The Committee </w:t>
      </w:r>
      <w:r w:rsidR="0091234A">
        <w:rPr>
          <w:b/>
          <w:bCs/>
          <w:lang w:eastAsia="en-US"/>
        </w:rPr>
        <w:t>call</w:t>
      </w:r>
      <w:r w:rsidR="0091234A" w:rsidRPr="0088419E">
        <w:rPr>
          <w:b/>
          <w:bCs/>
          <w:lang w:eastAsia="en-US"/>
        </w:rPr>
        <w:t xml:space="preserve">s </w:t>
      </w:r>
      <w:r w:rsidR="0091234A">
        <w:rPr>
          <w:b/>
          <w:bCs/>
          <w:lang w:eastAsia="en-US"/>
        </w:rPr>
        <w:t>upon</w:t>
      </w:r>
      <w:r w:rsidR="0091234A" w:rsidRPr="0088419E" w:rsidDel="0091234A">
        <w:rPr>
          <w:b/>
          <w:bCs/>
          <w:lang w:eastAsia="en-US"/>
        </w:rPr>
        <w:t xml:space="preserve"> </w:t>
      </w:r>
      <w:r w:rsidRPr="0088419E">
        <w:rPr>
          <w:b/>
          <w:bCs/>
          <w:lang w:eastAsia="en-US"/>
        </w:rPr>
        <w:t xml:space="preserve">the State party to strengthen its measures in the short and medium terms to implement measures to reduce illiteracy among ethnic minorities, especially in rural areas. The Committee </w:t>
      </w:r>
      <w:r w:rsidR="002E0FBC">
        <w:rPr>
          <w:b/>
          <w:bCs/>
          <w:lang w:eastAsia="en-US"/>
        </w:rPr>
        <w:t>recommends that</w:t>
      </w:r>
      <w:r w:rsidR="002E0FBC" w:rsidRPr="0088419E">
        <w:rPr>
          <w:b/>
          <w:bCs/>
          <w:lang w:eastAsia="en-US"/>
        </w:rPr>
        <w:t xml:space="preserve"> </w:t>
      </w:r>
      <w:r w:rsidRPr="0088419E">
        <w:rPr>
          <w:b/>
          <w:bCs/>
          <w:lang w:eastAsia="en-US"/>
        </w:rPr>
        <w:t xml:space="preserve">the State party provide </w:t>
      </w:r>
      <w:r w:rsidR="00FC4E8D">
        <w:rPr>
          <w:b/>
          <w:bCs/>
        </w:rPr>
        <w:t>more information</w:t>
      </w:r>
      <w:r w:rsidRPr="0088419E">
        <w:rPr>
          <w:b/>
          <w:bCs/>
        </w:rPr>
        <w:t xml:space="preserve"> on illiteracy rates among the different ethnic groups and between men and women in its next periodic report.</w:t>
      </w:r>
    </w:p>
    <w:p w:rsidR="005A62EF" w:rsidRPr="0088419E" w:rsidRDefault="005A62EF" w:rsidP="009151AE">
      <w:pPr>
        <w:ind w:left="360"/>
        <w:jc w:val="both"/>
        <w:rPr>
          <w:lang w:eastAsia="en-US"/>
        </w:rPr>
      </w:pPr>
    </w:p>
    <w:p w:rsidR="005A62EF" w:rsidRDefault="005A62EF" w:rsidP="009151AE">
      <w:pPr>
        <w:numPr>
          <w:ilvl w:val="0"/>
          <w:numId w:val="13"/>
        </w:numPr>
        <w:rPr>
          <w:lang w:eastAsia="en-US"/>
        </w:rPr>
      </w:pPr>
      <w:r w:rsidRPr="0088419E">
        <w:rPr>
          <w:lang w:eastAsia="en-US"/>
        </w:rPr>
        <w:t>While noting the wide range of measures and policies adopted by the State party to improve access to health</w:t>
      </w:r>
      <w:r w:rsidR="003A09B6">
        <w:rPr>
          <w:lang w:eastAsia="en-US"/>
        </w:rPr>
        <w:t xml:space="preserve"> </w:t>
      </w:r>
      <w:r w:rsidRPr="0088419E">
        <w:rPr>
          <w:lang w:eastAsia="en-US"/>
        </w:rPr>
        <w:t xml:space="preserve">care and services, the Committee is concerned that persons belonging to ethnic minorities </w:t>
      </w:r>
      <w:r w:rsidR="00B2159E" w:rsidRPr="0088419E">
        <w:rPr>
          <w:lang w:eastAsia="en-US"/>
        </w:rPr>
        <w:t xml:space="preserve">often </w:t>
      </w:r>
      <w:r w:rsidRPr="0088419E">
        <w:rPr>
          <w:lang w:eastAsia="en-US"/>
        </w:rPr>
        <w:t>face obstacles in accessing health care and services. (art. 5 (e))</w:t>
      </w:r>
    </w:p>
    <w:p w:rsidR="00CD3580" w:rsidRPr="0088419E" w:rsidRDefault="00CD3580" w:rsidP="009151AE">
      <w:pPr>
        <w:jc w:val="both"/>
        <w:rPr>
          <w:lang w:eastAsia="en-US"/>
        </w:rPr>
      </w:pPr>
    </w:p>
    <w:p w:rsidR="005A62EF" w:rsidRPr="0088419E" w:rsidRDefault="005A62EF" w:rsidP="009151AE">
      <w:pPr>
        <w:ind w:left="1134"/>
        <w:rPr>
          <w:b/>
          <w:lang w:eastAsia="en-US"/>
        </w:rPr>
      </w:pPr>
      <w:r w:rsidRPr="0088419E">
        <w:rPr>
          <w:b/>
          <w:lang w:eastAsia="en-US"/>
        </w:rPr>
        <w:t xml:space="preserve">The Committee recommends that the State party continue </w:t>
      </w:r>
      <w:r w:rsidR="003A09B6">
        <w:rPr>
          <w:b/>
          <w:lang w:eastAsia="en-US"/>
        </w:rPr>
        <w:t xml:space="preserve">to </w:t>
      </w:r>
      <w:r w:rsidRPr="0088419E">
        <w:rPr>
          <w:b/>
          <w:lang w:eastAsia="en-US"/>
        </w:rPr>
        <w:t xml:space="preserve">intensify its efforts to address the persistent health disparities affecting persons belonging to ethnic minorities, in particular by addressing the obstacles that currently prevent or limit their access to affordable and adequate health care, taking into consideration the difficulties posed by their geographical location. </w:t>
      </w:r>
      <w:r w:rsidRPr="0088419E">
        <w:rPr>
          <w:b/>
          <w:bCs/>
          <w:lang w:eastAsia="en-US"/>
        </w:rPr>
        <w:t xml:space="preserve">In this regard, the Committee also draws the </w:t>
      </w:r>
      <w:r w:rsidR="00A74D81">
        <w:rPr>
          <w:b/>
          <w:bCs/>
          <w:lang w:eastAsia="en-US"/>
        </w:rPr>
        <w:t xml:space="preserve">attention of the </w:t>
      </w:r>
      <w:r w:rsidRPr="0088419E">
        <w:rPr>
          <w:b/>
          <w:bCs/>
          <w:lang w:eastAsia="en-US"/>
        </w:rPr>
        <w:t xml:space="preserve">State party to </w:t>
      </w:r>
      <w:r w:rsidR="00001A53" w:rsidRPr="0088419E">
        <w:rPr>
          <w:b/>
          <w:bCs/>
          <w:lang w:eastAsia="en-US"/>
        </w:rPr>
        <w:t>the</w:t>
      </w:r>
      <w:r w:rsidR="00001A53">
        <w:rPr>
          <w:b/>
          <w:bCs/>
          <w:lang w:eastAsia="en-US"/>
        </w:rPr>
        <w:t xml:space="preserve"> </w:t>
      </w:r>
      <w:r w:rsidR="00001A53" w:rsidRPr="0088419E">
        <w:rPr>
          <w:b/>
          <w:bCs/>
          <w:lang w:eastAsia="en-US"/>
        </w:rPr>
        <w:t>Univers</w:t>
      </w:r>
      <w:r w:rsidR="00001A53">
        <w:rPr>
          <w:b/>
          <w:bCs/>
          <w:lang w:eastAsia="en-US"/>
        </w:rPr>
        <w:t xml:space="preserve">al Periodic Review procedure and in particular </w:t>
      </w:r>
      <w:r w:rsidR="003A09B6">
        <w:rPr>
          <w:b/>
          <w:bCs/>
          <w:lang w:eastAsia="en-US"/>
        </w:rPr>
        <w:t>r</w:t>
      </w:r>
      <w:r w:rsidR="00001A53">
        <w:rPr>
          <w:b/>
          <w:bCs/>
          <w:lang w:eastAsia="en-US"/>
        </w:rPr>
        <w:t>ecommendation 20, which enjoyed the support of the State party (A/HRC/11/25</w:t>
      </w:r>
      <w:r w:rsidR="00001A53" w:rsidRPr="0088419E">
        <w:rPr>
          <w:b/>
          <w:bCs/>
          <w:lang w:eastAsia="en-US"/>
        </w:rPr>
        <w:t>)</w:t>
      </w:r>
      <w:r w:rsidRPr="0088419E">
        <w:rPr>
          <w:b/>
          <w:bCs/>
          <w:lang w:eastAsia="en-US"/>
        </w:rPr>
        <w:t>.</w:t>
      </w:r>
    </w:p>
    <w:p w:rsidR="005A62EF" w:rsidRPr="0088419E" w:rsidRDefault="005A62EF" w:rsidP="009151AE">
      <w:pPr>
        <w:ind w:left="360"/>
        <w:jc w:val="both"/>
        <w:rPr>
          <w:lang w:eastAsia="en-US"/>
        </w:rPr>
      </w:pPr>
    </w:p>
    <w:p w:rsidR="005A62EF" w:rsidRDefault="005A62EF" w:rsidP="009151AE">
      <w:pPr>
        <w:numPr>
          <w:ilvl w:val="0"/>
          <w:numId w:val="13"/>
        </w:numPr>
        <w:rPr>
          <w:lang w:eastAsia="en-US"/>
        </w:rPr>
      </w:pPr>
      <w:r w:rsidRPr="0088419E">
        <w:rPr>
          <w:lang w:eastAsia="en-US"/>
        </w:rPr>
        <w:t>Despite the laws and policy measures adopted by the State party</w:t>
      </w:r>
      <w:r w:rsidR="00C45634" w:rsidRPr="0088419E">
        <w:rPr>
          <w:lang w:eastAsia="en-US"/>
        </w:rPr>
        <w:t xml:space="preserve"> to </w:t>
      </w:r>
      <w:r w:rsidR="004610D2" w:rsidRPr="0088419E">
        <w:rPr>
          <w:lang w:eastAsia="en-US"/>
        </w:rPr>
        <w:t>improve</w:t>
      </w:r>
      <w:r w:rsidR="00C45634" w:rsidRPr="0088419E">
        <w:rPr>
          <w:lang w:eastAsia="en-US"/>
        </w:rPr>
        <w:t xml:space="preserve"> employment rates among ethnic minorities</w:t>
      </w:r>
      <w:r w:rsidRPr="0088419E">
        <w:rPr>
          <w:lang w:eastAsia="en-US"/>
        </w:rPr>
        <w:t xml:space="preserve">, such as quotas and targeted recruitment, the Committee is concerned </w:t>
      </w:r>
      <w:r w:rsidRPr="0088419E">
        <w:rPr>
          <w:rFonts w:eastAsia="Times New Roman"/>
          <w:lang w:eastAsia="de-DE" w:bidi="de-DE"/>
        </w:rPr>
        <w:t xml:space="preserve">about the high rate of unemployment among members of ethnic minorities. </w:t>
      </w:r>
      <w:r w:rsidRPr="0088419E">
        <w:rPr>
          <w:lang w:eastAsia="en-US"/>
        </w:rPr>
        <w:t>(art. 5</w:t>
      </w:r>
      <w:r w:rsidR="003A09B6">
        <w:rPr>
          <w:lang w:eastAsia="en-US"/>
        </w:rPr>
        <w:t xml:space="preserve"> </w:t>
      </w:r>
      <w:r w:rsidRPr="0088419E">
        <w:rPr>
          <w:lang w:eastAsia="en-US"/>
        </w:rPr>
        <w:t>(e))</w:t>
      </w:r>
    </w:p>
    <w:p w:rsidR="00CD3580" w:rsidRPr="0088419E" w:rsidRDefault="00CD3580" w:rsidP="009151AE">
      <w:pPr>
        <w:ind w:left="357"/>
        <w:jc w:val="both"/>
        <w:rPr>
          <w:lang w:eastAsia="en-US"/>
        </w:rPr>
      </w:pPr>
    </w:p>
    <w:p w:rsidR="005A62EF" w:rsidRPr="0088419E" w:rsidRDefault="005A62EF" w:rsidP="009151AE">
      <w:pPr>
        <w:ind w:left="1134"/>
        <w:rPr>
          <w:b/>
          <w:bCs/>
          <w:lang w:eastAsia="en-US"/>
        </w:rPr>
      </w:pPr>
      <w:r w:rsidRPr="0088419E">
        <w:rPr>
          <w:b/>
          <w:bCs/>
          <w:lang w:eastAsia="en-US"/>
        </w:rPr>
        <w:t xml:space="preserve">The Committee </w:t>
      </w:r>
      <w:r w:rsidR="00C45634" w:rsidRPr="0088419E">
        <w:rPr>
          <w:b/>
          <w:bCs/>
          <w:lang w:eastAsia="en-US"/>
        </w:rPr>
        <w:t xml:space="preserve">recommends that </w:t>
      </w:r>
      <w:r w:rsidRPr="0088419E">
        <w:rPr>
          <w:b/>
          <w:bCs/>
          <w:lang w:eastAsia="en-US"/>
        </w:rPr>
        <w:t>the State party strengthen its measures to increase employment opportunities for members of ethnic minorities,</w:t>
      </w:r>
      <w:r w:rsidRPr="0088419E">
        <w:rPr>
          <w:rFonts w:eastAsia="Times New Roman"/>
          <w:b/>
          <w:bCs/>
          <w:lang w:eastAsia="de-DE" w:bidi="de-DE"/>
        </w:rPr>
        <w:t xml:space="preserve"> in particular by focusing on professional training and providing language training,</w:t>
      </w:r>
      <w:r w:rsidRPr="0088419E">
        <w:rPr>
          <w:b/>
          <w:bCs/>
          <w:lang w:eastAsia="en-US"/>
        </w:rPr>
        <w:t xml:space="preserve"> and to ensure the effective implementation of its legislation in this regard, in particular the Employment Promotion Law of 2007</w:t>
      </w:r>
      <w:r w:rsidRPr="0088419E">
        <w:rPr>
          <w:rFonts w:eastAsia="Times New Roman"/>
          <w:b/>
          <w:bCs/>
          <w:lang w:eastAsia="de-DE" w:bidi="de-DE"/>
        </w:rPr>
        <w:t xml:space="preserve">. </w:t>
      </w:r>
      <w:r w:rsidR="00FF7827" w:rsidRPr="0088419E">
        <w:rPr>
          <w:rFonts w:eastAsia="Times New Roman"/>
          <w:b/>
          <w:bCs/>
          <w:lang w:eastAsia="de-DE" w:bidi="de-DE"/>
        </w:rPr>
        <w:t>At the same time, t</w:t>
      </w:r>
      <w:r w:rsidRPr="0088419E">
        <w:rPr>
          <w:rFonts w:eastAsia="Times New Roman"/>
          <w:b/>
          <w:bCs/>
          <w:lang w:eastAsia="de-DE" w:bidi="de-DE"/>
        </w:rPr>
        <w:t xml:space="preserve">he </w:t>
      </w:r>
      <w:r w:rsidR="00FF7827" w:rsidRPr="0088419E">
        <w:rPr>
          <w:rFonts w:eastAsia="Times New Roman"/>
          <w:b/>
          <w:bCs/>
          <w:lang w:eastAsia="de-DE" w:bidi="de-DE"/>
        </w:rPr>
        <w:t>Committee encourages the State party to intensify</w:t>
      </w:r>
      <w:r w:rsidRPr="0088419E">
        <w:rPr>
          <w:rFonts w:eastAsia="Times New Roman"/>
          <w:b/>
          <w:bCs/>
          <w:lang w:eastAsia="de-DE" w:bidi="de-DE"/>
        </w:rPr>
        <w:t xml:space="preserve"> its efforts to combat prevailing stereotypes concerning ethnic minorities.</w:t>
      </w:r>
    </w:p>
    <w:p w:rsidR="005A62EF" w:rsidRPr="0088419E" w:rsidRDefault="005A62EF" w:rsidP="009151AE">
      <w:pPr>
        <w:ind w:left="720"/>
        <w:jc w:val="both"/>
        <w:rPr>
          <w:b/>
          <w:bCs/>
          <w:i/>
          <w:iCs/>
          <w:lang w:eastAsia="en-US"/>
        </w:rPr>
      </w:pPr>
      <w:r w:rsidRPr="0088419E">
        <w:rPr>
          <w:b/>
          <w:bCs/>
          <w:i/>
          <w:iCs/>
          <w:lang w:eastAsia="en-US"/>
        </w:rPr>
        <w:t xml:space="preserve"> </w:t>
      </w:r>
    </w:p>
    <w:p w:rsidR="005A62EF" w:rsidRPr="00CD3580" w:rsidRDefault="005A62EF" w:rsidP="009151AE">
      <w:pPr>
        <w:numPr>
          <w:ilvl w:val="0"/>
          <w:numId w:val="13"/>
        </w:numPr>
        <w:rPr>
          <w:rFonts w:eastAsia="Times New Roman"/>
          <w:lang w:eastAsia="de-DE" w:bidi="de-DE"/>
        </w:rPr>
      </w:pPr>
      <w:r w:rsidRPr="0088419E">
        <w:t>The Committee notes the lack of information on complaints of racial discrimination and the absence of court cases regarding racial discrimination (arts. 6 and 4).</w:t>
      </w:r>
    </w:p>
    <w:p w:rsidR="00CD3580" w:rsidRPr="0088419E" w:rsidRDefault="00CD3580" w:rsidP="009151AE">
      <w:pPr>
        <w:ind w:left="357"/>
        <w:jc w:val="both"/>
        <w:rPr>
          <w:rFonts w:eastAsia="Times New Roman"/>
          <w:lang w:eastAsia="de-DE" w:bidi="de-DE"/>
        </w:rPr>
      </w:pPr>
    </w:p>
    <w:p w:rsidR="005A62EF" w:rsidRPr="0088419E" w:rsidRDefault="005A62EF" w:rsidP="009151AE">
      <w:pPr>
        <w:ind w:left="720"/>
        <w:rPr>
          <w:b/>
          <w:bCs/>
          <w:lang w:eastAsia="en-US"/>
        </w:rPr>
      </w:pPr>
      <w:r w:rsidRPr="0088419E">
        <w:rPr>
          <w:rFonts w:eastAsia="Times New Roman"/>
          <w:b/>
          <w:bCs/>
          <w:lang w:eastAsia="de-DE" w:bidi="de-DE"/>
        </w:rPr>
        <w:t xml:space="preserve">The Committee, considering that no country is free from racial discrimination, </w:t>
      </w:r>
      <w:r w:rsidR="0091234A">
        <w:rPr>
          <w:b/>
          <w:bCs/>
          <w:lang w:eastAsia="en-US"/>
        </w:rPr>
        <w:t>call</w:t>
      </w:r>
      <w:r w:rsidR="0091234A" w:rsidRPr="0088419E">
        <w:rPr>
          <w:b/>
          <w:bCs/>
          <w:lang w:eastAsia="en-US"/>
        </w:rPr>
        <w:t xml:space="preserve">s </w:t>
      </w:r>
      <w:r w:rsidR="0091234A">
        <w:rPr>
          <w:b/>
          <w:bCs/>
          <w:lang w:eastAsia="en-US"/>
        </w:rPr>
        <w:t>upon</w:t>
      </w:r>
      <w:r w:rsidR="0091234A" w:rsidRPr="0088419E" w:rsidDel="0091234A">
        <w:rPr>
          <w:rFonts w:eastAsia="Times New Roman"/>
          <w:b/>
          <w:bCs/>
          <w:lang w:eastAsia="de-DE" w:bidi="de-DE"/>
        </w:rPr>
        <w:t xml:space="preserve"> </w:t>
      </w:r>
      <w:r w:rsidRPr="0088419E">
        <w:rPr>
          <w:rFonts w:eastAsia="Times New Roman"/>
          <w:b/>
          <w:bCs/>
          <w:lang w:eastAsia="de-DE" w:bidi="de-DE"/>
        </w:rPr>
        <w:t xml:space="preserve">the State party to </w:t>
      </w:r>
      <w:r w:rsidR="009E41BD">
        <w:rPr>
          <w:rFonts w:eastAsia="Times New Roman"/>
          <w:b/>
          <w:bCs/>
          <w:lang w:eastAsia="de-DE" w:bidi="de-DE"/>
        </w:rPr>
        <w:t>examine</w:t>
      </w:r>
      <w:r w:rsidR="009E41BD" w:rsidRPr="0088419E">
        <w:rPr>
          <w:rFonts w:eastAsia="Times New Roman"/>
          <w:b/>
          <w:bCs/>
          <w:lang w:eastAsia="de-DE" w:bidi="de-DE"/>
        </w:rPr>
        <w:t xml:space="preserve"> </w:t>
      </w:r>
      <w:r w:rsidRPr="0088419E">
        <w:rPr>
          <w:rFonts w:eastAsia="Times New Roman"/>
          <w:b/>
          <w:bCs/>
          <w:lang w:eastAsia="de-DE" w:bidi="de-DE"/>
        </w:rPr>
        <w:t xml:space="preserve">why there have been only </w:t>
      </w:r>
      <w:r w:rsidR="003A09B6">
        <w:rPr>
          <w:rFonts w:eastAsia="Times New Roman"/>
          <w:b/>
          <w:bCs/>
          <w:lang w:eastAsia="de-DE" w:bidi="de-DE"/>
        </w:rPr>
        <w:t xml:space="preserve">a </w:t>
      </w:r>
      <w:r w:rsidRPr="0088419E">
        <w:rPr>
          <w:rFonts w:eastAsia="Times New Roman"/>
          <w:b/>
          <w:bCs/>
          <w:lang w:eastAsia="de-DE" w:bidi="de-DE"/>
        </w:rPr>
        <w:t xml:space="preserve">few judicial cases in this regard. It recommends that the State party verify </w:t>
      </w:r>
      <w:r w:rsidR="002E0FBC">
        <w:rPr>
          <w:rFonts w:eastAsia="Times New Roman"/>
          <w:b/>
          <w:bCs/>
          <w:lang w:eastAsia="de-DE" w:bidi="de-DE"/>
        </w:rPr>
        <w:t>if</w:t>
      </w:r>
      <w:r w:rsidR="002E0FBC" w:rsidRPr="0088419E">
        <w:rPr>
          <w:rFonts w:eastAsia="Times New Roman"/>
          <w:b/>
          <w:bCs/>
          <w:lang w:eastAsia="de-DE" w:bidi="de-DE"/>
        </w:rPr>
        <w:t xml:space="preserve"> </w:t>
      </w:r>
      <w:r w:rsidRPr="0088419E">
        <w:rPr>
          <w:rFonts w:eastAsia="Times New Roman"/>
          <w:b/>
          <w:bCs/>
          <w:lang w:eastAsia="de-DE" w:bidi="de-DE"/>
        </w:rPr>
        <w:t xml:space="preserve">the </w:t>
      </w:r>
      <w:r w:rsidR="00A96823">
        <w:rPr>
          <w:rFonts w:eastAsia="Times New Roman"/>
          <w:b/>
          <w:bCs/>
          <w:lang w:eastAsia="de-DE" w:bidi="de-DE"/>
        </w:rPr>
        <w:t>scarcity</w:t>
      </w:r>
      <w:r w:rsidR="00A96823" w:rsidRPr="0088419E">
        <w:rPr>
          <w:rFonts w:eastAsia="Times New Roman"/>
          <w:b/>
          <w:bCs/>
          <w:lang w:eastAsia="de-DE" w:bidi="de-DE"/>
        </w:rPr>
        <w:t xml:space="preserve"> </w:t>
      </w:r>
      <w:r w:rsidRPr="0088419E">
        <w:rPr>
          <w:rFonts w:eastAsia="Times New Roman"/>
          <w:b/>
          <w:bCs/>
          <w:lang w:eastAsia="de-DE" w:bidi="de-DE"/>
        </w:rPr>
        <w:t xml:space="preserve">of such complaints is not the result of lack of effective remedies enabling victims to seek redress, victims’ lack of awareness of their rights, fear of reprisals, lack of confidence in the police and judicial authorities, or lack of attention or sensitivity to cases of racial discrimination on the part of the </w:t>
      </w:r>
      <w:r w:rsidRPr="0088419E">
        <w:rPr>
          <w:rFonts w:eastAsia="Times New Roman"/>
          <w:lang w:eastAsia="de-DE" w:bidi="de-DE"/>
        </w:rPr>
        <w:t xml:space="preserve"> </w:t>
      </w:r>
      <w:r w:rsidRPr="0088419E">
        <w:rPr>
          <w:rFonts w:eastAsia="Times New Roman"/>
          <w:b/>
          <w:bCs/>
          <w:lang w:eastAsia="de-DE" w:bidi="de-DE"/>
        </w:rPr>
        <w:t>authorities.</w:t>
      </w:r>
      <w:r w:rsidRPr="0088419E">
        <w:rPr>
          <w:b/>
          <w:bCs/>
        </w:rPr>
        <w:t xml:space="preserve"> The Committee also draws the State parties attention to its General </w:t>
      </w:r>
      <w:r w:rsidR="00B23CBF">
        <w:rPr>
          <w:b/>
          <w:bCs/>
        </w:rPr>
        <w:t xml:space="preserve">Recommendation </w:t>
      </w:r>
      <w:r w:rsidRPr="0088419E">
        <w:rPr>
          <w:b/>
          <w:bCs/>
        </w:rPr>
        <w:t xml:space="preserve">No. 31 (2005) </w:t>
      </w:r>
      <w:hyperlink r:id="rId10" w:history="1">
        <w:r w:rsidRPr="0088419E">
          <w:rPr>
            <w:rStyle w:val="Hyperlink"/>
            <w:b/>
            <w:bCs/>
            <w:color w:val="000000"/>
          </w:rPr>
          <w:t>on the prevention of racial discrimination in the administration and functioning of the criminal justice system</w:t>
        </w:r>
      </w:hyperlink>
      <w:r w:rsidRPr="0088419E">
        <w:rPr>
          <w:b/>
          <w:bCs/>
        </w:rPr>
        <w:t>.</w:t>
      </w:r>
    </w:p>
    <w:p w:rsidR="00FF7827" w:rsidRPr="0088419E" w:rsidRDefault="00FF7827" w:rsidP="009151AE">
      <w:pPr>
        <w:ind w:left="720"/>
        <w:jc w:val="both"/>
        <w:rPr>
          <w:lang w:eastAsia="en-US"/>
        </w:rPr>
      </w:pPr>
    </w:p>
    <w:p w:rsidR="005A62EF" w:rsidRPr="006C10A4" w:rsidRDefault="005A62EF" w:rsidP="009151AE">
      <w:pPr>
        <w:jc w:val="center"/>
        <w:rPr>
          <w:b/>
        </w:rPr>
      </w:pPr>
      <w:r w:rsidRPr="006C10A4">
        <w:rPr>
          <w:b/>
        </w:rPr>
        <w:t xml:space="preserve">Hong Kong and </w:t>
      </w:r>
      <w:smartTag w:uri="urn:schemas-microsoft-com:office:smarttags" w:element="place">
        <w:r w:rsidRPr="006C10A4">
          <w:rPr>
            <w:b/>
          </w:rPr>
          <w:t>Macau</w:t>
        </w:r>
      </w:smartTag>
      <w:r w:rsidRPr="006C10A4">
        <w:rPr>
          <w:b/>
        </w:rPr>
        <w:t xml:space="preserve"> Special Administrative Regions</w:t>
      </w:r>
    </w:p>
    <w:p w:rsidR="005A62EF" w:rsidRPr="0088419E" w:rsidRDefault="005A62EF" w:rsidP="009151AE"/>
    <w:p w:rsidR="005A62EF" w:rsidRPr="00B71183" w:rsidRDefault="005A62EF" w:rsidP="009151AE">
      <w:pPr>
        <w:numPr>
          <w:ilvl w:val="0"/>
          <w:numId w:val="13"/>
        </w:numPr>
        <w:rPr>
          <w:color w:val="000000"/>
        </w:rPr>
      </w:pPr>
      <w:r w:rsidRPr="0088419E">
        <w:t xml:space="preserve">The Committee </w:t>
      </w:r>
      <w:r w:rsidRPr="0088419E">
        <w:rPr>
          <w:color w:val="000000"/>
        </w:rPr>
        <w:t>expresses its concern about the definition of racial discrimination given in</w:t>
      </w:r>
      <w:r w:rsidRPr="0088419E">
        <w:t xml:space="preserve"> the Hong Kong SAR Race Discrimination Ordinance</w:t>
      </w:r>
      <w:r w:rsidRPr="0088419E">
        <w:rPr>
          <w:color w:val="000000"/>
        </w:rPr>
        <w:t xml:space="preserve">, which is not completely consistent with article 1 of the Convention as it does not </w:t>
      </w:r>
      <w:r w:rsidR="000B2725">
        <w:rPr>
          <w:color w:val="000000"/>
        </w:rPr>
        <w:t xml:space="preserve">clearly define </w:t>
      </w:r>
      <w:r w:rsidRPr="0088419E">
        <w:t>indirect discrimination with regard to language,</w:t>
      </w:r>
      <w:r w:rsidR="000B2725">
        <w:t xml:space="preserve"> and it does not </w:t>
      </w:r>
      <w:r w:rsidR="000B2725" w:rsidRPr="0088419E">
        <w:rPr>
          <w:color w:val="000000"/>
        </w:rPr>
        <w:t>include</w:t>
      </w:r>
      <w:r w:rsidRPr="0088419E">
        <w:t xml:space="preserve"> immigration status and nationality among the prohibited grounds of discrimination. (art. 1</w:t>
      </w:r>
      <w:r w:rsidR="003A09B6">
        <w:t xml:space="preserve"> </w:t>
      </w:r>
      <w:r w:rsidRPr="0088419E">
        <w:t>(1))</w:t>
      </w:r>
    </w:p>
    <w:p w:rsidR="00B71183" w:rsidRPr="0088419E" w:rsidRDefault="00B71183" w:rsidP="009151AE">
      <w:pPr>
        <w:jc w:val="both"/>
        <w:rPr>
          <w:color w:val="000000"/>
        </w:rPr>
      </w:pPr>
    </w:p>
    <w:p w:rsidR="005A62EF" w:rsidRDefault="005A62EF" w:rsidP="009151AE">
      <w:pPr>
        <w:pStyle w:val="BodyTextIndent2"/>
        <w:spacing w:after="0"/>
        <w:ind w:left="720"/>
        <w:rPr>
          <w:b/>
          <w:bCs/>
          <w:szCs w:val="24"/>
          <w:lang w:val="en-US"/>
        </w:rPr>
      </w:pPr>
      <w:r w:rsidRPr="0088419E">
        <w:rPr>
          <w:b/>
          <w:bCs/>
          <w:szCs w:val="24"/>
          <w:lang w:val="en-US"/>
        </w:rPr>
        <w:t xml:space="preserve">The Committee recommends that </w:t>
      </w:r>
      <w:r w:rsidRPr="0088419E">
        <w:rPr>
          <w:b/>
          <w:szCs w:val="24"/>
        </w:rPr>
        <w:t>indirect discrimination with regard to language, immigration status and nationality</w:t>
      </w:r>
      <w:r w:rsidRPr="0088419E">
        <w:rPr>
          <w:b/>
          <w:bCs/>
          <w:szCs w:val="24"/>
          <w:lang w:val="en-US"/>
        </w:rPr>
        <w:t xml:space="preserve"> </w:t>
      </w:r>
      <w:r w:rsidR="00FF7827" w:rsidRPr="0088419E">
        <w:rPr>
          <w:b/>
          <w:bCs/>
          <w:szCs w:val="24"/>
          <w:lang w:val="en-US"/>
        </w:rPr>
        <w:t xml:space="preserve">be included </w:t>
      </w:r>
      <w:r w:rsidRPr="0088419E">
        <w:rPr>
          <w:b/>
          <w:bCs/>
          <w:szCs w:val="24"/>
          <w:lang w:val="en-US"/>
        </w:rPr>
        <w:t xml:space="preserve">among the prohibited grounds of discrimination in the </w:t>
      </w:r>
      <w:r w:rsidRPr="0088419E">
        <w:rPr>
          <w:b/>
          <w:szCs w:val="24"/>
        </w:rPr>
        <w:t>Race Discrimination Ordinance</w:t>
      </w:r>
      <w:r w:rsidRPr="0088419E">
        <w:rPr>
          <w:b/>
          <w:bCs/>
          <w:szCs w:val="24"/>
          <w:lang w:val="en-US"/>
        </w:rPr>
        <w:t>. I</w:t>
      </w:r>
      <w:r w:rsidR="003A09B6">
        <w:rPr>
          <w:b/>
          <w:bCs/>
          <w:szCs w:val="24"/>
          <w:lang w:val="en-US"/>
        </w:rPr>
        <w:t>n this regard</w:t>
      </w:r>
      <w:r w:rsidR="003A09B6" w:rsidRPr="0088419E">
        <w:rPr>
          <w:b/>
          <w:bCs/>
          <w:szCs w:val="24"/>
          <w:lang w:val="en-US"/>
        </w:rPr>
        <w:t xml:space="preserve"> </w:t>
      </w:r>
      <w:r w:rsidR="003A09B6">
        <w:rPr>
          <w:b/>
          <w:bCs/>
          <w:szCs w:val="24"/>
          <w:lang w:val="en-US"/>
        </w:rPr>
        <w:t>i</w:t>
      </w:r>
      <w:r w:rsidRPr="0088419E">
        <w:rPr>
          <w:b/>
          <w:bCs/>
          <w:szCs w:val="24"/>
          <w:lang w:val="en-US"/>
        </w:rPr>
        <w:t xml:space="preserve">t recalls its </w:t>
      </w:r>
      <w:r w:rsidR="00B23CBF">
        <w:rPr>
          <w:b/>
          <w:bCs/>
          <w:szCs w:val="24"/>
          <w:lang w:val="en-US"/>
        </w:rPr>
        <w:t>G</w:t>
      </w:r>
      <w:r w:rsidRPr="0088419E">
        <w:rPr>
          <w:b/>
          <w:bCs/>
          <w:szCs w:val="24"/>
          <w:lang w:val="en-US"/>
        </w:rPr>
        <w:t xml:space="preserve">eneral </w:t>
      </w:r>
      <w:r w:rsidR="00B23CBF">
        <w:rPr>
          <w:b/>
          <w:bCs/>
        </w:rPr>
        <w:t>Recommendation</w:t>
      </w:r>
      <w:r w:rsidRPr="0088419E">
        <w:rPr>
          <w:b/>
          <w:bCs/>
          <w:szCs w:val="24"/>
          <w:lang w:val="en-US"/>
        </w:rPr>
        <w:t xml:space="preserve"> </w:t>
      </w:r>
      <w:r w:rsidR="002C67D6">
        <w:rPr>
          <w:b/>
          <w:bCs/>
          <w:szCs w:val="24"/>
          <w:lang w:val="en-US"/>
        </w:rPr>
        <w:t>N</w:t>
      </w:r>
      <w:r w:rsidRPr="0088419E">
        <w:rPr>
          <w:b/>
          <w:bCs/>
          <w:szCs w:val="24"/>
          <w:lang w:val="en-US"/>
        </w:rPr>
        <w:t xml:space="preserve">o. 30. </w:t>
      </w:r>
    </w:p>
    <w:p w:rsidR="00CD3580" w:rsidRPr="00CD3580" w:rsidRDefault="00CD3580" w:rsidP="009151AE">
      <w:pPr>
        <w:rPr>
          <w:lang w:eastAsia="en-US"/>
        </w:rPr>
      </w:pPr>
    </w:p>
    <w:p w:rsidR="005A62EF" w:rsidRPr="00CD3580" w:rsidRDefault="005A62EF" w:rsidP="009151AE">
      <w:pPr>
        <w:numPr>
          <w:ilvl w:val="0"/>
          <w:numId w:val="13"/>
        </w:numPr>
        <w:tabs>
          <w:tab w:val="clear" w:pos="851"/>
          <w:tab w:val="num" w:pos="840"/>
        </w:tabs>
        <w:rPr>
          <w:color w:val="000000"/>
        </w:rPr>
      </w:pPr>
      <w:r w:rsidRPr="0088419E">
        <w:t xml:space="preserve">The Committee is concerned that the Hong Kong SAR Race Discrimination Ordinance </w:t>
      </w:r>
      <w:r w:rsidR="00B454E4">
        <w:t>only covers</w:t>
      </w:r>
      <w:r w:rsidR="00B454E4" w:rsidRPr="0088419E">
        <w:t xml:space="preserve"> </w:t>
      </w:r>
      <w:r w:rsidRPr="0088419E">
        <w:t xml:space="preserve">certain Government </w:t>
      </w:r>
      <w:r w:rsidR="00B454E4">
        <w:t>activities</w:t>
      </w:r>
      <w:r w:rsidR="00B454E4" w:rsidRPr="0088419E">
        <w:t xml:space="preserve"> </w:t>
      </w:r>
      <w:r w:rsidRPr="0088419E">
        <w:t xml:space="preserve">and exercise of its powers </w:t>
      </w:r>
      <w:r w:rsidR="00B454E4">
        <w:t xml:space="preserve">in </w:t>
      </w:r>
      <w:r w:rsidRPr="0088419E">
        <w:t>its scope of application</w:t>
      </w:r>
      <w:r w:rsidR="00B454E4">
        <w:t xml:space="preserve">, </w:t>
      </w:r>
      <w:r w:rsidR="00A75375">
        <w:t>i.e. employment, education, and the provision of goods and services</w:t>
      </w:r>
      <w:r w:rsidRPr="0088419E">
        <w:t>. (art. 2)</w:t>
      </w:r>
    </w:p>
    <w:p w:rsidR="00CD3580" w:rsidRPr="0088419E" w:rsidRDefault="00CD3580" w:rsidP="009151AE">
      <w:pPr>
        <w:ind w:left="357"/>
        <w:jc w:val="both"/>
        <w:rPr>
          <w:color w:val="000000"/>
        </w:rPr>
      </w:pPr>
    </w:p>
    <w:p w:rsidR="005A62EF" w:rsidRDefault="005A62EF" w:rsidP="009151AE">
      <w:pPr>
        <w:pStyle w:val="BodyTextIndent2"/>
        <w:spacing w:after="0"/>
        <w:ind w:left="1134"/>
        <w:rPr>
          <w:b/>
          <w:bCs/>
          <w:szCs w:val="24"/>
          <w:lang w:val="en-US"/>
        </w:rPr>
      </w:pPr>
      <w:r w:rsidRPr="0088419E">
        <w:rPr>
          <w:b/>
          <w:bCs/>
          <w:szCs w:val="24"/>
          <w:lang w:val="en-US"/>
        </w:rPr>
        <w:t xml:space="preserve">The Committee recommends that all Government functions and powers </w:t>
      </w:r>
      <w:r w:rsidR="00371A92" w:rsidRPr="0088419E">
        <w:rPr>
          <w:b/>
          <w:bCs/>
          <w:szCs w:val="24"/>
          <w:lang w:val="en-US"/>
        </w:rPr>
        <w:t>be brought with</w:t>
      </w:r>
      <w:r w:rsidRPr="0088419E">
        <w:rPr>
          <w:b/>
          <w:bCs/>
          <w:szCs w:val="24"/>
          <w:lang w:val="en-US"/>
        </w:rPr>
        <w:t xml:space="preserve">in the scope of the Race Discrimination Ordinance. It also </w:t>
      </w:r>
      <w:r w:rsidR="00371A92" w:rsidRPr="0088419E">
        <w:rPr>
          <w:b/>
          <w:bCs/>
          <w:szCs w:val="24"/>
          <w:lang w:val="en-US"/>
        </w:rPr>
        <w:t xml:space="preserve">recommends </w:t>
      </w:r>
      <w:r w:rsidRPr="0088419E">
        <w:rPr>
          <w:b/>
          <w:bCs/>
          <w:szCs w:val="24"/>
          <w:lang w:val="en-US"/>
        </w:rPr>
        <w:t>the</w:t>
      </w:r>
      <w:r w:rsidR="00371A92" w:rsidRPr="0088419E">
        <w:rPr>
          <w:b/>
          <w:bCs/>
          <w:szCs w:val="24"/>
          <w:lang w:val="en-US"/>
        </w:rPr>
        <w:t xml:space="preserve"> </w:t>
      </w:r>
      <w:r w:rsidRPr="0088419E">
        <w:rPr>
          <w:b/>
          <w:bCs/>
          <w:szCs w:val="24"/>
          <w:lang w:val="en-US"/>
        </w:rPr>
        <w:t>adopt</w:t>
      </w:r>
      <w:r w:rsidR="00371A92" w:rsidRPr="0088419E">
        <w:rPr>
          <w:b/>
          <w:bCs/>
          <w:szCs w:val="24"/>
          <w:lang w:val="en-US"/>
        </w:rPr>
        <w:t>ion of</w:t>
      </w:r>
      <w:r w:rsidRPr="0088419E">
        <w:rPr>
          <w:b/>
          <w:bCs/>
          <w:szCs w:val="24"/>
          <w:lang w:val="en-US"/>
        </w:rPr>
        <w:t xml:space="preserve"> an equality plan with a view to ensuring the effective implementation of the law</w:t>
      </w:r>
      <w:r w:rsidR="006F0B69">
        <w:rPr>
          <w:b/>
          <w:bCs/>
          <w:szCs w:val="24"/>
          <w:lang w:val="en-US"/>
        </w:rPr>
        <w:t xml:space="preserve"> and </w:t>
      </w:r>
      <w:r w:rsidR="00045948">
        <w:rPr>
          <w:b/>
          <w:bCs/>
          <w:szCs w:val="24"/>
          <w:lang w:val="en-US"/>
        </w:rPr>
        <w:t>that</w:t>
      </w:r>
      <w:r w:rsidR="006F0B69">
        <w:rPr>
          <w:b/>
          <w:bCs/>
          <w:szCs w:val="24"/>
          <w:lang w:val="en-US"/>
        </w:rPr>
        <w:t xml:space="preserve"> </w:t>
      </w:r>
      <w:r w:rsidR="00045948">
        <w:rPr>
          <w:b/>
          <w:bCs/>
          <w:szCs w:val="24"/>
          <w:lang w:val="en-US"/>
        </w:rPr>
        <w:t xml:space="preserve">the Equal Opportunities Commission be </w:t>
      </w:r>
      <w:r w:rsidR="006F0B69">
        <w:rPr>
          <w:b/>
          <w:bCs/>
          <w:szCs w:val="24"/>
          <w:lang w:val="en-US"/>
        </w:rPr>
        <w:t>strengthen</w:t>
      </w:r>
      <w:r w:rsidR="00045948">
        <w:rPr>
          <w:b/>
          <w:bCs/>
          <w:szCs w:val="24"/>
          <w:lang w:val="en-US"/>
        </w:rPr>
        <w:t>ed</w:t>
      </w:r>
      <w:r w:rsidRPr="0088419E">
        <w:rPr>
          <w:b/>
          <w:bCs/>
          <w:szCs w:val="24"/>
          <w:lang w:val="en-US"/>
        </w:rPr>
        <w:t>.</w:t>
      </w:r>
    </w:p>
    <w:p w:rsidR="00CD3580" w:rsidRPr="00CD3580" w:rsidRDefault="00CD3580" w:rsidP="009151AE">
      <w:pPr>
        <w:rPr>
          <w:lang w:eastAsia="en-US"/>
        </w:rPr>
      </w:pPr>
    </w:p>
    <w:p w:rsidR="005A62EF" w:rsidRPr="00CD3580" w:rsidRDefault="005A62EF" w:rsidP="009151AE">
      <w:pPr>
        <w:numPr>
          <w:ilvl w:val="0"/>
          <w:numId w:val="13"/>
        </w:numPr>
        <w:tabs>
          <w:tab w:val="clear" w:pos="851"/>
          <w:tab w:val="num" w:pos="0"/>
        </w:tabs>
        <w:rPr>
          <w:color w:val="000000"/>
        </w:rPr>
      </w:pPr>
      <w:r w:rsidRPr="0088419E">
        <w:t xml:space="preserve">While noting the </w:t>
      </w:r>
      <w:r w:rsidR="004278AD" w:rsidRPr="0088419E">
        <w:t>planned</w:t>
      </w:r>
      <w:r w:rsidRPr="0088419E">
        <w:t xml:space="preserve"> legislative framework for torture claimants in Hong Kong SAR, the Committee is concerned that the State party has not adopted a refugee law </w:t>
      </w:r>
      <w:r w:rsidR="004278AD" w:rsidRPr="0088419E">
        <w:t>as such, including</w:t>
      </w:r>
      <w:r w:rsidRPr="0088419E">
        <w:t xml:space="preserve"> a screening procedure </w:t>
      </w:r>
      <w:r w:rsidR="00E7415B">
        <w:t>for</w:t>
      </w:r>
      <w:r w:rsidR="00E7415B" w:rsidRPr="0088419E">
        <w:t xml:space="preserve"> </w:t>
      </w:r>
      <w:r w:rsidRPr="0088419E">
        <w:t>asylum claims. (art. 5</w:t>
      </w:r>
      <w:r w:rsidR="00E7415B">
        <w:t xml:space="preserve"> </w:t>
      </w:r>
      <w:r w:rsidRPr="0088419E">
        <w:t>(b))</w:t>
      </w:r>
    </w:p>
    <w:p w:rsidR="00CD3580" w:rsidRPr="0088419E" w:rsidRDefault="00CD3580" w:rsidP="009151AE">
      <w:pPr>
        <w:ind w:left="357"/>
        <w:jc w:val="both"/>
        <w:rPr>
          <w:color w:val="000000"/>
        </w:rPr>
      </w:pPr>
    </w:p>
    <w:p w:rsidR="005A62EF" w:rsidRPr="0088419E" w:rsidRDefault="005A62EF" w:rsidP="009151AE">
      <w:pPr>
        <w:ind w:left="1134"/>
        <w:rPr>
          <w:b/>
          <w:bCs/>
        </w:rPr>
      </w:pPr>
      <w:r w:rsidRPr="0088419E">
        <w:rPr>
          <w:b/>
          <w:bCs/>
        </w:rPr>
        <w:t xml:space="preserve">The Committee </w:t>
      </w:r>
      <w:r w:rsidR="002503E7" w:rsidRPr="0088419E">
        <w:rPr>
          <w:b/>
          <w:bCs/>
        </w:rPr>
        <w:t>recommends</w:t>
      </w:r>
      <w:r w:rsidRPr="0088419E">
        <w:rPr>
          <w:b/>
          <w:bCs/>
        </w:rPr>
        <w:t xml:space="preserve"> t</w:t>
      </w:r>
      <w:r w:rsidR="002503E7" w:rsidRPr="0088419E">
        <w:rPr>
          <w:b/>
          <w:bCs/>
        </w:rPr>
        <w:t>he</w:t>
      </w:r>
      <w:r w:rsidRPr="0088419E">
        <w:rPr>
          <w:b/>
          <w:bCs/>
        </w:rPr>
        <w:t xml:space="preserve"> adopt</w:t>
      </w:r>
      <w:r w:rsidR="002503E7" w:rsidRPr="0088419E">
        <w:rPr>
          <w:b/>
          <w:bCs/>
        </w:rPr>
        <w:t>ion of</w:t>
      </w:r>
      <w:r w:rsidRPr="0088419E">
        <w:rPr>
          <w:b/>
          <w:bCs/>
        </w:rPr>
        <w:t xml:space="preserve"> a law on refugees</w:t>
      </w:r>
      <w:r w:rsidR="002503E7" w:rsidRPr="0088419E">
        <w:rPr>
          <w:b/>
          <w:bCs/>
        </w:rPr>
        <w:t>,</w:t>
      </w:r>
      <w:r w:rsidRPr="0088419E">
        <w:rPr>
          <w:b/>
          <w:bCs/>
        </w:rPr>
        <w:t xml:space="preserve"> with a view to establishing a comprehensive procedure for the screening of individual asylum claims. It furthermore recommends </w:t>
      </w:r>
      <w:r w:rsidR="00FA5011">
        <w:rPr>
          <w:b/>
          <w:bCs/>
        </w:rPr>
        <w:t xml:space="preserve">that </w:t>
      </w:r>
      <w:r w:rsidRPr="0088419E">
        <w:rPr>
          <w:b/>
          <w:bCs/>
        </w:rPr>
        <w:t>the rights of asylum</w:t>
      </w:r>
      <w:r w:rsidR="004278AD" w:rsidRPr="0088419E">
        <w:rPr>
          <w:b/>
          <w:bCs/>
        </w:rPr>
        <w:t>-</w:t>
      </w:r>
      <w:r w:rsidRPr="0088419E">
        <w:rPr>
          <w:b/>
          <w:bCs/>
        </w:rPr>
        <w:t>seekers to information, interpretation, legal assistance and judicial remedies</w:t>
      </w:r>
      <w:r w:rsidR="002503E7" w:rsidRPr="0088419E">
        <w:rPr>
          <w:b/>
          <w:bCs/>
        </w:rPr>
        <w:t xml:space="preserve"> be guaranteed</w:t>
      </w:r>
      <w:r w:rsidRPr="0088419E">
        <w:rPr>
          <w:b/>
          <w:bCs/>
        </w:rPr>
        <w:t xml:space="preserve">. The Committee also encourages </w:t>
      </w:r>
      <w:r w:rsidR="002503E7" w:rsidRPr="0088419E">
        <w:rPr>
          <w:b/>
          <w:bCs/>
        </w:rPr>
        <w:t xml:space="preserve">the renewed </w:t>
      </w:r>
      <w:r w:rsidRPr="0088419E">
        <w:rPr>
          <w:b/>
          <w:bCs/>
        </w:rPr>
        <w:t>consider</w:t>
      </w:r>
      <w:r w:rsidR="002503E7" w:rsidRPr="0088419E">
        <w:rPr>
          <w:b/>
          <w:bCs/>
        </w:rPr>
        <w:t>ation of the</w:t>
      </w:r>
      <w:r w:rsidRPr="0088419E">
        <w:rPr>
          <w:b/>
          <w:bCs/>
        </w:rPr>
        <w:t xml:space="preserve"> ratif</w:t>
      </w:r>
      <w:r w:rsidR="002503E7" w:rsidRPr="0088419E">
        <w:rPr>
          <w:b/>
          <w:bCs/>
        </w:rPr>
        <w:t>ication of</w:t>
      </w:r>
      <w:r w:rsidRPr="0088419E">
        <w:rPr>
          <w:b/>
          <w:bCs/>
        </w:rPr>
        <w:t xml:space="preserve"> the 1951 Convention relating to the Status of Refugees and its 1967 Protocol. </w:t>
      </w:r>
    </w:p>
    <w:p w:rsidR="005A62EF" w:rsidRDefault="005A62EF" w:rsidP="009151AE"/>
    <w:p w:rsidR="005A62EF" w:rsidRPr="00CD3580" w:rsidRDefault="005A62EF" w:rsidP="009151AE">
      <w:pPr>
        <w:numPr>
          <w:ilvl w:val="0"/>
          <w:numId w:val="13"/>
        </w:numPr>
        <w:rPr>
          <w:color w:val="000000"/>
        </w:rPr>
      </w:pPr>
      <w:r w:rsidRPr="0088419E">
        <w:t xml:space="preserve">Despite the </w:t>
      </w:r>
      <w:r w:rsidR="002503E7" w:rsidRPr="0088419E">
        <w:t xml:space="preserve">adoption of </w:t>
      </w:r>
      <w:r w:rsidRPr="0088419E">
        <w:t xml:space="preserve">legislative measures aimed at combating discrimination in Hong Kong SAR, the Committee reiterates its concern </w:t>
      </w:r>
      <w:r w:rsidRPr="0088419E">
        <w:rPr>
          <w:lang w:eastAsia="en-US"/>
        </w:rPr>
        <w:t xml:space="preserve">(A/56/18, para. 248) </w:t>
      </w:r>
      <w:r w:rsidRPr="0088419E">
        <w:t xml:space="preserve">at the situation of migrant workers, and in particular domestic migrant workers. It notes with concern that the “two-weeks rule” </w:t>
      </w:r>
      <w:r w:rsidR="00F52097" w:rsidRPr="00FC4E8D">
        <w:t>(</w:t>
      </w:r>
      <w:r w:rsidR="00FC4E8D">
        <w:t xml:space="preserve">whereby domestic migrant workers have to leave </w:t>
      </w:r>
      <w:smartTag w:uri="urn:schemas-microsoft-com:office:smarttags" w:element="place">
        <w:r w:rsidR="00FC4E8D" w:rsidRPr="00FC4E8D">
          <w:t>Hong Kong</w:t>
        </w:r>
      </w:smartTag>
      <w:r w:rsidR="00FC4E8D" w:rsidRPr="00FC4E8D">
        <w:t xml:space="preserve"> </w:t>
      </w:r>
      <w:r w:rsidR="00FC4E8D">
        <w:t xml:space="preserve">within </w:t>
      </w:r>
      <w:r w:rsidR="00FC4E8D" w:rsidRPr="00FC4E8D">
        <w:t xml:space="preserve">two weeks </w:t>
      </w:r>
      <w:r w:rsidR="00F52097" w:rsidRPr="00FC4E8D">
        <w:t>upon termination of contract)</w:t>
      </w:r>
      <w:r w:rsidR="00F52097">
        <w:t xml:space="preserve"> </w:t>
      </w:r>
      <w:r w:rsidRPr="0088419E">
        <w:t>continues to be in force</w:t>
      </w:r>
      <w:r w:rsidR="00BB6BA0">
        <w:t>,</w:t>
      </w:r>
      <w:r w:rsidR="00964804">
        <w:t xml:space="preserve"> as well as the live-in requirement,</w:t>
      </w:r>
      <w:r w:rsidRPr="0088419E">
        <w:t xml:space="preserve"> and that migrant workers may be subject to longer working hours, </w:t>
      </w:r>
      <w:r w:rsidR="00964804">
        <w:t xml:space="preserve">and </w:t>
      </w:r>
      <w:r w:rsidRPr="0088419E">
        <w:t>shorter rest and holiday periods. (art. 5</w:t>
      </w:r>
      <w:r w:rsidR="002D0B48">
        <w:t xml:space="preserve"> </w:t>
      </w:r>
      <w:r w:rsidRPr="0088419E">
        <w:t>(e))</w:t>
      </w:r>
    </w:p>
    <w:p w:rsidR="00CD3580" w:rsidRPr="0088419E" w:rsidRDefault="00CD3580" w:rsidP="009151AE">
      <w:pPr>
        <w:jc w:val="both"/>
        <w:rPr>
          <w:color w:val="000000"/>
        </w:rPr>
      </w:pPr>
    </w:p>
    <w:p w:rsidR="005A62EF" w:rsidRPr="0088419E" w:rsidRDefault="005A62EF" w:rsidP="009151AE">
      <w:pPr>
        <w:tabs>
          <w:tab w:val="left" w:pos="2400"/>
        </w:tabs>
        <w:ind w:left="720"/>
        <w:rPr>
          <w:b/>
          <w:bCs/>
        </w:rPr>
      </w:pPr>
      <w:r w:rsidRPr="0088419E">
        <w:rPr>
          <w:b/>
          <w:bCs/>
        </w:rPr>
        <w:t>The Committee recommends that effective measures</w:t>
      </w:r>
      <w:r w:rsidR="0008336D" w:rsidRPr="0088419E">
        <w:rPr>
          <w:b/>
          <w:bCs/>
        </w:rPr>
        <w:t xml:space="preserve"> be</w:t>
      </w:r>
      <w:r w:rsidR="00964804">
        <w:rPr>
          <w:b/>
          <w:bCs/>
        </w:rPr>
        <w:t xml:space="preserve"> </w:t>
      </w:r>
      <w:r w:rsidR="0008336D" w:rsidRPr="0088419E">
        <w:rPr>
          <w:b/>
          <w:bCs/>
        </w:rPr>
        <w:t xml:space="preserve">taken </w:t>
      </w:r>
      <w:r w:rsidRPr="0088419E">
        <w:rPr>
          <w:b/>
          <w:bCs/>
        </w:rPr>
        <w:t xml:space="preserve">to ensure that domestic migrant workers are not discriminated against. It </w:t>
      </w:r>
      <w:r w:rsidR="0091234A">
        <w:rPr>
          <w:b/>
          <w:bCs/>
          <w:lang w:eastAsia="en-US"/>
        </w:rPr>
        <w:t>call</w:t>
      </w:r>
      <w:r w:rsidR="0091234A" w:rsidRPr="0088419E">
        <w:rPr>
          <w:b/>
          <w:bCs/>
          <w:lang w:eastAsia="en-US"/>
        </w:rPr>
        <w:t xml:space="preserve">s </w:t>
      </w:r>
      <w:r w:rsidR="0091234A">
        <w:rPr>
          <w:b/>
          <w:bCs/>
          <w:lang w:eastAsia="en-US"/>
        </w:rPr>
        <w:t>upon</w:t>
      </w:r>
      <w:r w:rsidR="0091234A" w:rsidRPr="0088419E" w:rsidDel="0091234A">
        <w:rPr>
          <w:b/>
          <w:bCs/>
        </w:rPr>
        <w:t xml:space="preserve"> </w:t>
      </w:r>
      <w:r w:rsidRPr="0088419E">
        <w:rPr>
          <w:b/>
          <w:bCs/>
        </w:rPr>
        <w:t>repeal</w:t>
      </w:r>
      <w:r w:rsidR="0008336D" w:rsidRPr="0088419E">
        <w:rPr>
          <w:b/>
          <w:bCs/>
        </w:rPr>
        <w:t>ing of</w:t>
      </w:r>
      <w:r w:rsidRPr="0088419E">
        <w:rPr>
          <w:b/>
          <w:bCs/>
        </w:rPr>
        <w:t xml:space="preserve"> the “two-weeks rule” </w:t>
      </w:r>
      <w:r w:rsidR="00964804">
        <w:rPr>
          <w:b/>
          <w:bCs/>
        </w:rPr>
        <w:t xml:space="preserve">as well as the live-in requirement </w:t>
      </w:r>
      <w:r w:rsidRPr="0088419E">
        <w:rPr>
          <w:b/>
          <w:bCs/>
        </w:rPr>
        <w:t xml:space="preserve">and </w:t>
      </w:r>
      <w:r w:rsidR="00BB6BA0">
        <w:rPr>
          <w:b/>
          <w:bCs/>
        </w:rPr>
        <w:t xml:space="preserve">that the State party </w:t>
      </w:r>
      <w:r w:rsidRPr="0088419E">
        <w:rPr>
          <w:b/>
          <w:bCs/>
        </w:rPr>
        <w:t xml:space="preserve">adopt a more flexible approach to domestic migrant workers </w:t>
      </w:r>
      <w:r w:rsidR="00BB6BA0" w:rsidRPr="00BB6BA0">
        <w:rPr>
          <w:b/>
          <w:bCs/>
        </w:rPr>
        <w:t xml:space="preserve">in relation to </w:t>
      </w:r>
      <w:r w:rsidR="00BB6BA0">
        <w:rPr>
          <w:b/>
          <w:bCs/>
        </w:rPr>
        <w:t xml:space="preserve">their </w:t>
      </w:r>
      <w:r w:rsidR="00BB6BA0" w:rsidRPr="00BB6BA0">
        <w:rPr>
          <w:b/>
          <w:bCs/>
        </w:rPr>
        <w:t>working conditions and work requirements, including employment rules and practices with discriminatory purposes or effects</w:t>
      </w:r>
      <w:r w:rsidRPr="00BB6BA0">
        <w:rPr>
          <w:b/>
          <w:bCs/>
        </w:rPr>
        <w:t>.</w:t>
      </w:r>
      <w:r w:rsidR="00EA6521">
        <w:rPr>
          <w:b/>
          <w:bCs/>
        </w:rPr>
        <w:t xml:space="preserve"> </w:t>
      </w:r>
      <w:r w:rsidRPr="00BB6BA0">
        <w:rPr>
          <w:b/>
          <w:bCs/>
        </w:rPr>
        <w:t>The Committe</w:t>
      </w:r>
      <w:r w:rsidRPr="0088419E">
        <w:rPr>
          <w:b/>
          <w:bCs/>
        </w:rPr>
        <w:t xml:space="preserve">e also draws attention to its </w:t>
      </w:r>
      <w:r w:rsidR="002D0B48">
        <w:rPr>
          <w:b/>
          <w:bCs/>
        </w:rPr>
        <w:t>g</w:t>
      </w:r>
      <w:r w:rsidRPr="0088419E">
        <w:rPr>
          <w:b/>
          <w:bCs/>
        </w:rPr>
        <w:t xml:space="preserve">eneral </w:t>
      </w:r>
      <w:r w:rsidR="002D0B48">
        <w:rPr>
          <w:b/>
          <w:bCs/>
        </w:rPr>
        <w:t>r</w:t>
      </w:r>
      <w:r w:rsidR="00B23CBF">
        <w:rPr>
          <w:b/>
          <w:bCs/>
        </w:rPr>
        <w:t>ecommendation</w:t>
      </w:r>
      <w:r w:rsidRPr="0088419E">
        <w:rPr>
          <w:b/>
          <w:bCs/>
        </w:rPr>
        <w:t xml:space="preserve"> </w:t>
      </w:r>
      <w:r w:rsidR="00DC058F">
        <w:rPr>
          <w:b/>
          <w:bCs/>
        </w:rPr>
        <w:t>N</w:t>
      </w:r>
      <w:r w:rsidRPr="0088419E">
        <w:rPr>
          <w:b/>
          <w:bCs/>
        </w:rPr>
        <w:t>o. 30.</w:t>
      </w:r>
    </w:p>
    <w:p w:rsidR="005A62EF" w:rsidRPr="0088419E" w:rsidRDefault="005A62EF" w:rsidP="009151AE">
      <w:pPr>
        <w:ind w:left="720"/>
        <w:jc w:val="both"/>
        <w:rPr>
          <w:b/>
          <w:bCs/>
        </w:rPr>
      </w:pPr>
    </w:p>
    <w:p w:rsidR="005A62EF" w:rsidRDefault="005A62EF" w:rsidP="009151AE">
      <w:pPr>
        <w:numPr>
          <w:ilvl w:val="0"/>
          <w:numId w:val="13"/>
        </w:numPr>
        <w:tabs>
          <w:tab w:val="clear" w:pos="851"/>
          <w:tab w:val="num" w:pos="0"/>
        </w:tabs>
        <w:rPr>
          <w:color w:val="000000"/>
        </w:rPr>
      </w:pPr>
      <w:r w:rsidRPr="0088419E">
        <w:rPr>
          <w:color w:val="000000"/>
        </w:rPr>
        <w:t xml:space="preserve">Despite the provision of a </w:t>
      </w:r>
      <w:r w:rsidR="002D0B48">
        <w:rPr>
          <w:color w:val="000000"/>
        </w:rPr>
        <w:t>s</w:t>
      </w:r>
      <w:r w:rsidRPr="0088419E">
        <w:rPr>
          <w:color w:val="000000"/>
        </w:rPr>
        <w:t xml:space="preserve">upplementary </w:t>
      </w:r>
      <w:r w:rsidR="002D0B48">
        <w:rPr>
          <w:color w:val="000000"/>
        </w:rPr>
        <w:t>g</w:t>
      </w:r>
      <w:r w:rsidRPr="0088419E">
        <w:rPr>
          <w:color w:val="000000"/>
        </w:rPr>
        <w:t xml:space="preserve">uide to the Chinese language curriculum, the Committee is concerned that no official education policy for teaching Chinese as a second language for non-Chinese speaking students with an </w:t>
      </w:r>
      <w:r w:rsidR="00BB6BA0">
        <w:rPr>
          <w:color w:val="000000"/>
        </w:rPr>
        <w:t>immigrant</w:t>
      </w:r>
      <w:r w:rsidRPr="0088419E">
        <w:rPr>
          <w:color w:val="000000"/>
        </w:rPr>
        <w:t xml:space="preserve"> background in </w:t>
      </w:r>
      <w:smartTag w:uri="urn:schemas-microsoft-com:office:smarttags" w:element="place">
        <w:r w:rsidRPr="0088419E">
          <w:rPr>
            <w:color w:val="000000"/>
          </w:rPr>
          <w:t>Hong Kong</w:t>
        </w:r>
      </w:smartTag>
      <w:r w:rsidR="005C3B1B" w:rsidRPr="0088419E">
        <w:rPr>
          <w:color w:val="000000"/>
        </w:rPr>
        <w:t xml:space="preserve"> has been adopted</w:t>
      </w:r>
      <w:r w:rsidRPr="0088419E">
        <w:rPr>
          <w:color w:val="000000"/>
        </w:rPr>
        <w:t>. (art. 5</w:t>
      </w:r>
      <w:r w:rsidR="002D0B48">
        <w:rPr>
          <w:color w:val="000000"/>
        </w:rPr>
        <w:t xml:space="preserve"> </w:t>
      </w:r>
      <w:r w:rsidRPr="0088419E">
        <w:rPr>
          <w:color w:val="000000"/>
        </w:rPr>
        <w:t>(e))</w:t>
      </w:r>
    </w:p>
    <w:p w:rsidR="00CD3580" w:rsidRPr="0088419E" w:rsidRDefault="00CD3580" w:rsidP="009151AE">
      <w:pPr>
        <w:ind w:left="357"/>
        <w:jc w:val="both"/>
        <w:rPr>
          <w:color w:val="000000"/>
        </w:rPr>
      </w:pPr>
    </w:p>
    <w:p w:rsidR="005A62EF" w:rsidRPr="0088419E" w:rsidRDefault="005A62EF" w:rsidP="009151AE">
      <w:pPr>
        <w:ind w:left="1134"/>
        <w:rPr>
          <w:b/>
          <w:color w:val="000000"/>
        </w:rPr>
      </w:pPr>
      <w:r w:rsidRPr="0088419E">
        <w:rPr>
          <w:b/>
          <w:color w:val="000000"/>
        </w:rPr>
        <w:t xml:space="preserve">The Committee recommends that a policy on Chinese teaching for non-Chinese speaking students from </w:t>
      </w:r>
      <w:r w:rsidR="007D66B4">
        <w:rPr>
          <w:b/>
          <w:color w:val="000000"/>
        </w:rPr>
        <w:t>imm</w:t>
      </w:r>
      <w:r w:rsidR="004B64D4">
        <w:rPr>
          <w:b/>
          <w:color w:val="000000"/>
        </w:rPr>
        <w:t>i</w:t>
      </w:r>
      <w:r w:rsidR="007D66B4">
        <w:rPr>
          <w:b/>
          <w:color w:val="000000"/>
        </w:rPr>
        <w:t>grant</w:t>
      </w:r>
      <w:r w:rsidR="00BB6BA0">
        <w:rPr>
          <w:b/>
          <w:color w:val="000000"/>
        </w:rPr>
        <w:t xml:space="preserve"> background</w:t>
      </w:r>
      <w:r w:rsidR="007D66B4">
        <w:rPr>
          <w:b/>
          <w:color w:val="000000"/>
        </w:rPr>
        <w:t xml:space="preserve"> </w:t>
      </w:r>
      <w:r w:rsidR="005C3B1B" w:rsidRPr="0088419E">
        <w:rPr>
          <w:b/>
          <w:color w:val="000000"/>
        </w:rPr>
        <w:t>be developed</w:t>
      </w:r>
      <w:r w:rsidRPr="0088419E">
        <w:rPr>
          <w:b/>
          <w:color w:val="000000"/>
        </w:rPr>
        <w:t xml:space="preserve"> in consultation with teachers as well as the communities concerned. </w:t>
      </w:r>
      <w:r w:rsidR="005C3B1B" w:rsidRPr="0088419E">
        <w:rPr>
          <w:b/>
          <w:color w:val="000000"/>
        </w:rPr>
        <w:t>E</w:t>
      </w:r>
      <w:r w:rsidRPr="0088419E">
        <w:rPr>
          <w:b/>
          <w:color w:val="000000"/>
        </w:rPr>
        <w:t xml:space="preserve">fforts to improve the quality of Chinese language education for </w:t>
      </w:r>
      <w:r w:rsidR="00BB6BA0">
        <w:rPr>
          <w:b/>
          <w:color w:val="000000"/>
        </w:rPr>
        <w:t>immigrant</w:t>
      </w:r>
      <w:r w:rsidRPr="0088419E">
        <w:rPr>
          <w:b/>
          <w:color w:val="000000"/>
        </w:rPr>
        <w:t xml:space="preserve"> children</w:t>
      </w:r>
      <w:r w:rsidR="005C3B1B" w:rsidRPr="0088419E">
        <w:rPr>
          <w:b/>
          <w:color w:val="000000"/>
        </w:rPr>
        <w:t xml:space="preserve"> should be intensified</w:t>
      </w:r>
      <w:r w:rsidRPr="0088419E">
        <w:rPr>
          <w:b/>
          <w:color w:val="000000"/>
        </w:rPr>
        <w:t xml:space="preserve">. </w:t>
      </w:r>
    </w:p>
    <w:p w:rsidR="000A6875" w:rsidRPr="00CD3580" w:rsidRDefault="005A62EF" w:rsidP="009151AE">
      <w:pPr>
        <w:ind w:left="360"/>
        <w:jc w:val="both"/>
        <w:rPr>
          <w:color w:val="000000"/>
        </w:rPr>
      </w:pPr>
      <w:r w:rsidRPr="0088419E">
        <w:rPr>
          <w:color w:val="000000"/>
        </w:rPr>
        <w:t xml:space="preserve"> </w:t>
      </w:r>
    </w:p>
    <w:p w:rsidR="000A6875" w:rsidRDefault="000A6875" w:rsidP="009151AE">
      <w:pPr>
        <w:numPr>
          <w:ilvl w:val="0"/>
          <w:numId w:val="13"/>
        </w:numPr>
        <w:tabs>
          <w:tab w:val="clear" w:pos="851"/>
          <w:tab w:val="num" w:pos="0"/>
        </w:tabs>
        <w:rPr>
          <w:color w:val="000000"/>
        </w:rPr>
      </w:pPr>
      <w:r w:rsidRPr="0088419E">
        <w:rPr>
          <w:color w:val="000000"/>
        </w:rPr>
        <w:t>While welcoming the adoption of new legislation</w:t>
      </w:r>
      <w:r w:rsidR="00FA46A5">
        <w:rPr>
          <w:color w:val="000000"/>
        </w:rPr>
        <w:t xml:space="preserve"> on trafficking</w:t>
      </w:r>
      <w:r w:rsidRPr="0088419E">
        <w:rPr>
          <w:color w:val="000000"/>
        </w:rPr>
        <w:t>, the Committee is concerned that trafficking in persons continues to be a serious problem in the Macau SAR, bearing in mind that victims are often women and children belonging to ethnic minorities or non-citizens. (art</w:t>
      </w:r>
      <w:r w:rsidR="002D2D1D">
        <w:rPr>
          <w:color w:val="000000"/>
        </w:rPr>
        <w:t>.</w:t>
      </w:r>
      <w:r w:rsidRPr="0088419E">
        <w:rPr>
          <w:color w:val="000000"/>
        </w:rPr>
        <w:t xml:space="preserve"> 5 (b) and (e)). </w:t>
      </w:r>
    </w:p>
    <w:p w:rsidR="00CD3580" w:rsidRPr="0088419E" w:rsidRDefault="00CD3580" w:rsidP="009151AE">
      <w:pPr>
        <w:ind w:left="357"/>
        <w:jc w:val="both"/>
        <w:rPr>
          <w:color w:val="000000"/>
        </w:rPr>
      </w:pPr>
    </w:p>
    <w:p w:rsidR="000A6875" w:rsidRPr="0088419E" w:rsidRDefault="000A6875" w:rsidP="009151AE">
      <w:pPr>
        <w:ind w:left="1134"/>
        <w:rPr>
          <w:b/>
          <w:color w:val="000000"/>
        </w:rPr>
      </w:pPr>
      <w:r w:rsidRPr="0088419E">
        <w:rPr>
          <w:b/>
          <w:color w:val="000000"/>
        </w:rPr>
        <w:t xml:space="preserve">The Committee recommends the reinforcement </w:t>
      </w:r>
      <w:r w:rsidR="002D2D1D" w:rsidRPr="0088419E">
        <w:rPr>
          <w:b/>
          <w:color w:val="000000"/>
        </w:rPr>
        <w:t>of measures</w:t>
      </w:r>
      <w:r w:rsidRPr="0088419E">
        <w:rPr>
          <w:b/>
          <w:color w:val="000000"/>
        </w:rPr>
        <w:t xml:space="preserve"> to adequately prevent, combat and punish human trafficking, especially of non-citizens. It expects to receive, in the next periodic report, detailed statistical information in this regard, including on protection and reparation provided to the victims.</w:t>
      </w:r>
    </w:p>
    <w:p w:rsidR="000A6875" w:rsidRPr="0088419E" w:rsidRDefault="000A6875" w:rsidP="009151AE">
      <w:pPr>
        <w:ind w:left="360"/>
        <w:jc w:val="both"/>
        <w:rPr>
          <w:color w:val="000000"/>
        </w:rPr>
      </w:pPr>
    </w:p>
    <w:p w:rsidR="005A62EF" w:rsidRPr="00CD3580" w:rsidRDefault="005A62EF" w:rsidP="009151AE">
      <w:pPr>
        <w:numPr>
          <w:ilvl w:val="0"/>
          <w:numId w:val="13"/>
        </w:numPr>
        <w:rPr>
          <w:color w:val="000000"/>
        </w:rPr>
      </w:pPr>
      <w:r w:rsidRPr="0088419E">
        <w:t xml:space="preserve">Notwithstanding the explanation provided by the delegation, the Committee notes with concern that migrant workers are excluded from the social welfare system in </w:t>
      </w:r>
      <w:r w:rsidR="00A54283" w:rsidRPr="0088419E">
        <w:t xml:space="preserve">the </w:t>
      </w:r>
      <w:r w:rsidRPr="0088419E">
        <w:t>Macau SAR. (art. 5</w:t>
      </w:r>
      <w:r w:rsidR="0028598A">
        <w:t xml:space="preserve"> </w:t>
      </w:r>
      <w:r w:rsidRPr="0088419E">
        <w:t>(e))</w:t>
      </w:r>
    </w:p>
    <w:p w:rsidR="00CD3580" w:rsidRPr="0088419E" w:rsidRDefault="00CD3580" w:rsidP="009151AE">
      <w:pPr>
        <w:ind w:left="357"/>
        <w:jc w:val="both"/>
        <w:rPr>
          <w:color w:val="000000"/>
        </w:rPr>
      </w:pPr>
    </w:p>
    <w:p w:rsidR="005A62EF" w:rsidRPr="0088419E" w:rsidRDefault="005A62EF" w:rsidP="009151AE">
      <w:pPr>
        <w:ind w:left="1134"/>
        <w:rPr>
          <w:b/>
          <w:bCs/>
        </w:rPr>
      </w:pPr>
      <w:r w:rsidRPr="0088419E">
        <w:rPr>
          <w:b/>
          <w:bCs/>
        </w:rPr>
        <w:t xml:space="preserve">The Committee recommends that </w:t>
      </w:r>
      <w:r w:rsidR="005C3B1B" w:rsidRPr="0088419E">
        <w:rPr>
          <w:b/>
          <w:bCs/>
        </w:rPr>
        <w:t>relevant</w:t>
      </w:r>
      <w:r w:rsidRPr="0088419E">
        <w:rPr>
          <w:b/>
          <w:bCs/>
        </w:rPr>
        <w:t xml:space="preserve"> legislation </w:t>
      </w:r>
      <w:r w:rsidR="005C3B1B" w:rsidRPr="0088419E">
        <w:rPr>
          <w:b/>
          <w:bCs/>
        </w:rPr>
        <w:t xml:space="preserve">be amended </w:t>
      </w:r>
      <w:r w:rsidRPr="0088419E">
        <w:rPr>
          <w:b/>
          <w:bCs/>
        </w:rPr>
        <w:t xml:space="preserve">with a view to extending social welfare </w:t>
      </w:r>
      <w:r w:rsidR="00AD1832">
        <w:rPr>
          <w:b/>
          <w:bCs/>
        </w:rPr>
        <w:t xml:space="preserve">benefits </w:t>
      </w:r>
      <w:r w:rsidRPr="0088419E">
        <w:rPr>
          <w:b/>
          <w:bCs/>
        </w:rPr>
        <w:t xml:space="preserve">to all workers, including migrant workers. </w:t>
      </w:r>
    </w:p>
    <w:p w:rsidR="005A62EF" w:rsidRPr="0088419E" w:rsidRDefault="005A62EF" w:rsidP="009151AE"/>
    <w:p w:rsidR="00F54166" w:rsidRDefault="00F54166" w:rsidP="009151AE">
      <w:pPr>
        <w:pStyle w:val="Default"/>
        <w:numPr>
          <w:ilvl w:val="0"/>
          <w:numId w:val="13"/>
        </w:numPr>
        <w:jc w:val="both"/>
        <w:rPr>
          <w:lang w:val="en-GB"/>
        </w:rPr>
      </w:pPr>
      <w:r>
        <w:rPr>
          <w:lang w:val="en-GB"/>
        </w:rPr>
        <w:t>Bearing in mind the indivisibility of all human rights, t</w:t>
      </w:r>
      <w:r w:rsidRPr="00B21F7F">
        <w:rPr>
          <w:lang w:val="en-GB"/>
        </w:rPr>
        <w:t>he Committee encourages the State party to consider ratifying</w:t>
      </w:r>
      <w:r>
        <w:rPr>
          <w:lang w:val="en-GB"/>
        </w:rPr>
        <w:t xml:space="preserve"> </w:t>
      </w:r>
      <w:r w:rsidRPr="00265CD3">
        <w:rPr>
          <w:lang w:val="en-GB"/>
        </w:rPr>
        <w:t xml:space="preserve">those international human rights treaties </w:t>
      </w:r>
      <w:r>
        <w:rPr>
          <w:lang w:val="en-GB"/>
        </w:rPr>
        <w:t xml:space="preserve">which it has not yet ratified, </w:t>
      </w:r>
      <w:r w:rsidRPr="00265CD3">
        <w:rPr>
          <w:lang w:val="en-GB"/>
        </w:rPr>
        <w:t xml:space="preserve">in particular treaties </w:t>
      </w:r>
      <w:r>
        <w:rPr>
          <w:lang w:val="en-GB"/>
        </w:rPr>
        <w:t xml:space="preserve">the provisions of </w:t>
      </w:r>
      <w:r w:rsidRPr="00265CD3">
        <w:rPr>
          <w:lang w:val="en-GB"/>
        </w:rPr>
        <w:t>which</w:t>
      </w:r>
      <w:r>
        <w:rPr>
          <w:lang w:val="en-GB"/>
        </w:rPr>
        <w:t xml:space="preserve"> have a direct bearing on</w:t>
      </w:r>
      <w:r w:rsidRPr="00265CD3">
        <w:rPr>
          <w:lang w:val="en-GB"/>
        </w:rPr>
        <w:t xml:space="preserve"> </w:t>
      </w:r>
      <w:r>
        <w:rPr>
          <w:lang w:val="en-GB"/>
        </w:rPr>
        <w:t xml:space="preserve">the subject of </w:t>
      </w:r>
      <w:r w:rsidRPr="00265CD3">
        <w:rPr>
          <w:lang w:val="en-GB"/>
        </w:rPr>
        <w:t>racial discrimination, such as</w:t>
      </w:r>
      <w:r>
        <w:rPr>
          <w:b/>
          <w:bCs/>
          <w:lang w:val="en-GB"/>
        </w:rPr>
        <w:t xml:space="preserve"> </w:t>
      </w:r>
      <w:r w:rsidRPr="00B21F7F">
        <w:rPr>
          <w:lang w:val="en-GB"/>
        </w:rPr>
        <w:t>the International Convention on the Protection of the Rights of All Migrant Workers and Members of Their Families.</w:t>
      </w:r>
      <w:r>
        <w:rPr>
          <w:lang w:val="en-GB"/>
        </w:rPr>
        <w:t xml:space="preserve">    </w:t>
      </w:r>
    </w:p>
    <w:p w:rsidR="00F54166" w:rsidRPr="00B21F7F" w:rsidRDefault="00F54166" w:rsidP="009151AE">
      <w:pPr>
        <w:pStyle w:val="Default"/>
        <w:jc w:val="both"/>
        <w:rPr>
          <w:lang w:val="en-GB"/>
        </w:rPr>
      </w:pPr>
    </w:p>
    <w:p w:rsidR="00F54166" w:rsidRDefault="00F54166" w:rsidP="009151AE">
      <w:pPr>
        <w:pStyle w:val="Default"/>
        <w:numPr>
          <w:ilvl w:val="0"/>
          <w:numId w:val="13"/>
        </w:numPr>
        <w:rPr>
          <w:lang w:val="en-GB"/>
        </w:rPr>
      </w:pPr>
      <w:r w:rsidRPr="00B21F7F">
        <w:rPr>
          <w:lang w:val="en-GB"/>
        </w:rPr>
        <w:t>The Committee recommends that the State party take in</w:t>
      </w:r>
      <w:r>
        <w:rPr>
          <w:lang w:val="en-GB"/>
        </w:rPr>
        <w:t>to account</w:t>
      </w:r>
      <w:r w:rsidRPr="00B21F7F">
        <w:rPr>
          <w:lang w:val="en-GB"/>
        </w:rPr>
        <w:t xml:space="preserve"> the Durban Declaration and Programme of Action, adopted in September 2001 by the World Conference against Racism, Racial Discrimination, Xenophobia and Related Intole</w:t>
      </w:r>
      <w:r>
        <w:rPr>
          <w:lang w:val="en-GB"/>
        </w:rPr>
        <w:t>rance</w:t>
      </w:r>
      <w:r w:rsidRPr="00B21F7F">
        <w:rPr>
          <w:lang w:val="en-GB"/>
        </w:rPr>
        <w:t>,</w:t>
      </w:r>
      <w:r>
        <w:rPr>
          <w:lang w:val="en-GB"/>
        </w:rPr>
        <w:t xml:space="preserve"> </w:t>
      </w:r>
      <w:r w:rsidRPr="00265CD3">
        <w:rPr>
          <w:lang w:val="en-GB"/>
        </w:rPr>
        <w:t xml:space="preserve">as well as the </w:t>
      </w:r>
      <w:r w:rsidR="0028598A">
        <w:rPr>
          <w:lang w:val="en-GB"/>
        </w:rPr>
        <w:t>o</w:t>
      </w:r>
      <w:r w:rsidRPr="00265CD3">
        <w:rPr>
          <w:lang w:val="en-GB"/>
        </w:rPr>
        <w:t xml:space="preserve">utcome </w:t>
      </w:r>
      <w:r w:rsidR="0028598A">
        <w:rPr>
          <w:lang w:val="en-GB"/>
        </w:rPr>
        <w:t>d</w:t>
      </w:r>
      <w:r w:rsidRPr="00265CD3">
        <w:rPr>
          <w:lang w:val="en-GB"/>
        </w:rPr>
        <w:t xml:space="preserve">ocument of the Durban Review Conference, held in </w:t>
      </w:r>
      <w:smartTag w:uri="urn:schemas-microsoft-com:office:smarttags" w:element="place">
        <w:smartTag w:uri="urn:schemas-microsoft-com:office:smarttags" w:element="City">
          <w:r w:rsidRPr="00265CD3">
            <w:rPr>
              <w:lang w:val="en-GB"/>
            </w:rPr>
            <w:t>Geneva</w:t>
          </w:r>
        </w:smartTag>
      </w:smartTag>
      <w:r w:rsidRPr="00265CD3">
        <w:rPr>
          <w:lang w:val="en-GB"/>
        </w:rPr>
        <w:t xml:space="preserve"> in April 2009,</w:t>
      </w:r>
      <w:r w:rsidRPr="00B21F7F">
        <w:rPr>
          <w:lang w:val="en-GB"/>
        </w:rPr>
        <w:t xml:space="preserve"> when implementing the Convention in its domestic legal order. The Committee </w:t>
      </w:r>
      <w:r>
        <w:rPr>
          <w:lang w:val="en-GB"/>
        </w:rPr>
        <w:t>requests</w:t>
      </w:r>
      <w:r w:rsidRPr="00B21F7F">
        <w:rPr>
          <w:lang w:val="en-GB"/>
        </w:rPr>
        <w:t xml:space="preserve"> that the State party include in its next periodic report specific information on action plans and other measures taken to implement the Durban Declaration and Programme of Action at the national level. </w:t>
      </w:r>
    </w:p>
    <w:p w:rsidR="00F54166" w:rsidRDefault="00F54166" w:rsidP="009151AE">
      <w:pPr>
        <w:pStyle w:val="Default"/>
        <w:ind w:left="360"/>
        <w:jc w:val="both"/>
        <w:rPr>
          <w:lang w:val="en-GB"/>
        </w:rPr>
      </w:pPr>
    </w:p>
    <w:p w:rsidR="00F54166" w:rsidRPr="009A46B3" w:rsidRDefault="00F54166" w:rsidP="009151AE">
      <w:pPr>
        <w:pStyle w:val="Default"/>
        <w:numPr>
          <w:ilvl w:val="0"/>
          <w:numId w:val="13"/>
        </w:numPr>
        <w:rPr>
          <w:lang w:val="en-GB"/>
        </w:rPr>
      </w:pPr>
      <w:r w:rsidRPr="009A46B3">
        <w:rPr>
          <w:lang w:val="en-GB"/>
        </w:rPr>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r>
        <w:rPr>
          <w:lang w:val="en-GB"/>
        </w:rPr>
        <w:t xml:space="preserve"> </w:t>
      </w:r>
    </w:p>
    <w:p w:rsidR="00F54166" w:rsidRPr="00437B90" w:rsidRDefault="00F54166" w:rsidP="009151AE">
      <w:pPr>
        <w:pStyle w:val="Default"/>
        <w:jc w:val="both"/>
        <w:rPr>
          <w:i/>
          <w:iCs/>
          <w:lang w:val="en-GB"/>
        </w:rPr>
      </w:pPr>
    </w:p>
    <w:p w:rsidR="00F54166" w:rsidRDefault="00F54166" w:rsidP="009151AE">
      <w:pPr>
        <w:pStyle w:val="Default"/>
        <w:numPr>
          <w:ilvl w:val="0"/>
          <w:numId w:val="13"/>
        </w:numPr>
        <w:jc w:val="both"/>
        <w:rPr>
          <w:lang w:val="en-GB"/>
        </w:rPr>
      </w:pPr>
      <w:r w:rsidRPr="00B21F7F">
        <w:rPr>
          <w:lang w:val="en-GB"/>
        </w:rPr>
        <w:t xml:space="preserve">The Committee </w:t>
      </w:r>
      <w:r>
        <w:rPr>
          <w:lang w:val="en-GB"/>
        </w:rPr>
        <w:t>encourages</w:t>
      </w:r>
      <w:r w:rsidRPr="00B21F7F">
        <w:rPr>
          <w:lang w:val="en-GB"/>
        </w:rPr>
        <w:t xml:space="preserve"> the State party to </w:t>
      </w:r>
      <w:r>
        <w:rPr>
          <w:lang w:val="en-GB"/>
        </w:rPr>
        <w:t>consider making</w:t>
      </w:r>
      <w:r w:rsidRPr="00B21F7F">
        <w:rPr>
          <w:lang w:val="en-GB"/>
        </w:rPr>
        <w:t xml:space="preserve"> the optional declaration provided for in article 14 of the Convention. </w:t>
      </w:r>
      <w:r>
        <w:rPr>
          <w:lang w:val="en-GB"/>
        </w:rPr>
        <w:t xml:space="preserve"> </w:t>
      </w:r>
    </w:p>
    <w:p w:rsidR="00F54166" w:rsidRPr="00741755" w:rsidRDefault="00F54166" w:rsidP="009151AE">
      <w:pPr>
        <w:pStyle w:val="Default"/>
        <w:jc w:val="both"/>
        <w:rPr>
          <w:lang w:val="en-GB"/>
        </w:rPr>
      </w:pPr>
    </w:p>
    <w:p w:rsidR="00F54166" w:rsidRDefault="00F54166" w:rsidP="009151AE">
      <w:pPr>
        <w:pStyle w:val="Default"/>
        <w:numPr>
          <w:ilvl w:val="0"/>
          <w:numId w:val="13"/>
        </w:numPr>
        <w:rPr>
          <w:lang w:val="en-GB"/>
        </w:rPr>
      </w:pPr>
      <w:r w:rsidRPr="00B21F7F">
        <w:rPr>
          <w:lang w:val="en-GB"/>
        </w:rPr>
        <w:t xml:space="preserve">The Committee recommends that the </w:t>
      </w:r>
      <w:r w:rsidR="00A74D81">
        <w:rPr>
          <w:lang w:val="en-GB"/>
        </w:rPr>
        <w:t xml:space="preserve">reports of the </w:t>
      </w:r>
      <w:r w:rsidRPr="00B21F7F">
        <w:rPr>
          <w:lang w:val="en-GB"/>
        </w:rPr>
        <w:t>State party be made readily available</w:t>
      </w:r>
      <w:r>
        <w:rPr>
          <w:lang w:val="en-GB"/>
        </w:rPr>
        <w:t xml:space="preserve"> and accessible</w:t>
      </w:r>
      <w:r w:rsidRPr="00B21F7F">
        <w:rPr>
          <w:lang w:val="en-GB"/>
        </w:rPr>
        <w:t xml:space="preserve"> to the public at the time of their submission, and that the observations of the Committee with respect to these reports</w:t>
      </w:r>
      <w:r>
        <w:rPr>
          <w:lang w:val="en-GB"/>
        </w:rPr>
        <w:t xml:space="preserve"> be similarly publicized in the official and other commonly used languages, as appropriate</w:t>
      </w:r>
      <w:r w:rsidRPr="00B21F7F">
        <w:rPr>
          <w:lang w:val="en-GB"/>
        </w:rPr>
        <w:t>.</w:t>
      </w:r>
    </w:p>
    <w:p w:rsidR="00904F57" w:rsidRPr="00904F57" w:rsidRDefault="00904F57" w:rsidP="009151AE">
      <w:pPr>
        <w:pStyle w:val="Default"/>
        <w:ind w:left="360"/>
        <w:jc w:val="both"/>
        <w:rPr>
          <w:lang w:val="en-GB"/>
        </w:rPr>
      </w:pPr>
    </w:p>
    <w:p w:rsidR="00F54166" w:rsidRPr="00D55C6B" w:rsidRDefault="00904F57" w:rsidP="009151AE">
      <w:pPr>
        <w:pStyle w:val="Default"/>
        <w:numPr>
          <w:ilvl w:val="0"/>
          <w:numId w:val="13"/>
        </w:numPr>
        <w:rPr>
          <w:lang w:val="en-GB"/>
        </w:rPr>
      </w:pPr>
      <w:r>
        <w:t>T</w:t>
      </w:r>
      <w:r w:rsidR="00F54166">
        <w:t xml:space="preserve">he Committee encourages the State Party to </w:t>
      </w:r>
      <w:r w:rsidR="00F54166" w:rsidRPr="008F70C7">
        <w:t xml:space="preserve">submit </w:t>
      </w:r>
      <w:r>
        <w:t>its core document</w:t>
      </w:r>
      <w:r w:rsidR="00F54166" w:rsidRPr="008F70C7">
        <w:t xml:space="preserve"> in accordance with the harmonized guidelines on reporting </w:t>
      </w:r>
      <w:r w:rsidR="00F54166" w:rsidRPr="00B21F7F">
        <w:rPr>
          <w:lang w:val="en-GB"/>
        </w:rPr>
        <w:t xml:space="preserve">under the international human rights treaties, in particular those on the common core document, as adopted by the fifth </w:t>
      </w:r>
      <w:r w:rsidR="0028598A">
        <w:rPr>
          <w:lang w:val="en-GB"/>
        </w:rPr>
        <w:t>I</w:t>
      </w:r>
      <w:r w:rsidR="00F54166" w:rsidRPr="00B21F7F">
        <w:rPr>
          <w:lang w:val="en-GB"/>
        </w:rPr>
        <w:t xml:space="preserve">nter-Committee </w:t>
      </w:r>
      <w:r w:rsidR="0028598A">
        <w:rPr>
          <w:lang w:val="en-GB"/>
        </w:rPr>
        <w:t>M</w:t>
      </w:r>
      <w:r w:rsidR="00F54166" w:rsidRPr="00B21F7F">
        <w:rPr>
          <w:lang w:val="en-GB"/>
        </w:rPr>
        <w:t xml:space="preserve">eeting of the human rights treaty bodies held in June 2006 </w:t>
      </w:r>
      <w:r w:rsidR="00F54166" w:rsidRPr="008F70C7">
        <w:t>(HRI/GEN/2/Rev.4).</w:t>
      </w:r>
      <w:r w:rsidR="00F54166">
        <w:t xml:space="preserve"> </w:t>
      </w:r>
    </w:p>
    <w:p w:rsidR="00F54166" w:rsidRPr="00741755" w:rsidRDefault="00F54166" w:rsidP="009151AE">
      <w:pPr>
        <w:pStyle w:val="Default"/>
        <w:ind w:left="360"/>
        <w:jc w:val="both"/>
      </w:pPr>
    </w:p>
    <w:p w:rsidR="00F54166" w:rsidRPr="00D23F72" w:rsidRDefault="00F54166" w:rsidP="009151AE">
      <w:pPr>
        <w:pStyle w:val="Default"/>
        <w:numPr>
          <w:ilvl w:val="0"/>
          <w:numId w:val="13"/>
        </w:numPr>
        <w:rPr>
          <w:lang w:val="en-GB"/>
        </w:rPr>
      </w:pPr>
      <w:r w:rsidRPr="00D23F72">
        <w:rPr>
          <w:lang w:val="en-GB"/>
        </w:rPr>
        <w:t xml:space="preserve">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w:t>
      </w:r>
      <w:r w:rsidR="0002070D">
        <w:t>12, 15</w:t>
      </w:r>
      <w:r w:rsidR="00D23F72">
        <w:t>, 1</w:t>
      </w:r>
      <w:r w:rsidR="0002070D">
        <w:t>9</w:t>
      </w:r>
      <w:r w:rsidR="00D23F72">
        <w:t xml:space="preserve">, and </w:t>
      </w:r>
      <w:r w:rsidR="00DB234C">
        <w:t>3</w:t>
      </w:r>
      <w:r w:rsidR="00E62EE0">
        <w:t>0</w:t>
      </w:r>
      <w:r w:rsidR="00DB234C" w:rsidRPr="00D23F72" w:rsidDel="00D23F72">
        <w:rPr>
          <w:lang w:val="en-GB"/>
        </w:rPr>
        <w:t xml:space="preserve"> </w:t>
      </w:r>
      <w:r w:rsidR="00DB234C" w:rsidRPr="00D23F72">
        <w:rPr>
          <w:lang w:val="en-GB"/>
        </w:rPr>
        <w:t>above</w:t>
      </w:r>
      <w:r w:rsidRPr="00D23F72">
        <w:rPr>
          <w:lang w:val="en-GB"/>
        </w:rPr>
        <w:t xml:space="preserve">.   </w:t>
      </w:r>
    </w:p>
    <w:p w:rsidR="00F54166" w:rsidRPr="00D23F72" w:rsidRDefault="00F54166" w:rsidP="009151AE">
      <w:pPr>
        <w:pStyle w:val="Default"/>
        <w:ind w:left="360"/>
        <w:jc w:val="both"/>
        <w:rPr>
          <w:lang w:val="en-GB"/>
        </w:rPr>
      </w:pPr>
    </w:p>
    <w:p w:rsidR="00F54166" w:rsidRPr="00265CD3" w:rsidRDefault="00F54166" w:rsidP="009151AE">
      <w:pPr>
        <w:pStyle w:val="Default"/>
        <w:numPr>
          <w:ilvl w:val="0"/>
          <w:numId w:val="13"/>
        </w:numPr>
        <w:rPr>
          <w:lang w:val="en-GB"/>
        </w:rPr>
      </w:pPr>
      <w:r w:rsidRPr="00265CD3">
        <w:rPr>
          <w:lang w:val="en-GB"/>
        </w:rPr>
        <w:t xml:space="preserve">The Committee also wishes to draw the attention of the State party to the particular importance of recommendations </w:t>
      </w:r>
      <w:r w:rsidR="004B75A3">
        <w:rPr>
          <w:lang w:val="en-GB"/>
        </w:rPr>
        <w:t>1</w:t>
      </w:r>
      <w:r w:rsidR="0002070D">
        <w:rPr>
          <w:lang w:val="en-GB"/>
        </w:rPr>
        <w:t>4</w:t>
      </w:r>
      <w:r w:rsidR="00855676">
        <w:rPr>
          <w:lang w:val="en-GB"/>
        </w:rPr>
        <w:t>,</w:t>
      </w:r>
      <w:r w:rsidR="004B75A3">
        <w:rPr>
          <w:lang w:val="en-GB"/>
        </w:rPr>
        <w:t xml:space="preserve"> 21</w:t>
      </w:r>
      <w:r w:rsidRPr="00265CD3">
        <w:rPr>
          <w:lang w:val="en-GB"/>
        </w:rPr>
        <w:t xml:space="preserve"> </w:t>
      </w:r>
      <w:r w:rsidR="00855676">
        <w:rPr>
          <w:lang w:val="en-GB"/>
        </w:rPr>
        <w:t xml:space="preserve">and 28 </w:t>
      </w:r>
      <w:r w:rsidRPr="00265CD3">
        <w:rPr>
          <w:lang w:val="en-GB"/>
        </w:rPr>
        <w:t>and request</w:t>
      </w:r>
      <w:r w:rsidR="0028598A">
        <w:rPr>
          <w:lang w:val="en-GB"/>
        </w:rPr>
        <w:t>s</w:t>
      </w:r>
      <w:r w:rsidRPr="00265CD3">
        <w:rPr>
          <w:lang w:val="en-GB"/>
        </w:rPr>
        <w:t xml:space="preserve"> the State party to provide detailed information in its next periodic report on concrete measures taken to implement these recommendations. </w:t>
      </w:r>
    </w:p>
    <w:p w:rsidR="005A62EF" w:rsidRPr="0088419E" w:rsidRDefault="005A62EF" w:rsidP="009151AE">
      <w:pPr>
        <w:pStyle w:val="Default"/>
        <w:ind w:left="360" w:firstLine="60"/>
        <w:jc w:val="both"/>
      </w:pPr>
    </w:p>
    <w:p w:rsidR="00C04794" w:rsidRDefault="005A62EF" w:rsidP="009151AE">
      <w:pPr>
        <w:pStyle w:val="Default"/>
        <w:numPr>
          <w:ilvl w:val="0"/>
          <w:numId w:val="13"/>
        </w:numPr>
      </w:pPr>
      <w:r w:rsidRPr="0088419E">
        <w:t xml:space="preserve">The Committee recommends that the State party submit its fourteenth, fifteenth and sixteenth periodic reports in a single document, due on </w:t>
      </w:r>
      <w:r w:rsidR="004B75A3">
        <w:t>2</w:t>
      </w:r>
      <w:r w:rsidR="00E125E5">
        <w:t>8</w:t>
      </w:r>
      <w:r w:rsidR="004B75A3">
        <w:t xml:space="preserve"> </w:t>
      </w:r>
      <w:r w:rsidR="00E125E5">
        <w:t>January</w:t>
      </w:r>
      <w:r w:rsidRPr="006F2A4B">
        <w:t xml:space="preserve"> 201</w:t>
      </w:r>
      <w:r w:rsidR="00E125E5">
        <w:t>3</w:t>
      </w:r>
      <w:r w:rsidRPr="0088419E">
        <w:t xml:space="preserve">, taking into account the guidelines for the CERD-specific document adopted by the Committee during its seventy-first session (CERD/C/2007/1), and that it address all points raised in the present concluding observations. </w:t>
      </w:r>
    </w:p>
    <w:p w:rsidR="00C04794" w:rsidRDefault="00922F29" w:rsidP="009151AE">
      <w:pPr>
        <w:pStyle w:val="Default"/>
        <w:ind w:left="360"/>
        <w:jc w:val="center"/>
      </w:pPr>
      <w:r>
        <w:t>-----</w:t>
      </w:r>
    </w:p>
    <w:p w:rsidR="005A62EF" w:rsidRPr="0088419E" w:rsidRDefault="005A62EF" w:rsidP="009151AE">
      <w:pPr>
        <w:jc w:val="center"/>
      </w:pPr>
    </w:p>
    <w:sectPr w:rsidR="005A62EF" w:rsidRPr="0088419E" w:rsidSect="00BC2ACB">
      <w:headerReference w:type="even" r:id="rId11"/>
      <w:headerReference w:type="default" r:id="rId12"/>
      <w:footerReference w:type="first" r:id="rId13"/>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75" w:rsidRDefault="004F7275">
      <w:r>
        <w:separator/>
      </w:r>
    </w:p>
  </w:endnote>
  <w:endnote w:type="continuationSeparator" w:id="0">
    <w:p w:rsidR="004F7275" w:rsidRDefault="004F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F2" w:rsidRDefault="003716F2">
    <w:pPr>
      <w:pStyle w:val="Footer"/>
    </w:pPr>
    <w:r>
      <w:t>GE.09-44918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75" w:rsidRDefault="004F7275">
      <w:r>
        <w:separator/>
      </w:r>
    </w:p>
  </w:footnote>
  <w:footnote w:type="continuationSeparator" w:id="0">
    <w:p w:rsidR="004F7275" w:rsidRDefault="004F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3E" w:rsidRDefault="008B603E" w:rsidP="00CD3580"/>
  <w:p w:rsidR="008B603E" w:rsidRPr="00987EFB" w:rsidRDefault="008B603E" w:rsidP="00CD3580">
    <w:r w:rsidRPr="00987EFB">
      <w:t>CERD/C/</w:t>
    </w:r>
    <w:r>
      <w:t>CHN</w:t>
    </w:r>
    <w:r w:rsidRPr="00987EFB">
      <w:t>/CO/</w:t>
    </w:r>
    <w:r>
      <w:t>10-13</w:t>
    </w:r>
  </w:p>
  <w:p w:rsidR="008B603E" w:rsidRDefault="008B603E" w:rsidP="00CD358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16F2">
      <w:rPr>
        <w:rStyle w:val="PageNumber"/>
        <w:noProof/>
      </w:rPr>
      <w:t>10</w:t>
    </w:r>
    <w:r>
      <w:rPr>
        <w:rStyle w:val="PageNumber"/>
      </w:rPr>
      <w:fldChar w:fldCharType="end"/>
    </w:r>
  </w:p>
  <w:p w:rsidR="008B603E" w:rsidRDefault="008B6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3E" w:rsidRDefault="008B603E" w:rsidP="00CD3580">
    <w:pPr>
      <w:jc w:val="righ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8B603E" w:rsidRPr="00E4216A" w:rsidRDefault="008B603E" w:rsidP="00CD3580">
    <w:pPr>
      <w:jc w:val="right"/>
    </w:pPr>
    <w:r>
      <w:t>CERD/C/CHN/CO/10-13</w:t>
    </w:r>
  </w:p>
  <w:p w:rsidR="008B603E" w:rsidRPr="00CD3580" w:rsidRDefault="008B603E" w:rsidP="001C0067">
    <w:pPr>
      <w:pStyle w:val="Header"/>
      <w:tabs>
        <w:tab w:val="clear" w:pos="8640"/>
        <w:tab w:val="right" w:pos="8520"/>
      </w:tabs>
      <w:jc w:val="right"/>
    </w:pPr>
    <w:r>
      <w:rPr>
        <w:lang w:val="en-GB"/>
      </w:rPr>
      <w:tab/>
    </w:r>
    <w:r>
      <w:rPr>
        <w:lang w:val="en-GB"/>
      </w:rPr>
      <w:tab/>
      <w:t xml:space="preserve">         page </w:t>
    </w:r>
    <w:r>
      <w:rPr>
        <w:rStyle w:val="PageNumber"/>
      </w:rPr>
      <w:fldChar w:fldCharType="begin"/>
    </w:r>
    <w:r>
      <w:rPr>
        <w:rStyle w:val="PageNumber"/>
      </w:rPr>
      <w:instrText xml:space="preserve"> PAGE </w:instrText>
    </w:r>
    <w:r>
      <w:rPr>
        <w:rStyle w:val="PageNumber"/>
      </w:rPr>
      <w:fldChar w:fldCharType="separate"/>
    </w:r>
    <w:r w:rsidR="003716F2">
      <w:rPr>
        <w:rStyle w:val="PageNumber"/>
        <w:noProof/>
      </w:rPr>
      <w:t>9</w:t>
    </w:r>
    <w:r>
      <w:rPr>
        <w:rStyle w:val="PageNumber"/>
      </w:rPr>
      <w:fldChar w:fldCharType="end"/>
    </w:r>
    <w:r>
      <w:rPr>
        <w:lang w:val="en-GB"/>
      </w:rPr>
      <w:tab/>
    </w:r>
    <w:r>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sidR="003716F2">
      <w:rPr>
        <w:rStyle w:val="PageNumber"/>
        <w:noProof/>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5DD"/>
    <w:multiLevelType w:val="hybridMultilevel"/>
    <w:tmpl w:val="87509DB4"/>
    <w:lvl w:ilvl="0">
      <w:start w:val="1"/>
      <w:numFmt w:val="decimal"/>
      <w:lvlText w:val="%1."/>
      <w:lvlJc w:val="left"/>
      <w:pPr>
        <w:tabs>
          <w:tab w:val="num" w:pos="720"/>
        </w:tabs>
        <w:ind w:left="720" w:hanging="360"/>
      </w:pPr>
      <w:rPr>
        <w:b w:val="0"/>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DA1145"/>
    <w:multiLevelType w:val="multilevel"/>
    <w:tmpl w:val="7492A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7651BA"/>
    <w:multiLevelType w:val="hybridMultilevel"/>
    <w:tmpl w:val="E014F7D0"/>
    <w:lvl w:ilvl="0" w:tplc="49DCFBE8">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tplc="04090019">
      <w:start w:val="1"/>
      <w:numFmt w:val="lowerLetter"/>
      <w:lvlText w:val="%2."/>
      <w:lvlJc w:val="left"/>
      <w:pPr>
        <w:tabs>
          <w:tab w:val="num" w:pos="1440"/>
        </w:tabs>
        <w:ind w:left="1440" w:hanging="360"/>
      </w:pPr>
    </w:lvl>
    <w:lvl w:ilvl="2" w:tplc="E1D2F17C">
      <w:start w:val="1"/>
      <w:numFmt w:val="upperLetter"/>
      <w:lvlText w:val="%3."/>
      <w:lvlJc w:val="left"/>
      <w:pPr>
        <w:tabs>
          <w:tab w:val="num" w:pos="2340"/>
        </w:tabs>
        <w:ind w:left="2340" w:hanging="360"/>
      </w:pPr>
      <w:rPr>
        <w:rFonts w:hint="default"/>
      </w:rPr>
    </w:lvl>
    <w:lvl w:ilvl="3" w:tplc="63FE98C4">
      <w:start w:val="10"/>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270E8"/>
    <w:multiLevelType w:val="hybridMultilevel"/>
    <w:tmpl w:val="C9C40F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5A444EC"/>
    <w:multiLevelType w:val="multilevel"/>
    <w:tmpl w:val="CD9EBABE"/>
    <w:lvl w:ilvl="0">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356AA5"/>
    <w:multiLevelType w:val="hybridMultilevel"/>
    <w:tmpl w:val="23C0FF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1A1E35"/>
    <w:multiLevelType w:val="multilevel"/>
    <w:tmpl w:val="32BCB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B061AB"/>
    <w:multiLevelType w:val="singleLevel"/>
    <w:tmpl w:val="AA724E7E"/>
    <w:lvl w:ilvl="0">
      <w:start w:val="1"/>
      <w:numFmt w:val="decimal"/>
      <w:pStyle w:val="ParaNo"/>
      <w:lvlText w:val="%1."/>
      <w:lvlJc w:val="left"/>
      <w:pPr>
        <w:tabs>
          <w:tab w:val="num" w:pos="360"/>
        </w:tabs>
        <w:ind w:left="-1" w:firstLine="1"/>
      </w:pPr>
      <w:rPr>
        <w:rFonts w:hint="default"/>
        <w:b w:val="0"/>
        <w:bCs w:val="0"/>
      </w:rPr>
    </w:lvl>
  </w:abstractNum>
  <w:abstractNum w:abstractNumId="8">
    <w:nsid w:val="44CE47FF"/>
    <w:multiLevelType w:val="hybridMultilevel"/>
    <w:tmpl w:val="A1468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747A4B"/>
    <w:multiLevelType w:val="hybridMultilevel"/>
    <w:tmpl w:val="6C9C2E4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4B32F3"/>
    <w:multiLevelType w:val="multilevel"/>
    <w:tmpl w:val="0FEAD908"/>
    <w:lvl w:ilvl="0">
      <w:start w:val="17"/>
      <w:numFmt w:val="decimal"/>
      <w:lvlText w:val="%1."/>
      <w:lvlJc w:val="left"/>
      <w:pPr>
        <w:tabs>
          <w:tab w:val="num" w:pos="851"/>
        </w:tabs>
        <w:ind w:left="0" w:firstLine="0"/>
      </w:pPr>
      <w:rPr>
        <w:rFonts w:hint="default"/>
        <w:b w:val="0"/>
        <w:bCs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39360C"/>
    <w:multiLevelType w:val="hybridMultilevel"/>
    <w:tmpl w:val="A5CE5E36"/>
    <w:lvl w:ilvl="0" w:tplc="A406E2E2">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9C616A"/>
    <w:multiLevelType w:val="multilevel"/>
    <w:tmpl w:val="2A6269B8"/>
    <w:lvl w:ilvl="0">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356F03"/>
    <w:multiLevelType w:val="hybridMultilevel"/>
    <w:tmpl w:val="2AA44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3FD57FB"/>
    <w:multiLevelType w:val="multilevel"/>
    <w:tmpl w:val="8DD24FBC"/>
    <w:lvl w:ilvl="0">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DE00AA"/>
    <w:multiLevelType w:val="multilevel"/>
    <w:tmpl w:val="6010AD0A"/>
    <w:lvl w:ilvl="0">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B81A86"/>
    <w:multiLevelType w:val="multilevel"/>
    <w:tmpl w:val="5D725AB2"/>
    <w:lvl w:ilvl="0">
      <w:start w:val="1"/>
      <w:numFmt w:val="lowerLetter"/>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o"/>
      <w:lvlJc w:val="left"/>
      <w:pPr>
        <w:tabs>
          <w:tab w:val="num" w:pos="2340"/>
        </w:tabs>
        <w:ind w:left="2340" w:hanging="360"/>
      </w:pPr>
      <w:rPr>
        <w:rFonts w:ascii="Courier New" w:hAnsi="Courier New" w:cs="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25D6656"/>
    <w:multiLevelType w:val="multilevel"/>
    <w:tmpl w:val="A4328016"/>
    <w:lvl w:ilvl="0">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76340C"/>
    <w:multiLevelType w:val="multilevel"/>
    <w:tmpl w:val="1AC6A126"/>
    <w:lvl w:ilvl="0">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B4F7F89"/>
    <w:multiLevelType w:val="multilevel"/>
    <w:tmpl w:val="80CE06D8"/>
    <w:lvl w:ilvl="0">
      <w:start w:val="1"/>
      <w:numFmt w:val="none"/>
      <w:pStyle w:val="Heading1"/>
      <w:lvlText w:val=""/>
      <w:lvlJc w:val="left"/>
      <w:pPr>
        <w:tabs>
          <w:tab w:val="num" w:pos="-1080"/>
        </w:tabs>
        <w:ind w:left="-1440" w:firstLine="0"/>
      </w:pPr>
    </w:lvl>
    <w:lvl w:ilvl="1">
      <w:start w:val="1"/>
      <w:numFmt w:val="none"/>
      <w:lvlRestart w:val="0"/>
      <w:pStyle w:val="Heading2"/>
      <w:suff w:val="space"/>
      <w:lvlText w:val=""/>
      <w:lvlJc w:val="left"/>
      <w:pPr>
        <w:ind w:left="-720" w:firstLine="0"/>
      </w:pPr>
      <w:rPr>
        <w:lang w:val="en-GB"/>
      </w:rPr>
    </w:lvl>
    <w:lvl w:ilvl="2">
      <w:start w:val="1"/>
      <w:numFmt w:val="decimal"/>
      <w:lvlText w:val="%3."/>
      <w:lvlJc w:val="left"/>
      <w:pPr>
        <w:tabs>
          <w:tab w:val="num" w:pos="360"/>
        </w:tabs>
        <w:ind w:left="0" w:firstLine="0"/>
      </w:pPr>
    </w:lvl>
    <w:lvl w:ilvl="3">
      <w:start w:val="1"/>
      <w:numFmt w:val="lowerLetter"/>
      <w:lvlRestart w:val="1"/>
      <w:pStyle w:val="Heading4"/>
      <w:lvlText w:val="(%4)"/>
      <w:lvlJc w:val="left"/>
      <w:pPr>
        <w:tabs>
          <w:tab w:val="num" w:pos="1080"/>
        </w:tabs>
        <w:ind w:left="720" w:firstLine="0"/>
      </w:pPr>
    </w:lvl>
    <w:lvl w:ilvl="4">
      <w:start w:val="1"/>
      <w:numFmt w:val="decimal"/>
      <w:pStyle w:val="Heading5"/>
      <w:lvlText w:val="(%5)"/>
      <w:lvlJc w:val="left"/>
      <w:pPr>
        <w:tabs>
          <w:tab w:val="num" w:pos="1800"/>
        </w:tabs>
        <w:ind w:left="1440" w:firstLine="0"/>
      </w:pPr>
    </w:lvl>
    <w:lvl w:ilvl="5">
      <w:start w:val="1"/>
      <w:numFmt w:val="lowerLetter"/>
      <w:pStyle w:val="Heading6"/>
      <w:lvlText w:val="(%6)"/>
      <w:lvlJc w:val="left"/>
      <w:pPr>
        <w:tabs>
          <w:tab w:val="num" w:pos="2520"/>
        </w:tabs>
        <w:ind w:left="2160" w:firstLine="0"/>
      </w:pPr>
    </w:lvl>
    <w:lvl w:ilvl="6">
      <w:start w:val="1"/>
      <w:numFmt w:val="lowerRoman"/>
      <w:pStyle w:val="Heading7"/>
      <w:lvlText w:val="(%7)"/>
      <w:lvlJc w:val="left"/>
      <w:pPr>
        <w:tabs>
          <w:tab w:val="num" w:pos="3240"/>
        </w:tabs>
        <w:ind w:left="2880" w:firstLine="0"/>
      </w:pPr>
    </w:lvl>
    <w:lvl w:ilvl="7">
      <w:start w:val="1"/>
      <w:numFmt w:val="lowerLetter"/>
      <w:pStyle w:val="Heading8"/>
      <w:lvlText w:val="(%8)"/>
      <w:lvlJc w:val="left"/>
      <w:pPr>
        <w:tabs>
          <w:tab w:val="num" w:pos="3960"/>
        </w:tabs>
        <w:ind w:left="3600" w:firstLine="0"/>
      </w:pPr>
    </w:lvl>
    <w:lvl w:ilvl="8">
      <w:start w:val="1"/>
      <w:numFmt w:val="lowerRoman"/>
      <w:pStyle w:val="Heading9"/>
      <w:lvlText w:val="(%9)"/>
      <w:lvlJc w:val="left"/>
      <w:pPr>
        <w:tabs>
          <w:tab w:val="num" w:pos="4680"/>
        </w:tabs>
        <w:ind w:left="4320" w:firstLine="0"/>
      </w:pPr>
    </w:lvl>
  </w:abstractNum>
  <w:abstractNum w:abstractNumId="20">
    <w:nsid w:val="6E074AD4"/>
    <w:multiLevelType w:val="hybridMultilevel"/>
    <w:tmpl w:val="CE6202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011183E"/>
    <w:multiLevelType w:val="hybridMultilevel"/>
    <w:tmpl w:val="ED9C1840"/>
    <w:lvl w:ilvl="0" w:tplc="F552F98E">
      <w:start w:val="2"/>
      <w:numFmt w:val="decimal"/>
      <w:lvlText w:val="%1."/>
      <w:lvlJc w:val="left"/>
      <w:pPr>
        <w:tabs>
          <w:tab w:val="num" w:pos="720"/>
        </w:tabs>
        <w:ind w:left="720" w:hanging="720"/>
      </w:pPr>
      <w:rPr>
        <w:rFonts w:eastAsia="Times New Roman"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6B3502"/>
    <w:multiLevelType w:val="singleLevel"/>
    <w:tmpl w:val="B6986A6A"/>
    <w:lvl w:ilvl="0">
      <w:start w:val="1"/>
      <w:numFmt w:val="lowerLetter"/>
      <w:lvlText w:val="%1)"/>
      <w:lvlJc w:val="left"/>
      <w:pPr>
        <w:tabs>
          <w:tab w:val="num" w:pos="960"/>
        </w:tabs>
        <w:ind w:left="960" w:hanging="240"/>
      </w:pPr>
      <w:rPr>
        <w:rFonts w:ascii="Times New Roman" w:hAnsi="Times New Roman" w:hint="default"/>
      </w:rPr>
    </w:lvl>
  </w:abstractNum>
  <w:abstractNum w:abstractNumId="23">
    <w:nsid w:val="727F5498"/>
    <w:multiLevelType w:val="multilevel"/>
    <w:tmpl w:val="7A9C4A30"/>
    <w:lvl w:ilvl="0">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9D4057C"/>
    <w:multiLevelType w:val="hybridMultilevel"/>
    <w:tmpl w:val="E06AC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0"/>
  </w:num>
  <w:num w:numId="5">
    <w:abstractNumId w:val="16"/>
  </w:num>
  <w:num w:numId="6">
    <w:abstractNumId w:val="22"/>
  </w:num>
  <w:num w:numId="7">
    <w:abstractNumId w:val="19"/>
  </w:num>
  <w:num w:numId="8">
    <w:abstractNumId w:val="21"/>
  </w:num>
  <w:num w:numId="9">
    <w:abstractNumId w:val="24"/>
  </w:num>
  <w:num w:numId="10">
    <w:abstractNumId w:val="7"/>
  </w:num>
  <w:num w:numId="11">
    <w:abstractNumId w:val="8"/>
  </w:num>
  <w:num w:numId="12">
    <w:abstractNumId w:val="5"/>
  </w:num>
  <w:num w:numId="13">
    <w:abstractNumId w:val="2"/>
  </w:num>
  <w:num w:numId="14">
    <w:abstractNumId w:val="13"/>
  </w:num>
  <w:num w:numId="15">
    <w:abstractNumId w:val="6"/>
  </w:num>
  <w:num w:numId="16">
    <w:abstractNumId w:val="9"/>
  </w:num>
  <w:num w:numId="17">
    <w:abstractNumId w:val="1"/>
  </w:num>
  <w:num w:numId="18">
    <w:abstractNumId w:val="11"/>
  </w:num>
  <w:num w:numId="19">
    <w:abstractNumId w:val="23"/>
  </w:num>
  <w:num w:numId="20">
    <w:abstractNumId w:val="10"/>
  </w:num>
  <w:num w:numId="21">
    <w:abstractNumId w:val="17"/>
  </w:num>
  <w:num w:numId="22">
    <w:abstractNumId w:val="15"/>
  </w:num>
  <w:num w:numId="23">
    <w:abstractNumId w:val="12"/>
  </w:num>
  <w:num w:numId="24">
    <w:abstractNumId w:val="4"/>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6EC"/>
    <w:rsid w:val="00001A53"/>
    <w:rsid w:val="000044F1"/>
    <w:rsid w:val="0000534E"/>
    <w:rsid w:val="0002070D"/>
    <w:rsid w:val="00034403"/>
    <w:rsid w:val="0003594D"/>
    <w:rsid w:val="00040B4F"/>
    <w:rsid w:val="00045948"/>
    <w:rsid w:val="00070D91"/>
    <w:rsid w:val="00076F3F"/>
    <w:rsid w:val="00080595"/>
    <w:rsid w:val="0008336D"/>
    <w:rsid w:val="000A3CA5"/>
    <w:rsid w:val="000A6875"/>
    <w:rsid w:val="000B2725"/>
    <w:rsid w:val="000B55A1"/>
    <w:rsid w:val="000C71EA"/>
    <w:rsid w:val="000C723A"/>
    <w:rsid w:val="000E4976"/>
    <w:rsid w:val="000F2954"/>
    <w:rsid w:val="000F7689"/>
    <w:rsid w:val="00113776"/>
    <w:rsid w:val="0012402B"/>
    <w:rsid w:val="00126B1E"/>
    <w:rsid w:val="00130694"/>
    <w:rsid w:val="00155B5D"/>
    <w:rsid w:val="00190747"/>
    <w:rsid w:val="00195301"/>
    <w:rsid w:val="001971F6"/>
    <w:rsid w:val="001A5B12"/>
    <w:rsid w:val="001C0067"/>
    <w:rsid w:val="001C27C7"/>
    <w:rsid w:val="001C4A76"/>
    <w:rsid w:val="001D55FD"/>
    <w:rsid w:val="001E61A9"/>
    <w:rsid w:val="001E6F25"/>
    <w:rsid w:val="00201259"/>
    <w:rsid w:val="00204B86"/>
    <w:rsid w:val="0020618D"/>
    <w:rsid w:val="0021128E"/>
    <w:rsid w:val="00215CFA"/>
    <w:rsid w:val="002169A3"/>
    <w:rsid w:val="00235618"/>
    <w:rsid w:val="00237EBD"/>
    <w:rsid w:val="002503E7"/>
    <w:rsid w:val="00251545"/>
    <w:rsid w:val="002522F4"/>
    <w:rsid w:val="00256EBE"/>
    <w:rsid w:val="00257FCA"/>
    <w:rsid w:val="00270287"/>
    <w:rsid w:val="0028165D"/>
    <w:rsid w:val="00283C43"/>
    <w:rsid w:val="0028598A"/>
    <w:rsid w:val="002B26B6"/>
    <w:rsid w:val="002C67D6"/>
    <w:rsid w:val="002D0B48"/>
    <w:rsid w:val="002D2D1D"/>
    <w:rsid w:val="002E0FBC"/>
    <w:rsid w:val="00346506"/>
    <w:rsid w:val="00352BA3"/>
    <w:rsid w:val="003716F2"/>
    <w:rsid w:val="00371A92"/>
    <w:rsid w:val="00395A1B"/>
    <w:rsid w:val="003A09B6"/>
    <w:rsid w:val="003B2F6E"/>
    <w:rsid w:val="003B4E31"/>
    <w:rsid w:val="003E3298"/>
    <w:rsid w:val="003E6F3F"/>
    <w:rsid w:val="00403890"/>
    <w:rsid w:val="00407BFE"/>
    <w:rsid w:val="00413879"/>
    <w:rsid w:val="004278AD"/>
    <w:rsid w:val="00441C19"/>
    <w:rsid w:val="0045262F"/>
    <w:rsid w:val="004610D2"/>
    <w:rsid w:val="00471201"/>
    <w:rsid w:val="004B64D4"/>
    <w:rsid w:val="004B75A3"/>
    <w:rsid w:val="004B7BDA"/>
    <w:rsid w:val="004F6915"/>
    <w:rsid w:val="004F7275"/>
    <w:rsid w:val="00510850"/>
    <w:rsid w:val="00524173"/>
    <w:rsid w:val="00535380"/>
    <w:rsid w:val="0054323D"/>
    <w:rsid w:val="0056462D"/>
    <w:rsid w:val="005A3BD3"/>
    <w:rsid w:val="005A62EF"/>
    <w:rsid w:val="005B0DED"/>
    <w:rsid w:val="005C3B1B"/>
    <w:rsid w:val="005D215D"/>
    <w:rsid w:val="00600D4F"/>
    <w:rsid w:val="00610865"/>
    <w:rsid w:val="00615E40"/>
    <w:rsid w:val="00642BA2"/>
    <w:rsid w:val="00647D21"/>
    <w:rsid w:val="0066218B"/>
    <w:rsid w:val="00662916"/>
    <w:rsid w:val="00667A96"/>
    <w:rsid w:val="006738D2"/>
    <w:rsid w:val="00677A01"/>
    <w:rsid w:val="006916D1"/>
    <w:rsid w:val="00691D3F"/>
    <w:rsid w:val="006B1122"/>
    <w:rsid w:val="006B32BC"/>
    <w:rsid w:val="006B6743"/>
    <w:rsid w:val="006C10A4"/>
    <w:rsid w:val="006C521B"/>
    <w:rsid w:val="006D057F"/>
    <w:rsid w:val="006F0B69"/>
    <w:rsid w:val="006F2A4B"/>
    <w:rsid w:val="006F457A"/>
    <w:rsid w:val="006F4D17"/>
    <w:rsid w:val="006F75EA"/>
    <w:rsid w:val="007442ED"/>
    <w:rsid w:val="00744B24"/>
    <w:rsid w:val="0075780E"/>
    <w:rsid w:val="007679C5"/>
    <w:rsid w:val="0078042C"/>
    <w:rsid w:val="007926FA"/>
    <w:rsid w:val="007D66B4"/>
    <w:rsid w:val="007E5884"/>
    <w:rsid w:val="007F5F1C"/>
    <w:rsid w:val="00835080"/>
    <w:rsid w:val="00840208"/>
    <w:rsid w:val="008464F0"/>
    <w:rsid w:val="00855676"/>
    <w:rsid w:val="0088419E"/>
    <w:rsid w:val="008B603E"/>
    <w:rsid w:val="008C7B78"/>
    <w:rsid w:val="008D24D2"/>
    <w:rsid w:val="009001BD"/>
    <w:rsid w:val="00904F57"/>
    <w:rsid w:val="00905517"/>
    <w:rsid w:val="00905913"/>
    <w:rsid w:val="0091234A"/>
    <w:rsid w:val="009151AE"/>
    <w:rsid w:val="00921C44"/>
    <w:rsid w:val="00922F29"/>
    <w:rsid w:val="009272DE"/>
    <w:rsid w:val="00936E08"/>
    <w:rsid w:val="009575E1"/>
    <w:rsid w:val="00964804"/>
    <w:rsid w:val="009657AB"/>
    <w:rsid w:val="009747DE"/>
    <w:rsid w:val="00976F68"/>
    <w:rsid w:val="009A588B"/>
    <w:rsid w:val="009D13BE"/>
    <w:rsid w:val="009E41BD"/>
    <w:rsid w:val="009F26EC"/>
    <w:rsid w:val="009F40CB"/>
    <w:rsid w:val="00A10D6B"/>
    <w:rsid w:val="00A146F4"/>
    <w:rsid w:val="00A15C7D"/>
    <w:rsid w:val="00A42754"/>
    <w:rsid w:val="00A437EC"/>
    <w:rsid w:val="00A52997"/>
    <w:rsid w:val="00A54283"/>
    <w:rsid w:val="00A609BC"/>
    <w:rsid w:val="00A67E7D"/>
    <w:rsid w:val="00A716EB"/>
    <w:rsid w:val="00A74D81"/>
    <w:rsid w:val="00A74F34"/>
    <w:rsid w:val="00A75375"/>
    <w:rsid w:val="00A87226"/>
    <w:rsid w:val="00A9598F"/>
    <w:rsid w:val="00A96823"/>
    <w:rsid w:val="00AB5F0A"/>
    <w:rsid w:val="00AC64D6"/>
    <w:rsid w:val="00AD1832"/>
    <w:rsid w:val="00AE2122"/>
    <w:rsid w:val="00B2159E"/>
    <w:rsid w:val="00B23CBF"/>
    <w:rsid w:val="00B25E1B"/>
    <w:rsid w:val="00B332A1"/>
    <w:rsid w:val="00B454E4"/>
    <w:rsid w:val="00B467B8"/>
    <w:rsid w:val="00B70DF0"/>
    <w:rsid w:val="00B71183"/>
    <w:rsid w:val="00B73574"/>
    <w:rsid w:val="00B75E4A"/>
    <w:rsid w:val="00B76926"/>
    <w:rsid w:val="00BB6BA0"/>
    <w:rsid w:val="00BC2ACB"/>
    <w:rsid w:val="00BE1CC9"/>
    <w:rsid w:val="00C042AD"/>
    <w:rsid w:val="00C04794"/>
    <w:rsid w:val="00C17510"/>
    <w:rsid w:val="00C24170"/>
    <w:rsid w:val="00C330C3"/>
    <w:rsid w:val="00C43741"/>
    <w:rsid w:val="00C45634"/>
    <w:rsid w:val="00C5111D"/>
    <w:rsid w:val="00C71EF2"/>
    <w:rsid w:val="00CD1FF4"/>
    <w:rsid w:val="00CD32DD"/>
    <w:rsid w:val="00CD3580"/>
    <w:rsid w:val="00CF754A"/>
    <w:rsid w:val="00D13F52"/>
    <w:rsid w:val="00D2005A"/>
    <w:rsid w:val="00D23F72"/>
    <w:rsid w:val="00D47BF2"/>
    <w:rsid w:val="00D57C95"/>
    <w:rsid w:val="00D60A9B"/>
    <w:rsid w:val="00D651DD"/>
    <w:rsid w:val="00D67CF1"/>
    <w:rsid w:val="00D833E8"/>
    <w:rsid w:val="00DB071E"/>
    <w:rsid w:val="00DB234C"/>
    <w:rsid w:val="00DB5419"/>
    <w:rsid w:val="00DC058F"/>
    <w:rsid w:val="00DE39FD"/>
    <w:rsid w:val="00DF136A"/>
    <w:rsid w:val="00E125E5"/>
    <w:rsid w:val="00E40AE9"/>
    <w:rsid w:val="00E57D62"/>
    <w:rsid w:val="00E62EE0"/>
    <w:rsid w:val="00E63D58"/>
    <w:rsid w:val="00E7415B"/>
    <w:rsid w:val="00EA6521"/>
    <w:rsid w:val="00EB69F9"/>
    <w:rsid w:val="00EC1B37"/>
    <w:rsid w:val="00EC3E5C"/>
    <w:rsid w:val="00EC706A"/>
    <w:rsid w:val="00EE0944"/>
    <w:rsid w:val="00EF44A5"/>
    <w:rsid w:val="00F42210"/>
    <w:rsid w:val="00F460A9"/>
    <w:rsid w:val="00F52097"/>
    <w:rsid w:val="00F54166"/>
    <w:rsid w:val="00F639E0"/>
    <w:rsid w:val="00F91818"/>
    <w:rsid w:val="00FA41F7"/>
    <w:rsid w:val="00FA46A5"/>
    <w:rsid w:val="00FA5011"/>
    <w:rsid w:val="00FB1CC4"/>
    <w:rsid w:val="00FC4E8D"/>
    <w:rsid w:val="00FE264D"/>
    <w:rsid w:val="00FE400C"/>
    <w:rsid w:val="00FF78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keepLines/>
      <w:numPr>
        <w:numId w:val="1"/>
      </w:numPr>
      <w:spacing w:before="120" w:after="120" w:line="360" w:lineRule="auto"/>
      <w:jc w:val="center"/>
      <w:outlineLvl w:val="0"/>
    </w:pPr>
    <w:rPr>
      <w:rFonts w:eastAsia="Times New Roman"/>
      <w:b/>
      <w:bCs/>
      <w:kern w:val="28"/>
      <w:lang w:val="en-GB" w:eastAsia="en-US"/>
    </w:rPr>
  </w:style>
  <w:style w:type="paragraph" w:styleId="Heading2">
    <w:name w:val="heading 2"/>
    <w:basedOn w:val="Normal"/>
    <w:next w:val="Normal"/>
    <w:qFormat/>
    <w:pPr>
      <w:keepNext/>
      <w:numPr>
        <w:ilvl w:val="1"/>
        <w:numId w:val="1"/>
      </w:numPr>
      <w:spacing w:before="120" w:after="120" w:line="360" w:lineRule="auto"/>
      <w:jc w:val="center"/>
      <w:outlineLvl w:val="1"/>
    </w:pPr>
    <w:rPr>
      <w:rFonts w:eastAsia="Times New Roman"/>
      <w:b/>
      <w:bCs/>
      <w:caps/>
      <w:lang w:val="en-GB" w:eastAsia="en-US"/>
    </w:rPr>
  </w:style>
  <w:style w:type="paragraph" w:styleId="Heading3">
    <w:name w:val="heading 3"/>
    <w:basedOn w:val="Normal"/>
    <w:next w:val="NormalIndent"/>
    <w:qFormat/>
    <w:pPr>
      <w:keepNext/>
      <w:outlineLvl w:val="2"/>
    </w:pPr>
    <w:rPr>
      <w:rFonts w:ascii="CG Times (W1)" w:hAnsi="CG Times (W1)"/>
      <w:b/>
      <w:bCs/>
      <w:sz w:val="22"/>
      <w:szCs w:val="22"/>
    </w:rPr>
  </w:style>
  <w:style w:type="paragraph" w:styleId="Heading4">
    <w:name w:val="heading 4"/>
    <w:basedOn w:val="Normal"/>
    <w:next w:val="Normal"/>
    <w:qFormat/>
    <w:pPr>
      <w:keepNext/>
      <w:numPr>
        <w:ilvl w:val="3"/>
        <w:numId w:val="1"/>
      </w:numPr>
      <w:spacing w:before="120" w:line="360" w:lineRule="auto"/>
      <w:outlineLvl w:val="3"/>
    </w:pPr>
    <w:rPr>
      <w:rFonts w:eastAsia="Times New Roman"/>
      <w:b/>
      <w:bCs/>
      <w:i/>
      <w:iCs/>
      <w:lang w:val="en-GB" w:eastAsia="en-US"/>
    </w:rPr>
  </w:style>
  <w:style w:type="paragraph" w:styleId="Heading5">
    <w:name w:val="heading 5"/>
    <w:basedOn w:val="Normal"/>
    <w:next w:val="Normal"/>
    <w:qFormat/>
    <w:pPr>
      <w:keepNext/>
      <w:numPr>
        <w:ilvl w:val="4"/>
        <w:numId w:val="1"/>
      </w:numPr>
      <w:spacing w:before="120" w:line="360" w:lineRule="auto"/>
      <w:outlineLvl w:val="4"/>
    </w:pPr>
    <w:rPr>
      <w:rFonts w:eastAsia="Times New Roman"/>
      <w:i/>
      <w:iCs/>
      <w:lang w:val="en-GB" w:eastAsia="en-US"/>
    </w:rPr>
  </w:style>
  <w:style w:type="paragraph" w:styleId="Heading6">
    <w:name w:val="heading 6"/>
    <w:basedOn w:val="Normal"/>
    <w:next w:val="Normal"/>
    <w:qFormat/>
    <w:pPr>
      <w:keepNext/>
      <w:numPr>
        <w:ilvl w:val="5"/>
        <w:numId w:val="1"/>
      </w:numPr>
      <w:spacing w:before="120" w:line="360" w:lineRule="auto"/>
      <w:outlineLvl w:val="5"/>
    </w:pPr>
    <w:rPr>
      <w:rFonts w:eastAsia="Times New Roman"/>
      <w:b/>
      <w:bCs/>
      <w:caps/>
      <w:lang w:val="en-GB" w:eastAsia="en-US"/>
    </w:rPr>
  </w:style>
  <w:style w:type="paragraph" w:styleId="Heading7">
    <w:name w:val="heading 7"/>
    <w:basedOn w:val="Normal"/>
    <w:next w:val="Normal"/>
    <w:qFormat/>
    <w:pPr>
      <w:numPr>
        <w:ilvl w:val="6"/>
        <w:numId w:val="1"/>
      </w:numPr>
      <w:spacing w:before="120" w:line="360" w:lineRule="auto"/>
      <w:jc w:val="center"/>
      <w:outlineLvl w:val="6"/>
    </w:pPr>
    <w:rPr>
      <w:rFonts w:eastAsia="Times New Roman"/>
      <w:caps/>
      <w:lang w:val="en-GB" w:eastAsia="en-US"/>
    </w:rPr>
  </w:style>
  <w:style w:type="paragraph" w:styleId="Heading8">
    <w:name w:val="heading 8"/>
    <w:basedOn w:val="Normal"/>
    <w:next w:val="Normal"/>
    <w:qFormat/>
    <w:pPr>
      <w:keepNext/>
      <w:numPr>
        <w:ilvl w:val="7"/>
        <w:numId w:val="1"/>
      </w:numPr>
      <w:spacing w:before="120" w:line="360" w:lineRule="auto"/>
      <w:outlineLvl w:val="7"/>
    </w:pPr>
    <w:rPr>
      <w:rFonts w:eastAsia="Times New Roman"/>
      <w:lang w:val="en-GB" w:eastAsia="en-US"/>
    </w:rPr>
  </w:style>
  <w:style w:type="paragraph" w:styleId="Heading9">
    <w:name w:val="heading 9"/>
    <w:basedOn w:val="Normal"/>
    <w:next w:val="Normal"/>
    <w:qFormat/>
    <w:pPr>
      <w:keepNext/>
      <w:numPr>
        <w:ilvl w:val="8"/>
        <w:numId w:val="1"/>
      </w:numPr>
      <w:spacing w:before="120" w:line="360" w:lineRule="auto"/>
      <w:outlineLvl w:val="8"/>
    </w:pPr>
    <w:rPr>
      <w:rFonts w:eastAsia="Times New Roman"/>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paragraph" w:styleId="FootnoteText">
    <w:name w:val="footnote text"/>
    <w:aliases w:val="Note de bas de page2,Текст сноски Знак"/>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NormalIndent">
    <w:name w:val="Normal Indent"/>
    <w:basedOn w:val="Normal"/>
    <w:pPr>
      <w:ind w:left="851"/>
    </w:pPr>
  </w:style>
  <w:style w:type="character" w:styleId="CommentReference">
    <w:name w:val="annotation reference"/>
    <w:semiHidden/>
    <w:rPr>
      <w:sz w:val="18"/>
      <w:szCs w:val="18"/>
    </w:rPr>
  </w:style>
  <w:style w:type="paragraph" w:styleId="CommentText">
    <w:name w:val="annotation text"/>
    <w:basedOn w:val="Normal"/>
    <w:semiHidden/>
  </w:style>
  <w:style w:type="character" w:styleId="Hyperlink">
    <w:name w:val="Hyperlink"/>
    <w:rsid w:val="00E83507"/>
    <w:rPr>
      <w:strike w:val="0"/>
      <w:dstrike w:val="0"/>
      <w:color w:val="4488CC"/>
      <w:u w:val="none"/>
      <w:effect w:val="none"/>
    </w:rPr>
  </w:style>
  <w:style w:type="paragraph" w:styleId="NormalWeb">
    <w:name w:val="Normal (Web)"/>
    <w:basedOn w:val="Normal"/>
    <w:rsid w:val="00017714"/>
    <w:pPr>
      <w:spacing w:before="100" w:beforeAutospacing="1" w:after="100" w:afterAutospacing="1"/>
    </w:pPr>
    <w:rPr>
      <w:rFonts w:ascii="Verdana" w:hAnsi="Verdana"/>
      <w:color w:val="555555"/>
      <w:sz w:val="17"/>
      <w:szCs w:val="17"/>
    </w:rPr>
  </w:style>
  <w:style w:type="paragraph" w:customStyle="1" w:styleId="ParaNo">
    <w:name w:val="ParaNo."/>
    <w:basedOn w:val="Normal"/>
    <w:rsid w:val="00E95E28"/>
    <w:pPr>
      <w:numPr>
        <w:numId w:val="10"/>
      </w:numPr>
      <w:tabs>
        <w:tab w:val="left" w:pos="737"/>
      </w:tabs>
      <w:spacing w:after="240"/>
    </w:pPr>
    <w:rPr>
      <w:rFonts w:eastAsia="Times New Roman"/>
      <w:szCs w:val="20"/>
      <w:lang w:val="en-GB" w:eastAsia="en-US"/>
    </w:rPr>
  </w:style>
  <w:style w:type="paragraph" w:styleId="Header">
    <w:name w:val="header"/>
    <w:basedOn w:val="Normal"/>
    <w:rsid w:val="00987EFB"/>
    <w:pPr>
      <w:tabs>
        <w:tab w:val="center" w:pos="4320"/>
        <w:tab w:val="right" w:pos="8640"/>
      </w:tabs>
    </w:pPr>
  </w:style>
  <w:style w:type="paragraph" w:styleId="Footer">
    <w:name w:val="footer"/>
    <w:basedOn w:val="Normal"/>
    <w:rsid w:val="00987EFB"/>
    <w:pPr>
      <w:tabs>
        <w:tab w:val="center" w:pos="4320"/>
        <w:tab w:val="right" w:pos="8640"/>
      </w:tabs>
    </w:pPr>
  </w:style>
  <w:style w:type="character" w:styleId="PageNumber">
    <w:name w:val="page number"/>
    <w:basedOn w:val="DefaultParagraphFont"/>
    <w:rsid w:val="00987EFB"/>
  </w:style>
  <w:style w:type="paragraph" w:styleId="EndnoteText">
    <w:name w:val="endnote text"/>
    <w:basedOn w:val="Normal"/>
    <w:semiHidden/>
    <w:rsid w:val="000E4D48"/>
  </w:style>
  <w:style w:type="character" w:styleId="EndnoteReference">
    <w:name w:val="endnote reference"/>
    <w:semiHidden/>
    <w:rsid w:val="000E4D48"/>
    <w:rPr>
      <w:vertAlign w:val="superscript"/>
    </w:rPr>
  </w:style>
  <w:style w:type="paragraph" w:customStyle="1" w:styleId="Default">
    <w:name w:val="Default"/>
    <w:rsid w:val="00761B3A"/>
    <w:pPr>
      <w:autoSpaceDE w:val="0"/>
      <w:autoSpaceDN w:val="0"/>
      <w:adjustRightInd w:val="0"/>
    </w:pPr>
    <w:rPr>
      <w:color w:val="000000"/>
      <w:sz w:val="24"/>
      <w:szCs w:val="24"/>
      <w:lang w:val="en-US" w:eastAsia="zh-CN"/>
    </w:rPr>
  </w:style>
  <w:style w:type="paragraph" w:styleId="BodyTextIndent2">
    <w:name w:val="Body Text Indent 2"/>
    <w:basedOn w:val="Normal"/>
    <w:next w:val="Normal"/>
    <w:rsid w:val="0009508A"/>
    <w:pPr>
      <w:spacing w:after="240"/>
    </w:pPr>
    <w:rPr>
      <w:rFonts w:eastAsia="Times New Roman"/>
      <w:szCs w:val="20"/>
      <w:lang w:val="en-GB" w:eastAsia="en-US"/>
    </w:rPr>
  </w:style>
  <w:style w:type="paragraph" w:styleId="BodyTextIndent3">
    <w:name w:val="Body Text Indent 3"/>
    <w:basedOn w:val="Normal"/>
    <w:next w:val="Normal"/>
    <w:rsid w:val="0009508A"/>
    <w:pPr>
      <w:spacing w:after="240"/>
    </w:pPr>
    <w:rPr>
      <w:rFonts w:eastAsia="Times New Roman"/>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2.ohchr.org/english/bodies/cerd/docs/GC31Rev_En.pdf" TargetMode="External"/><Relationship Id="rId4" Type="http://schemas.openxmlformats.org/officeDocument/2006/relationships/webSettings" Target="webSettings.xml"/><Relationship Id="rId9" Type="http://schemas.openxmlformats.org/officeDocument/2006/relationships/hyperlink" Target="http://www.unhchr.ch/tbs/doc.nsf/%28Symbol%29/76a293e49a88bd23802568bd00538d83?Opendocu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4108</Words>
  <Characters>23416</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COMMITTEE ON THE ELIMINATION</vt:lpstr>
    </vt:vector>
  </TitlesOfParts>
  <Company>OHCHR</Company>
  <LinksUpToDate>false</LinksUpToDate>
  <CharactersWithSpaces>27470</CharactersWithSpaces>
  <SharedDoc>false</SharedDoc>
  <HLinks>
    <vt:vector size="12" baseType="variant">
      <vt:variant>
        <vt:i4>42</vt:i4>
      </vt:variant>
      <vt:variant>
        <vt:i4>9</vt:i4>
      </vt:variant>
      <vt:variant>
        <vt:i4>0</vt:i4>
      </vt:variant>
      <vt:variant>
        <vt:i4>5</vt:i4>
      </vt:variant>
      <vt:variant>
        <vt:lpwstr>http://www2.ohchr.org/english/bodies/cerd/docs/GC31Rev_En.pdf</vt:lpwstr>
      </vt:variant>
      <vt:variant>
        <vt:lpwstr/>
      </vt:variant>
      <vt:variant>
        <vt:i4>6881330</vt:i4>
      </vt:variant>
      <vt:variant>
        <vt:i4>6</vt:i4>
      </vt:variant>
      <vt:variant>
        <vt:i4>0</vt:i4>
      </vt:variant>
      <vt:variant>
        <vt:i4>5</vt:i4>
      </vt:variant>
      <vt:variant>
        <vt:lpwstr>http://www.unhchr.ch/tbs/doc.nsf/%28Symbol%29/76a293e49a88bd23802568bd00538d83?Opendocument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ELIMINATION</dc:title>
  <dc:subject/>
  <dc:creator>test</dc:creator>
  <cp:keywords/>
  <dc:description/>
  <cp:lastModifiedBy>csd</cp:lastModifiedBy>
  <cp:revision>2</cp:revision>
  <cp:lastPrinted>2009-09-15T14:28:00Z</cp:lastPrinted>
  <dcterms:created xsi:type="dcterms:W3CDTF">2009-09-17T08:26:00Z</dcterms:created>
  <dcterms:modified xsi:type="dcterms:W3CDTF">2009-09-17T08:26:00Z</dcterms:modified>
</cp:coreProperties>
</file>