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rsidTr="006E444F">
        <w:trPr>
          <w:trHeight w:hRule="exact" w:val="851"/>
        </w:trPr>
        <w:tc>
          <w:tcPr>
            <w:tcW w:w="1274" w:type="dxa"/>
            <w:tcBorders>
              <w:bottom w:val="single" w:sz="4" w:space="0" w:color="auto"/>
            </w:tcBorders>
          </w:tcPr>
          <w:p w:rsidR="006B3E27" w:rsidRPr="003A313D" w:rsidRDefault="006B3E27" w:rsidP="006E444F">
            <w:pPr>
              <w:bidi w:val="0"/>
              <w:jc w:val="right"/>
              <w:rPr>
                <w:lang w:val="fr-CH"/>
              </w:rPr>
            </w:pPr>
          </w:p>
        </w:tc>
        <w:tc>
          <w:tcPr>
            <w:tcW w:w="5104" w:type="dxa"/>
            <w:tcBorders>
              <w:bottom w:val="single" w:sz="4" w:space="0" w:color="auto"/>
            </w:tcBorders>
            <w:vAlign w:val="bottom"/>
          </w:tcPr>
          <w:p w:rsidR="006B3E27" w:rsidRPr="00DB7679" w:rsidRDefault="006B3E27" w:rsidP="006E444F">
            <w:pPr>
              <w:spacing w:after="80" w:line="480" w:lineRule="exact"/>
              <w:jc w:val="left"/>
              <w:rPr>
                <w:szCs w:val="40"/>
                <w:rtl/>
              </w:rPr>
            </w:pPr>
            <w:r w:rsidRPr="00DB7679">
              <w:rPr>
                <w:rFonts w:hint="cs"/>
                <w:szCs w:val="40"/>
                <w:rtl/>
              </w:rPr>
              <w:t>الأمم المتحدة</w:t>
            </w:r>
          </w:p>
        </w:tc>
        <w:tc>
          <w:tcPr>
            <w:tcW w:w="3261" w:type="dxa"/>
            <w:tcBorders>
              <w:bottom w:val="single" w:sz="4" w:space="0" w:color="auto"/>
            </w:tcBorders>
            <w:vAlign w:val="bottom"/>
          </w:tcPr>
          <w:p w:rsidR="006B3E27" w:rsidRPr="00243C8A" w:rsidRDefault="000B0675" w:rsidP="00026956">
            <w:pPr>
              <w:bidi w:val="0"/>
              <w:spacing w:after="20"/>
              <w:jc w:val="left"/>
              <w:rPr>
                <w:szCs w:val="20"/>
              </w:rPr>
            </w:pPr>
            <w:r w:rsidRPr="000B0675">
              <w:rPr>
                <w:sz w:val="40"/>
                <w:szCs w:val="20"/>
              </w:rPr>
              <w:t>CRC</w:t>
            </w:r>
            <w:r>
              <w:rPr>
                <w:szCs w:val="20"/>
              </w:rPr>
              <w:t>/C/80/D/4/2016</w:t>
            </w:r>
          </w:p>
        </w:tc>
      </w:tr>
      <w:tr w:rsidR="006B3E27" w:rsidRPr="00DB7679" w:rsidTr="006E444F">
        <w:trPr>
          <w:trHeight w:hRule="exact" w:val="2835"/>
        </w:trPr>
        <w:tc>
          <w:tcPr>
            <w:tcW w:w="1274" w:type="dxa"/>
            <w:tcBorders>
              <w:top w:val="single" w:sz="4" w:space="0" w:color="auto"/>
              <w:bottom w:val="single" w:sz="12" w:space="0" w:color="auto"/>
            </w:tcBorders>
          </w:tcPr>
          <w:p w:rsidR="006B3E27" w:rsidRPr="00DB7679" w:rsidRDefault="0059622A" w:rsidP="006E444F">
            <w:pPr>
              <w:jc w:val="center"/>
              <w:rPr>
                <w:rtl/>
              </w:rPr>
            </w:pPr>
            <w:r>
              <w:rPr>
                <w:noProof/>
              </w:rPr>
              <w:drawing>
                <wp:inline distT="0" distB="0" distL="0" distR="0" wp14:anchorId="1821619E" wp14:editId="53AAA3DE">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rsidR="006B3E27" w:rsidRPr="00A65558" w:rsidRDefault="001E1CAD" w:rsidP="006E444F">
            <w:pPr>
              <w:spacing w:before="240" w:after="40" w:line="640" w:lineRule="exact"/>
              <w:jc w:val="left"/>
              <w:rPr>
                <w:b/>
                <w:bCs/>
                <w:sz w:val="60"/>
                <w:szCs w:val="60"/>
                <w:rtl/>
              </w:rPr>
            </w:pPr>
            <w:r w:rsidRPr="00A65558">
              <w:rPr>
                <w:rFonts w:hint="cs"/>
                <w:b/>
                <w:bCs/>
                <w:sz w:val="60"/>
                <w:szCs w:val="60"/>
                <w:rtl/>
              </w:rPr>
              <w:t>ا</w:t>
            </w:r>
            <w:r w:rsidR="004A14A6" w:rsidRPr="00A65558">
              <w:rPr>
                <w:rFonts w:hint="cs"/>
                <w:b/>
                <w:bCs/>
                <w:sz w:val="60"/>
                <w:szCs w:val="60"/>
                <w:rtl/>
              </w:rPr>
              <w:t>تفاقي</w:t>
            </w:r>
            <w:r w:rsidR="00523BAE" w:rsidRPr="00A65558">
              <w:rPr>
                <w:rFonts w:hint="cs"/>
                <w:b/>
                <w:bCs/>
                <w:sz w:val="60"/>
                <w:szCs w:val="60"/>
                <w:rtl/>
              </w:rPr>
              <w:t>ـ</w:t>
            </w:r>
            <w:r w:rsidR="004A14A6" w:rsidRPr="00A65558">
              <w:rPr>
                <w:rFonts w:hint="cs"/>
                <w:b/>
                <w:bCs/>
                <w:sz w:val="60"/>
                <w:szCs w:val="60"/>
                <w:rtl/>
              </w:rPr>
              <w:t xml:space="preserve">ة </w:t>
            </w:r>
            <w:r w:rsidR="0045649E" w:rsidRPr="00A65558">
              <w:rPr>
                <w:rFonts w:hint="cs"/>
                <w:b/>
                <w:bCs/>
                <w:sz w:val="60"/>
                <w:szCs w:val="60"/>
                <w:rtl/>
              </w:rPr>
              <w:t xml:space="preserve">حقوق </w:t>
            </w:r>
            <w:r w:rsidR="00A65558" w:rsidRPr="00A65558">
              <w:rPr>
                <w:rFonts w:hint="cs"/>
                <w:b/>
                <w:bCs/>
                <w:sz w:val="60"/>
                <w:szCs w:val="60"/>
                <w:rtl/>
              </w:rPr>
              <w:t>الطفل</w:t>
            </w:r>
          </w:p>
        </w:tc>
        <w:tc>
          <w:tcPr>
            <w:tcW w:w="3261" w:type="dxa"/>
            <w:tcBorders>
              <w:top w:val="single" w:sz="4" w:space="0" w:color="auto"/>
              <w:bottom w:val="single" w:sz="12" w:space="0" w:color="auto"/>
            </w:tcBorders>
          </w:tcPr>
          <w:p w:rsidR="006B3E27" w:rsidRDefault="00026956" w:rsidP="00026956">
            <w:pPr>
              <w:bidi w:val="0"/>
              <w:spacing w:before="240"/>
              <w:jc w:val="left"/>
            </w:pPr>
            <w:r>
              <w:t>Distr.: General</w:t>
            </w:r>
          </w:p>
          <w:p w:rsidR="00026956" w:rsidRDefault="00026956" w:rsidP="00026956">
            <w:pPr>
              <w:bidi w:val="0"/>
              <w:jc w:val="left"/>
            </w:pPr>
            <w:r>
              <w:t>15 May 2019</w:t>
            </w:r>
          </w:p>
          <w:p w:rsidR="00026956" w:rsidRDefault="00026956" w:rsidP="00026956">
            <w:pPr>
              <w:bidi w:val="0"/>
              <w:jc w:val="left"/>
            </w:pPr>
            <w:r>
              <w:t>Arabic</w:t>
            </w:r>
          </w:p>
          <w:p w:rsidR="00026956" w:rsidRPr="008B4BC6" w:rsidRDefault="00026956" w:rsidP="00026956">
            <w:pPr>
              <w:bidi w:val="0"/>
              <w:jc w:val="left"/>
            </w:pPr>
            <w:r>
              <w:t>Original: Spanish</w:t>
            </w:r>
          </w:p>
        </w:tc>
      </w:tr>
    </w:tbl>
    <w:p w:rsidR="000C4DE9" w:rsidRPr="000C4DE9" w:rsidRDefault="000C4DE9" w:rsidP="000C4DE9">
      <w:pPr>
        <w:spacing w:before="120" w:after="120" w:line="380" w:lineRule="exact"/>
        <w:rPr>
          <w:b/>
          <w:bCs/>
          <w:sz w:val="26"/>
          <w:szCs w:val="36"/>
          <w:rtl/>
        </w:rPr>
      </w:pPr>
      <w:r w:rsidRPr="000C4DE9">
        <w:rPr>
          <w:b/>
          <w:bCs/>
          <w:sz w:val="26"/>
          <w:szCs w:val="36"/>
          <w:cs/>
        </w:rPr>
        <w:t>‎</w:t>
      </w:r>
      <w:r w:rsidRPr="000C4DE9">
        <w:rPr>
          <w:b/>
          <w:bCs/>
          <w:sz w:val="26"/>
          <w:szCs w:val="36"/>
          <w:rtl/>
        </w:rPr>
        <w:t>لجنة حقوق الطفل‏</w:t>
      </w:r>
    </w:p>
    <w:p w:rsidR="000C4DE9" w:rsidRPr="000C4DE9" w:rsidRDefault="000C4DE9" w:rsidP="000C4DE9">
      <w:pPr>
        <w:pStyle w:val="HChGA"/>
        <w:rPr>
          <w:rtl/>
        </w:rPr>
      </w:pPr>
      <w:r w:rsidRPr="000C4DE9">
        <w:rPr>
          <w:lang w:val="es-ES" w:bidi="ar-DZ"/>
        </w:rPr>
        <w:tab/>
      </w:r>
      <w:r w:rsidRPr="000C4DE9">
        <w:rPr>
          <w:lang w:val="es-ES" w:bidi="ar-DZ"/>
        </w:rPr>
        <w:tab/>
      </w:r>
      <w:r w:rsidRPr="000C4DE9">
        <w:rPr>
          <w:rtl/>
        </w:rPr>
        <w:t>آراء اعتمدتها اللجنة بموجب البروتوكول الاختياري لاتفاقية حقوق الطفل المتعلق بإجراء تقديم البل</w:t>
      </w:r>
      <w:bookmarkStart w:id="0" w:name="_GoBack"/>
      <w:bookmarkEnd w:id="0"/>
      <w:r w:rsidRPr="000C4DE9">
        <w:rPr>
          <w:rtl/>
        </w:rPr>
        <w:t xml:space="preserve">اغات، بشأن البلاغ رقم </w:t>
      </w:r>
      <w:r w:rsidRPr="000C4DE9">
        <w:rPr>
          <w:rtl/>
          <w:lang w:val="es-ES"/>
        </w:rPr>
        <w:t>4/2016</w:t>
      </w:r>
      <w:r w:rsidR="00B65ABB" w:rsidRPr="00B65ABB">
        <w:rPr>
          <w:rStyle w:val="FootnoteReference"/>
          <w:sz w:val="20"/>
          <w:vertAlign w:val="baseline"/>
          <w:rtl/>
          <w:lang w:val="es-ES"/>
        </w:rPr>
        <w:footnoteReference w:customMarkFollows="1" w:id="1"/>
        <w:t>*</w:t>
      </w:r>
      <w:r w:rsidR="00B65ABB">
        <w:rPr>
          <w:rFonts w:hint="cs"/>
          <w:rtl/>
          <w:lang w:val="es-ES"/>
        </w:rPr>
        <w:t xml:space="preserve"> </w:t>
      </w:r>
      <w:r w:rsidR="00B65ABB" w:rsidRPr="00B65ABB">
        <w:rPr>
          <w:rStyle w:val="FootnoteReference"/>
          <w:sz w:val="20"/>
          <w:vertAlign w:val="baseline"/>
          <w:rtl/>
          <w:lang w:val="es-ES"/>
        </w:rPr>
        <w:footnoteReference w:customMarkFollows="1" w:id="2"/>
        <w:t>**</w:t>
      </w:r>
    </w:p>
    <w:p w:rsidR="000C4DE9" w:rsidRPr="000C4DE9" w:rsidRDefault="000C4DE9" w:rsidP="00ED33F9">
      <w:pPr>
        <w:pStyle w:val="SingleTxtGA"/>
        <w:tabs>
          <w:tab w:val="clear" w:pos="1928"/>
          <w:tab w:val="clear" w:pos="2608"/>
          <w:tab w:val="clear" w:pos="3289"/>
          <w:tab w:val="clear" w:pos="3969"/>
          <w:tab w:val="clear" w:pos="4649"/>
          <w:tab w:val="clear" w:pos="5330"/>
          <w:tab w:val="left" w:pos="4165"/>
        </w:tabs>
        <w:ind w:left="4168" w:hanging="2240"/>
        <w:rPr>
          <w:i/>
          <w:rtl/>
        </w:rPr>
      </w:pPr>
      <w:r w:rsidRPr="000C4DE9">
        <w:rPr>
          <w:i/>
          <w:iCs/>
          <w:rtl/>
        </w:rPr>
        <w:t>بلاغ مقدم من:</w:t>
      </w:r>
      <w:r w:rsidRPr="000C4DE9">
        <w:rPr>
          <w:rtl/>
        </w:rPr>
        <w:tab/>
        <w:t>د. د. (يمثله المحامي السيد كارستن غيريك، والمنظمة غير الحكومية</w:t>
      </w:r>
      <w:r w:rsidRPr="000C4DE9">
        <w:rPr>
          <w:rtl/>
          <w:lang w:bidi="ar-DZ"/>
        </w:rPr>
        <w:t xml:space="preserve"> </w:t>
      </w:r>
      <w:proofErr w:type="spellStart"/>
      <w:r w:rsidRPr="000C4DE9">
        <w:rPr>
          <w:rtl/>
          <w:lang w:bidi="ar-DZ"/>
        </w:rPr>
        <w:t>فونداسيون</w:t>
      </w:r>
      <w:proofErr w:type="spellEnd"/>
      <w:r w:rsidRPr="000C4DE9">
        <w:rPr>
          <w:rtl/>
          <w:lang w:bidi="ar-DZ"/>
        </w:rPr>
        <w:t xml:space="preserve"> </w:t>
      </w:r>
      <w:proofErr w:type="spellStart"/>
      <w:r w:rsidRPr="000C4DE9">
        <w:rPr>
          <w:rtl/>
          <w:lang w:bidi="ar-DZ"/>
        </w:rPr>
        <w:t>رايسز</w:t>
      </w:r>
      <w:proofErr w:type="spellEnd"/>
      <w:r w:rsidRPr="000C4DE9">
        <w:rPr>
          <w:rtl/>
        </w:rPr>
        <w:t xml:space="preserve"> </w:t>
      </w:r>
      <w:r w:rsidRPr="000C4DE9">
        <w:rPr>
          <w:rtl/>
          <w:lang w:val="es-ES"/>
        </w:rPr>
        <w:t>"</w:t>
      </w:r>
      <w:r w:rsidRPr="000C4DE9">
        <w:rPr>
          <w:lang w:val="es-ES"/>
        </w:rPr>
        <w:t>Fundación Raíces</w:t>
      </w:r>
      <w:r w:rsidRPr="000C4DE9">
        <w:rPr>
          <w:rtl/>
          <w:lang w:val="es-ES"/>
        </w:rPr>
        <w:t>"</w:t>
      </w:r>
      <w:r w:rsidRPr="000C4DE9">
        <w:rPr>
          <w:i/>
          <w:rtl/>
        </w:rPr>
        <w:t>)</w:t>
      </w:r>
    </w:p>
    <w:p w:rsidR="000C4DE9" w:rsidRPr="000C4DE9" w:rsidRDefault="000C4DE9" w:rsidP="00ED33F9">
      <w:pPr>
        <w:pStyle w:val="SingleTxtGA"/>
        <w:tabs>
          <w:tab w:val="clear" w:pos="1928"/>
          <w:tab w:val="clear" w:pos="2608"/>
          <w:tab w:val="clear" w:pos="3289"/>
          <w:tab w:val="clear" w:pos="3969"/>
          <w:tab w:val="clear" w:pos="4649"/>
          <w:tab w:val="clear" w:pos="5330"/>
          <w:tab w:val="left" w:pos="4165"/>
        </w:tabs>
        <w:ind w:left="4168" w:hanging="2240"/>
        <w:rPr>
          <w:rtl/>
        </w:rPr>
      </w:pPr>
      <w:r w:rsidRPr="000C4DE9">
        <w:rPr>
          <w:i/>
          <w:iCs/>
          <w:rtl/>
        </w:rPr>
        <w:t>الشخص المدعى أنه ضحية:</w:t>
      </w:r>
      <w:r w:rsidRPr="000C4DE9">
        <w:rPr>
          <w:rtl/>
          <w:lang w:val="es-ES"/>
        </w:rPr>
        <w:tab/>
      </w:r>
      <w:r w:rsidRPr="000C4DE9">
        <w:rPr>
          <w:rtl/>
        </w:rPr>
        <w:t>د.</w:t>
      </w:r>
      <w:r w:rsidR="00ED33F9">
        <w:rPr>
          <w:rFonts w:hint="cs"/>
          <w:rtl/>
        </w:rPr>
        <w:t xml:space="preserve"> </w:t>
      </w:r>
      <w:r w:rsidRPr="000C4DE9">
        <w:rPr>
          <w:rtl/>
        </w:rPr>
        <w:t>د.</w:t>
      </w:r>
    </w:p>
    <w:p w:rsidR="000C4DE9" w:rsidRPr="000C4DE9" w:rsidRDefault="000C4DE9" w:rsidP="00ED33F9">
      <w:pPr>
        <w:pStyle w:val="SingleTxtGA"/>
        <w:tabs>
          <w:tab w:val="clear" w:pos="1928"/>
          <w:tab w:val="clear" w:pos="2608"/>
          <w:tab w:val="clear" w:pos="3289"/>
          <w:tab w:val="clear" w:pos="3969"/>
          <w:tab w:val="clear" w:pos="4649"/>
          <w:tab w:val="clear" w:pos="5330"/>
          <w:tab w:val="left" w:pos="4165"/>
        </w:tabs>
        <w:ind w:left="4168" w:hanging="2240"/>
        <w:rPr>
          <w:rtl/>
        </w:rPr>
      </w:pPr>
      <w:r w:rsidRPr="000C4DE9">
        <w:rPr>
          <w:i/>
          <w:iCs/>
          <w:rtl/>
        </w:rPr>
        <w:t>الدولة الطرف:</w:t>
      </w:r>
      <w:r w:rsidRPr="000C4DE9">
        <w:rPr>
          <w:rtl/>
          <w:lang w:val="es-ES"/>
        </w:rPr>
        <w:tab/>
      </w:r>
      <w:r w:rsidRPr="000C4DE9">
        <w:rPr>
          <w:rtl/>
        </w:rPr>
        <w:t>إسبانيا</w:t>
      </w:r>
    </w:p>
    <w:p w:rsidR="000C4DE9" w:rsidRPr="000C4DE9" w:rsidRDefault="000C4DE9" w:rsidP="00ED33F9">
      <w:pPr>
        <w:pStyle w:val="SingleTxtGA"/>
        <w:tabs>
          <w:tab w:val="clear" w:pos="1928"/>
          <w:tab w:val="clear" w:pos="2608"/>
          <w:tab w:val="clear" w:pos="3289"/>
          <w:tab w:val="clear" w:pos="3969"/>
          <w:tab w:val="clear" w:pos="4649"/>
          <w:tab w:val="clear" w:pos="5330"/>
          <w:tab w:val="left" w:pos="4165"/>
        </w:tabs>
        <w:ind w:left="4168" w:hanging="2240"/>
        <w:rPr>
          <w:rtl/>
        </w:rPr>
      </w:pPr>
      <w:r w:rsidRPr="000C4DE9">
        <w:rPr>
          <w:i/>
          <w:iCs/>
          <w:rtl/>
        </w:rPr>
        <w:t>تاريخ تقديم البلاغ:</w:t>
      </w:r>
      <w:r w:rsidRPr="000C4DE9">
        <w:rPr>
          <w:rtl/>
        </w:rPr>
        <w:tab/>
        <w:t>٢٦ تشرين الثاني/نوفمبر ٢٠١٥</w:t>
      </w:r>
    </w:p>
    <w:p w:rsidR="000C4DE9" w:rsidRPr="000C4DE9" w:rsidRDefault="000C4DE9" w:rsidP="00ED33F9">
      <w:pPr>
        <w:pStyle w:val="SingleTxtGA"/>
        <w:tabs>
          <w:tab w:val="clear" w:pos="1928"/>
          <w:tab w:val="clear" w:pos="2608"/>
          <w:tab w:val="clear" w:pos="3289"/>
          <w:tab w:val="clear" w:pos="3969"/>
          <w:tab w:val="clear" w:pos="4649"/>
          <w:tab w:val="clear" w:pos="5330"/>
          <w:tab w:val="left" w:pos="4165"/>
        </w:tabs>
        <w:ind w:left="4168" w:hanging="2240"/>
        <w:rPr>
          <w:rtl/>
        </w:rPr>
      </w:pPr>
      <w:r w:rsidRPr="000C4DE9">
        <w:rPr>
          <w:i/>
          <w:iCs/>
          <w:rtl/>
        </w:rPr>
        <w:t>تاريخ اعتماد الآراء:</w:t>
      </w:r>
      <w:r w:rsidRPr="000C4DE9">
        <w:rPr>
          <w:rtl/>
        </w:rPr>
        <w:tab/>
        <w:t>١ شباط/فبراير ٢٠١٩</w:t>
      </w:r>
    </w:p>
    <w:p w:rsidR="000C4DE9" w:rsidRPr="000C4DE9" w:rsidRDefault="000C4DE9" w:rsidP="00ED33F9">
      <w:pPr>
        <w:pStyle w:val="SingleTxtGA"/>
        <w:tabs>
          <w:tab w:val="clear" w:pos="1928"/>
          <w:tab w:val="clear" w:pos="2608"/>
          <w:tab w:val="clear" w:pos="3289"/>
          <w:tab w:val="clear" w:pos="3969"/>
          <w:tab w:val="clear" w:pos="4649"/>
          <w:tab w:val="clear" w:pos="5330"/>
          <w:tab w:val="left" w:pos="4165"/>
        </w:tabs>
        <w:ind w:left="4168" w:hanging="2240"/>
        <w:rPr>
          <w:rtl/>
        </w:rPr>
      </w:pPr>
      <w:r w:rsidRPr="000C4DE9">
        <w:rPr>
          <w:i/>
          <w:iCs/>
          <w:rtl/>
        </w:rPr>
        <w:t>الموضوع:</w:t>
      </w:r>
      <w:r w:rsidRPr="000C4DE9">
        <w:rPr>
          <w:rtl/>
          <w:lang w:val="es-ES"/>
        </w:rPr>
        <w:tab/>
      </w:r>
      <w:r w:rsidRPr="000C4DE9">
        <w:rPr>
          <w:rtl/>
        </w:rPr>
        <w:t>طرد بموجب إجراءات موجزة لطفل غير مصحوب بذويه من إسبانيا إلى المغرب</w:t>
      </w:r>
    </w:p>
    <w:p w:rsidR="000C4DE9" w:rsidRPr="00ED33F9" w:rsidRDefault="000C4DE9" w:rsidP="00ED33F9">
      <w:pPr>
        <w:pStyle w:val="SingleTxtGA"/>
        <w:tabs>
          <w:tab w:val="clear" w:pos="1928"/>
          <w:tab w:val="clear" w:pos="2608"/>
          <w:tab w:val="clear" w:pos="3289"/>
          <w:tab w:val="clear" w:pos="3969"/>
          <w:tab w:val="clear" w:pos="4649"/>
          <w:tab w:val="clear" w:pos="5330"/>
          <w:tab w:val="left" w:pos="4165"/>
        </w:tabs>
        <w:ind w:left="4168" w:hanging="2240"/>
        <w:rPr>
          <w:spacing w:val="-2"/>
          <w:rtl/>
        </w:rPr>
      </w:pPr>
      <w:r w:rsidRPr="00ED33F9">
        <w:rPr>
          <w:i/>
          <w:iCs/>
          <w:spacing w:val="-2"/>
          <w:rtl/>
        </w:rPr>
        <w:t>المسائل الإجرائية</w:t>
      </w:r>
      <w:r w:rsidRPr="00ED33F9">
        <w:rPr>
          <w:i/>
          <w:iCs/>
          <w:spacing w:val="-2"/>
          <w:rtl/>
          <w:lang w:val="es-ES"/>
        </w:rPr>
        <w:tab/>
      </w:r>
      <w:r w:rsidRPr="00ED33F9">
        <w:rPr>
          <w:spacing w:val="-2"/>
          <w:rtl/>
        </w:rPr>
        <w:t>عدم المقبولية من حيث الاختصاص المكاني والاختصاص الشخصي والاختصاص الموضوعي، وعدم استنفاد سبل الانتصاف المحلية</w:t>
      </w:r>
    </w:p>
    <w:p w:rsidR="000C4DE9" w:rsidRPr="000C4DE9" w:rsidRDefault="000C4DE9" w:rsidP="00ED33F9">
      <w:pPr>
        <w:pStyle w:val="SingleTxtGA"/>
        <w:tabs>
          <w:tab w:val="clear" w:pos="1928"/>
          <w:tab w:val="clear" w:pos="2608"/>
          <w:tab w:val="clear" w:pos="3289"/>
          <w:tab w:val="clear" w:pos="3969"/>
          <w:tab w:val="clear" w:pos="4649"/>
          <w:tab w:val="clear" w:pos="5330"/>
          <w:tab w:val="left" w:pos="4165"/>
        </w:tabs>
        <w:ind w:left="4168" w:hanging="2240"/>
        <w:rPr>
          <w:rtl/>
        </w:rPr>
      </w:pPr>
      <w:r w:rsidRPr="000C4DE9">
        <w:rPr>
          <w:i/>
          <w:iCs/>
          <w:rtl/>
        </w:rPr>
        <w:t>مواد الاتفاقية:</w:t>
      </w:r>
      <w:r w:rsidRPr="000C4DE9">
        <w:rPr>
          <w:rtl/>
        </w:rPr>
        <w:tab/>
      </w:r>
      <w:r w:rsidRPr="000C4DE9">
        <w:rPr>
          <w:rtl/>
          <w:lang w:val="es-ES"/>
        </w:rPr>
        <w:t>3</w:t>
      </w:r>
      <w:r w:rsidRPr="000C4DE9">
        <w:rPr>
          <w:rtl/>
        </w:rPr>
        <w:t xml:space="preserve">، </w:t>
      </w:r>
      <w:proofErr w:type="spellStart"/>
      <w:r w:rsidRPr="000C4DE9">
        <w:rPr>
          <w:rtl/>
        </w:rPr>
        <w:t>و</w:t>
      </w:r>
      <w:r w:rsidRPr="000C4DE9">
        <w:rPr>
          <w:rtl/>
          <w:lang w:val="es-ES"/>
        </w:rPr>
        <w:t>20</w:t>
      </w:r>
      <w:proofErr w:type="spellEnd"/>
      <w:r w:rsidRPr="000C4DE9">
        <w:rPr>
          <w:rtl/>
        </w:rPr>
        <w:t xml:space="preserve">، </w:t>
      </w:r>
      <w:proofErr w:type="spellStart"/>
      <w:r w:rsidRPr="000C4DE9">
        <w:rPr>
          <w:rtl/>
        </w:rPr>
        <w:t>و</w:t>
      </w:r>
      <w:r w:rsidRPr="000C4DE9">
        <w:rPr>
          <w:rtl/>
          <w:lang w:val="es-ES"/>
        </w:rPr>
        <w:t>37</w:t>
      </w:r>
      <w:proofErr w:type="spellEnd"/>
    </w:p>
    <w:p w:rsidR="000C4DE9" w:rsidRPr="000C4DE9" w:rsidRDefault="000C4DE9" w:rsidP="00ED33F9">
      <w:pPr>
        <w:pStyle w:val="SingleTxtGA"/>
        <w:tabs>
          <w:tab w:val="clear" w:pos="1928"/>
          <w:tab w:val="clear" w:pos="2608"/>
          <w:tab w:val="clear" w:pos="3289"/>
          <w:tab w:val="clear" w:pos="3969"/>
          <w:tab w:val="clear" w:pos="4649"/>
          <w:tab w:val="clear" w:pos="5330"/>
          <w:tab w:val="left" w:pos="4165"/>
        </w:tabs>
        <w:ind w:left="4168" w:hanging="2240"/>
        <w:rPr>
          <w:iCs/>
          <w:rtl/>
        </w:rPr>
      </w:pPr>
      <w:r w:rsidRPr="000C4DE9">
        <w:rPr>
          <w:i/>
          <w:iCs/>
          <w:rtl/>
        </w:rPr>
        <w:t>مواد البروتوكول الاختياري:</w:t>
      </w:r>
      <w:r w:rsidRPr="000C4DE9">
        <w:rPr>
          <w:rtl/>
        </w:rPr>
        <w:tab/>
      </w:r>
      <w:r w:rsidRPr="000C4DE9">
        <w:rPr>
          <w:rtl/>
          <w:lang w:val="es-ES"/>
        </w:rPr>
        <w:t>5</w:t>
      </w:r>
      <w:r w:rsidRPr="000C4DE9">
        <w:rPr>
          <w:rtl/>
        </w:rPr>
        <w:t xml:space="preserve">، </w:t>
      </w:r>
      <w:proofErr w:type="spellStart"/>
      <w:r w:rsidRPr="000C4DE9">
        <w:rPr>
          <w:rtl/>
        </w:rPr>
        <w:t>و7</w:t>
      </w:r>
      <w:proofErr w:type="spellEnd"/>
      <w:r w:rsidRPr="000C4DE9">
        <w:rPr>
          <w:rtl/>
        </w:rPr>
        <w:t>(ه)</w:t>
      </w:r>
    </w:p>
    <w:p w:rsidR="000C4DE9" w:rsidRPr="000C4DE9" w:rsidRDefault="000C4DE9" w:rsidP="00ED33F9">
      <w:pPr>
        <w:pStyle w:val="SingleTxtGA"/>
        <w:spacing w:line="360" w:lineRule="exact"/>
        <w:rPr>
          <w:rtl/>
        </w:rPr>
      </w:pPr>
      <w:r w:rsidRPr="000C4DE9">
        <w:rPr>
          <w:rtl/>
        </w:rPr>
        <w:t>١-١</w:t>
      </w:r>
      <w:r w:rsidRPr="000C4DE9">
        <w:rPr>
          <w:rtl/>
          <w:lang w:val="es-ES"/>
        </w:rPr>
        <w:tab/>
      </w:r>
      <w:r w:rsidRPr="000C4DE9">
        <w:rPr>
          <w:rtl/>
        </w:rPr>
        <w:t>صاحب البلاغ هو السيد د.</w:t>
      </w:r>
      <w:r w:rsidR="00ED33F9">
        <w:rPr>
          <w:rFonts w:hint="cs"/>
          <w:rtl/>
        </w:rPr>
        <w:t xml:space="preserve"> </w:t>
      </w:r>
      <w:r w:rsidRPr="000C4DE9">
        <w:rPr>
          <w:rtl/>
        </w:rPr>
        <w:t xml:space="preserve">د، وهو مواطن مالي وُلد في </w:t>
      </w:r>
      <w:r w:rsidRPr="000C4DE9">
        <w:rPr>
          <w:rtl/>
          <w:lang w:val="es-ES"/>
        </w:rPr>
        <w:t>10</w:t>
      </w:r>
      <w:r w:rsidRPr="000C4DE9">
        <w:rPr>
          <w:rtl/>
        </w:rPr>
        <w:t xml:space="preserve"> آذار/مارس 1999.</w:t>
      </w:r>
      <w:r w:rsidRPr="000C4DE9">
        <w:rPr>
          <w:rtl/>
          <w:lang w:val="es-ES"/>
        </w:rPr>
        <w:t xml:space="preserve"> </w:t>
      </w:r>
      <w:r w:rsidRPr="000C4DE9">
        <w:rPr>
          <w:rtl/>
        </w:rPr>
        <w:t xml:space="preserve">وهو يدعي أنه ضحية انتهاكات المواد </w:t>
      </w:r>
      <w:r w:rsidRPr="000C4DE9">
        <w:rPr>
          <w:rtl/>
          <w:lang w:val="es-ES"/>
        </w:rPr>
        <w:t>3</w:t>
      </w:r>
      <w:r w:rsidRPr="000C4DE9">
        <w:rPr>
          <w:rtl/>
        </w:rPr>
        <w:t>، و</w:t>
      </w:r>
      <w:r w:rsidRPr="000C4DE9">
        <w:rPr>
          <w:rtl/>
          <w:lang w:val="es-ES"/>
        </w:rPr>
        <w:t>20</w:t>
      </w:r>
      <w:r w:rsidRPr="000C4DE9">
        <w:rPr>
          <w:rtl/>
        </w:rPr>
        <w:t>، و</w:t>
      </w:r>
      <w:r w:rsidRPr="000C4DE9">
        <w:rPr>
          <w:rtl/>
          <w:lang w:val="es-ES"/>
        </w:rPr>
        <w:t>37</w:t>
      </w:r>
      <w:r w:rsidRPr="000C4DE9">
        <w:rPr>
          <w:rtl/>
        </w:rPr>
        <w:t xml:space="preserve"> من الاتفاقية.</w:t>
      </w:r>
      <w:r w:rsidRPr="000C4DE9">
        <w:rPr>
          <w:rtl/>
          <w:lang w:val="es-ES"/>
        </w:rPr>
        <w:t xml:space="preserve"> </w:t>
      </w:r>
      <w:r w:rsidRPr="000C4DE9">
        <w:rPr>
          <w:rtl/>
        </w:rPr>
        <w:t>وقد دخل البروتوكول الاختياري حيز النفاذ بالنسبة للدولة الطرف في ١٤ نيسان/أبريل ٢٠١٤.</w:t>
      </w:r>
    </w:p>
    <w:p w:rsidR="000C4DE9" w:rsidRPr="000C4DE9" w:rsidRDefault="000C4DE9" w:rsidP="000C4DE9">
      <w:pPr>
        <w:pStyle w:val="SingleTxtGA"/>
        <w:rPr>
          <w:rtl/>
        </w:rPr>
      </w:pPr>
      <w:r w:rsidRPr="000C4DE9">
        <w:rPr>
          <w:rtl/>
        </w:rPr>
        <w:lastRenderedPageBreak/>
        <w:t>١-٢</w:t>
      </w:r>
      <w:r w:rsidRPr="000C4DE9">
        <w:rPr>
          <w:rtl/>
          <w:lang w:val="es-ES"/>
        </w:rPr>
        <w:tab/>
      </w:r>
      <w:r w:rsidRPr="000C4DE9">
        <w:rPr>
          <w:rtl/>
        </w:rPr>
        <w:t xml:space="preserve">وفي </w:t>
      </w:r>
      <w:r w:rsidRPr="000C4DE9">
        <w:rPr>
          <w:rtl/>
          <w:lang w:val="es-ES"/>
        </w:rPr>
        <w:t>9</w:t>
      </w:r>
      <w:r w:rsidRPr="000C4DE9">
        <w:rPr>
          <w:rtl/>
        </w:rPr>
        <w:t xml:space="preserve"> حزيران/يونيه </w:t>
      </w:r>
      <w:r w:rsidRPr="000C4DE9">
        <w:rPr>
          <w:rtl/>
          <w:lang w:val="es-ES"/>
        </w:rPr>
        <w:t>2017</w:t>
      </w:r>
      <w:r w:rsidRPr="000C4DE9">
        <w:rPr>
          <w:rtl/>
        </w:rPr>
        <w:t>، قرّر الفريق العامل المعني بالبلاغات، نيابة عن اللجنة، رفض طلب الدولة الطرف النظر في مقبولية البلاغ بشكل منفصل عن أسسه الموضوعية.</w:t>
      </w:r>
    </w:p>
    <w:p w:rsidR="000C4DE9" w:rsidRPr="000C4DE9" w:rsidRDefault="000C4DE9" w:rsidP="001E3F43">
      <w:pPr>
        <w:pStyle w:val="H23GA"/>
        <w:keepNext/>
        <w:keepLines/>
        <w:spacing w:before="240"/>
        <w:rPr>
          <w:rtl/>
        </w:rPr>
      </w:pPr>
      <w:r w:rsidRPr="000C4DE9">
        <w:rPr>
          <w:rtl/>
          <w:lang w:val="es-ES"/>
        </w:rPr>
        <w:tab/>
      </w:r>
      <w:r w:rsidRPr="000C4DE9">
        <w:rPr>
          <w:rtl/>
          <w:lang w:val="es-ES"/>
        </w:rPr>
        <w:tab/>
      </w:r>
      <w:r w:rsidRPr="000C4DE9">
        <w:rPr>
          <w:rtl/>
        </w:rPr>
        <w:t>الوقائع كما عرضها صاحب البلاغ</w:t>
      </w:r>
    </w:p>
    <w:p w:rsidR="000C4DE9" w:rsidRPr="000C4DE9" w:rsidRDefault="000C4DE9" w:rsidP="00ED33F9">
      <w:pPr>
        <w:pStyle w:val="SingleTxtGA"/>
        <w:rPr>
          <w:rtl/>
        </w:rPr>
      </w:pPr>
      <w:r w:rsidRPr="000C4DE9">
        <w:rPr>
          <w:rtl/>
        </w:rPr>
        <w:t>٢-١</w:t>
      </w:r>
      <w:r w:rsidRPr="000C4DE9">
        <w:rPr>
          <w:rtl/>
          <w:lang w:val="es-ES"/>
        </w:rPr>
        <w:tab/>
      </w:r>
      <w:r w:rsidRPr="000C4DE9">
        <w:rPr>
          <w:rtl/>
        </w:rPr>
        <w:t>في عام ٢٠١٣، غادر صاحب البلاغ قريته في مالي بسبب النزاع المسلح.</w:t>
      </w:r>
      <w:r w:rsidRPr="000C4DE9">
        <w:rPr>
          <w:rtl/>
          <w:lang w:val="es-ES"/>
        </w:rPr>
        <w:t xml:space="preserve"> </w:t>
      </w:r>
      <w:r w:rsidRPr="000C4DE9">
        <w:rPr>
          <w:rtl/>
        </w:rPr>
        <w:t>وفي شباط/</w:t>
      </w:r>
      <w:r w:rsidR="00410A92">
        <w:rPr>
          <w:rFonts w:hint="cs"/>
          <w:rtl/>
        </w:rPr>
        <w:t xml:space="preserve"> </w:t>
      </w:r>
      <w:r w:rsidRPr="000C4DE9">
        <w:rPr>
          <w:rtl/>
        </w:rPr>
        <w:t xml:space="preserve">فبراير ٢٠١٤، وصل صاحب البلاغ إلى المغرب وعاش قرابة سنة في مخيمات غير رسمية للمهاجرين بجبل </w:t>
      </w:r>
      <w:proofErr w:type="spellStart"/>
      <w:r w:rsidRPr="000C4DE9">
        <w:rPr>
          <w:rtl/>
        </w:rPr>
        <w:t>غوروغو</w:t>
      </w:r>
      <w:proofErr w:type="spellEnd"/>
      <w:r w:rsidRPr="000C4DE9">
        <w:rPr>
          <w:rtl/>
        </w:rPr>
        <w:t xml:space="preserve"> الواقع ضواحي جيب </w:t>
      </w:r>
      <w:proofErr w:type="spellStart"/>
      <w:r w:rsidRPr="000C4DE9">
        <w:rPr>
          <w:rtl/>
        </w:rPr>
        <w:t>مليلية</w:t>
      </w:r>
      <w:proofErr w:type="spellEnd"/>
      <w:r w:rsidRPr="000C4DE9">
        <w:rPr>
          <w:rtl/>
        </w:rPr>
        <w:t xml:space="preserve"> الإسباني.</w:t>
      </w:r>
      <w:r w:rsidRPr="000C4DE9">
        <w:rPr>
          <w:rtl/>
          <w:lang w:val="es-ES"/>
        </w:rPr>
        <w:t xml:space="preserve"> </w:t>
      </w:r>
    </w:p>
    <w:p w:rsidR="000C4DE9" w:rsidRPr="00ED33F9" w:rsidRDefault="000C4DE9" w:rsidP="00ED33F9">
      <w:pPr>
        <w:pStyle w:val="SingleTxtGA"/>
        <w:rPr>
          <w:spacing w:val="-2"/>
          <w:rtl/>
        </w:rPr>
      </w:pPr>
      <w:r w:rsidRPr="00ED33F9">
        <w:rPr>
          <w:spacing w:val="-2"/>
          <w:rtl/>
        </w:rPr>
        <w:t>٢-٢</w:t>
      </w:r>
      <w:r w:rsidRPr="00ED33F9">
        <w:rPr>
          <w:spacing w:val="-2"/>
          <w:rtl/>
          <w:lang w:val="es-ES"/>
        </w:rPr>
        <w:tab/>
      </w:r>
      <w:r w:rsidRPr="00ED33F9">
        <w:rPr>
          <w:spacing w:val="-2"/>
          <w:rtl/>
        </w:rPr>
        <w:t>وخلال تلك الفترة، كان صاحب البلاغ ينام أحيانا</w:t>
      </w:r>
      <w:r w:rsidR="003A313D" w:rsidRPr="00ED33F9">
        <w:rPr>
          <w:rFonts w:hint="cs"/>
          <w:spacing w:val="-2"/>
          <w:rtl/>
        </w:rPr>
        <w:t>ً</w:t>
      </w:r>
      <w:r w:rsidRPr="00ED33F9">
        <w:rPr>
          <w:spacing w:val="-2"/>
          <w:rtl/>
        </w:rPr>
        <w:t xml:space="preserve"> في </w:t>
      </w:r>
      <w:r w:rsidRPr="00ED33F9">
        <w:rPr>
          <w:spacing w:val="-2"/>
          <w:rtl/>
          <w:lang w:bidi="ar-DZ"/>
        </w:rPr>
        <w:t>العراء في الغابة</w:t>
      </w:r>
      <w:r w:rsidRPr="00ED33F9">
        <w:rPr>
          <w:spacing w:val="-2"/>
          <w:rtl/>
        </w:rPr>
        <w:t xml:space="preserve"> ويتسول في القرى المغربية ويعيش من دون إمكانية الحصول على مياه الشرب أو الخدمات الصحية أو التعليم.</w:t>
      </w:r>
      <w:r w:rsidRPr="00ED33F9">
        <w:rPr>
          <w:spacing w:val="-2"/>
          <w:rtl/>
          <w:lang w:val="es-ES"/>
        </w:rPr>
        <w:t xml:space="preserve"> </w:t>
      </w:r>
      <w:r w:rsidRPr="00ED33F9">
        <w:rPr>
          <w:spacing w:val="-2"/>
          <w:rtl/>
        </w:rPr>
        <w:t>ويؤكد صاحب البلاغ أنه تعرض لأعمال العنف والاعتداء على يد قوات الأمن المغربية التي غالبا</w:t>
      </w:r>
      <w:r w:rsidR="003A313D" w:rsidRPr="00ED33F9">
        <w:rPr>
          <w:rFonts w:hint="cs"/>
          <w:spacing w:val="-2"/>
          <w:rtl/>
        </w:rPr>
        <w:t>ً</w:t>
      </w:r>
      <w:r w:rsidRPr="00ED33F9">
        <w:rPr>
          <w:spacing w:val="-2"/>
          <w:rtl/>
        </w:rPr>
        <w:t xml:space="preserve"> ما</w:t>
      </w:r>
      <w:r w:rsidR="00ED33F9">
        <w:rPr>
          <w:rFonts w:hint="cs"/>
          <w:spacing w:val="-2"/>
          <w:rtl/>
        </w:rPr>
        <w:t> </w:t>
      </w:r>
      <w:r w:rsidRPr="00ED33F9">
        <w:rPr>
          <w:spacing w:val="-2"/>
          <w:rtl/>
        </w:rPr>
        <w:t>كانت ترمي سكان المخيمات بالحجارة وتتلف ممتلكاتهم والمواد اللازمة لبقائهم على قيد الحياة.</w:t>
      </w:r>
    </w:p>
    <w:p w:rsidR="000C4DE9" w:rsidRPr="000C4DE9" w:rsidRDefault="000C4DE9" w:rsidP="00ED33F9">
      <w:pPr>
        <w:pStyle w:val="SingleTxtGA"/>
        <w:rPr>
          <w:rtl/>
        </w:rPr>
      </w:pPr>
      <w:r w:rsidRPr="000C4DE9">
        <w:rPr>
          <w:rtl/>
        </w:rPr>
        <w:t>٢-٣</w:t>
      </w:r>
      <w:r w:rsidRPr="000C4DE9">
        <w:rPr>
          <w:rtl/>
          <w:lang w:val="es-ES"/>
        </w:rPr>
        <w:tab/>
      </w:r>
      <w:r w:rsidRPr="000C4DE9">
        <w:rPr>
          <w:rtl/>
        </w:rPr>
        <w:t>وحاول صاحب البلاغ مرارا</w:t>
      </w:r>
      <w:r w:rsidR="003A313D">
        <w:rPr>
          <w:rFonts w:hint="cs"/>
          <w:rtl/>
        </w:rPr>
        <w:t>ً</w:t>
      </w:r>
      <w:r w:rsidRPr="000C4DE9">
        <w:rPr>
          <w:rtl/>
        </w:rPr>
        <w:t xml:space="preserve"> عبور السياجات الحدودية الفاصلة بين مليلة والأراضي </w:t>
      </w:r>
      <w:proofErr w:type="gramStart"/>
      <w:r w:rsidRPr="000C4DE9">
        <w:rPr>
          <w:rtl/>
        </w:rPr>
        <w:t>المغربية</w:t>
      </w:r>
      <w:r w:rsidR="00B65ABB" w:rsidRPr="00B65ABB">
        <w:rPr>
          <w:vertAlign w:val="superscript"/>
          <w:rtl/>
        </w:rPr>
        <w:t>(</w:t>
      </w:r>
      <w:proofErr w:type="gramEnd"/>
      <w:r w:rsidR="00B65ABB" w:rsidRPr="000C4DE9">
        <w:rPr>
          <w:vertAlign w:val="superscript"/>
          <w:rtl/>
          <w:lang w:val="es-ES"/>
        </w:rPr>
        <w:footnoteReference w:id="3"/>
      </w:r>
      <w:r w:rsidR="00B65ABB">
        <w:rPr>
          <w:vertAlign w:val="superscript"/>
          <w:rtl/>
          <w:lang w:val="es-ES"/>
        </w:rPr>
        <w:t>)</w:t>
      </w:r>
      <w:r w:rsidR="00B65ABB">
        <w:rPr>
          <w:rtl/>
        </w:rPr>
        <w:t>.</w:t>
      </w:r>
      <w:r w:rsidRPr="000C4DE9">
        <w:rPr>
          <w:rtl/>
          <w:lang w:val="es-ES"/>
        </w:rPr>
        <w:t xml:space="preserve"> </w:t>
      </w:r>
      <w:r w:rsidRPr="000C4DE9">
        <w:rPr>
          <w:rtl/>
        </w:rPr>
        <w:t>وكان إحدى تلك المرات في ١٨ آذار/مارس ٢٠١٤، عندما تعرّض صاحب البلاغ لضرب مبرح بالعصا على يد قوات الأمن المغربية أثناء محاولته الوصول إلى أول سياج، ممّا تسبب له في فقدان أسنانه الأمامية.</w:t>
      </w:r>
      <w:r w:rsidRPr="000C4DE9">
        <w:rPr>
          <w:rtl/>
          <w:lang w:val="es-ES"/>
        </w:rPr>
        <w:t xml:space="preserve"> </w:t>
      </w:r>
      <w:r w:rsidRPr="000C4DE9">
        <w:rPr>
          <w:rtl/>
        </w:rPr>
        <w:t>وفي أعقاب هذا الاعتداء، كان على صاحب البلاغ السير مسافة</w:t>
      </w:r>
      <w:r w:rsidR="00410A92">
        <w:rPr>
          <w:rFonts w:hint="cs"/>
          <w:rtl/>
        </w:rPr>
        <w:t> </w:t>
      </w:r>
      <w:r w:rsidRPr="000C4DE9">
        <w:rPr>
          <w:rtl/>
        </w:rPr>
        <w:t>٢٠ كيلومتر للعودة إلى المخيم.</w:t>
      </w:r>
      <w:r w:rsidRPr="000C4DE9">
        <w:rPr>
          <w:rtl/>
          <w:lang w:val="es-ES"/>
        </w:rPr>
        <w:t xml:space="preserve"> </w:t>
      </w:r>
    </w:p>
    <w:p w:rsidR="000C4DE9" w:rsidRPr="000C4DE9" w:rsidRDefault="000C4DE9" w:rsidP="00ED33F9">
      <w:pPr>
        <w:pStyle w:val="SingleTxtGA"/>
        <w:rPr>
          <w:rtl/>
        </w:rPr>
      </w:pPr>
      <w:r w:rsidRPr="000C4DE9">
        <w:rPr>
          <w:rtl/>
        </w:rPr>
        <w:t>٢-٤</w:t>
      </w:r>
      <w:r w:rsidRPr="000C4DE9">
        <w:rPr>
          <w:rtl/>
          <w:lang w:val="es-ES"/>
        </w:rPr>
        <w:tab/>
      </w:r>
      <w:r w:rsidRPr="000C4DE9">
        <w:rPr>
          <w:rtl/>
        </w:rPr>
        <w:t xml:space="preserve">وفي ٢ كانون الأول/ديسمبر ٢٠١٤، غادر صاحب البلاغ ومجموعة من الأشخاص المنحدرين من جنوب الصحراء الكبرى جبل </w:t>
      </w:r>
      <w:proofErr w:type="spellStart"/>
      <w:r w:rsidRPr="000C4DE9">
        <w:rPr>
          <w:rtl/>
        </w:rPr>
        <w:t>غوروغو</w:t>
      </w:r>
      <w:proofErr w:type="spellEnd"/>
      <w:r w:rsidRPr="000C4DE9">
        <w:rPr>
          <w:rtl/>
        </w:rPr>
        <w:t xml:space="preserve"> بنية دخول </w:t>
      </w:r>
      <w:proofErr w:type="spellStart"/>
      <w:r w:rsidRPr="000C4DE9">
        <w:rPr>
          <w:rtl/>
        </w:rPr>
        <w:t>مليلية</w:t>
      </w:r>
      <w:proofErr w:type="spellEnd"/>
      <w:r w:rsidRPr="000C4DE9">
        <w:rPr>
          <w:rtl/>
        </w:rPr>
        <w:t>.</w:t>
      </w:r>
      <w:r w:rsidRPr="000C4DE9">
        <w:rPr>
          <w:rtl/>
          <w:lang w:val="es-ES"/>
        </w:rPr>
        <w:t xml:space="preserve"> </w:t>
      </w:r>
      <w:r w:rsidRPr="000C4DE9">
        <w:rPr>
          <w:rtl/>
        </w:rPr>
        <w:t>وقد صعد صاحب البلاغ إلى أعلى السياج الثالث حيث رأى الحرس المدني الإسباني يرحّل بموجب إجراءات موجزة أفرادا</w:t>
      </w:r>
      <w:r w:rsidR="003A313D">
        <w:rPr>
          <w:rFonts w:hint="cs"/>
          <w:rtl/>
        </w:rPr>
        <w:t>ً</w:t>
      </w:r>
      <w:r w:rsidRPr="000C4DE9">
        <w:rPr>
          <w:rtl/>
        </w:rPr>
        <w:t xml:space="preserve"> آخرين نزلوا من السياج ويسلّمهم إلى القوات المغربية.</w:t>
      </w:r>
      <w:r w:rsidRPr="000C4DE9">
        <w:rPr>
          <w:rtl/>
          <w:lang w:val="es-ES"/>
        </w:rPr>
        <w:t xml:space="preserve"> </w:t>
      </w:r>
      <w:r w:rsidRPr="000C4DE9">
        <w:rPr>
          <w:rtl/>
        </w:rPr>
        <w:t>وهكذا، وخوفا</w:t>
      </w:r>
      <w:r w:rsidR="003A313D">
        <w:rPr>
          <w:rFonts w:hint="cs"/>
          <w:rtl/>
        </w:rPr>
        <w:t>ً</w:t>
      </w:r>
      <w:r w:rsidRPr="000C4DE9">
        <w:rPr>
          <w:rtl/>
        </w:rPr>
        <w:t xml:space="preserve"> من الترحيل والتعرض ربما لسوء المعاملة والعنف على يد القوات المغربية، ظل صاحب البلاغ ماكثا</w:t>
      </w:r>
      <w:r w:rsidR="003A313D">
        <w:rPr>
          <w:rFonts w:hint="cs"/>
          <w:rtl/>
        </w:rPr>
        <w:t>ً</w:t>
      </w:r>
      <w:r w:rsidRPr="000C4DE9">
        <w:rPr>
          <w:rtl/>
        </w:rPr>
        <w:t xml:space="preserve"> لعدة ساعات عند أعلى السياج.</w:t>
      </w:r>
      <w:r w:rsidRPr="000C4DE9">
        <w:rPr>
          <w:rtl/>
          <w:lang w:val="es-ES"/>
        </w:rPr>
        <w:t xml:space="preserve"> </w:t>
      </w:r>
      <w:r w:rsidRPr="000C4DE9">
        <w:rPr>
          <w:rtl/>
        </w:rPr>
        <w:t>وخلال ذلك الوقت، لم يحصل على أي مساعدة، ولم يحصل على المياه أو الغذاء.</w:t>
      </w:r>
      <w:r w:rsidRPr="000C4DE9">
        <w:rPr>
          <w:rtl/>
          <w:lang w:val="es-ES"/>
        </w:rPr>
        <w:t xml:space="preserve"> </w:t>
      </w:r>
      <w:r w:rsidRPr="000C4DE9">
        <w:rPr>
          <w:rtl/>
        </w:rPr>
        <w:t>كما لم يكن بإمكانه التواصل مع الحرس المدني، لأنه لم يكن يتكلم الإسبانية ولم يكن يوجد مترجمون شفويون.</w:t>
      </w:r>
      <w:r w:rsidRPr="000C4DE9">
        <w:rPr>
          <w:rtl/>
          <w:lang w:val="es-ES"/>
        </w:rPr>
        <w:t xml:space="preserve"> </w:t>
      </w:r>
      <w:r w:rsidRPr="000C4DE9">
        <w:rPr>
          <w:rtl/>
        </w:rPr>
        <w:t>وفي الأخير، نزل من السياج باستخدام سلّم مقدم من الحرس المدني.</w:t>
      </w:r>
      <w:r w:rsidRPr="000C4DE9">
        <w:rPr>
          <w:rtl/>
          <w:lang w:val="es-ES"/>
        </w:rPr>
        <w:t xml:space="preserve"> </w:t>
      </w:r>
      <w:r w:rsidRPr="000C4DE9">
        <w:rPr>
          <w:rtl/>
        </w:rPr>
        <w:t>وما أن وطأت قدما صاحب البلاغ الأرض، حتى قبض عليه الحرس المدني وصفّد يديه وسلّمه للقوات المغربية ثم رُحّل إلى المغرب بموجب إجراءات موجزة</w:t>
      </w:r>
      <w:r w:rsidR="00B65ABB" w:rsidRPr="00B65ABB">
        <w:rPr>
          <w:vertAlign w:val="superscript"/>
          <w:rtl/>
        </w:rPr>
        <w:t>(</w:t>
      </w:r>
      <w:r w:rsidR="00B65ABB" w:rsidRPr="000C4DE9">
        <w:rPr>
          <w:vertAlign w:val="superscript"/>
          <w:rtl/>
          <w:lang w:val="es-ES"/>
        </w:rPr>
        <w:footnoteReference w:id="4"/>
      </w:r>
      <w:r w:rsidR="00B65ABB">
        <w:rPr>
          <w:vertAlign w:val="superscript"/>
          <w:rtl/>
          <w:lang w:val="es-ES"/>
        </w:rPr>
        <w:t>)</w:t>
      </w:r>
      <w:r w:rsidR="00B65ABB">
        <w:rPr>
          <w:rtl/>
        </w:rPr>
        <w:t>.</w:t>
      </w:r>
      <w:r w:rsidRPr="000C4DE9">
        <w:rPr>
          <w:rtl/>
          <w:lang w:val="es-ES"/>
        </w:rPr>
        <w:t xml:space="preserve"> </w:t>
      </w:r>
      <w:r w:rsidRPr="000C4DE9">
        <w:rPr>
          <w:rtl/>
        </w:rPr>
        <w:t>ولم يخضع في أي وقت من الأوقات لعملية تحديد الهوية.</w:t>
      </w:r>
      <w:r w:rsidRPr="000C4DE9">
        <w:rPr>
          <w:rtl/>
          <w:lang w:val="es-ES"/>
        </w:rPr>
        <w:t xml:space="preserve"> </w:t>
      </w:r>
      <w:r w:rsidRPr="000C4DE9">
        <w:rPr>
          <w:rtl/>
        </w:rPr>
        <w:t>كما لم تتح له فرصة شرح ظروفه الشخصية، بما في ذلك سنه، أو الاعتراض على إبعاده الوشيك، أو المطالبة بحماية باعتباره طفلا</w:t>
      </w:r>
      <w:r w:rsidR="003A313D">
        <w:rPr>
          <w:rFonts w:hint="cs"/>
          <w:rtl/>
        </w:rPr>
        <w:t>ً</w:t>
      </w:r>
      <w:r w:rsidRPr="000C4DE9">
        <w:rPr>
          <w:rtl/>
        </w:rPr>
        <w:t xml:space="preserve"> غير مصحوب بذويه.</w:t>
      </w:r>
      <w:r w:rsidRPr="000C4DE9">
        <w:rPr>
          <w:rtl/>
          <w:lang w:val="es-ES"/>
        </w:rPr>
        <w:t xml:space="preserve"> </w:t>
      </w:r>
      <w:r w:rsidRPr="000C4DE9">
        <w:rPr>
          <w:rtl/>
        </w:rPr>
        <w:t>ولم يستفد من مساعدة محامين أو مترجمين شفويين أو أطباء.</w:t>
      </w:r>
      <w:r w:rsidRPr="000C4DE9">
        <w:rPr>
          <w:rtl/>
          <w:lang w:val="es-ES"/>
        </w:rPr>
        <w:t xml:space="preserve"> </w:t>
      </w:r>
      <w:r w:rsidRPr="000C4DE9">
        <w:rPr>
          <w:rtl/>
        </w:rPr>
        <w:t xml:space="preserve">وقد عاد صاحب البلاغ، بعد أن أطلقت قوات الأمن المغربية سراحه، إلى جبل </w:t>
      </w:r>
      <w:proofErr w:type="spellStart"/>
      <w:r w:rsidRPr="000C4DE9">
        <w:rPr>
          <w:rtl/>
        </w:rPr>
        <w:t>غوروغو</w:t>
      </w:r>
      <w:proofErr w:type="spellEnd"/>
      <w:r w:rsidRPr="000C4DE9">
        <w:rPr>
          <w:rtl/>
        </w:rPr>
        <w:t xml:space="preserve"> حيث ظلّ يعيش في ظروف تتسم بعدم الاستقرار والخوف المستمر من التعرض للعنف والاعتداء من جانب قوات الأمن المغربية.</w:t>
      </w:r>
      <w:r w:rsidRPr="000C4DE9">
        <w:rPr>
          <w:rtl/>
          <w:lang w:val="es-ES"/>
        </w:rPr>
        <w:t xml:space="preserve"> </w:t>
      </w:r>
    </w:p>
    <w:p w:rsidR="000C4DE9" w:rsidRPr="000C4DE9" w:rsidRDefault="000C4DE9" w:rsidP="00ED33F9">
      <w:pPr>
        <w:pStyle w:val="SingleTxtGA"/>
        <w:spacing w:line="370" w:lineRule="exact"/>
      </w:pPr>
      <w:r w:rsidRPr="000C4DE9">
        <w:rPr>
          <w:rtl/>
        </w:rPr>
        <w:lastRenderedPageBreak/>
        <w:t>٢</w:t>
      </w:r>
      <w:r w:rsidRPr="005F256D">
        <w:rPr>
          <w:rtl/>
        </w:rPr>
        <w:t>-٥</w:t>
      </w:r>
      <w:r w:rsidRPr="005F256D">
        <w:rPr>
          <w:rtl/>
          <w:lang w:val="es-ES"/>
        </w:rPr>
        <w:tab/>
      </w:r>
      <w:r w:rsidRPr="005F256D">
        <w:rPr>
          <w:rtl/>
        </w:rPr>
        <w:t>ويدفع صاحب البلاغ بأنه لم تتح له سبل انتصاف محلية فعالة كي يمكنه استنفادها لتعليق إبعاده من إسبانيا إلى المغرب في ٢ كانون الأول/ديسمبر ٢٠١٤</w:t>
      </w:r>
      <w:r w:rsidR="00B65ABB" w:rsidRPr="005F256D">
        <w:rPr>
          <w:vertAlign w:val="superscript"/>
          <w:rtl/>
        </w:rPr>
        <w:t>(</w:t>
      </w:r>
      <w:r w:rsidR="00B65ABB" w:rsidRPr="005F256D">
        <w:rPr>
          <w:vertAlign w:val="superscript"/>
          <w:rtl/>
          <w:lang w:val="es-ES"/>
        </w:rPr>
        <w:footnoteReference w:id="5"/>
      </w:r>
      <w:r w:rsidR="00B65ABB" w:rsidRPr="005F256D">
        <w:rPr>
          <w:vertAlign w:val="superscript"/>
          <w:rtl/>
          <w:lang w:val="es-ES"/>
        </w:rPr>
        <w:t>)</w:t>
      </w:r>
      <w:r w:rsidR="00B65ABB" w:rsidRPr="005F256D">
        <w:rPr>
          <w:rtl/>
        </w:rPr>
        <w:t>.</w:t>
      </w:r>
      <w:r w:rsidRPr="005F256D">
        <w:rPr>
          <w:rtl/>
          <w:lang w:val="es-ES"/>
        </w:rPr>
        <w:t xml:space="preserve"> </w:t>
      </w:r>
      <w:r w:rsidRPr="005F256D">
        <w:rPr>
          <w:rtl/>
        </w:rPr>
        <w:t>ويشير إلى أن الإبعاد نُفّذ بموجب إجراءات موجزة دون إخطاره رسميا</w:t>
      </w:r>
      <w:r w:rsidR="003A313D" w:rsidRPr="005F256D">
        <w:rPr>
          <w:rFonts w:hint="cs"/>
          <w:rtl/>
        </w:rPr>
        <w:t>ً</w:t>
      </w:r>
      <w:r w:rsidRPr="005F256D">
        <w:rPr>
          <w:rtl/>
        </w:rPr>
        <w:t xml:space="preserve"> بقرار الطرد كي يمكنه الطعن فيه أمام السلطات المختصة.</w:t>
      </w:r>
    </w:p>
    <w:p w:rsidR="000C4DE9" w:rsidRPr="001E3F43" w:rsidRDefault="000C4DE9" w:rsidP="000C4DE9">
      <w:pPr>
        <w:pStyle w:val="SingleTxtGA"/>
        <w:rPr>
          <w:spacing w:val="-1"/>
          <w:rtl/>
        </w:rPr>
      </w:pPr>
      <w:r w:rsidRPr="001E3F43">
        <w:rPr>
          <w:spacing w:val="-1"/>
          <w:rtl/>
        </w:rPr>
        <w:t>٢-٦</w:t>
      </w:r>
      <w:r w:rsidRPr="001E3F43">
        <w:rPr>
          <w:spacing w:val="-1"/>
          <w:rtl/>
          <w:lang w:val="es-ES"/>
        </w:rPr>
        <w:tab/>
      </w:r>
      <w:r w:rsidRPr="001E3F43">
        <w:rPr>
          <w:spacing w:val="-1"/>
          <w:rtl/>
        </w:rPr>
        <w:t>وفي ٣٠ كانون الأول/ديسمبر ٢٠١٤، أو في حدود هذا التاريخ، دخل صاحب البلاغ إسبانيا عن طريق مليلة ومكث في مركز الإقامة المؤقتة للمهاجرين (مركز الإقامة المؤقتة).</w:t>
      </w:r>
      <w:r w:rsidRPr="001E3F43">
        <w:rPr>
          <w:spacing w:val="-1"/>
          <w:rtl/>
          <w:lang w:val="es-ES"/>
        </w:rPr>
        <w:t xml:space="preserve"> </w:t>
      </w:r>
      <w:r w:rsidRPr="001E3F43">
        <w:rPr>
          <w:spacing w:val="-1"/>
          <w:rtl/>
        </w:rPr>
        <w:t xml:space="preserve">وفي شباط/فبراير ٢٠١٥، نُقل صاحب البلاغ من جيب </w:t>
      </w:r>
      <w:proofErr w:type="spellStart"/>
      <w:r w:rsidRPr="001E3F43">
        <w:rPr>
          <w:spacing w:val="-1"/>
          <w:rtl/>
        </w:rPr>
        <w:t>مليلية</w:t>
      </w:r>
      <w:proofErr w:type="spellEnd"/>
      <w:r w:rsidRPr="001E3F43">
        <w:rPr>
          <w:spacing w:val="-1"/>
          <w:rtl/>
        </w:rPr>
        <w:t xml:space="preserve"> إلى داخل إسبانيا.</w:t>
      </w:r>
      <w:r w:rsidRPr="001E3F43">
        <w:rPr>
          <w:spacing w:val="-1"/>
          <w:rtl/>
          <w:lang w:val="es-ES"/>
        </w:rPr>
        <w:t xml:space="preserve"> </w:t>
      </w:r>
      <w:r w:rsidRPr="001E3F43">
        <w:rPr>
          <w:spacing w:val="-1"/>
          <w:rtl/>
        </w:rPr>
        <w:t>وفي نهاية تموز/</w:t>
      </w:r>
      <w:r w:rsidR="001E3F43">
        <w:rPr>
          <w:rFonts w:hint="cs"/>
          <w:spacing w:val="-1"/>
          <w:rtl/>
        </w:rPr>
        <w:t xml:space="preserve"> </w:t>
      </w:r>
      <w:r w:rsidRPr="001E3F43">
        <w:rPr>
          <w:spacing w:val="-1"/>
          <w:rtl/>
        </w:rPr>
        <w:t xml:space="preserve">يوليه ٢٠١٥، حصل صاحب البلاغ، بمساعدة المنظمة غير الحكومية </w:t>
      </w:r>
      <w:r w:rsidRPr="001E3F43">
        <w:rPr>
          <w:spacing w:val="-1"/>
          <w:rtl/>
          <w:lang w:val="es-ES"/>
        </w:rPr>
        <w:t>"</w:t>
      </w:r>
      <w:r w:rsidRPr="001E3F43">
        <w:rPr>
          <w:spacing w:val="-1"/>
          <w:lang w:val="es-ES"/>
        </w:rPr>
        <w:t>Fundación</w:t>
      </w:r>
      <w:r w:rsidR="00B65ABB" w:rsidRPr="001E3F43">
        <w:rPr>
          <w:spacing w:val="-1"/>
          <w:lang w:val="es-ES"/>
        </w:rPr>
        <w:t> </w:t>
      </w:r>
      <w:r w:rsidRPr="001E3F43">
        <w:rPr>
          <w:spacing w:val="-1"/>
          <w:lang w:val="es-ES"/>
        </w:rPr>
        <w:t>Raíces</w:t>
      </w:r>
      <w:r w:rsidRPr="001E3F43">
        <w:rPr>
          <w:spacing w:val="-1"/>
          <w:rtl/>
          <w:lang w:val="es-ES"/>
        </w:rPr>
        <w:t>"</w:t>
      </w:r>
      <w:r w:rsidRPr="001E3F43">
        <w:rPr>
          <w:spacing w:val="-1"/>
          <w:rtl/>
        </w:rPr>
        <w:t xml:space="preserve"> وبفضل بطاقة التسجيل القنصلية التي سلمتها إياه قنصلية مالي بمدريد وتشير إلى أنه وُلد في ١٠ آذار/مارس ١٩٩٩، على الحماية المخصصة للأطفال غير المصحوبين بذويهم وأودع في مأوى للقصّر خاضع للسلطات الإسبانية</w:t>
      </w:r>
      <w:r w:rsidR="00B65ABB" w:rsidRPr="001E3F43">
        <w:rPr>
          <w:spacing w:val="-1"/>
          <w:vertAlign w:val="superscript"/>
          <w:rtl/>
        </w:rPr>
        <w:t>(</w:t>
      </w:r>
      <w:r w:rsidR="00B65ABB" w:rsidRPr="001E3F43">
        <w:rPr>
          <w:spacing w:val="-1"/>
          <w:vertAlign w:val="superscript"/>
          <w:rtl/>
          <w:lang w:val="es-ES"/>
        </w:rPr>
        <w:footnoteReference w:id="6"/>
      </w:r>
      <w:r w:rsidR="00B65ABB" w:rsidRPr="001E3F43">
        <w:rPr>
          <w:spacing w:val="-1"/>
          <w:vertAlign w:val="superscript"/>
          <w:rtl/>
          <w:lang w:val="es-ES"/>
        </w:rPr>
        <w:t>)</w:t>
      </w:r>
      <w:r w:rsidR="00B65ABB" w:rsidRPr="001E3F43">
        <w:rPr>
          <w:spacing w:val="-1"/>
          <w:vertAlign w:val="superscript"/>
          <w:rtl/>
        </w:rPr>
        <w:t>(</w:t>
      </w:r>
      <w:r w:rsidR="00B65ABB" w:rsidRPr="001E3F43">
        <w:rPr>
          <w:spacing w:val="-1"/>
          <w:vertAlign w:val="superscript"/>
          <w:rtl/>
          <w:lang w:val="es-ES"/>
        </w:rPr>
        <w:footnoteReference w:id="7"/>
      </w:r>
      <w:r w:rsidR="00B65ABB" w:rsidRPr="001E3F43">
        <w:rPr>
          <w:spacing w:val="-1"/>
          <w:vertAlign w:val="superscript"/>
          <w:rtl/>
          <w:lang w:val="es-ES"/>
        </w:rPr>
        <w:t>)</w:t>
      </w:r>
      <w:r w:rsidR="00304F99" w:rsidRPr="001E3F43">
        <w:rPr>
          <w:rFonts w:hint="cs"/>
          <w:spacing w:val="-1"/>
          <w:rtl/>
        </w:rPr>
        <w:t>.</w:t>
      </w:r>
    </w:p>
    <w:p w:rsidR="000C4DE9" w:rsidRPr="000C4DE9" w:rsidRDefault="000C4DE9" w:rsidP="000C4DE9">
      <w:pPr>
        <w:pStyle w:val="SingleTxtGA"/>
        <w:rPr>
          <w:lang w:val="fr-CH" w:bidi="ar-DZ"/>
        </w:rPr>
      </w:pPr>
      <w:r w:rsidRPr="000C4DE9">
        <w:rPr>
          <w:rtl/>
        </w:rPr>
        <w:t>٢-٧</w:t>
      </w:r>
      <w:r w:rsidRPr="000C4DE9">
        <w:rPr>
          <w:rtl/>
          <w:lang w:val="es-ES"/>
        </w:rPr>
        <w:tab/>
      </w:r>
      <w:r w:rsidRPr="000C4DE9">
        <w:rPr>
          <w:rtl/>
        </w:rPr>
        <w:t>ويشير صاحب البلاغ إلى أن إسبانيا اعتمدت في ٣٠ آذار/مارس ٢٠١٥ القانون الأساسي رقم ٤/٢٠١٥ الذي يتعلق بحماية الأمن العام ودخل حيز النفاذ منذ ١ نيسان/</w:t>
      </w:r>
      <w:r w:rsidR="001E3F43">
        <w:rPr>
          <w:rFonts w:hint="cs"/>
          <w:rtl/>
        </w:rPr>
        <w:t xml:space="preserve"> </w:t>
      </w:r>
      <w:r w:rsidRPr="000C4DE9">
        <w:rPr>
          <w:rtl/>
        </w:rPr>
        <w:t>أبريل</w:t>
      </w:r>
      <w:r w:rsidR="001E3F43">
        <w:rPr>
          <w:rFonts w:hint="cs"/>
          <w:rtl/>
        </w:rPr>
        <w:t> </w:t>
      </w:r>
      <w:r w:rsidRPr="000C4DE9">
        <w:rPr>
          <w:rtl/>
        </w:rPr>
        <w:t>٢٠١٥</w:t>
      </w:r>
      <w:r w:rsidR="00B65ABB" w:rsidRPr="00B65ABB">
        <w:rPr>
          <w:vertAlign w:val="superscript"/>
          <w:rtl/>
        </w:rPr>
        <w:t>(</w:t>
      </w:r>
      <w:r w:rsidR="00B65ABB" w:rsidRPr="000C4DE9">
        <w:rPr>
          <w:vertAlign w:val="superscript"/>
          <w:rtl/>
          <w:lang w:val="es-ES"/>
        </w:rPr>
        <w:footnoteReference w:id="8"/>
      </w:r>
      <w:r w:rsidR="00B65ABB">
        <w:rPr>
          <w:vertAlign w:val="superscript"/>
          <w:rtl/>
          <w:lang w:val="es-ES"/>
        </w:rPr>
        <w:t>)</w:t>
      </w:r>
      <w:r w:rsidR="00B65ABB">
        <w:rPr>
          <w:rtl/>
        </w:rPr>
        <w:t>.</w:t>
      </w:r>
      <w:r w:rsidRPr="000C4DE9">
        <w:rPr>
          <w:rtl/>
          <w:lang w:val="es-ES"/>
        </w:rPr>
        <w:t xml:space="preserve"> </w:t>
      </w:r>
      <w:r w:rsidRPr="000C4DE9">
        <w:rPr>
          <w:rtl/>
        </w:rPr>
        <w:t xml:space="preserve">وهو يزعم أن هذا القانون، ولا سيما حكمه الإضافي العاشر "النظام الخاص لسبتة </w:t>
      </w:r>
      <w:proofErr w:type="spellStart"/>
      <w:r w:rsidRPr="000C4DE9">
        <w:rPr>
          <w:rtl/>
        </w:rPr>
        <w:t>ومليلية</w:t>
      </w:r>
      <w:proofErr w:type="spellEnd"/>
      <w:r w:rsidRPr="000C4DE9">
        <w:rPr>
          <w:rtl/>
        </w:rPr>
        <w:t>" يجيز ممارسة السلطات الإسبانية المتمثلة في تنفيذ عمليات إبعاد عشوائية بموجب إجراءات موجزة على الحدود ولا يتضمن أي إشارة إلى الأطفال غير المصحوبين بذويهم ولا</w:t>
      </w:r>
      <w:r w:rsidR="003A313D">
        <w:rPr>
          <w:rFonts w:hint="cs"/>
          <w:rtl/>
        </w:rPr>
        <w:t> </w:t>
      </w:r>
      <w:r w:rsidRPr="000C4DE9">
        <w:rPr>
          <w:rtl/>
        </w:rPr>
        <w:t>يحدد أي إجراءات لتحديد هويتهم وحمايتهم</w:t>
      </w:r>
      <w:r w:rsidR="00B65ABB" w:rsidRPr="00B65ABB">
        <w:rPr>
          <w:vertAlign w:val="superscript"/>
          <w:rtl/>
        </w:rPr>
        <w:t>(</w:t>
      </w:r>
      <w:r w:rsidR="00B65ABB" w:rsidRPr="000C4DE9">
        <w:rPr>
          <w:vertAlign w:val="superscript"/>
          <w:rtl/>
          <w:lang w:val="es-ES"/>
        </w:rPr>
        <w:footnoteReference w:id="9"/>
      </w:r>
      <w:r w:rsidR="00B65ABB">
        <w:rPr>
          <w:vertAlign w:val="superscript"/>
          <w:rtl/>
          <w:lang w:val="es-ES"/>
        </w:rPr>
        <w:t>)</w:t>
      </w:r>
      <w:r w:rsidR="00B65ABB">
        <w:rPr>
          <w:rtl/>
        </w:rPr>
        <w:t>.</w:t>
      </w:r>
    </w:p>
    <w:p w:rsidR="000C4DE9" w:rsidRPr="000C4DE9" w:rsidRDefault="000C4DE9" w:rsidP="00ED33F9">
      <w:pPr>
        <w:pStyle w:val="H23GA"/>
        <w:spacing w:before="240"/>
        <w:rPr>
          <w:rtl/>
        </w:rPr>
      </w:pPr>
      <w:r w:rsidRPr="000C4DE9">
        <w:rPr>
          <w:rtl/>
          <w:lang w:val="es-ES"/>
        </w:rPr>
        <w:tab/>
      </w:r>
      <w:r w:rsidRPr="000C4DE9">
        <w:rPr>
          <w:rtl/>
          <w:lang w:val="es-ES"/>
        </w:rPr>
        <w:tab/>
      </w:r>
      <w:r w:rsidRPr="000C4DE9">
        <w:rPr>
          <w:rtl/>
        </w:rPr>
        <w:t>الشكوى</w:t>
      </w:r>
    </w:p>
    <w:p w:rsidR="000C4DE9" w:rsidRPr="00ED33F9" w:rsidRDefault="000C4DE9" w:rsidP="000C4DE9">
      <w:pPr>
        <w:pStyle w:val="SingleTxtGA"/>
        <w:rPr>
          <w:spacing w:val="-2"/>
          <w:rtl/>
        </w:rPr>
      </w:pPr>
      <w:r w:rsidRPr="00ED33F9">
        <w:rPr>
          <w:spacing w:val="-2"/>
          <w:rtl/>
        </w:rPr>
        <w:t>٣-١</w:t>
      </w:r>
      <w:r w:rsidRPr="00ED33F9">
        <w:rPr>
          <w:spacing w:val="-2"/>
          <w:rtl/>
          <w:lang w:val="es-ES"/>
        </w:rPr>
        <w:tab/>
      </w:r>
      <w:r w:rsidRPr="00ED33F9">
        <w:rPr>
          <w:spacing w:val="-2"/>
          <w:rtl/>
        </w:rPr>
        <w:t xml:space="preserve">يدعي صاحب البلاغ أنه ضحية انتهاك الفقرة </w:t>
      </w:r>
      <w:r w:rsidRPr="00ED33F9">
        <w:rPr>
          <w:spacing w:val="-2"/>
          <w:rtl/>
          <w:lang w:val="es-ES"/>
        </w:rPr>
        <w:t>1</w:t>
      </w:r>
      <w:r w:rsidRPr="00ED33F9">
        <w:rPr>
          <w:spacing w:val="-2"/>
          <w:rtl/>
        </w:rPr>
        <w:t xml:space="preserve"> من المادة </w:t>
      </w:r>
      <w:r w:rsidRPr="00ED33F9">
        <w:rPr>
          <w:spacing w:val="-2"/>
          <w:rtl/>
          <w:lang w:val="es-ES"/>
        </w:rPr>
        <w:t>20</w:t>
      </w:r>
      <w:r w:rsidRPr="00ED33F9">
        <w:rPr>
          <w:spacing w:val="-2"/>
          <w:rtl/>
        </w:rPr>
        <w:t xml:space="preserve"> من الاتفاقية، حيث إنه لم يُمنح الحماية التي تدين له بها الدولة الطرف بوصفه طفلاً غير مصحوب بذويه ومحروماً من بيئته </w:t>
      </w:r>
      <w:r w:rsidRPr="00ED33F9">
        <w:rPr>
          <w:spacing w:val="-2"/>
          <w:rtl/>
        </w:rPr>
        <w:lastRenderedPageBreak/>
        <w:t>الأسرية</w:t>
      </w:r>
      <w:r w:rsidR="00B65ABB" w:rsidRPr="00ED33F9">
        <w:rPr>
          <w:spacing w:val="-2"/>
          <w:vertAlign w:val="superscript"/>
          <w:rtl/>
        </w:rPr>
        <w:t>(</w:t>
      </w:r>
      <w:r w:rsidR="00B65ABB" w:rsidRPr="00ED33F9">
        <w:rPr>
          <w:spacing w:val="-2"/>
          <w:vertAlign w:val="superscript"/>
          <w:rtl/>
          <w:lang w:val="es-ES"/>
        </w:rPr>
        <w:footnoteReference w:id="10"/>
      </w:r>
      <w:r w:rsidR="00B65ABB" w:rsidRPr="00ED33F9">
        <w:rPr>
          <w:spacing w:val="-2"/>
          <w:vertAlign w:val="superscript"/>
          <w:rtl/>
          <w:lang w:val="es-ES"/>
        </w:rPr>
        <w:t>)</w:t>
      </w:r>
      <w:r w:rsidR="00B65ABB" w:rsidRPr="00ED33F9">
        <w:rPr>
          <w:spacing w:val="-2"/>
          <w:rtl/>
        </w:rPr>
        <w:t>.</w:t>
      </w:r>
      <w:r w:rsidRPr="00ED33F9">
        <w:rPr>
          <w:spacing w:val="-2"/>
          <w:rtl/>
          <w:lang w:val="es-ES"/>
        </w:rPr>
        <w:t xml:space="preserve"> </w:t>
      </w:r>
      <w:r w:rsidRPr="00ED33F9">
        <w:rPr>
          <w:spacing w:val="-2"/>
          <w:rtl/>
        </w:rPr>
        <w:t xml:space="preserve">ويشير إلى أن الحرس المدني الإسباني لم يخضعه، عند القبض عليه في </w:t>
      </w:r>
      <w:proofErr w:type="spellStart"/>
      <w:r w:rsidRPr="00ED33F9">
        <w:rPr>
          <w:spacing w:val="-2"/>
          <w:rtl/>
        </w:rPr>
        <w:t>مليلية</w:t>
      </w:r>
      <w:proofErr w:type="spellEnd"/>
      <w:r w:rsidRPr="00ED33F9">
        <w:rPr>
          <w:spacing w:val="-2"/>
          <w:rtl/>
        </w:rPr>
        <w:t xml:space="preserve"> في</w:t>
      </w:r>
      <w:r w:rsidR="00D61902" w:rsidRPr="00ED33F9">
        <w:rPr>
          <w:rFonts w:hint="cs"/>
          <w:spacing w:val="-2"/>
          <w:rtl/>
        </w:rPr>
        <w:t> </w:t>
      </w:r>
      <w:r w:rsidRPr="00ED33F9">
        <w:rPr>
          <w:spacing w:val="-2"/>
          <w:rtl/>
        </w:rPr>
        <w:t>٢ كانون الأول/ديسمبر ٢٠١٤ وتصفيد يديه وترحيله إلى المغرب، لأي عملية تحديد هوية، ولم يقيم احتياجاته في مجال الحماية، ولم يمنحه فرصة توضيح ظروفه الشخصية.</w:t>
      </w:r>
      <w:r w:rsidRPr="00ED33F9">
        <w:rPr>
          <w:spacing w:val="-2"/>
          <w:rtl/>
          <w:lang w:val="es-ES"/>
        </w:rPr>
        <w:t xml:space="preserve"> </w:t>
      </w:r>
      <w:r w:rsidRPr="00ED33F9">
        <w:rPr>
          <w:spacing w:val="-2"/>
          <w:rtl/>
        </w:rPr>
        <w:t>بل إنه يدفع أن أيا</w:t>
      </w:r>
      <w:r w:rsidR="003A313D" w:rsidRPr="00ED33F9">
        <w:rPr>
          <w:rFonts w:hint="cs"/>
          <w:spacing w:val="-2"/>
          <w:rtl/>
        </w:rPr>
        <w:t>ً</w:t>
      </w:r>
      <w:r w:rsidRPr="00ED33F9">
        <w:rPr>
          <w:spacing w:val="-2"/>
          <w:rtl/>
        </w:rPr>
        <w:t xml:space="preserve"> من أعضاء الحرس المدني الإسباني سأله عن اسمه أو عمره أو حالة ضعفه قبل إعادته إلى</w:t>
      </w:r>
      <w:r w:rsidR="00ED33F9" w:rsidRPr="00ED33F9">
        <w:rPr>
          <w:rFonts w:hint="cs"/>
          <w:spacing w:val="-2"/>
          <w:rtl/>
        </w:rPr>
        <w:t> </w:t>
      </w:r>
      <w:r w:rsidRPr="00ED33F9">
        <w:rPr>
          <w:spacing w:val="-2"/>
          <w:rtl/>
        </w:rPr>
        <w:t>المغرب.</w:t>
      </w:r>
      <w:r w:rsidRPr="00ED33F9">
        <w:rPr>
          <w:spacing w:val="-2"/>
          <w:rtl/>
          <w:lang w:val="es-ES"/>
        </w:rPr>
        <w:t xml:space="preserve"> </w:t>
      </w:r>
    </w:p>
    <w:p w:rsidR="000C4DE9" w:rsidRPr="000C4DE9" w:rsidRDefault="000C4DE9" w:rsidP="000C4DE9">
      <w:pPr>
        <w:pStyle w:val="SingleTxtGA"/>
        <w:rPr>
          <w:rtl/>
        </w:rPr>
      </w:pPr>
      <w:r w:rsidRPr="000C4DE9">
        <w:rPr>
          <w:rtl/>
        </w:rPr>
        <w:t>٣-٢</w:t>
      </w:r>
      <w:r w:rsidRPr="000C4DE9">
        <w:rPr>
          <w:rtl/>
          <w:lang w:val="es-ES"/>
        </w:rPr>
        <w:tab/>
      </w:r>
      <w:r w:rsidRPr="000C4DE9">
        <w:rPr>
          <w:rtl/>
        </w:rPr>
        <w:t>ويضيف صاحب البلاغ، كما لاحظت ذلك اللجنة، أن التزامات الدول بتوفير حماية ومساعدة خاصتين للأطفال غير المصحوبين بذويهم: (أ) لا يجوز تقييدها تعسفاً أو من جانب واحد عن طريق استبعاد مناطق أو مساحات من إقليم الدولة، أو تعريف مناطق أو مساحات محددة على أنها غير خاضعة لولاية الدولة أو تخضع لها جزئياً فقط؛</w:t>
      </w:r>
      <w:r w:rsidRPr="000C4DE9">
        <w:rPr>
          <w:rtl/>
          <w:lang w:val="es-ES"/>
        </w:rPr>
        <w:t xml:space="preserve"> </w:t>
      </w:r>
      <w:r w:rsidRPr="000C4DE9">
        <w:rPr>
          <w:rtl/>
        </w:rPr>
        <w:t>و(ب) تنطبق حتى على الأطفال الذين يكونون خاضعين لولاية الدولة أثناء محاولتهم الدخول إلى الإقليم الوطني؛</w:t>
      </w:r>
      <w:r w:rsidRPr="000C4DE9">
        <w:rPr>
          <w:rtl/>
          <w:lang w:val="es-ES"/>
        </w:rPr>
        <w:t xml:space="preserve"> </w:t>
      </w:r>
      <w:r w:rsidRPr="000C4DE9">
        <w:rPr>
          <w:rtl/>
        </w:rPr>
        <w:t>و(ج)</w:t>
      </w:r>
      <w:r w:rsidR="00D61902">
        <w:rPr>
          <w:rFonts w:hint="cs"/>
          <w:rtl/>
        </w:rPr>
        <w:t> </w:t>
      </w:r>
      <w:r w:rsidRPr="000C4DE9">
        <w:rPr>
          <w:rtl/>
        </w:rPr>
        <w:t>تشمل اتخاذ جميع التدابير الضرورية لتحديد هوية الأطفال غير المصحوبين بذويهم في أقرب وقت ممكن، بما في ذلك على الحدود، و(د) ينبغي أن تسمح باستفادة الفرد من قرينة الشك، في حالة عدم التيقن من حالته، بحيث يعامل كقاصر إن افتُرض أنه كذلك</w:t>
      </w:r>
      <w:r w:rsidR="00B65ABB" w:rsidRPr="00B65ABB">
        <w:rPr>
          <w:vertAlign w:val="superscript"/>
          <w:rtl/>
        </w:rPr>
        <w:t>(</w:t>
      </w:r>
      <w:r w:rsidR="00B65ABB" w:rsidRPr="000C4DE9">
        <w:rPr>
          <w:vertAlign w:val="superscript"/>
          <w:rtl/>
          <w:lang w:val="es-ES"/>
        </w:rPr>
        <w:footnoteReference w:id="11"/>
      </w:r>
      <w:r w:rsidR="00B65ABB">
        <w:rPr>
          <w:vertAlign w:val="superscript"/>
          <w:rtl/>
          <w:lang w:val="es-ES"/>
        </w:rPr>
        <w:t>)</w:t>
      </w:r>
      <w:r w:rsidR="00B65ABB">
        <w:rPr>
          <w:rtl/>
        </w:rPr>
        <w:t>.</w:t>
      </w:r>
      <w:r w:rsidRPr="000C4DE9">
        <w:rPr>
          <w:rtl/>
        </w:rPr>
        <w:t xml:space="preserve"> </w:t>
      </w:r>
    </w:p>
    <w:p w:rsidR="000C4DE9" w:rsidRPr="000C4DE9" w:rsidRDefault="000C4DE9" w:rsidP="000C4DE9">
      <w:pPr>
        <w:pStyle w:val="SingleTxtGA"/>
        <w:rPr>
          <w:rtl/>
        </w:rPr>
      </w:pPr>
      <w:r w:rsidRPr="000C4DE9">
        <w:rPr>
          <w:rtl/>
        </w:rPr>
        <w:t>٣-٣</w:t>
      </w:r>
      <w:r w:rsidRPr="000C4DE9">
        <w:rPr>
          <w:rtl/>
          <w:lang w:val="es-ES"/>
        </w:rPr>
        <w:tab/>
      </w:r>
      <w:r w:rsidRPr="000C4DE9">
        <w:rPr>
          <w:rtl/>
        </w:rPr>
        <w:t>ويدّعي صاحب البلاغ أيضا</w:t>
      </w:r>
      <w:r w:rsidR="003A313D">
        <w:rPr>
          <w:rFonts w:hint="cs"/>
          <w:rtl/>
        </w:rPr>
        <w:t>ً</w:t>
      </w:r>
      <w:r w:rsidRPr="000C4DE9">
        <w:rPr>
          <w:rtl/>
        </w:rPr>
        <w:t xml:space="preserve"> حدوث انتهاك للمادة ٣٧ من الاتفاقية، لأن السلطات الإسبانية أبعدته إلى المغرب دون أي إجراءات أو تقييمات سابقة، وعرّضته لضرر لا يمكن جبره.</w:t>
      </w:r>
      <w:r w:rsidRPr="000C4DE9">
        <w:rPr>
          <w:rtl/>
          <w:lang w:val="es-ES"/>
        </w:rPr>
        <w:t xml:space="preserve"> </w:t>
      </w:r>
      <w:r w:rsidRPr="000C4DE9">
        <w:rPr>
          <w:rtl/>
        </w:rPr>
        <w:t xml:space="preserve">ويدّعي صاحب البلاغ أن الدولة الطرف كانت تعلم، أو كان عليها أن تعلم، أن إعادته إلى المغرب بموجب إجراءات موجزة وتسليمه إلى قوات الأمن المغربية سيعرضه لخطر العنف والمعاملة القاسية أو اللاإنسانية أو المهينة، والعيش في ظروف سيئة، مع عدم إمكانية الوصول إلى الخدمات الصحية ومياه الشرب والغذاء الكافي في مخيمات المهاجرين غير الرسمية بجبل </w:t>
      </w:r>
      <w:proofErr w:type="spellStart"/>
      <w:r w:rsidRPr="000C4DE9">
        <w:rPr>
          <w:rtl/>
        </w:rPr>
        <w:t>غوروغو</w:t>
      </w:r>
      <w:proofErr w:type="spellEnd"/>
      <w:r w:rsidR="00B65ABB" w:rsidRPr="00B65ABB">
        <w:rPr>
          <w:vertAlign w:val="superscript"/>
          <w:rtl/>
        </w:rPr>
        <w:t>(</w:t>
      </w:r>
      <w:r w:rsidR="00B65ABB" w:rsidRPr="000C4DE9">
        <w:rPr>
          <w:vertAlign w:val="superscript"/>
          <w:rtl/>
          <w:lang w:val="es-ES"/>
        </w:rPr>
        <w:footnoteReference w:id="12"/>
      </w:r>
      <w:r w:rsidR="00B65ABB">
        <w:rPr>
          <w:vertAlign w:val="superscript"/>
          <w:rtl/>
          <w:lang w:val="es-ES"/>
        </w:rPr>
        <w:t>)</w:t>
      </w:r>
      <w:r w:rsidR="00B65ABB">
        <w:rPr>
          <w:rtl/>
        </w:rPr>
        <w:t>.</w:t>
      </w:r>
      <w:r w:rsidRPr="000C4DE9">
        <w:rPr>
          <w:rtl/>
          <w:lang w:val="es-ES"/>
        </w:rPr>
        <w:t xml:space="preserve"> </w:t>
      </w:r>
      <w:r w:rsidRPr="000C4DE9">
        <w:rPr>
          <w:rtl/>
        </w:rPr>
        <w:t>ويدفع صاحب البلاغ بأن الجروح في فمه (المتمثلة في تكسّر أسنانه الأمامية) والناجمة عن تعرضه لسوء المعاملة والعنف على يد القوات المغربية، كانت بادية لأعضاء الحرس المدني الإسباني في يوم إبعاده.</w:t>
      </w:r>
      <w:r w:rsidRPr="000C4DE9">
        <w:rPr>
          <w:rtl/>
          <w:lang w:val="es-ES"/>
        </w:rPr>
        <w:t xml:space="preserve"> </w:t>
      </w:r>
    </w:p>
    <w:p w:rsidR="000C4DE9" w:rsidRPr="00ED33F9" w:rsidRDefault="000C4DE9" w:rsidP="000C4DE9">
      <w:pPr>
        <w:pStyle w:val="SingleTxtGA"/>
        <w:rPr>
          <w:rFonts w:hint="cs"/>
          <w:spacing w:val="-2"/>
          <w:rtl/>
          <w:lang w:bidi="ar-DZ"/>
        </w:rPr>
      </w:pPr>
      <w:r w:rsidRPr="00ED33F9">
        <w:rPr>
          <w:spacing w:val="-2"/>
          <w:rtl/>
        </w:rPr>
        <w:t>٣-٤</w:t>
      </w:r>
      <w:r w:rsidRPr="00ED33F9">
        <w:rPr>
          <w:spacing w:val="-2"/>
          <w:rtl/>
          <w:lang w:val="es-ES"/>
        </w:rPr>
        <w:tab/>
      </w:r>
      <w:r w:rsidRPr="00ED33F9">
        <w:rPr>
          <w:spacing w:val="-2"/>
          <w:rtl/>
        </w:rPr>
        <w:t>ويدفع صاحب البلاغ بأنه كان يتعين على الدولة الطرف، وفقا</w:t>
      </w:r>
      <w:r w:rsidR="003A313D" w:rsidRPr="00ED33F9">
        <w:rPr>
          <w:rFonts w:hint="cs"/>
          <w:spacing w:val="-2"/>
          <w:rtl/>
        </w:rPr>
        <w:t>ً</w:t>
      </w:r>
      <w:r w:rsidRPr="00ED33F9">
        <w:rPr>
          <w:spacing w:val="-2"/>
          <w:rtl/>
        </w:rPr>
        <w:t xml:space="preserve"> لمبدأ عدم الإعادة القسرية، وقبل ترحيله بموجب إجراءات موجزة، أن تقيم ما إذا كانت توجد أسباب حقيقية أم لا</w:t>
      </w:r>
      <w:r w:rsidR="003A313D" w:rsidRPr="00ED33F9">
        <w:rPr>
          <w:rFonts w:hint="cs"/>
          <w:spacing w:val="-2"/>
          <w:rtl/>
        </w:rPr>
        <w:t> </w:t>
      </w:r>
      <w:r w:rsidRPr="00ED33F9">
        <w:rPr>
          <w:spacing w:val="-2"/>
          <w:rtl/>
        </w:rPr>
        <w:t>للاعتقاد أنه يواجه خطرا</w:t>
      </w:r>
      <w:r w:rsidR="003A313D" w:rsidRPr="00ED33F9">
        <w:rPr>
          <w:rFonts w:hint="cs"/>
          <w:spacing w:val="-2"/>
          <w:rtl/>
        </w:rPr>
        <w:t>ً</w:t>
      </w:r>
      <w:r w:rsidRPr="00ED33F9">
        <w:rPr>
          <w:spacing w:val="-2"/>
          <w:rtl/>
        </w:rPr>
        <w:t xml:space="preserve"> حقيقيا</w:t>
      </w:r>
      <w:r w:rsidR="003A313D" w:rsidRPr="00ED33F9">
        <w:rPr>
          <w:rFonts w:hint="cs"/>
          <w:spacing w:val="-2"/>
          <w:rtl/>
        </w:rPr>
        <w:t>ً</w:t>
      </w:r>
      <w:r w:rsidRPr="00ED33F9">
        <w:rPr>
          <w:spacing w:val="-2"/>
          <w:rtl/>
        </w:rPr>
        <w:t xml:space="preserve"> بالتعرض لضرر لا يمكن جبره في المغرب.</w:t>
      </w:r>
      <w:r w:rsidRPr="00ED33F9">
        <w:rPr>
          <w:spacing w:val="-2"/>
          <w:rtl/>
          <w:lang w:val="es-ES"/>
        </w:rPr>
        <w:t xml:space="preserve"> </w:t>
      </w:r>
      <w:r w:rsidRPr="00ED33F9">
        <w:rPr>
          <w:spacing w:val="-2"/>
          <w:rtl/>
        </w:rPr>
        <w:t xml:space="preserve">ويؤكد صاحب البلاغ أنه كان يتعين على السلطات الإسبانية، في إطار هذا التقييم، مراعاة سنه وحالة </w:t>
      </w:r>
      <w:proofErr w:type="gramStart"/>
      <w:r w:rsidRPr="00ED33F9">
        <w:rPr>
          <w:spacing w:val="-2"/>
          <w:rtl/>
        </w:rPr>
        <w:t>ضعفه</w:t>
      </w:r>
      <w:r w:rsidR="00B65ABB" w:rsidRPr="00ED33F9">
        <w:rPr>
          <w:spacing w:val="-2"/>
          <w:vertAlign w:val="superscript"/>
          <w:rtl/>
          <w:lang w:val="es-ES"/>
        </w:rPr>
        <w:t>(</w:t>
      </w:r>
      <w:proofErr w:type="gramEnd"/>
      <w:r w:rsidR="00B65ABB" w:rsidRPr="00ED33F9">
        <w:rPr>
          <w:spacing w:val="-2"/>
          <w:vertAlign w:val="superscript"/>
          <w:rtl/>
          <w:lang w:val="es-ES"/>
        </w:rPr>
        <w:footnoteReference w:id="13"/>
      </w:r>
      <w:r w:rsidR="00B65ABB" w:rsidRPr="00ED33F9">
        <w:rPr>
          <w:spacing w:val="-2"/>
          <w:vertAlign w:val="superscript"/>
          <w:rtl/>
          <w:lang w:val="es-ES"/>
        </w:rPr>
        <w:t>)</w:t>
      </w:r>
      <w:r w:rsidRPr="00ED33F9">
        <w:rPr>
          <w:spacing w:val="-2"/>
          <w:rtl/>
        </w:rPr>
        <w:t xml:space="preserve"> وكذا العواقب الخطيرة جدا</w:t>
      </w:r>
      <w:r w:rsidR="003A313D" w:rsidRPr="00ED33F9">
        <w:rPr>
          <w:rFonts w:hint="cs"/>
          <w:spacing w:val="-2"/>
          <w:rtl/>
        </w:rPr>
        <w:t>ً</w:t>
      </w:r>
      <w:r w:rsidRPr="00ED33F9">
        <w:rPr>
          <w:spacing w:val="-2"/>
          <w:rtl/>
        </w:rPr>
        <w:t xml:space="preserve"> التي قد يتسبب له فيها عدم كفاية الخدمات الغذائية والصحية</w:t>
      </w:r>
      <w:r w:rsidR="00B65ABB" w:rsidRPr="00ED33F9">
        <w:rPr>
          <w:spacing w:val="-2"/>
          <w:vertAlign w:val="superscript"/>
          <w:rtl/>
        </w:rPr>
        <w:t>(</w:t>
      </w:r>
      <w:r w:rsidR="00B65ABB" w:rsidRPr="00ED33F9">
        <w:rPr>
          <w:spacing w:val="-2"/>
          <w:vertAlign w:val="superscript"/>
          <w:rtl/>
          <w:lang w:val="es-ES"/>
        </w:rPr>
        <w:footnoteReference w:id="14"/>
      </w:r>
      <w:r w:rsidR="00B65ABB" w:rsidRPr="00ED33F9">
        <w:rPr>
          <w:spacing w:val="-2"/>
          <w:vertAlign w:val="superscript"/>
          <w:rtl/>
          <w:lang w:val="es-ES"/>
        </w:rPr>
        <w:t>)</w:t>
      </w:r>
      <w:r w:rsidR="00B65ABB" w:rsidRPr="00ED33F9">
        <w:rPr>
          <w:spacing w:val="-2"/>
          <w:rtl/>
        </w:rPr>
        <w:t>.</w:t>
      </w:r>
      <w:r w:rsidRPr="00ED33F9">
        <w:rPr>
          <w:spacing w:val="-2"/>
          <w:rtl/>
        </w:rPr>
        <w:t xml:space="preserve"> </w:t>
      </w:r>
    </w:p>
    <w:p w:rsidR="000C4DE9" w:rsidRPr="00ED33F9" w:rsidRDefault="000C4DE9" w:rsidP="003A313D">
      <w:pPr>
        <w:pStyle w:val="SingleTxtGA"/>
        <w:rPr>
          <w:spacing w:val="-2"/>
          <w:rtl/>
        </w:rPr>
      </w:pPr>
      <w:r w:rsidRPr="00ED33F9">
        <w:rPr>
          <w:spacing w:val="-2"/>
          <w:rtl/>
        </w:rPr>
        <w:lastRenderedPageBreak/>
        <w:t>٣-٥</w:t>
      </w:r>
      <w:r w:rsidRPr="00ED33F9">
        <w:rPr>
          <w:spacing w:val="-2"/>
          <w:rtl/>
          <w:lang w:val="es-ES"/>
        </w:rPr>
        <w:tab/>
      </w:r>
      <w:r w:rsidRPr="00ED33F9">
        <w:rPr>
          <w:spacing w:val="-2"/>
          <w:rtl/>
        </w:rPr>
        <w:t>وأخيرا</w:t>
      </w:r>
      <w:r w:rsidR="00EB7693" w:rsidRPr="00ED33F9">
        <w:rPr>
          <w:rFonts w:hint="cs"/>
          <w:spacing w:val="-2"/>
          <w:rtl/>
        </w:rPr>
        <w:t>ً</w:t>
      </w:r>
      <w:r w:rsidRPr="00ED33F9">
        <w:rPr>
          <w:spacing w:val="-2"/>
          <w:rtl/>
        </w:rPr>
        <w:t>، يدفع صاحب البلاغ بأن الدولة الطرف لم تراع في أي لحظة، بطريق الفعل أو</w:t>
      </w:r>
      <w:r w:rsidR="00ED33F9" w:rsidRPr="00ED33F9">
        <w:rPr>
          <w:rFonts w:hint="cs"/>
          <w:spacing w:val="-2"/>
          <w:rtl/>
        </w:rPr>
        <w:t> </w:t>
      </w:r>
      <w:r w:rsidRPr="00ED33F9">
        <w:rPr>
          <w:spacing w:val="-2"/>
          <w:rtl/>
        </w:rPr>
        <w:t>التقاعس عن الفعل</w:t>
      </w:r>
      <w:r w:rsidR="00B65ABB" w:rsidRPr="00ED33F9">
        <w:rPr>
          <w:spacing w:val="-2"/>
          <w:vertAlign w:val="superscript"/>
          <w:rtl/>
        </w:rPr>
        <w:t>(</w:t>
      </w:r>
      <w:r w:rsidR="00B65ABB" w:rsidRPr="00ED33F9">
        <w:rPr>
          <w:spacing w:val="-2"/>
          <w:vertAlign w:val="superscript"/>
          <w:rtl/>
          <w:lang w:val="es-ES"/>
        </w:rPr>
        <w:footnoteReference w:id="15"/>
      </w:r>
      <w:r w:rsidR="00B65ABB" w:rsidRPr="00ED33F9">
        <w:rPr>
          <w:spacing w:val="-2"/>
          <w:vertAlign w:val="superscript"/>
          <w:rtl/>
          <w:lang w:val="es-ES"/>
        </w:rPr>
        <w:t>)</w:t>
      </w:r>
      <w:r w:rsidR="00B65ABB" w:rsidRPr="00ED33F9">
        <w:rPr>
          <w:spacing w:val="-2"/>
          <w:rtl/>
        </w:rPr>
        <w:t>،</w:t>
      </w:r>
      <w:r w:rsidRPr="00ED33F9">
        <w:rPr>
          <w:spacing w:val="-2"/>
          <w:rtl/>
        </w:rPr>
        <w:t xml:space="preserve"> مصالح الطفل الفضلى المعترف بها في المادة ٣ من الاتفاقية: (أ)</w:t>
      </w:r>
      <w:r w:rsidR="00ED33F9" w:rsidRPr="00ED33F9">
        <w:rPr>
          <w:rFonts w:hint="cs"/>
          <w:spacing w:val="-2"/>
          <w:rtl/>
        </w:rPr>
        <w:t> </w:t>
      </w:r>
      <w:r w:rsidRPr="00ED33F9">
        <w:rPr>
          <w:spacing w:val="-2"/>
          <w:rtl/>
        </w:rPr>
        <w:t xml:space="preserve">لأنها لم تبحث كيفية تأثير سياستها الحكومية وممارستها الشائعة المتمثلة في الإبعاد العشوائي بموجب إجراءات موجزة في المصالح الفضلى لمجموعة الأطفال غير المصحوبين بذويهم الموجودين على الحدود الإسبانية المغربية </w:t>
      </w:r>
      <w:proofErr w:type="spellStart"/>
      <w:r w:rsidRPr="00ED33F9">
        <w:rPr>
          <w:spacing w:val="-2"/>
          <w:rtl/>
        </w:rPr>
        <w:t>بمليلية</w:t>
      </w:r>
      <w:proofErr w:type="spellEnd"/>
      <w:r w:rsidRPr="00ED33F9">
        <w:rPr>
          <w:spacing w:val="-2"/>
          <w:rtl/>
        </w:rPr>
        <w:t>، بما في ذلك المصلحة العليا لصاحب البلاغ بصفته أحد</w:t>
      </w:r>
      <w:r w:rsidR="00ED33F9" w:rsidRPr="00ED33F9">
        <w:rPr>
          <w:rFonts w:hint="cs"/>
          <w:spacing w:val="-2"/>
          <w:rtl/>
        </w:rPr>
        <w:t> </w:t>
      </w:r>
      <w:r w:rsidRPr="00ED33F9">
        <w:rPr>
          <w:spacing w:val="-2"/>
          <w:rtl/>
        </w:rPr>
        <w:t>أفراد هذه المجموعة</w:t>
      </w:r>
      <w:r w:rsidR="00B65ABB" w:rsidRPr="00ED33F9">
        <w:rPr>
          <w:spacing w:val="-2"/>
          <w:vertAlign w:val="superscript"/>
          <w:rtl/>
        </w:rPr>
        <w:t>(</w:t>
      </w:r>
      <w:r w:rsidR="00B65ABB" w:rsidRPr="00ED33F9">
        <w:rPr>
          <w:spacing w:val="-2"/>
          <w:vertAlign w:val="superscript"/>
          <w:rtl/>
          <w:lang w:val="es-ES"/>
        </w:rPr>
        <w:footnoteReference w:id="16"/>
      </w:r>
      <w:r w:rsidR="00B65ABB" w:rsidRPr="00ED33F9">
        <w:rPr>
          <w:spacing w:val="-2"/>
          <w:vertAlign w:val="superscript"/>
          <w:rtl/>
          <w:lang w:val="es-ES"/>
        </w:rPr>
        <w:t>)</w:t>
      </w:r>
      <w:r w:rsidR="00B65ABB" w:rsidRPr="00ED33F9">
        <w:rPr>
          <w:spacing w:val="-2"/>
          <w:rtl/>
        </w:rPr>
        <w:t>؛</w:t>
      </w:r>
      <w:r w:rsidRPr="00ED33F9">
        <w:rPr>
          <w:spacing w:val="-2"/>
          <w:rtl/>
          <w:lang w:val="es-ES"/>
        </w:rPr>
        <w:t xml:space="preserve"> </w:t>
      </w:r>
      <w:r w:rsidRPr="00ED33F9">
        <w:rPr>
          <w:spacing w:val="-2"/>
          <w:rtl/>
        </w:rPr>
        <w:t>و(ب) لأنها لم تقبل صاحب البلاغ على الأراضي الإسبانية ولم</w:t>
      </w:r>
      <w:r w:rsidR="00ED33F9" w:rsidRPr="00ED33F9">
        <w:rPr>
          <w:rFonts w:hint="cs"/>
          <w:spacing w:val="-2"/>
          <w:rtl/>
        </w:rPr>
        <w:t> </w:t>
      </w:r>
      <w:r w:rsidRPr="00ED33F9">
        <w:rPr>
          <w:spacing w:val="-2"/>
          <w:rtl/>
        </w:rPr>
        <w:t>تتخذ أي إجراء لتحديد هويته وتقييم حالته وحمايته بصفته طفلا</w:t>
      </w:r>
      <w:r w:rsidR="003A313D" w:rsidRPr="00ED33F9">
        <w:rPr>
          <w:rFonts w:hint="cs"/>
          <w:spacing w:val="-2"/>
          <w:rtl/>
        </w:rPr>
        <w:t>ً</w:t>
      </w:r>
      <w:r w:rsidRPr="00ED33F9">
        <w:rPr>
          <w:spacing w:val="-2"/>
          <w:rtl/>
        </w:rPr>
        <w:t xml:space="preserve"> غير مصحوب بذويه</w:t>
      </w:r>
      <w:r w:rsidR="00B65ABB" w:rsidRPr="00ED33F9">
        <w:rPr>
          <w:spacing w:val="-2"/>
          <w:vertAlign w:val="superscript"/>
          <w:rtl/>
        </w:rPr>
        <w:t>(</w:t>
      </w:r>
      <w:r w:rsidR="00B65ABB" w:rsidRPr="00ED33F9">
        <w:rPr>
          <w:spacing w:val="-2"/>
          <w:vertAlign w:val="superscript"/>
          <w:rtl/>
          <w:lang w:val="es-ES"/>
        </w:rPr>
        <w:footnoteReference w:id="17"/>
      </w:r>
      <w:r w:rsidR="00B65ABB" w:rsidRPr="00ED33F9">
        <w:rPr>
          <w:spacing w:val="-2"/>
          <w:vertAlign w:val="superscript"/>
          <w:rtl/>
          <w:lang w:val="es-ES"/>
        </w:rPr>
        <w:t>)</w:t>
      </w:r>
      <w:r w:rsidR="00B65ABB" w:rsidRPr="00ED33F9">
        <w:rPr>
          <w:spacing w:val="-2"/>
          <w:rtl/>
        </w:rPr>
        <w:t>؛</w:t>
      </w:r>
      <w:r w:rsidRPr="00ED33F9">
        <w:rPr>
          <w:spacing w:val="-2"/>
          <w:rtl/>
          <w:lang w:val="es-ES"/>
        </w:rPr>
        <w:t xml:space="preserve"> </w:t>
      </w:r>
      <w:r w:rsidRPr="00ED33F9">
        <w:rPr>
          <w:spacing w:val="-2"/>
          <w:rtl/>
        </w:rPr>
        <w:t>و(ج) لأن الحرس المدني الإسباني لم يراع الظروف الشخصية لصاحب البلاغ، وإنما قبض عليه وصفّد يديه ورحّله بموجب إجراءات موجزة نحو المغرب دون تقييم أي حل بديل آخر يخدم مصالحه الفضلى.</w:t>
      </w:r>
    </w:p>
    <w:p w:rsidR="000C4DE9" w:rsidRPr="000C4DE9" w:rsidRDefault="000C4DE9" w:rsidP="000C4DE9">
      <w:pPr>
        <w:pStyle w:val="SingleTxtGA"/>
        <w:rPr>
          <w:rtl/>
        </w:rPr>
      </w:pPr>
      <w:r w:rsidRPr="000C4DE9">
        <w:rPr>
          <w:rtl/>
        </w:rPr>
        <w:t>٣-٦</w:t>
      </w:r>
      <w:r w:rsidRPr="000C4DE9">
        <w:rPr>
          <w:rtl/>
          <w:lang w:val="es-ES"/>
        </w:rPr>
        <w:tab/>
      </w:r>
      <w:r w:rsidRPr="000C4DE9">
        <w:rPr>
          <w:rtl/>
        </w:rPr>
        <w:t>ويدفع صاحب البلاغ بأن سبل الانتصاف الممكنة تتمثل في قيام الدولة الطرف بما</w:t>
      </w:r>
      <w:r w:rsidR="00ED33F9">
        <w:rPr>
          <w:rFonts w:hint="cs"/>
          <w:rtl/>
        </w:rPr>
        <w:t> </w:t>
      </w:r>
      <w:r w:rsidRPr="000C4DE9">
        <w:rPr>
          <w:rtl/>
        </w:rPr>
        <w:t>يلي: (أ) تعديل أو إلغاء القانون الأساسي رقم ٤/٢٠١٥ بشأن حماية الأمن العام، ولا</w:t>
      </w:r>
      <w:r w:rsidR="00ED33F9">
        <w:rPr>
          <w:rFonts w:hint="cs"/>
          <w:rtl/>
        </w:rPr>
        <w:t> </w:t>
      </w:r>
      <w:r w:rsidRPr="000C4DE9">
        <w:rPr>
          <w:rtl/>
        </w:rPr>
        <w:t xml:space="preserve">سيما، الحكم الإضافي العاشر "النظام الخاص لسبتة </w:t>
      </w:r>
      <w:proofErr w:type="spellStart"/>
      <w:r w:rsidRPr="000C4DE9">
        <w:rPr>
          <w:rtl/>
        </w:rPr>
        <w:t>ومليلية</w:t>
      </w:r>
      <w:proofErr w:type="spellEnd"/>
      <w:r w:rsidRPr="000C4DE9">
        <w:rPr>
          <w:rtl/>
        </w:rPr>
        <w:t>"، لكي يتضمن إشارة محددة إلى توافق القانون مع الاتفاقية، ويكفل عملية تحديد هوية الأطفال على الحدود؛</w:t>
      </w:r>
      <w:r w:rsidRPr="000C4DE9">
        <w:rPr>
          <w:rtl/>
          <w:lang w:val="es-ES"/>
        </w:rPr>
        <w:t xml:space="preserve"> </w:t>
      </w:r>
      <w:r w:rsidRPr="000C4DE9">
        <w:rPr>
          <w:rtl/>
        </w:rPr>
        <w:t xml:space="preserve">و(ب) وضع وتنفيذ بروتوكول خاص لعمل الحرس المدني الإسباني في سبتة </w:t>
      </w:r>
      <w:proofErr w:type="spellStart"/>
      <w:r w:rsidRPr="000C4DE9">
        <w:rPr>
          <w:rtl/>
        </w:rPr>
        <w:t>ومليلية</w:t>
      </w:r>
      <w:proofErr w:type="spellEnd"/>
      <w:r w:rsidRPr="000C4DE9">
        <w:rPr>
          <w:rtl/>
        </w:rPr>
        <w:t xml:space="preserve"> يتضمن تدابير ملموسة لتحديد هوية الأطفال على الحدود وحمايتهم، و(ج) منح صاحب البلاغ تعويضات مالية واتخاذ التدابير اللازمة لإعادة تأهيله، إن لزم الأمر ذلك.</w:t>
      </w:r>
    </w:p>
    <w:p w:rsidR="000C4DE9" w:rsidRPr="000C4DE9" w:rsidRDefault="000C4DE9" w:rsidP="001E3F43">
      <w:pPr>
        <w:pStyle w:val="H23GA"/>
        <w:keepNext/>
        <w:keepLines/>
        <w:spacing w:before="240"/>
        <w:rPr>
          <w:rtl/>
        </w:rPr>
      </w:pPr>
      <w:r w:rsidRPr="000C4DE9">
        <w:rPr>
          <w:rtl/>
          <w:lang w:val="es-ES"/>
        </w:rPr>
        <w:tab/>
      </w:r>
      <w:r w:rsidRPr="000C4DE9">
        <w:rPr>
          <w:rtl/>
          <w:lang w:val="es-ES"/>
        </w:rPr>
        <w:tab/>
      </w:r>
      <w:r w:rsidRPr="000C4DE9">
        <w:rPr>
          <w:rtl/>
        </w:rPr>
        <w:t>ملاحظات الدولة الطرف بشأن المقبولية</w:t>
      </w:r>
    </w:p>
    <w:p w:rsidR="000C4DE9" w:rsidRPr="00ED33F9" w:rsidRDefault="000C4DE9" w:rsidP="000C4DE9">
      <w:pPr>
        <w:pStyle w:val="SingleTxtGA"/>
        <w:rPr>
          <w:spacing w:val="-2"/>
          <w:rtl/>
        </w:rPr>
      </w:pPr>
      <w:r w:rsidRPr="00ED33F9">
        <w:rPr>
          <w:spacing w:val="-2"/>
          <w:rtl/>
        </w:rPr>
        <w:t>٤-١</w:t>
      </w:r>
      <w:r w:rsidRPr="00ED33F9">
        <w:rPr>
          <w:spacing w:val="-2"/>
          <w:rtl/>
          <w:lang w:val="es-ES"/>
        </w:rPr>
        <w:tab/>
      </w:r>
      <w:r w:rsidRPr="00ED33F9">
        <w:rPr>
          <w:spacing w:val="-2"/>
          <w:rtl/>
        </w:rPr>
        <w:t>تحدد الدولة الطرف، في ملاحظاتها المؤرخة ٣٠ آب/أغسطس ٢٠١٦، أن صاحب البلاغ أعلن، عند دخوله إسبانيا في ٣٠ كانون الأول/ديسمبر ٢٠١٤، أن اسمه ي. د. وليس</w:t>
      </w:r>
      <w:r w:rsidR="00ED33F9">
        <w:rPr>
          <w:rFonts w:hint="cs"/>
          <w:spacing w:val="-2"/>
          <w:rtl/>
        </w:rPr>
        <w:t xml:space="preserve"> </w:t>
      </w:r>
      <w:r w:rsidRPr="00ED33F9">
        <w:rPr>
          <w:spacing w:val="-2"/>
          <w:rtl/>
        </w:rPr>
        <w:t>د.</w:t>
      </w:r>
      <w:r w:rsidR="00ED33F9">
        <w:rPr>
          <w:rFonts w:hint="cs"/>
          <w:spacing w:val="-2"/>
          <w:rtl/>
        </w:rPr>
        <w:t> </w:t>
      </w:r>
      <w:r w:rsidRPr="00ED33F9">
        <w:rPr>
          <w:spacing w:val="-2"/>
          <w:rtl/>
        </w:rPr>
        <w:t xml:space="preserve">د.، وأن له جنسية أخرى، وأنه شخص </w:t>
      </w:r>
      <w:proofErr w:type="gramStart"/>
      <w:r w:rsidRPr="00ED33F9">
        <w:rPr>
          <w:spacing w:val="-2"/>
          <w:rtl/>
        </w:rPr>
        <w:t>راشد</w:t>
      </w:r>
      <w:r w:rsidR="00B65ABB" w:rsidRPr="00ED33F9">
        <w:rPr>
          <w:spacing w:val="-2"/>
          <w:vertAlign w:val="superscript"/>
          <w:rtl/>
        </w:rPr>
        <w:t>(</w:t>
      </w:r>
      <w:proofErr w:type="gramEnd"/>
      <w:r w:rsidR="00B65ABB" w:rsidRPr="00ED33F9">
        <w:rPr>
          <w:spacing w:val="-2"/>
          <w:vertAlign w:val="superscript"/>
          <w:rtl/>
          <w:lang w:val="es-ES"/>
        </w:rPr>
        <w:footnoteReference w:id="18"/>
      </w:r>
      <w:r w:rsidR="00B65ABB" w:rsidRPr="00ED33F9">
        <w:rPr>
          <w:spacing w:val="-2"/>
          <w:vertAlign w:val="superscript"/>
          <w:rtl/>
          <w:lang w:val="es-ES"/>
        </w:rPr>
        <w:t>)</w:t>
      </w:r>
      <w:r w:rsidR="00B65ABB" w:rsidRPr="00ED33F9">
        <w:rPr>
          <w:spacing w:val="-2"/>
          <w:rtl/>
        </w:rPr>
        <w:t>.</w:t>
      </w:r>
      <w:r w:rsidRPr="00ED33F9">
        <w:rPr>
          <w:spacing w:val="-2"/>
          <w:rtl/>
          <w:lang w:val="es-ES"/>
        </w:rPr>
        <w:t xml:space="preserve"> </w:t>
      </w:r>
      <w:r w:rsidRPr="00ED33F9">
        <w:rPr>
          <w:spacing w:val="-2"/>
          <w:rtl/>
        </w:rPr>
        <w:t>وتشير إلى عدم إمكانية تحميل الدولة الطرف مسؤولية ما وقع له خلال الوقت الوجيز الذي قامت فيه السلطات الإسبانية، في</w:t>
      </w:r>
      <w:r w:rsidR="00ED33F9" w:rsidRPr="00ED33F9">
        <w:rPr>
          <w:rFonts w:hint="cs"/>
          <w:spacing w:val="-2"/>
          <w:rtl/>
        </w:rPr>
        <w:t> </w:t>
      </w:r>
      <w:r w:rsidRPr="00ED33F9">
        <w:rPr>
          <w:spacing w:val="-2"/>
          <w:rtl/>
        </w:rPr>
        <w:t xml:space="preserve">٢ كانون الأول/ديسمبر ٢٠١٤، بممارسة حقها المشروع بالتصدي لهجوم صاحب البلاغ على السياج الحدودي ومحاولته غير القانونية عبوره بالقوة، وبامتثال التزامها الدولي في هذا </w:t>
      </w:r>
      <w:proofErr w:type="gramStart"/>
      <w:r w:rsidRPr="00ED33F9">
        <w:rPr>
          <w:spacing w:val="-2"/>
          <w:rtl/>
        </w:rPr>
        <w:t>السياق</w:t>
      </w:r>
      <w:r w:rsidR="00B65ABB" w:rsidRPr="00ED33F9">
        <w:rPr>
          <w:spacing w:val="-2"/>
          <w:vertAlign w:val="superscript"/>
          <w:rtl/>
        </w:rPr>
        <w:t>(</w:t>
      </w:r>
      <w:proofErr w:type="gramEnd"/>
      <w:r w:rsidR="00B65ABB" w:rsidRPr="00ED33F9">
        <w:rPr>
          <w:spacing w:val="-2"/>
          <w:vertAlign w:val="superscript"/>
          <w:rtl/>
          <w:lang w:val="es-ES"/>
        </w:rPr>
        <w:footnoteReference w:id="19"/>
      </w:r>
      <w:r w:rsidR="00B65ABB" w:rsidRPr="00ED33F9">
        <w:rPr>
          <w:spacing w:val="-2"/>
          <w:vertAlign w:val="superscript"/>
          <w:rtl/>
          <w:lang w:val="es-ES"/>
        </w:rPr>
        <w:t>)</w:t>
      </w:r>
      <w:r w:rsidR="00B65ABB" w:rsidRPr="00ED33F9">
        <w:rPr>
          <w:spacing w:val="-2"/>
          <w:rtl/>
        </w:rPr>
        <w:t>.</w:t>
      </w:r>
      <w:r w:rsidRPr="00ED33F9">
        <w:rPr>
          <w:spacing w:val="-2"/>
          <w:rtl/>
          <w:lang w:val="es-ES"/>
        </w:rPr>
        <w:t xml:space="preserve"> </w:t>
      </w:r>
      <w:r w:rsidRPr="00ED33F9">
        <w:rPr>
          <w:spacing w:val="-2"/>
          <w:rtl/>
        </w:rPr>
        <w:t xml:space="preserve">وتضيف </w:t>
      </w:r>
      <w:r w:rsidRPr="00ED33F9">
        <w:rPr>
          <w:spacing w:val="-4"/>
          <w:rtl/>
        </w:rPr>
        <w:t>أن الأمر لا يتعلق بإبعاد لأن صاحب البلاغ لم ينجح في محاولته دخول إسبانيا بصورة غير قانونية.</w:t>
      </w:r>
      <w:r w:rsidRPr="00ED33F9">
        <w:rPr>
          <w:spacing w:val="-4"/>
          <w:rtl/>
          <w:lang w:val="es-ES"/>
        </w:rPr>
        <w:t xml:space="preserve"> </w:t>
      </w:r>
      <w:r w:rsidRPr="00ED33F9">
        <w:rPr>
          <w:spacing w:val="-4"/>
          <w:rtl/>
        </w:rPr>
        <w:t>وتلاحظ الدولة الطرف كذلك أن صاحب البلاغ لم يكن في ٢ كانون الأول/ديسمبر ٢٠١٤</w:t>
      </w:r>
      <w:r w:rsidRPr="00ED33F9">
        <w:rPr>
          <w:spacing w:val="-2"/>
          <w:rtl/>
        </w:rPr>
        <w:t xml:space="preserve"> يحمل </w:t>
      </w:r>
      <w:r w:rsidRPr="00ED33F9">
        <w:rPr>
          <w:spacing w:val="-2"/>
          <w:rtl/>
        </w:rPr>
        <w:lastRenderedPageBreak/>
        <w:t xml:space="preserve">أي نوع من وثائق الهوية، ولم يتبادل أي حديث مع الحرس المدني الإسباني </w:t>
      </w:r>
      <w:proofErr w:type="spellStart"/>
      <w:r w:rsidRPr="00ED33F9">
        <w:rPr>
          <w:spacing w:val="-2"/>
          <w:rtl/>
        </w:rPr>
        <w:t>بمليل</w:t>
      </w:r>
      <w:r w:rsidR="00D51EF3" w:rsidRPr="00ED33F9">
        <w:rPr>
          <w:rFonts w:hint="cs"/>
          <w:spacing w:val="-2"/>
          <w:rtl/>
        </w:rPr>
        <w:t>ي</w:t>
      </w:r>
      <w:r w:rsidRPr="00ED33F9">
        <w:rPr>
          <w:spacing w:val="-2"/>
          <w:rtl/>
        </w:rPr>
        <w:t>ة</w:t>
      </w:r>
      <w:proofErr w:type="spellEnd"/>
      <w:r w:rsidRPr="00ED33F9">
        <w:rPr>
          <w:spacing w:val="-2"/>
          <w:rtl/>
        </w:rPr>
        <w:t>، "ولم يزعم قط أنه قاصر ولم يكن يبدو أنه كذلك".</w:t>
      </w:r>
      <w:r w:rsidRPr="00ED33F9">
        <w:rPr>
          <w:spacing w:val="-2"/>
          <w:rtl/>
          <w:lang w:val="es-ES"/>
        </w:rPr>
        <w:t xml:space="preserve"> </w:t>
      </w:r>
      <w:r w:rsidRPr="00ED33F9">
        <w:rPr>
          <w:spacing w:val="-2"/>
          <w:rtl/>
        </w:rPr>
        <w:t xml:space="preserve">وتدفع بأنه لا يمكن، في ظل عدم وجود تعبير صريح وعدم الإدلاء بوثيقة هوية، اعتبار شخص قادر على تسلق سياج طوله </w:t>
      </w:r>
      <w:r w:rsidRPr="00ED33F9">
        <w:rPr>
          <w:spacing w:val="-2"/>
          <w:rtl/>
          <w:lang w:val="es-ES"/>
        </w:rPr>
        <w:t>6</w:t>
      </w:r>
      <w:r w:rsidRPr="00ED33F9">
        <w:rPr>
          <w:spacing w:val="-2"/>
          <w:rtl/>
        </w:rPr>
        <w:t xml:space="preserve"> أمتار وتخطيه شخصا</w:t>
      </w:r>
      <w:r w:rsidR="003A313D" w:rsidRPr="00ED33F9">
        <w:rPr>
          <w:rFonts w:hint="cs"/>
          <w:spacing w:val="-2"/>
          <w:rtl/>
        </w:rPr>
        <w:t>ً</w:t>
      </w:r>
      <w:r w:rsidRPr="00ED33F9">
        <w:rPr>
          <w:spacing w:val="-2"/>
          <w:rtl/>
        </w:rPr>
        <w:t xml:space="preserve"> قاصرا</w:t>
      </w:r>
      <w:r w:rsidR="003A313D" w:rsidRPr="00ED33F9">
        <w:rPr>
          <w:rFonts w:hint="cs"/>
          <w:spacing w:val="-2"/>
          <w:rtl/>
        </w:rPr>
        <w:t>ً</w:t>
      </w:r>
      <w:r w:rsidRPr="00ED33F9">
        <w:rPr>
          <w:spacing w:val="-2"/>
          <w:rtl/>
        </w:rPr>
        <w:t>.</w:t>
      </w:r>
      <w:r w:rsidRPr="00ED33F9">
        <w:rPr>
          <w:spacing w:val="-2"/>
          <w:rtl/>
          <w:lang w:val="es-ES"/>
        </w:rPr>
        <w:t xml:space="preserve"> </w:t>
      </w:r>
      <w:r w:rsidRPr="00ED33F9">
        <w:rPr>
          <w:spacing w:val="-2"/>
          <w:rtl/>
        </w:rPr>
        <w:t>وأخيرا</w:t>
      </w:r>
      <w:r w:rsidR="003A313D" w:rsidRPr="00ED33F9">
        <w:rPr>
          <w:rFonts w:hint="cs"/>
          <w:spacing w:val="-2"/>
          <w:rtl/>
        </w:rPr>
        <w:t>ً</w:t>
      </w:r>
      <w:r w:rsidRPr="00ED33F9">
        <w:rPr>
          <w:spacing w:val="-2"/>
          <w:rtl/>
        </w:rPr>
        <w:t>، تؤكد الدولة الطرف أن إصدار بطاقات التسجيل القنصلية المالية، كالتي قدمها صاحب البلاغ، لا يسبقه تحقق من البيانات في سجلات البلد، بل يعتمد فقط على رقم تحديد الأجانب الذي تمنحه السلطات الإسبانية.</w:t>
      </w:r>
    </w:p>
    <w:p w:rsidR="000C4DE9" w:rsidRPr="000C4DE9" w:rsidRDefault="000C4DE9" w:rsidP="000C4DE9">
      <w:pPr>
        <w:pStyle w:val="SingleTxtGA"/>
        <w:rPr>
          <w:rtl/>
        </w:rPr>
      </w:pPr>
      <w:r w:rsidRPr="000C4DE9">
        <w:rPr>
          <w:rtl/>
        </w:rPr>
        <w:t>٤-٢</w:t>
      </w:r>
      <w:r w:rsidRPr="000C4DE9">
        <w:rPr>
          <w:rtl/>
          <w:lang w:val="es-ES"/>
        </w:rPr>
        <w:tab/>
      </w:r>
      <w:r w:rsidRPr="000C4DE9">
        <w:rPr>
          <w:rtl/>
        </w:rPr>
        <w:t>وتؤكد الدولة الطرف أن البلاغ فيما يتعلق بالادعاءات التي تعزى إلى السلطات المغربية غير مقبول من حيث الاختصاص المكاني وفقا</w:t>
      </w:r>
      <w:r w:rsidR="003A313D">
        <w:rPr>
          <w:rFonts w:hint="cs"/>
          <w:rtl/>
        </w:rPr>
        <w:t>ً</w:t>
      </w:r>
      <w:r w:rsidRPr="000C4DE9">
        <w:rPr>
          <w:rtl/>
        </w:rPr>
        <w:t xml:space="preserve"> للمادة ٥ من البروتوكول الاختياري.</w:t>
      </w:r>
      <w:r w:rsidRPr="000C4DE9">
        <w:rPr>
          <w:rtl/>
          <w:lang w:val="es-ES"/>
        </w:rPr>
        <w:t xml:space="preserve"> </w:t>
      </w:r>
    </w:p>
    <w:p w:rsidR="000C4DE9" w:rsidRPr="000C4DE9" w:rsidRDefault="000C4DE9" w:rsidP="00421B8F">
      <w:pPr>
        <w:pStyle w:val="SingleTxtGA"/>
        <w:rPr>
          <w:rtl/>
        </w:rPr>
      </w:pPr>
      <w:r w:rsidRPr="000C4DE9">
        <w:rPr>
          <w:rtl/>
        </w:rPr>
        <w:t>٤-٣</w:t>
      </w:r>
      <w:r w:rsidRPr="000C4DE9">
        <w:rPr>
          <w:rtl/>
          <w:lang w:val="es-ES"/>
        </w:rPr>
        <w:tab/>
      </w:r>
      <w:r w:rsidRPr="000C4DE9">
        <w:rPr>
          <w:rtl/>
        </w:rPr>
        <w:t>وتؤكد الدولة الطرف أن البلاغ غير مقبول من حيث الاختصاص الشخصي وفقا</w:t>
      </w:r>
      <w:r w:rsidR="003A313D">
        <w:rPr>
          <w:rFonts w:hint="cs"/>
          <w:rtl/>
        </w:rPr>
        <w:t>ً</w:t>
      </w:r>
      <w:r w:rsidRPr="000C4DE9">
        <w:rPr>
          <w:rtl/>
        </w:rPr>
        <w:t xml:space="preserve"> للمادة ١ من الاتفاقية، لأن صاحب البلاغ كان عمره ٢٠ سنة عند وقوع الأحداث.</w:t>
      </w:r>
      <w:r w:rsidRPr="000C4DE9">
        <w:rPr>
          <w:rtl/>
          <w:lang w:val="es-ES"/>
        </w:rPr>
        <w:t xml:space="preserve"> </w:t>
      </w:r>
      <w:r w:rsidRPr="000C4DE9">
        <w:rPr>
          <w:rtl/>
        </w:rPr>
        <w:t>وهي تدّعي بأن صاحب البلاغ أعلن أنه شخص راشد في مناسبتين، وهما: ٣٠ كانون الأول/</w:t>
      </w:r>
      <w:r w:rsidR="003A0B20">
        <w:rPr>
          <w:rFonts w:hint="cs"/>
          <w:rtl/>
        </w:rPr>
        <w:t xml:space="preserve"> </w:t>
      </w:r>
      <w:r w:rsidRPr="000C4DE9">
        <w:rPr>
          <w:rtl/>
        </w:rPr>
        <w:t>ديسمبر</w:t>
      </w:r>
      <w:r w:rsidR="003A0B20">
        <w:rPr>
          <w:rFonts w:hint="cs"/>
          <w:rtl/>
        </w:rPr>
        <w:t> </w:t>
      </w:r>
      <w:r w:rsidRPr="000C4DE9">
        <w:rPr>
          <w:rtl/>
        </w:rPr>
        <w:t>٢٠١٤ -</w:t>
      </w:r>
      <w:r w:rsidR="00D61902">
        <w:rPr>
          <w:rFonts w:hint="cs"/>
          <w:rtl/>
        </w:rPr>
        <w:t xml:space="preserve"> </w:t>
      </w:r>
      <w:r w:rsidRPr="000C4DE9">
        <w:rPr>
          <w:rtl/>
        </w:rPr>
        <w:t xml:space="preserve">في مركز الإقامة المؤقتة </w:t>
      </w:r>
      <w:proofErr w:type="spellStart"/>
      <w:r w:rsidRPr="000C4DE9">
        <w:rPr>
          <w:rtl/>
        </w:rPr>
        <w:t>لمليلية</w:t>
      </w:r>
      <w:proofErr w:type="spellEnd"/>
      <w:r w:rsidR="00D61902">
        <w:rPr>
          <w:rFonts w:hint="cs"/>
          <w:rtl/>
        </w:rPr>
        <w:t xml:space="preserve"> </w:t>
      </w:r>
      <w:r w:rsidRPr="000C4DE9">
        <w:rPr>
          <w:rtl/>
        </w:rPr>
        <w:t>-</w:t>
      </w:r>
      <w:r w:rsidR="00B65ABB">
        <w:rPr>
          <w:rtl/>
        </w:rPr>
        <w:t xml:space="preserve"> </w:t>
      </w:r>
      <w:proofErr w:type="spellStart"/>
      <w:r w:rsidRPr="000C4DE9">
        <w:rPr>
          <w:rtl/>
        </w:rPr>
        <w:t>و١٢</w:t>
      </w:r>
      <w:proofErr w:type="spellEnd"/>
      <w:r w:rsidRPr="000C4DE9">
        <w:rPr>
          <w:rtl/>
        </w:rPr>
        <w:t xml:space="preserve"> كانون الثاني/يناير ٢٠١٥ -</w:t>
      </w:r>
      <w:r w:rsidR="00D61902">
        <w:rPr>
          <w:rFonts w:hint="cs"/>
          <w:rtl/>
        </w:rPr>
        <w:t xml:space="preserve"> </w:t>
      </w:r>
      <w:r w:rsidRPr="000C4DE9">
        <w:rPr>
          <w:rtl/>
        </w:rPr>
        <w:t xml:space="preserve">في مفوضية الأجانب </w:t>
      </w:r>
      <w:proofErr w:type="spellStart"/>
      <w:r w:rsidRPr="000C4DE9">
        <w:rPr>
          <w:rtl/>
        </w:rPr>
        <w:t>لمليلية</w:t>
      </w:r>
      <w:proofErr w:type="spellEnd"/>
      <w:r w:rsidR="00D61902">
        <w:rPr>
          <w:rFonts w:hint="cs"/>
          <w:rtl/>
        </w:rPr>
        <w:t xml:space="preserve"> </w:t>
      </w:r>
      <w:r w:rsidRPr="000C4DE9">
        <w:rPr>
          <w:rtl/>
        </w:rPr>
        <w:t>-، وأنه أُطلع في المناسبتين على حقوقه بلغة يفهمها وحصل على خدمات محامين بالمجان، دون أن يزعم أنه قاصر عند إعداد ملفه الإداري.</w:t>
      </w:r>
      <w:r w:rsidRPr="000C4DE9">
        <w:rPr>
          <w:rtl/>
          <w:lang w:val="es-ES"/>
        </w:rPr>
        <w:t xml:space="preserve"> </w:t>
      </w:r>
      <w:r w:rsidRPr="000C4DE9">
        <w:rPr>
          <w:rtl/>
        </w:rPr>
        <w:t xml:space="preserve">وتضيف الدولة الطرف أن صاحب البلاغ لم يدّع أنه قاصر إلا عند اتصاله بالمنظمة غير الحكومية </w:t>
      </w:r>
      <w:r w:rsidRPr="000C4DE9">
        <w:rPr>
          <w:lang w:val="es-ES"/>
        </w:rPr>
        <w:t>Fundación</w:t>
      </w:r>
      <w:r w:rsidR="003A0B20">
        <w:rPr>
          <w:lang w:val="es-ES"/>
        </w:rPr>
        <w:t> </w:t>
      </w:r>
      <w:r w:rsidRPr="000C4DE9">
        <w:rPr>
          <w:lang w:val="es-ES"/>
        </w:rPr>
        <w:t>Raíces</w:t>
      </w:r>
      <w:r w:rsidRPr="000C4DE9">
        <w:rPr>
          <w:rtl/>
        </w:rPr>
        <w:t xml:space="preserve"> التي طلبت إلى قنصلية مالي بمدريد تزويدها ببطاقته القنصلية.</w:t>
      </w:r>
      <w:r w:rsidRPr="000C4DE9">
        <w:rPr>
          <w:rtl/>
          <w:lang w:val="es-ES"/>
        </w:rPr>
        <w:t xml:space="preserve"> </w:t>
      </w:r>
    </w:p>
    <w:p w:rsidR="000C4DE9" w:rsidRPr="000C4DE9" w:rsidRDefault="000C4DE9" w:rsidP="000C4DE9">
      <w:pPr>
        <w:pStyle w:val="SingleTxtGA"/>
        <w:rPr>
          <w:rtl/>
        </w:rPr>
      </w:pPr>
      <w:r w:rsidRPr="000C4DE9">
        <w:rPr>
          <w:rtl/>
        </w:rPr>
        <w:t>٤-٤</w:t>
      </w:r>
      <w:r w:rsidRPr="000C4DE9">
        <w:rPr>
          <w:rtl/>
          <w:lang w:val="es-ES"/>
        </w:rPr>
        <w:tab/>
      </w:r>
      <w:r w:rsidRPr="000C4DE9">
        <w:rPr>
          <w:rtl/>
        </w:rPr>
        <w:t>وتدفع الدولة الطرف بأن البلاغ، فيما يتعلق بحق اللجوء وحق حماية الحدود من الدخول غير القانوني، غير مقبول من حيث الاختصاص الموضوعي لأن هذه الحقوق غير معترف بها في الاتفاقية.</w:t>
      </w:r>
    </w:p>
    <w:p w:rsidR="000C4DE9" w:rsidRPr="00ED33F9" w:rsidRDefault="000C4DE9" w:rsidP="000C4DE9">
      <w:pPr>
        <w:pStyle w:val="SingleTxtGA"/>
        <w:rPr>
          <w:spacing w:val="-2"/>
          <w:rtl/>
        </w:rPr>
      </w:pPr>
      <w:r w:rsidRPr="00ED33F9">
        <w:rPr>
          <w:spacing w:val="-2"/>
          <w:rtl/>
        </w:rPr>
        <w:t>٤-٥</w:t>
      </w:r>
      <w:r w:rsidRPr="00ED33F9">
        <w:rPr>
          <w:spacing w:val="-2"/>
          <w:rtl/>
          <w:lang w:val="es-ES"/>
        </w:rPr>
        <w:tab/>
      </w:r>
      <w:r w:rsidRPr="00ED33F9">
        <w:rPr>
          <w:spacing w:val="-2"/>
          <w:rtl/>
        </w:rPr>
        <w:t>وتؤكد الدولة الطرف أيضا</w:t>
      </w:r>
      <w:r w:rsidR="003A313D" w:rsidRPr="00ED33F9">
        <w:rPr>
          <w:rFonts w:hint="cs"/>
          <w:spacing w:val="-2"/>
          <w:rtl/>
        </w:rPr>
        <w:t>ً</w:t>
      </w:r>
      <w:r w:rsidRPr="00ED33F9">
        <w:rPr>
          <w:spacing w:val="-2"/>
          <w:rtl/>
        </w:rPr>
        <w:t xml:space="preserve"> أن البلاغ يعتبر، وفقا</w:t>
      </w:r>
      <w:r w:rsidR="003A313D" w:rsidRPr="00ED33F9">
        <w:rPr>
          <w:rFonts w:hint="cs"/>
          <w:spacing w:val="-2"/>
          <w:rtl/>
        </w:rPr>
        <w:t>ً</w:t>
      </w:r>
      <w:r w:rsidRPr="00ED33F9">
        <w:rPr>
          <w:spacing w:val="-2"/>
          <w:rtl/>
        </w:rPr>
        <w:t xml:space="preserve"> للمادة ٧(ه) من البروتوكول الاختياري، غير مقبول لعدم استنفاد سبل الانتصاف المحلية، بالنظر إلى أن صاحب البلاغ: (أ)</w:t>
      </w:r>
      <w:r w:rsidR="00D61902" w:rsidRPr="00ED33F9">
        <w:rPr>
          <w:rFonts w:hint="cs"/>
          <w:spacing w:val="-2"/>
          <w:rtl/>
        </w:rPr>
        <w:t> </w:t>
      </w:r>
      <w:r w:rsidRPr="00ED33F9">
        <w:rPr>
          <w:spacing w:val="-2"/>
          <w:rtl/>
        </w:rPr>
        <w:t>كان بإمكانه التماس اللجوء في بلدان العبور (موريتانيا والمغرب)؛</w:t>
      </w:r>
      <w:r w:rsidRPr="00ED33F9">
        <w:rPr>
          <w:spacing w:val="-2"/>
          <w:rtl/>
          <w:lang w:val="es-ES"/>
        </w:rPr>
        <w:t xml:space="preserve"> </w:t>
      </w:r>
      <w:r w:rsidRPr="00ED33F9">
        <w:rPr>
          <w:spacing w:val="-2"/>
          <w:rtl/>
        </w:rPr>
        <w:t>و(ب) كان بإمكانه طلب اللجوء في إسبانيا عند مكتب الحماية الدولية بمركز بني أنصار الحدودي بدلا</w:t>
      </w:r>
      <w:r w:rsidR="003A313D" w:rsidRPr="00ED33F9">
        <w:rPr>
          <w:rFonts w:hint="cs"/>
          <w:spacing w:val="-2"/>
          <w:rtl/>
        </w:rPr>
        <w:t>ً</w:t>
      </w:r>
      <w:r w:rsidRPr="00ED33F9">
        <w:rPr>
          <w:spacing w:val="-2"/>
          <w:rtl/>
        </w:rPr>
        <w:t xml:space="preserve"> من عبور الحدود بصورة غير قانونية؛</w:t>
      </w:r>
      <w:r w:rsidRPr="00ED33F9">
        <w:rPr>
          <w:spacing w:val="-2"/>
          <w:rtl/>
          <w:lang w:val="es-ES"/>
        </w:rPr>
        <w:t xml:space="preserve"> </w:t>
      </w:r>
      <w:r w:rsidRPr="00ED33F9">
        <w:rPr>
          <w:spacing w:val="-2"/>
          <w:rtl/>
        </w:rPr>
        <w:t>و(ج) كان بإمكانه طلب تأشيرة دخول إسبانيا والعمل فيها بشكل قانوني</w:t>
      </w:r>
      <w:r w:rsidR="00B65ABB" w:rsidRPr="00ED33F9">
        <w:rPr>
          <w:spacing w:val="-2"/>
          <w:vertAlign w:val="superscript"/>
          <w:rtl/>
        </w:rPr>
        <w:t>(</w:t>
      </w:r>
      <w:r w:rsidR="00B65ABB" w:rsidRPr="00ED33F9">
        <w:rPr>
          <w:spacing w:val="-2"/>
          <w:vertAlign w:val="superscript"/>
          <w:rtl/>
          <w:lang w:val="es-ES"/>
        </w:rPr>
        <w:footnoteReference w:id="20"/>
      </w:r>
      <w:r w:rsidR="00B65ABB" w:rsidRPr="00ED33F9">
        <w:rPr>
          <w:spacing w:val="-2"/>
          <w:vertAlign w:val="superscript"/>
          <w:rtl/>
          <w:lang w:val="es-ES"/>
        </w:rPr>
        <w:t>)</w:t>
      </w:r>
      <w:r w:rsidR="00B65ABB" w:rsidRPr="00ED33F9">
        <w:rPr>
          <w:spacing w:val="-2"/>
          <w:rtl/>
        </w:rPr>
        <w:t>؛</w:t>
      </w:r>
      <w:r w:rsidRPr="00ED33F9">
        <w:rPr>
          <w:spacing w:val="-2"/>
          <w:rtl/>
          <w:lang w:val="es-ES"/>
        </w:rPr>
        <w:t xml:space="preserve"> </w:t>
      </w:r>
      <w:r w:rsidRPr="00ED33F9">
        <w:rPr>
          <w:spacing w:val="-2"/>
          <w:rtl/>
        </w:rPr>
        <w:t>و(د) عند دخوله الأراضي الإسبانية، كانت لديه سبل قضائية فعالة للطعن في القرار الإداري القاضي بطرده</w:t>
      </w:r>
      <w:r w:rsidR="00B65ABB" w:rsidRPr="00ED33F9">
        <w:rPr>
          <w:spacing w:val="-2"/>
          <w:vertAlign w:val="superscript"/>
          <w:rtl/>
        </w:rPr>
        <w:t>(</w:t>
      </w:r>
      <w:r w:rsidR="00B65ABB" w:rsidRPr="00ED33F9">
        <w:rPr>
          <w:spacing w:val="-2"/>
          <w:vertAlign w:val="superscript"/>
          <w:rtl/>
          <w:lang w:val="es-ES"/>
        </w:rPr>
        <w:footnoteReference w:id="21"/>
      </w:r>
      <w:r w:rsidR="00B65ABB" w:rsidRPr="00ED33F9">
        <w:rPr>
          <w:spacing w:val="-2"/>
          <w:vertAlign w:val="superscript"/>
          <w:rtl/>
          <w:lang w:val="es-ES"/>
        </w:rPr>
        <w:t>)</w:t>
      </w:r>
      <w:r w:rsidR="00B65ABB" w:rsidRPr="00ED33F9">
        <w:rPr>
          <w:spacing w:val="-2"/>
          <w:rtl/>
        </w:rPr>
        <w:t>.</w:t>
      </w:r>
    </w:p>
    <w:p w:rsidR="000C4DE9" w:rsidRPr="000C4DE9" w:rsidRDefault="000C4DE9" w:rsidP="001E3F43">
      <w:pPr>
        <w:pStyle w:val="H23GA"/>
        <w:keepNext/>
        <w:keepLines/>
        <w:spacing w:before="240"/>
        <w:rPr>
          <w:rtl/>
        </w:rPr>
      </w:pPr>
      <w:r w:rsidRPr="000C4DE9">
        <w:rPr>
          <w:rtl/>
          <w:lang w:val="es-ES"/>
        </w:rPr>
        <w:tab/>
      </w:r>
      <w:r w:rsidRPr="000C4DE9">
        <w:rPr>
          <w:rtl/>
          <w:lang w:val="es-ES"/>
        </w:rPr>
        <w:tab/>
      </w:r>
      <w:r w:rsidRPr="000C4DE9">
        <w:rPr>
          <w:rtl/>
        </w:rPr>
        <w:t>تعليقات صاحب البلاغ على ملاحظات الدولة الطرف بشأن المقبولية</w:t>
      </w:r>
      <w:bookmarkStart w:id="6" w:name="_Hlk529819414"/>
      <w:bookmarkEnd w:id="6"/>
    </w:p>
    <w:p w:rsidR="000C4DE9" w:rsidRPr="000C4DE9" w:rsidRDefault="000C4DE9" w:rsidP="000C4DE9">
      <w:pPr>
        <w:pStyle w:val="SingleTxtGA"/>
        <w:rPr>
          <w:rtl/>
        </w:rPr>
      </w:pPr>
      <w:r w:rsidRPr="000C4DE9">
        <w:rPr>
          <w:rtl/>
        </w:rPr>
        <w:t>٥-١</w:t>
      </w:r>
      <w:r w:rsidRPr="000C4DE9">
        <w:rPr>
          <w:rtl/>
          <w:lang w:val="es-ES"/>
        </w:rPr>
        <w:tab/>
      </w:r>
      <w:r w:rsidRPr="000C4DE9">
        <w:rPr>
          <w:rtl/>
        </w:rPr>
        <w:t>يدّعي صاحب البلاغ، في تعليقاته المؤرخة ٢١ تشرين الثاني/نوفمبر و١٢ كانون الأول/ديسمبر ٢٠١٦، أن الدولة الطرف تفسر هذا البلاغ تفسيرا</w:t>
      </w:r>
      <w:r w:rsidR="003A313D">
        <w:rPr>
          <w:rFonts w:hint="cs"/>
          <w:rtl/>
        </w:rPr>
        <w:t>ً</w:t>
      </w:r>
      <w:r w:rsidRPr="000C4DE9">
        <w:rPr>
          <w:rtl/>
        </w:rPr>
        <w:t xml:space="preserve"> خاطئا</w:t>
      </w:r>
      <w:r w:rsidR="003A313D">
        <w:rPr>
          <w:rFonts w:hint="cs"/>
          <w:rtl/>
        </w:rPr>
        <w:t>ً</w:t>
      </w:r>
      <w:r w:rsidRPr="000C4DE9">
        <w:rPr>
          <w:rtl/>
        </w:rPr>
        <w:t xml:space="preserve"> على أنه يتعلق بحقه في اللجوء وفي دخول إسبانيا.</w:t>
      </w:r>
      <w:r w:rsidRPr="000C4DE9">
        <w:rPr>
          <w:rtl/>
          <w:lang w:val="es-ES"/>
        </w:rPr>
        <w:t xml:space="preserve"> </w:t>
      </w:r>
      <w:r w:rsidRPr="000C4DE9">
        <w:rPr>
          <w:rtl/>
        </w:rPr>
        <w:t>ويؤكّد من جديد على أن نطاق هذا البلاغ يقتصر على الإجراءات التي اتخذتها السلطات الإسبانية خلال يوم ٢ كانون الأول/ديسمبر ٢٠١٤ عندما كان خاضعا</w:t>
      </w:r>
      <w:r w:rsidR="003A313D">
        <w:rPr>
          <w:rFonts w:hint="cs"/>
          <w:rtl/>
        </w:rPr>
        <w:t>ً</w:t>
      </w:r>
      <w:r w:rsidRPr="000C4DE9">
        <w:rPr>
          <w:rtl/>
        </w:rPr>
        <w:t xml:space="preserve"> للولاية القضائية الإسبانية.</w:t>
      </w:r>
      <w:r w:rsidRPr="000C4DE9">
        <w:rPr>
          <w:rtl/>
          <w:lang w:val="es-ES"/>
        </w:rPr>
        <w:t xml:space="preserve"> </w:t>
      </w:r>
      <w:bookmarkStart w:id="7" w:name="_Hlk529819551"/>
      <w:bookmarkEnd w:id="7"/>
    </w:p>
    <w:p w:rsidR="000C4DE9" w:rsidRPr="000C4DE9" w:rsidRDefault="000C4DE9" w:rsidP="00ED33F9">
      <w:pPr>
        <w:pStyle w:val="SingleTxtGA"/>
        <w:spacing w:line="370" w:lineRule="exact"/>
        <w:rPr>
          <w:rtl/>
        </w:rPr>
      </w:pPr>
      <w:r w:rsidRPr="000C4DE9">
        <w:rPr>
          <w:rtl/>
        </w:rPr>
        <w:lastRenderedPageBreak/>
        <w:t>٥-٢</w:t>
      </w:r>
      <w:r w:rsidRPr="000C4DE9">
        <w:rPr>
          <w:rtl/>
          <w:lang w:val="es-ES"/>
        </w:rPr>
        <w:tab/>
      </w:r>
      <w:r w:rsidRPr="000C4DE9">
        <w:rPr>
          <w:rtl/>
        </w:rPr>
        <w:t>ويدفع صاحب البلاغ بأن بلاغه مقبول من حيث الاختصاص المكاني لأنه بات خاضعا</w:t>
      </w:r>
      <w:r w:rsidR="003A313D">
        <w:rPr>
          <w:rFonts w:hint="cs"/>
          <w:rtl/>
        </w:rPr>
        <w:t>ً</w:t>
      </w:r>
      <w:r w:rsidRPr="000C4DE9">
        <w:rPr>
          <w:rtl/>
        </w:rPr>
        <w:t xml:space="preserve"> للولاية القضائية الإقليمية الإسبانية عند عبوره السياج الأول لمركز </w:t>
      </w:r>
      <w:proofErr w:type="spellStart"/>
      <w:r w:rsidRPr="000C4DE9">
        <w:rPr>
          <w:rtl/>
        </w:rPr>
        <w:t>مليلية</w:t>
      </w:r>
      <w:proofErr w:type="spellEnd"/>
      <w:r w:rsidRPr="000C4DE9">
        <w:rPr>
          <w:rtl/>
        </w:rPr>
        <w:t xml:space="preserve"> الحدودي وكذا للسيطرة الفعلية لأفراد الحرس المدني الإسباني </w:t>
      </w:r>
      <w:proofErr w:type="spellStart"/>
      <w:r w:rsidRPr="000C4DE9">
        <w:rPr>
          <w:rtl/>
        </w:rPr>
        <w:t>لمليلية</w:t>
      </w:r>
      <w:proofErr w:type="spellEnd"/>
      <w:r w:rsidRPr="000C4DE9">
        <w:rPr>
          <w:rtl/>
        </w:rPr>
        <w:t xml:space="preserve"> عند القبض عليه وتصفيد يديه وترحليه إلى المغرب.</w:t>
      </w:r>
      <w:r w:rsidRPr="000C4DE9">
        <w:rPr>
          <w:rtl/>
          <w:lang w:val="es-ES"/>
        </w:rPr>
        <w:t xml:space="preserve"> </w:t>
      </w:r>
      <w:r w:rsidRPr="000C4DE9">
        <w:rPr>
          <w:rtl/>
        </w:rPr>
        <w:t>ويؤكد صاحب البلاغ أن الدولة الطرف اعترفت بذلك في ملاحظاتها وفي شريط الفيديو الذي يوثق للأحداث وأشير إليه باعتباره دليلا</w:t>
      </w:r>
      <w:r w:rsidR="003A0B20">
        <w:rPr>
          <w:rFonts w:hint="cs"/>
          <w:rtl/>
        </w:rPr>
        <w:t>ً</w:t>
      </w:r>
      <w:r w:rsidRPr="000C4DE9">
        <w:rPr>
          <w:rtl/>
        </w:rPr>
        <w:t>.</w:t>
      </w:r>
      <w:r w:rsidRPr="000C4DE9">
        <w:rPr>
          <w:rtl/>
          <w:lang w:val="es-ES"/>
        </w:rPr>
        <w:t xml:space="preserve"> </w:t>
      </w:r>
      <w:r w:rsidRPr="000C4DE9">
        <w:rPr>
          <w:rtl/>
        </w:rPr>
        <w:t>وهو يزعم أن الدولة الطرف لا يمكنها تقييد التزاماتها بموجب الاتفاقية تقييدا</w:t>
      </w:r>
      <w:r w:rsidR="003A313D">
        <w:rPr>
          <w:rFonts w:hint="cs"/>
          <w:rtl/>
        </w:rPr>
        <w:t>ً</w:t>
      </w:r>
      <w:r w:rsidRPr="000C4DE9">
        <w:rPr>
          <w:rtl/>
        </w:rPr>
        <w:t xml:space="preserve"> تعسّفيا</w:t>
      </w:r>
      <w:r w:rsidR="003A313D">
        <w:rPr>
          <w:rFonts w:hint="cs"/>
          <w:rtl/>
        </w:rPr>
        <w:t>ً</w:t>
      </w:r>
      <w:r w:rsidRPr="000C4DE9">
        <w:rPr>
          <w:rtl/>
        </w:rPr>
        <w:t xml:space="preserve"> ومن جانب واحد بتعريف مناطق أو مساحات محددة على أنها غير خاضعة لولاية الدولة أو تخضع لها جزئياً فقط</w:t>
      </w:r>
      <w:r w:rsidR="00B65ABB" w:rsidRPr="00B65ABB">
        <w:rPr>
          <w:vertAlign w:val="superscript"/>
          <w:rtl/>
        </w:rPr>
        <w:t>(</w:t>
      </w:r>
      <w:r w:rsidR="00B65ABB" w:rsidRPr="000C4DE9">
        <w:rPr>
          <w:vertAlign w:val="superscript"/>
          <w:rtl/>
          <w:lang w:val="es-ES"/>
        </w:rPr>
        <w:footnoteReference w:id="22"/>
      </w:r>
      <w:r w:rsidR="00B65ABB">
        <w:rPr>
          <w:vertAlign w:val="superscript"/>
          <w:rtl/>
          <w:lang w:val="es-ES"/>
        </w:rPr>
        <w:t>)</w:t>
      </w:r>
      <w:r w:rsidR="00B65ABB">
        <w:rPr>
          <w:rtl/>
        </w:rPr>
        <w:t>.</w:t>
      </w:r>
      <w:r w:rsidRPr="000C4DE9">
        <w:rPr>
          <w:rtl/>
          <w:lang w:val="es-ES"/>
        </w:rPr>
        <w:t xml:space="preserve"> </w:t>
      </w:r>
      <w:r w:rsidRPr="000C4DE9">
        <w:rPr>
          <w:rtl/>
        </w:rPr>
        <w:t>ويضيف أنه لا يدّعي أن إسبانيا تتحمل مسؤولية سلوك وإجراءات السلطات المغربية وإنما أنها كانت، أو كان ينبغي أن تكون، على علم بها.</w:t>
      </w:r>
      <w:r w:rsidRPr="000C4DE9">
        <w:rPr>
          <w:rtl/>
          <w:lang w:val="es-ES"/>
        </w:rPr>
        <w:t xml:space="preserve"> </w:t>
      </w:r>
    </w:p>
    <w:p w:rsidR="000C4DE9" w:rsidRPr="000C4DE9" w:rsidRDefault="000C4DE9" w:rsidP="00ED33F9">
      <w:pPr>
        <w:pStyle w:val="SingleTxtGA"/>
        <w:spacing w:line="370" w:lineRule="exact"/>
        <w:rPr>
          <w:rtl/>
        </w:rPr>
      </w:pPr>
      <w:r w:rsidRPr="000C4DE9">
        <w:rPr>
          <w:rtl/>
        </w:rPr>
        <w:t>٥-٣</w:t>
      </w:r>
      <w:r w:rsidRPr="000C4DE9">
        <w:rPr>
          <w:rtl/>
          <w:lang w:val="es-ES"/>
        </w:rPr>
        <w:tab/>
      </w:r>
      <w:r w:rsidRPr="000C4DE9">
        <w:rPr>
          <w:rtl/>
        </w:rPr>
        <w:t>ويدفع صاحب البلاغ بأن بلاغه مقبول من حيث الاختصاص الشخصي لأنه كان قاصرا</w:t>
      </w:r>
      <w:r w:rsidR="003A313D">
        <w:rPr>
          <w:rFonts w:hint="cs"/>
          <w:rtl/>
        </w:rPr>
        <w:t>ً</w:t>
      </w:r>
      <w:r w:rsidRPr="000C4DE9">
        <w:rPr>
          <w:rtl/>
        </w:rPr>
        <w:t xml:space="preserve"> في ٢ كانون الأول/ديسمبر ٢٠١٤ وفقا</w:t>
      </w:r>
      <w:r w:rsidR="003A313D">
        <w:rPr>
          <w:rFonts w:hint="cs"/>
          <w:rtl/>
        </w:rPr>
        <w:t>ً</w:t>
      </w:r>
      <w:r w:rsidRPr="000C4DE9">
        <w:rPr>
          <w:rtl/>
        </w:rPr>
        <w:t xml:space="preserve"> لجواز السفر الصادر عن قنصلية مالي بمدريد في</w:t>
      </w:r>
      <w:r w:rsidR="00D61902">
        <w:rPr>
          <w:rFonts w:hint="cs"/>
          <w:rtl/>
        </w:rPr>
        <w:t> </w:t>
      </w:r>
      <w:r w:rsidRPr="000C4DE9">
        <w:rPr>
          <w:rtl/>
        </w:rPr>
        <w:t>٣ تشرين الأول/أكتوبر ٢٠١٥</w:t>
      </w:r>
      <w:r w:rsidR="00B65ABB" w:rsidRPr="00B65ABB">
        <w:rPr>
          <w:vertAlign w:val="superscript"/>
          <w:rtl/>
        </w:rPr>
        <w:t>(</w:t>
      </w:r>
      <w:r w:rsidR="00B65ABB" w:rsidRPr="000C4DE9">
        <w:rPr>
          <w:vertAlign w:val="superscript"/>
          <w:rtl/>
          <w:lang w:val="es-ES"/>
        </w:rPr>
        <w:footnoteReference w:id="23"/>
      </w:r>
      <w:r w:rsidR="00B65ABB">
        <w:rPr>
          <w:vertAlign w:val="superscript"/>
          <w:rtl/>
          <w:lang w:val="es-ES"/>
        </w:rPr>
        <w:t>)</w:t>
      </w:r>
      <w:r w:rsidR="00B65ABB">
        <w:rPr>
          <w:rtl/>
        </w:rPr>
        <w:t>.</w:t>
      </w:r>
      <w:r w:rsidRPr="000C4DE9">
        <w:rPr>
          <w:rtl/>
          <w:lang w:val="es-ES"/>
        </w:rPr>
        <w:t xml:space="preserve"> </w:t>
      </w:r>
      <w:r w:rsidRPr="000C4DE9">
        <w:rPr>
          <w:rtl/>
        </w:rPr>
        <w:t>وعاملت الدولة الطرف صاحب البلاغ المعاملة المستحقة لطفل غير مصحوب بذويه منذ تموز/يوليه ٢٠١٥، أي تاريخ الإبلاغ بسنه الحقيقي وتأكيده.</w:t>
      </w:r>
      <w:r w:rsidRPr="000C4DE9">
        <w:rPr>
          <w:rtl/>
          <w:lang w:val="es-ES"/>
        </w:rPr>
        <w:t xml:space="preserve"> </w:t>
      </w:r>
      <w:r w:rsidRPr="000C4DE9">
        <w:rPr>
          <w:rtl/>
        </w:rPr>
        <w:t>ومنذ ذلك الوقت، مارست الدولة الطرف الوصاية القانونية على صاحب البلاغ واعترفت به كشخص قاصر يحمل الجنسية المالية، كما هو مبين في شهادة الوصاية الصادرة عن إقليم مدريد</w:t>
      </w:r>
      <w:r w:rsidR="00B65ABB">
        <w:rPr>
          <w:vertAlign w:val="superscript"/>
          <w:rtl/>
          <w:lang w:val="es-ES"/>
        </w:rPr>
        <w:t>(</w:t>
      </w:r>
      <w:r w:rsidR="00B65ABB" w:rsidRPr="000C4DE9">
        <w:rPr>
          <w:vertAlign w:val="superscript"/>
          <w:rtl/>
          <w:lang w:val="es-ES"/>
        </w:rPr>
        <w:footnoteReference w:id="24"/>
      </w:r>
      <w:r w:rsidR="00B65ABB">
        <w:rPr>
          <w:vertAlign w:val="superscript"/>
          <w:rtl/>
          <w:lang w:val="es-ES"/>
        </w:rPr>
        <w:t>)</w:t>
      </w:r>
      <w:r w:rsidRPr="000C4DE9">
        <w:rPr>
          <w:rtl/>
        </w:rPr>
        <w:t xml:space="preserve"> وفي تصريح إقامته الإسباني</w:t>
      </w:r>
      <w:r w:rsidR="00B65ABB" w:rsidRPr="00B65ABB">
        <w:rPr>
          <w:vertAlign w:val="superscript"/>
          <w:rtl/>
        </w:rPr>
        <w:t>(</w:t>
      </w:r>
      <w:r w:rsidR="00B65ABB" w:rsidRPr="000C4DE9">
        <w:rPr>
          <w:vertAlign w:val="superscript"/>
          <w:rtl/>
          <w:lang w:val="es-ES"/>
        </w:rPr>
        <w:footnoteReference w:id="25"/>
      </w:r>
      <w:r w:rsidR="00B65ABB">
        <w:rPr>
          <w:vertAlign w:val="superscript"/>
          <w:rtl/>
          <w:lang w:val="es-ES"/>
        </w:rPr>
        <w:t>)</w:t>
      </w:r>
      <w:r w:rsidR="00B65ABB">
        <w:rPr>
          <w:rtl/>
        </w:rPr>
        <w:t>.</w:t>
      </w:r>
      <w:r w:rsidRPr="000C4DE9">
        <w:rPr>
          <w:rtl/>
          <w:lang w:val="es-ES"/>
        </w:rPr>
        <w:t xml:space="preserve"> </w:t>
      </w:r>
      <w:r w:rsidRPr="000C4DE9">
        <w:rPr>
          <w:rtl/>
        </w:rPr>
        <w:t>ولا يمكن للدولة الطرف أن تدعي أن صاحب البلاغ غير قاصر وفقا</w:t>
      </w:r>
      <w:r w:rsidR="003A313D">
        <w:rPr>
          <w:rFonts w:hint="cs"/>
          <w:rtl/>
        </w:rPr>
        <w:t>ً</w:t>
      </w:r>
      <w:r w:rsidRPr="000C4DE9">
        <w:rPr>
          <w:rtl/>
        </w:rPr>
        <w:t xml:space="preserve"> لمبدأ عدم الرجوع عن أقوال مثبتة سابقا</w:t>
      </w:r>
      <w:r w:rsidR="003A313D">
        <w:rPr>
          <w:rFonts w:hint="cs"/>
          <w:rtl/>
        </w:rPr>
        <w:t>ً</w:t>
      </w:r>
      <w:r w:rsidRPr="000C4DE9">
        <w:rPr>
          <w:rtl/>
        </w:rPr>
        <w:t xml:space="preserve"> أو الإغلاق الحكمي، لأنها اعترفت به بالفعل كقاصر وعاملته على هذا الأساس.</w:t>
      </w:r>
      <w:r w:rsidRPr="000C4DE9">
        <w:rPr>
          <w:rtl/>
          <w:lang w:val="es-ES"/>
        </w:rPr>
        <w:t xml:space="preserve"> </w:t>
      </w:r>
    </w:p>
    <w:p w:rsidR="000C4DE9" w:rsidRPr="000C4DE9" w:rsidRDefault="000C4DE9" w:rsidP="00ED33F9">
      <w:pPr>
        <w:pStyle w:val="SingleTxtGA"/>
        <w:spacing w:line="370" w:lineRule="exact"/>
        <w:rPr>
          <w:rtl/>
        </w:rPr>
      </w:pPr>
      <w:r w:rsidRPr="000C4DE9">
        <w:rPr>
          <w:rtl/>
        </w:rPr>
        <w:t>٥-٤</w:t>
      </w:r>
      <w:r w:rsidRPr="000C4DE9">
        <w:rPr>
          <w:rtl/>
          <w:lang w:val="es-ES"/>
        </w:rPr>
        <w:tab/>
      </w:r>
      <w:r w:rsidRPr="000C4DE9">
        <w:rPr>
          <w:rtl/>
        </w:rPr>
        <w:t>ويدفع صاحب البلاغ أيضا</w:t>
      </w:r>
      <w:r w:rsidR="003A313D">
        <w:rPr>
          <w:rFonts w:hint="cs"/>
          <w:rtl/>
        </w:rPr>
        <w:t>ً</w:t>
      </w:r>
      <w:r w:rsidRPr="000C4DE9">
        <w:rPr>
          <w:rtl/>
        </w:rPr>
        <w:t xml:space="preserve"> بأن البلاغ مقبول من حيث الاختصاص الموضوعي لأن ادّعاءاته لا تستند إلى حقه في اللجوء.</w:t>
      </w:r>
      <w:r w:rsidRPr="000C4DE9">
        <w:rPr>
          <w:rtl/>
          <w:lang w:val="es-ES"/>
        </w:rPr>
        <w:t xml:space="preserve"> </w:t>
      </w:r>
    </w:p>
    <w:p w:rsidR="000C4DE9" w:rsidRPr="000C4DE9" w:rsidRDefault="000C4DE9" w:rsidP="00ED33F9">
      <w:pPr>
        <w:pStyle w:val="SingleTxtGA"/>
        <w:spacing w:line="370" w:lineRule="exact"/>
        <w:rPr>
          <w:rtl/>
        </w:rPr>
      </w:pPr>
      <w:r w:rsidRPr="000C4DE9">
        <w:rPr>
          <w:rtl/>
        </w:rPr>
        <w:t>٥-٥</w:t>
      </w:r>
      <w:r w:rsidRPr="000C4DE9">
        <w:rPr>
          <w:rtl/>
          <w:lang w:val="es-ES"/>
        </w:rPr>
        <w:tab/>
      </w:r>
      <w:r w:rsidRPr="000C4DE9">
        <w:rPr>
          <w:rtl/>
        </w:rPr>
        <w:t>ويكرر صاحب البلاغ أنه لم يكن يتاح له أي سبيل انتصاف محلي فعال لكي يمكنه استنفاده.</w:t>
      </w:r>
      <w:r w:rsidRPr="000C4DE9">
        <w:rPr>
          <w:rtl/>
          <w:lang w:val="es-ES"/>
        </w:rPr>
        <w:t xml:space="preserve"> </w:t>
      </w:r>
      <w:r w:rsidRPr="000C4DE9">
        <w:rPr>
          <w:rtl/>
        </w:rPr>
        <w:t>ويشير إلى أن سبيل الانتصاف الفعال الوحيد هو الذي يكون له أثر إيقافي.</w:t>
      </w:r>
      <w:r w:rsidRPr="000C4DE9">
        <w:rPr>
          <w:rtl/>
          <w:lang w:val="es-ES"/>
        </w:rPr>
        <w:t xml:space="preserve"> </w:t>
      </w:r>
      <w:r w:rsidRPr="000C4DE9">
        <w:rPr>
          <w:rtl/>
        </w:rPr>
        <w:t>ويدفع صاحب البلاغ بأن الضرر الذي يترتب على عملية إبعاد ولا يمكن جبره يحدث بعيد الطرد، ومن ثم ينبغي أن يكون لسبيل الانتصاف أثر إيقافي كي يعتبر فعالا</w:t>
      </w:r>
      <w:r w:rsidR="003A0B20">
        <w:rPr>
          <w:rFonts w:hint="cs"/>
          <w:rtl/>
        </w:rPr>
        <w:t>ً</w:t>
      </w:r>
      <w:r w:rsidR="00B65ABB" w:rsidRPr="00B65ABB">
        <w:rPr>
          <w:vertAlign w:val="superscript"/>
          <w:rtl/>
        </w:rPr>
        <w:t>(</w:t>
      </w:r>
      <w:r w:rsidR="00B65ABB" w:rsidRPr="000C4DE9">
        <w:rPr>
          <w:vertAlign w:val="superscript"/>
          <w:rtl/>
          <w:lang w:val="es-ES"/>
        </w:rPr>
        <w:footnoteReference w:id="26"/>
      </w:r>
      <w:r w:rsidR="00B65ABB">
        <w:rPr>
          <w:vertAlign w:val="superscript"/>
          <w:rtl/>
          <w:lang w:val="es-ES"/>
        </w:rPr>
        <w:t>)</w:t>
      </w:r>
      <w:r w:rsidR="00B65ABB">
        <w:rPr>
          <w:rtl/>
        </w:rPr>
        <w:t>.</w:t>
      </w:r>
      <w:r w:rsidRPr="000C4DE9">
        <w:rPr>
          <w:rtl/>
          <w:lang w:val="es-ES"/>
        </w:rPr>
        <w:t xml:space="preserve"> </w:t>
      </w:r>
      <w:r w:rsidRPr="000C4DE9">
        <w:rPr>
          <w:rtl/>
        </w:rPr>
        <w:t>ويدعي صاحب البلاغ ما يلي: (أ) عدم تلقيه رسميا</w:t>
      </w:r>
      <w:r w:rsidR="003A0B20">
        <w:rPr>
          <w:rFonts w:hint="cs"/>
          <w:rtl/>
        </w:rPr>
        <w:t>ً</w:t>
      </w:r>
      <w:r w:rsidRPr="000C4DE9">
        <w:rPr>
          <w:rtl/>
        </w:rPr>
        <w:t>، قبل ترحيله، أمر أو قرار طرد يمكنه الطعن فيه أمام سلطة قضائية أو إدارية؛</w:t>
      </w:r>
      <w:r w:rsidRPr="000C4DE9">
        <w:rPr>
          <w:rtl/>
          <w:lang w:val="es-ES"/>
        </w:rPr>
        <w:t xml:space="preserve"> </w:t>
      </w:r>
      <w:r w:rsidRPr="000C4DE9">
        <w:rPr>
          <w:rtl/>
        </w:rPr>
        <w:t>وبالنظر إلى أن أمر ترحيله نُفّذ على الفور وبموجب إجراءات موجزة، فإنه يستطع الاستفادة من أي سبيل من سبل المساعدة القانونية أو سبل الانتصاف المتاحة لتعليقه؛</w:t>
      </w:r>
      <w:r w:rsidRPr="000C4DE9">
        <w:rPr>
          <w:rtl/>
          <w:lang w:val="es-ES"/>
        </w:rPr>
        <w:t xml:space="preserve"> </w:t>
      </w:r>
      <w:r w:rsidRPr="000C4DE9">
        <w:rPr>
          <w:rtl/>
        </w:rPr>
        <w:t>و(ب)</w:t>
      </w:r>
      <w:r w:rsidR="00D61902">
        <w:rPr>
          <w:rFonts w:hint="cs"/>
          <w:rtl/>
        </w:rPr>
        <w:t> </w:t>
      </w:r>
      <w:r w:rsidRPr="000C4DE9">
        <w:rPr>
          <w:rtl/>
        </w:rPr>
        <w:t>عدم تمكنه، بعد إبعاده، من الوصول إلى أي سبيل انتصاف فعال أو حتى ممكن، لأنه لن يكون له أثر إيقافي كون الترحيل نُفّذ بالفعل</w:t>
      </w:r>
      <w:r w:rsidR="00B65ABB" w:rsidRPr="00B65ABB">
        <w:rPr>
          <w:vertAlign w:val="superscript"/>
          <w:rtl/>
        </w:rPr>
        <w:t>(</w:t>
      </w:r>
      <w:r w:rsidR="00B65ABB" w:rsidRPr="000C4DE9">
        <w:rPr>
          <w:vertAlign w:val="superscript"/>
          <w:rtl/>
          <w:lang w:val="es-ES"/>
        </w:rPr>
        <w:footnoteReference w:id="27"/>
      </w:r>
      <w:r w:rsidR="00B65ABB">
        <w:rPr>
          <w:vertAlign w:val="superscript"/>
          <w:rtl/>
          <w:lang w:val="es-ES"/>
        </w:rPr>
        <w:t>)</w:t>
      </w:r>
      <w:r w:rsidR="00B65ABB">
        <w:rPr>
          <w:rtl/>
        </w:rPr>
        <w:t>.</w:t>
      </w:r>
      <w:r w:rsidRPr="000C4DE9">
        <w:rPr>
          <w:rtl/>
          <w:lang w:val="es-ES"/>
        </w:rPr>
        <w:t xml:space="preserve"> </w:t>
      </w:r>
      <w:r w:rsidRPr="000C4DE9">
        <w:rPr>
          <w:rtl/>
        </w:rPr>
        <w:t>ويدّعي صاحب البلاغ أيضا</w:t>
      </w:r>
      <w:r w:rsidR="003A313D">
        <w:rPr>
          <w:rFonts w:hint="cs"/>
          <w:rtl/>
        </w:rPr>
        <w:t>ً</w:t>
      </w:r>
      <w:r w:rsidRPr="000C4DE9">
        <w:rPr>
          <w:rtl/>
        </w:rPr>
        <w:t xml:space="preserve"> أن جميع </w:t>
      </w:r>
      <w:r w:rsidRPr="000C4DE9">
        <w:rPr>
          <w:rtl/>
        </w:rPr>
        <w:lastRenderedPageBreak/>
        <w:t>سبل الانتصاف التي أشارت إليها الدولة الطرف غير فعالة لأنها لن تسمح بجبر الانتهاكات المزعومة لحقوق صاحب البلاغ فيما يتعلق بأحداث ٢ كانون الأول/ديسمبر ٢٠١٤.</w:t>
      </w:r>
      <w:r w:rsidRPr="000C4DE9">
        <w:rPr>
          <w:rtl/>
          <w:lang w:val="es-ES"/>
        </w:rPr>
        <w:t xml:space="preserve"> </w:t>
      </w:r>
    </w:p>
    <w:p w:rsidR="000C4DE9" w:rsidRPr="000C4DE9" w:rsidRDefault="000C4DE9" w:rsidP="000C4DE9">
      <w:pPr>
        <w:pStyle w:val="SingleTxtGA"/>
        <w:rPr>
          <w:rtl/>
        </w:rPr>
      </w:pPr>
      <w:r w:rsidRPr="000C4DE9">
        <w:rPr>
          <w:rtl/>
        </w:rPr>
        <w:t>٥-٦</w:t>
      </w:r>
      <w:r w:rsidRPr="000C4DE9">
        <w:rPr>
          <w:rtl/>
          <w:lang w:val="es-ES"/>
        </w:rPr>
        <w:tab/>
      </w:r>
      <w:r w:rsidRPr="000C4DE9">
        <w:rPr>
          <w:rtl/>
        </w:rPr>
        <w:t>ويدفع صاحب البلاغ بأن عملية دخوله إسبانيا في ٣٠ كانون الأول/ديسمبر ٢٠١٤ وما تبعها من إجراءات متعلقة بالهجرة مسائل لا صلة لها بهذا البلاغ.</w:t>
      </w:r>
      <w:r w:rsidRPr="000C4DE9">
        <w:rPr>
          <w:rtl/>
          <w:lang w:val="es-ES"/>
        </w:rPr>
        <w:t xml:space="preserve"> </w:t>
      </w:r>
    </w:p>
    <w:p w:rsidR="000C4DE9" w:rsidRPr="000C4DE9" w:rsidRDefault="000C4DE9" w:rsidP="001E3F43">
      <w:pPr>
        <w:pStyle w:val="H23GA"/>
        <w:keepNext/>
        <w:keepLines/>
        <w:spacing w:before="240"/>
        <w:rPr>
          <w:rtl/>
        </w:rPr>
      </w:pPr>
      <w:r w:rsidRPr="000C4DE9">
        <w:rPr>
          <w:rtl/>
          <w:lang w:val="es-ES"/>
        </w:rPr>
        <w:tab/>
      </w:r>
      <w:r w:rsidRPr="000C4DE9">
        <w:rPr>
          <w:rtl/>
          <w:lang w:val="es-ES"/>
        </w:rPr>
        <w:tab/>
      </w:r>
      <w:r w:rsidRPr="000C4DE9">
        <w:rPr>
          <w:rtl/>
        </w:rPr>
        <w:t>الملاحظات الإضافية المقدمة من الأطراف بشأن المقبولية</w:t>
      </w:r>
    </w:p>
    <w:p w:rsidR="000C4DE9" w:rsidRPr="00ED33F9" w:rsidRDefault="000C4DE9" w:rsidP="000C4DE9">
      <w:pPr>
        <w:pStyle w:val="SingleTxtGA"/>
        <w:rPr>
          <w:b/>
          <w:spacing w:val="-2"/>
          <w:rtl/>
        </w:rPr>
      </w:pPr>
      <w:r w:rsidRPr="000C4DE9">
        <w:rPr>
          <w:rtl/>
        </w:rPr>
        <w:t>٦-١</w:t>
      </w:r>
      <w:r w:rsidRPr="000C4DE9">
        <w:rPr>
          <w:rtl/>
          <w:lang w:val="es-ES"/>
        </w:rPr>
        <w:tab/>
      </w:r>
      <w:r w:rsidRPr="000C4DE9">
        <w:rPr>
          <w:rtl/>
        </w:rPr>
        <w:t>تؤكد الدولة الطرف، في ملاحظاتها المؤرخة ٢٢ آذار/مارس ٢٠١٧، أن الشخص الذي دخل إسبانيا في ٣٠ كانون الأول/ديسمبر ٢٠١٤ ليس هو صاحب البلاغ القاصر الذي كان يستفيد رسميا</w:t>
      </w:r>
      <w:r w:rsidR="00096681">
        <w:rPr>
          <w:rFonts w:hint="cs"/>
          <w:rtl/>
        </w:rPr>
        <w:t>ً</w:t>
      </w:r>
      <w:r w:rsidRPr="000C4DE9">
        <w:rPr>
          <w:rtl/>
        </w:rPr>
        <w:t xml:space="preserve"> من مساعدة السلطات الإسبانية.</w:t>
      </w:r>
      <w:r w:rsidRPr="000C4DE9">
        <w:rPr>
          <w:rtl/>
          <w:lang w:val="es-ES"/>
        </w:rPr>
        <w:t xml:space="preserve"> </w:t>
      </w:r>
      <w:r w:rsidRPr="000C4DE9">
        <w:rPr>
          <w:rtl/>
        </w:rPr>
        <w:t>وتشير الدولة الطرف إلى أن جواز السفر المقدم من صاحب البلاغ صادر في ٣ تشرين الأول/أكتوبر ٢٠١٥ ويتضمن صورة له عندما كان مقيما</w:t>
      </w:r>
      <w:r w:rsidR="00096681">
        <w:rPr>
          <w:rFonts w:hint="cs"/>
          <w:rtl/>
        </w:rPr>
        <w:t>ً</w:t>
      </w:r>
      <w:r w:rsidRPr="000C4DE9">
        <w:rPr>
          <w:rtl/>
        </w:rPr>
        <w:t xml:space="preserve"> في إسبانيا ويستفيد من مساعدة السلطات الإسبانية المكلفة بحماية الأطفال.</w:t>
      </w:r>
      <w:r w:rsidRPr="000C4DE9">
        <w:rPr>
          <w:rtl/>
          <w:lang w:val="es-ES"/>
        </w:rPr>
        <w:t xml:space="preserve"> </w:t>
      </w:r>
      <w:r w:rsidRPr="000C4DE9">
        <w:rPr>
          <w:rtl/>
        </w:rPr>
        <w:t>وتدّعي الدولة الطرف أنه يمكن، "بمجرد المقارنة" بين صورة جواز سفر صاحب البلاغ (المقابل لـ د.</w:t>
      </w:r>
      <w:r w:rsidR="00ED33F9">
        <w:rPr>
          <w:rFonts w:hint="cs"/>
          <w:rtl/>
        </w:rPr>
        <w:t xml:space="preserve"> </w:t>
      </w:r>
      <w:r w:rsidRPr="000C4DE9">
        <w:rPr>
          <w:rtl/>
        </w:rPr>
        <w:t xml:space="preserve">د.) وصورة بطاقة الهوية الصادرة عن مفوضية الأجانب </w:t>
      </w:r>
      <w:proofErr w:type="spellStart"/>
      <w:r w:rsidRPr="000C4DE9">
        <w:rPr>
          <w:rtl/>
        </w:rPr>
        <w:t>لمليلية</w:t>
      </w:r>
      <w:proofErr w:type="spellEnd"/>
      <w:r w:rsidRPr="000C4DE9">
        <w:rPr>
          <w:rtl/>
        </w:rPr>
        <w:t xml:space="preserve"> (المقابلة لـ ي. د. الذي دخل إسبانيا في ٣٠ كانون الأول/ديسمبر ٢٠١٤)، الملاحظة أن صاحب البلاغ شخص مختلف عن ذلك الذي قفز السياج الحدودي </w:t>
      </w:r>
      <w:proofErr w:type="spellStart"/>
      <w:r w:rsidRPr="000C4DE9">
        <w:rPr>
          <w:rtl/>
        </w:rPr>
        <w:t>لمليلية</w:t>
      </w:r>
      <w:proofErr w:type="spellEnd"/>
      <w:r w:rsidRPr="000C4DE9">
        <w:rPr>
          <w:rtl/>
        </w:rPr>
        <w:t xml:space="preserve"> في ٣٠ كانون الأول/ديسمبر ٢٠١٤.</w:t>
      </w:r>
      <w:r w:rsidRPr="000C4DE9">
        <w:rPr>
          <w:rtl/>
          <w:lang w:val="es-ES"/>
        </w:rPr>
        <w:t xml:space="preserve"> </w:t>
      </w:r>
      <w:r w:rsidRPr="00ED33F9">
        <w:rPr>
          <w:spacing w:val="-2"/>
          <w:rtl/>
        </w:rPr>
        <w:t>وتدفع الدولة الطرف بأن "السلطات الإسبانية تحدد هوية أي مهاجر يقفز على السياج ويخترق جهاز حماية الحدود".</w:t>
      </w:r>
      <w:r w:rsidRPr="00ED33F9">
        <w:rPr>
          <w:spacing w:val="-2"/>
          <w:rtl/>
          <w:lang w:val="es-ES"/>
        </w:rPr>
        <w:t xml:space="preserve"> </w:t>
      </w:r>
      <w:r w:rsidRPr="00ED33F9">
        <w:rPr>
          <w:spacing w:val="-2"/>
          <w:rtl/>
        </w:rPr>
        <w:t xml:space="preserve">وبناء عليه، تقول الدولة الطرف إن صاحب البلاغ، في حال كان قد عبر السياج الحدودي بصورة غير قانونية "كان سيسجّل وتلتقط له صورة فوتوغرافية على الفور بمركز شرطة </w:t>
      </w:r>
      <w:proofErr w:type="spellStart"/>
      <w:r w:rsidRPr="00ED33F9">
        <w:rPr>
          <w:spacing w:val="-2"/>
          <w:rtl/>
        </w:rPr>
        <w:t>مليلية</w:t>
      </w:r>
      <w:proofErr w:type="spellEnd"/>
      <w:r w:rsidRPr="00ED33F9">
        <w:rPr>
          <w:spacing w:val="-2"/>
          <w:rtl/>
        </w:rPr>
        <w:t xml:space="preserve"> ويودع مركز الإقامة المؤقتة".</w:t>
      </w:r>
      <w:r w:rsidRPr="00ED33F9">
        <w:rPr>
          <w:spacing w:val="-2"/>
          <w:rtl/>
          <w:lang w:val="es-ES"/>
        </w:rPr>
        <w:t xml:space="preserve"> </w:t>
      </w:r>
      <w:r w:rsidRPr="00ED33F9">
        <w:rPr>
          <w:spacing w:val="-2"/>
          <w:rtl/>
        </w:rPr>
        <w:t>وتدّعي الدولة الطرف أيضا</w:t>
      </w:r>
      <w:r w:rsidR="00096681" w:rsidRPr="00ED33F9">
        <w:rPr>
          <w:rFonts w:hint="cs"/>
          <w:spacing w:val="-2"/>
          <w:rtl/>
        </w:rPr>
        <w:t>ً</w:t>
      </w:r>
      <w:r w:rsidRPr="00ED33F9">
        <w:rPr>
          <w:spacing w:val="-2"/>
          <w:rtl/>
        </w:rPr>
        <w:t xml:space="preserve"> أن صاحب البلاغ لم يثبت أنه شارك في أي هجوم على السياج الحدودي </w:t>
      </w:r>
      <w:proofErr w:type="spellStart"/>
      <w:r w:rsidRPr="00ED33F9">
        <w:rPr>
          <w:spacing w:val="-2"/>
          <w:rtl/>
        </w:rPr>
        <w:t>لمليلية</w:t>
      </w:r>
      <w:proofErr w:type="spellEnd"/>
      <w:r w:rsidRPr="00ED33F9">
        <w:rPr>
          <w:spacing w:val="-2"/>
          <w:rtl/>
        </w:rPr>
        <w:t xml:space="preserve"> وأنه لا يوجد أي أثر لطريقة دخوله إسبانيا.</w:t>
      </w:r>
      <w:r w:rsidRPr="00ED33F9">
        <w:rPr>
          <w:spacing w:val="-2"/>
          <w:rtl/>
          <w:lang w:val="es-ES"/>
        </w:rPr>
        <w:t xml:space="preserve"> </w:t>
      </w:r>
      <w:r w:rsidRPr="00ED33F9">
        <w:rPr>
          <w:spacing w:val="-2"/>
          <w:rtl/>
        </w:rPr>
        <w:t>وتدفع الدولة الطرف أيضا</w:t>
      </w:r>
      <w:r w:rsidR="00096681" w:rsidRPr="00ED33F9">
        <w:rPr>
          <w:rFonts w:hint="cs"/>
          <w:spacing w:val="-2"/>
          <w:rtl/>
        </w:rPr>
        <w:t>ً</w:t>
      </w:r>
      <w:r w:rsidRPr="00ED33F9">
        <w:rPr>
          <w:spacing w:val="-2"/>
          <w:rtl/>
        </w:rPr>
        <w:t xml:space="preserve"> بأنه لا يمكن قبول الوقائع لمجرد تأكيد صاحب البلاغ أنه قاصر.</w:t>
      </w:r>
    </w:p>
    <w:p w:rsidR="000C4DE9" w:rsidRPr="000C4DE9" w:rsidRDefault="000C4DE9" w:rsidP="000C4DE9">
      <w:pPr>
        <w:pStyle w:val="SingleTxtGA"/>
        <w:rPr>
          <w:rtl/>
        </w:rPr>
      </w:pPr>
      <w:r w:rsidRPr="000C4DE9">
        <w:rPr>
          <w:rtl/>
        </w:rPr>
        <w:t>٦-٢</w:t>
      </w:r>
      <w:r w:rsidRPr="000C4DE9">
        <w:rPr>
          <w:rtl/>
          <w:lang w:val="es-ES"/>
        </w:rPr>
        <w:tab/>
      </w:r>
      <w:r w:rsidRPr="000C4DE9">
        <w:rPr>
          <w:rtl/>
        </w:rPr>
        <w:t>وتنفي الدولة الطرف إعادة صاحب البلاغ إلى المغرب.</w:t>
      </w:r>
      <w:r w:rsidRPr="000C4DE9">
        <w:rPr>
          <w:rtl/>
          <w:lang w:val="es-ES"/>
        </w:rPr>
        <w:t xml:space="preserve"> </w:t>
      </w:r>
      <w:r w:rsidRPr="000C4DE9">
        <w:rPr>
          <w:rtl/>
        </w:rPr>
        <w:t>وتدعي أنه لم يقدم أي دليل يثبت أنه شارك في اقتحام غير قانوني للسياج الحدودي "ناهيك عن أنه شارك فيه في التواريخ المذكورة في الرسالة الأولى".</w:t>
      </w:r>
      <w:r w:rsidRPr="000C4DE9">
        <w:rPr>
          <w:rtl/>
          <w:lang w:val="es-ES"/>
        </w:rPr>
        <w:t xml:space="preserve"> </w:t>
      </w:r>
    </w:p>
    <w:p w:rsidR="000C4DE9" w:rsidRPr="000C4DE9" w:rsidRDefault="000C4DE9" w:rsidP="000C4DE9">
      <w:pPr>
        <w:pStyle w:val="SingleTxtGA"/>
        <w:rPr>
          <w:b/>
          <w:rtl/>
        </w:rPr>
      </w:pPr>
      <w:r w:rsidRPr="000C4DE9">
        <w:rPr>
          <w:rtl/>
        </w:rPr>
        <w:t>٧-١</w:t>
      </w:r>
      <w:r w:rsidRPr="000C4DE9">
        <w:rPr>
          <w:rtl/>
          <w:lang w:val="es-ES"/>
        </w:rPr>
        <w:tab/>
      </w:r>
      <w:r w:rsidRPr="000C4DE9">
        <w:rPr>
          <w:rtl/>
        </w:rPr>
        <w:t>ويبين صاحب البلاغ، في تعليقاته المؤرخة ٥ أيار/مايو ٢٠١٧، أن الدولة الطرف قدمت ادعاءات متضاربة.</w:t>
      </w:r>
      <w:r w:rsidRPr="000C4DE9">
        <w:rPr>
          <w:rtl/>
          <w:lang w:val="es-ES"/>
        </w:rPr>
        <w:t xml:space="preserve"> </w:t>
      </w:r>
      <w:r w:rsidRPr="000C4DE9">
        <w:rPr>
          <w:rtl/>
        </w:rPr>
        <w:t xml:space="preserve">ويشير إلى أن الدولة الطرف تدعي في ملاحظاتها الأولية أن صاحب البلاغ هو الشخص الذي سجلته في مركز الإقامة المؤقتة وفي مركز شرطة </w:t>
      </w:r>
      <w:proofErr w:type="spellStart"/>
      <w:r w:rsidRPr="000C4DE9">
        <w:rPr>
          <w:rtl/>
        </w:rPr>
        <w:t>مليلية</w:t>
      </w:r>
      <w:proofErr w:type="spellEnd"/>
      <w:r w:rsidRPr="000C4DE9">
        <w:rPr>
          <w:rtl/>
        </w:rPr>
        <w:t xml:space="preserve"> في ٣٠ كانون الأول/ديسمبر ٢٠١٤، وأنه لم يكن قاصرا</w:t>
      </w:r>
      <w:r w:rsidR="003A0B20">
        <w:rPr>
          <w:rFonts w:hint="cs"/>
          <w:rtl/>
        </w:rPr>
        <w:t>ً</w:t>
      </w:r>
      <w:r w:rsidRPr="000C4DE9">
        <w:rPr>
          <w:rtl/>
        </w:rPr>
        <w:t>.</w:t>
      </w:r>
      <w:r w:rsidRPr="000C4DE9">
        <w:rPr>
          <w:rtl/>
          <w:lang w:val="es-ES"/>
        </w:rPr>
        <w:t xml:space="preserve"> </w:t>
      </w:r>
      <w:r w:rsidRPr="000C4DE9">
        <w:rPr>
          <w:rtl/>
        </w:rPr>
        <w:t>وفي المقابل، تدّعي، في ملاحظاتها الإضافية، أن صاحب البلاغ ليس هو الشخص الذي سجلته السلطات الإسبانية في ٣٠ كانون الأول/</w:t>
      </w:r>
      <w:r w:rsidR="00D61902">
        <w:rPr>
          <w:rFonts w:hint="cs"/>
          <w:rtl/>
        </w:rPr>
        <w:t xml:space="preserve"> </w:t>
      </w:r>
      <w:r w:rsidRPr="000C4DE9">
        <w:rPr>
          <w:rtl/>
        </w:rPr>
        <w:t>ديسمبر ٢٠١٤.</w:t>
      </w:r>
      <w:r w:rsidRPr="000C4DE9">
        <w:rPr>
          <w:rtl/>
          <w:lang w:val="es-ES"/>
        </w:rPr>
        <w:t xml:space="preserve"> </w:t>
      </w:r>
      <w:r w:rsidRPr="000C4DE9">
        <w:rPr>
          <w:rtl/>
        </w:rPr>
        <w:t xml:space="preserve">وتناقض الدولة الطرف نفسها لتحويل الانتباه عن مسألة إبعاد صاحب البلاغ في </w:t>
      </w:r>
      <w:r w:rsidRPr="000C4DE9">
        <w:rPr>
          <w:rtl/>
          <w:lang w:val="es-ES"/>
        </w:rPr>
        <w:t>2</w:t>
      </w:r>
      <w:r w:rsidRPr="000C4DE9">
        <w:rPr>
          <w:rtl/>
        </w:rPr>
        <w:t xml:space="preserve"> كانون الأول/ديسمبر ٢٠١٤ بموجب إجراءات موجزة، وهي المسألة التي يتعلق بها هذا البلاغ.</w:t>
      </w:r>
      <w:r w:rsidRPr="000C4DE9">
        <w:rPr>
          <w:rtl/>
          <w:lang w:val="es-ES"/>
        </w:rPr>
        <w:t xml:space="preserve"> </w:t>
      </w:r>
    </w:p>
    <w:p w:rsidR="000C4DE9" w:rsidRPr="000C4DE9" w:rsidRDefault="000C4DE9" w:rsidP="000C4DE9">
      <w:pPr>
        <w:pStyle w:val="SingleTxtGA"/>
        <w:rPr>
          <w:rtl/>
        </w:rPr>
      </w:pPr>
      <w:r w:rsidRPr="000C4DE9">
        <w:rPr>
          <w:rtl/>
        </w:rPr>
        <w:t>٧-٢</w:t>
      </w:r>
      <w:r w:rsidRPr="000C4DE9">
        <w:rPr>
          <w:rtl/>
          <w:lang w:val="es-ES"/>
        </w:rPr>
        <w:tab/>
      </w:r>
      <w:r w:rsidRPr="000C4DE9">
        <w:rPr>
          <w:rtl/>
        </w:rPr>
        <w:t>ويشير صاحب البلاغ إلى أنه قدم صورا</w:t>
      </w:r>
      <w:r w:rsidR="00096681">
        <w:rPr>
          <w:rFonts w:hint="cs"/>
          <w:rtl/>
        </w:rPr>
        <w:t>ً</w:t>
      </w:r>
      <w:r w:rsidRPr="000C4DE9">
        <w:rPr>
          <w:rtl/>
        </w:rPr>
        <w:t xml:space="preserve"> فوتوغرافية تثبت إبعاده في ٢ كانون الأول/</w:t>
      </w:r>
      <w:r w:rsidR="00D61902">
        <w:rPr>
          <w:rFonts w:hint="cs"/>
          <w:rtl/>
        </w:rPr>
        <w:t xml:space="preserve"> </w:t>
      </w:r>
      <w:r w:rsidRPr="000C4DE9">
        <w:rPr>
          <w:rtl/>
        </w:rPr>
        <w:t>ديسمبر ٢٠١٤ وإلى أنه يظهر فيها</w:t>
      </w:r>
      <w:r w:rsidR="00B65ABB" w:rsidRPr="00B65ABB">
        <w:rPr>
          <w:vertAlign w:val="superscript"/>
          <w:rtl/>
        </w:rPr>
        <w:t>(</w:t>
      </w:r>
      <w:r w:rsidR="00B65ABB" w:rsidRPr="000C4DE9">
        <w:rPr>
          <w:vertAlign w:val="superscript"/>
          <w:rtl/>
          <w:lang w:val="es-ES"/>
        </w:rPr>
        <w:footnoteReference w:id="28"/>
      </w:r>
      <w:r w:rsidR="00B65ABB">
        <w:rPr>
          <w:vertAlign w:val="superscript"/>
          <w:rtl/>
          <w:lang w:val="es-ES"/>
        </w:rPr>
        <w:t>)</w:t>
      </w:r>
      <w:r w:rsidR="00B65ABB">
        <w:rPr>
          <w:rtl/>
        </w:rPr>
        <w:t>.</w:t>
      </w:r>
      <w:r w:rsidRPr="000C4DE9">
        <w:rPr>
          <w:rtl/>
          <w:lang w:val="es-ES"/>
        </w:rPr>
        <w:t xml:space="preserve"> </w:t>
      </w:r>
      <w:r w:rsidRPr="000C4DE9">
        <w:rPr>
          <w:rtl/>
        </w:rPr>
        <w:t xml:space="preserve">وهو يضيف أن الدولة الطرف نفسها اعترفت أنه أعيد </w:t>
      </w:r>
      <w:r w:rsidRPr="000C4DE9">
        <w:rPr>
          <w:rtl/>
        </w:rPr>
        <w:lastRenderedPageBreak/>
        <w:t>في ٢ كانون الأول/ديسمبر ٢٠١٤ إلى المغرب من قبل الحرس المدني الإسباني ولم تنف أن يكون الشخص الذي ظهر في شريط الفيديو الذي ذكرته الدولة الطرف نفسها هو صاحب البلاغ</w:t>
      </w:r>
      <w:r w:rsidR="00B65ABB" w:rsidRPr="00B65ABB">
        <w:rPr>
          <w:vertAlign w:val="superscript"/>
          <w:rtl/>
        </w:rPr>
        <w:t>(</w:t>
      </w:r>
      <w:r w:rsidR="00B65ABB" w:rsidRPr="000C4DE9">
        <w:rPr>
          <w:vertAlign w:val="superscript"/>
          <w:rtl/>
          <w:lang w:val="es-ES"/>
        </w:rPr>
        <w:footnoteReference w:id="29"/>
      </w:r>
      <w:r w:rsidR="00B65ABB">
        <w:rPr>
          <w:vertAlign w:val="superscript"/>
          <w:rtl/>
          <w:lang w:val="es-ES"/>
        </w:rPr>
        <w:t>)</w:t>
      </w:r>
      <w:r w:rsidR="00B65ABB">
        <w:rPr>
          <w:rtl/>
        </w:rPr>
        <w:t>.</w:t>
      </w:r>
      <w:r w:rsidRPr="000C4DE9">
        <w:rPr>
          <w:rtl/>
          <w:lang w:val="es-ES"/>
        </w:rPr>
        <w:t xml:space="preserve"> </w:t>
      </w:r>
      <w:r w:rsidRPr="000C4DE9">
        <w:rPr>
          <w:rtl/>
        </w:rPr>
        <w:t xml:space="preserve">ويؤكد صاحب البلاغ أنه هو الشخص المسجّل في </w:t>
      </w:r>
      <w:r w:rsidRPr="000C4DE9">
        <w:rPr>
          <w:rtl/>
          <w:lang w:val="es-ES"/>
        </w:rPr>
        <w:t>30</w:t>
      </w:r>
      <w:r w:rsidRPr="000C4DE9">
        <w:rPr>
          <w:rtl/>
        </w:rPr>
        <w:t xml:space="preserve"> كانون الأول/</w:t>
      </w:r>
      <w:r w:rsidR="00D61902">
        <w:rPr>
          <w:rFonts w:hint="cs"/>
          <w:rtl/>
        </w:rPr>
        <w:t xml:space="preserve"> </w:t>
      </w:r>
      <w:r w:rsidRPr="000C4DE9">
        <w:rPr>
          <w:rtl/>
        </w:rPr>
        <w:t>ديسمبر</w:t>
      </w:r>
      <w:r w:rsidR="00D61902">
        <w:rPr>
          <w:rFonts w:hint="cs"/>
          <w:rtl/>
        </w:rPr>
        <w:t> </w:t>
      </w:r>
      <w:r w:rsidRPr="000C4DE9">
        <w:rPr>
          <w:rtl/>
        </w:rPr>
        <w:t xml:space="preserve">٢٠١٤ في مركز الإقامة المؤقتة </w:t>
      </w:r>
      <w:proofErr w:type="spellStart"/>
      <w:r w:rsidRPr="000C4DE9">
        <w:rPr>
          <w:rtl/>
        </w:rPr>
        <w:t>لمليلية</w:t>
      </w:r>
      <w:proofErr w:type="spellEnd"/>
      <w:r w:rsidRPr="000C4DE9">
        <w:rPr>
          <w:rtl/>
        </w:rPr>
        <w:t xml:space="preserve"> تحت الاسم ي. د.</w:t>
      </w:r>
      <w:r w:rsidRPr="000C4DE9">
        <w:rPr>
          <w:rtl/>
          <w:lang w:val="es-ES"/>
        </w:rPr>
        <w:t xml:space="preserve"> </w:t>
      </w:r>
      <w:r w:rsidRPr="000C4DE9">
        <w:rPr>
          <w:rtl/>
        </w:rPr>
        <w:t>ويشير إلى أن اسم الشخص المسجل في المركز في ذلك اليوم وأسماء والديه متطابقة صوتيا</w:t>
      </w:r>
      <w:r w:rsidR="00096681">
        <w:rPr>
          <w:rFonts w:hint="cs"/>
          <w:rtl/>
        </w:rPr>
        <w:t>ً</w:t>
      </w:r>
      <w:r w:rsidRPr="000C4DE9">
        <w:rPr>
          <w:rtl/>
        </w:rPr>
        <w:t xml:space="preserve"> مع بيانات صاحب البلاغ كما ترد في بطاقته القنصلية المالية، لا</w:t>
      </w:r>
      <w:r w:rsidR="00096681">
        <w:rPr>
          <w:rFonts w:hint="cs"/>
          <w:rtl/>
        </w:rPr>
        <w:t> </w:t>
      </w:r>
      <w:r w:rsidRPr="000C4DE9">
        <w:rPr>
          <w:rtl/>
        </w:rPr>
        <w:t xml:space="preserve">سيما وأنه يمكن نقل لغة </w:t>
      </w:r>
      <w:proofErr w:type="spellStart"/>
      <w:r w:rsidRPr="000C4DE9">
        <w:rPr>
          <w:rtl/>
        </w:rPr>
        <w:t>بامبارا</w:t>
      </w:r>
      <w:proofErr w:type="spellEnd"/>
      <w:r w:rsidRPr="000C4DE9">
        <w:rPr>
          <w:rtl/>
        </w:rPr>
        <w:t xml:space="preserve"> الشفوية (اللغة الأم لصاحب البلاغ) إلى اللغة الإسبانية.</w:t>
      </w:r>
      <w:r w:rsidRPr="000C4DE9">
        <w:rPr>
          <w:rtl/>
          <w:lang w:val="es-ES"/>
        </w:rPr>
        <w:t xml:space="preserve"> </w:t>
      </w:r>
      <w:r w:rsidRPr="000C4DE9">
        <w:rPr>
          <w:rtl/>
        </w:rPr>
        <w:t xml:space="preserve">ويضيف أن إجراء مقارنة الصور الفوتوغرافية الذي اقترحته الدولة الطرف ليس له قيمة إثباتية، وأنه بإمكان الدولة الطرف أن تتحقق من أن صاحب البلاغ هو الشخص الذي سُجل في مركز الإقامة المؤقتة </w:t>
      </w:r>
      <w:proofErr w:type="spellStart"/>
      <w:r w:rsidRPr="000C4DE9">
        <w:rPr>
          <w:rtl/>
        </w:rPr>
        <w:t>لمليلية</w:t>
      </w:r>
      <w:proofErr w:type="spellEnd"/>
      <w:r w:rsidRPr="000C4DE9">
        <w:rPr>
          <w:rtl/>
        </w:rPr>
        <w:t xml:space="preserve"> في ٣٠ كانون الأول/ديسمبر ٢٠١٤ عن طريق عقد مقارنة بين البصمات المأخوذة في المركز وتلك المسجلة في سجل القصر الأجانب غير المصحوبين بذويهم.</w:t>
      </w:r>
      <w:r w:rsidRPr="000C4DE9">
        <w:rPr>
          <w:rtl/>
          <w:lang w:val="es-ES"/>
        </w:rPr>
        <w:t xml:space="preserve"> </w:t>
      </w:r>
    </w:p>
    <w:p w:rsidR="000C4DE9" w:rsidRPr="00ED33F9" w:rsidRDefault="000C4DE9" w:rsidP="000C4DE9">
      <w:pPr>
        <w:pStyle w:val="SingleTxtGA"/>
        <w:rPr>
          <w:spacing w:val="-4"/>
          <w:lang w:val="fr-CH" w:bidi="ar-DZ"/>
        </w:rPr>
      </w:pPr>
      <w:r w:rsidRPr="00ED33F9">
        <w:rPr>
          <w:spacing w:val="-4"/>
          <w:rtl/>
        </w:rPr>
        <w:t>٧-٣</w:t>
      </w:r>
      <w:r w:rsidRPr="00ED33F9">
        <w:rPr>
          <w:spacing w:val="-4"/>
          <w:rtl/>
          <w:lang w:val="es-ES"/>
        </w:rPr>
        <w:tab/>
      </w:r>
      <w:r w:rsidRPr="00ED33F9">
        <w:rPr>
          <w:spacing w:val="-4"/>
          <w:rtl/>
        </w:rPr>
        <w:t xml:space="preserve">ويدفع صاحب البلاغ بأن الدولة الطرف غير قادرة على إتاحة أي سبيل انتصاف فعال لأن غياب هذا السبيل هو جوهر سياستها </w:t>
      </w:r>
      <w:proofErr w:type="spellStart"/>
      <w:r w:rsidRPr="00ED33F9">
        <w:rPr>
          <w:spacing w:val="-4"/>
          <w:rtl/>
        </w:rPr>
        <w:t>الترحيلية</w:t>
      </w:r>
      <w:proofErr w:type="spellEnd"/>
      <w:r w:rsidRPr="00ED33F9">
        <w:rPr>
          <w:spacing w:val="-4"/>
          <w:rtl/>
        </w:rPr>
        <w:t xml:space="preserve"> العشوائية المنفّذة بموجب إجراءات موجزة</w:t>
      </w:r>
      <w:r w:rsidR="00B65ABB" w:rsidRPr="00ED33F9">
        <w:rPr>
          <w:spacing w:val="-4"/>
          <w:vertAlign w:val="superscript"/>
          <w:rtl/>
        </w:rPr>
        <w:t>(</w:t>
      </w:r>
      <w:r w:rsidR="00B65ABB" w:rsidRPr="00ED33F9">
        <w:rPr>
          <w:spacing w:val="-4"/>
          <w:vertAlign w:val="superscript"/>
          <w:rtl/>
          <w:lang w:val="es-ES"/>
        </w:rPr>
        <w:footnoteReference w:id="30"/>
      </w:r>
      <w:r w:rsidR="00B65ABB" w:rsidRPr="00ED33F9">
        <w:rPr>
          <w:spacing w:val="-4"/>
          <w:vertAlign w:val="superscript"/>
          <w:rtl/>
          <w:lang w:val="es-ES"/>
        </w:rPr>
        <w:t>)</w:t>
      </w:r>
      <w:r w:rsidR="00B65ABB" w:rsidRPr="00ED33F9">
        <w:rPr>
          <w:spacing w:val="-4"/>
          <w:rtl/>
        </w:rPr>
        <w:t>.</w:t>
      </w:r>
    </w:p>
    <w:p w:rsidR="000C4DE9" w:rsidRPr="000C4DE9" w:rsidRDefault="000C4DE9" w:rsidP="001E3F43">
      <w:pPr>
        <w:pStyle w:val="H23GA"/>
        <w:keepNext/>
        <w:keepLines/>
        <w:spacing w:before="240"/>
        <w:rPr>
          <w:rtl/>
        </w:rPr>
      </w:pPr>
      <w:r w:rsidRPr="000C4DE9">
        <w:rPr>
          <w:rtl/>
          <w:lang w:val="es-ES"/>
        </w:rPr>
        <w:tab/>
      </w:r>
      <w:r w:rsidRPr="000C4DE9">
        <w:rPr>
          <w:rtl/>
          <w:lang w:val="es-ES"/>
        </w:rPr>
        <w:tab/>
      </w:r>
      <w:r w:rsidRPr="000C4DE9">
        <w:rPr>
          <w:rtl/>
        </w:rPr>
        <w:t>ملاحظات الدولة الطرف على مقبولية البلاغ وأسسه الموضوعية</w:t>
      </w:r>
    </w:p>
    <w:p w:rsidR="000C4DE9" w:rsidRPr="000C4DE9" w:rsidRDefault="000C4DE9" w:rsidP="000C4DE9">
      <w:pPr>
        <w:pStyle w:val="SingleTxtGA"/>
        <w:rPr>
          <w:rtl/>
          <w:lang w:bidi="ar-DZ"/>
        </w:rPr>
      </w:pPr>
      <w:r w:rsidRPr="000C4DE9">
        <w:rPr>
          <w:rtl/>
        </w:rPr>
        <w:t>٨-١</w:t>
      </w:r>
      <w:r w:rsidRPr="000C4DE9">
        <w:rPr>
          <w:rtl/>
          <w:lang w:val="es-ES"/>
        </w:rPr>
        <w:tab/>
      </w:r>
      <w:r w:rsidRPr="000C4DE9">
        <w:rPr>
          <w:rtl/>
        </w:rPr>
        <w:t xml:space="preserve">أكّدت الدولة الطرف مجدداً، في ملاحظاتها المؤرخة </w:t>
      </w:r>
      <w:r w:rsidRPr="000C4DE9">
        <w:rPr>
          <w:rtl/>
          <w:lang w:val="es-ES"/>
        </w:rPr>
        <w:t>14</w:t>
      </w:r>
      <w:r w:rsidRPr="000C4DE9">
        <w:rPr>
          <w:rtl/>
        </w:rPr>
        <w:t xml:space="preserve"> أيار/مايو </w:t>
      </w:r>
      <w:r w:rsidRPr="000C4DE9">
        <w:rPr>
          <w:rtl/>
          <w:lang w:val="es-ES"/>
        </w:rPr>
        <w:t>2018</w:t>
      </w:r>
      <w:r w:rsidRPr="000C4DE9">
        <w:rPr>
          <w:rtl/>
        </w:rPr>
        <w:t>، حججها المتعلقة بعدم مقبولية الاختصاص المكاني والاختصاص الموضوعي.</w:t>
      </w:r>
      <w:r w:rsidRPr="000C4DE9">
        <w:rPr>
          <w:rtl/>
          <w:lang w:val="es-ES"/>
        </w:rPr>
        <w:t xml:space="preserve"> </w:t>
      </w:r>
      <w:r w:rsidRPr="000C4DE9">
        <w:rPr>
          <w:rtl/>
        </w:rPr>
        <w:t>وتدفع بأن الوقائع كما قدّمها صاحب البلاغ في بلاغه الأول تشكل "تلاعبا</w:t>
      </w:r>
      <w:r w:rsidR="00096681">
        <w:rPr>
          <w:rFonts w:hint="cs"/>
          <w:rtl/>
        </w:rPr>
        <w:t>ً</w:t>
      </w:r>
      <w:r w:rsidRPr="000C4DE9">
        <w:rPr>
          <w:rtl/>
        </w:rPr>
        <w:t xml:space="preserve"> سافرا</w:t>
      </w:r>
      <w:r w:rsidR="00096681">
        <w:rPr>
          <w:rFonts w:hint="cs"/>
          <w:rtl/>
        </w:rPr>
        <w:t>ً</w:t>
      </w:r>
      <w:r w:rsidRPr="000C4DE9">
        <w:rPr>
          <w:rtl/>
        </w:rPr>
        <w:t>" للأسباب التالية:</w:t>
      </w:r>
      <w:r w:rsidRPr="000C4DE9">
        <w:rPr>
          <w:rtl/>
          <w:lang w:val="es-ES"/>
        </w:rPr>
        <w:t xml:space="preserve"> </w:t>
      </w:r>
    </w:p>
    <w:p w:rsidR="000C4DE9" w:rsidRPr="000C4DE9" w:rsidRDefault="00483B03" w:rsidP="000C4DE9">
      <w:pPr>
        <w:pStyle w:val="SingleTxtGA"/>
        <w:rPr>
          <w:rtl/>
        </w:rPr>
      </w:pPr>
      <w:r>
        <w:rPr>
          <w:rtl/>
        </w:rPr>
        <w:tab/>
      </w:r>
      <w:r w:rsidR="000C4DE9" w:rsidRPr="000C4DE9">
        <w:rPr>
          <w:rtl/>
        </w:rPr>
        <w:t>(أ)</w:t>
      </w:r>
      <w:r>
        <w:rPr>
          <w:rtl/>
          <w:lang w:val="fr-CH"/>
        </w:rPr>
        <w:tab/>
      </w:r>
      <w:r w:rsidR="000C4DE9" w:rsidRPr="000C4DE9">
        <w:rPr>
          <w:rtl/>
        </w:rPr>
        <w:t>في تاريخ تقديم هذا البلاغ، كانت السلطات الإسبانية قد اعتبرت صاحب البلاغ رسميا</w:t>
      </w:r>
      <w:r w:rsidR="00096681">
        <w:rPr>
          <w:rFonts w:hint="cs"/>
          <w:rtl/>
        </w:rPr>
        <w:t>ً</w:t>
      </w:r>
      <w:r w:rsidR="000C4DE9" w:rsidRPr="000C4DE9">
        <w:rPr>
          <w:rtl/>
        </w:rPr>
        <w:t xml:space="preserve"> شخصا</w:t>
      </w:r>
      <w:r w:rsidR="00096681">
        <w:rPr>
          <w:rFonts w:hint="cs"/>
          <w:rtl/>
        </w:rPr>
        <w:t>ً</w:t>
      </w:r>
      <w:r w:rsidR="000C4DE9" w:rsidRPr="000C4DE9">
        <w:rPr>
          <w:rtl/>
        </w:rPr>
        <w:t xml:space="preserve"> قاصرا</w:t>
      </w:r>
      <w:r w:rsidR="00096681">
        <w:rPr>
          <w:rFonts w:hint="cs"/>
          <w:rtl/>
        </w:rPr>
        <w:t>ً</w:t>
      </w:r>
      <w:r w:rsidR="000C4DE9" w:rsidRPr="000C4DE9">
        <w:rPr>
          <w:rtl/>
        </w:rPr>
        <w:t xml:space="preserve"> بالفعل، وقبلت بشهادة ميلاده الأصلية كدليل كاف على ذلك "على الرغم من أنها لا تتضمن بيانات </w:t>
      </w:r>
      <w:proofErr w:type="spellStart"/>
      <w:r w:rsidR="000C4DE9" w:rsidRPr="000C4DE9">
        <w:rPr>
          <w:rtl/>
        </w:rPr>
        <w:t>بيومترية</w:t>
      </w:r>
      <w:proofErr w:type="spellEnd"/>
      <w:r w:rsidR="000C4DE9" w:rsidRPr="000C4DE9">
        <w:rPr>
          <w:rtl/>
        </w:rPr>
        <w:t>، إذ قُيمت على أساس مظهره كشخص قاصر".</w:t>
      </w:r>
      <w:r w:rsidR="000C4DE9" w:rsidRPr="000C4DE9">
        <w:rPr>
          <w:rtl/>
          <w:lang w:val="es-ES"/>
        </w:rPr>
        <w:t xml:space="preserve"> </w:t>
      </w:r>
      <w:r w:rsidR="000C4DE9" w:rsidRPr="000C4DE9">
        <w:rPr>
          <w:rtl/>
        </w:rPr>
        <w:t xml:space="preserve">وتؤكد من جديد على أنه ليس ثمة ما يشير إلى أن صاحب البلاغ قفز على السياج الحدودي </w:t>
      </w:r>
      <w:proofErr w:type="spellStart"/>
      <w:r w:rsidR="000C4DE9" w:rsidRPr="000C4DE9">
        <w:rPr>
          <w:rtl/>
        </w:rPr>
        <w:t>لمليلية</w:t>
      </w:r>
      <w:proofErr w:type="spellEnd"/>
      <w:r w:rsidR="000C4DE9" w:rsidRPr="000C4DE9">
        <w:rPr>
          <w:rtl/>
        </w:rPr>
        <w:t xml:space="preserve"> بصورة غير قانونية؛</w:t>
      </w:r>
    </w:p>
    <w:p w:rsidR="000C4DE9" w:rsidRPr="000C4DE9" w:rsidRDefault="00483B03" w:rsidP="000C4DE9">
      <w:pPr>
        <w:pStyle w:val="SingleTxtGA"/>
        <w:rPr>
          <w:rtl/>
        </w:rPr>
      </w:pPr>
      <w:r>
        <w:rPr>
          <w:rtl/>
        </w:rPr>
        <w:tab/>
      </w:r>
      <w:r w:rsidR="000C4DE9" w:rsidRPr="000C4DE9">
        <w:rPr>
          <w:rtl/>
        </w:rPr>
        <w:t>(ب)</w:t>
      </w:r>
      <w:r w:rsidR="000C4DE9" w:rsidRPr="000C4DE9">
        <w:rPr>
          <w:rtl/>
          <w:lang w:val="es-ES"/>
        </w:rPr>
        <w:tab/>
      </w:r>
      <w:r w:rsidR="000C4DE9" w:rsidRPr="000C4DE9">
        <w:rPr>
          <w:rtl/>
        </w:rPr>
        <w:t xml:space="preserve">يزعم صاحب البلاغ أن اللجنة خلطت بينه وبين ي. د.، وهو شخص آخر يحمل الاسم واللقب نفسه، لكنه يحمل جنسية مختلفة (بوركينا فاسو) وراشد (وُلد في ٢ تشرين الثاني/نوفمبر ١٩٩٤)، وكان قد شارك في اقتحام غير قانوني للسياج الحدودي </w:t>
      </w:r>
      <w:proofErr w:type="spellStart"/>
      <w:r w:rsidR="000C4DE9" w:rsidRPr="000C4DE9">
        <w:rPr>
          <w:rtl/>
        </w:rPr>
        <w:t>لمليلية</w:t>
      </w:r>
      <w:proofErr w:type="spellEnd"/>
      <w:r w:rsidR="000C4DE9" w:rsidRPr="000C4DE9">
        <w:rPr>
          <w:rtl/>
        </w:rPr>
        <w:t xml:space="preserve"> في بداية كانون الأول/ديسمبر ٢٠١٤.</w:t>
      </w:r>
      <w:r w:rsidR="000C4DE9" w:rsidRPr="000C4DE9">
        <w:rPr>
          <w:rtl/>
          <w:lang w:val="es-ES"/>
        </w:rPr>
        <w:t xml:space="preserve"> </w:t>
      </w:r>
      <w:r w:rsidR="000C4DE9" w:rsidRPr="000C4DE9">
        <w:rPr>
          <w:rtl/>
        </w:rPr>
        <w:t xml:space="preserve">ويدّعي أن ي. د. سُجّل كشخص قاصر في مركز الإقامة المؤقتة </w:t>
      </w:r>
      <w:proofErr w:type="spellStart"/>
      <w:r w:rsidR="000C4DE9" w:rsidRPr="000C4DE9">
        <w:rPr>
          <w:rtl/>
        </w:rPr>
        <w:t>لمليلية</w:t>
      </w:r>
      <w:proofErr w:type="spellEnd"/>
      <w:r w:rsidR="000C4DE9" w:rsidRPr="000C4DE9">
        <w:rPr>
          <w:rtl/>
        </w:rPr>
        <w:t xml:space="preserve"> في </w:t>
      </w:r>
      <w:r w:rsidR="000C4DE9" w:rsidRPr="000C4DE9">
        <w:rPr>
          <w:rtl/>
          <w:lang w:val="es-ES"/>
        </w:rPr>
        <w:t>10</w:t>
      </w:r>
      <w:r w:rsidR="000C4DE9" w:rsidRPr="000C4DE9">
        <w:rPr>
          <w:rtl/>
        </w:rPr>
        <w:t xml:space="preserve"> كانون الأول/ديسمبر ٢٠١٥.</w:t>
      </w:r>
    </w:p>
    <w:p w:rsidR="000C4DE9" w:rsidRPr="00ED33F9" w:rsidRDefault="000C4DE9" w:rsidP="000C4DE9">
      <w:pPr>
        <w:pStyle w:val="SingleTxtGA"/>
        <w:rPr>
          <w:spacing w:val="-2"/>
          <w:rtl/>
        </w:rPr>
      </w:pPr>
      <w:r w:rsidRPr="00ED33F9">
        <w:rPr>
          <w:spacing w:val="-2"/>
          <w:rtl/>
        </w:rPr>
        <w:t>٨-٢</w:t>
      </w:r>
      <w:r w:rsidRPr="00ED33F9">
        <w:rPr>
          <w:spacing w:val="-2"/>
          <w:rtl/>
          <w:lang w:val="es-ES"/>
        </w:rPr>
        <w:tab/>
      </w:r>
      <w:r w:rsidRPr="00ED33F9">
        <w:rPr>
          <w:spacing w:val="-2"/>
          <w:rtl/>
        </w:rPr>
        <w:t>وتطلب الدولة الطرف إلى اللجنة اختتام النظر في هذا البلاغ وفقا</w:t>
      </w:r>
      <w:r w:rsidR="00096681" w:rsidRPr="00ED33F9">
        <w:rPr>
          <w:rFonts w:hint="cs"/>
          <w:spacing w:val="-2"/>
          <w:rtl/>
        </w:rPr>
        <w:t>ً</w:t>
      </w:r>
      <w:r w:rsidRPr="00ED33F9">
        <w:rPr>
          <w:spacing w:val="-2"/>
          <w:rtl/>
        </w:rPr>
        <w:t xml:space="preserve"> للمادة ٢٦ من نظامها الداخلي، لأن السلطات الإسبانية كانت، عند تقديم هذا البلاغ، قد اعترفت بصاحب البلاغ كشخص قاصر خاضع لوصاية إقليم مدريد دون أي انتهاك لحقوقه.</w:t>
      </w:r>
      <w:r w:rsidRPr="00ED33F9">
        <w:rPr>
          <w:spacing w:val="-2"/>
          <w:rtl/>
          <w:lang w:val="es-ES"/>
        </w:rPr>
        <w:t xml:space="preserve"> </w:t>
      </w:r>
      <w:r w:rsidRPr="00ED33F9">
        <w:rPr>
          <w:spacing w:val="-2"/>
          <w:rtl/>
        </w:rPr>
        <w:t xml:space="preserve">وتشير الدولة الطرف </w:t>
      </w:r>
      <w:r w:rsidRPr="00ED33F9">
        <w:rPr>
          <w:spacing w:val="-2"/>
          <w:rtl/>
        </w:rPr>
        <w:lastRenderedPageBreak/>
        <w:t xml:space="preserve">إلى قضية </w:t>
      </w:r>
      <w:r w:rsidRPr="00ED33F9">
        <w:rPr>
          <w:i/>
          <w:iCs/>
          <w:spacing w:val="-2"/>
          <w:rtl/>
        </w:rPr>
        <w:t>ر.</w:t>
      </w:r>
      <w:r w:rsidR="001E3F43" w:rsidRPr="00ED33F9">
        <w:rPr>
          <w:rFonts w:hint="cs"/>
          <w:i/>
          <w:iCs/>
          <w:spacing w:val="-2"/>
          <w:rtl/>
        </w:rPr>
        <w:t xml:space="preserve"> </w:t>
      </w:r>
      <w:r w:rsidRPr="00ED33F9">
        <w:rPr>
          <w:i/>
          <w:iCs/>
          <w:spacing w:val="-2"/>
          <w:rtl/>
        </w:rPr>
        <w:t>ل. ضد إسبانيا</w:t>
      </w:r>
      <w:r w:rsidRPr="00ED33F9">
        <w:rPr>
          <w:spacing w:val="-2"/>
          <w:rtl/>
        </w:rPr>
        <w:t>،</w:t>
      </w:r>
      <w:r w:rsidRPr="00ED33F9">
        <w:rPr>
          <w:spacing w:val="-2"/>
          <w:rtl/>
          <w:lang w:val="es-ES"/>
        </w:rPr>
        <w:t xml:space="preserve"> </w:t>
      </w:r>
      <w:r w:rsidRPr="00ED33F9">
        <w:rPr>
          <w:spacing w:val="-2"/>
          <w:rtl/>
        </w:rPr>
        <w:t>حيث قرّرت اللجنة وقف النظر في البلاغ لأنه ثبت أن السلطات الإسبانية كانت قد اعتبرت صاحب البلاغ بالفعل شخصا</w:t>
      </w:r>
      <w:r w:rsidR="00096681" w:rsidRPr="00ED33F9">
        <w:rPr>
          <w:rFonts w:hint="cs"/>
          <w:spacing w:val="-2"/>
          <w:rtl/>
        </w:rPr>
        <w:t>ً</w:t>
      </w:r>
      <w:r w:rsidRPr="00ED33F9">
        <w:rPr>
          <w:spacing w:val="-2"/>
          <w:rtl/>
        </w:rPr>
        <w:t xml:space="preserve"> قاصرا</w:t>
      </w:r>
      <w:r w:rsidR="00096681" w:rsidRPr="00ED33F9">
        <w:rPr>
          <w:rFonts w:hint="cs"/>
          <w:spacing w:val="-2"/>
          <w:rtl/>
        </w:rPr>
        <w:t>ً</w:t>
      </w:r>
      <w:r w:rsidRPr="00ED33F9">
        <w:rPr>
          <w:spacing w:val="-2"/>
          <w:rtl/>
        </w:rPr>
        <w:t xml:space="preserve"> وعاملته على هذا الأساس</w:t>
      </w:r>
      <w:r w:rsidR="00B65ABB" w:rsidRPr="00ED33F9">
        <w:rPr>
          <w:spacing w:val="-2"/>
          <w:vertAlign w:val="superscript"/>
          <w:rtl/>
        </w:rPr>
        <w:t>(</w:t>
      </w:r>
      <w:r w:rsidR="00B65ABB" w:rsidRPr="00ED33F9">
        <w:rPr>
          <w:spacing w:val="-2"/>
          <w:vertAlign w:val="superscript"/>
          <w:rtl/>
          <w:lang w:val="es-ES"/>
        </w:rPr>
        <w:footnoteReference w:id="31"/>
      </w:r>
      <w:r w:rsidR="00B65ABB" w:rsidRPr="00ED33F9">
        <w:rPr>
          <w:spacing w:val="-2"/>
          <w:vertAlign w:val="superscript"/>
          <w:rtl/>
          <w:lang w:val="es-ES"/>
        </w:rPr>
        <w:t>)</w:t>
      </w:r>
      <w:r w:rsidR="00B65ABB" w:rsidRPr="00ED33F9">
        <w:rPr>
          <w:spacing w:val="-2"/>
          <w:rtl/>
        </w:rPr>
        <w:t>.</w:t>
      </w:r>
      <w:r w:rsidRPr="00ED33F9">
        <w:rPr>
          <w:spacing w:val="-2"/>
          <w:rtl/>
          <w:lang w:val="es-ES"/>
        </w:rPr>
        <w:t xml:space="preserve"> </w:t>
      </w:r>
    </w:p>
    <w:p w:rsidR="000C4DE9" w:rsidRPr="000C4DE9" w:rsidRDefault="000C4DE9" w:rsidP="000C4DE9">
      <w:pPr>
        <w:pStyle w:val="SingleTxtGA"/>
        <w:rPr>
          <w:rtl/>
        </w:rPr>
      </w:pPr>
      <w:bookmarkStart w:id="8" w:name="_Hlk529819300"/>
      <w:r w:rsidRPr="000C4DE9">
        <w:rPr>
          <w:rtl/>
        </w:rPr>
        <w:t>٨-٣</w:t>
      </w:r>
      <w:r w:rsidRPr="000C4DE9">
        <w:rPr>
          <w:rtl/>
          <w:lang w:val="es-ES"/>
        </w:rPr>
        <w:tab/>
      </w:r>
      <w:r w:rsidRPr="000C4DE9">
        <w:rPr>
          <w:rtl/>
        </w:rPr>
        <w:t>وأخيرا</w:t>
      </w:r>
      <w:r w:rsidR="00D0365B">
        <w:rPr>
          <w:rFonts w:hint="cs"/>
          <w:rtl/>
        </w:rPr>
        <w:t>ً</w:t>
      </w:r>
      <w:r w:rsidRPr="000C4DE9">
        <w:rPr>
          <w:rtl/>
        </w:rPr>
        <w:t>، تؤكّد الدولة الطرف أنه لم يقع أي خرق للاتفاقية.</w:t>
      </w:r>
    </w:p>
    <w:bookmarkEnd w:id="8"/>
    <w:p w:rsidR="000C4DE9" w:rsidRPr="000C4DE9" w:rsidRDefault="000C4DE9" w:rsidP="001E3F43">
      <w:pPr>
        <w:pStyle w:val="H23GA"/>
        <w:keepNext/>
        <w:keepLines/>
        <w:spacing w:before="240"/>
        <w:rPr>
          <w:rtl/>
        </w:rPr>
      </w:pPr>
      <w:r w:rsidRPr="000C4DE9">
        <w:rPr>
          <w:rtl/>
          <w:lang w:val="es-ES"/>
        </w:rPr>
        <w:tab/>
      </w:r>
      <w:r w:rsidRPr="000C4DE9">
        <w:rPr>
          <w:rtl/>
          <w:lang w:val="es-ES"/>
        </w:rPr>
        <w:tab/>
      </w:r>
      <w:r w:rsidRPr="000C4DE9">
        <w:rPr>
          <w:rtl/>
        </w:rPr>
        <w:t>تعليقات صاحب البلاغ على ملاحظات الدولة الطرف بشأن المقبولية والأسس الموضوعية</w:t>
      </w:r>
    </w:p>
    <w:p w:rsidR="000C4DE9" w:rsidRPr="000C4DE9" w:rsidRDefault="000C4DE9" w:rsidP="000C4DE9">
      <w:pPr>
        <w:pStyle w:val="SingleTxtGA"/>
        <w:rPr>
          <w:rtl/>
        </w:rPr>
      </w:pPr>
      <w:r w:rsidRPr="000C4DE9">
        <w:rPr>
          <w:rtl/>
        </w:rPr>
        <w:t>٩-١</w:t>
      </w:r>
      <w:r w:rsidRPr="000C4DE9">
        <w:rPr>
          <w:rtl/>
          <w:lang w:val="es-ES"/>
        </w:rPr>
        <w:tab/>
      </w:r>
      <w:r w:rsidRPr="000C4DE9">
        <w:rPr>
          <w:rtl/>
        </w:rPr>
        <w:t xml:space="preserve">يؤكد صاحب البلاغ مجدداً، في تعليقاته المؤرخة </w:t>
      </w:r>
      <w:r w:rsidRPr="000C4DE9">
        <w:rPr>
          <w:rtl/>
          <w:lang w:val="es-ES"/>
        </w:rPr>
        <w:t>31</w:t>
      </w:r>
      <w:r w:rsidRPr="000C4DE9">
        <w:rPr>
          <w:rtl/>
        </w:rPr>
        <w:t xml:space="preserve"> تموز/يوليه </w:t>
      </w:r>
      <w:r w:rsidRPr="000C4DE9">
        <w:rPr>
          <w:rtl/>
          <w:lang w:val="es-ES"/>
        </w:rPr>
        <w:t>2018</w:t>
      </w:r>
      <w:r w:rsidRPr="000C4DE9">
        <w:rPr>
          <w:rtl/>
        </w:rPr>
        <w:t>، حججه بشأن مقبولية البلاغ وأسسه الموضوعية</w:t>
      </w:r>
      <w:r w:rsidR="00B65ABB" w:rsidRPr="00B65ABB">
        <w:rPr>
          <w:vertAlign w:val="superscript"/>
          <w:rtl/>
        </w:rPr>
        <w:t>(</w:t>
      </w:r>
      <w:r w:rsidR="00B65ABB" w:rsidRPr="000C4DE9">
        <w:rPr>
          <w:vertAlign w:val="superscript"/>
          <w:rtl/>
          <w:lang w:val="es-ES"/>
        </w:rPr>
        <w:footnoteReference w:id="32"/>
      </w:r>
      <w:r w:rsidR="00B65ABB">
        <w:rPr>
          <w:vertAlign w:val="superscript"/>
          <w:rtl/>
          <w:lang w:val="es-ES"/>
        </w:rPr>
        <w:t>)</w:t>
      </w:r>
      <w:r w:rsidR="00B65ABB">
        <w:rPr>
          <w:rtl/>
        </w:rPr>
        <w:t>.</w:t>
      </w:r>
      <w:r w:rsidRPr="000C4DE9">
        <w:rPr>
          <w:rtl/>
          <w:lang w:val="es-ES"/>
        </w:rPr>
        <w:t xml:space="preserve"> </w:t>
      </w:r>
      <w:r w:rsidRPr="000C4DE9">
        <w:rPr>
          <w:rtl/>
        </w:rPr>
        <w:t>ويفيد بأن الدولة الطرف تكتفي بالإشارة إلى الوقائع دون التطرق إلى أي من حججه بشأن الانتهاكات المزعومة للاتفاقية أو أي من الأدلة المقدمة لتبرير هذه الانتهاكات.</w:t>
      </w:r>
      <w:r w:rsidRPr="000C4DE9">
        <w:rPr>
          <w:rtl/>
          <w:lang w:val="es-ES"/>
        </w:rPr>
        <w:t xml:space="preserve"> </w:t>
      </w:r>
      <w:r w:rsidRPr="000C4DE9">
        <w:rPr>
          <w:rtl/>
        </w:rPr>
        <w:t>كما تغيّر الدولة الطرف روايتها للوقائع في كل تعليق من تعليقاتها.</w:t>
      </w:r>
      <w:r w:rsidRPr="000C4DE9">
        <w:rPr>
          <w:rtl/>
          <w:lang w:val="es-ES"/>
        </w:rPr>
        <w:t xml:space="preserve"> </w:t>
      </w:r>
      <w:r w:rsidRPr="000C4DE9">
        <w:rPr>
          <w:rtl/>
        </w:rPr>
        <w:t xml:space="preserve">وعلى وجه الخصوص، لم تقدم الدولة الطرف أي دليل يثبت أن صاحب البلاغ شخص مختلف عن الشخص الذي أُبعد في </w:t>
      </w:r>
      <w:r w:rsidRPr="000C4DE9">
        <w:rPr>
          <w:rtl/>
          <w:lang w:val="es-ES"/>
        </w:rPr>
        <w:t>2</w:t>
      </w:r>
      <w:r w:rsidRPr="000C4DE9">
        <w:rPr>
          <w:rtl/>
        </w:rPr>
        <w:t xml:space="preserve"> كانون الأول/ديسمبر ٢٠١٤، مع أنها تملك بصمات الشخص المأخوذة في مركز الإقامة المؤقتة </w:t>
      </w:r>
      <w:proofErr w:type="spellStart"/>
      <w:r w:rsidRPr="000C4DE9">
        <w:rPr>
          <w:rtl/>
        </w:rPr>
        <w:t>لمليلية</w:t>
      </w:r>
      <w:proofErr w:type="spellEnd"/>
      <w:r w:rsidRPr="000C4DE9">
        <w:rPr>
          <w:rtl/>
        </w:rPr>
        <w:t xml:space="preserve"> تحت اسم ي. د. وبصمات الشخص المسجلة في سجل القصر الأجانب غير المصحوبين بذويهم تحت الاسم د. د. ويمكنها المقارنة بينها للتحقق من أن الأمر يتعلق بالشخص نفسه.</w:t>
      </w:r>
      <w:r w:rsidRPr="000C4DE9">
        <w:rPr>
          <w:rtl/>
          <w:lang w:val="es-ES"/>
        </w:rPr>
        <w:t xml:space="preserve"> </w:t>
      </w:r>
      <w:r w:rsidRPr="000C4DE9">
        <w:rPr>
          <w:rtl/>
        </w:rPr>
        <w:t>ولا يمكن للدولة الطرف أن تثير وجود تناقضات في نظامها لتسجيل الأشخاص كحجة ضد صاحب البلاغ.</w:t>
      </w:r>
      <w:r w:rsidRPr="000C4DE9">
        <w:rPr>
          <w:rtl/>
          <w:lang w:val="es-ES"/>
        </w:rPr>
        <w:t xml:space="preserve"> </w:t>
      </w:r>
    </w:p>
    <w:p w:rsidR="000C4DE9" w:rsidRPr="000C4DE9" w:rsidRDefault="000C4DE9" w:rsidP="000C4DE9">
      <w:pPr>
        <w:pStyle w:val="SingleTxtGA"/>
        <w:rPr>
          <w:b/>
          <w:rtl/>
        </w:rPr>
      </w:pPr>
      <w:r w:rsidRPr="000C4DE9">
        <w:rPr>
          <w:rtl/>
        </w:rPr>
        <w:t>٩-٢</w:t>
      </w:r>
      <w:r w:rsidRPr="000C4DE9">
        <w:rPr>
          <w:rtl/>
          <w:lang w:val="es-ES"/>
        </w:rPr>
        <w:tab/>
      </w:r>
      <w:r w:rsidRPr="000C4DE9">
        <w:rPr>
          <w:rtl/>
        </w:rPr>
        <w:t xml:space="preserve">ويلاحظ صاحب البلاغ أن اللجنة أعربت للدولة الطرف عن قلقها إزاء ممارسات الطرد التلقائي للأطفال الذين يلتمسون الحماية الدولية في مدينتي سبتة </w:t>
      </w:r>
      <w:proofErr w:type="spellStart"/>
      <w:r w:rsidRPr="000C4DE9">
        <w:rPr>
          <w:rtl/>
        </w:rPr>
        <w:t>ومليل</w:t>
      </w:r>
      <w:r w:rsidR="00D0365B">
        <w:rPr>
          <w:rFonts w:hint="cs"/>
          <w:rtl/>
        </w:rPr>
        <w:t>ي</w:t>
      </w:r>
      <w:r w:rsidRPr="000C4DE9">
        <w:rPr>
          <w:rtl/>
        </w:rPr>
        <w:t>ة</w:t>
      </w:r>
      <w:proofErr w:type="spellEnd"/>
      <w:r w:rsidRPr="000C4DE9">
        <w:rPr>
          <w:rtl/>
        </w:rPr>
        <w:t xml:space="preserve"> المتمتعتين بالحكم الذاتي، دون توفير الضمانات اللازمة</w:t>
      </w:r>
      <w:r w:rsidR="00B65ABB" w:rsidRPr="00B65ABB">
        <w:rPr>
          <w:vertAlign w:val="superscript"/>
          <w:rtl/>
        </w:rPr>
        <w:t>(</w:t>
      </w:r>
      <w:r w:rsidR="00B65ABB" w:rsidRPr="000C4DE9">
        <w:rPr>
          <w:vertAlign w:val="superscript"/>
          <w:rtl/>
          <w:lang w:val="es-ES"/>
        </w:rPr>
        <w:footnoteReference w:id="33"/>
      </w:r>
      <w:r w:rsidR="00B65ABB">
        <w:rPr>
          <w:vertAlign w:val="superscript"/>
          <w:rtl/>
          <w:lang w:val="es-ES"/>
        </w:rPr>
        <w:t>)</w:t>
      </w:r>
      <w:r w:rsidR="00B65ABB">
        <w:rPr>
          <w:rtl/>
        </w:rPr>
        <w:t>.</w:t>
      </w:r>
      <w:r w:rsidRPr="000C4DE9">
        <w:rPr>
          <w:rtl/>
          <w:lang w:val="es-ES"/>
        </w:rPr>
        <w:t xml:space="preserve"> </w:t>
      </w:r>
      <w:r w:rsidRPr="000C4DE9">
        <w:rPr>
          <w:rtl/>
        </w:rPr>
        <w:t>ويضيف أن اللجنة حثت إسبانيا</w:t>
      </w:r>
      <w:r w:rsidR="00B65ABB">
        <w:rPr>
          <w:rtl/>
        </w:rPr>
        <w:t xml:space="preserve"> </w:t>
      </w:r>
      <w:r w:rsidRPr="000C4DE9">
        <w:rPr>
          <w:rtl/>
        </w:rPr>
        <w:t>على</w:t>
      </w:r>
      <w:r w:rsidRPr="000C4DE9">
        <w:rPr>
          <w:b/>
          <w:bCs/>
          <w:rtl/>
        </w:rPr>
        <w:t xml:space="preserve"> "</w:t>
      </w:r>
      <w:r w:rsidRPr="000C4DE9">
        <w:rPr>
          <w:rtl/>
        </w:rPr>
        <w:t>ضمان الحماية القانونية الفعالة للأطفال غير المصحوبين بذويهم في جميع أقاليم البلد، وضمان تطبيق مبدأ عدم الإعادة القسرية ومراعاة مصالح الطفل الفضلى بوصف ذلك اعتباراً رئيسياً"</w:t>
      </w:r>
      <w:r w:rsidR="00B65ABB">
        <w:rPr>
          <w:vertAlign w:val="superscript"/>
          <w:rtl/>
          <w:lang w:val="es-ES"/>
        </w:rPr>
        <w:t>(</w:t>
      </w:r>
      <w:r w:rsidR="00B65ABB" w:rsidRPr="000C4DE9">
        <w:rPr>
          <w:vertAlign w:val="superscript"/>
          <w:rtl/>
          <w:lang w:val="es-ES"/>
        </w:rPr>
        <w:footnoteReference w:id="34"/>
      </w:r>
      <w:r w:rsidR="00B65ABB">
        <w:rPr>
          <w:vertAlign w:val="superscript"/>
          <w:rtl/>
          <w:lang w:val="es-ES"/>
        </w:rPr>
        <w:t>)</w:t>
      </w:r>
      <w:r w:rsidRPr="000C4DE9">
        <w:rPr>
          <w:rtl/>
        </w:rPr>
        <w:t xml:space="preserve"> وعلى "وضع حد للممارسة المتمثلة في الصدّ التلقائي لبعض الأطفال، وضمان أن تكون جميع الإجراءات والمعايير متفقة مع وضعهم كأطفال ومع التشريعات الوطنية والدولية"</w:t>
      </w:r>
      <w:r w:rsidR="00B65ABB" w:rsidRPr="00B65ABB">
        <w:rPr>
          <w:vertAlign w:val="superscript"/>
          <w:rtl/>
        </w:rPr>
        <w:t>(</w:t>
      </w:r>
      <w:r w:rsidR="00B65ABB" w:rsidRPr="000C4DE9">
        <w:rPr>
          <w:vertAlign w:val="superscript"/>
          <w:rtl/>
          <w:lang w:val="es-ES"/>
        </w:rPr>
        <w:footnoteReference w:id="35"/>
      </w:r>
      <w:r w:rsidR="00B65ABB">
        <w:rPr>
          <w:vertAlign w:val="superscript"/>
          <w:rtl/>
          <w:lang w:val="es-ES"/>
        </w:rPr>
        <w:t>)</w:t>
      </w:r>
      <w:r w:rsidR="00B65ABB">
        <w:rPr>
          <w:rtl/>
        </w:rPr>
        <w:t>.</w:t>
      </w:r>
      <w:r w:rsidR="00B65ABB">
        <w:rPr>
          <w:rtl/>
          <w:lang w:val="es-ES"/>
        </w:rPr>
        <w:t xml:space="preserve"> </w:t>
      </w:r>
    </w:p>
    <w:p w:rsidR="000C4DE9" w:rsidRPr="000C4DE9" w:rsidRDefault="000C4DE9" w:rsidP="000C4DE9">
      <w:pPr>
        <w:pStyle w:val="SingleTxtGA"/>
        <w:rPr>
          <w:rtl/>
        </w:rPr>
      </w:pPr>
      <w:r w:rsidRPr="000C4DE9">
        <w:rPr>
          <w:rtl/>
        </w:rPr>
        <w:lastRenderedPageBreak/>
        <w:t>٩-٣</w:t>
      </w:r>
      <w:r w:rsidRPr="000C4DE9">
        <w:rPr>
          <w:rtl/>
          <w:lang w:val="es-ES"/>
        </w:rPr>
        <w:tab/>
      </w:r>
      <w:r w:rsidRPr="000C4DE9">
        <w:rPr>
          <w:rtl/>
        </w:rPr>
        <w:t xml:space="preserve">ويدّعي صاحب البلاغ أن تعليل اللجنة في قضية </w:t>
      </w:r>
      <w:r w:rsidRPr="001E3F43">
        <w:rPr>
          <w:i/>
          <w:iCs/>
          <w:rtl/>
        </w:rPr>
        <w:t>ر.</w:t>
      </w:r>
      <w:r w:rsidR="001E3F43" w:rsidRPr="001E3F43">
        <w:rPr>
          <w:rFonts w:hint="cs"/>
          <w:i/>
          <w:iCs/>
          <w:rtl/>
        </w:rPr>
        <w:t xml:space="preserve"> </w:t>
      </w:r>
      <w:r w:rsidRPr="001E3F43">
        <w:rPr>
          <w:i/>
          <w:iCs/>
          <w:rtl/>
        </w:rPr>
        <w:t>ل. ضد إسبانيا</w:t>
      </w:r>
      <w:r w:rsidRPr="000C4DE9">
        <w:rPr>
          <w:rtl/>
        </w:rPr>
        <w:t xml:space="preserve"> التي تتعلق</w:t>
      </w:r>
      <w:r w:rsidRPr="000C4DE9">
        <w:rPr>
          <w:rtl/>
          <w:lang w:val="es-ES"/>
        </w:rPr>
        <w:t xml:space="preserve"> </w:t>
      </w:r>
      <w:r w:rsidRPr="000C4DE9">
        <w:rPr>
          <w:rtl/>
        </w:rPr>
        <w:t>بتحديد سن طفل غير مصحوب بذويه لا ينطبق على هذا البلاغ.</w:t>
      </w:r>
      <w:r w:rsidRPr="000C4DE9">
        <w:rPr>
          <w:rtl/>
          <w:lang w:val="es-ES"/>
        </w:rPr>
        <w:t xml:space="preserve"> </w:t>
      </w:r>
      <w:r w:rsidRPr="000C4DE9">
        <w:rPr>
          <w:rtl/>
        </w:rPr>
        <w:t>ويدفع بأنه لا توجد أسباب لكي تقرر اللجنة عدم النظر في هذا البلاغ.</w:t>
      </w:r>
      <w:r w:rsidRPr="000C4DE9">
        <w:rPr>
          <w:rtl/>
          <w:lang w:val="es-ES"/>
        </w:rPr>
        <w:t xml:space="preserve"> </w:t>
      </w:r>
    </w:p>
    <w:p w:rsidR="000C4DE9" w:rsidRPr="000C4DE9" w:rsidRDefault="000C4DE9" w:rsidP="001E3F43">
      <w:pPr>
        <w:pStyle w:val="H23GA"/>
        <w:keepNext/>
        <w:keepLines/>
        <w:spacing w:before="240"/>
        <w:rPr>
          <w:rtl/>
        </w:rPr>
      </w:pPr>
      <w:r w:rsidRPr="000C4DE9">
        <w:rPr>
          <w:rtl/>
          <w:lang w:val="es-ES"/>
        </w:rPr>
        <w:tab/>
      </w:r>
      <w:r w:rsidRPr="000C4DE9">
        <w:rPr>
          <w:rtl/>
          <w:lang w:val="es-ES"/>
        </w:rPr>
        <w:tab/>
      </w:r>
      <w:r w:rsidRPr="000C4DE9">
        <w:rPr>
          <w:rtl/>
        </w:rPr>
        <w:t>ملاحظات مقدمة من أطراف ثالثة</w:t>
      </w:r>
    </w:p>
    <w:p w:rsidR="000C4DE9" w:rsidRPr="000C4DE9" w:rsidRDefault="000C4DE9" w:rsidP="000C4DE9">
      <w:pPr>
        <w:pStyle w:val="SingleTxtGA"/>
        <w:rPr>
          <w:lang w:val="fr-CH"/>
        </w:rPr>
      </w:pPr>
      <w:r w:rsidRPr="000C4DE9">
        <w:rPr>
          <w:rtl/>
        </w:rPr>
        <w:t>١٠-١</w:t>
      </w:r>
      <w:r w:rsidRPr="000C4DE9">
        <w:rPr>
          <w:rtl/>
          <w:lang w:val="es-ES"/>
        </w:rPr>
        <w:tab/>
      </w:r>
      <w:r w:rsidRPr="000C4DE9">
        <w:rPr>
          <w:rtl/>
        </w:rPr>
        <w:t xml:space="preserve">في ٣١ أيار/مايو ٢٠١٨، قدمت لجنة الحقوقيين الدولية، والمجلس الأوروبي المعني باللاجئين والمنفيين، ومركز </w:t>
      </w:r>
      <w:r w:rsidRPr="000C4DE9">
        <w:rPr>
          <w:lang w:val="es-ES"/>
        </w:rPr>
        <w:t>AIRE</w:t>
      </w:r>
      <w:r w:rsidRPr="000C4DE9">
        <w:rPr>
          <w:rtl/>
        </w:rPr>
        <w:t xml:space="preserve"> والمجلس الهولندي للاجئين ملاحظات كأطراف ثالثة</w:t>
      </w:r>
      <w:r w:rsidR="00B65ABB" w:rsidRPr="00B65ABB">
        <w:rPr>
          <w:vertAlign w:val="superscript"/>
          <w:rtl/>
        </w:rPr>
        <w:t>(</w:t>
      </w:r>
      <w:r w:rsidR="00B65ABB" w:rsidRPr="000C4DE9">
        <w:rPr>
          <w:vertAlign w:val="superscript"/>
          <w:rtl/>
          <w:lang w:val="es-ES"/>
        </w:rPr>
        <w:footnoteReference w:id="36"/>
      </w:r>
      <w:r w:rsidR="00B65ABB">
        <w:rPr>
          <w:vertAlign w:val="superscript"/>
          <w:rtl/>
          <w:lang w:val="es-ES"/>
        </w:rPr>
        <w:t>)</w:t>
      </w:r>
      <w:r w:rsidR="00B65ABB">
        <w:rPr>
          <w:rtl/>
        </w:rPr>
        <w:t>.</w:t>
      </w:r>
    </w:p>
    <w:p w:rsidR="000C4DE9" w:rsidRPr="000C4DE9" w:rsidRDefault="000C4DE9" w:rsidP="000C4DE9">
      <w:pPr>
        <w:pStyle w:val="SingleTxtGA"/>
        <w:rPr>
          <w:rtl/>
        </w:rPr>
      </w:pPr>
      <w:r w:rsidRPr="000C4DE9">
        <w:rPr>
          <w:rtl/>
        </w:rPr>
        <w:t>١٠-٢</w:t>
      </w:r>
      <w:r w:rsidRPr="000C4DE9">
        <w:rPr>
          <w:rtl/>
          <w:lang w:val="es-ES"/>
        </w:rPr>
        <w:tab/>
      </w:r>
      <w:r w:rsidRPr="000C4DE9">
        <w:rPr>
          <w:rtl/>
        </w:rPr>
        <w:t>وتشير الأطراف الثالثة إلى أن المحكمة الأوروبية لحقوق الإنسان خلصت إلى أنه عندما تتخذ دولة ما تدابير لمنع دخول الأجانب إلى أراضيها أو لإعادتهم إلى دولة أخرى، فإنها تمارس ولايتها القضائية مع ما يترتب على ذلك من مسؤولية بالنسبة لها</w:t>
      </w:r>
      <w:r w:rsidR="00B65ABB" w:rsidRPr="00B65ABB">
        <w:rPr>
          <w:vertAlign w:val="superscript"/>
          <w:rtl/>
        </w:rPr>
        <w:t>(</w:t>
      </w:r>
      <w:r w:rsidR="00B65ABB" w:rsidRPr="000C4DE9">
        <w:rPr>
          <w:vertAlign w:val="superscript"/>
          <w:rtl/>
          <w:lang w:val="es-ES"/>
        </w:rPr>
        <w:footnoteReference w:id="37"/>
      </w:r>
      <w:r w:rsidR="00B65ABB">
        <w:rPr>
          <w:vertAlign w:val="superscript"/>
          <w:rtl/>
          <w:lang w:val="es-ES"/>
        </w:rPr>
        <w:t>)</w:t>
      </w:r>
      <w:r w:rsidR="00B65ABB">
        <w:rPr>
          <w:rtl/>
        </w:rPr>
        <w:t>.</w:t>
      </w:r>
      <w:r w:rsidRPr="000C4DE9">
        <w:rPr>
          <w:rtl/>
          <w:lang w:val="es-ES"/>
        </w:rPr>
        <w:t xml:space="preserve"> </w:t>
      </w:r>
      <w:r w:rsidRPr="000C4DE9">
        <w:rPr>
          <w:rtl/>
        </w:rPr>
        <w:t>وتضيف هذه الأطراف أنه لا بد من تفسير التزامات الدولة على نحو يحول دون نزع الفعالية عن الحقوق المنصوص عليها في الاتفاقية، وأنه ينبغي تطبيق هذا التفسير دون المساس بأساليب الدولة لمراقبة الحدود. وهكذا، لا تكون مسألة الدخول إلى إقليم دولة ما عاملا</w:t>
      </w:r>
      <w:r w:rsidR="00096681">
        <w:rPr>
          <w:rFonts w:hint="cs"/>
          <w:rtl/>
        </w:rPr>
        <w:t>ً</w:t>
      </w:r>
      <w:r w:rsidRPr="000C4DE9">
        <w:rPr>
          <w:rtl/>
        </w:rPr>
        <w:t xml:space="preserve"> حاسما</w:t>
      </w:r>
      <w:r w:rsidR="00096681">
        <w:rPr>
          <w:rFonts w:hint="cs"/>
          <w:rtl/>
        </w:rPr>
        <w:t>ً</w:t>
      </w:r>
      <w:r w:rsidRPr="000C4DE9">
        <w:rPr>
          <w:rtl/>
        </w:rPr>
        <w:t xml:space="preserve"> عند تقييم ما إذا كانت الدولة تمارس، أو قد مارست، ولايتها القضائية</w:t>
      </w:r>
      <w:r w:rsidR="00B65ABB" w:rsidRPr="00B65ABB">
        <w:rPr>
          <w:vertAlign w:val="superscript"/>
          <w:rtl/>
        </w:rPr>
        <w:t>(</w:t>
      </w:r>
      <w:r w:rsidR="00B65ABB" w:rsidRPr="000C4DE9">
        <w:rPr>
          <w:vertAlign w:val="superscript"/>
          <w:rtl/>
          <w:lang w:val="es-ES"/>
        </w:rPr>
        <w:footnoteReference w:id="38"/>
      </w:r>
      <w:r w:rsidR="00B65ABB">
        <w:rPr>
          <w:vertAlign w:val="superscript"/>
          <w:rtl/>
          <w:lang w:val="es-ES"/>
        </w:rPr>
        <w:t>)</w:t>
      </w:r>
      <w:r w:rsidR="00B65ABB">
        <w:rPr>
          <w:rtl/>
        </w:rPr>
        <w:t>.</w:t>
      </w:r>
      <w:r w:rsidRPr="000C4DE9">
        <w:rPr>
          <w:rtl/>
          <w:lang w:val="es-ES"/>
        </w:rPr>
        <w:t xml:space="preserve"> </w:t>
      </w:r>
    </w:p>
    <w:p w:rsidR="000C4DE9" w:rsidRPr="000C4DE9" w:rsidRDefault="000C4DE9" w:rsidP="000C4DE9">
      <w:pPr>
        <w:pStyle w:val="SingleTxtGA"/>
        <w:rPr>
          <w:rtl/>
        </w:rPr>
      </w:pPr>
      <w:r w:rsidRPr="000C4DE9">
        <w:rPr>
          <w:rtl/>
        </w:rPr>
        <w:t>١٠-٣</w:t>
      </w:r>
      <w:r w:rsidRPr="000C4DE9">
        <w:rPr>
          <w:rtl/>
          <w:lang w:val="es-ES"/>
        </w:rPr>
        <w:tab/>
      </w:r>
      <w:r w:rsidRPr="000C4DE9">
        <w:rPr>
          <w:rtl/>
        </w:rPr>
        <w:t>وتدفع الأطراف الثالثة بأنه يتعين على الدولة السماح للأطفال الموجودين على حدودها الخاضعة لسلطتها أو لسيطرتها الفعلية بالوصول إلى أراضيها، باعتبار ذلك شرطا</w:t>
      </w:r>
      <w:r w:rsidR="00096681">
        <w:rPr>
          <w:rFonts w:hint="cs"/>
          <w:rtl/>
        </w:rPr>
        <w:t>ً</w:t>
      </w:r>
      <w:r w:rsidRPr="000C4DE9">
        <w:rPr>
          <w:rtl/>
        </w:rPr>
        <w:t xml:space="preserve"> مسبقا</w:t>
      </w:r>
      <w:r w:rsidR="00096681">
        <w:rPr>
          <w:rFonts w:hint="cs"/>
          <w:rtl/>
        </w:rPr>
        <w:t>ً</w:t>
      </w:r>
      <w:r w:rsidRPr="000C4DE9">
        <w:rPr>
          <w:rtl/>
        </w:rPr>
        <w:t xml:space="preserve"> لإجراء عملية تقييم أولي.</w:t>
      </w:r>
      <w:r w:rsidRPr="000C4DE9">
        <w:rPr>
          <w:rtl/>
          <w:lang w:val="es-ES"/>
        </w:rPr>
        <w:t xml:space="preserve"> </w:t>
      </w:r>
      <w:r w:rsidRPr="000C4DE9">
        <w:rPr>
          <w:rtl/>
        </w:rPr>
        <w:t>وتضيف أنه ينبغي منح الأطفال فرصة تقديم اعتراضات بناءة على طردهم المحتمل، كما يقتضيه مبدأ عدم الإعادة القسرية وحظر الطرد الجماعي.</w:t>
      </w:r>
      <w:r w:rsidRPr="000C4DE9">
        <w:rPr>
          <w:rtl/>
          <w:lang w:val="es-ES"/>
        </w:rPr>
        <w:t xml:space="preserve"> </w:t>
      </w:r>
      <w:r w:rsidRPr="000C4DE9">
        <w:rPr>
          <w:rtl/>
        </w:rPr>
        <w:t>وتضيف أنه يتعين على الدولة، وفقا</w:t>
      </w:r>
      <w:r w:rsidR="00096681">
        <w:rPr>
          <w:rFonts w:hint="cs"/>
          <w:rtl/>
        </w:rPr>
        <w:t>ً</w:t>
      </w:r>
      <w:r w:rsidRPr="000C4DE9">
        <w:rPr>
          <w:rtl/>
        </w:rPr>
        <w:t xml:space="preserve"> للاتفاقية، السماح للأطفال بالدخول إلى إقليمها كشرط مسبق لإجراء عملية التقييم الأولي في إطار امتثال التزاماتها بموجب المواد ٣ و٢٠ و٣٧ من الاتفاقية.</w:t>
      </w:r>
      <w:r w:rsidRPr="000C4DE9">
        <w:rPr>
          <w:rtl/>
          <w:lang w:val="es-ES"/>
        </w:rPr>
        <w:t xml:space="preserve"> </w:t>
      </w:r>
    </w:p>
    <w:p w:rsidR="000C4DE9" w:rsidRPr="000C4DE9" w:rsidRDefault="000C4DE9" w:rsidP="001E3F43">
      <w:pPr>
        <w:pStyle w:val="H23GA"/>
        <w:keepNext/>
        <w:keepLines/>
        <w:spacing w:before="240"/>
        <w:rPr>
          <w:rtl/>
        </w:rPr>
      </w:pPr>
      <w:r w:rsidRPr="000C4DE9">
        <w:rPr>
          <w:rtl/>
          <w:lang w:val="es-ES"/>
        </w:rPr>
        <w:tab/>
      </w:r>
      <w:r w:rsidRPr="000C4DE9">
        <w:rPr>
          <w:rtl/>
          <w:lang w:val="es-ES"/>
        </w:rPr>
        <w:tab/>
      </w:r>
      <w:r w:rsidRPr="000C4DE9">
        <w:rPr>
          <w:rtl/>
        </w:rPr>
        <w:t>تعليقات الأطراف على ملاحظات أطراف ثالثة</w:t>
      </w:r>
    </w:p>
    <w:p w:rsidR="000C4DE9" w:rsidRPr="000C4DE9" w:rsidRDefault="000C4DE9" w:rsidP="000C4DE9">
      <w:pPr>
        <w:pStyle w:val="SingleTxtGA"/>
        <w:rPr>
          <w:rtl/>
        </w:rPr>
      </w:pPr>
      <w:r w:rsidRPr="000C4DE9">
        <w:rPr>
          <w:rtl/>
        </w:rPr>
        <w:t>١١-</w:t>
      </w:r>
      <w:r w:rsidRPr="000C4DE9">
        <w:rPr>
          <w:rtl/>
          <w:lang w:val="es-ES"/>
        </w:rPr>
        <w:tab/>
      </w:r>
      <w:r w:rsidRPr="000C4DE9">
        <w:rPr>
          <w:rtl/>
        </w:rPr>
        <w:t>يشير صاحب البلاغ، في ملاحظاته المؤرخة في ٣١ تموز/يوليه ٢٠١٨، أن الملاحظات تعيد تأكيد نطاق ومضمون التزامات الدولة الطرف فيما يتعلق بالانتهاكات المزعومة للمواد ٣ و٢٠ و٣٧ من الاتفاقية.</w:t>
      </w:r>
      <w:r w:rsidRPr="000C4DE9">
        <w:rPr>
          <w:rtl/>
          <w:lang w:val="es-ES"/>
        </w:rPr>
        <w:t xml:space="preserve"> </w:t>
      </w:r>
    </w:p>
    <w:p w:rsidR="000C4DE9" w:rsidRPr="000C4DE9" w:rsidRDefault="000C4DE9" w:rsidP="000C4DE9">
      <w:pPr>
        <w:pStyle w:val="SingleTxtGA"/>
        <w:rPr>
          <w:rtl/>
        </w:rPr>
      </w:pPr>
      <w:r w:rsidRPr="000C4DE9">
        <w:rPr>
          <w:rtl/>
        </w:rPr>
        <w:t>١٢-١</w:t>
      </w:r>
      <w:r w:rsidRPr="000C4DE9">
        <w:rPr>
          <w:rtl/>
          <w:lang w:val="es-ES"/>
        </w:rPr>
        <w:tab/>
      </w:r>
      <w:r w:rsidRPr="000C4DE9">
        <w:rPr>
          <w:rtl/>
        </w:rPr>
        <w:t>وتدفع الدولة الطرف، في ملاحظاتها المؤرخة ٣١ آب/أغسطس ٢٠١٨، أن ملاحظات الأطراف الثالثة تستند إلى افتراضات خاطئة، لأنه بإمكان أي شخص يرغب في التماس اللجوء في إسبانيا أن يفعل ذلك من خارج الأراضي الإسبانية دون الحاجة إلى الانخراط في عصابة تنفّذ عمليات اقتحام غير قانونية وجماعية وعنيفة للسياج الحدودي.</w:t>
      </w:r>
      <w:r w:rsidRPr="000C4DE9">
        <w:rPr>
          <w:rtl/>
          <w:lang w:val="es-ES"/>
        </w:rPr>
        <w:t xml:space="preserve"> </w:t>
      </w:r>
      <w:r w:rsidRPr="000C4DE9">
        <w:rPr>
          <w:rtl/>
        </w:rPr>
        <w:t>وهكذا، يحق لإسبانيا منع الدخول غير المشروع إلى أراضيها، وفقا</w:t>
      </w:r>
      <w:r w:rsidR="00096681">
        <w:rPr>
          <w:rFonts w:hint="cs"/>
          <w:rtl/>
        </w:rPr>
        <w:t>ً</w:t>
      </w:r>
      <w:r w:rsidRPr="000C4DE9">
        <w:rPr>
          <w:rtl/>
        </w:rPr>
        <w:t xml:space="preserve"> للمادة ٥١ من ميثاق الأمم المتحدة (بشأن </w:t>
      </w:r>
      <w:r w:rsidRPr="000C4DE9">
        <w:rPr>
          <w:rtl/>
        </w:rPr>
        <w:lastRenderedPageBreak/>
        <w:t>الحق في الدفاع عن النفس) والمادة ١٣ من اللائحة التنظيمية رقم ٢٠١٦/٣٩٩ للبرلمان الأوروبي والمجلس (الاتحاد الأوروبي) التي صدرت في ٩ آذار/مارس ٢٠١٦ والتي وُضعت بموجبها مدونة قواعد للاتحاد بشأن تنقل الأشخاص عبر الحدود (قانون شنغن للحدود) (بشأن منع</w:t>
      </w:r>
      <w:r w:rsidR="00406758">
        <w:rPr>
          <w:rFonts w:hint="cs"/>
          <w:rtl/>
        </w:rPr>
        <w:t> </w:t>
      </w:r>
      <w:r w:rsidRPr="000C4DE9">
        <w:rPr>
          <w:rtl/>
        </w:rPr>
        <w:t>العبور غير المأذون للحدود).</w:t>
      </w:r>
      <w:r w:rsidRPr="000C4DE9">
        <w:rPr>
          <w:rtl/>
          <w:lang w:val="es-ES"/>
        </w:rPr>
        <w:t xml:space="preserve"> </w:t>
      </w:r>
      <w:r w:rsidRPr="000C4DE9">
        <w:rPr>
          <w:rtl/>
        </w:rPr>
        <w:t>وتضيف الدولة الطرف أنه يستبعد من حق اللجوء، وفقا</w:t>
      </w:r>
      <w:r w:rsidR="00096681">
        <w:rPr>
          <w:rFonts w:hint="cs"/>
          <w:rtl/>
        </w:rPr>
        <w:t>ً</w:t>
      </w:r>
      <w:r w:rsidRPr="000C4DE9">
        <w:rPr>
          <w:rtl/>
        </w:rPr>
        <w:t xml:space="preserve"> للمادة ١(واو)(ج) من الاتفاقية الخاصة بوضع اللاجئين، الأشخاص الذين يرتكبون أفعالا</w:t>
      </w:r>
      <w:r w:rsidR="00096681">
        <w:rPr>
          <w:rFonts w:hint="cs"/>
          <w:rtl/>
        </w:rPr>
        <w:t>ً</w:t>
      </w:r>
      <w:r w:rsidRPr="000C4DE9">
        <w:rPr>
          <w:rtl/>
        </w:rPr>
        <w:t xml:space="preserve"> تتنافى مع مقاصد ومبادئ الأمم المتحدة.</w:t>
      </w:r>
      <w:r w:rsidRPr="000C4DE9">
        <w:rPr>
          <w:rtl/>
          <w:lang w:val="es-ES"/>
        </w:rPr>
        <w:t xml:space="preserve"> </w:t>
      </w:r>
    </w:p>
    <w:p w:rsidR="000C4DE9" w:rsidRPr="000C4DE9" w:rsidRDefault="000C4DE9" w:rsidP="000C4DE9">
      <w:pPr>
        <w:pStyle w:val="SingleTxtGA"/>
        <w:rPr>
          <w:rtl/>
        </w:rPr>
      </w:pPr>
      <w:r w:rsidRPr="000C4DE9">
        <w:rPr>
          <w:rtl/>
        </w:rPr>
        <w:t>١٢-٢</w:t>
      </w:r>
      <w:r w:rsidRPr="000C4DE9">
        <w:rPr>
          <w:rtl/>
          <w:lang w:val="es-ES"/>
        </w:rPr>
        <w:tab/>
      </w:r>
      <w:r w:rsidRPr="000C4DE9">
        <w:rPr>
          <w:rtl/>
        </w:rPr>
        <w:t>وتدّعي الدولة الطرف أن مبدأ عدم الإعادة القسرية لا ينطبق إلا إذا كان الشخص يأتي من إقليم يواجه فيه خطر التعرض للاضطهاد، وهو ما لا يحدث في هذه القضية.</w:t>
      </w:r>
      <w:r w:rsidRPr="000C4DE9">
        <w:rPr>
          <w:rtl/>
          <w:lang w:val="es-ES"/>
        </w:rPr>
        <w:t xml:space="preserve"> </w:t>
      </w:r>
      <w:r w:rsidRPr="000C4DE9">
        <w:rPr>
          <w:rtl/>
        </w:rPr>
        <w:t>وتدعي أيضا</w:t>
      </w:r>
      <w:r w:rsidR="00096681">
        <w:rPr>
          <w:rFonts w:hint="cs"/>
          <w:rtl/>
        </w:rPr>
        <w:t>ً</w:t>
      </w:r>
      <w:r w:rsidRPr="000C4DE9">
        <w:rPr>
          <w:rtl/>
        </w:rPr>
        <w:t xml:space="preserve"> أنه لا يوجد أي دليل، في الحالات المعروضة على المؤسسات الدولية بشأن عمليات الهجوم على السياج الحدودي، على تعرض المشتكين للاضطهاد على يد السلطات المغربية.</w:t>
      </w:r>
      <w:r w:rsidRPr="000C4DE9">
        <w:rPr>
          <w:rtl/>
          <w:lang w:val="es-ES"/>
        </w:rPr>
        <w:t xml:space="preserve"> </w:t>
      </w:r>
      <w:r w:rsidRPr="000C4DE9">
        <w:rPr>
          <w:rtl/>
        </w:rPr>
        <w:t>وتضيف أن الأمر يتعلق بقضايا هجرة تختلف أسبابها عن تلك التي تسمح بالتماس اللجوء لأنها غير مترتبة على حالة اضطهاد.</w:t>
      </w:r>
      <w:r w:rsidRPr="000C4DE9">
        <w:rPr>
          <w:rtl/>
          <w:lang w:val="es-ES"/>
        </w:rPr>
        <w:t xml:space="preserve"> </w:t>
      </w:r>
    </w:p>
    <w:p w:rsidR="000C4DE9" w:rsidRPr="000C4DE9" w:rsidRDefault="000C4DE9" w:rsidP="000C4DE9">
      <w:pPr>
        <w:pStyle w:val="SingleTxtGA"/>
        <w:rPr>
          <w:rtl/>
        </w:rPr>
      </w:pPr>
      <w:r w:rsidRPr="000C4DE9">
        <w:rPr>
          <w:rtl/>
        </w:rPr>
        <w:t>١٢-٣</w:t>
      </w:r>
      <w:r w:rsidRPr="000C4DE9">
        <w:rPr>
          <w:rtl/>
          <w:lang w:val="es-ES"/>
        </w:rPr>
        <w:tab/>
      </w:r>
      <w:r w:rsidRPr="000C4DE9">
        <w:rPr>
          <w:rtl/>
        </w:rPr>
        <w:t>وتدّعي الدولة الطرف أن السلطات الإسبانية حاولت في البداية، وفقا</w:t>
      </w:r>
      <w:r w:rsidR="00096681">
        <w:rPr>
          <w:rFonts w:hint="cs"/>
          <w:rtl/>
        </w:rPr>
        <w:t>ً</w:t>
      </w:r>
      <w:r w:rsidRPr="000C4DE9">
        <w:rPr>
          <w:rtl/>
        </w:rPr>
        <w:t xml:space="preserve"> للفقرة ٢ من المادة ٢٢ من الاتفاقية، تحديد مكان وجود أسرة الطفل الأجنبي غير المصحوب بذويه، واتخذت، في غضون ذلك، تدابير الحماية اللازمة.</w:t>
      </w:r>
      <w:r w:rsidRPr="000C4DE9">
        <w:rPr>
          <w:rtl/>
          <w:lang w:val="es-ES"/>
        </w:rPr>
        <w:t xml:space="preserve"> </w:t>
      </w:r>
    </w:p>
    <w:p w:rsidR="000C4DE9" w:rsidRPr="000C4DE9" w:rsidRDefault="000C4DE9" w:rsidP="000C4DE9">
      <w:pPr>
        <w:pStyle w:val="SingleTxtGA"/>
        <w:rPr>
          <w:lang w:val="es-ES"/>
        </w:rPr>
      </w:pPr>
      <w:r w:rsidRPr="000C4DE9">
        <w:rPr>
          <w:rtl/>
        </w:rPr>
        <w:t>١٢-٤</w:t>
      </w:r>
      <w:r w:rsidRPr="000C4DE9">
        <w:rPr>
          <w:rtl/>
          <w:lang w:val="es-ES"/>
        </w:rPr>
        <w:tab/>
      </w:r>
      <w:r w:rsidRPr="000C4DE9">
        <w:rPr>
          <w:rtl/>
        </w:rPr>
        <w:t>وتكرّر الدولة الطرف أن الطفل الذي لا يتجاوز جهاز حماية الحدود لا يكون خاضعا</w:t>
      </w:r>
      <w:r w:rsidR="00096681">
        <w:rPr>
          <w:rFonts w:hint="cs"/>
          <w:rtl/>
        </w:rPr>
        <w:t>ً</w:t>
      </w:r>
      <w:r w:rsidRPr="000C4DE9">
        <w:rPr>
          <w:rtl/>
        </w:rPr>
        <w:t xml:space="preserve"> للولاية القضائية الإسبانية.</w:t>
      </w:r>
      <w:r w:rsidRPr="000C4DE9">
        <w:rPr>
          <w:rtl/>
          <w:lang w:val="es-ES"/>
        </w:rPr>
        <w:t xml:space="preserve"> </w:t>
      </w:r>
      <w:r w:rsidRPr="000C4DE9">
        <w:rPr>
          <w:rtl/>
        </w:rPr>
        <w:t>ونصت المحكمة الأوروبية لحقوق الإنسان على توسيع نطاق الولاية القضائية للدولة إلى خارج إقليمها في الحالات التي يتعذر فيها على المهاجرين التماس دخول الإقليم بصورة قانونية</w:t>
      </w:r>
      <w:r w:rsidR="00B65ABB" w:rsidRPr="00B65ABB">
        <w:rPr>
          <w:vertAlign w:val="superscript"/>
          <w:rtl/>
        </w:rPr>
        <w:t>(</w:t>
      </w:r>
      <w:r w:rsidR="00B65ABB" w:rsidRPr="000C4DE9">
        <w:rPr>
          <w:vertAlign w:val="superscript"/>
          <w:rtl/>
          <w:lang w:val="es-ES"/>
        </w:rPr>
        <w:footnoteReference w:id="39"/>
      </w:r>
      <w:r w:rsidR="00B65ABB">
        <w:rPr>
          <w:vertAlign w:val="superscript"/>
          <w:rtl/>
          <w:lang w:val="es-ES"/>
        </w:rPr>
        <w:t>)</w:t>
      </w:r>
      <w:r w:rsidR="00B65ABB">
        <w:rPr>
          <w:rtl/>
        </w:rPr>
        <w:t>.</w:t>
      </w:r>
    </w:p>
    <w:p w:rsidR="000C4DE9" w:rsidRPr="000C4DE9" w:rsidRDefault="000C4DE9" w:rsidP="001E3F43">
      <w:pPr>
        <w:pStyle w:val="H23GA"/>
        <w:keepNext/>
        <w:keepLines/>
        <w:spacing w:before="240"/>
        <w:rPr>
          <w:rtl/>
        </w:rPr>
      </w:pPr>
      <w:r w:rsidRPr="000C4DE9">
        <w:rPr>
          <w:rtl/>
          <w:lang w:val="es-ES"/>
        </w:rPr>
        <w:tab/>
      </w:r>
      <w:r w:rsidRPr="000C4DE9">
        <w:rPr>
          <w:rtl/>
          <w:lang w:val="es-ES"/>
        </w:rPr>
        <w:tab/>
      </w:r>
      <w:r w:rsidRPr="000C4DE9">
        <w:rPr>
          <w:rtl/>
        </w:rPr>
        <w:t>القضايا والإجراءات المعروضة على اللجنة</w:t>
      </w:r>
    </w:p>
    <w:p w:rsidR="000C4DE9" w:rsidRPr="000C4DE9" w:rsidRDefault="000C4DE9" w:rsidP="00483B03">
      <w:pPr>
        <w:pStyle w:val="H4GA"/>
        <w:rPr>
          <w:rtl/>
        </w:rPr>
      </w:pPr>
      <w:r w:rsidRPr="000C4DE9">
        <w:rPr>
          <w:rtl/>
          <w:lang w:val="es-ES"/>
        </w:rPr>
        <w:tab/>
      </w:r>
      <w:r w:rsidRPr="000C4DE9">
        <w:rPr>
          <w:rtl/>
          <w:lang w:val="es-ES"/>
        </w:rPr>
        <w:tab/>
      </w:r>
      <w:r w:rsidRPr="000C4DE9">
        <w:rPr>
          <w:rtl/>
        </w:rPr>
        <w:t>النظر في مقبولية البلاغ</w:t>
      </w:r>
    </w:p>
    <w:p w:rsidR="000C4DE9" w:rsidRPr="000C4DE9" w:rsidRDefault="000C4DE9" w:rsidP="000C4DE9">
      <w:pPr>
        <w:pStyle w:val="SingleTxtGA"/>
        <w:rPr>
          <w:rtl/>
        </w:rPr>
      </w:pPr>
      <w:r w:rsidRPr="000C4DE9">
        <w:rPr>
          <w:rtl/>
        </w:rPr>
        <w:t>١٣-١</w:t>
      </w:r>
      <w:r w:rsidRPr="000C4DE9">
        <w:rPr>
          <w:rtl/>
          <w:lang w:val="es-ES"/>
        </w:rPr>
        <w:tab/>
      </w:r>
      <w:r w:rsidRPr="000C4DE9">
        <w:rPr>
          <w:rtl/>
        </w:rPr>
        <w:t xml:space="preserve">قبل النظر في أي ادعاء يرِد في بلاغ ما، يجب على اللجنة أن تقرر، وفقاً لما تقتضيه المادة </w:t>
      </w:r>
      <w:r w:rsidRPr="000C4DE9">
        <w:rPr>
          <w:rtl/>
          <w:lang w:val="es-ES"/>
        </w:rPr>
        <w:t>20</w:t>
      </w:r>
      <w:r w:rsidRPr="000C4DE9">
        <w:rPr>
          <w:rtl/>
        </w:rPr>
        <w:t xml:space="preserve"> من نظامها الداخلي، ما إذا كان البلاغ مقبولاً أم لا بموجب البروتوكول الاختياري.</w:t>
      </w:r>
      <w:r w:rsidRPr="000C4DE9">
        <w:rPr>
          <w:rFonts w:ascii="Arial" w:hAnsi="Arial" w:cs="Arial" w:hint="cs"/>
          <w:rtl/>
        </w:rPr>
        <w:t>‬</w:t>
      </w:r>
      <w:r w:rsidRPr="000C4DE9">
        <w:rPr>
          <w:rtl/>
          <w:lang w:val="es-ES"/>
        </w:rPr>
        <w:t xml:space="preserve"> </w:t>
      </w:r>
    </w:p>
    <w:p w:rsidR="000C4DE9" w:rsidRPr="000C4DE9" w:rsidRDefault="000C4DE9" w:rsidP="000C4DE9">
      <w:pPr>
        <w:pStyle w:val="SingleTxtGA"/>
        <w:rPr>
          <w:rtl/>
        </w:rPr>
      </w:pPr>
      <w:r w:rsidRPr="000C4DE9">
        <w:rPr>
          <w:rtl/>
        </w:rPr>
        <w:t>١٣-٢</w:t>
      </w:r>
      <w:r w:rsidRPr="000C4DE9">
        <w:rPr>
          <w:rtl/>
          <w:lang w:val="es-ES"/>
        </w:rPr>
        <w:tab/>
      </w:r>
      <w:r w:rsidRPr="000C4DE9">
        <w:rPr>
          <w:rtl/>
        </w:rPr>
        <w:t>وتحيط اللجنة علما</w:t>
      </w:r>
      <w:r w:rsidR="00096681">
        <w:rPr>
          <w:rFonts w:hint="cs"/>
          <w:rtl/>
        </w:rPr>
        <w:t>ً</w:t>
      </w:r>
      <w:r w:rsidRPr="000C4DE9">
        <w:rPr>
          <w:rtl/>
        </w:rPr>
        <w:t xml:space="preserve"> بحجج الدولة الطرف أن البلاغ غير مقبول من حيث الاختصاص الشخصي لأن صاحب البلاغ ذكر في البداية أنه راشد بعد دخوله إسبانيا، من جهة، ولأنه قد لا يكون الشخص نفسه الذي دخل إسبانيا في ٣٠ كانون الأول/ديسمبر ٢٠١٤ وسُجّل تحت الاسم ي. د.، من جهة أخرى. غير أن اللجنة تلاحظ أن شهادة الميلاد وجواز السفر والبطاقة القنصلية المالية، وهي جميعها وثائق رسمية صادرة باسم صاحب البلاغ وينبغي اعتبارها صحيحة في غياب ما يثبت العكس، تبين أن صاحب البلاغ كان عمره ١٥ سنة حين وقوع الأحداث في ٢ كانون الأول/ديسمبر ٢٠١٤.</w:t>
      </w:r>
      <w:r w:rsidRPr="000C4DE9">
        <w:rPr>
          <w:rtl/>
          <w:lang w:val="es-ES"/>
        </w:rPr>
        <w:t xml:space="preserve"> </w:t>
      </w:r>
      <w:r w:rsidRPr="000C4DE9">
        <w:rPr>
          <w:rtl/>
        </w:rPr>
        <w:t>وتلاحظ اللجنة أيضا</w:t>
      </w:r>
      <w:r w:rsidR="00096681">
        <w:rPr>
          <w:rFonts w:hint="cs"/>
          <w:rtl/>
        </w:rPr>
        <w:t>ً</w:t>
      </w:r>
      <w:r w:rsidRPr="000C4DE9">
        <w:rPr>
          <w:rtl/>
        </w:rPr>
        <w:t xml:space="preserve"> أن الدولة الطرف نفسها اعترفت بصحة هذه الوثائق من خلال تزويدها صاحب البلاغ برخصة إقامة وشهادة وصاية قانونية صادرة عن إقليم مدريد.</w:t>
      </w:r>
    </w:p>
    <w:p w:rsidR="000C4DE9" w:rsidRPr="00ED33F9" w:rsidRDefault="000C4DE9" w:rsidP="000C4DE9">
      <w:pPr>
        <w:pStyle w:val="SingleTxtGA"/>
        <w:rPr>
          <w:spacing w:val="-2"/>
          <w:rtl/>
        </w:rPr>
      </w:pPr>
      <w:r w:rsidRPr="000C4DE9">
        <w:rPr>
          <w:rtl/>
        </w:rPr>
        <w:lastRenderedPageBreak/>
        <w:t>١٣-٣</w:t>
      </w:r>
      <w:r w:rsidRPr="000C4DE9">
        <w:rPr>
          <w:rtl/>
          <w:lang w:val="es-ES"/>
        </w:rPr>
        <w:tab/>
      </w:r>
      <w:r w:rsidRPr="000C4DE9">
        <w:rPr>
          <w:rtl/>
        </w:rPr>
        <w:t xml:space="preserve">وفيما يتعلق بعدم وجود تطابق بين الشخص المسجّل لدى السلطات الإسبانية وصاحب البلاغ، تشير اللجنة إلى عدم وجود دليل قاطع في السجل يبين أن صاحب البلاغ ليس هو الشخص نفسه الذي حاول دخول </w:t>
      </w:r>
      <w:proofErr w:type="spellStart"/>
      <w:r w:rsidRPr="000C4DE9">
        <w:rPr>
          <w:rtl/>
        </w:rPr>
        <w:t>مليلية</w:t>
      </w:r>
      <w:proofErr w:type="spellEnd"/>
      <w:r w:rsidRPr="000C4DE9">
        <w:rPr>
          <w:rtl/>
        </w:rPr>
        <w:t xml:space="preserve"> في ٢ كانون الأول/ديسمبر ٢٠١٤ في </w:t>
      </w:r>
      <w:r w:rsidRPr="00ED33F9">
        <w:rPr>
          <w:spacing w:val="-2"/>
          <w:rtl/>
        </w:rPr>
        <w:t>الظروف المبينة أعلاه.</w:t>
      </w:r>
      <w:r w:rsidRPr="00ED33F9">
        <w:rPr>
          <w:spacing w:val="-2"/>
          <w:rtl/>
          <w:lang w:val="es-ES"/>
        </w:rPr>
        <w:t xml:space="preserve"> </w:t>
      </w:r>
      <w:r w:rsidRPr="00ED33F9">
        <w:rPr>
          <w:spacing w:val="-2"/>
          <w:rtl/>
        </w:rPr>
        <w:t>وتعتبر اللجنة أن عبء الإثبات لا يمكن أن يقع على كاهل صاحب البلاغ وحده، لا سيما بالنظر إلى أن صاحب البلاغ والدولة الطرف لا يتساويان دائماً في إمكانية الحصول على الأدلة، وأن الدولة الطرف وحدها التي تملك في كثير من الأحيان المعلومات ذات الصلة</w:t>
      </w:r>
      <w:r w:rsidR="00B65ABB" w:rsidRPr="00ED33F9">
        <w:rPr>
          <w:spacing w:val="-2"/>
          <w:vertAlign w:val="superscript"/>
          <w:rtl/>
        </w:rPr>
        <w:t>(</w:t>
      </w:r>
      <w:r w:rsidR="00B65ABB" w:rsidRPr="00ED33F9">
        <w:rPr>
          <w:spacing w:val="-2"/>
          <w:vertAlign w:val="superscript"/>
          <w:rtl/>
          <w:lang w:val="es-ES"/>
        </w:rPr>
        <w:footnoteReference w:id="40"/>
      </w:r>
      <w:r w:rsidR="00B65ABB" w:rsidRPr="00ED33F9">
        <w:rPr>
          <w:spacing w:val="-2"/>
          <w:vertAlign w:val="superscript"/>
          <w:rtl/>
          <w:lang w:val="es-ES"/>
        </w:rPr>
        <w:t>)</w:t>
      </w:r>
      <w:r w:rsidR="00B65ABB" w:rsidRPr="00ED33F9">
        <w:rPr>
          <w:spacing w:val="-2"/>
          <w:rtl/>
        </w:rPr>
        <w:t>.</w:t>
      </w:r>
      <w:r w:rsidRPr="00ED33F9">
        <w:rPr>
          <w:spacing w:val="-2"/>
          <w:rtl/>
          <w:lang w:val="es-ES"/>
        </w:rPr>
        <w:t xml:space="preserve"> </w:t>
      </w:r>
      <w:r w:rsidRPr="00ED33F9">
        <w:rPr>
          <w:spacing w:val="-2"/>
          <w:rtl/>
        </w:rPr>
        <w:t>وفي هذه القضية، ترى اللجنة أن صاحب البلاغ قدّم سردا</w:t>
      </w:r>
      <w:r w:rsidR="00096681" w:rsidRPr="00ED33F9">
        <w:rPr>
          <w:rFonts w:hint="cs"/>
          <w:spacing w:val="-2"/>
          <w:rtl/>
        </w:rPr>
        <w:t>ً</w:t>
      </w:r>
      <w:r w:rsidRPr="00ED33F9">
        <w:rPr>
          <w:spacing w:val="-2"/>
          <w:rtl/>
        </w:rPr>
        <w:t xml:space="preserve"> موثوقا</w:t>
      </w:r>
      <w:r w:rsidR="00096681" w:rsidRPr="00ED33F9">
        <w:rPr>
          <w:rFonts w:hint="cs"/>
          <w:spacing w:val="-2"/>
          <w:rtl/>
        </w:rPr>
        <w:t>ً</w:t>
      </w:r>
      <w:r w:rsidRPr="00ED33F9">
        <w:rPr>
          <w:spacing w:val="-2"/>
          <w:rtl/>
        </w:rPr>
        <w:t xml:space="preserve"> ومتّسقا</w:t>
      </w:r>
      <w:r w:rsidR="00096681" w:rsidRPr="00ED33F9">
        <w:rPr>
          <w:rFonts w:hint="cs"/>
          <w:spacing w:val="-2"/>
          <w:rtl/>
        </w:rPr>
        <w:t>ً</w:t>
      </w:r>
      <w:r w:rsidRPr="00ED33F9">
        <w:rPr>
          <w:spacing w:val="-2"/>
          <w:rtl/>
        </w:rPr>
        <w:t xml:space="preserve"> للوقائع ودعّم ذلك بالأدلة.</w:t>
      </w:r>
      <w:r w:rsidRPr="00ED33F9">
        <w:rPr>
          <w:spacing w:val="-2"/>
          <w:rtl/>
          <w:lang w:val="es-ES"/>
        </w:rPr>
        <w:t xml:space="preserve"> </w:t>
      </w:r>
      <w:r w:rsidRPr="00ED33F9">
        <w:rPr>
          <w:spacing w:val="-2"/>
          <w:rtl/>
        </w:rPr>
        <w:t>وتحيط اللجنة علما</w:t>
      </w:r>
      <w:r w:rsidR="00096681" w:rsidRPr="00ED33F9">
        <w:rPr>
          <w:rFonts w:hint="cs"/>
          <w:spacing w:val="-2"/>
          <w:rtl/>
        </w:rPr>
        <w:t>ً</w:t>
      </w:r>
      <w:r w:rsidRPr="00ED33F9">
        <w:rPr>
          <w:spacing w:val="-2"/>
          <w:rtl/>
        </w:rPr>
        <w:t xml:space="preserve"> أيضا</w:t>
      </w:r>
      <w:r w:rsidR="00096681" w:rsidRPr="00ED33F9">
        <w:rPr>
          <w:rFonts w:hint="cs"/>
          <w:spacing w:val="-2"/>
          <w:rtl/>
        </w:rPr>
        <w:t>ً</w:t>
      </w:r>
      <w:r w:rsidRPr="00ED33F9">
        <w:rPr>
          <w:spacing w:val="-2"/>
          <w:rtl/>
        </w:rPr>
        <w:t xml:space="preserve"> بادّعاءات صاحب البلاغ أنه كان بإمكان الدولة الطرف المقارنة بين بصمات الشخص المسجل تحت الاسم ي. د. وبصمات صاحب البلاغ.</w:t>
      </w:r>
      <w:r w:rsidRPr="00ED33F9">
        <w:rPr>
          <w:spacing w:val="-2"/>
          <w:rtl/>
          <w:lang w:val="es-ES"/>
        </w:rPr>
        <w:t xml:space="preserve"> </w:t>
      </w:r>
      <w:r w:rsidRPr="00ED33F9">
        <w:rPr>
          <w:spacing w:val="-2"/>
          <w:rtl/>
        </w:rPr>
        <w:t>وبناء عليه، ترى اللجنة أن هذا البلاغ مقبول من حيث الاختصاص الشخصي.</w:t>
      </w:r>
      <w:r w:rsidRPr="00ED33F9">
        <w:rPr>
          <w:spacing w:val="-2"/>
          <w:rtl/>
          <w:lang w:val="es-ES"/>
        </w:rPr>
        <w:t xml:space="preserve"> </w:t>
      </w:r>
    </w:p>
    <w:p w:rsidR="000C4DE9" w:rsidRPr="000C4DE9" w:rsidRDefault="000C4DE9" w:rsidP="000C4DE9">
      <w:pPr>
        <w:pStyle w:val="SingleTxtGA"/>
        <w:rPr>
          <w:rtl/>
        </w:rPr>
      </w:pPr>
      <w:r w:rsidRPr="000C4DE9">
        <w:rPr>
          <w:rtl/>
        </w:rPr>
        <w:t>١٣-٤</w:t>
      </w:r>
      <w:r w:rsidRPr="000C4DE9">
        <w:rPr>
          <w:rtl/>
          <w:lang w:val="es-ES"/>
        </w:rPr>
        <w:tab/>
      </w:r>
      <w:r w:rsidRPr="000C4DE9">
        <w:rPr>
          <w:rtl/>
        </w:rPr>
        <w:t>وتحيط اللجنة علما</w:t>
      </w:r>
      <w:r w:rsidR="00096681">
        <w:rPr>
          <w:rFonts w:hint="cs"/>
          <w:rtl/>
        </w:rPr>
        <w:t>ً</w:t>
      </w:r>
      <w:r w:rsidRPr="000C4DE9">
        <w:rPr>
          <w:rtl/>
        </w:rPr>
        <w:t xml:space="preserve"> بحجة الدولة الطرف أن البلاغ غير مقبول من حيث الاختصاص المكاني لأن إسبانيا غير مسؤولة عن أفعال السلطات المغربية.</w:t>
      </w:r>
      <w:r w:rsidRPr="000C4DE9">
        <w:rPr>
          <w:rtl/>
          <w:lang w:val="es-ES"/>
        </w:rPr>
        <w:t xml:space="preserve"> </w:t>
      </w:r>
      <w:r w:rsidRPr="000C4DE9">
        <w:rPr>
          <w:rtl/>
        </w:rPr>
        <w:t>لكن اللجنة تلاحظ أن هذا البلاغ يقتصر على أفعال السلطات الإسبانية في ٢ كانون الأول/ديسمبر ٢٠١٤، ولا يشير إلى أفعال السلطات المغربية.</w:t>
      </w:r>
      <w:r w:rsidRPr="000C4DE9">
        <w:rPr>
          <w:rtl/>
          <w:lang w:val="es-ES"/>
        </w:rPr>
        <w:t xml:space="preserve"> </w:t>
      </w:r>
      <w:r w:rsidRPr="000C4DE9">
        <w:rPr>
          <w:rtl/>
        </w:rPr>
        <w:t>وفي هذا الصدد، تلاحظ اللجنة أن قوات الأمن الإسبانية اعتقلت صاحب البلاغ، وفقا</w:t>
      </w:r>
      <w:r w:rsidR="00096681">
        <w:rPr>
          <w:rFonts w:hint="cs"/>
          <w:rtl/>
        </w:rPr>
        <w:t>ً</w:t>
      </w:r>
      <w:r w:rsidRPr="000C4DE9">
        <w:rPr>
          <w:rtl/>
        </w:rPr>
        <w:t xml:space="preserve"> لما جاء في تصريحاته، عند السياج الثالث لمركز </w:t>
      </w:r>
      <w:proofErr w:type="spellStart"/>
      <w:r w:rsidRPr="000C4DE9">
        <w:rPr>
          <w:rtl/>
        </w:rPr>
        <w:t>مليلية</w:t>
      </w:r>
      <w:proofErr w:type="spellEnd"/>
      <w:r w:rsidRPr="000C4DE9">
        <w:rPr>
          <w:rtl/>
        </w:rPr>
        <w:t xml:space="preserve"> الحدودي وصفّدت يديه وأعادته إلى الأراضي المغربية.</w:t>
      </w:r>
      <w:r w:rsidRPr="000C4DE9">
        <w:rPr>
          <w:rtl/>
          <w:lang w:val="es-ES"/>
        </w:rPr>
        <w:t xml:space="preserve"> </w:t>
      </w:r>
      <w:r w:rsidRPr="000C4DE9">
        <w:rPr>
          <w:rtl/>
        </w:rPr>
        <w:t>وبناء عليه، يوجد صاحب البلاغ، بغض النظر عما إذا كان يعتبر قد دخل الأراضي الإسبانية أم لا، تحت سلطة الدولة الطرف أو سيطرتها الفعلية.</w:t>
      </w:r>
      <w:r w:rsidRPr="000C4DE9">
        <w:rPr>
          <w:rtl/>
          <w:lang w:val="es-ES"/>
        </w:rPr>
        <w:t xml:space="preserve"> </w:t>
      </w:r>
      <w:r w:rsidRPr="000C4DE9">
        <w:rPr>
          <w:rtl/>
        </w:rPr>
        <w:t>وهكذا، ترى اللجنة أن هذا البلاغ مقبول من حيث الاختصاص المكاني.</w:t>
      </w:r>
      <w:r w:rsidRPr="000C4DE9">
        <w:rPr>
          <w:rtl/>
          <w:lang w:val="es-ES"/>
        </w:rPr>
        <w:t xml:space="preserve"> </w:t>
      </w:r>
    </w:p>
    <w:p w:rsidR="000C4DE9" w:rsidRPr="000C4DE9" w:rsidRDefault="000C4DE9" w:rsidP="000C4DE9">
      <w:pPr>
        <w:pStyle w:val="SingleTxtGA"/>
        <w:rPr>
          <w:rtl/>
        </w:rPr>
      </w:pPr>
      <w:r w:rsidRPr="000C4DE9">
        <w:rPr>
          <w:rtl/>
        </w:rPr>
        <w:t>١٣-٥</w:t>
      </w:r>
      <w:r w:rsidRPr="000C4DE9">
        <w:rPr>
          <w:rtl/>
          <w:lang w:val="es-ES"/>
        </w:rPr>
        <w:tab/>
      </w:r>
      <w:r w:rsidRPr="000C4DE9">
        <w:rPr>
          <w:rtl/>
        </w:rPr>
        <w:t>وتحيط اللجنة علما</w:t>
      </w:r>
      <w:r w:rsidR="00096681">
        <w:rPr>
          <w:rFonts w:hint="cs"/>
          <w:rtl/>
        </w:rPr>
        <w:t>ً</w:t>
      </w:r>
      <w:r w:rsidRPr="000C4DE9">
        <w:rPr>
          <w:rtl/>
        </w:rPr>
        <w:t xml:space="preserve"> أيضا</w:t>
      </w:r>
      <w:r w:rsidR="00096681">
        <w:rPr>
          <w:rFonts w:hint="cs"/>
          <w:rtl/>
        </w:rPr>
        <w:t>ً</w:t>
      </w:r>
      <w:r w:rsidRPr="000C4DE9">
        <w:rPr>
          <w:rtl/>
        </w:rPr>
        <w:t xml:space="preserve"> بحجج الدولة الطرف أن البلاغ غير مقبول من حيث الاختصاص الموضوعي، لأنه يتعلق بحقه في اللجوء الذي لا تنص عليه الاتفاقية.</w:t>
      </w:r>
      <w:r w:rsidRPr="000C4DE9">
        <w:rPr>
          <w:rtl/>
          <w:lang w:val="es-ES"/>
        </w:rPr>
        <w:t xml:space="preserve"> </w:t>
      </w:r>
      <w:r w:rsidRPr="000C4DE9">
        <w:rPr>
          <w:rtl/>
        </w:rPr>
        <w:t>لكن اللجنة تلاحظ أن هذا البلاغ يتعلق بانتهاكات مزعومة لحقوقه المكفولة في المواد ٣ و٢٠ و٣٧ من الاتفاقية وليس بحقه في التماس اللجوء.</w:t>
      </w:r>
      <w:r w:rsidRPr="000C4DE9">
        <w:rPr>
          <w:rtl/>
          <w:lang w:val="es-ES"/>
        </w:rPr>
        <w:t xml:space="preserve"> </w:t>
      </w:r>
      <w:r w:rsidRPr="000C4DE9">
        <w:rPr>
          <w:rtl/>
        </w:rPr>
        <w:t>وبناء عليه، ترى اللجنة أن هذا البلاغ مقبول من حيث الاختصاص الموضوعي.</w:t>
      </w:r>
      <w:r w:rsidRPr="000C4DE9">
        <w:rPr>
          <w:rtl/>
          <w:lang w:val="es-ES"/>
        </w:rPr>
        <w:t xml:space="preserve"> </w:t>
      </w:r>
    </w:p>
    <w:p w:rsidR="000C4DE9" w:rsidRPr="000C4DE9" w:rsidRDefault="000C4DE9" w:rsidP="000C4DE9">
      <w:pPr>
        <w:pStyle w:val="SingleTxtGA"/>
        <w:rPr>
          <w:rtl/>
        </w:rPr>
      </w:pPr>
      <w:r w:rsidRPr="000C4DE9">
        <w:rPr>
          <w:rtl/>
        </w:rPr>
        <w:t>١٣-٦</w:t>
      </w:r>
      <w:r w:rsidRPr="000C4DE9">
        <w:rPr>
          <w:rtl/>
          <w:lang w:val="es-ES"/>
        </w:rPr>
        <w:tab/>
      </w:r>
      <w:r w:rsidRPr="000C4DE9">
        <w:rPr>
          <w:rtl/>
        </w:rPr>
        <w:t>وأخيرا</w:t>
      </w:r>
      <w:r w:rsidR="00896B9A">
        <w:rPr>
          <w:rFonts w:hint="cs"/>
          <w:rtl/>
        </w:rPr>
        <w:t>ً</w:t>
      </w:r>
      <w:r w:rsidRPr="000C4DE9">
        <w:rPr>
          <w:rtl/>
        </w:rPr>
        <w:t>، تحيط اللجنة علما</w:t>
      </w:r>
      <w:r w:rsidR="00096681">
        <w:rPr>
          <w:rFonts w:hint="cs"/>
          <w:rtl/>
        </w:rPr>
        <w:t>ً</w:t>
      </w:r>
      <w:r w:rsidRPr="000C4DE9">
        <w:rPr>
          <w:rtl/>
        </w:rPr>
        <w:t xml:space="preserve"> بحجة الدولة الطرف أن صاحب البلاغ لم يستنفد سبل </w:t>
      </w:r>
      <w:r w:rsidRPr="00CF532E">
        <w:rPr>
          <w:spacing w:val="-2"/>
          <w:rtl/>
        </w:rPr>
        <w:t>الانتصاف المحلية المتاحة، وفقا</w:t>
      </w:r>
      <w:r w:rsidR="00406758" w:rsidRPr="00CF532E">
        <w:rPr>
          <w:rFonts w:hint="cs"/>
          <w:spacing w:val="-2"/>
          <w:rtl/>
        </w:rPr>
        <w:t>ً</w:t>
      </w:r>
      <w:r w:rsidRPr="00CF532E">
        <w:rPr>
          <w:spacing w:val="-2"/>
          <w:rtl/>
        </w:rPr>
        <w:t xml:space="preserve"> لأحكام المادة ٧(ه) من البروتوكول الاختياري، لأنه: (أ) لم يلتمس</w:t>
      </w:r>
      <w:r w:rsidRPr="000C4DE9">
        <w:rPr>
          <w:rtl/>
        </w:rPr>
        <w:t xml:space="preserve"> اللجوء في بلدان العبور؛</w:t>
      </w:r>
      <w:r w:rsidRPr="000C4DE9">
        <w:rPr>
          <w:rtl/>
          <w:lang w:val="es-ES"/>
        </w:rPr>
        <w:t xml:space="preserve"> </w:t>
      </w:r>
      <w:r w:rsidRPr="000C4DE9">
        <w:rPr>
          <w:rtl/>
        </w:rPr>
        <w:t>و(ب) لم يلتمس اللجوء في إسبانيا عند مركز بني أنصار الحدودي؛</w:t>
      </w:r>
      <w:r w:rsidR="00483B03">
        <w:rPr>
          <w:rtl/>
        </w:rPr>
        <w:t xml:space="preserve"> و</w:t>
      </w:r>
      <w:r w:rsidRPr="000C4DE9">
        <w:rPr>
          <w:rtl/>
        </w:rPr>
        <w:t>(ج) لم يطلب تأشيرة عمل في إسبانيا، و(د) عند وصوله إلى إسبانيا، كانت لديه سبل فعالة للطعن في القرار الإداري القاضي بطرده.</w:t>
      </w:r>
      <w:r w:rsidRPr="000C4DE9">
        <w:rPr>
          <w:rtl/>
          <w:lang w:val="es-ES"/>
        </w:rPr>
        <w:t xml:space="preserve"> </w:t>
      </w:r>
      <w:r w:rsidRPr="000C4DE9">
        <w:rPr>
          <w:rtl/>
        </w:rPr>
        <w:t>وتلاحظ اللجنة أن حجج الدولة الطرف (أ) و(ب) و(ج) تكتفي بالإشارة إلى أنه كان بإمكان صاحب البلاغ طلب اللجوء أو تأشيرة عمل قبل دخوله إقليم الدولة الطرف؛</w:t>
      </w:r>
      <w:r w:rsidRPr="000C4DE9">
        <w:rPr>
          <w:rtl/>
          <w:lang w:val="es-ES"/>
        </w:rPr>
        <w:t xml:space="preserve"> </w:t>
      </w:r>
      <w:r w:rsidRPr="000C4DE9">
        <w:rPr>
          <w:rtl/>
        </w:rPr>
        <w:t>وبناء عليه، لا يمكن اعتبارها سبل انتصاف فعالة من قرار طرد صاحب البلاغ.</w:t>
      </w:r>
      <w:r w:rsidRPr="000C4DE9">
        <w:rPr>
          <w:rtl/>
          <w:lang w:val="es-ES"/>
        </w:rPr>
        <w:t xml:space="preserve"> </w:t>
      </w:r>
      <w:r w:rsidRPr="000C4DE9">
        <w:rPr>
          <w:rtl/>
        </w:rPr>
        <w:t>وتلاحظ اللجنة أيضا</w:t>
      </w:r>
      <w:r w:rsidR="00096681">
        <w:rPr>
          <w:rFonts w:hint="cs"/>
          <w:rtl/>
        </w:rPr>
        <w:t>ً</w:t>
      </w:r>
      <w:r w:rsidRPr="000C4DE9">
        <w:rPr>
          <w:rtl/>
        </w:rPr>
        <w:t xml:space="preserve"> أن الملف يبين أنه لم يكن يوجد في ٢ كانون الأول/ديسمبر ٢٠١٤ أي أمر رسمي بطرد صاحب البلاغ.</w:t>
      </w:r>
      <w:r w:rsidRPr="000C4DE9">
        <w:rPr>
          <w:rtl/>
          <w:lang w:val="es-ES"/>
        </w:rPr>
        <w:t xml:space="preserve"> </w:t>
      </w:r>
      <w:r w:rsidRPr="000C4DE9">
        <w:rPr>
          <w:rtl/>
        </w:rPr>
        <w:t xml:space="preserve">وبناء عليه، ترى اللجنة أن سبل </w:t>
      </w:r>
      <w:r w:rsidRPr="000C4DE9">
        <w:rPr>
          <w:rtl/>
        </w:rPr>
        <w:lastRenderedPageBreak/>
        <w:t>الطعن القضائية المذكورة في حجة الدولة الطرف (د) كانت ستكون، في سياق الطرد الوشيك لصاحب البلاغ في ٢ كانون الأول/ديسمبر ٢٠١٤، وفي ظل عدم صدور أمر رسمي يقضي بطرده ويمكنه الطعن فيه، عديمة الجدوى، لأنها ليست سبل انتصاف متاحة أو فعالة.</w:t>
      </w:r>
      <w:r w:rsidRPr="000C4DE9">
        <w:rPr>
          <w:rtl/>
          <w:lang w:val="es-ES"/>
        </w:rPr>
        <w:t xml:space="preserve"> </w:t>
      </w:r>
      <w:r w:rsidRPr="000C4DE9">
        <w:rPr>
          <w:rtl/>
        </w:rPr>
        <w:t xml:space="preserve">وبناء عليه، ترى اللجنة أن المادة </w:t>
      </w:r>
      <w:r w:rsidRPr="000C4DE9">
        <w:rPr>
          <w:rtl/>
          <w:lang w:val="es-ES"/>
        </w:rPr>
        <w:t>7</w:t>
      </w:r>
      <w:r w:rsidRPr="000C4DE9">
        <w:rPr>
          <w:rtl/>
        </w:rPr>
        <w:t>(ه) من البروتوكول الاختياري لا تمنع من قبول هذا البلاغ.</w:t>
      </w:r>
    </w:p>
    <w:p w:rsidR="000C4DE9" w:rsidRPr="000C4DE9" w:rsidRDefault="000C4DE9" w:rsidP="000C4DE9">
      <w:pPr>
        <w:pStyle w:val="SingleTxtGA"/>
        <w:rPr>
          <w:rtl/>
        </w:rPr>
      </w:pPr>
      <w:r w:rsidRPr="000C4DE9">
        <w:rPr>
          <w:rtl/>
        </w:rPr>
        <w:t>١٣-٧</w:t>
      </w:r>
      <w:r w:rsidRPr="000C4DE9">
        <w:rPr>
          <w:rtl/>
          <w:lang w:val="es-ES"/>
        </w:rPr>
        <w:tab/>
      </w:r>
      <w:r w:rsidRPr="000C4DE9">
        <w:rPr>
          <w:rtl/>
        </w:rPr>
        <w:t>وترى اللجنة أن صاحب البلاغ قدّم، وفقا</w:t>
      </w:r>
      <w:r w:rsidR="00096681">
        <w:rPr>
          <w:rFonts w:hint="cs"/>
          <w:rtl/>
        </w:rPr>
        <w:t>ً</w:t>
      </w:r>
      <w:r w:rsidRPr="000C4DE9">
        <w:rPr>
          <w:rtl/>
        </w:rPr>
        <w:t xml:space="preserve"> للمادة ٧(و) من البروتوكول الاختياري، ما يكفي من الأدلة لدعم ادعاءاته بموجب المواد ٣ و٢٠ و٣٧ من الاتفاقية.</w:t>
      </w:r>
      <w:r w:rsidRPr="000C4DE9">
        <w:rPr>
          <w:rtl/>
          <w:lang w:val="es-ES"/>
        </w:rPr>
        <w:t xml:space="preserve"> </w:t>
      </w:r>
      <w:r w:rsidRPr="000C4DE9">
        <w:rPr>
          <w:rtl/>
        </w:rPr>
        <w:t>وبناء عليه، تعتبر اللجنة الشكوى مقبولة وتشرع في النظر في أسسها الموضوعية.</w:t>
      </w:r>
    </w:p>
    <w:p w:rsidR="000C4DE9" w:rsidRPr="000C4DE9" w:rsidRDefault="000C4DE9" w:rsidP="00483B03">
      <w:pPr>
        <w:pStyle w:val="H4GA"/>
        <w:rPr>
          <w:rtl/>
        </w:rPr>
      </w:pPr>
      <w:r w:rsidRPr="000C4DE9">
        <w:rPr>
          <w:rtl/>
          <w:lang w:val="es-ES"/>
        </w:rPr>
        <w:tab/>
      </w:r>
      <w:r w:rsidRPr="000C4DE9">
        <w:rPr>
          <w:rtl/>
          <w:lang w:val="es-ES"/>
        </w:rPr>
        <w:tab/>
      </w:r>
      <w:r w:rsidRPr="000C4DE9">
        <w:rPr>
          <w:rtl/>
        </w:rPr>
        <w:t>النظر في الأسس الموضوعية</w:t>
      </w:r>
    </w:p>
    <w:p w:rsidR="000C4DE9" w:rsidRPr="000C4DE9" w:rsidRDefault="000C4DE9" w:rsidP="000C4DE9">
      <w:pPr>
        <w:pStyle w:val="SingleTxtGA"/>
        <w:rPr>
          <w:rtl/>
        </w:rPr>
      </w:pPr>
      <w:r w:rsidRPr="000C4DE9">
        <w:rPr>
          <w:rtl/>
        </w:rPr>
        <w:t>١٤-١</w:t>
      </w:r>
      <w:r w:rsidRPr="000C4DE9">
        <w:rPr>
          <w:rtl/>
          <w:lang w:val="es-ES"/>
        </w:rPr>
        <w:tab/>
      </w:r>
      <w:r w:rsidRPr="000C4DE9">
        <w:rPr>
          <w:rtl/>
        </w:rPr>
        <w:t>نظرت اللجنة في هذا البلاغ في ضوء جميع المعلومات التي أتاحها لها الطرفان، على النحو المنصوص عليه في الفقرة 1 من المادة 10 من البروتوكول الاختياري.</w:t>
      </w:r>
    </w:p>
    <w:p w:rsidR="000C4DE9" w:rsidRPr="000C4DE9" w:rsidRDefault="000C4DE9" w:rsidP="000C4DE9">
      <w:pPr>
        <w:pStyle w:val="SingleTxtGA"/>
        <w:rPr>
          <w:rtl/>
        </w:rPr>
      </w:pPr>
      <w:r w:rsidRPr="000C4DE9">
        <w:rPr>
          <w:rtl/>
        </w:rPr>
        <w:t>١٤-٢</w:t>
      </w:r>
      <w:r w:rsidRPr="000C4DE9">
        <w:rPr>
          <w:rtl/>
          <w:lang w:val="es-ES"/>
        </w:rPr>
        <w:tab/>
      </w:r>
      <w:r w:rsidRPr="000C4DE9">
        <w:rPr>
          <w:rtl/>
        </w:rPr>
        <w:t xml:space="preserve">وتتمثل المسألة المعروضة على اللجنة في تحديد ما إذا كان إجراء ترحيل الحرس المدني الإسباني لصاحب البلاغ نحو المغرب في </w:t>
      </w:r>
      <w:r w:rsidRPr="000C4DE9">
        <w:rPr>
          <w:rtl/>
          <w:lang w:val="es-ES"/>
        </w:rPr>
        <w:t>2</w:t>
      </w:r>
      <w:r w:rsidRPr="000C4DE9">
        <w:rPr>
          <w:rtl/>
        </w:rPr>
        <w:t xml:space="preserve"> كانون الأول/ديسمبر </w:t>
      </w:r>
      <w:r w:rsidRPr="000C4DE9">
        <w:rPr>
          <w:rtl/>
          <w:lang w:val="es-ES"/>
        </w:rPr>
        <w:t>2014</w:t>
      </w:r>
      <w:r w:rsidRPr="000C4DE9">
        <w:rPr>
          <w:rtl/>
        </w:rPr>
        <w:t>، قد انتهك، في ظل ملابسات هذه القضية، حقوقه بموجب الاتفاقية.</w:t>
      </w:r>
      <w:r w:rsidRPr="000C4DE9">
        <w:rPr>
          <w:rtl/>
          <w:lang w:val="es-ES"/>
        </w:rPr>
        <w:t xml:space="preserve"> </w:t>
      </w:r>
      <w:r w:rsidRPr="000C4DE9">
        <w:rPr>
          <w:rtl/>
        </w:rPr>
        <w:t>وعلى وجه الخصوص، يدّعي صاحب البلاغ أن الدولة الطرف من خلال إبعاده بموجب إجراءات موجزة نحو المغرب في ٢ كانون الأول/</w:t>
      </w:r>
      <w:r w:rsidR="00406758">
        <w:rPr>
          <w:rFonts w:hint="cs"/>
          <w:rtl/>
        </w:rPr>
        <w:t xml:space="preserve"> </w:t>
      </w:r>
      <w:r w:rsidRPr="000C4DE9">
        <w:rPr>
          <w:rtl/>
        </w:rPr>
        <w:t>ديسمبر ٢٠١٤، دون أي عملية تحديد لهويته وتقييم لحالته، قامت بما يلي: (أ) لم تقدم له الحماية والمساعدة الخاصتين في حالته كطفل غير مصحوب بذويه (المادة ٢٠)؛</w:t>
      </w:r>
      <w:r w:rsidRPr="000C4DE9">
        <w:rPr>
          <w:rtl/>
          <w:lang w:bidi="ar-DZ"/>
        </w:rPr>
        <w:t xml:space="preserve"> </w:t>
      </w:r>
      <w:r w:rsidRPr="000C4DE9">
        <w:rPr>
          <w:rtl/>
        </w:rPr>
        <w:t>و(ب) لم تحترم مبدأ عدم الإعادة القسرية وعرّضته لخطر العنف والمعاملة القاسية واللاإنسانية والمهينة في المغرب (المادة ٣٧)، و(ج) لم تراع مصالح الطفل الفضلى (المادة ٣).</w:t>
      </w:r>
      <w:bookmarkStart w:id="9" w:name="_Hlk530159402"/>
      <w:bookmarkEnd w:id="9"/>
    </w:p>
    <w:p w:rsidR="000C4DE9" w:rsidRPr="000C4DE9" w:rsidRDefault="000C4DE9" w:rsidP="000C4DE9">
      <w:pPr>
        <w:pStyle w:val="SingleTxtGA"/>
        <w:rPr>
          <w:lang w:val="fr-CH"/>
        </w:rPr>
      </w:pPr>
      <w:r w:rsidRPr="000C4DE9">
        <w:rPr>
          <w:rtl/>
        </w:rPr>
        <w:t>١٤-٣</w:t>
      </w:r>
      <w:r w:rsidRPr="000C4DE9">
        <w:rPr>
          <w:rtl/>
          <w:lang w:val="es-ES"/>
        </w:rPr>
        <w:tab/>
      </w:r>
      <w:r w:rsidRPr="000C4DE9">
        <w:rPr>
          <w:rtl/>
        </w:rPr>
        <w:t>وترى اللجنة أن التزامات الدولة بتوفير حماية ومساعدة خاصتين للأطفال غير المصحوبين بذويهم، بما يتفق مع المادة ٢٠ من الاتفاقية، "تنطبق حتى على الأطفال الذين يخضعون للولاية القضائية للدولة عند محاولتهم دخول الإقليم الوطني"</w:t>
      </w:r>
      <w:r w:rsidR="00B65ABB" w:rsidRPr="00B65ABB">
        <w:rPr>
          <w:vertAlign w:val="superscript"/>
          <w:rtl/>
        </w:rPr>
        <w:t>(</w:t>
      </w:r>
      <w:r w:rsidR="00B65ABB" w:rsidRPr="000C4DE9">
        <w:rPr>
          <w:vertAlign w:val="superscript"/>
          <w:rtl/>
          <w:lang w:val="es-ES"/>
        </w:rPr>
        <w:footnoteReference w:id="41"/>
      </w:r>
      <w:r w:rsidR="00B65ABB">
        <w:rPr>
          <w:vertAlign w:val="superscript"/>
          <w:rtl/>
          <w:lang w:val="es-ES"/>
        </w:rPr>
        <w:t>)</w:t>
      </w:r>
      <w:r w:rsidR="00B65ABB">
        <w:rPr>
          <w:rtl/>
        </w:rPr>
        <w:t>.</w:t>
      </w:r>
      <w:r w:rsidRPr="000C4DE9">
        <w:rPr>
          <w:rtl/>
          <w:lang w:val="es-ES"/>
        </w:rPr>
        <w:t xml:space="preserve"> </w:t>
      </w:r>
      <w:r w:rsidRPr="000C4DE9">
        <w:rPr>
          <w:rtl/>
        </w:rPr>
        <w:t>وبالمثل، ترى اللجنة أن "الجانب الإيجابي لالتزامات الحماية هذه يشمل أيضا</w:t>
      </w:r>
      <w:r w:rsidR="00096681">
        <w:rPr>
          <w:rFonts w:hint="cs"/>
          <w:rtl/>
        </w:rPr>
        <w:t>ً</w:t>
      </w:r>
      <w:r w:rsidRPr="000C4DE9">
        <w:rPr>
          <w:rtl/>
        </w:rPr>
        <w:t xml:space="preserve"> أن تتخذ الدول جميع التدابير الضرورية لتحديد هوية الأطفال غير المصحوبين بذويهم في أقرب وقت ممكن، ولا سيما على الحدود"</w:t>
      </w:r>
      <w:r w:rsidR="00B65ABB" w:rsidRPr="00B65ABB">
        <w:rPr>
          <w:vertAlign w:val="superscript"/>
          <w:rtl/>
        </w:rPr>
        <w:t>(</w:t>
      </w:r>
      <w:r w:rsidR="00B65ABB" w:rsidRPr="000C4DE9">
        <w:rPr>
          <w:vertAlign w:val="superscript"/>
          <w:rtl/>
          <w:lang w:val="es-ES"/>
        </w:rPr>
        <w:footnoteReference w:id="42"/>
      </w:r>
      <w:r w:rsidR="00B65ABB">
        <w:rPr>
          <w:vertAlign w:val="superscript"/>
          <w:rtl/>
          <w:lang w:val="es-ES"/>
        </w:rPr>
        <w:t>)</w:t>
      </w:r>
      <w:r w:rsidR="00B65ABB">
        <w:rPr>
          <w:rtl/>
        </w:rPr>
        <w:t>.</w:t>
      </w:r>
      <w:r w:rsidRPr="000C4DE9">
        <w:rPr>
          <w:rtl/>
          <w:lang w:val="es-ES"/>
        </w:rPr>
        <w:t xml:space="preserve"> </w:t>
      </w:r>
      <w:r w:rsidRPr="000C4DE9">
        <w:rPr>
          <w:rtl/>
        </w:rPr>
        <w:t>وبناء عليه، فإنه من اللازم والضروري أن تضطلع الدولة الطرف، في إطار الوفاء بالتزاماتها بموجب المادة ٢٠ من الاتفاقية واحترام المصالح الفضلى للطفل، بعملية تقييم أولي، قبل أي ترحيل أو إبعاد، تشمل المراحل التالية: (أ) القيام على سبيل الأولوية بتحديد ما إذا كان الشخص المعني طفلا</w:t>
      </w:r>
      <w:r w:rsidR="00096681">
        <w:rPr>
          <w:rFonts w:hint="cs"/>
          <w:rtl/>
        </w:rPr>
        <w:t>ً</w:t>
      </w:r>
      <w:r w:rsidRPr="000C4DE9">
        <w:rPr>
          <w:rtl/>
        </w:rPr>
        <w:t xml:space="preserve"> غير مصحوب بذويه، والسماح له بالاستفادة من قرينة الشك، في حالة عدم التيقن من حالته، بحيث يعامل كقاصر إن افتُرض أنه كذلك؛</w:t>
      </w:r>
      <w:r w:rsidRPr="000C4DE9">
        <w:rPr>
          <w:rtl/>
          <w:lang w:val="es-ES"/>
        </w:rPr>
        <w:t xml:space="preserve"> </w:t>
      </w:r>
      <w:r w:rsidRPr="000C4DE9">
        <w:rPr>
          <w:rtl/>
        </w:rPr>
        <w:t>و(ب) تحديد هوية الطفل في أعقاب مقابلة أولية</w:t>
      </w:r>
      <w:r w:rsidR="00896B9A">
        <w:rPr>
          <w:rFonts w:hint="cs"/>
          <w:rtl/>
        </w:rPr>
        <w:t>؛</w:t>
      </w:r>
      <w:r w:rsidR="00896B9A" w:rsidRPr="000C4DE9">
        <w:rPr>
          <w:rtl/>
        </w:rPr>
        <w:t xml:space="preserve"> </w:t>
      </w:r>
      <w:r w:rsidRPr="000C4DE9">
        <w:rPr>
          <w:rtl/>
        </w:rPr>
        <w:t>و(ج) فهم الحالة المحدّدة للطفل وتقييم الجوانب الخاصة لحالة ضعفه، إن وجدت</w:t>
      </w:r>
      <w:r w:rsidR="00B65ABB" w:rsidRPr="00B65ABB">
        <w:rPr>
          <w:vertAlign w:val="superscript"/>
          <w:rtl/>
        </w:rPr>
        <w:t>(</w:t>
      </w:r>
      <w:r w:rsidR="00B65ABB" w:rsidRPr="000C4DE9">
        <w:rPr>
          <w:vertAlign w:val="superscript"/>
          <w:rtl/>
          <w:lang w:val="es-ES"/>
        </w:rPr>
        <w:footnoteReference w:id="43"/>
      </w:r>
      <w:r w:rsidR="00B65ABB">
        <w:rPr>
          <w:vertAlign w:val="superscript"/>
          <w:rtl/>
          <w:lang w:val="es-ES"/>
        </w:rPr>
        <w:t>)</w:t>
      </w:r>
      <w:r w:rsidR="00B65ABB">
        <w:rPr>
          <w:rtl/>
        </w:rPr>
        <w:t>.</w:t>
      </w:r>
      <w:bookmarkStart w:id="10" w:name="_Hlk529799277"/>
      <w:bookmarkStart w:id="11" w:name="_Hlk530155570"/>
      <w:bookmarkEnd w:id="10"/>
      <w:bookmarkEnd w:id="11"/>
    </w:p>
    <w:p w:rsidR="000C4DE9" w:rsidRPr="000C4DE9" w:rsidRDefault="000C4DE9" w:rsidP="000C4DE9">
      <w:pPr>
        <w:pStyle w:val="SingleTxtGA"/>
        <w:rPr>
          <w:rtl/>
        </w:rPr>
      </w:pPr>
      <w:r w:rsidRPr="000C4DE9">
        <w:rPr>
          <w:rtl/>
        </w:rPr>
        <w:t>١٤-٤</w:t>
      </w:r>
      <w:r w:rsidRPr="000C4DE9">
        <w:rPr>
          <w:rtl/>
          <w:lang w:val="es-ES"/>
        </w:rPr>
        <w:tab/>
      </w:r>
      <w:r w:rsidRPr="000C4DE9">
        <w:rPr>
          <w:rtl/>
        </w:rPr>
        <w:t>وترى اللجنة أيضا</w:t>
      </w:r>
      <w:r w:rsidR="00096681">
        <w:rPr>
          <w:rFonts w:hint="cs"/>
          <w:rtl/>
        </w:rPr>
        <w:t>ً</w:t>
      </w:r>
      <w:r w:rsidRPr="000C4DE9">
        <w:rPr>
          <w:rtl/>
        </w:rPr>
        <w:t xml:space="preserve"> أنه يتعين على الدولة الطرف، في إطار امتثال التزاماتها بموجب المادة</w:t>
      </w:r>
      <w:r w:rsidR="00D37575">
        <w:rPr>
          <w:rFonts w:hint="cs"/>
          <w:rtl/>
        </w:rPr>
        <w:t> </w:t>
      </w:r>
      <w:r w:rsidRPr="000C4DE9">
        <w:rPr>
          <w:rtl/>
        </w:rPr>
        <w:t xml:space="preserve">٣٧ من الاتفاقية، ولضمان ألا يتعرض أي طفل للتعذيب أو غيره من ضروب المعاملة </w:t>
      </w:r>
      <w:r w:rsidRPr="000C4DE9">
        <w:rPr>
          <w:rtl/>
        </w:rPr>
        <w:lastRenderedPageBreak/>
        <w:t>أو</w:t>
      </w:r>
      <w:r w:rsidR="00CF532E">
        <w:rPr>
          <w:rFonts w:hint="cs"/>
          <w:rtl/>
        </w:rPr>
        <w:t> </w:t>
      </w:r>
      <w:r w:rsidRPr="000C4DE9">
        <w:rPr>
          <w:rtl/>
        </w:rPr>
        <w:t>العقوبة القاسية أو اللاإنسانية أو المهينة، عدم ترحيل أي طفل "إلى بلد توجد فيه أسباب جوهرية للاعتقاد بأن ثمة خطرا</w:t>
      </w:r>
      <w:r w:rsidR="00096681">
        <w:rPr>
          <w:rFonts w:hint="cs"/>
          <w:rtl/>
        </w:rPr>
        <w:t>ً</w:t>
      </w:r>
      <w:r w:rsidRPr="000C4DE9">
        <w:rPr>
          <w:rtl/>
        </w:rPr>
        <w:t xml:space="preserve"> حقيقيا</w:t>
      </w:r>
      <w:r w:rsidR="00096681">
        <w:rPr>
          <w:rFonts w:hint="cs"/>
          <w:rtl/>
        </w:rPr>
        <w:t>ً</w:t>
      </w:r>
      <w:r w:rsidRPr="000C4DE9">
        <w:rPr>
          <w:rtl/>
        </w:rPr>
        <w:t xml:space="preserve"> بتعرضه لضرر لا يمكن جبره بالنسبة للطفل"</w:t>
      </w:r>
      <w:r w:rsidR="00B65ABB" w:rsidRPr="00B65ABB">
        <w:rPr>
          <w:vertAlign w:val="superscript"/>
          <w:rtl/>
        </w:rPr>
        <w:t>(</w:t>
      </w:r>
      <w:r w:rsidR="00B65ABB" w:rsidRPr="000C4DE9">
        <w:rPr>
          <w:vertAlign w:val="superscript"/>
          <w:rtl/>
          <w:lang w:val="es-ES"/>
        </w:rPr>
        <w:footnoteReference w:id="44"/>
      </w:r>
      <w:r w:rsidR="00B65ABB">
        <w:rPr>
          <w:vertAlign w:val="superscript"/>
          <w:rtl/>
          <w:lang w:val="es-ES"/>
        </w:rPr>
        <w:t>)</w:t>
      </w:r>
      <w:r w:rsidR="00B65ABB">
        <w:rPr>
          <w:rtl/>
        </w:rPr>
        <w:t>.</w:t>
      </w:r>
      <w:r w:rsidRPr="000C4DE9">
        <w:rPr>
          <w:rtl/>
          <w:lang w:val="es-ES"/>
        </w:rPr>
        <w:t xml:space="preserve"> </w:t>
      </w:r>
      <w:r w:rsidRPr="000C4DE9">
        <w:rPr>
          <w:rtl/>
        </w:rPr>
        <w:t>وبناء عليه، ترى اللجنة أنه، وفقا</w:t>
      </w:r>
      <w:r w:rsidR="00096681">
        <w:rPr>
          <w:rFonts w:hint="cs"/>
          <w:rtl/>
        </w:rPr>
        <w:t>ً</w:t>
      </w:r>
      <w:r w:rsidRPr="000C4DE9">
        <w:rPr>
          <w:rtl/>
        </w:rPr>
        <w:t xml:space="preserve"> للمادة ٣٧ من الاتفاقية وفي ضوء مبدأ عدم الإعادة القسرية، تُلزم الدولة بإجراء تقييم مسبق لمدى وجود خطر تعرض الطفل لضرر لا يمكن جبره وتعرض حقوقه لانتهاكات خطيرة في البلد الذي سيُرحّل أو يُبعد إليه، مع الأخذ في الاعتبار مصالح الطفل الفضلى، بما في ذلك، على سبيل المثال، "العواقب الخطيرة جدا</w:t>
      </w:r>
      <w:r w:rsidR="00096681">
        <w:rPr>
          <w:rFonts w:hint="cs"/>
          <w:rtl/>
        </w:rPr>
        <w:t>ً</w:t>
      </w:r>
      <w:r w:rsidRPr="000C4DE9">
        <w:rPr>
          <w:rtl/>
        </w:rPr>
        <w:t xml:space="preserve"> لنقص الغذاء أو الخدمات الصحية على الأطفال"</w:t>
      </w:r>
      <w:r w:rsidR="00B65ABB">
        <w:rPr>
          <w:vertAlign w:val="superscript"/>
          <w:rtl/>
          <w:lang w:val="es-ES"/>
        </w:rPr>
        <w:t>(</w:t>
      </w:r>
      <w:r w:rsidR="00B65ABB" w:rsidRPr="000C4DE9">
        <w:rPr>
          <w:vertAlign w:val="superscript"/>
          <w:rtl/>
          <w:lang w:val="es-ES"/>
        </w:rPr>
        <w:footnoteReference w:id="45"/>
      </w:r>
      <w:r w:rsidR="00B65ABB">
        <w:rPr>
          <w:vertAlign w:val="superscript"/>
          <w:rtl/>
          <w:lang w:val="es-ES"/>
        </w:rPr>
        <w:t>)</w:t>
      </w:r>
      <w:r w:rsidRPr="000C4DE9">
        <w:rPr>
          <w:rtl/>
          <w:lang w:val="es-ES"/>
        </w:rPr>
        <w:t>.</w:t>
      </w:r>
      <w:r w:rsidRPr="000C4DE9">
        <w:rPr>
          <w:rtl/>
        </w:rPr>
        <w:t xml:space="preserve"> وعلى وجه الخصوص، تشير اللجنة إلى أنه ينبغي أن يُكفل للأطفال، في سياق عمليات تقييم مصالحهم الفضلى وفي إطار إجراءات تحديد هذه المصالح الفضلى، الحق في: (أ) إمكانية الوصول إلى الأراضي، بصرف النظر عما لهم أو ليس لهم من وثائق، وتسليمهم للسلطات المكلفة بتقييم احتياجاتهم من حيث حماية حقوقهم، دون المساس بالإجراءات القانونية الواجبة</w:t>
      </w:r>
      <w:r w:rsidR="00B65ABB" w:rsidRPr="00B65ABB">
        <w:rPr>
          <w:vertAlign w:val="superscript"/>
          <w:rtl/>
        </w:rPr>
        <w:t>(</w:t>
      </w:r>
      <w:r w:rsidR="00B65ABB" w:rsidRPr="000C4DE9">
        <w:rPr>
          <w:vertAlign w:val="superscript"/>
          <w:rtl/>
          <w:lang w:val="es-ES"/>
        </w:rPr>
        <w:footnoteReference w:id="46"/>
      </w:r>
      <w:r w:rsidR="00B65ABB">
        <w:rPr>
          <w:vertAlign w:val="superscript"/>
          <w:rtl/>
          <w:lang w:val="es-ES"/>
        </w:rPr>
        <w:t>)</w:t>
      </w:r>
      <w:r w:rsidR="00B65ABB">
        <w:rPr>
          <w:rtl/>
        </w:rPr>
        <w:t>.</w:t>
      </w:r>
      <w:bookmarkStart w:id="13" w:name="_Hlk530158940"/>
      <w:bookmarkEnd w:id="13"/>
    </w:p>
    <w:p w:rsidR="000C4DE9" w:rsidRPr="000C4DE9" w:rsidRDefault="000C4DE9" w:rsidP="000C4DE9">
      <w:pPr>
        <w:pStyle w:val="SingleTxtGA"/>
        <w:rPr>
          <w:rtl/>
        </w:rPr>
      </w:pPr>
      <w:r w:rsidRPr="000C4DE9">
        <w:rPr>
          <w:rtl/>
        </w:rPr>
        <w:t>١٤-٥</w:t>
      </w:r>
      <w:r w:rsidRPr="000C4DE9">
        <w:rPr>
          <w:rtl/>
          <w:lang w:val="es-ES"/>
        </w:rPr>
        <w:tab/>
      </w:r>
      <w:r w:rsidRPr="000C4DE9">
        <w:rPr>
          <w:rtl/>
        </w:rPr>
        <w:t>وفي هذه القضية، تلاحظ اللجنة أنه وقعت في ٢ كانون الأول/ديسمبر ٢٠١٤ الأحداث التالية: (أ) وصول صاحب البلاغ إلى إسبانيا كطفل غير مصحوب بذويه ومحروم من بيئته الأسرية</w:t>
      </w:r>
      <w:r w:rsidR="00B65ABB" w:rsidRPr="00B65ABB">
        <w:rPr>
          <w:vertAlign w:val="superscript"/>
          <w:rtl/>
        </w:rPr>
        <w:t>(</w:t>
      </w:r>
      <w:r w:rsidR="00B65ABB" w:rsidRPr="000C4DE9">
        <w:rPr>
          <w:vertAlign w:val="superscript"/>
          <w:rtl/>
          <w:lang w:val="es-ES"/>
        </w:rPr>
        <w:footnoteReference w:id="47"/>
      </w:r>
      <w:r w:rsidR="00B65ABB">
        <w:rPr>
          <w:vertAlign w:val="superscript"/>
          <w:rtl/>
          <w:lang w:val="es-ES"/>
        </w:rPr>
        <w:t>)</w:t>
      </w:r>
      <w:r w:rsidR="00B65ABB">
        <w:rPr>
          <w:rtl/>
        </w:rPr>
        <w:t>؛</w:t>
      </w:r>
      <w:r w:rsidRPr="000C4DE9">
        <w:rPr>
          <w:rtl/>
          <w:lang w:val="es-ES"/>
        </w:rPr>
        <w:t xml:space="preserve"> </w:t>
      </w:r>
      <w:r w:rsidRPr="000C4DE9">
        <w:rPr>
          <w:rtl/>
        </w:rPr>
        <w:t>و(ب) بقاء صاحب البلاغ عدة ساعات معلقا</w:t>
      </w:r>
      <w:r w:rsidR="00096681">
        <w:rPr>
          <w:rFonts w:hint="cs"/>
          <w:rtl/>
        </w:rPr>
        <w:t>ً</w:t>
      </w:r>
      <w:r w:rsidRPr="000C4DE9">
        <w:rPr>
          <w:rtl/>
        </w:rPr>
        <w:t xml:space="preserve"> في أحد أسوار مركز </w:t>
      </w:r>
      <w:proofErr w:type="spellStart"/>
      <w:r w:rsidRPr="000C4DE9">
        <w:rPr>
          <w:rtl/>
        </w:rPr>
        <w:t>مليلية</w:t>
      </w:r>
      <w:proofErr w:type="spellEnd"/>
      <w:r w:rsidRPr="000C4DE9">
        <w:rPr>
          <w:rtl/>
        </w:rPr>
        <w:t xml:space="preserve"> الحدودي دون الحصول على أي نوع من المساعدة من جانب السلطات الإسبانية؛ و(ج)</w:t>
      </w:r>
      <w:r w:rsidR="00896B9A">
        <w:rPr>
          <w:rFonts w:hint="cs"/>
          <w:rtl/>
        </w:rPr>
        <w:t> </w:t>
      </w:r>
      <w:r w:rsidRPr="000C4DE9">
        <w:rPr>
          <w:rtl/>
        </w:rPr>
        <w:t>تعرضه، فور نزوله من أعلى السياج، للقبض على يد الحرس المدني الإسباني وتصفيد يديه وترحيله مباشرة إلى المغرب؛</w:t>
      </w:r>
      <w:r w:rsidRPr="000C4DE9">
        <w:rPr>
          <w:rtl/>
          <w:lang w:val="es-ES"/>
        </w:rPr>
        <w:t xml:space="preserve"> </w:t>
      </w:r>
      <w:r w:rsidRPr="000C4DE9">
        <w:rPr>
          <w:rtl/>
        </w:rPr>
        <w:t>و(د) عدم تلقيه، في الفترة الفاصلة بين نزوله من أعلى السياح وإعادته إلى المغرب، أي نوع من المساعدة القانونية وعدم استفادته من مساعدة مترجم شفوي من أجل التواصل، وعدم إخضاعه لعملية تقييم أولي لتحديد حالته كطفل غير مصحوب بذويه وعدم معاملته على هذا الأساس عند وجود شكوك بخصوص حالته، وعدم تحديد هويته أو الاستماع إليه، وعدم سؤاله عن ظروفه الشخصية تحديدا</w:t>
      </w:r>
      <w:r w:rsidR="00096681">
        <w:rPr>
          <w:rFonts w:hint="cs"/>
          <w:rtl/>
        </w:rPr>
        <w:t>ً</w:t>
      </w:r>
      <w:r w:rsidRPr="000C4DE9">
        <w:rPr>
          <w:rtl/>
        </w:rPr>
        <w:t xml:space="preserve"> و/أو حالة ضعفه في ذلك الوقت.</w:t>
      </w:r>
      <w:r w:rsidRPr="000C4DE9">
        <w:rPr>
          <w:rtl/>
          <w:lang w:val="es-ES"/>
        </w:rPr>
        <w:t xml:space="preserve"> </w:t>
      </w:r>
    </w:p>
    <w:p w:rsidR="000C4DE9" w:rsidRPr="000C4DE9" w:rsidRDefault="000C4DE9" w:rsidP="000C4DE9">
      <w:pPr>
        <w:pStyle w:val="SingleTxtGA"/>
        <w:rPr>
          <w:lang w:val="fr-CH"/>
        </w:rPr>
      </w:pPr>
      <w:r w:rsidRPr="000C4DE9">
        <w:rPr>
          <w:rtl/>
        </w:rPr>
        <w:t>١٤-٦</w:t>
      </w:r>
      <w:r w:rsidRPr="000C4DE9">
        <w:rPr>
          <w:rtl/>
          <w:lang w:val="es-ES"/>
        </w:rPr>
        <w:tab/>
      </w:r>
      <w:r w:rsidRPr="000C4DE9">
        <w:rPr>
          <w:rtl/>
        </w:rPr>
        <w:t>وتحيط اللجنة علما</w:t>
      </w:r>
      <w:r w:rsidR="00096681">
        <w:rPr>
          <w:rFonts w:hint="cs"/>
          <w:rtl/>
        </w:rPr>
        <w:t>ً</w:t>
      </w:r>
      <w:r w:rsidRPr="000C4DE9">
        <w:rPr>
          <w:rtl/>
        </w:rPr>
        <w:t xml:space="preserve"> أيضا</w:t>
      </w:r>
      <w:r w:rsidR="00096681">
        <w:rPr>
          <w:rFonts w:hint="cs"/>
          <w:rtl/>
        </w:rPr>
        <w:t>ً</w:t>
      </w:r>
      <w:r w:rsidRPr="000C4DE9">
        <w:rPr>
          <w:rtl/>
        </w:rPr>
        <w:t xml:space="preserve"> بادعاء الدولة الطرف أن مبدأ عدم الإعادة القسرية لا ينطبق في هذه القضية إلا عندما يكون الشخص قادما</w:t>
      </w:r>
      <w:r w:rsidR="00096681">
        <w:rPr>
          <w:rFonts w:hint="cs"/>
          <w:rtl/>
        </w:rPr>
        <w:t>ً</w:t>
      </w:r>
      <w:r w:rsidRPr="000C4DE9">
        <w:rPr>
          <w:rtl/>
        </w:rPr>
        <w:t xml:space="preserve"> من إقليم يوجد فيه خطر التعرض للاضطهاد.</w:t>
      </w:r>
      <w:r w:rsidRPr="000C4DE9">
        <w:rPr>
          <w:rtl/>
          <w:lang w:val="es-ES"/>
        </w:rPr>
        <w:t xml:space="preserve"> </w:t>
      </w:r>
      <w:r w:rsidRPr="000C4DE9">
        <w:rPr>
          <w:rtl/>
        </w:rPr>
        <w:t>ومع ذلك، تعيد اللجنة تأكيد التزام الدولة الطرف بعدم ترحيل طفل "إلى بلد توجد فيه أسباب جوهرية للاعتقاد بأن ثمة خطرا</w:t>
      </w:r>
      <w:r w:rsidR="00096681">
        <w:rPr>
          <w:rFonts w:hint="cs"/>
          <w:rtl/>
        </w:rPr>
        <w:t>ً</w:t>
      </w:r>
      <w:r w:rsidRPr="000C4DE9">
        <w:rPr>
          <w:rtl/>
        </w:rPr>
        <w:t xml:space="preserve"> حقيقيا</w:t>
      </w:r>
      <w:r w:rsidR="00096681">
        <w:rPr>
          <w:rFonts w:hint="cs"/>
          <w:rtl/>
        </w:rPr>
        <w:t>ً</w:t>
      </w:r>
      <w:r w:rsidRPr="000C4DE9">
        <w:rPr>
          <w:rtl/>
        </w:rPr>
        <w:t xml:space="preserve"> بتعرضه لضرر لا يمكن جبره بالنسبة للطفل"</w:t>
      </w:r>
      <w:r w:rsidR="00B65ABB" w:rsidRPr="00B65ABB">
        <w:rPr>
          <w:vertAlign w:val="superscript"/>
          <w:rtl/>
        </w:rPr>
        <w:t>(</w:t>
      </w:r>
      <w:r w:rsidR="00B65ABB" w:rsidRPr="000C4DE9">
        <w:rPr>
          <w:vertAlign w:val="superscript"/>
          <w:rtl/>
          <w:lang w:val="es-ES"/>
        </w:rPr>
        <w:footnoteReference w:id="48"/>
      </w:r>
      <w:r w:rsidR="00B65ABB">
        <w:rPr>
          <w:vertAlign w:val="superscript"/>
          <w:rtl/>
          <w:lang w:val="es-ES"/>
        </w:rPr>
        <w:t>)</w:t>
      </w:r>
      <w:r w:rsidR="00B65ABB">
        <w:rPr>
          <w:rtl/>
        </w:rPr>
        <w:t>.</w:t>
      </w:r>
      <w:r w:rsidRPr="000C4DE9">
        <w:rPr>
          <w:rtl/>
          <w:lang w:val="es-ES"/>
        </w:rPr>
        <w:t xml:space="preserve"> </w:t>
      </w:r>
      <w:r w:rsidRPr="000C4DE9">
        <w:rPr>
          <w:rtl/>
        </w:rPr>
        <w:t>وتلاحظ اللجنة أيضا</w:t>
      </w:r>
      <w:r w:rsidR="00096681">
        <w:rPr>
          <w:rFonts w:hint="cs"/>
          <w:rtl/>
        </w:rPr>
        <w:t>ً</w:t>
      </w:r>
      <w:r w:rsidRPr="000C4DE9">
        <w:rPr>
          <w:rtl/>
        </w:rPr>
        <w:t xml:space="preserve"> أن الدولة الطرف لم تقم، قبل ترحيل صاحب البلاغ إلى المغرب، بتحديد هويته والاستماع إلى ظروفه الشخصية وإجراء تقييم مسبق لمدى وجود خطر تعرضه للاضطهاد و/أو لضرر لا يمكن جبره في البلد الذي سيعاد إليه.</w:t>
      </w:r>
      <w:r w:rsidRPr="000C4DE9">
        <w:rPr>
          <w:rtl/>
          <w:lang w:val="es-ES"/>
        </w:rPr>
        <w:t xml:space="preserve"> </w:t>
      </w:r>
      <w:r w:rsidRPr="000C4DE9">
        <w:rPr>
          <w:rtl/>
        </w:rPr>
        <w:t xml:space="preserve">وترى اللجنة أنه في ضوء العنف الذي يتعرض له المهاجرون في المنطقة الحدودية مع المغرب وسوء المعاملة التي تعرض لها صاحب </w:t>
      </w:r>
      <w:r w:rsidRPr="000C4DE9">
        <w:rPr>
          <w:rtl/>
        </w:rPr>
        <w:lastRenderedPageBreak/>
        <w:t>البلاغ، يشكّل عدم تقييم إمكانية تعرض صاحب البلاغ لضرر لا يمكن جبره قبل ترحيله وعدم مراعاة مصالحه الفضلى انتهاكا</w:t>
      </w:r>
      <w:r w:rsidR="00096681">
        <w:rPr>
          <w:rFonts w:hint="cs"/>
          <w:rtl/>
        </w:rPr>
        <w:t>ً</w:t>
      </w:r>
      <w:r w:rsidRPr="000C4DE9">
        <w:rPr>
          <w:rtl/>
        </w:rPr>
        <w:t xml:space="preserve"> للمادتين </w:t>
      </w:r>
      <w:r w:rsidRPr="000C4DE9">
        <w:rPr>
          <w:rtl/>
          <w:lang w:val="es-ES"/>
        </w:rPr>
        <w:t>3</w:t>
      </w:r>
      <w:r w:rsidRPr="000C4DE9">
        <w:rPr>
          <w:rtl/>
        </w:rPr>
        <w:t xml:space="preserve"> و</w:t>
      </w:r>
      <w:r w:rsidRPr="000C4DE9">
        <w:rPr>
          <w:rtl/>
          <w:lang w:val="es-ES"/>
        </w:rPr>
        <w:t>37</w:t>
      </w:r>
      <w:r w:rsidRPr="000C4DE9">
        <w:rPr>
          <w:rtl/>
        </w:rPr>
        <w:t xml:space="preserve"> من الاتفاقية</w:t>
      </w:r>
      <w:r w:rsidR="00B65ABB" w:rsidRPr="00B65ABB">
        <w:rPr>
          <w:vertAlign w:val="superscript"/>
          <w:rtl/>
        </w:rPr>
        <w:t>(</w:t>
      </w:r>
      <w:r w:rsidR="00B65ABB" w:rsidRPr="000C4DE9">
        <w:rPr>
          <w:vertAlign w:val="superscript"/>
          <w:rtl/>
          <w:lang w:val="es-ES"/>
        </w:rPr>
        <w:footnoteReference w:id="49"/>
      </w:r>
      <w:r w:rsidR="00B65ABB">
        <w:rPr>
          <w:vertAlign w:val="superscript"/>
          <w:rtl/>
          <w:lang w:val="es-ES"/>
        </w:rPr>
        <w:t>)</w:t>
      </w:r>
      <w:r w:rsidR="00B65ABB">
        <w:rPr>
          <w:rtl/>
        </w:rPr>
        <w:t>.</w:t>
      </w:r>
    </w:p>
    <w:p w:rsidR="000C4DE9" w:rsidRPr="00CF532E" w:rsidRDefault="000C4DE9" w:rsidP="000C4DE9">
      <w:pPr>
        <w:pStyle w:val="SingleTxtGA"/>
        <w:rPr>
          <w:spacing w:val="-4"/>
          <w:rtl/>
        </w:rPr>
      </w:pPr>
      <w:r w:rsidRPr="00CF532E">
        <w:rPr>
          <w:spacing w:val="-4"/>
          <w:rtl/>
        </w:rPr>
        <w:t>١٤-٧</w:t>
      </w:r>
      <w:r w:rsidRPr="00CF532E">
        <w:rPr>
          <w:spacing w:val="-4"/>
          <w:rtl/>
          <w:lang w:val="es-ES"/>
        </w:rPr>
        <w:tab/>
      </w:r>
      <w:r w:rsidRPr="00CF532E">
        <w:rPr>
          <w:spacing w:val="-4"/>
          <w:rtl/>
        </w:rPr>
        <w:t>وترى اللجنة أن عدم إخضاع صاحب البلاغ، بصفته طفلا</w:t>
      </w:r>
      <w:r w:rsidR="00096681" w:rsidRPr="00CF532E">
        <w:rPr>
          <w:rFonts w:hint="cs"/>
          <w:spacing w:val="-4"/>
          <w:rtl/>
        </w:rPr>
        <w:t>ً</w:t>
      </w:r>
      <w:r w:rsidRPr="00CF532E">
        <w:rPr>
          <w:spacing w:val="-4"/>
          <w:rtl/>
        </w:rPr>
        <w:t xml:space="preserve"> غير مصحوب بذويه، لعملية تحديد هوية، وعدم تقييم حالته قبل الترحيل، وعدم منحه فرصة الاعتراض على ترحيله المحتمل، يشكل، في ضوء ملابسات القضية، انتهاكا</w:t>
      </w:r>
      <w:r w:rsidR="00096681" w:rsidRPr="00CF532E">
        <w:rPr>
          <w:rFonts w:hint="cs"/>
          <w:spacing w:val="-4"/>
          <w:rtl/>
        </w:rPr>
        <w:t>ً</w:t>
      </w:r>
      <w:r w:rsidRPr="00CF532E">
        <w:rPr>
          <w:spacing w:val="-4"/>
          <w:rtl/>
        </w:rPr>
        <w:t xml:space="preserve"> لحقوقه بموجب المادتين ٣ و٢٠ من الاتفاقية.</w:t>
      </w:r>
      <w:r w:rsidRPr="00CF532E">
        <w:rPr>
          <w:spacing w:val="-4"/>
          <w:rtl/>
          <w:lang w:val="es-ES"/>
        </w:rPr>
        <w:t xml:space="preserve"> </w:t>
      </w:r>
    </w:p>
    <w:p w:rsidR="000C4DE9" w:rsidRPr="000C4DE9" w:rsidRDefault="000C4DE9" w:rsidP="000C4DE9">
      <w:pPr>
        <w:pStyle w:val="SingleTxtGA"/>
        <w:rPr>
          <w:rtl/>
        </w:rPr>
      </w:pPr>
      <w:r w:rsidRPr="000C4DE9">
        <w:rPr>
          <w:rtl/>
        </w:rPr>
        <w:t>١٤-٨</w:t>
      </w:r>
      <w:r w:rsidRPr="000C4DE9">
        <w:rPr>
          <w:rtl/>
          <w:lang w:val="es-ES"/>
        </w:rPr>
        <w:tab/>
      </w:r>
      <w:r w:rsidRPr="000C4DE9">
        <w:rPr>
          <w:rtl/>
        </w:rPr>
        <w:t>وأخيرا</w:t>
      </w:r>
      <w:r w:rsidR="00896B9A">
        <w:rPr>
          <w:rFonts w:hint="cs"/>
          <w:rtl/>
        </w:rPr>
        <w:t>ً</w:t>
      </w:r>
      <w:r w:rsidRPr="000C4DE9">
        <w:rPr>
          <w:rtl/>
        </w:rPr>
        <w:t>، ترى اللجنة أن الطريقة التي رُحّل بها صاحب البلاغ، بصفته طفلا</w:t>
      </w:r>
      <w:r w:rsidR="00096681">
        <w:rPr>
          <w:rFonts w:hint="cs"/>
          <w:rtl/>
        </w:rPr>
        <w:t>ً</w:t>
      </w:r>
      <w:r w:rsidRPr="000C4DE9">
        <w:rPr>
          <w:rtl/>
        </w:rPr>
        <w:t xml:space="preserve"> غير مصحوب بذويه ومحروما</w:t>
      </w:r>
      <w:r w:rsidR="00096681">
        <w:rPr>
          <w:rFonts w:hint="cs"/>
          <w:rtl/>
        </w:rPr>
        <w:t>ً</w:t>
      </w:r>
      <w:r w:rsidRPr="000C4DE9">
        <w:rPr>
          <w:rtl/>
        </w:rPr>
        <w:t xml:space="preserve"> من بيئته الأسرية، في سياق هجرة دولية، بعد اعتقاله وتصفيد يديه، ودون الاستماع إليه أو تلقيه المساعدة القانونية أو مساعدة مترجم شفوي أو مراعاة احتياجاته، يشكل معاملة تحظرها المادة ٣٧ من الاتفاقية.</w:t>
      </w:r>
      <w:r w:rsidRPr="000C4DE9">
        <w:rPr>
          <w:rtl/>
          <w:lang w:val="es-ES"/>
        </w:rPr>
        <w:t xml:space="preserve"> </w:t>
      </w:r>
    </w:p>
    <w:p w:rsidR="000C4DE9" w:rsidRPr="000C4DE9" w:rsidRDefault="000C4DE9" w:rsidP="000C4DE9">
      <w:pPr>
        <w:pStyle w:val="SingleTxtGA"/>
        <w:rPr>
          <w:rtl/>
        </w:rPr>
      </w:pPr>
      <w:r w:rsidRPr="000C4DE9">
        <w:rPr>
          <w:rtl/>
        </w:rPr>
        <w:t>١٤-٩</w:t>
      </w:r>
      <w:r w:rsidRPr="000C4DE9">
        <w:rPr>
          <w:rtl/>
          <w:lang w:val="es-ES"/>
        </w:rPr>
        <w:tab/>
      </w:r>
      <w:r w:rsidRPr="000C4DE9">
        <w:rPr>
          <w:rtl/>
        </w:rPr>
        <w:t xml:space="preserve">واللجنة، إذ تتصرف وفقاً للفقرة </w:t>
      </w:r>
      <w:r w:rsidRPr="000C4DE9">
        <w:rPr>
          <w:rtl/>
          <w:lang w:val="es-ES"/>
        </w:rPr>
        <w:t>5</w:t>
      </w:r>
      <w:r w:rsidRPr="000C4DE9">
        <w:rPr>
          <w:rtl/>
        </w:rPr>
        <w:t xml:space="preserve"> من المادة </w:t>
      </w:r>
      <w:r w:rsidRPr="000C4DE9">
        <w:rPr>
          <w:rtl/>
          <w:lang w:val="es-ES"/>
        </w:rPr>
        <w:t>10</w:t>
      </w:r>
      <w:r w:rsidRPr="000C4DE9">
        <w:rPr>
          <w:rtl/>
        </w:rPr>
        <w:t xml:space="preserve"> من البروتوكول الاختياري، ترى أن الوقائع المعروضة عليها تكشف عن انتهاكات للمواد </w:t>
      </w:r>
      <w:r w:rsidRPr="000C4DE9">
        <w:rPr>
          <w:rtl/>
          <w:lang w:val="es-ES"/>
        </w:rPr>
        <w:t>3</w:t>
      </w:r>
      <w:r w:rsidRPr="000C4DE9">
        <w:rPr>
          <w:rtl/>
        </w:rPr>
        <w:t xml:space="preserve"> و</w:t>
      </w:r>
      <w:r w:rsidRPr="000C4DE9">
        <w:rPr>
          <w:rtl/>
          <w:lang w:val="es-ES"/>
        </w:rPr>
        <w:t>20</w:t>
      </w:r>
      <w:r w:rsidRPr="000C4DE9">
        <w:rPr>
          <w:rtl/>
        </w:rPr>
        <w:t xml:space="preserve"> و</w:t>
      </w:r>
      <w:r w:rsidRPr="000C4DE9">
        <w:rPr>
          <w:rtl/>
          <w:lang w:val="es-ES"/>
        </w:rPr>
        <w:t>37</w:t>
      </w:r>
      <w:r w:rsidRPr="000C4DE9">
        <w:rPr>
          <w:rtl/>
        </w:rPr>
        <w:t xml:space="preserve"> من الاتفاقية.</w:t>
      </w:r>
    </w:p>
    <w:p w:rsidR="000C4DE9" w:rsidRPr="000C4DE9" w:rsidRDefault="000C4DE9" w:rsidP="000C4DE9">
      <w:pPr>
        <w:pStyle w:val="SingleTxtGA"/>
        <w:rPr>
          <w:rtl/>
        </w:rPr>
      </w:pPr>
      <w:r w:rsidRPr="000C4DE9">
        <w:rPr>
          <w:rtl/>
        </w:rPr>
        <w:t>١٥-</w:t>
      </w:r>
      <w:r w:rsidRPr="000C4DE9">
        <w:rPr>
          <w:rtl/>
          <w:lang w:val="es-ES"/>
        </w:rPr>
        <w:tab/>
      </w:r>
      <w:r w:rsidRPr="000C4DE9">
        <w:rPr>
          <w:rtl/>
        </w:rPr>
        <w:t>ويتعين على الدولة الطرف أن توفر لصاحب البلاغ جبرا</w:t>
      </w:r>
      <w:r w:rsidR="00096681">
        <w:rPr>
          <w:rFonts w:hint="cs"/>
          <w:rtl/>
        </w:rPr>
        <w:t>ً</w:t>
      </w:r>
      <w:r w:rsidRPr="000C4DE9">
        <w:rPr>
          <w:rtl/>
        </w:rPr>
        <w:t xml:space="preserve"> مناسبا</w:t>
      </w:r>
      <w:r w:rsidR="00096681">
        <w:rPr>
          <w:rFonts w:hint="cs"/>
          <w:rtl/>
        </w:rPr>
        <w:t>ً</w:t>
      </w:r>
      <w:r w:rsidRPr="000C4DE9">
        <w:rPr>
          <w:rtl/>
        </w:rPr>
        <w:t>، بما في ذلك تعويضه ماليا</w:t>
      </w:r>
      <w:r w:rsidR="00096681">
        <w:rPr>
          <w:rFonts w:hint="cs"/>
          <w:rtl/>
        </w:rPr>
        <w:t>ً</w:t>
      </w:r>
      <w:r w:rsidRPr="000C4DE9">
        <w:rPr>
          <w:rtl/>
        </w:rPr>
        <w:t xml:space="preserve"> وإعادة تأهيله لقاء الضرر الذي لحقه.</w:t>
      </w:r>
      <w:r w:rsidRPr="000C4DE9">
        <w:rPr>
          <w:rtl/>
          <w:lang w:val="es-ES"/>
        </w:rPr>
        <w:t xml:space="preserve"> </w:t>
      </w:r>
      <w:r w:rsidRPr="000C4DE9">
        <w:rPr>
          <w:rtl/>
        </w:rPr>
        <w:t>وتُلزَم الدولة الطرف أيضا</w:t>
      </w:r>
      <w:r w:rsidR="00096681">
        <w:rPr>
          <w:rFonts w:hint="cs"/>
          <w:rtl/>
        </w:rPr>
        <w:t>ً</w:t>
      </w:r>
      <w:r w:rsidRPr="000C4DE9">
        <w:rPr>
          <w:rtl/>
        </w:rPr>
        <w:t xml:space="preserve"> بمنع حدوث انتهاكات مماثلة في المستقبل، لا</w:t>
      </w:r>
      <w:r w:rsidR="00096681">
        <w:rPr>
          <w:rFonts w:hint="cs"/>
          <w:rtl/>
        </w:rPr>
        <w:t xml:space="preserve"> </w:t>
      </w:r>
      <w:r w:rsidRPr="000C4DE9">
        <w:rPr>
          <w:rtl/>
        </w:rPr>
        <w:t>سيما عن طريق تعديل القانون الأساسي رقم ٤/٢٠١٥ بشأن حماية الأمن العام، الذي اعتُمد في ١ نيسان/أبريل ٢٠١٥.</w:t>
      </w:r>
      <w:r w:rsidRPr="000C4DE9">
        <w:rPr>
          <w:rtl/>
          <w:lang w:val="es-ES"/>
        </w:rPr>
        <w:t xml:space="preserve"> </w:t>
      </w:r>
      <w:r w:rsidRPr="000C4DE9">
        <w:rPr>
          <w:rtl/>
        </w:rPr>
        <w:t xml:space="preserve">كما يتعيّن على الدولة الطرف أن تراجع الحكم الإضافي العاشر لهذا القانون الذي يشير إلى "النظام الخاص لسبتة </w:t>
      </w:r>
      <w:proofErr w:type="spellStart"/>
      <w:r w:rsidRPr="000C4DE9">
        <w:rPr>
          <w:rtl/>
        </w:rPr>
        <w:t>ومليلية</w:t>
      </w:r>
      <w:proofErr w:type="spellEnd"/>
      <w:r w:rsidRPr="000C4DE9">
        <w:rPr>
          <w:rtl/>
        </w:rPr>
        <w:t>"، ويجيز ممارسة الدولة الطرف لعمليات الترحيل التلقائي العشوائي على حدودها</w:t>
      </w:r>
      <w:r w:rsidR="00B65ABB" w:rsidRPr="00B65ABB">
        <w:rPr>
          <w:vertAlign w:val="superscript"/>
          <w:rtl/>
        </w:rPr>
        <w:t>(</w:t>
      </w:r>
      <w:r w:rsidR="00B65ABB" w:rsidRPr="000C4DE9">
        <w:rPr>
          <w:vertAlign w:val="superscript"/>
          <w:rtl/>
          <w:lang w:val="es-ES"/>
        </w:rPr>
        <w:footnoteReference w:id="50"/>
      </w:r>
      <w:r w:rsidR="00B65ABB">
        <w:rPr>
          <w:vertAlign w:val="superscript"/>
          <w:rtl/>
          <w:lang w:val="es-ES"/>
        </w:rPr>
        <w:t>)</w:t>
      </w:r>
      <w:r w:rsidR="00B65ABB">
        <w:rPr>
          <w:rtl/>
        </w:rPr>
        <w:t>.</w:t>
      </w:r>
    </w:p>
    <w:p w:rsidR="000C4DE9" w:rsidRPr="000C4DE9" w:rsidRDefault="000C4DE9" w:rsidP="000C4DE9">
      <w:pPr>
        <w:pStyle w:val="SingleTxtGA"/>
        <w:rPr>
          <w:rtl/>
        </w:rPr>
      </w:pPr>
      <w:r w:rsidRPr="000C4DE9">
        <w:rPr>
          <w:rtl/>
        </w:rPr>
        <w:t>١٦-</w:t>
      </w:r>
      <w:r w:rsidRPr="000C4DE9">
        <w:rPr>
          <w:rtl/>
          <w:lang w:val="es-ES"/>
        </w:rPr>
        <w:tab/>
      </w:r>
      <w:r w:rsidRPr="000C4DE9">
        <w:rPr>
          <w:rtl/>
        </w:rPr>
        <w:t>وتشير اللجنة إلى أن الدولة الطرف قد اعترفت، عندما صدّقت على البروتوكول الاختياري، باختصاص اللجنة في تحديد ما إذا كان قد حدث انتهاك لأحكام الاتفاقية و/أو بروتوكوليها الاختياريين الموضوعيين.</w:t>
      </w:r>
      <w:r w:rsidRPr="000C4DE9">
        <w:rPr>
          <w:rtl/>
          <w:lang w:val="es-ES"/>
        </w:rPr>
        <w:t xml:space="preserve"> </w:t>
      </w:r>
    </w:p>
    <w:p w:rsidR="000C4DE9" w:rsidRPr="000C4DE9" w:rsidRDefault="000C4DE9" w:rsidP="000C4DE9">
      <w:pPr>
        <w:pStyle w:val="SingleTxtGA"/>
        <w:rPr>
          <w:rtl/>
          <w:lang w:bidi="ar-DZ"/>
        </w:rPr>
      </w:pPr>
      <w:r w:rsidRPr="000C4DE9">
        <w:rPr>
          <w:rtl/>
        </w:rPr>
        <w:t>١٧-</w:t>
      </w:r>
      <w:r w:rsidRPr="000C4DE9">
        <w:rPr>
          <w:rtl/>
          <w:lang w:val="es-ES"/>
        </w:rPr>
        <w:tab/>
      </w:r>
      <w:r w:rsidRPr="000C4DE9">
        <w:rPr>
          <w:rtl/>
        </w:rPr>
        <w:t>وعملاً بالمادة ١١ من البروتوكول الاختياري، تود اللجنة أن تتلقى من الدولة الطرف، في غضون مائة وثمانين يوماً على أقصى تقدير، معلومات عن التدابير المتخذة لوضع آرائها موضع تنفيذ.</w:t>
      </w:r>
      <w:r w:rsidRPr="000C4DE9">
        <w:rPr>
          <w:rtl/>
          <w:lang w:val="es-ES"/>
        </w:rPr>
        <w:t xml:space="preserve"> </w:t>
      </w:r>
      <w:r w:rsidRPr="000C4DE9">
        <w:rPr>
          <w:rtl/>
        </w:rPr>
        <w:t>وتطلب إلى الدولة الطرف أيضاً أن تدرج معلومات عن أي تدابير من هذا القبيل في تقاريرها المقدمة بموجب المادة ٤٤ من الاتفاقية.</w:t>
      </w:r>
      <w:r w:rsidRPr="000C4DE9">
        <w:rPr>
          <w:rtl/>
          <w:lang w:val="es-ES"/>
        </w:rPr>
        <w:t xml:space="preserve"> </w:t>
      </w:r>
      <w:r w:rsidRPr="000C4DE9">
        <w:rPr>
          <w:rtl/>
        </w:rPr>
        <w:t>وأخيراً، يُطلب إلى الدولة الطرف أن تنشر هذا القرار وتُعمِّمه على نطاق واسع.</w:t>
      </w:r>
    </w:p>
    <w:p w:rsidR="00B54045" w:rsidRPr="00483B03" w:rsidRDefault="00483B03" w:rsidP="00483B03">
      <w:pPr>
        <w:spacing w:before="120"/>
        <w:jc w:val="center"/>
        <w:rPr>
          <w:u w:val="single"/>
          <w:rtl/>
        </w:rPr>
      </w:pPr>
      <w:r>
        <w:rPr>
          <w:u w:val="single"/>
          <w:rtl/>
        </w:rPr>
        <w:tab/>
      </w:r>
      <w:r>
        <w:rPr>
          <w:u w:val="single"/>
          <w:rtl/>
        </w:rPr>
        <w:tab/>
      </w:r>
      <w:r>
        <w:rPr>
          <w:u w:val="single"/>
          <w:rtl/>
        </w:rPr>
        <w:tab/>
      </w:r>
    </w:p>
    <w:sectPr w:rsidR="00B54045" w:rsidRPr="00483B03" w:rsidSect="000B0675">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4DE9" w:rsidRPr="002901D9" w:rsidRDefault="000C4DE9" w:rsidP="002901D9">
      <w:pPr>
        <w:spacing w:after="60" w:line="240" w:lineRule="auto"/>
        <w:rPr>
          <w:i/>
          <w:iCs/>
        </w:rPr>
      </w:pPr>
      <w:r>
        <w:rPr>
          <w:rFonts w:hint="cs"/>
          <w:i/>
          <w:iCs/>
          <w:rtl/>
        </w:rPr>
        <w:t>الحواشي</w:t>
      </w:r>
    </w:p>
  </w:endnote>
  <w:endnote w:type="continuationSeparator" w:id="0">
    <w:p w:rsidR="000C4DE9" w:rsidRDefault="000C4DE9"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DE9" w:rsidRPr="00026956" w:rsidRDefault="000C4DE9" w:rsidP="00026956">
    <w:pPr>
      <w:pStyle w:val="Footer"/>
      <w:tabs>
        <w:tab w:val="right" w:pos="9598"/>
      </w:tabs>
      <w:rPr>
        <w:sz w:val="17"/>
      </w:rPr>
    </w:pPr>
    <w:r>
      <w:rPr>
        <w:sz w:val="17"/>
      </w:rPr>
      <w:t>GE.19-07971</w:t>
    </w:r>
    <w:r>
      <w:rPr>
        <w:sz w:val="17"/>
      </w:rPr>
      <w:tab/>
    </w:r>
    <w:r w:rsidRPr="00026956">
      <w:rPr>
        <w:b/>
        <w:sz w:val="18"/>
      </w:rPr>
      <w:fldChar w:fldCharType="begin"/>
    </w:r>
    <w:r w:rsidRPr="00026956">
      <w:rPr>
        <w:b/>
        <w:sz w:val="18"/>
      </w:rPr>
      <w:instrText xml:space="preserve"> PAGE  \* MERGEFORMAT </w:instrText>
    </w:r>
    <w:r w:rsidRPr="00026956">
      <w:rPr>
        <w:b/>
        <w:sz w:val="18"/>
      </w:rPr>
      <w:fldChar w:fldCharType="separate"/>
    </w:r>
    <w:r>
      <w:rPr>
        <w:b/>
        <w:sz w:val="18"/>
      </w:rPr>
      <w:t>2</w:t>
    </w:r>
    <w:r w:rsidRPr="00026956">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DE9" w:rsidRPr="00026956" w:rsidRDefault="000C4DE9" w:rsidP="006959B0">
    <w:pPr>
      <w:pStyle w:val="Footer"/>
      <w:tabs>
        <w:tab w:val="right" w:pos="9599"/>
      </w:tabs>
      <w:jc w:val="left"/>
      <w:rPr>
        <w:b/>
        <w:sz w:val="18"/>
        <w:lang w:val="en-US"/>
      </w:rPr>
    </w:pPr>
    <w:r w:rsidRPr="00026956">
      <w:rPr>
        <w:b/>
        <w:sz w:val="18"/>
        <w:lang w:val="en-US"/>
      </w:rPr>
      <w:fldChar w:fldCharType="begin"/>
    </w:r>
    <w:r w:rsidRPr="00026956">
      <w:rPr>
        <w:b/>
        <w:sz w:val="18"/>
        <w:lang w:val="en-US"/>
      </w:rPr>
      <w:instrText xml:space="preserve"> PAGE  \* MERGEFORMAT </w:instrText>
    </w:r>
    <w:r w:rsidRPr="00026956">
      <w:rPr>
        <w:b/>
        <w:sz w:val="18"/>
        <w:lang w:val="en-US"/>
      </w:rPr>
      <w:fldChar w:fldCharType="separate"/>
    </w:r>
    <w:r w:rsidRPr="00026956">
      <w:rPr>
        <w:b/>
        <w:noProof/>
        <w:sz w:val="18"/>
        <w:lang w:val="en-US"/>
      </w:rPr>
      <w:t>3</w:t>
    </w:r>
    <w:r w:rsidRPr="00026956">
      <w:rPr>
        <w:b/>
        <w:sz w:val="18"/>
        <w:lang w:val="en-US"/>
      </w:rPr>
      <w:fldChar w:fldCharType="end"/>
    </w:r>
    <w:r>
      <w:rPr>
        <w:b/>
        <w:sz w:val="18"/>
        <w:lang w:val="en-US"/>
      </w:rPr>
      <w:tab/>
    </w:r>
    <w:r>
      <w:rPr>
        <w:sz w:val="17"/>
        <w:lang w:val="en-US"/>
      </w:rPr>
      <w:t>GE.19-07971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DE9" w:rsidRDefault="000C4DE9" w:rsidP="006E444F">
    <w:pPr>
      <w:pStyle w:val="Footer"/>
      <w:spacing w:before="360"/>
      <w:jc w:val="right"/>
      <w:rPr>
        <w:sz w:val="20"/>
        <w:szCs w:val="20"/>
      </w:rPr>
    </w:pPr>
    <w:r>
      <w:rPr>
        <w:sz w:val="20"/>
        <w:szCs w:val="20"/>
      </w:rPr>
      <w:t>GE.19-07971</w:t>
    </w:r>
    <w:r>
      <w:rPr>
        <w:noProof/>
        <w:lang w:val="en-US"/>
      </w:rPr>
      <w:drawing>
        <wp:anchor distT="0" distB="0" distL="114300" distR="114300" simplePos="0" relativeHeight="251665408" behindDoc="1" locked="1" layoutInCell="0" allowOverlap="1" wp14:anchorId="10D3B486" wp14:editId="24C12E68">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0C4DE9" w:rsidRPr="000B0675" w:rsidRDefault="000C4DE9" w:rsidP="000B0675">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4DE9" w:rsidRPr="00CB28F9" w:rsidRDefault="000C4DE9" w:rsidP="00B65ABB">
      <w:pPr>
        <w:pStyle w:val="Footer"/>
        <w:bidi/>
        <w:spacing w:after="80" w:line="200" w:lineRule="exact"/>
        <w:ind w:left="680"/>
      </w:pPr>
      <w:r>
        <w:rPr>
          <w:rtl/>
        </w:rPr>
        <w:t>__________</w:t>
      </w:r>
    </w:p>
  </w:footnote>
  <w:footnote w:type="continuationSeparator" w:id="0">
    <w:p w:rsidR="000C4DE9" w:rsidRDefault="000C4DE9" w:rsidP="00656392">
      <w:pPr>
        <w:spacing w:line="240" w:lineRule="auto"/>
      </w:pPr>
      <w:r>
        <w:continuationSeparator/>
      </w:r>
    </w:p>
  </w:footnote>
  <w:footnote w:id="1">
    <w:p w:rsidR="00B65ABB" w:rsidRPr="00B65ABB" w:rsidRDefault="00B65ABB" w:rsidP="00B65ABB">
      <w:pPr>
        <w:pStyle w:val="FootnoteText1"/>
        <w:rPr>
          <w:rtl/>
        </w:rPr>
      </w:pPr>
      <w:r>
        <w:rPr>
          <w:rtl/>
        </w:rPr>
        <w:t>*</w:t>
      </w:r>
      <w:r>
        <w:rPr>
          <w:rtl/>
        </w:rPr>
        <w:tab/>
      </w:r>
      <w:r w:rsidRPr="00B65ABB">
        <w:rPr>
          <w:rtl/>
        </w:rPr>
        <w:t>اعتمدتها اللجنة في دورتها 80 (١٤ كانون الثاني/يناير - ١ شباط/فبراير ٢٠١٩).</w:t>
      </w:r>
    </w:p>
  </w:footnote>
  <w:footnote w:id="2">
    <w:p w:rsidR="00B65ABB" w:rsidRPr="00ED33F9" w:rsidRDefault="00B65ABB" w:rsidP="00B65ABB">
      <w:pPr>
        <w:pStyle w:val="FootnoteText1"/>
        <w:rPr>
          <w:spacing w:val="-2"/>
          <w:rtl/>
        </w:rPr>
      </w:pPr>
      <w:r>
        <w:rPr>
          <w:rtl/>
        </w:rPr>
        <w:t>**</w:t>
      </w:r>
      <w:r>
        <w:rPr>
          <w:rtl/>
        </w:rPr>
        <w:tab/>
      </w:r>
      <w:r w:rsidRPr="00ED33F9">
        <w:rPr>
          <w:spacing w:val="-2"/>
          <w:rtl/>
        </w:rPr>
        <w:t xml:space="preserve">شارك في النظر في هذا البلاغ أعضاء اللجنة التالية أسماؤهم: السيدة سوزان أهو أسوما، والسيدة هند أيوبي إدريسي، والسيدة أولغا أ. </w:t>
      </w:r>
      <w:proofErr w:type="spellStart"/>
      <w:r w:rsidRPr="00ED33F9">
        <w:rPr>
          <w:spacing w:val="-2"/>
          <w:rtl/>
        </w:rPr>
        <w:t>خازوفا</w:t>
      </w:r>
      <w:proofErr w:type="spellEnd"/>
      <w:r w:rsidRPr="00ED33F9">
        <w:rPr>
          <w:spacing w:val="-2"/>
          <w:rtl/>
        </w:rPr>
        <w:t xml:space="preserve">، والسيد حاتم قطران، والسيد جهاد ماضي، والسيد بنيام داويت مزمور، والسيد كلارنس نيلسن، والسيد </w:t>
      </w:r>
      <w:proofErr w:type="spellStart"/>
      <w:r w:rsidRPr="00ED33F9">
        <w:rPr>
          <w:spacing w:val="-2"/>
          <w:rtl/>
        </w:rPr>
        <w:t>ميكيكو</w:t>
      </w:r>
      <w:proofErr w:type="spellEnd"/>
      <w:r w:rsidRPr="00ED33F9">
        <w:rPr>
          <w:spacing w:val="-2"/>
          <w:rtl/>
        </w:rPr>
        <w:t xml:space="preserve"> أوتاني، والسيد لويس </w:t>
      </w:r>
      <w:proofErr w:type="spellStart"/>
      <w:r w:rsidRPr="00ED33F9">
        <w:rPr>
          <w:spacing w:val="-2"/>
          <w:rtl/>
        </w:rPr>
        <w:t>إرنستو</w:t>
      </w:r>
      <w:proofErr w:type="spellEnd"/>
      <w:r w:rsidRPr="00ED33F9">
        <w:rPr>
          <w:spacing w:val="-2"/>
          <w:rtl/>
        </w:rPr>
        <w:t xml:space="preserve"> </w:t>
      </w:r>
      <w:proofErr w:type="spellStart"/>
      <w:r w:rsidRPr="00ED33F9">
        <w:rPr>
          <w:spacing w:val="-2"/>
          <w:rtl/>
        </w:rPr>
        <w:t>بيدرنيرا</w:t>
      </w:r>
      <w:proofErr w:type="spellEnd"/>
      <w:r w:rsidRPr="00ED33F9">
        <w:rPr>
          <w:spacing w:val="-2"/>
          <w:rtl/>
        </w:rPr>
        <w:t xml:space="preserve"> رينا، والسيد خوسيه أنجيل </w:t>
      </w:r>
      <w:proofErr w:type="spellStart"/>
      <w:r w:rsidRPr="00ED33F9">
        <w:rPr>
          <w:spacing w:val="-2"/>
          <w:rtl/>
        </w:rPr>
        <w:t>رودريغيز</w:t>
      </w:r>
      <w:proofErr w:type="spellEnd"/>
      <w:r w:rsidRPr="00ED33F9">
        <w:rPr>
          <w:spacing w:val="-2"/>
          <w:rtl/>
        </w:rPr>
        <w:t xml:space="preserve"> </w:t>
      </w:r>
      <w:proofErr w:type="spellStart"/>
      <w:r w:rsidRPr="00ED33F9">
        <w:rPr>
          <w:spacing w:val="-2"/>
          <w:rtl/>
        </w:rPr>
        <w:t>رييس</w:t>
      </w:r>
      <w:proofErr w:type="spellEnd"/>
      <w:r w:rsidRPr="00ED33F9">
        <w:rPr>
          <w:spacing w:val="-2"/>
          <w:rtl/>
        </w:rPr>
        <w:t xml:space="preserve">، والسيدة </w:t>
      </w:r>
      <w:proofErr w:type="spellStart"/>
      <w:r w:rsidRPr="00ED33F9">
        <w:rPr>
          <w:spacing w:val="-2"/>
          <w:rtl/>
        </w:rPr>
        <w:t>كيرستن</w:t>
      </w:r>
      <w:proofErr w:type="spellEnd"/>
      <w:r w:rsidRPr="00ED33F9">
        <w:rPr>
          <w:spacing w:val="-2"/>
          <w:rtl/>
        </w:rPr>
        <w:t xml:space="preserve"> </w:t>
      </w:r>
      <w:proofErr w:type="spellStart"/>
      <w:r w:rsidRPr="00ED33F9">
        <w:rPr>
          <w:spacing w:val="-2"/>
          <w:rtl/>
        </w:rPr>
        <w:t>ساندبرغ</w:t>
      </w:r>
      <w:proofErr w:type="spellEnd"/>
      <w:r w:rsidRPr="00ED33F9">
        <w:rPr>
          <w:spacing w:val="-2"/>
          <w:rtl/>
        </w:rPr>
        <w:t xml:space="preserve">، والسيدة آن ماري </w:t>
      </w:r>
      <w:proofErr w:type="spellStart"/>
      <w:r w:rsidRPr="00ED33F9">
        <w:rPr>
          <w:spacing w:val="-2"/>
          <w:rtl/>
        </w:rPr>
        <w:t>سكيلتون</w:t>
      </w:r>
      <w:proofErr w:type="spellEnd"/>
      <w:r w:rsidRPr="00ED33F9">
        <w:rPr>
          <w:spacing w:val="-2"/>
          <w:rtl/>
        </w:rPr>
        <w:t xml:space="preserve">، والسيدة فيلينا </w:t>
      </w:r>
      <w:proofErr w:type="spellStart"/>
      <w:r w:rsidRPr="00ED33F9">
        <w:rPr>
          <w:spacing w:val="-2"/>
          <w:rtl/>
        </w:rPr>
        <w:t>تودوروفا</w:t>
      </w:r>
      <w:proofErr w:type="spellEnd"/>
      <w:r w:rsidRPr="00ED33F9">
        <w:rPr>
          <w:spacing w:val="-2"/>
          <w:rtl/>
        </w:rPr>
        <w:t xml:space="preserve">، والسيدة </w:t>
      </w:r>
      <w:proofErr w:type="spellStart"/>
      <w:r w:rsidRPr="00ED33F9">
        <w:rPr>
          <w:spacing w:val="-2"/>
          <w:rtl/>
        </w:rPr>
        <w:t>ريناته</w:t>
      </w:r>
      <w:proofErr w:type="spellEnd"/>
      <w:r w:rsidRPr="00ED33F9">
        <w:rPr>
          <w:spacing w:val="-2"/>
          <w:rtl/>
        </w:rPr>
        <w:t xml:space="preserve"> وينتر.</w:t>
      </w:r>
    </w:p>
  </w:footnote>
  <w:footnote w:id="3">
    <w:p w:rsidR="00B65ABB" w:rsidRPr="00410A92" w:rsidRDefault="00B65ABB" w:rsidP="00410A92">
      <w:pPr>
        <w:pStyle w:val="FootnoteText1"/>
        <w:textDirection w:val="tbRlV"/>
        <w:rPr>
          <w:rtl/>
        </w:rPr>
      </w:pPr>
      <w:r w:rsidRPr="00410A92">
        <w:rPr>
          <w:b/>
          <w:rtl/>
        </w:rPr>
        <w:t>(</w:t>
      </w:r>
      <w:r w:rsidRPr="00410A92">
        <w:rPr>
          <w:b/>
          <w:rtl/>
        </w:rPr>
        <w:footnoteRef/>
      </w:r>
      <w:r w:rsidRPr="00410A92">
        <w:rPr>
          <w:b/>
          <w:rtl/>
        </w:rPr>
        <w:t>)</w:t>
      </w:r>
      <w:r w:rsidRPr="00A261B7">
        <w:rPr>
          <w:rtl/>
        </w:rPr>
        <w:tab/>
        <w:t>تتشكّل الحدود من ثلاثة أسوار متتالية: اثنان داخليان طولهما ستة أمتار، وواحد خارجي طوله ثلاثة أمتار.</w:t>
      </w:r>
    </w:p>
  </w:footnote>
  <w:footnote w:id="4">
    <w:p w:rsidR="00B65ABB" w:rsidRPr="00410A92" w:rsidRDefault="00B65ABB" w:rsidP="00410A92">
      <w:pPr>
        <w:pStyle w:val="FootnoteText1"/>
        <w:textDirection w:val="tbRlV"/>
        <w:rPr>
          <w:rtl/>
        </w:rPr>
      </w:pPr>
      <w:r w:rsidRPr="00410A92">
        <w:rPr>
          <w:b/>
          <w:rtl/>
        </w:rPr>
        <w:t>(</w:t>
      </w:r>
      <w:r w:rsidRPr="00410A92">
        <w:rPr>
          <w:b/>
          <w:rtl/>
        </w:rPr>
        <w:footnoteRef/>
      </w:r>
      <w:r w:rsidRPr="00410A92">
        <w:rPr>
          <w:b/>
          <w:rtl/>
        </w:rPr>
        <w:t>)</w:t>
      </w:r>
      <w:r w:rsidRPr="00A261B7">
        <w:rPr>
          <w:rtl/>
        </w:rPr>
        <w:tab/>
        <w:t xml:space="preserve">أرفق صاحب البلاغ صورا </w:t>
      </w:r>
      <w:r>
        <w:rPr>
          <w:rtl/>
        </w:rPr>
        <w:t xml:space="preserve">توثق </w:t>
      </w:r>
      <w:r w:rsidRPr="00A261B7">
        <w:rPr>
          <w:rtl/>
        </w:rPr>
        <w:t>نز</w:t>
      </w:r>
      <w:r>
        <w:rPr>
          <w:rtl/>
        </w:rPr>
        <w:t>و</w:t>
      </w:r>
      <w:r w:rsidRPr="00A261B7">
        <w:rPr>
          <w:rtl/>
        </w:rPr>
        <w:t>ل</w:t>
      </w:r>
      <w:r>
        <w:rPr>
          <w:rtl/>
        </w:rPr>
        <w:t>ه</w:t>
      </w:r>
      <w:r w:rsidRPr="00A261B7">
        <w:rPr>
          <w:rtl/>
        </w:rPr>
        <w:t xml:space="preserve"> من أعلى السور وقبض الحرس المدني الإسباني عليه وتصف</w:t>
      </w:r>
      <w:r>
        <w:rPr>
          <w:rtl/>
        </w:rPr>
        <w:t>ي</w:t>
      </w:r>
      <w:r w:rsidRPr="00A261B7">
        <w:rPr>
          <w:rtl/>
        </w:rPr>
        <w:t>د يد</w:t>
      </w:r>
      <w:r>
        <w:rPr>
          <w:rtl/>
        </w:rPr>
        <w:t>ي</w:t>
      </w:r>
      <w:r w:rsidRPr="00A261B7">
        <w:rPr>
          <w:rtl/>
        </w:rPr>
        <w:t>ه و</w:t>
      </w:r>
      <w:r>
        <w:rPr>
          <w:rtl/>
        </w:rPr>
        <w:t>ت</w:t>
      </w:r>
      <w:r w:rsidRPr="00A261B7">
        <w:rPr>
          <w:rtl/>
        </w:rPr>
        <w:t>رح</w:t>
      </w:r>
      <w:r>
        <w:rPr>
          <w:rtl/>
        </w:rPr>
        <w:t>ي</w:t>
      </w:r>
      <w:r w:rsidRPr="00A261B7">
        <w:rPr>
          <w:rtl/>
        </w:rPr>
        <w:t>ل</w:t>
      </w:r>
      <w:r>
        <w:rPr>
          <w:rtl/>
        </w:rPr>
        <w:t>ه إلى المغرب</w:t>
      </w:r>
      <w:r w:rsidRPr="00A261B7">
        <w:rPr>
          <w:rtl/>
        </w:rPr>
        <w:t>.</w:t>
      </w:r>
      <w:r>
        <w:rPr>
          <w:rtl/>
        </w:rPr>
        <w:t xml:space="preserve"> </w:t>
      </w:r>
    </w:p>
  </w:footnote>
  <w:footnote w:id="5">
    <w:p w:rsidR="00B65ABB" w:rsidRPr="00ED33F9" w:rsidRDefault="00B65ABB" w:rsidP="00410A92">
      <w:pPr>
        <w:pStyle w:val="FootnoteText1"/>
        <w:textDirection w:val="tbRlV"/>
        <w:rPr>
          <w:spacing w:val="-2"/>
          <w:rtl/>
        </w:rPr>
      </w:pPr>
      <w:r w:rsidRPr="00ED33F9">
        <w:rPr>
          <w:b/>
          <w:spacing w:val="-2"/>
          <w:rtl/>
        </w:rPr>
        <w:t>(</w:t>
      </w:r>
      <w:r w:rsidRPr="00ED33F9">
        <w:rPr>
          <w:b/>
          <w:spacing w:val="-2"/>
          <w:rtl/>
        </w:rPr>
        <w:footnoteRef/>
      </w:r>
      <w:r w:rsidRPr="00ED33F9">
        <w:rPr>
          <w:b/>
          <w:spacing w:val="-2"/>
          <w:rtl/>
        </w:rPr>
        <w:t>)</w:t>
      </w:r>
      <w:r w:rsidRPr="00ED33F9">
        <w:rPr>
          <w:spacing w:val="-2"/>
          <w:rtl/>
        </w:rPr>
        <w:tab/>
        <w:t xml:space="preserve">بشأن مدى توافر سبل الانتصاف المحلية، يشير صاحب البلاغ إلى آراء اللجنة المعنية بحقوق الإنسان بشأن قضية </w:t>
      </w:r>
      <w:r w:rsidRPr="00ED33F9">
        <w:rPr>
          <w:i/>
          <w:iCs/>
          <w:spacing w:val="-2"/>
          <w:rtl/>
        </w:rPr>
        <w:t>جيري ضد جمهورية كونغو الديمقراطية</w:t>
      </w:r>
      <w:r w:rsidRPr="00ED33F9">
        <w:rPr>
          <w:spacing w:val="-2"/>
          <w:rtl/>
        </w:rPr>
        <w:t xml:space="preserve"> (</w:t>
      </w:r>
      <w:r w:rsidRPr="00ED33F9">
        <w:rPr>
          <w:spacing w:val="-2"/>
        </w:rPr>
        <w:t>CCPR/C/39/D/193/1985</w:t>
      </w:r>
      <w:r w:rsidRPr="00ED33F9">
        <w:rPr>
          <w:spacing w:val="-2"/>
          <w:rtl/>
        </w:rPr>
        <w:t xml:space="preserve">)، وقضية </w:t>
      </w:r>
      <w:r w:rsidRPr="00ED33F9">
        <w:rPr>
          <w:i/>
          <w:iCs/>
          <w:spacing w:val="-2"/>
          <w:rtl/>
        </w:rPr>
        <w:t>وولف ضد بنما</w:t>
      </w:r>
      <w:r w:rsidRPr="00ED33F9">
        <w:rPr>
          <w:spacing w:val="-2"/>
          <w:rtl/>
        </w:rPr>
        <w:t xml:space="preserve"> (</w:t>
      </w:r>
      <w:r w:rsidRPr="00ED33F9">
        <w:rPr>
          <w:spacing w:val="-2"/>
        </w:rPr>
        <w:t>CCPR/C/44/D/289/1988</w:t>
      </w:r>
      <w:r w:rsidRPr="00ED33F9">
        <w:rPr>
          <w:spacing w:val="-2"/>
          <w:rtl/>
        </w:rPr>
        <w:t xml:space="preserve">) وقضية </w:t>
      </w:r>
      <w:proofErr w:type="spellStart"/>
      <w:r w:rsidRPr="00ED33F9">
        <w:rPr>
          <w:i/>
          <w:iCs/>
          <w:spacing w:val="-2"/>
          <w:rtl/>
        </w:rPr>
        <w:t>شوداري</w:t>
      </w:r>
      <w:proofErr w:type="spellEnd"/>
      <w:r w:rsidRPr="00ED33F9">
        <w:rPr>
          <w:i/>
          <w:iCs/>
          <w:spacing w:val="-2"/>
          <w:rtl/>
        </w:rPr>
        <w:t xml:space="preserve"> ضد كندا</w:t>
      </w:r>
      <w:r w:rsidRPr="00ED33F9">
        <w:rPr>
          <w:spacing w:val="-2"/>
          <w:rtl/>
        </w:rPr>
        <w:t xml:space="preserve"> (</w:t>
      </w:r>
      <w:r w:rsidRPr="00ED33F9">
        <w:rPr>
          <w:spacing w:val="-2"/>
        </w:rPr>
        <w:t>CCPR/C/109/D/1898/2009</w:t>
      </w:r>
      <w:r w:rsidRPr="00ED33F9">
        <w:rPr>
          <w:spacing w:val="-2"/>
          <w:rtl/>
        </w:rPr>
        <w:t xml:space="preserve">). وفيما يتعلق بفعالية سبل الانتصاف المحلية، يشير صاحب البلاغ إلى آراء لجنة مناهضة التعذيب بشأن قضية </w:t>
      </w:r>
      <w:proofErr w:type="spellStart"/>
      <w:r w:rsidRPr="00ED33F9">
        <w:rPr>
          <w:i/>
          <w:iCs/>
          <w:spacing w:val="-2"/>
          <w:rtl/>
        </w:rPr>
        <w:t>أركوز</w:t>
      </w:r>
      <w:proofErr w:type="spellEnd"/>
      <w:r w:rsidRPr="00ED33F9">
        <w:rPr>
          <w:i/>
          <w:iCs/>
          <w:spacing w:val="-2"/>
          <w:rtl/>
        </w:rPr>
        <w:t xml:space="preserve"> أرانا ضد فرنسا</w:t>
      </w:r>
      <w:r w:rsidRPr="00ED33F9">
        <w:rPr>
          <w:spacing w:val="-2"/>
          <w:rtl/>
        </w:rPr>
        <w:t xml:space="preserve"> (</w:t>
      </w:r>
      <w:r w:rsidRPr="00ED33F9">
        <w:rPr>
          <w:spacing w:val="-2"/>
        </w:rPr>
        <w:t>CAT/C/23/D/63/1997</w:t>
      </w:r>
      <w:r w:rsidRPr="00ED33F9">
        <w:rPr>
          <w:spacing w:val="-2"/>
          <w:rtl/>
        </w:rPr>
        <w:t xml:space="preserve">)، وقضية </w:t>
      </w:r>
      <w:r w:rsidRPr="00ED33F9">
        <w:rPr>
          <w:i/>
          <w:iCs/>
          <w:spacing w:val="-2"/>
          <w:rtl/>
        </w:rPr>
        <w:t>إي. س. د. ضد فرنسا</w:t>
      </w:r>
      <w:r w:rsidRPr="00ED33F9">
        <w:rPr>
          <w:spacing w:val="-2"/>
          <w:rtl/>
        </w:rPr>
        <w:t xml:space="preserve"> (</w:t>
      </w:r>
      <w:r w:rsidRPr="00ED33F9">
        <w:rPr>
          <w:spacing w:val="-2"/>
        </w:rPr>
        <w:t>CAT/C/34/D/194/2001</w:t>
      </w:r>
      <w:r w:rsidRPr="00ED33F9">
        <w:rPr>
          <w:spacing w:val="-2"/>
          <w:rtl/>
        </w:rPr>
        <w:t xml:space="preserve">)، وقضية </w:t>
      </w:r>
      <w:proofErr w:type="spellStart"/>
      <w:r w:rsidRPr="00ED33F9">
        <w:rPr>
          <w:i/>
          <w:iCs/>
          <w:spacing w:val="-2"/>
          <w:rtl/>
        </w:rPr>
        <w:t>تبورسكي</w:t>
      </w:r>
      <w:proofErr w:type="spellEnd"/>
      <w:r w:rsidRPr="00ED33F9">
        <w:rPr>
          <w:i/>
          <w:iCs/>
          <w:spacing w:val="-2"/>
          <w:rtl/>
        </w:rPr>
        <w:t xml:space="preserve"> ضد فرنسا</w:t>
      </w:r>
      <w:r w:rsidRPr="00ED33F9">
        <w:rPr>
          <w:spacing w:val="-2"/>
          <w:rtl/>
        </w:rPr>
        <w:t xml:space="preserve"> (</w:t>
      </w:r>
      <w:r w:rsidRPr="00ED33F9">
        <w:rPr>
          <w:spacing w:val="-2"/>
        </w:rPr>
        <w:t>CAT/C/38/D/300/2006</w:t>
      </w:r>
      <w:r w:rsidRPr="00ED33F9">
        <w:rPr>
          <w:spacing w:val="-2"/>
          <w:rtl/>
        </w:rPr>
        <w:t>). ويشير أيضا</w:t>
      </w:r>
      <w:r w:rsidR="001E3F43" w:rsidRPr="00ED33F9">
        <w:rPr>
          <w:rFonts w:hint="cs"/>
          <w:spacing w:val="-2"/>
          <w:rtl/>
        </w:rPr>
        <w:t>ً</w:t>
      </w:r>
      <w:r w:rsidRPr="00ED33F9">
        <w:rPr>
          <w:spacing w:val="-2"/>
          <w:rtl/>
        </w:rPr>
        <w:t xml:space="preserve"> إلى السوابق القضائية للمحكمة الأوروبية لحقوق الإنسان لكي يبين أنه في إطار قضايا الترحيل لا تعتبر سبل الانتصاف فعالة إلا إذا كان لها أثر إيقافي (قضية </w:t>
      </w:r>
      <w:proofErr w:type="spellStart"/>
      <w:r w:rsidRPr="00ED33F9">
        <w:rPr>
          <w:i/>
          <w:iCs/>
          <w:spacing w:val="-2"/>
          <w:rtl/>
        </w:rPr>
        <w:t>هيرسي</w:t>
      </w:r>
      <w:proofErr w:type="spellEnd"/>
      <w:r w:rsidRPr="00ED33F9">
        <w:rPr>
          <w:i/>
          <w:iCs/>
          <w:spacing w:val="-2"/>
          <w:rtl/>
        </w:rPr>
        <w:t xml:space="preserve"> جمعة وآخرون ضد إيطاليا</w:t>
      </w:r>
      <w:r w:rsidRPr="00ED33F9">
        <w:rPr>
          <w:spacing w:val="-2"/>
          <w:rtl/>
        </w:rPr>
        <w:t xml:space="preserve"> (المطالبة رقم 27765/09) وقضية </w:t>
      </w:r>
      <w:r w:rsidRPr="00ED33F9">
        <w:rPr>
          <w:i/>
          <w:iCs/>
          <w:spacing w:val="-2"/>
          <w:rtl/>
        </w:rPr>
        <w:t>أ.</w:t>
      </w:r>
      <w:r w:rsidR="001E3F43" w:rsidRPr="00ED33F9">
        <w:rPr>
          <w:rFonts w:hint="cs"/>
          <w:i/>
          <w:iCs/>
          <w:spacing w:val="-2"/>
          <w:rtl/>
        </w:rPr>
        <w:t xml:space="preserve"> </w:t>
      </w:r>
      <w:r w:rsidRPr="00ED33F9">
        <w:rPr>
          <w:i/>
          <w:iCs/>
          <w:spacing w:val="-2"/>
          <w:rtl/>
        </w:rPr>
        <w:t>سي وآخرون ضد إسبانيا</w:t>
      </w:r>
      <w:r w:rsidRPr="00ED33F9">
        <w:rPr>
          <w:spacing w:val="-2"/>
          <w:rtl/>
        </w:rPr>
        <w:t xml:space="preserve"> (المطالبة رقم 6528/11).</w:t>
      </w:r>
    </w:p>
  </w:footnote>
  <w:footnote w:id="6">
    <w:p w:rsidR="00B65ABB" w:rsidRPr="00410A92" w:rsidRDefault="00B65ABB" w:rsidP="00410A92">
      <w:pPr>
        <w:pStyle w:val="FootnoteText1"/>
        <w:textDirection w:val="tbRlV"/>
        <w:rPr>
          <w:rtl/>
        </w:rPr>
      </w:pPr>
      <w:r w:rsidRPr="00410A92">
        <w:rPr>
          <w:b/>
          <w:rtl/>
        </w:rPr>
        <w:t>(</w:t>
      </w:r>
      <w:r w:rsidRPr="00410A92">
        <w:rPr>
          <w:b/>
          <w:rtl/>
        </w:rPr>
        <w:footnoteRef/>
      </w:r>
      <w:r w:rsidRPr="00410A92">
        <w:rPr>
          <w:b/>
          <w:rtl/>
        </w:rPr>
        <w:t>)</w:t>
      </w:r>
      <w:r w:rsidRPr="00C8223B">
        <w:rPr>
          <w:rtl/>
        </w:rPr>
        <w:tab/>
        <w:t xml:space="preserve">يقدم </w:t>
      </w:r>
      <w:r>
        <w:rPr>
          <w:rtl/>
        </w:rPr>
        <w:t>صاحب البلاغ نسخة من بطاقة تسجيله</w:t>
      </w:r>
      <w:r w:rsidRPr="00C8223B">
        <w:rPr>
          <w:rtl/>
        </w:rPr>
        <w:t xml:space="preserve"> </w:t>
      </w:r>
      <w:r>
        <w:rPr>
          <w:rtl/>
        </w:rPr>
        <w:t xml:space="preserve">لدى </w:t>
      </w:r>
      <w:r w:rsidRPr="00C8223B">
        <w:rPr>
          <w:rtl/>
        </w:rPr>
        <w:t>القنصلية المالية التي تتضمن اسمه الكامل: د.</w:t>
      </w:r>
      <w:r w:rsidR="00ED33F9">
        <w:rPr>
          <w:rFonts w:hint="cs"/>
          <w:rtl/>
        </w:rPr>
        <w:t xml:space="preserve"> </w:t>
      </w:r>
      <w:r w:rsidRPr="00C8223B">
        <w:rPr>
          <w:rtl/>
        </w:rPr>
        <w:t xml:space="preserve">د.، وتاريخ ميلاده: ١٠ آذار/مارس ١٩٩٩، واسم والديه: تشاكا، </w:t>
      </w:r>
      <w:proofErr w:type="spellStart"/>
      <w:r w:rsidRPr="00C8223B">
        <w:rPr>
          <w:rtl/>
        </w:rPr>
        <w:t>ويايي</w:t>
      </w:r>
      <w:proofErr w:type="spellEnd"/>
      <w:r w:rsidRPr="00C8223B">
        <w:rPr>
          <w:rtl/>
        </w:rPr>
        <w:t xml:space="preserve">، ومهنته: طالب. </w:t>
      </w:r>
      <w:bookmarkStart w:id="1" w:name="_Hlk529714898"/>
      <w:bookmarkEnd w:id="1"/>
    </w:p>
  </w:footnote>
  <w:footnote w:id="7">
    <w:p w:rsidR="00B65ABB" w:rsidRPr="00410A92" w:rsidRDefault="00B65ABB" w:rsidP="00410A92">
      <w:pPr>
        <w:pStyle w:val="FootnoteText1"/>
        <w:textDirection w:val="tbRlV"/>
        <w:rPr>
          <w:rtl/>
        </w:rPr>
      </w:pPr>
      <w:r w:rsidRPr="00410A92">
        <w:rPr>
          <w:b/>
          <w:rtl/>
        </w:rPr>
        <w:t>(</w:t>
      </w:r>
      <w:r w:rsidRPr="00410A92">
        <w:rPr>
          <w:b/>
          <w:rtl/>
        </w:rPr>
        <w:footnoteRef/>
      </w:r>
      <w:r w:rsidRPr="00410A92">
        <w:rPr>
          <w:b/>
          <w:rtl/>
        </w:rPr>
        <w:t>)</w:t>
      </w:r>
      <w:r w:rsidRPr="00C8223B">
        <w:rPr>
          <w:rtl/>
        </w:rPr>
        <w:tab/>
        <w:t xml:space="preserve">يقدّم صاحب البلاغ نسخة من مذكرة مؤرخة ١٠ آب/أغسطس ٢٠١٥ صادرة عن إقليم مدريد بشأن مدى احترام إجراء إيداع </w:t>
      </w:r>
      <w:r>
        <w:rPr>
          <w:rtl/>
        </w:rPr>
        <w:t xml:space="preserve">صاحب البلاغ </w:t>
      </w:r>
      <w:r w:rsidRPr="00C8223B">
        <w:rPr>
          <w:rtl/>
        </w:rPr>
        <w:t xml:space="preserve">في مؤسسة </w:t>
      </w:r>
      <w:r>
        <w:rPr>
          <w:rtl/>
        </w:rPr>
        <w:t>المستند</w:t>
      </w:r>
      <w:r w:rsidRPr="00C8223B">
        <w:rPr>
          <w:rtl/>
        </w:rPr>
        <w:t xml:space="preserve"> إلى قرار لجنة الوصاية على القصر </w:t>
      </w:r>
      <w:r>
        <w:rPr>
          <w:rtl/>
        </w:rPr>
        <w:t xml:space="preserve">لدى </w:t>
      </w:r>
      <w:r w:rsidRPr="00C8223B">
        <w:rPr>
          <w:rtl/>
        </w:rPr>
        <w:t xml:space="preserve">مكتب الشؤون الاجتماعية </w:t>
      </w:r>
      <w:r>
        <w:rPr>
          <w:rtl/>
        </w:rPr>
        <w:t>لإقليم مدريد ال</w:t>
      </w:r>
      <w:r w:rsidRPr="00C8223B">
        <w:rPr>
          <w:rtl/>
        </w:rPr>
        <w:t>ق</w:t>
      </w:r>
      <w:r>
        <w:rPr>
          <w:rtl/>
        </w:rPr>
        <w:t>اضي بوضع</w:t>
      </w:r>
      <w:r w:rsidRPr="00C8223B">
        <w:rPr>
          <w:rtl/>
        </w:rPr>
        <w:t xml:space="preserve"> صاحب البلاغ ت</w:t>
      </w:r>
      <w:r>
        <w:rPr>
          <w:rtl/>
        </w:rPr>
        <w:t>حت حماي</w:t>
      </w:r>
      <w:r w:rsidRPr="00C8223B">
        <w:rPr>
          <w:rtl/>
        </w:rPr>
        <w:t xml:space="preserve">ة السلطات الإسبانية. </w:t>
      </w:r>
      <w:bookmarkStart w:id="2" w:name="_Hlk529720260"/>
      <w:bookmarkEnd w:id="2"/>
    </w:p>
  </w:footnote>
  <w:footnote w:id="8">
    <w:p w:rsidR="00B65ABB" w:rsidRPr="00ED33F9" w:rsidRDefault="00B65ABB" w:rsidP="00410A92">
      <w:pPr>
        <w:pStyle w:val="FootnoteText1"/>
        <w:textDirection w:val="tbRlV"/>
        <w:rPr>
          <w:spacing w:val="-4"/>
          <w:rtl/>
        </w:rPr>
      </w:pPr>
      <w:r w:rsidRPr="00ED33F9">
        <w:rPr>
          <w:b/>
          <w:spacing w:val="-4"/>
          <w:rtl/>
        </w:rPr>
        <w:t>(</w:t>
      </w:r>
      <w:r w:rsidRPr="00ED33F9">
        <w:rPr>
          <w:b/>
          <w:spacing w:val="-4"/>
          <w:rtl/>
        </w:rPr>
        <w:footnoteRef/>
      </w:r>
      <w:r w:rsidRPr="00ED33F9">
        <w:rPr>
          <w:b/>
          <w:spacing w:val="-4"/>
          <w:rtl/>
        </w:rPr>
        <w:t>)</w:t>
      </w:r>
      <w:r w:rsidRPr="00ED33F9">
        <w:rPr>
          <w:spacing w:val="-4"/>
          <w:rtl/>
        </w:rPr>
        <w:tab/>
        <w:t xml:space="preserve">يقدم صاحب البلاغ نسخة من تقارير وبلاغات أصدرتها في عام 2014 مفوضية الأمم المتحدة السامية لشؤون اللاجئين (المفوضية)، واللجنة الأوروبية لمنع التعذيب والمعاملة أو العقوبة القاسية أو اللاإنسانية أو المهينة، ومنظمة هيومان </w:t>
      </w:r>
      <w:proofErr w:type="spellStart"/>
      <w:r w:rsidRPr="00ED33F9">
        <w:rPr>
          <w:spacing w:val="-4"/>
          <w:rtl/>
        </w:rPr>
        <w:t>رايتس</w:t>
      </w:r>
      <w:proofErr w:type="spellEnd"/>
      <w:r w:rsidRPr="00ED33F9">
        <w:rPr>
          <w:spacing w:val="-4"/>
          <w:rtl/>
        </w:rPr>
        <w:t xml:space="preserve"> </w:t>
      </w:r>
      <w:proofErr w:type="spellStart"/>
      <w:r w:rsidRPr="00ED33F9">
        <w:rPr>
          <w:spacing w:val="-4"/>
          <w:rtl/>
        </w:rPr>
        <w:t>ووتش</w:t>
      </w:r>
      <w:proofErr w:type="spellEnd"/>
      <w:r w:rsidRPr="00ED33F9">
        <w:rPr>
          <w:spacing w:val="-4"/>
          <w:rtl/>
        </w:rPr>
        <w:t xml:space="preserve">، ومنظمة العفو الدولية، ضمن وثائق أخرى، وأعربت فيها عن قلقها إزاء مشروع القانون هذا. </w:t>
      </w:r>
    </w:p>
  </w:footnote>
  <w:footnote w:id="9">
    <w:p w:rsidR="00B65ABB" w:rsidRPr="00410A92" w:rsidRDefault="00B65ABB" w:rsidP="00410A92">
      <w:pPr>
        <w:pStyle w:val="FootnoteText1"/>
        <w:textDirection w:val="tbRlV"/>
        <w:rPr>
          <w:rtl/>
        </w:rPr>
      </w:pPr>
      <w:r w:rsidRPr="00410A92">
        <w:rPr>
          <w:b/>
          <w:rtl/>
        </w:rPr>
        <w:t>(</w:t>
      </w:r>
      <w:r w:rsidRPr="00410A92">
        <w:rPr>
          <w:b/>
          <w:rtl/>
        </w:rPr>
        <w:footnoteRef/>
      </w:r>
      <w:r w:rsidRPr="00410A92">
        <w:rPr>
          <w:b/>
          <w:rtl/>
        </w:rPr>
        <w:t>)</w:t>
      </w:r>
      <w:r w:rsidRPr="00C8223B">
        <w:rPr>
          <w:rtl/>
        </w:rPr>
        <w:tab/>
      </w:r>
      <w:r>
        <w:rPr>
          <w:rtl/>
        </w:rPr>
        <w:t>يشير</w:t>
      </w:r>
      <w:r w:rsidRPr="00C8223B">
        <w:rPr>
          <w:rtl/>
        </w:rPr>
        <w:t xml:space="preserve"> صاحب البلاغ </w:t>
      </w:r>
      <w:r>
        <w:rPr>
          <w:rtl/>
        </w:rPr>
        <w:t xml:space="preserve">إلى </w:t>
      </w:r>
      <w:r w:rsidRPr="00C8223B">
        <w:rPr>
          <w:rtl/>
        </w:rPr>
        <w:t xml:space="preserve">القضايا المعروضة على المحكمة الأوروبية لحقوق الإنسان، </w:t>
      </w:r>
      <w:r w:rsidRPr="001E3F43">
        <w:rPr>
          <w:i/>
          <w:iCs/>
          <w:rtl/>
        </w:rPr>
        <w:t xml:space="preserve">ن. د. </w:t>
      </w:r>
      <w:proofErr w:type="spellStart"/>
      <w:r w:rsidRPr="001E3F43">
        <w:rPr>
          <w:i/>
          <w:iCs/>
          <w:rtl/>
        </w:rPr>
        <w:t>ون</w:t>
      </w:r>
      <w:proofErr w:type="spellEnd"/>
      <w:r w:rsidRPr="001E3F43">
        <w:rPr>
          <w:i/>
          <w:iCs/>
          <w:rtl/>
        </w:rPr>
        <w:t>. ت. ضد إسبانيا</w:t>
      </w:r>
      <w:r w:rsidRPr="00C8223B">
        <w:rPr>
          <w:rtl/>
        </w:rPr>
        <w:t xml:space="preserve"> (المطالبتان رقم 8675/15 و8697/15). </w:t>
      </w:r>
    </w:p>
  </w:footnote>
  <w:footnote w:id="10">
    <w:p w:rsidR="00B65ABB" w:rsidRPr="00410A92" w:rsidRDefault="00B65ABB" w:rsidP="00410A92">
      <w:pPr>
        <w:pStyle w:val="FootnoteText1"/>
        <w:textDirection w:val="tbRlV"/>
        <w:rPr>
          <w:rtl/>
        </w:rPr>
      </w:pPr>
      <w:r w:rsidRPr="00410A92">
        <w:rPr>
          <w:b/>
          <w:rtl/>
        </w:rPr>
        <w:t>(</w:t>
      </w:r>
      <w:r w:rsidRPr="00410A92">
        <w:rPr>
          <w:b/>
          <w:rtl/>
        </w:rPr>
        <w:footnoteRef/>
      </w:r>
      <w:r w:rsidRPr="00410A92">
        <w:rPr>
          <w:b/>
          <w:rtl/>
        </w:rPr>
        <w:t>)</w:t>
      </w:r>
      <w:r w:rsidRPr="00C8223B">
        <w:rPr>
          <w:rtl/>
        </w:rPr>
        <w:tab/>
      </w:r>
      <w:r>
        <w:rPr>
          <w:rtl/>
        </w:rPr>
        <w:t xml:space="preserve">يشير صاحب البلاغ إلى </w:t>
      </w:r>
      <w:r w:rsidRPr="00C8223B">
        <w:rPr>
          <w:rtl/>
        </w:rPr>
        <w:t>تعليق اللجنة العام رقم</w:t>
      </w:r>
      <w:r>
        <w:rPr>
          <w:rtl/>
        </w:rPr>
        <w:t xml:space="preserve"> 6(2005)</w:t>
      </w:r>
      <w:r w:rsidRPr="00C8223B">
        <w:rPr>
          <w:rtl/>
        </w:rPr>
        <w:t xml:space="preserve"> بشأن معاملة الأطفال غير المصحوبين والمنفصلين عن ذويهم خارج بلدهم الأصلي، الفقرتان 7 و9.</w:t>
      </w:r>
    </w:p>
  </w:footnote>
  <w:footnote w:id="11">
    <w:p w:rsidR="00B65ABB" w:rsidRPr="00410A92" w:rsidRDefault="00B65ABB" w:rsidP="00410A92">
      <w:pPr>
        <w:pStyle w:val="FootnoteText1"/>
        <w:textDirection w:val="tbRlV"/>
        <w:rPr>
          <w:rtl/>
        </w:rPr>
      </w:pPr>
      <w:r w:rsidRPr="00410A92">
        <w:rPr>
          <w:b/>
          <w:rtl/>
        </w:rPr>
        <w:t>(</w:t>
      </w:r>
      <w:r w:rsidRPr="00410A92">
        <w:rPr>
          <w:b/>
          <w:rtl/>
        </w:rPr>
        <w:footnoteRef/>
      </w:r>
      <w:r w:rsidRPr="00410A92">
        <w:rPr>
          <w:b/>
          <w:rtl/>
        </w:rPr>
        <w:t>)</w:t>
      </w:r>
      <w:bookmarkStart w:id="3" w:name="_Hlk529799520"/>
      <w:r w:rsidRPr="00C8223B">
        <w:rPr>
          <w:rtl/>
        </w:rPr>
        <w:tab/>
        <w:t>المرجع نفسه، الفقرات</w:t>
      </w:r>
      <w:r>
        <w:rPr>
          <w:rtl/>
        </w:rPr>
        <w:t xml:space="preserve"> 12</w:t>
      </w:r>
      <w:r w:rsidRPr="00C8223B">
        <w:rPr>
          <w:rtl/>
        </w:rPr>
        <w:t xml:space="preserve"> و</w:t>
      </w:r>
      <w:r>
        <w:rPr>
          <w:rtl/>
        </w:rPr>
        <w:t>13</w:t>
      </w:r>
      <w:r w:rsidRPr="00C8223B">
        <w:rPr>
          <w:rtl/>
        </w:rPr>
        <w:t xml:space="preserve"> و</w:t>
      </w:r>
      <w:r>
        <w:rPr>
          <w:rtl/>
        </w:rPr>
        <w:t>18</w:t>
      </w:r>
      <w:r w:rsidRPr="00C8223B">
        <w:rPr>
          <w:rtl/>
        </w:rPr>
        <w:t xml:space="preserve"> و</w:t>
      </w:r>
      <w:r>
        <w:rPr>
          <w:rtl/>
        </w:rPr>
        <w:t>31</w:t>
      </w:r>
      <w:bookmarkEnd w:id="3"/>
      <w:r>
        <w:rPr>
          <w:rtl/>
        </w:rPr>
        <w:t>.</w:t>
      </w:r>
    </w:p>
  </w:footnote>
  <w:footnote w:id="12">
    <w:p w:rsidR="00B65ABB" w:rsidRPr="00410A92" w:rsidRDefault="00B65ABB" w:rsidP="00410A92">
      <w:pPr>
        <w:pStyle w:val="FootnoteText1"/>
        <w:textDirection w:val="tbRlV"/>
        <w:rPr>
          <w:rtl/>
        </w:rPr>
      </w:pPr>
      <w:r w:rsidRPr="00410A92">
        <w:rPr>
          <w:b/>
          <w:rtl/>
        </w:rPr>
        <w:t>(</w:t>
      </w:r>
      <w:r w:rsidRPr="00410A92">
        <w:rPr>
          <w:b/>
          <w:rtl/>
        </w:rPr>
        <w:footnoteRef/>
      </w:r>
      <w:r w:rsidRPr="00410A92">
        <w:rPr>
          <w:b/>
          <w:rtl/>
        </w:rPr>
        <w:t>)</w:t>
      </w:r>
      <w:r w:rsidRPr="00C8223B">
        <w:rPr>
          <w:rtl/>
        </w:rPr>
        <w:tab/>
        <w:t>يشير صاحب البلاغ إلى الملاحظات الختامية للجنة بشأن التقرير الجامع للتقريرين الدوريين الثالث والرابع للمغرب</w:t>
      </w:r>
      <w:r>
        <w:rPr>
          <w:rtl/>
        </w:rPr>
        <w:t xml:space="preserve"> (</w:t>
      </w:r>
      <w:r w:rsidRPr="00C8223B">
        <w:t>CRC/C/MAR/CO/3-4</w:t>
      </w:r>
      <w:r>
        <w:rPr>
          <w:rtl/>
        </w:rPr>
        <w:t xml:space="preserve">)، </w:t>
      </w:r>
      <w:r w:rsidRPr="00C8223B">
        <w:rPr>
          <w:rtl/>
        </w:rPr>
        <w:t>الفقرة</w:t>
      </w:r>
      <w:r>
        <w:rPr>
          <w:rtl/>
        </w:rPr>
        <w:t xml:space="preserve"> 34</w:t>
      </w:r>
      <w:r w:rsidRPr="00C8223B">
        <w:rPr>
          <w:rtl/>
        </w:rPr>
        <w:t>، والتعليق العام رقم ١٣(٢٠١١) للجنة بشأن حق الطفل في التحرر من جميع أشكال العنف، الفقرة</w:t>
      </w:r>
      <w:r>
        <w:rPr>
          <w:rtl/>
        </w:rPr>
        <w:t xml:space="preserve"> 26.</w:t>
      </w:r>
    </w:p>
  </w:footnote>
  <w:footnote w:id="13">
    <w:p w:rsidR="00B65ABB" w:rsidRPr="00410A92" w:rsidRDefault="00B65ABB" w:rsidP="00410A92">
      <w:pPr>
        <w:pStyle w:val="FootnoteText1"/>
        <w:textDirection w:val="tbRlV"/>
        <w:rPr>
          <w:rtl/>
        </w:rPr>
      </w:pPr>
      <w:r w:rsidRPr="00410A92">
        <w:rPr>
          <w:b/>
          <w:rtl/>
        </w:rPr>
        <w:t>(</w:t>
      </w:r>
      <w:r w:rsidRPr="00410A92">
        <w:rPr>
          <w:b/>
          <w:rtl/>
        </w:rPr>
        <w:footnoteRef/>
      </w:r>
      <w:r w:rsidRPr="00410A92">
        <w:rPr>
          <w:b/>
          <w:rtl/>
        </w:rPr>
        <w:t>)</w:t>
      </w:r>
      <w:r w:rsidRPr="00C8223B">
        <w:rPr>
          <w:rtl/>
        </w:rPr>
        <w:tab/>
      </w:r>
      <w:r>
        <w:rPr>
          <w:rtl/>
        </w:rPr>
        <w:t>يستشهد</w:t>
      </w:r>
      <w:r w:rsidRPr="00C8223B">
        <w:rPr>
          <w:rtl/>
        </w:rPr>
        <w:t xml:space="preserve"> صاحب البلاغ بالمحكمة الأوروبية لحقوق الإنسان، قضية </w:t>
      </w:r>
      <w:r w:rsidRPr="001E3F43">
        <w:rPr>
          <w:i/>
          <w:iCs/>
          <w:rtl/>
        </w:rPr>
        <w:t xml:space="preserve">ب. </w:t>
      </w:r>
      <w:proofErr w:type="spellStart"/>
      <w:r w:rsidRPr="001E3F43">
        <w:rPr>
          <w:i/>
          <w:iCs/>
          <w:rtl/>
        </w:rPr>
        <w:t>وس</w:t>
      </w:r>
      <w:proofErr w:type="spellEnd"/>
      <w:r w:rsidRPr="001E3F43">
        <w:rPr>
          <w:i/>
          <w:iCs/>
          <w:rtl/>
        </w:rPr>
        <w:t>. ضد بولندا</w:t>
      </w:r>
      <w:r w:rsidRPr="00C8223B">
        <w:rPr>
          <w:rtl/>
        </w:rPr>
        <w:t xml:space="preserve"> (المطالبة رقم </w:t>
      </w:r>
      <w:r w:rsidR="00D51EF3">
        <w:rPr>
          <w:rFonts w:hint="cs"/>
          <w:rtl/>
        </w:rPr>
        <w:t>57375</w:t>
      </w:r>
      <w:r w:rsidRPr="00C8223B">
        <w:rPr>
          <w:rtl/>
        </w:rPr>
        <w:t>/08</w:t>
      </w:r>
      <w:r>
        <w:rPr>
          <w:rtl/>
        </w:rPr>
        <w:t>)</w:t>
      </w:r>
      <w:r w:rsidRPr="00C8223B">
        <w:rPr>
          <w:rtl/>
        </w:rPr>
        <w:t>، القرار المؤرخ 30 تشرين الأول/أكتوبر</w:t>
      </w:r>
      <w:r>
        <w:rPr>
          <w:rtl/>
        </w:rPr>
        <w:t xml:space="preserve"> 2012؛ </w:t>
      </w:r>
      <w:r w:rsidRPr="00C8223B">
        <w:rPr>
          <w:rtl/>
        </w:rPr>
        <w:t xml:space="preserve">وقضية </w:t>
      </w:r>
      <w:proofErr w:type="spellStart"/>
      <w:r w:rsidRPr="001E3F43">
        <w:rPr>
          <w:i/>
          <w:iCs/>
          <w:rtl/>
        </w:rPr>
        <w:t>موبيلانزيلا</w:t>
      </w:r>
      <w:proofErr w:type="spellEnd"/>
      <w:r w:rsidRPr="001E3F43">
        <w:rPr>
          <w:i/>
          <w:iCs/>
          <w:rtl/>
        </w:rPr>
        <w:t xml:space="preserve"> </w:t>
      </w:r>
      <w:proofErr w:type="spellStart"/>
      <w:r w:rsidRPr="001E3F43">
        <w:rPr>
          <w:i/>
          <w:iCs/>
          <w:rtl/>
        </w:rPr>
        <w:t>ماييكا</w:t>
      </w:r>
      <w:proofErr w:type="spellEnd"/>
      <w:r w:rsidRPr="001E3F43">
        <w:rPr>
          <w:i/>
          <w:iCs/>
          <w:rtl/>
        </w:rPr>
        <w:t xml:space="preserve"> </w:t>
      </w:r>
      <w:proofErr w:type="spellStart"/>
      <w:r w:rsidRPr="001E3F43">
        <w:rPr>
          <w:i/>
          <w:iCs/>
          <w:rtl/>
        </w:rPr>
        <w:t>وكانيكي</w:t>
      </w:r>
      <w:proofErr w:type="spellEnd"/>
      <w:r w:rsidRPr="001E3F43">
        <w:rPr>
          <w:i/>
          <w:iCs/>
          <w:rtl/>
        </w:rPr>
        <w:t xml:space="preserve"> </w:t>
      </w:r>
      <w:proofErr w:type="spellStart"/>
      <w:r w:rsidRPr="001E3F43">
        <w:rPr>
          <w:i/>
          <w:iCs/>
          <w:rtl/>
        </w:rPr>
        <w:t>ميتونغا</w:t>
      </w:r>
      <w:proofErr w:type="spellEnd"/>
      <w:r w:rsidRPr="001E3F43">
        <w:rPr>
          <w:i/>
          <w:iCs/>
          <w:rtl/>
        </w:rPr>
        <w:t xml:space="preserve"> ضد بلجيكا</w:t>
      </w:r>
      <w:r w:rsidRPr="00C8223B">
        <w:rPr>
          <w:rtl/>
        </w:rPr>
        <w:t xml:space="preserve"> (المطالبة</w:t>
      </w:r>
      <w:r>
        <w:rPr>
          <w:rtl/>
        </w:rPr>
        <w:t xml:space="preserve"> رقم ١٣١٧٨/٠٣)، القرار المؤرخ</w:t>
      </w:r>
      <w:r w:rsidRPr="00C8223B">
        <w:rPr>
          <w:rtl/>
        </w:rPr>
        <w:t xml:space="preserve"> ١٢ كانون الثاني/يناير ٢٠٠٧، الفقرة 69، وقضية </w:t>
      </w:r>
      <w:r w:rsidRPr="001E3F43">
        <w:rPr>
          <w:i/>
          <w:iCs/>
          <w:rtl/>
        </w:rPr>
        <w:t>رحيمي ضد اليونان</w:t>
      </w:r>
      <w:r w:rsidRPr="00C8223B">
        <w:rPr>
          <w:rtl/>
        </w:rPr>
        <w:t xml:space="preserve"> (المطالب</w:t>
      </w:r>
      <w:r>
        <w:rPr>
          <w:rtl/>
        </w:rPr>
        <w:t>ة رقم ٨٦٨٧/٠٨)، القرار المؤرخ</w:t>
      </w:r>
      <w:r w:rsidRPr="00C8223B">
        <w:rPr>
          <w:rtl/>
        </w:rPr>
        <w:t xml:space="preserve"> ٥ تموز/يوليه ٢٠١١، الفقرتان 92 و</w:t>
      </w:r>
      <w:r>
        <w:rPr>
          <w:rtl/>
        </w:rPr>
        <w:t>94.</w:t>
      </w:r>
    </w:p>
  </w:footnote>
  <w:footnote w:id="14">
    <w:p w:rsidR="00B65ABB" w:rsidRPr="00410A92" w:rsidRDefault="00B65ABB" w:rsidP="00410A92">
      <w:pPr>
        <w:pStyle w:val="FootnoteText1"/>
        <w:textDirection w:val="tbRlV"/>
        <w:rPr>
          <w:rtl/>
        </w:rPr>
      </w:pPr>
      <w:r w:rsidRPr="00410A92">
        <w:rPr>
          <w:b/>
          <w:rtl/>
        </w:rPr>
        <w:t>(</w:t>
      </w:r>
      <w:r w:rsidRPr="00410A92">
        <w:rPr>
          <w:b/>
          <w:rtl/>
        </w:rPr>
        <w:footnoteRef/>
      </w:r>
      <w:r w:rsidRPr="00410A92">
        <w:rPr>
          <w:b/>
          <w:rtl/>
        </w:rPr>
        <w:t>)</w:t>
      </w:r>
      <w:bookmarkStart w:id="4" w:name="_Hlk529796349"/>
      <w:r w:rsidRPr="00C8223B">
        <w:rPr>
          <w:rtl/>
        </w:rPr>
        <w:tab/>
        <w:t>يشير صاحب البلاغ إلى تعليق اللجنة العام رقم 6، الفقرة</w:t>
      </w:r>
      <w:r>
        <w:rPr>
          <w:rtl/>
        </w:rPr>
        <w:t xml:space="preserve"> </w:t>
      </w:r>
      <w:bookmarkStart w:id="5" w:name="_Hlk529814723"/>
      <w:bookmarkEnd w:id="4"/>
      <w:bookmarkEnd w:id="5"/>
      <w:r>
        <w:rPr>
          <w:rtl/>
        </w:rPr>
        <w:t>27.</w:t>
      </w:r>
    </w:p>
  </w:footnote>
  <w:footnote w:id="15">
    <w:p w:rsidR="00B65ABB" w:rsidRPr="00410A92" w:rsidRDefault="00B65ABB" w:rsidP="00410A92">
      <w:pPr>
        <w:pStyle w:val="FootnoteText1"/>
        <w:textDirection w:val="tbRlV"/>
        <w:rPr>
          <w:rtl/>
        </w:rPr>
      </w:pPr>
      <w:r w:rsidRPr="00410A92">
        <w:rPr>
          <w:b/>
          <w:rtl/>
        </w:rPr>
        <w:t>(</w:t>
      </w:r>
      <w:r w:rsidRPr="00410A92">
        <w:rPr>
          <w:b/>
          <w:rtl/>
        </w:rPr>
        <w:footnoteRef/>
      </w:r>
      <w:r w:rsidRPr="00410A92">
        <w:rPr>
          <w:b/>
          <w:rtl/>
        </w:rPr>
        <w:t>)</w:t>
      </w:r>
      <w:r w:rsidRPr="00C8223B">
        <w:rPr>
          <w:rtl/>
        </w:rPr>
        <w:tab/>
        <w:t xml:space="preserve">يشير صاحب البلاغ إلى تعليق </w:t>
      </w:r>
      <w:r>
        <w:rPr>
          <w:rtl/>
        </w:rPr>
        <w:t xml:space="preserve">اللجنة </w:t>
      </w:r>
      <w:r w:rsidRPr="00C8223B">
        <w:rPr>
          <w:rtl/>
        </w:rPr>
        <w:t>العام رقم</w:t>
      </w:r>
      <w:r>
        <w:rPr>
          <w:rtl/>
        </w:rPr>
        <w:t xml:space="preserve"> 14(2013) </w:t>
      </w:r>
      <w:r w:rsidRPr="00C8223B">
        <w:rPr>
          <w:rtl/>
        </w:rPr>
        <w:t>بشأن حق الطفل في إيلاء الاعتبار الأول لمصالحه الفضلى، الفقرتان 17 و18.</w:t>
      </w:r>
    </w:p>
  </w:footnote>
  <w:footnote w:id="16">
    <w:p w:rsidR="00B65ABB" w:rsidRPr="00410A92" w:rsidRDefault="00B65ABB" w:rsidP="00410A92">
      <w:pPr>
        <w:pStyle w:val="FootnoteText1"/>
        <w:textDirection w:val="tbRlV"/>
        <w:rPr>
          <w:rtl/>
        </w:rPr>
      </w:pPr>
      <w:r w:rsidRPr="00410A92">
        <w:rPr>
          <w:b/>
          <w:rtl/>
        </w:rPr>
        <w:t>(</w:t>
      </w:r>
      <w:r w:rsidRPr="00410A92">
        <w:rPr>
          <w:b/>
          <w:rtl/>
        </w:rPr>
        <w:footnoteRef/>
      </w:r>
      <w:r w:rsidRPr="00410A92">
        <w:rPr>
          <w:b/>
          <w:rtl/>
        </w:rPr>
        <w:t>)</w:t>
      </w:r>
      <w:r w:rsidRPr="00C8223B">
        <w:rPr>
          <w:rtl/>
        </w:rPr>
        <w:tab/>
        <w:t>المرجع نفسه، الفقرة</w:t>
      </w:r>
      <w:r>
        <w:rPr>
          <w:rtl/>
        </w:rPr>
        <w:t xml:space="preserve"> 19.</w:t>
      </w:r>
    </w:p>
  </w:footnote>
  <w:footnote w:id="17">
    <w:p w:rsidR="00B65ABB" w:rsidRPr="00410A92" w:rsidRDefault="00B65ABB" w:rsidP="00410A92">
      <w:pPr>
        <w:pStyle w:val="FootnoteText1"/>
        <w:textDirection w:val="tbRlV"/>
        <w:rPr>
          <w:rtl/>
        </w:rPr>
      </w:pPr>
      <w:r w:rsidRPr="00410A92">
        <w:rPr>
          <w:b/>
          <w:rtl/>
        </w:rPr>
        <w:t>(</w:t>
      </w:r>
      <w:r w:rsidRPr="00410A92">
        <w:rPr>
          <w:b/>
          <w:rtl/>
        </w:rPr>
        <w:footnoteRef/>
      </w:r>
      <w:r w:rsidRPr="00410A92">
        <w:rPr>
          <w:b/>
          <w:rtl/>
        </w:rPr>
        <w:t>)</w:t>
      </w:r>
      <w:r w:rsidRPr="00C8223B">
        <w:rPr>
          <w:rtl/>
        </w:rPr>
        <w:tab/>
        <w:t xml:space="preserve">يشير صاحب البلاغ إلى تعليق </w:t>
      </w:r>
      <w:r>
        <w:rPr>
          <w:rtl/>
        </w:rPr>
        <w:t xml:space="preserve">اللجنة </w:t>
      </w:r>
      <w:r w:rsidRPr="00C8223B">
        <w:rPr>
          <w:rtl/>
        </w:rPr>
        <w:t xml:space="preserve">العام رقم </w:t>
      </w:r>
      <w:r>
        <w:rPr>
          <w:rtl/>
        </w:rPr>
        <w:t>6</w:t>
      </w:r>
      <w:r w:rsidRPr="00C8223B">
        <w:rPr>
          <w:rtl/>
        </w:rPr>
        <w:t>، الفقرات</w:t>
      </w:r>
      <w:r>
        <w:rPr>
          <w:rtl/>
        </w:rPr>
        <w:t xml:space="preserve"> 2، و84، و87</w:t>
      </w:r>
      <w:r w:rsidRPr="00C8223B">
        <w:rPr>
          <w:rtl/>
        </w:rPr>
        <w:t>.</w:t>
      </w:r>
    </w:p>
  </w:footnote>
  <w:footnote w:id="18">
    <w:p w:rsidR="00B65ABB" w:rsidRPr="00410A92" w:rsidRDefault="00B65ABB" w:rsidP="00410A92">
      <w:pPr>
        <w:pStyle w:val="FootnoteText1"/>
        <w:textDirection w:val="tbRlV"/>
        <w:rPr>
          <w:rtl/>
        </w:rPr>
      </w:pPr>
      <w:r w:rsidRPr="00410A92">
        <w:rPr>
          <w:b/>
          <w:rtl/>
        </w:rPr>
        <w:t>(</w:t>
      </w:r>
      <w:r w:rsidRPr="00410A92">
        <w:rPr>
          <w:b/>
          <w:rtl/>
        </w:rPr>
        <w:footnoteRef/>
      </w:r>
      <w:r w:rsidRPr="00410A92">
        <w:rPr>
          <w:b/>
          <w:rtl/>
        </w:rPr>
        <w:t>)</w:t>
      </w:r>
      <w:r w:rsidRPr="00C8223B">
        <w:rPr>
          <w:rtl/>
        </w:rPr>
        <w:tab/>
        <w:t xml:space="preserve">تقدم الدولة الطرف نسخا من بطاقات تحديد الهوية التي </w:t>
      </w:r>
      <w:r>
        <w:rPr>
          <w:rtl/>
        </w:rPr>
        <w:t>ي</w:t>
      </w:r>
      <w:r w:rsidRPr="00C8223B">
        <w:rPr>
          <w:rtl/>
        </w:rPr>
        <w:t>صدرها</w:t>
      </w:r>
      <w:r>
        <w:rPr>
          <w:rtl/>
        </w:rPr>
        <w:t xml:space="preserve"> مركز الإقامة المؤقتة </w:t>
      </w:r>
      <w:proofErr w:type="spellStart"/>
      <w:r>
        <w:rPr>
          <w:rtl/>
        </w:rPr>
        <w:t>ب</w:t>
      </w:r>
      <w:r w:rsidRPr="00C8223B">
        <w:rPr>
          <w:rtl/>
        </w:rPr>
        <w:t>مليلية</w:t>
      </w:r>
      <w:proofErr w:type="spellEnd"/>
      <w:r w:rsidRPr="00C8223B">
        <w:rPr>
          <w:rtl/>
        </w:rPr>
        <w:t xml:space="preserve"> (</w:t>
      </w:r>
      <w:r>
        <w:rPr>
          <w:rtl/>
        </w:rPr>
        <w:t>ب</w:t>
      </w:r>
      <w:r w:rsidRPr="00C8223B">
        <w:rPr>
          <w:rtl/>
        </w:rPr>
        <w:t>صو</w:t>
      </w:r>
      <w:r>
        <w:rPr>
          <w:rtl/>
        </w:rPr>
        <w:t>ر وجه غير واضحة) ومركز شرطة</w:t>
      </w:r>
      <w:r w:rsidRPr="00C8223B">
        <w:rPr>
          <w:rtl/>
        </w:rPr>
        <w:t xml:space="preserve"> </w:t>
      </w:r>
      <w:proofErr w:type="spellStart"/>
      <w:r w:rsidRPr="00C8223B">
        <w:rPr>
          <w:rtl/>
        </w:rPr>
        <w:t>مليلية</w:t>
      </w:r>
      <w:proofErr w:type="spellEnd"/>
      <w:r w:rsidRPr="00C8223B">
        <w:rPr>
          <w:rtl/>
        </w:rPr>
        <w:t xml:space="preserve"> (</w:t>
      </w:r>
      <w:r>
        <w:rPr>
          <w:rtl/>
        </w:rPr>
        <w:t>ب</w:t>
      </w:r>
      <w:r w:rsidRPr="00C8223B">
        <w:rPr>
          <w:rtl/>
        </w:rPr>
        <w:t xml:space="preserve">صور وجه واضحة) لـ </w:t>
      </w:r>
      <w:r>
        <w:rPr>
          <w:rtl/>
        </w:rPr>
        <w:t>ي.</w:t>
      </w:r>
      <w:r w:rsidRPr="00C8223B">
        <w:rPr>
          <w:rtl/>
        </w:rPr>
        <w:t xml:space="preserve"> د.، بما في ذلك تاريخ دخول إسبانيا: ٣٠ كانون الأول/ديسمبر ٢٠١٤، وتاريخ الميلاد: ٢ تشرين الثاني/نوفمبر ١٩٩٤، والبلد: بوركينا فاسو، و</w:t>
      </w:r>
      <w:r>
        <w:rPr>
          <w:rtl/>
        </w:rPr>
        <w:t xml:space="preserve">اسم </w:t>
      </w:r>
      <w:r w:rsidRPr="00C8223B">
        <w:rPr>
          <w:rtl/>
        </w:rPr>
        <w:t>الوالد</w:t>
      </w:r>
      <w:r>
        <w:rPr>
          <w:rtl/>
        </w:rPr>
        <w:t>ي</w:t>
      </w:r>
      <w:r w:rsidRPr="00C8223B">
        <w:rPr>
          <w:rtl/>
        </w:rPr>
        <w:t xml:space="preserve">ن: ساكا ويافي. </w:t>
      </w:r>
    </w:p>
  </w:footnote>
  <w:footnote w:id="19">
    <w:p w:rsidR="00B65ABB" w:rsidRPr="00410A92" w:rsidRDefault="00B65ABB" w:rsidP="00410A92">
      <w:pPr>
        <w:pStyle w:val="FootnoteText1"/>
        <w:textDirection w:val="tbRlV"/>
        <w:rPr>
          <w:rtl/>
        </w:rPr>
      </w:pPr>
      <w:r w:rsidRPr="00410A92">
        <w:rPr>
          <w:b/>
          <w:rtl/>
        </w:rPr>
        <w:t>(</w:t>
      </w:r>
      <w:r w:rsidRPr="00410A92">
        <w:rPr>
          <w:b/>
          <w:rtl/>
        </w:rPr>
        <w:footnoteRef/>
      </w:r>
      <w:r w:rsidRPr="00410A92">
        <w:rPr>
          <w:b/>
          <w:rtl/>
        </w:rPr>
        <w:t>)</w:t>
      </w:r>
      <w:r w:rsidRPr="00C8223B">
        <w:rPr>
          <w:rtl/>
        </w:rPr>
        <w:tab/>
        <w:t xml:space="preserve">تستشهد الدولة الطرف بشريط فيديو أنتجته المنظمة غير الحكومية </w:t>
      </w:r>
      <w:proofErr w:type="spellStart"/>
      <w:r w:rsidRPr="00C8223B">
        <w:rPr>
          <w:rtl/>
        </w:rPr>
        <w:t>بروديين</w:t>
      </w:r>
      <w:proofErr w:type="spellEnd"/>
      <w:r w:rsidRPr="00C8223B">
        <w:rPr>
          <w:rtl/>
        </w:rPr>
        <w:t xml:space="preserve"> </w:t>
      </w:r>
      <w:r w:rsidRPr="00410A92">
        <w:t>PRODEIN</w:t>
      </w:r>
      <w:r>
        <w:rPr>
          <w:rtl/>
        </w:rPr>
        <w:t xml:space="preserve"> </w:t>
      </w:r>
      <w:r w:rsidRPr="00C8223B">
        <w:rPr>
          <w:rtl/>
        </w:rPr>
        <w:t>فقط ل</w:t>
      </w:r>
      <w:r>
        <w:rPr>
          <w:rtl/>
        </w:rPr>
        <w:t>كي تبين ممارسات الصد على</w:t>
      </w:r>
      <w:r w:rsidRPr="00C8223B">
        <w:rPr>
          <w:rtl/>
        </w:rPr>
        <w:t xml:space="preserve"> الحدود، وتقدم رابطا</w:t>
      </w:r>
      <w:r w:rsidR="00421B8F">
        <w:rPr>
          <w:rFonts w:hint="cs"/>
          <w:rtl/>
        </w:rPr>
        <w:t>ً</w:t>
      </w:r>
      <w:r w:rsidRPr="00C8223B">
        <w:rPr>
          <w:rtl/>
        </w:rPr>
        <w:t xml:space="preserve"> إلكترونيا</w:t>
      </w:r>
      <w:r w:rsidR="00421B8F">
        <w:rPr>
          <w:rFonts w:hint="cs"/>
          <w:rtl/>
        </w:rPr>
        <w:t>ً</w:t>
      </w:r>
      <w:r w:rsidRPr="00C8223B">
        <w:rPr>
          <w:rtl/>
        </w:rPr>
        <w:t xml:space="preserve"> بهذا الفيديو. وتشير الدولة الطرف إلى مقطع مدته أقل من دقيقة في هذا الفيديو يظهر كيف احتجز الحرس المدني الإسباني صاحب البلاغ وصف</w:t>
      </w:r>
      <w:r>
        <w:rPr>
          <w:rtl/>
        </w:rPr>
        <w:t>ّ</w:t>
      </w:r>
      <w:r w:rsidRPr="00C8223B">
        <w:rPr>
          <w:rtl/>
        </w:rPr>
        <w:t xml:space="preserve">د يديه وأعاده إلى الجانب الآخر من أحد أسوار مركز </w:t>
      </w:r>
      <w:proofErr w:type="spellStart"/>
      <w:r w:rsidRPr="00C8223B">
        <w:rPr>
          <w:rtl/>
        </w:rPr>
        <w:t>مليلية</w:t>
      </w:r>
      <w:proofErr w:type="spellEnd"/>
      <w:r>
        <w:rPr>
          <w:rtl/>
        </w:rPr>
        <w:t xml:space="preserve"> </w:t>
      </w:r>
      <w:r w:rsidRPr="00C8223B">
        <w:rPr>
          <w:rtl/>
        </w:rPr>
        <w:t>الحدودي.</w:t>
      </w:r>
    </w:p>
  </w:footnote>
  <w:footnote w:id="20">
    <w:p w:rsidR="00B65ABB" w:rsidRPr="00410A92" w:rsidRDefault="00B65ABB" w:rsidP="00410A92">
      <w:pPr>
        <w:pStyle w:val="FootnoteText1"/>
        <w:textDirection w:val="tbRlV"/>
        <w:rPr>
          <w:rtl/>
        </w:rPr>
      </w:pPr>
      <w:r w:rsidRPr="00410A92">
        <w:rPr>
          <w:b/>
          <w:rtl/>
        </w:rPr>
        <w:t>(</w:t>
      </w:r>
      <w:r w:rsidRPr="00410A92">
        <w:rPr>
          <w:b/>
          <w:rtl/>
        </w:rPr>
        <w:footnoteRef/>
      </w:r>
      <w:r w:rsidRPr="00410A92">
        <w:rPr>
          <w:b/>
          <w:rtl/>
        </w:rPr>
        <w:t>)</w:t>
      </w:r>
      <w:r w:rsidRPr="00BE605A">
        <w:rPr>
          <w:rtl/>
        </w:rPr>
        <w:tab/>
        <w:t xml:space="preserve">توفر الدولة الطرف نسخة من الاتفاق الإطاري بشأن التعاون في مجال الهجرة بين مملكة إسبانيا وجمهورية مالي. </w:t>
      </w:r>
    </w:p>
  </w:footnote>
  <w:footnote w:id="21">
    <w:p w:rsidR="00B65ABB" w:rsidRPr="000714EF" w:rsidRDefault="00B65ABB" w:rsidP="00410A92">
      <w:pPr>
        <w:pStyle w:val="FootnoteText1"/>
        <w:textDirection w:val="tbRlV"/>
        <w:rPr>
          <w:spacing w:val="-4"/>
          <w:rtl/>
        </w:rPr>
      </w:pPr>
      <w:r w:rsidRPr="000714EF">
        <w:rPr>
          <w:b/>
          <w:spacing w:val="-4"/>
          <w:rtl/>
        </w:rPr>
        <w:t>(</w:t>
      </w:r>
      <w:r w:rsidRPr="000714EF">
        <w:rPr>
          <w:b/>
          <w:spacing w:val="-4"/>
          <w:rtl/>
        </w:rPr>
        <w:footnoteRef/>
      </w:r>
      <w:r w:rsidRPr="000714EF">
        <w:rPr>
          <w:b/>
          <w:spacing w:val="-4"/>
          <w:rtl/>
        </w:rPr>
        <w:t>)</w:t>
      </w:r>
      <w:r w:rsidRPr="000714EF">
        <w:rPr>
          <w:spacing w:val="-4"/>
          <w:rtl/>
        </w:rPr>
        <w:tab/>
        <w:t>تقدم الدولة الطرف نسخة من الملف الإداري لطرد صاحب البلاغ، والطعون الإدارية في قرار الطرد، والحكم رقم</w:t>
      </w:r>
      <w:r w:rsidR="000714EF" w:rsidRPr="000714EF">
        <w:rPr>
          <w:rFonts w:hint="cs"/>
          <w:spacing w:val="-4"/>
          <w:rtl/>
        </w:rPr>
        <w:t> </w:t>
      </w:r>
      <w:r w:rsidRPr="000714EF">
        <w:rPr>
          <w:spacing w:val="-4"/>
          <w:rtl/>
        </w:rPr>
        <w:t xml:space="preserve">283/2016 الصادر عن محكمة الخلافات الإدارية رقم ٢ </w:t>
      </w:r>
      <w:proofErr w:type="spellStart"/>
      <w:r w:rsidRPr="000714EF">
        <w:rPr>
          <w:spacing w:val="-4"/>
          <w:rtl/>
        </w:rPr>
        <w:t>بمليلية</w:t>
      </w:r>
      <w:proofErr w:type="spellEnd"/>
      <w:r w:rsidRPr="000714EF">
        <w:rPr>
          <w:spacing w:val="-4"/>
          <w:rtl/>
        </w:rPr>
        <w:t xml:space="preserve"> في 13 تموز/يوليه ٢٠١٦. وجميع الوثائق المقدمة تشير إلى السيد ي. د.، المولود في بوركينا فاسو، في ٢ تشرين الثاني/نوفمبر ١٩٩٤ من الوالدين ساكا ويافي.</w:t>
      </w:r>
    </w:p>
  </w:footnote>
  <w:footnote w:id="22">
    <w:p w:rsidR="00B65ABB" w:rsidRPr="00410A92" w:rsidRDefault="00B65ABB" w:rsidP="00410A92">
      <w:pPr>
        <w:pStyle w:val="FootnoteText1"/>
        <w:textDirection w:val="tbRlV"/>
        <w:rPr>
          <w:rtl/>
        </w:rPr>
      </w:pPr>
      <w:r w:rsidRPr="00410A92">
        <w:rPr>
          <w:b/>
          <w:rtl/>
        </w:rPr>
        <w:t>(</w:t>
      </w:r>
      <w:r w:rsidRPr="00410A92">
        <w:rPr>
          <w:b/>
          <w:rtl/>
        </w:rPr>
        <w:footnoteRef/>
      </w:r>
      <w:r w:rsidRPr="00410A92">
        <w:rPr>
          <w:b/>
          <w:rtl/>
        </w:rPr>
        <w:t>)</w:t>
      </w:r>
      <w:r w:rsidRPr="00BE605A">
        <w:rPr>
          <w:rtl/>
        </w:rPr>
        <w:tab/>
        <w:t xml:space="preserve">يشير صاحب البلاغ إلى تعليق </w:t>
      </w:r>
      <w:r>
        <w:rPr>
          <w:rtl/>
        </w:rPr>
        <w:t xml:space="preserve">اللجنة </w:t>
      </w:r>
      <w:r w:rsidRPr="00BE605A">
        <w:rPr>
          <w:rtl/>
        </w:rPr>
        <w:t xml:space="preserve">العام رقم </w:t>
      </w:r>
      <w:r>
        <w:rPr>
          <w:rtl/>
        </w:rPr>
        <w:t>6</w:t>
      </w:r>
      <w:r w:rsidRPr="00BE605A">
        <w:rPr>
          <w:rtl/>
        </w:rPr>
        <w:t>، الفقرتان 2 و12. انظر أيضا</w:t>
      </w:r>
      <w:r w:rsidR="00421B8F">
        <w:rPr>
          <w:rFonts w:hint="cs"/>
          <w:rtl/>
        </w:rPr>
        <w:t>ً</w:t>
      </w:r>
      <w:r w:rsidRPr="00BE605A">
        <w:rPr>
          <w:rtl/>
        </w:rPr>
        <w:t xml:space="preserve"> الفقرة</w:t>
      </w:r>
      <w:r>
        <w:rPr>
          <w:rtl/>
        </w:rPr>
        <w:t xml:space="preserve"> 3-2 </w:t>
      </w:r>
      <w:r w:rsidRPr="00BE605A">
        <w:rPr>
          <w:rtl/>
        </w:rPr>
        <w:t>أعلاه.</w:t>
      </w:r>
    </w:p>
  </w:footnote>
  <w:footnote w:id="23">
    <w:p w:rsidR="00B65ABB" w:rsidRPr="00A27BAB" w:rsidRDefault="00B65ABB" w:rsidP="00410A92">
      <w:pPr>
        <w:pStyle w:val="FootnoteText1"/>
        <w:textDirection w:val="tbRlV"/>
        <w:rPr>
          <w:rtl/>
        </w:rPr>
      </w:pPr>
      <w:r w:rsidRPr="00410A92">
        <w:rPr>
          <w:b/>
          <w:rtl/>
        </w:rPr>
        <w:t>(</w:t>
      </w:r>
      <w:r w:rsidRPr="00410A92">
        <w:rPr>
          <w:b/>
          <w:rtl/>
        </w:rPr>
        <w:footnoteRef/>
      </w:r>
      <w:r w:rsidRPr="00410A92">
        <w:rPr>
          <w:b/>
          <w:rtl/>
        </w:rPr>
        <w:t>)</w:t>
      </w:r>
      <w:r w:rsidRPr="00BE605A">
        <w:rPr>
          <w:rtl/>
        </w:rPr>
        <w:tab/>
        <w:t>يقدم صاحب البلاغ نسخة من جواز سفره المالي وشهادة ميلاده وتصريح إقامته</w:t>
      </w:r>
      <w:r>
        <w:rPr>
          <w:rtl/>
        </w:rPr>
        <w:t xml:space="preserve"> </w:t>
      </w:r>
      <w:r w:rsidRPr="00BE605A">
        <w:rPr>
          <w:rtl/>
        </w:rPr>
        <w:t xml:space="preserve">كدليل على ذلك. </w:t>
      </w:r>
    </w:p>
  </w:footnote>
  <w:footnote w:id="24">
    <w:p w:rsidR="00B65ABB" w:rsidRPr="00410A92" w:rsidRDefault="00B65ABB" w:rsidP="00410A92">
      <w:pPr>
        <w:pStyle w:val="FootnoteText1"/>
        <w:textDirection w:val="tbRlV"/>
        <w:rPr>
          <w:rtl/>
        </w:rPr>
      </w:pPr>
      <w:r w:rsidRPr="00410A92">
        <w:rPr>
          <w:b/>
          <w:rtl/>
        </w:rPr>
        <w:t>(</w:t>
      </w:r>
      <w:r w:rsidRPr="00410A92">
        <w:rPr>
          <w:b/>
          <w:rtl/>
        </w:rPr>
        <w:footnoteRef/>
      </w:r>
      <w:r w:rsidRPr="00410A92">
        <w:rPr>
          <w:b/>
          <w:rtl/>
        </w:rPr>
        <w:t>)</w:t>
      </w:r>
      <w:r w:rsidRPr="00BE605A">
        <w:rPr>
          <w:rtl/>
        </w:rPr>
        <w:tab/>
        <w:t xml:space="preserve">يقدم صاحب البلاغ نسخة من </w:t>
      </w:r>
      <w:r>
        <w:rPr>
          <w:rtl/>
        </w:rPr>
        <w:t>ال</w:t>
      </w:r>
      <w:r w:rsidRPr="00BE605A">
        <w:rPr>
          <w:rtl/>
        </w:rPr>
        <w:t xml:space="preserve">شهادة </w:t>
      </w:r>
      <w:r>
        <w:rPr>
          <w:rtl/>
        </w:rPr>
        <w:t>المؤرخة</w:t>
      </w:r>
      <w:r w:rsidRPr="00BE605A">
        <w:rPr>
          <w:rtl/>
        </w:rPr>
        <w:t xml:space="preserve"> ١٨ تشرين الثاني/نوفمبر ٢٠١٥ </w:t>
      </w:r>
      <w:r>
        <w:rPr>
          <w:rtl/>
        </w:rPr>
        <w:t>التي تشير إلى ممارسة إقليم</w:t>
      </w:r>
      <w:r w:rsidRPr="00BE605A">
        <w:rPr>
          <w:rtl/>
        </w:rPr>
        <w:t xml:space="preserve"> مدريد الوصاية القانونية على صاحب البلاغ. </w:t>
      </w:r>
    </w:p>
  </w:footnote>
  <w:footnote w:id="25">
    <w:p w:rsidR="00B65ABB" w:rsidRPr="00410A92" w:rsidRDefault="00B65ABB" w:rsidP="00410A92">
      <w:pPr>
        <w:pStyle w:val="FootnoteText1"/>
        <w:textDirection w:val="tbRlV"/>
        <w:rPr>
          <w:rtl/>
        </w:rPr>
      </w:pPr>
      <w:r w:rsidRPr="00410A92">
        <w:rPr>
          <w:b/>
          <w:rtl/>
        </w:rPr>
        <w:t>(</w:t>
      </w:r>
      <w:r w:rsidRPr="00410A92">
        <w:rPr>
          <w:b/>
          <w:rtl/>
        </w:rPr>
        <w:footnoteRef/>
      </w:r>
      <w:r w:rsidRPr="00410A92">
        <w:rPr>
          <w:b/>
          <w:rtl/>
        </w:rPr>
        <w:t>)</w:t>
      </w:r>
      <w:r w:rsidRPr="00BE605A">
        <w:rPr>
          <w:rtl/>
        </w:rPr>
        <w:tab/>
        <w:t>يقدم صاحب البلاغ تصريح إقامته الإسباني الذي يتضمن تاريخ ميلاده: ١٠ آذار/مارس ١٩٩٩، وجنسيته المالية</w:t>
      </w:r>
      <w:r>
        <w:rPr>
          <w:rtl/>
        </w:rPr>
        <w:t>،</w:t>
      </w:r>
      <w:r w:rsidRPr="00BE605A">
        <w:rPr>
          <w:rtl/>
        </w:rPr>
        <w:t xml:space="preserve"> والإشارة "خاضع لوصاية إقليم مدريد".</w:t>
      </w:r>
    </w:p>
  </w:footnote>
  <w:footnote w:id="26">
    <w:p w:rsidR="00B65ABB" w:rsidRPr="00410A92" w:rsidRDefault="00B65ABB" w:rsidP="00410A92">
      <w:pPr>
        <w:pStyle w:val="FootnoteText1"/>
        <w:textDirection w:val="tbRlV"/>
        <w:rPr>
          <w:rtl/>
        </w:rPr>
      </w:pPr>
      <w:r w:rsidRPr="00410A92">
        <w:rPr>
          <w:b/>
          <w:rtl/>
        </w:rPr>
        <w:t>(</w:t>
      </w:r>
      <w:r w:rsidRPr="00410A92">
        <w:rPr>
          <w:b/>
          <w:rtl/>
        </w:rPr>
        <w:footnoteRef/>
      </w:r>
      <w:r w:rsidRPr="00410A92">
        <w:rPr>
          <w:b/>
          <w:rtl/>
        </w:rPr>
        <w:t>)</w:t>
      </w:r>
      <w:r w:rsidRPr="00BE605A">
        <w:rPr>
          <w:rtl/>
        </w:rPr>
        <w:tab/>
      </w:r>
      <w:r>
        <w:rPr>
          <w:rtl/>
        </w:rPr>
        <w:t xml:space="preserve">يستشهد صاحب البلاغ بقضية </w:t>
      </w:r>
      <w:proofErr w:type="spellStart"/>
      <w:r w:rsidRPr="001E3F43">
        <w:rPr>
          <w:i/>
          <w:iCs/>
          <w:rtl/>
        </w:rPr>
        <w:t>تبورسكي</w:t>
      </w:r>
      <w:proofErr w:type="spellEnd"/>
      <w:r w:rsidRPr="001E3F43">
        <w:rPr>
          <w:i/>
          <w:iCs/>
          <w:rtl/>
        </w:rPr>
        <w:t xml:space="preserve"> ضد فرنسا</w:t>
      </w:r>
      <w:r w:rsidRPr="00BE605A">
        <w:rPr>
          <w:rtl/>
        </w:rPr>
        <w:t>، الفقرة</w:t>
      </w:r>
      <w:r>
        <w:rPr>
          <w:rtl/>
        </w:rPr>
        <w:t xml:space="preserve"> 7-4</w:t>
      </w:r>
      <w:r w:rsidRPr="00BE605A">
        <w:rPr>
          <w:rtl/>
        </w:rPr>
        <w:t xml:space="preserve">، </w:t>
      </w:r>
      <w:proofErr w:type="spellStart"/>
      <w:r w:rsidRPr="00BE605A">
        <w:rPr>
          <w:rtl/>
        </w:rPr>
        <w:t>و</w:t>
      </w:r>
      <w:r w:rsidRPr="001E3F43">
        <w:rPr>
          <w:i/>
          <w:iCs/>
          <w:rtl/>
        </w:rPr>
        <w:t>الشوداري</w:t>
      </w:r>
      <w:proofErr w:type="spellEnd"/>
      <w:r w:rsidRPr="001E3F43">
        <w:rPr>
          <w:i/>
          <w:iCs/>
          <w:rtl/>
        </w:rPr>
        <w:t xml:space="preserve"> ضد كندا</w:t>
      </w:r>
      <w:r w:rsidRPr="00BE605A">
        <w:rPr>
          <w:rtl/>
        </w:rPr>
        <w:t>، الفقرة</w:t>
      </w:r>
      <w:r>
        <w:rPr>
          <w:rtl/>
        </w:rPr>
        <w:t xml:space="preserve"> 8-3.</w:t>
      </w:r>
      <w:r w:rsidRPr="00BE605A">
        <w:rPr>
          <w:rtl/>
        </w:rPr>
        <w:t xml:space="preserve"> </w:t>
      </w:r>
    </w:p>
  </w:footnote>
  <w:footnote w:id="27">
    <w:p w:rsidR="00B65ABB" w:rsidRPr="00410A92" w:rsidRDefault="00B65ABB" w:rsidP="00410A92">
      <w:pPr>
        <w:pStyle w:val="FootnoteText1"/>
        <w:textDirection w:val="tbRlV"/>
        <w:rPr>
          <w:rtl/>
        </w:rPr>
      </w:pPr>
      <w:r w:rsidRPr="00410A92">
        <w:rPr>
          <w:b/>
          <w:rtl/>
        </w:rPr>
        <w:t>(</w:t>
      </w:r>
      <w:r w:rsidRPr="00410A92">
        <w:rPr>
          <w:b/>
          <w:rtl/>
        </w:rPr>
        <w:footnoteRef/>
      </w:r>
      <w:r w:rsidRPr="00410A92">
        <w:rPr>
          <w:b/>
          <w:rtl/>
        </w:rPr>
        <w:t>)</w:t>
      </w:r>
      <w:r w:rsidRPr="00BE605A">
        <w:rPr>
          <w:rtl/>
        </w:rPr>
        <w:tab/>
        <w:t xml:space="preserve">يستشهد صاحب البلاغ بقضية </w:t>
      </w:r>
      <w:proofErr w:type="spellStart"/>
      <w:r w:rsidRPr="001E3F43">
        <w:rPr>
          <w:i/>
          <w:iCs/>
          <w:rtl/>
        </w:rPr>
        <w:t>أركوز</w:t>
      </w:r>
      <w:proofErr w:type="spellEnd"/>
      <w:r w:rsidRPr="001E3F43">
        <w:rPr>
          <w:i/>
          <w:iCs/>
          <w:rtl/>
        </w:rPr>
        <w:t xml:space="preserve"> أرانا ضد فرنسا</w:t>
      </w:r>
      <w:r w:rsidRPr="00BE605A">
        <w:rPr>
          <w:rtl/>
        </w:rPr>
        <w:t>، الفقرة</w:t>
      </w:r>
      <w:r>
        <w:rPr>
          <w:rtl/>
        </w:rPr>
        <w:t xml:space="preserve"> 6-1.</w:t>
      </w:r>
    </w:p>
  </w:footnote>
  <w:footnote w:id="28">
    <w:p w:rsidR="00B65ABB" w:rsidRPr="00410A92" w:rsidRDefault="00B65ABB" w:rsidP="00410A92">
      <w:pPr>
        <w:pStyle w:val="FootnoteText1"/>
        <w:textDirection w:val="tbRlV"/>
        <w:rPr>
          <w:rtl/>
        </w:rPr>
      </w:pPr>
      <w:r w:rsidRPr="00410A92">
        <w:rPr>
          <w:b/>
          <w:rtl/>
        </w:rPr>
        <w:t>(</w:t>
      </w:r>
      <w:r w:rsidRPr="00410A92">
        <w:rPr>
          <w:b/>
          <w:rtl/>
        </w:rPr>
        <w:footnoteRef/>
      </w:r>
      <w:r w:rsidRPr="00410A92">
        <w:rPr>
          <w:b/>
          <w:rtl/>
        </w:rPr>
        <w:t>)</w:t>
      </w:r>
      <w:r w:rsidRPr="00BE605A">
        <w:rPr>
          <w:rtl/>
        </w:rPr>
        <w:tab/>
        <w:t>انظر الحاشية 2 أعلاه.</w:t>
      </w:r>
    </w:p>
  </w:footnote>
  <w:footnote w:id="29">
    <w:p w:rsidR="00B65ABB" w:rsidRPr="00410A92" w:rsidRDefault="00B65ABB" w:rsidP="00410A92">
      <w:pPr>
        <w:pStyle w:val="FootnoteText1"/>
        <w:textDirection w:val="tbRlV"/>
        <w:rPr>
          <w:rtl/>
        </w:rPr>
      </w:pPr>
      <w:r w:rsidRPr="00410A92">
        <w:rPr>
          <w:b/>
          <w:rtl/>
        </w:rPr>
        <w:t>(</w:t>
      </w:r>
      <w:r w:rsidRPr="00410A92">
        <w:rPr>
          <w:b/>
          <w:rtl/>
        </w:rPr>
        <w:footnoteRef/>
      </w:r>
      <w:r w:rsidRPr="00410A92">
        <w:rPr>
          <w:b/>
          <w:rtl/>
        </w:rPr>
        <w:t>)</w:t>
      </w:r>
      <w:r w:rsidRPr="00BE605A">
        <w:rPr>
          <w:rtl/>
        </w:rPr>
        <w:tab/>
        <w:t>انظر الفقرة</w:t>
      </w:r>
      <w:r>
        <w:rPr>
          <w:rtl/>
        </w:rPr>
        <w:t xml:space="preserve"> 4-1</w:t>
      </w:r>
      <w:r w:rsidRPr="00BE605A">
        <w:rPr>
          <w:rtl/>
        </w:rPr>
        <w:t xml:space="preserve"> أعلاه.</w:t>
      </w:r>
      <w:r>
        <w:rPr>
          <w:rtl/>
        </w:rPr>
        <w:t xml:space="preserve"> </w:t>
      </w:r>
    </w:p>
  </w:footnote>
  <w:footnote w:id="30">
    <w:p w:rsidR="00B65ABB" w:rsidRPr="00410A92" w:rsidRDefault="00B65ABB" w:rsidP="00410A92">
      <w:pPr>
        <w:pStyle w:val="FootnoteText1"/>
        <w:textDirection w:val="tbRlV"/>
        <w:rPr>
          <w:rtl/>
        </w:rPr>
      </w:pPr>
      <w:r w:rsidRPr="00410A92">
        <w:rPr>
          <w:b/>
          <w:rtl/>
        </w:rPr>
        <w:t>(</w:t>
      </w:r>
      <w:r w:rsidRPr="00410A92">
        <w:rPr>
          <w:b/>
          <w:rtl/>
        </w:rPr>
        <w:footnoteRef/>
      </w:r>
      <w:r w:rsidRPr="00410A92">
        <w:rPr>
          <w:b/>
          <w:rtl/>
        </w:rPr>
        <w:t>)</w:t>
      </w:r>
      <w:r w:rsidRPr="00567685">
        <w:rPr>
          <w:rtl/>
        </w:rPr>
        <w:tab/>
        <w:t xml:space="preserve">يستشهد صاحب البلاغ بتدخل </w:t>
      </w:r>
      <w:r>
        <w:rPr>
          <w:rtl/>
        </w:rPr>
        <w:t xml:space="preserve">لطرف ثالث هو </w:t>
      </w:r>
      <w:r w:rsidRPr="00567685">
        <w:rPr>
          <w:rtl/>
        </w:rPr>
        <w:t>مفوض حقوق الإنسان لمجلس أوروبا، الفقرة</w:t>
      </w:r>
      <w:r>
        <w:rPr>
          <w:rtl/>
        </w:rPr>
        <w:t xml:space="preserve"> 35</w:t>
      </w:r>
      <w:r w:rsidRPr="00567685">
        <w:rPr>
          <w:rtl/>
        </w:rPr>
        <w:t xml:space="preserve">، في قضيتين معروضتين على المحكمة الأوروبية لحقوق الإنسان، وهما </w:t>
      </w:r>
      <w:r w:rsidRPr="001E3F43">
        <w:rPr>
          <w:i/>
          <w:iCs/>
          <w:rtl/>
        </w:rPr>
        <w:t xml:space="preserve">ن. د. </w:t>
      </w:r>
      <w:proofErr w:type="spellStart"/>
      <w:r w:rsidRPr="001E3F43">
        <w:rPr>
          <w:i/>
          <w:iCs/>
          <w:rtl/>
        </w:rPr>
        <w:t>ون</w:t>
      </w:r>
      <w:proofErr w:type="spellEnd"/>
      <w:r w:rsidRPr="001E3F43">
        <w:rPr>
          <w:i/>
          <w:iCs/>
          <w:rtl/>
        </w:rPr>
        <w:t>. ت. ضد إسبانيا</w:t>
      </w:r>
      <w:r w:rsidRPr="00567685">
        <w:rPr>
          <w:rtl/>
        </w:rPr>
        <w:t xml:space="preserve"> (المطالبتان رقم 8675/15 و8697/15).</w:t>
      </w:r>
    </w:p>
  </w:footnote>
  <w:footnote w:id="31">
    <w:p w:rsidR="00B65ABB" w:rsidRPr="00850923" w:rsidRDefault="00B65ABB" w:rsidP="00410A92">
      <w:pPr>
        <w:pStyle w:val="FootnoteText1"/>
        <w:textDirection w:val="tbRlV"/>
        <w:rPr>
          <w:spacing w:val="-3"/>
          <w:rtl/>
        </w:rPr>
      </w:pPr>
      <w:r w:rsidRPr="00850923">
        <w:rPr>
          <w:b/>
          <w:spacing w:val="-3"/>
          <w:rtl/>
        </w:rPr>
        <w:t>(</w:t>
      </w:r>
      <w:r w:rsidRPr="00850923">
        <w:rPr>
          <w:b/>
          <w:spacing w:val="-3"/>
          <w:rtl/>
        </w:rPr>
        <w:footnoteRef/>
      </w:r>
      <w:r w:rsidRPr="00850923">
        <w:rPr>
          <w:b/>
          <w:spacing w:val="-3"/>
          <w:rtl/>
        </w:rPr>
        <w:t>)</w:t>
      </w:r>
      <w:r w:rsidRPr="00850923">
        <w:rPr>
          <w:spacing w:val="-3"/>
          <w:rtl/>
        </w:rPr>
        <w:tab/>
        <w:t xml:space="preserve">تقدم الدولة الطرف نسخة من القرار الذي اتخذته اللجنة في قضية </w:t>
      </w:r>
      <w:r w:rsidRPr="00850923">
        <w:rPr>
          <w:i/>
          <w:iCs/>
          <w:spacing w:val="-3"/>
          <w:rtl/>
        </w:rPr>
        <w:t>ر.</w:t>
      </w:r>
      <w:r w:rsidR="001E3F43" w:rsidRPr="00850923">
        <w:rPr>
          <w:rFonts w:hint="cs"/>
          <w:i/>
          <w:iCs/>
          <w:spacing w:val="-3"/>
          <w:rtl/>
        </w:rPr>
        <w:t xml:space="preserve"> </w:t>
      </w:r>
      <w:r w:rsidRPr="00850923">
        <w:rPr>
          <w:i/>
          <w:iCs/>
          <w:spacing w:val="-3"/>
          <w:rtl/>
        </w:rPr>
        <w:t>ل. ضد إسبانيا</w:t>
      </w:r>
      <w:r w:rsidRPr="00850923">
        <w:rPr>
          <w:spacing w:val="-3"/>
          <w:rtl/>
        </w:rPr>
        <w:t xml:space="preserve"> (</w:t>
      </w:r>
      <w:r w:rsidRPr="00850923">
        <w:rPr>
          <w:spacing w:val="-3"/>
        </w:rPr>
        <w:t>CRC/C/77/D/18/2017</w:t>
      </w:r>
      <w:r w:rsidRPr="00850923">
        <w:rPr>
          <w:spacing w:val="-3"/>
          <w:rtl/>
        </w:rPr>
        <w:t>).</w:t>
      </w:r>
    </w:p>
  </w:footnote>
  <w:footnote w:id="32">
    <w:p w:rsidR="00B65ABB" w:rsidRPr="00410A92" w:rsidRDefault="00B65ABB" w:rsidP="00410A92">
      <w:pPr>
        <w:pStyle w:val="FootnoteText1"/>
        <w:textDirection w:val="tbRlV"/>
        <w:rPr>
          <w:rtl/>
        </w:rPr>
      </w:pPr>
      <w:r w:rsidRPr="00410A92">
        <w:rPr>
          <w:b/>
          <w:rtl/>
        </w:rPr>
        <w:t>(</w:t>
      </w:r>
      <w:r w:rsidRPr="00410A92">
        <w:rPr>
          <w:b/>
          <w:rtl/>
        </w:rPr>
        <w:footnoteRef/>
      </w:r>
      <w:r w:rsidRPr="00410A92">
        <w:rPr>
          <w:b/>
          <w:rtl/>
        </w:rPr>
        <w:t>)</w:t>
      </w:r>
      <w:r w:rsidRPr="00567685">
        <w:rPr>
          <w:rtl/>
        </w:rPr>
        <w:tab/>
        <w:t>يشير صاحب البلاغ إلى أن التعليقات العامة الصادرة مؤخرا</w:t>
      </w:r>
      <w:r w:rsidR="00850923">
        <w:rPr>
          <w:rFonts w:hint="cs"/>
          <w:rtl/>
        </w:rPr>
        <w:t>ً</w:t>
      </w:r>
      <w:r w:rsidRPr="00567685">
        <w:rPr>
          <w:rtl/>
        </w:rPr>
        <w:t xml:space="preserve"> عن اللجنة والهيئات الأخرى المنشأة بموجب معاهدات تحدد مضمون الانتهاكات المزعومة في هذا البلاغ. ويشير صاحب البلاغ على وجه الخصوص إلى</w:t>
      </w:r>
      <w:r w:rsidR="00D61902">
        <w:rPr>
          <w:rFonts w:hint="cs"/>
          <w:rtl/>
        </w:rPr>
        <w:t> </w:t>
      </w:r>
      <w:r w:rsidRPr="00567685">
        <w:rPr>
          <w:rtl/>
        </w:rPr>
        <w:t>التعليق العام المشترك رقم</w:t>
      </w:r>
      <w:r>
        <w:rPr>
          <w:rtl/>
        </w:rPr>
        <w:t xml:space="preserve"> 3(2017)</w:t>
      </w:r>
      <w:r w:rsidRPr="00567685">
        <w:rPr>
          <w:rtl/>
        </w:rPr>
        <w:t xml:space="preserve"> للجنة المعنية بحماية حقوق جميع العمال المهاجرين وأفراد أسرهم ورقم</w:t>
      </w:r>
      <w:r w:rsidR="00D61902">
        <w:rPr>
          <w:rFonts w:hint="cs"/>
          <w:rtl/>
        </w:rPr>
        <w:t> </w:t>
      </w:r>
      <w:r>
        <w:rPr>
          <w:rtl/>
        </w:rPr>
        <w:t xml:space="preserve">22(2017) </w:t>
      </w:r>
      <w:r w:rsidRPr="00567685">
        <w:rPr>
          <w:rtl/>
        </w:rPr>
        <w:t>للجنة حقوق الطفل بشأن المبادئ العامة المتعلقة بحقوق الإنسان الخاصة بالأطفال في سياق الهجرة الدولية، الفقرتان 12 و46؛ والتعليق العام رقم</w:t>
      </w:r>
      <w:r>
        <w:rPr>
          <w:rtl/>
        </w:rPr>
        <w:t xml:space="preserve"> 4(2018)</w:t>
      </w:r>
      <w:r w:rsidRPr="00567685">
        <w:rPr>
          <w:rtl/>
        </w:rPr>
        <w:t xml:space="preserve"> للجنة مناهضة التعذيب بشأن تنفيذ المادة 3 من الاتفاقية في سياق المادة</w:t>
      </w:r>
      <w:r>
        <w:rPr>
          <w:rtl/>
        </w:rPr>
        <w:t xml:space="preserve"> 22؛</w:t>
      </w:r>
      <w:r w:rsidRPr="00567685">
        <w:rPr>
          <w:rtl/>
        </w:rPr>
        <w:t xml:space="preserve"> والتعليق العام المشترك رقم ٤(2017) للجنة المعنية بحماية حقوق جميع العمال المهاجرين وأفراد أسرهم</w:t>
      </w:r>
      <w:r>
        <w:rPr>
          <w:rtl/>
        </w:rPr>
        <w:t>،</w:t>
      </w:r>
      <w:r w:rsidRPr="00567685">
        <w:rPr>
          <w:rtl/>
        </w:rPr>
        <w:t xml:space="preserve"> ورقم</w:t>
      </w:r>
      <w:r>
        <w:rPr>
          <w:rtl/>
        </w:rPr>
        <w:t xml:space="preserve"> 23(2017) </w:t>
      </w:r>
      <w:r w:rsidRPr="00567685">
        <w:rPr>
          <w:rtl/>
        </w:rPr>
        <w:t>للجنة حقوق الطفل بشأن التزامات الدول في مجال حقوق الإنسان الخاصة بالطفل في سياق الهجرة الدولية في بلدان المنشأ والعبور والمقصد والعودة.</w:t>
      </w:r>
    </w:p>
  </w:footnote>
  <w:footnote w:id="33">
    <w:p w:rsidR="00B65ABB" w:rsidRPr="00410A92" w:rsidRDefault="00B65ABB" w:rsidP="00410A92">
      <w:pPr>
        <w:pStyle w:val="FootnoteText1"/>
        <w:textDirection w:val="tbRlV"/>
        <w:rPr>
          <w:rtl/>
        </w:rPr>
      </w:pPr>
      <w:r w:rsidRPr="00410A92">
        <w:rPr>
          <w:b/>
          <w:rtl/>
        </w:rPr>
        <w:t>(</w:t>
      </w:r>
      <w:r w:rsidRPr="00410A92">
        <w:rPr>
          <w:b/>
          <w:rtl/>
        </w:rPr>
        <w:footnoteRef/>
      </w:r>
      <w:r w:rsidRPr="00410A92">
        <w:rPr>
          <w:b/>
          <w:rtl/>
        </w:rPr>
        <w:t>)</w:t>
      </w:r>
      <w:r w:rsidRPr="00567685">
        <w:rPr>
          <w:rtl/>
        </w:rPr>
        <w:tab/>
        <w:t>يشير صاحب البل</w:t>
      </w:r>
      <w:r>
        <w:rPr>
          <w:rtl/>
        </w:rPr>
        <w:t xml:space="preserve">اغ إلى الملاحظات الختامية </w:t>
      </w:r>
      <w:r w:rsidRPr="00567685">
        <w:rPr>
          <w:rtl/>
        </w:rPr>
        <w:t>للجنة بشأن التقرير الجامع للتقريرين الدوريين الخامس والسادس لإسبانيا</w:t>
      </w:r>
      <w:r>
        <w:rPr>
          <w:rtl/>
        </w:rPr>
        <w:t xml:space="preserve"> (</w:t>
      </w:r>
      <w:r w:rsidRPr="00567685">
        <w:t>CRC/C/ESP/CO/5-6</w:t>
      </w:r>
      <w:r>
        <w:rPr>
          <w:rtl/>
        </w:rPr>
        <w:t>)،</w:t>
      </w:r>
      <w:r w:rsidRPr="00567685">
        <w:rPr>
          <w:rtl/>
        </w:rPr>
        <w:t xml:space="preserve"> الفقرة</w:t>
      </w:r>
      <w:r>
        <w:rPr>
          <w:rtl/>
        </w:rPr>
        <w:t xml:space="preserve"> 44</w:t>
      </w:r>
      <w:r w:rsidRPr="00567685">
        <w:rPr>
          <w:rtl/>
        </w:rPr>
        <w:t xml:space="preserve">(د). </w:t>
      </w:r>
    </w:p>
  </w:footnote>
  <w:footnote w:id="34">
    <w:p w:rsidR="00B65ABB" w:rsidRPr="00410A92" w:rsidRDefault="00B65ABB" w:rsidP="00410A92">
      <w:pPr>
        <w:pStyle w:val="FootnoteText1"/>
        <w:textDirection w:val="tbRlV"/>
        <w:rPr>
          <w:rtl/>
        </w:rPr>
      </w:pPr>
      <w:r w:rsidRPr="00410A92">
        <w:rPr>
          <w:b/>
          <w:rtl/>
        </w:rPr>
        <w:t>(</w:t>
      </w:r>
      <w:r w:rsidRPr="00410A92">
        <w:rPr>
          <w:b/>
          <w:rtl/>
        </w:rPr>
        <w:footnoteRef/>
      </w:r>
      <w:r w:rsidRPr="00410A92">
        <w:rPr>
          <w:b/>
          <w:rtl/>
        </w:rPr>
        <w:t>)</w:t>
      </w:r>
      <w:r w:rsidRPr="00567685">
        <w:rPr>
          <w:rtl/>
        </w:rPr>
        <w:tab/>
        <w:t>المرجع نفسه، الفقرة</w:t>
      </w:r>
      <w:r>
        <w:rPr>
          <w:rtl/>
        </w:rPr>
        <w:t xml:space="preserve"> 45</w:t>
      </w:r>
      <w:r w:rsidRPr="00567685">
        <w:rPr>
          <w:rtl/>
        </w:rPr>
        <w:t xml:space="preserve">(أ). </w:t>
      </w:r>
    </w:p>
  </w:footnote>
  <w:footnote w:id="35">
    <w:p w:rsidR="00B65ABB" w:rsidRPr="00410A92" w:rsidRDefault="00B65ABB" w:rsidP="00410A92">
      <w:pPr>
        <w:pStyle w:val="FootnoteText1"/>
        <w:textDirection w:val="tbRlV"/>
        <w:rPr>
          <w:rtl/>
        </w:rPr>
      </w:pPr>
      <w:r w:rsidRPr="00410A92">
        <w:rPr>
          <w:b/>
          <w:rtl/>
        </w:rPr>
        <w:t>(</w:t>
      </w:r>
      <w:r w:rsidRPr="00410A92">
        <w:rPr>
          <w:b/>
          <w:rtl/>
        </w:rPr>
        <w:footnoteRef/>
      </w:r>
      <w:r w:rsidRPr="00410A92">
        <w:rPr>
          <w:b/>
          <w:rtl/>
        </w:rPr>
        <w:t>)</w:t>
      </w:r>
      <w:r w:rsidRPr="00567685">
        <w:rPr>
          <w:rtl/>
        </w:rPr>
        <w:tab/>
        <w:t>المرجع نفسه، الفقرة</w:t>
      </w:r>
      <w:r>
        <w:rPr>
          <w:rtl/>
        </w:rPr>
        <w:t xml:space="preserve"> 45(</w:t>
      </w:r>
      <w:r w:rsidRPr="00567685">
        <w:rPr>
          <w:rtl/>
        </w:rPr>
        <w:t>د).</w:t>
      </w:r>
      <w:r>
        <w:rPr>
          <w:rtl/>
        </w:rPr>
        <w:t xml:space="preserve"> </w:t>
      </w:r>
    </w:p>
  </w:footnote>
  <w:footnote w:id="36">
    <w:p w:rsidR="00B65ABB" w:rsidRPr="00410A92" w:rsidRDefault="00B65ABB" w:rsidP="00410A92">
      <w:pPr>
        <w:pStyle w:val="FootnoteText1"/>
        <w:textDirection w:val="tbRlV"/>
        <w:rPr>
          <w:rtl/>
        </w:rPr>
      </w:pPr>
      <w:r w:rsidRPr="00410A92">
        <w:rPr>
          <w:b/>
          <w:rtl/>
        </w:rPr>
        <w:t>(</w:t>
      </w:r>
      <w:r w:rsidRPr="00410A92">
        <w:rPr>
          <w:b/>
          <w:rtl/>
        </w:rPr>
        <w:footnoteRef/>
      </w:r>
      <w:r w:rsidRPr="00410A92">
        <w:rPr>
          <w:b/>
          <w:rtl/>
        </w:rPr>
        <w:t>)</w:t>
      </w:r>
      <w:r w:rsidRPr="00567685">
        <w:rPr>
          <w:rtl/>
        </w:rPr>
        <w:tab/>
        <w:t xml:space="preserve">تحلل الملاحظات المبادئ القانونية والسوابق القضائية ذات الصلة بنطاق ومحتوى التزامات الدول فيما يتعلق بالولاية القضائية للدولة بموجب الاتفاقية، والوصول إلى الإقليم، ومبدأ عدم الإعادة القسرية، وحظر الطرد الجماعي، دون الإشارة إلى الوقائع الخاصة لهذا البلاغ. </w:t>
      </w:r>
    </w:p>
  </w:footnote>
  <w:footnote w:id="37">
    <w:p w:rsidR="00B65ABB" w:rsidRPr="00410A92" w:rsidRDefault="00B65ABB" w:rsidP="00410A92">
      <w:pPr>
        <w:pStyle w:val="FootnoteText1"/>
        <w:textDirection w:val="tbRlV"/>
        <w:rPr>
          <w:rtl/>
        </w:rPr>
      </w:pPr>
      <w:r w:rsidRPr="00410A92">
        <w:rPr>
          <w:b/>
          <w:rtl/>
        </w:rPr>
        <w:t>(</w:t>
      </w:r>
      <w:r w:rsidRPr="00410A92">
        <w:rPr>
          <w:b/>
          <w:rtl/>
        </w:rPr>
        <w:footnoteRef/>
      </w:r>
      <w:r w:rsidRPr="00410A92">
        <w:rPr>
          <w:b/>
          <w:rtl/>
        </w:rPr>
        <w:t>)</w:t>
      </w:r>
      <w:r w:rsidRPr="00567685">
        <w:rPr>
          <w:rtl/>
        </w:rPr>
        <w:tab/>
      </w:r>
      <w:r>
        <w:rPr>
          <w:rtl/>
        </w:rPr>
        <w:t xml:space="preserve">قضية </w:t>
      </w:r>
      <w:proofErr w:type="spellStart"/>
      <w:r w:rsidRPr="001E3F43">
        <w:rPr>
          <w:i/>
          <w:iCs/>
          <w:rtl/>
        </w:rPr>
        <w:t>هيرسي</w:t>
      </w:r>
      <w:proofErr w:type="spellEnd"/>
      <w:r w:rsidRPr="001E3F43">
        <w:rPr>
          <w:i/>
          <w:iCs/>
          <w:rtl/>
        </w:rPr>
        <w:t xml:space="preserve"> جمعة وآخرون ضد إيطاليا</w:t>
      </w:r>
      <w:r w:rsidRPr="00567685">
        <w:rPr>
          <w:rtl/>
        </w:rPr>
        <w:t xml:space="preserve"> (المطالبة رقم ٢٧٧٦٥/٠٩)، </w:t>
      </w:r>
      <w:r>
        <w:rPr>
          <w:rtl/>
        </w:rPr>
        <w:t>ال</w:t>
      </w:r>
      <w:r w:rsidRPr="00567685">
        <w:rPr>
          <w:rtl/>
        </w:rPr>
        <w:t xml:space="preserve">قرار </w:t>
      </w:r>
      <w:r>
        <w:rPr>
          <w:rtl/>
        </w:rPr>
        <w:t>المؤرخ</w:t>
      </w:r>
      <w:r w:rsidRPr="00567685">
        <w:rPr>
          <w:rtl/>
        </w:rPr>
        <w:t xml:space="preserve"> ٢٣ شباط/فبراير ٢٠١٢، الفقرة</w:t>
      </w:r>
      <w:r>
        <w:rPr>
          <w:rtl/>
        </w:rPr>
        <w:t xml:space="preserve"> 180.</w:t>
      </w:r>
    </w:p>
  </w:footnote>
  <w:footnote w:id="38">
    <w:p w:rsidR="00B65ABB" w:rsidRPr="00410A92" w:rsidRDefault="00B65ABB" w:rsidP="00410A92">
      <w:pPr>
        <w:pStyle w:val="FootnoteText1"/>
        <w:textDirection w:val="tbRlV"/>
        <w:rPr>
          <w:rtl/>
        </w:rPr>
      </w:pPr>
      <w:r w:rsidRPr="00410A92">
        <w:rPr>
          <w:b/>
          <w:rtl/>
        </w:rPr>
        <w:t>(</w:t>
      </w:r>
      <w:r w:rsidRPr="00410A92">
        <w:rPr>
          <w:b/>
          <w:rtl/>
        </w:rPr>
        <w:footnoteRef/>
      </w:r>
      <w:r w:rsidRPr="00410A92">
        <w:rPr>
          <w:b/>
          <w:rtl/>
        </w:rPr>
        <w:t>)</w:t>
      </w:r>
      <w:r w:rsidRPr="00567685">
        <w:rPr>
          <w:rtl/>
        </w:rPr>
        <w:tab/>
      </w:r>
      <w:r>
        <w:rPr>
          <w:rtl/>
        </w:rPr>
        <w:t>تشير الأطراف الثالثة</w:t>
      </w:r>
      <w:r w:rsidRPr="00567685">
        <w:rPr>
          <w:rtl/>
        </w:rPr>
        <w:t xml:space="preserve"> إلى المحكمة الأوروبية لحقوق الإنسان، قضية </w:t>
      </w:r>
      <w:proofErr w:type="spellStart"/>
      <w:r w:rsidRPr="001E3F43">
        <w:rPr>
          <w:i/>
          <w:iCs/>
          <w:rtl/>
        </w:rPr>
        <w:t>شارافي</w:t>
      </w:r>
      <w:proofErr w:type="spellEnd"/>
      <w:r w:rsidRPr="001E3F43">
        <w:rPr>
          <w:i/>
          <w:iCs/>
          <w:rtl/>
        </w:rPr>
        <w:t xml:space="preserve"> وآخرون ضد اليونان</w:t>
      </w:r>
      <w:r w:rsidRPr="00567685">
        <w:rPr>
          <w:rtl/>
        </w:rPr>
        <w:t xml:space="preserve"> (المطالبة رقم</w:t>
      </w:r>
      <w:r w:rsidR="00ED33F9">
        <w:rPr>
          <w:rFonts w:hint="cs"/>
          <w:rtl/>
        </w:rPr>
        <w:t> </w:t>
      </w:r>
      <w:r w:rsidRPr="00567685">
        <w:rPr>
          <w:rtl/>
        </w:rPr>
        <w:t xml:space="preserve">16643/09)، </w:t>
      </w:r>
      <w:r>
        <w:rPr>
          <w:rtl/>
        </w:rPr>
        <w:t>ال</w:t>
      </w:r>
      <w:r w:rsidRPr="00567685">
        <w:rPr>
          <w:rtl/>
        </w:rPr>
        <w:t>قرار</w:t>
      </w:r>
      <w:r>
        <w:rPr>
          <w:rtl/>
        </w:rPr>
        <w:t xml:space="preserve"> المؤرخ 21</w:t>
      </w:r>
      <w:r w:rsidRPr="00567685">
        <w:rPr>
          <w:rtl/>
        </w:rPr>
        <w:t xml:space="preserve"> تشرين الأول/أكتوبر</w:t>
      </w:r>
      <w:r>
        <w:rPr>
          <w:rtl/>
        </w:rPr>
        <w:t xml:space="preserve"> 2014</w:t>
      </w:r>
      <w:r w:rsidRPr="00567685">
        <w:rPr>
          <w:rtl/>
        </w:rPr>
        <w:t>، الفقرة</w:t>
      </w:r>
      <w:r>
        <w:rPr>
          <w:rtl/>
        </w:rPr>
        <w:t xml:space="preserve"> 210. </w:t>
      </w:r>
    </w:p>
  </w:footnote>
  <w:footnote w:id="39">
    <w:p w:rsidR="00B65ABB" w:rsidRPr="00410A92" w:rsidRDefault="00B65ABB" w:rsidP="00410A92">
      <w:pPr>
        <w:pStyle w:val="FootnoteText1"/>
        <w:textDirection w:val="tbRlV"/>
        <w:rPr>
          <w:rtl/>
        </w:rPr>
      </w:pPr>
      <w:r w:rsidRPr="00410A92">
        <w:rPr>
          <w:b/>
          <w:rtl/>
        </w:rPr>
        <w:t>(</w:t>
      </w:r>
      <w:r w:rsidRPr="00410A92">
        <w:rPr>
          <w:b/>
          <w:rtl/>
        </w:rPr>
        <w:footnoteRef/>
      </w:r>
      <w:r w:rsidRPr="00410A92">
        <w:rPr>
          <w:b/>
          <w:rtl/>
        </w:rPr>
        <w:t>)</w:t>
      </w:r>
      <w:r w:rsidRPr="00567685">
        <w:rPr>
          <w:rtl/>
        </w:rPr>
        <w:tab/>
        <w:t xml:space="preserve">لا تشير الدولة الطرف إلى أي قضية في هذا الصدد. </w:t>
      </w:r>
    </w:p>
  </w:footnote>
  <w:footnote w:id="40">
    <w:p w:rsidR="00B65ABB" w:rsidRPr="00410A92" w:rsidRDefault="00B65ABB" w:rsidP="00410A92">
      <w:pPr>
        <w:pStyle w:val="FootnoteText1"/>
        <w:textDirection w:val="tbRlV"/>
      </w:pPr>
      <w:r w:rsidRPr="00410A92">
        <w:rPr>
          <w:b/>
          <w:rtl/>
        </w:rPr>
        <w:t>(</w:t>
      </w:r>
      <w:r w:rsidRPr="00410A92">
        <w:rPr>
          <w:b/>
          <w:rtl/>
        </w:rPr>
        <w:footnoteRef/>
      </w:r>
      <w:r w:rsidRPr="00410A92">
        <w:rPr>
          <w:b/>
          <w:rtl/>
        </w:rPr>
        <w:t>)</w:t>
      </w:r>
      <w:r w:rsidRPr="00567685">
        <w:rPr>
          <w:rtl/>
        </w:rPr>
        <w:tab/>
        <w:t xml:space="preserve">انظر، في جملة أمور، آراء اللجنة المعنية بحقوق الإنسان في قضية </w:t>
      </w:r>
      <w:r w:rsidRPr="001E3F43">
        <w:rPr>
          <w:i/>
          <w:iCs/>
          <w:rtl/>
        </w:rPr>
        <w:t>بورنا مايا ضد نيبال</w:t>
      </w:r>
      <w:r>
        <w:rPr>
          <w:rtl/>
        </w:rPr>
        <w:t xml:space="preserve"> </w:t>
      </w:r>
      <w:r w:rsidRPr="00567685">
        <w:rPr>
          <w:rtl/>
        </w:rPr>
        <w:t>(</w:t>
      </w:r>
      <w:r w:rsidRPr="00567685">
        <w:t>CCPR/C/119/D/2245/2013</w:t>
      </w:r>
      <w:r w:rsidR="001E3F43">
        <w:rPr>
          <w:rFonts w:hint="cs"/>
          <w:rtl/>
        </w:rPr>
        <w:t xml:space="preserve">) </w:t>
      </w:r>
      <w:r>
        <w:rPr>
          <w:rtl/>
        </w:rPr>
        <w:t>الف</w:t>
      </w:r>
      <w:r w:rsidRPr="00567685">
        <w:rPr>
          <w:rtl/>
        </w:rPr>
        <w:t>قرة</w:t>
      </w:r>
      <w:r>
        <w:rPr>
          <w:rtl/>
        </w:rPr>
        <w:t>12-2؛</w:t>
      </w:r>
      <w:r w:rsidRPr="00567685">
        <w:rPr>
          <w:rtl/>
        </w:rPr>
        <w:t xml:space="preserve"> وقضية </w:t>
      </w:r>
      <w:r w:rsidRPr="001E3F43">
        <w:rPr>
          <w:i/>
          <w:iCs/>
          <w:rtl/>
        </w:rPr>
        <w:t>الحاسي ضد الجماهيرية العربية الليبية</w:t>
      </w:r>
      <w:r>
        <w:rPr>
          <w:rtl/>
        </w:rPr>
        <w:t xml:space="preserve"> (</w:t>
      </w:r>
      <w:r w:rsidRPr="00567685">
        <w:t>CCPR/C/91/D/1422/2005</w:t>
      </w:r>
      <w:r>
        <w:rPr>
          <w:rtl/>
        </w:rPr>
        <w:t>)،</w:t>
      </w:r>
      <w:r w:rsidRPr="00567685">
        <w:rPr>
          <w:rtl/>
        </w:rPr>
        <w:t xml:space="preserve"> الفقرة</w:t>
      </w:r>
      <w:r>
        <w:rPr>
          <w:rtl/>
        </w:rPr>
        <w:t xml:space="preserve"> 6-7</w:t>
      </w:r>
      <w:r w:rsidRPr="00567685">
        <w:rPr>
          <w:rtl/>
        </w:rPr>
        <w:t xml:space="preserve">؛ وقضية </w:t>
      </w:r>
      <w:r w:rsidRPr="001E3F43">
        <w:rPr>
          <w:i/>
          <w:iCs/>
          <w:rtl/>
        </w:rPr>
        <w:t>مجنون ضد الجزائر</w:t>
      </w:r>
      <w:r>
        <w:rPr>
          <w:rtl/>
        </w:rPr>
        <w:t xml:space="preserve"> (</w:t>
      </w:r>
      <w:r w:rsidRPr="00567685">
        <w:t>CCPR/C/87/D/1297/2004</w:t>
      </w:r>
      <w:r>
        <w:rPr>
          <w:rtl/>
        </w:rPr>
        <w:t>)</w:t>
      </w:r>
      <w:r w:rsidRPr="00567685">
        <w:rPr>
          <w:rtl/>
        </w:rPr>
        <w:t>، الفقرة</w:t>
      </w:r>
      <w:r>
        <w:rPr>
          <w:rtl/>
        </w:rPr>
        <w:t xml:space="preserve"> 8-3.</w:t>
      </w:r>
    </w:p>
  </w:footnote>
  <w:footnote w:id="41">
    <w:p w:rsidR="00B65ABB" w:rsidRPr="00410A92" w:rsidRDefault="00B65ABB" w:rsidP="00410A92">
      <w:pPr>
        <w:pStyle w:val="FootnoteText1"/>
        <w:textDirection w:val="tbRlV"/>
        <w:rPr>
          <w:rtl/>
        </w:rPr>
      </w:pPr>
      <w:r w:rsidRPr="00410A92">
        <w:rPr>
          <w:b/>
          <w:rtl/>
        </w:rPr>
        <w:t>(</w:t>
      </w:r>
      <w:r w:rsidRPr="00410A92">
        <w:rPr>
          <w:b/>
          <w:rtl/>
        </w:rPr>
        <w:footnoteRef/>
      </w:r>
      <w:r w:rsidRPr="00410A92">
        <w:rPr>
          <w:b/>
          <w:rtl/>
        </w:rPr>
        <w:t>)</w:t>
      </w:r>
      <w:r w:rsidRPr="00567685">
        <w:rPr>
          <w:rtl/>
        </w:rPr>
        <w:tab/>
        <w:t>التعليق العام رقم 6، الفقرة</w:t>
      </w:r>
      <w:r>
        <w:rPr>
          <w:rtl/>
        </w:rPr>
        <w:t xml:space="preserve"> 12.</w:t>
      </w:r>
    </w:p>
  </w:footnote>
  <w:footnote w:id="42">
    <w:p w:rsidR="00B65ABB" w:rsidRPr="00410A92" w:rsidRDefault="00B65ABB" w:rsidP="00410A92">
      <w:pPr>
        <w:pStyle w:val="FootnoteText1"/>
        <w:textDirection w:val="tbRlV"/>
        <w:rPr>
          <w:rtl/>
        </w:rPr>
      </w:pPr>
      <w:r w:rsidRPr="00410A92">
        <w:rPr>
          <w:b/>
          <w:rtl/>
        </w:rPr>
        <w:t>(</w:t>
      </w:r>
      <w:r w:rsidRPr="00410A92">
        <w:rPr>
          <w:b/>
          <w:rtl/>
        </w:rPr>
        <w:footnoteRef/>
      </w:r>
      <w:r w:rsidRPr="00410A92">
        <w:rPr>
          <w:b/>
          <w:rtl/>
        </w:rPr>
        <w:t>)</w:t>
      </w:r>
      <w:r w:rsidRPr="00567685">
        <w:rPr>
          <w:rtl/>
        </w:rPr>
        <w:tab/>
        <w:t>المرجع نفسه، الفقرة</w:t>
      </w:r>
      <w:r>
        <w:rPr>
          <w:rtl/>
        </w:rPr>
        <w:t xml:space="preserve"> 13.</w:t>
      </w:r>
    </w:p>
  </w:footnote>
  <w:footnote w:id="43">
    <w:p w:rsidR="00B65ABB" w:rsidRPr="00410A92" w:rsidRDefault="00B65ABB" w:rsidP="00410A92">
      <w:pPr>
        <w:pStyle w:val="FootnoteText1"/>
        <w:textDirection w:val="tbRlV"/>
        <w:rPr>
          <w:rtl/>
        </w:rPr>
      </w:pPr>
      <w:r w:rsidRPr="00410A92">
        <w:rPr>
          <w:b/>
          <w:rtl/>
        </w:rPr>
        <w:t>(</w:t>
      </w:r>
      <w:r w:rsidRPr="00410A92">
        <w:rPr>
          <w:b/>
          <w:rtl/>
        </w:rPr>
        <w:footnoteRef/>
      </w:r>
      <w:r w:rsidRPr="00410A92">
        <w:rPr>
          <w:b/>
          <w:rtl/>
        </w:rPr>
        <w:t>)</w:t>
      </w:r>
      <w:r w:rsidRPr="00567685">
        <w:rPr>
          <w:rtl/>
        </w:rPr>
        <w:tab/>
        <w:t>المرجع نفسه، الفقرة</w:t>
      </w:r>
      <w:r>
        <w:rPr>
          <w:rtl/>
        </w:rPr>
        <w:t xml:space="preserve"> 31.</w:t>
      </w:r>
    </w:p>
  </w:footnote>
  <w:footnote w:id="44">
    <w:p w:rsidR="00B65ABB" w:rsidRPr="00410A92" w:rsidRDefault="00B65ABB" w:rsidP="00410A92">
      <w:pPr>
        <w:pStyle w:val="FootnoteText1"/>
        <w:textDirection w:val="tbRlV"/>
        <w:rPr>
          <w:rtl/>
        </w:rPr>
      </w:pPr>
      <w:r w:rsidRPr="00410A92">
        <w:rPr>
          <w:b/>
          <w:rtl/>
        </w:rPr>
        <w:t>(</w:t>
      </w:r>
      <w:r w:rsidRPr="00410A92">
        <w:rPr>
          <w:b/>
          <w:rtl/>
        </w:rPr>
        <w:footnoteRef/>
      </w:r>
      <w:r w:rsidRPr="00410A92">
        <w:rPr>
          <w:b/>
          <w:rtl/>
        </w:rPr>
        <w:t>)</w:t>
      </w:r>
      <w:r w:rsidRPr="00567685">
        <w:rPr>
          <w:rtl/>
        </w:rPr>
        <w:tab/>
        <w:t>المرجع نفسه، الفقرة</w:t>
      </w:r>
      <w:r>
        <w:rPr>
          <w:rtl/>
        </w:rPr>
        <w:t xml:space="preserve"> 27</w:t>
      </w:r>
      <w:r w:rsidRPr="00567685">
        <w:rPr>
          <w:rtl/>
        </w:rPr>
        <w:t xml:space="preserve"> والتعليق العام المشترك رقم</w:t>
      </w:r>
      <w:r>
        <w:rPr>
          <w:rtl/>
        </w:rPr>
        <w:t xml:space="preserve"> 3(2017)</w:t>
      </w:r>
      <w:r w:rsidRPr="00567685">
        <w:rPr>
          <w:rtl/>
        </w:rPr>
        <w:t xml:space="preserve"> للجنة المعنية بحماية حقوق جميع العمال المهاجرين وأفراد أسرهم، ورقم</w:t>
      </w:r>
      <w:r>
        <w:rPr>
          <w:rtl/>
        </w:rPr>
        <w:t xml:space="preserve"> 22(2017)</w:t>
      </w:r>
      <w:r w:rsidRPr="00567685">
        <w:rPr>
          <w:rtl/>
        </w:rPr>
        <w:t xml:space="preserve"> للجنة حقوق الطفل، الفقرة</w:t>
      </w:r>
      <w:r>
        <w:rPr>
          <w:rtl/>
        </w:rPr>
        <w:t xml:space="preserve"> 46.</w:t>
      </w:r>
    </w:p>
  </w:footnote>
  <w:footnote w:id="45">
    <w:p w:rsidR="00B65ABB" w:rsidRPr="00410A92" w:rsidRDefault="00B65ABB" w:rsidP="00410A92">
      <w:pPr>
        <w:pStyle w:val="FootnoteText1"/>
        <w:textDirection w:val="tbRlV"/>
        <w:rPr>
          <w:rtl/>
        </w:rPr>
      </w:pPr>
      <w:r w:rsidRPr="00410A92">
        <w:rPr>
          <w:b/>
          <w:rtl/>
        </w:rPr>
        <w:t>(</w:t>
      </w:r>
      <w:r w:rsidRPr="00410A92">
        <w:rPr>
          <w:b/>
          <w:rtl/>
        </w:rPr>
        <w:footnoteRef/>
      </w:r>
      <w:r w:rsidRPr="00410A92">
        <w:rPr>
          <w:b/>
          <w:rtl/>
        </w:rPr>
        <w:t>)</w:t>
      </w:r>
      <w:bookmarkStart w:id="12" w:name="_Hlk530155017"/>
      <w:r w:rsidRPr="00567685">
        <w:rPr>
          <w:rtl/>
        </w:rPr>
        <w:tab/>
        <w:t xml:space="preserve">التعليق العام رقم ٦، الفقرة ٢٧. </w:t>
      </w:r>
      <w:bookmarkEnd w:id="12"/>
    </w:p>
  </w:footnote>
  <w:footnote w:id="46">
    <w:p w:rsidR="00B65ABB" w:rsidRPr="00410A92" w:rsidRDefault="00B65ABB" w:rsidP="00410A92">
      <w:pPr>
        <w:pStyle w:val="FootnoteText1"/>
        <w:textDirection w:val="tbRlV"/>
        <w:rPr>
          <w:rtl/>
        </w:rPr>
      </w:pPr>
      <w:r w:rsidRPr="00410A92">
        <w:rPr>
          <w:b/>
          <w:rtl/>
        </w:rPr>
        <w:t>(</w:t>
      </w:r>
      <w:r w:rsidRPr="00410A92">
        <w:rPr>
          <w:b/>
          <w:rtl/>
        </w:rPr>
        <w:footnoteRef/>
      </w:r>
      <w:r w:rsidRPr="00410A92">
        <w:rPr>
          <w:b/>
          <w:rtl/>
        </w:rPr>
        <w:t>)</w:t>
      </w:r>
      <w:r w:rsidRPr="00567685">
        <w:rPr>
          <w:rtl/>
        </w:rPr>
        <w:tab/>
        <w:t>التعليق العام المشترك رقم</w:t>
      </w:r>
      <w:r>
        <w:rPr>
          <w:rtl/>
        </w:rPr>
        <w:t xml:space="preserve"> 4(2017)</w:t>
      </w:r>
      <w:r w:rsidRPr="00567685">
        <w:rPr>
          <w:rtl/>
        </w:rPr>
        <w:t xml:space="preserve"> للجنة المعنية بحماية حقوق جميع العمال المهاجرين وأفراد أسرهم، ورقم</w:t>
      </w:r>
      <w:r>
        <w:rPr>
          <w:rtl/>
        </w:rPr>
        <w:t xml:space="preserve"> 23(2017)</w:t>
      </w:r>
      <w:r w:rsidRPr="00567685">
        <w:rPr>
          <w:rtl/>
        </w:rPr>
        <w:t xml:space="preserve"> للجنة حقوق الطفل، الفقرة</w:t>
      </w:r>
      <w:r>
        <w:rPr>
          <w:rtl/>
        </w:rPr>
        <w:t xml:space="preserve"> 17.</w:t>
      </w:r>
    </w:p>
  </w:footnote>
  <w:footnote w:id="47">
    <w:p w:rsidR="00B65ABB" w:rsidRPr="00410A92" w:rsidRDefault="00B65ABB" w:rsidP="00410A92">
      <w:pPr>
        <w:pStyle w:val="FootnoteText1"/>
        <w:textDirection w:val="tbRlV"/>
        <w:rPr>
          <w:rtl/>
        </w:rPr>
      </w:pPr>
      <w:r w:rsidRPr="00410A92">
        <w:rPr>
          <w:b/>
          <w:rtl/>
        </w:rPr>
        <w:t>(</w:t>
      </w:r>
      <w:r w:rsidRPr="00410A92">
        <w:rPr>
          <w:b/>
          <w:rtl/>
        </w:rPr>
        <w:footnoteRef/>
      </w:r>
      <w:r w:rsidRPr="00410A92">
        <w:rPr>
          <w:b/>
          <w:rtl/>
        </w:rPr>
        <w:t>)</w:t>
      </w:r>
      <w:r w:rsidRPr="00567685">
        <w:rPr>
          <w:rtl/>
        </w:rPr>
        <w:tab/>
        <w:t xml:space="preserve">التعليق العام رقم ٦، الفقرة </w:t>
      </w:r>
      <w:r>
        <w:rPr>
          <w:rtl/>
        </w:rPr>
        <w:t>7.</w:t>
      </w:r>
    </w:p>
  </w:footnote>
  <w:footnote w:id="48">
    <w:p w:rsidR="00B65ABB" w:rsidRPr="00410A92" w:rsidRDefault="00B65ABB" w:rsidP="00410A92">
      <w:pPr>
        <w:pStyle w:val="FootnoteText1"/>
        <w:textDirection w:val="tbRlV"/>
        <w:rPr>
          <w:rtl/>
        </w:rPr>
      </w:pPr>
      <w:r w:rsidRPr="00410A92">
        <w:rPr>
          <w:b/>
          <w:rtl/>
        </w:rPr>
        <w:t>(</w:t>
      </w:r>
      <w:r w:rsidRPr="00410A92">
        <w:rPr>
          <w:b/>
          <w:rtl/>
        </w:rPr>
        <w:footnoteRef/>
      </w:r>
      <w:r w:rsidRPr="00410A92">
        <w:rPr>
          <w:b/>
          <w:rtl/>
        </w:rPr>
        <w:t>)</w:t>
      </w:r>
      <w:r w:rsidRPr="00567685">
        <w:rPr>
          <w:rtl/>
        </w:rPr>
        <w:tab/>
        <w:t>المرجع نفسه، الفقرة</w:t>
      </w:r>
      <w:r>
        <w:rPr>
          <w:rtl/>
        </w:rPr>
        <w:t xml:space="preserve"> 27.</w:t>
      </w:r>
    </w:p>
  </w:footnote>
  <w:footnote w:id="49">
    <w:p w:rsidR="00B65ABB" w:rsidRPr="00410A92" w:rsidRDefault="00B65ABB" w:rsidP="00410A92">
      <w:pPr>
        <w:pStyle w:val="FootnoteText1"/>
        <w:textDirection w:val="tbRlV"/>
        <w:rPr>
          <w:rtl/>
        </w:rPr>
      </w:pPr>
      <w:r w:rsidRPr="00410A92">
        <w:rPr>
          <w:b/>
          <w:rtl/>
        </w:rPr>
        <w:t>(</w:t>
      </w:r>
      <w:r w:rsidRPr="00410A92">
        <w:rPr>
          <w:b/>
          <w:rtl/>
        </w:rPr>
        <w:footnoteRef/>
      </w:r>
      <w:r w:rsidRPr="00410A92">
        <w:rPr>
          <w:b/>
          <w:rtl/>
        </w:rPr>
        <w:t>)</w:t>
      </w:r>
      <w:r w:rsidRPr="00567685">
        <w:rPr>
          <w:rtl/>
        </w:rPr>
        <w:tab/>
        <w:t>الملاحظات الختامية للجنة بشأن التقرير الجامع للتقريرين الدوريين الثالث والرابع للمغرب (</w:t>
      </w:r>
      <w:r w:rsidRPr="00567685">
        <w:t>CRC/C/MAR/CO/3-4</w:t>
      </w:r>
      <w:r w:rsidRPr="00567685">
        <w:rPr>
          <w:rtl/>
        </w:rPr>
        <w:t>) والملاحظات الختامية للجنة المعنية بحماية حقوق جميع العمال المهاجرين وأفراد أسرهم بشأن التقرير الأولي للمغرب (</w:t>
      </w:r>
      <w:r w:rsidRPr="00567685">
        <w:t>CMW/C/MAR/CO/1</w:t>
      </w:r>
      <w:r w:rsidRPr="00567685">
        <w:rPr>
          <w:rtl/>
        </w:rPr>
        <w:t>)</w:t>
      </w:r>
      <w:r w:rsidRPr="00410A92">
        <w:rPr>
          <w:rtl/>
        </w:rPr>
        <w:t>.</w:t>
      </w:r>
    </w:p>
  </w:footnote>
  <w:footnote w:id="50">
    <w:p w:rsidR="00B65ABB" w:rsidRPr="00410A92" w:rsidRDefault="00B65ABB" w:rsidP="00410A92">
      <w:pPr>
        <w:pStyle w:val="FootnoteText1"/>
        <w:textDirection w:val="tbRlV"/>
        <w:rPr>
          <w:rtl/>
        </w:rPr>
      </w:pPr>
      <w:r w:rsidRPr="00410A92">
        <w:rPr>
          <w:b/>
          <w:rtl/>
        </w:rPr>
        <w:t>(</w:t>
      </w:r>
      <w:r w:rsidRPr="00410A92">
        <w:rPr>
          <w:b/>
          <w:rtl/>
        </w:rPr>
        <w:footnoteRef/>
      </w:r>
      <w:r w:rsidRPr="00410A92">
        <w:rPr>
          <w:b/>
          <w:rtl/>
        </w:rPr>
        <w:t>)</w:t>
      </w:r>
      <w:r>
        <w:rPr>
          <w:rtl/>
        </w:rPr>
        <w:tab/>
      </w:r>
      <w:r>
        <w:t>CRC/C/ESP/CO/5-6</w:t>
      </w:r>
      <w:r w:rsidRPr="00410A92">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DE9" w:rsidRPr="00026956" w:rsidRDefault="000C4DE9" w:rsidP="00026956">
    <w:pPr>
      <w:pStyle w:val="Header"/>
      <w:jc w:val="right"/>
    </w:pPr>
    <w:r w:rsidRPr="00026956">
      <w:t>CRC/C/80/D/4/2016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DE9" w:rsidRPr="00026956" w:rsidRDefault="000C4DE9" w:rsidP="00026956">
    <w:pPr>
      <w:pStyle w:val="Header"/>
      <w:jc w:val="left"/>
    </w:pPr>
    <w:r w:rsidRPr="00026956">
      <w:t>CRC/C/80/D/4/2016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6DE7CA9"/>
    <w:multiLevelType w:val="hybridMultilevel"/>
    <w:tmpl w:val="B5643FDC"/>
    <w:lvl w:ilvl="0" w:tplc="2F3C8CCA">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5" w15:restartNumberingAfterBreak="0">
    <w:nsid w:val="2AF40FB4"/>
    <w:multiLevelType w:val="hybridMultilevel"/>
    <w:tmpl w:val="4DB2387C"/>
    <w:lvl w:ilvl="0" w:tplc="2F3C8CCA">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CB65C8"/>
    <w:multiLevelType w:val="hybridMultilevel"/>
    <w:tmpl w:val="CCCC2E6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20" w15:restartNumberingAfterBreak="0">
    <w:nsid w:val="468D435C"/>
    <w:multiLevelType w:val="hybridMultilevel"/>
    <w:tmpl w:val="E40AD8E0"/>
    <w:lvl w:ilvl="0" w:tplc="2F3C8CCA">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6"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9DC3D89"/>
    <w:multiLevelType w:val="multilevel"/>
    <w:tmpl w:val="0C0A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28"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25"/>
  </w:num>
  <w:num w:numId="2">
    <w:abstractNumId w:val="21"/>
  </w:num>
  <w:num w:numId="3">
    <w:abstractNumId w:val="11"/>
  </w:num>
  <w:num w:numId="4">
    <w:abstractNumId w:val="19"/>
  </w:num>
  <w:num w:numId="5">
    <w:abstractNumId w:val="16"/>
  </w:num>
  <w:num w:numId="6">
    <w:abstractNumId w:val="14"/>
  </w:num>
  <w:num w:numId="7">
    <w:abstractNumId w:val="28"/>
  </w:num>
  <w:num w:numId="8">
    <w:abstractNumId w:val="11"/>
  </w:num>
  <w:num w:numId="9">
    <w:abstractNumId w:val="19"/>
  </w:num>
  <w:num w:numId="10">
    <w:abstractNumId w:val="14"/>
  </w:num>
  <w:num w:numId="11">
    <w:abstractNumId w:val="28"/>
  </w:num>
  <w:num w:numId="12">
    <w:abstractNumId w:val="24"/>
  </w:num>
  <w:num w:numId="13">
    <w:abstractNumId w:val="17"/>
  </w:num>
  <w:num w:numId="14">
    <w:abstractNumId w:val="27"/>
  </w:num>
  <w:num w:numId="15">
    <w:abstractNumId w:val="26"/>
  </w:num>
  <w:num w:numId="16">
    <w:abstractNumId w:val="22"/>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12"/>
  </w:num>
  <w:num w:numId="28">
    <w:abstractNumId w:val="10"/>
  </w:num>
  <w:num w:numId="29">
    <w:abstractNumId w:val="23"/>
  </w:num>
  <w:num w:numId="30">
    <w:abstractNumId w:val="18"/>
  </w:num>
  <w:num w:numId="31">
    <w:abstractNumId w:val="13"/>
  </w:num>
  <w:num w:numId="32">
    <w:abstractNumId w:val="15"/>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22262E"/>
    <w:rsid w:val="000076D5"/>
    <w:rsid w:val="00026956"/>
    <w:rsid w:val="00043663"/>
    <w:rsid w:val="000505CF"/>
    <w:rsid w:val="000714EF"/>
    <w:rsid w:val="00096681"/>
    <w:rsid w:val="000B0675"/>
    <w:rsid w:val="000C4DE9"/>
    <w:rsid w:val="000D701C"/>
    <w:rsid w:val="000D7778"/>
    <w:rsid w:val="000E2A71"/>
    <w:rsid w:val="00160263"/>
    <w:rsid w:val="00163E73"/>
    <w:rsid w:val="00181F96"/>
    <w:rsid w:val="001A1371"/>
    <w:rsid w:val="001B346A"/>
    <w:rsid w:val="001D5AC0"/>
    <w:rsid w:val="001E1CAD"/>
    <w:rsid w:val="001E290D"/>
    <w:rsid w:val="001E3F43"/>
    <w:rsid w:val="002144FA"/>
    <w:rsid w:val="0022262E"/>
    <w:rsid w:val="0023469A"/>
    <w:rsid w:val="00243C8A"/>
    <w:rsid w:val="00267A0E"/>
    <w:rsid w:val="0028398F"/>
    <w:rsid w:val="002901D9"/>
    <w:rsid w:val="002976C2"/>
    <w:rsid w:val="002D2D42"/>
    <w:rsid w:val="00304F99"/>
    <w:rsid w:val="003260FF"/>
    <w:rsid w:val="00343D95"/>
    <w:rsid w:val="00374341"/>
    <w:rsid w:val="003A0B20"/>
    <w:rsid w:val="003A313D"/>
    <w:rsid w:val="003C50EA"/>
    <w:rsid w:val="003D1062"/>
    <w:rsid w:val="00406758"/>
    <w:rsid w:val="00410A92"/>
    <w:rsid w:val="00420D7B"/>
    <w:rsid w:val="00421B8F"/>
    <w:rsid w:val="00450B21"/>
    <w:rsid w:val="00453B63"/>
    <w:rsid w:val="00455780"/>
    <w:rsid w:val="0045649E"/>
    <w:rsid w:val="00483B03"/>
    <w:rsid w:val="004A14A6"/>
    <w:rsid w:val="004B0A1C"/>
    <w:rsid w:val="004B0A9C"/>
    <w:rsid w:val="004D298E"/>
    <w:rsid w:val="00523BAE"/>
    <w:rsid w:val="0054472E"/>
    <w:rsid w:val="005662A9"/>
    <w:rsid w:val="005827D4"/>
    <w:rsid w:val="005923E0"/>
    <w:rsid w:val="0059622A"/>
    <w:rsid w:val="005C5878"/>
    <w:rsid w:val="005C7CEA"/>
    <w:rsid w:val="005D3C0B"/>
    <w:rsid w:val="005E1B45"/>
    <w:rsid w:val="005E5217"/>
    <w:rsid w:val="005F0FA4"/>
    <w:rsid w:val="005F256D"/>
    <w:rsid w:val="005F30EE"/>
    <w:rsid w:val="0060473A"/>
    <w:rsid w:val="00633E1D"/>
    <w:rsid w:val="00656392"/>
    <w:rsid w:val="0068781D"/>
    <w:rsid w:val="006959B0"/>
    <w:rsid w:val="006B3E27"/>
    <w:rsid w:val="006B6507"/>
    <w:rsid w:val="006C104C"/>
    <w:rsid w:val="006E444F"/>
    <w:rsid w:val="00733704"/>
    <w:rsid w:val="0078071A"/>
    <w:rsid w:val="00850923"/>
    <w:rsid w:val="00852A9A"/>
    <w:rsid w:val="00871747"/>
    <w:rsid w:val="00896B9A"/>
    <w:rsid w:val="008F49E1"/>
    <w:rsid w:val="0090370F"/>
    <w:rsid w:val="009269D2"/>
    <w:rsid w:val="00942135"/>
    <w:rsid w:val="009521B0"/>
    <w:rsid w:val="00994130"/>
    <w:rsid w:val="009A7E9F"/>
    <w:rsid w:val="009E5018"/>
    <w:rsid w:val="00A12B37"/>
    <w:rsid w:val="00A3425F"/>
    <w:rsid w:val="00A65558"/>
    <w:rsid w:val="00AB6758"/>
    <w:rsid w:val="00AC5A0B"/>
    <w:rsid w:val="00B13763"/>
    <w:rsid w:val="00B477A4"/>
    <w:rsid w:val="00B54045"/>
    <w:rsid w:val="00B65ABB"/>
    <w:rsid w:val="00C438D7"/>
    <w:rsid w:val="00C81B50"/>
    <w:rsid w:val="00CB28F9"/>
    <w:rsid w:val="00CD1801"/>
    <w:rsid w:val="00CF532E"/>
    <w:rsid w:val="00D0365B"/>
    <w:rsid w:val="00D10EF1"/>
    <w:rsid w:val="00D26580"/>
    <w:rsid w:val="00D37575"/>
    <w:rsid w:val="00D42810"/>
    <w:rsid w:val="00D51EF3"/>
    <w:rsid w:val="00D61902"/>
    <w:rsid w:val="00D914A7"/>
    <w:rsid w:val="00DD13C3"/>
    <w:rsid w:val="00DD596E"/>
    <w:rsid w:val="00DD621E"/>
    <w:rsid w:val="00DF0575"/>
    <w:rsid w:val="00E635A0"/>
    <w:rsid w:val="00E70E04"/>
    <w:rsid w:val="00E76499"/>
    <w:rsid w:val="00EB7693"/>
    <w:rsid w:val="00EC05A7"/>
    <w:rsid w:val="00EC4B6B"/>
    <w:rsid w:val="00ED33F9"/>
    <w:rsid w:val="00EF1EE5"/>
    <w:rsid w:val="00F763B4"/>
    <w:rsid w:val="00F900C3"/>
    <w:rsid w:val="00FD242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29DD112"/>
  <w15:docId w15:val="{1DC455CD-4EB4-4531-B402-C860B3990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uiPriority w:val="9"/>
    <w:qFormat/>
    <w:rsid w:val="00AB6758"/>
    <w:pPr>
      <w:numPr>
        <w:numId w:val="14"/>
      </w:numPr>
      <w:suppressAutoHyphens/>
      <w:bidi w:val="0"/>
      <w:outlineLvl w:val="0"/>
    </w:pPr>
  </w:style>
  <w:style w:type="paragraph" w:styleId="Heading2">
    <w:name w:val="heading 2"/>
    <w:basedOn w:val="Normal"/>
    <w:next w:val="Normal"/>
    <w:link w:val="Heading2Char"/>
    <w:unhideWhenUsed/>
    <w:qFormat/>
    <w:rsid w:val="00455780"/>
    <w:pPr>
      <w:keepNext/>
      <w:keepLines/>
      <w:numPr>
        <w:ilvl w:val="1"/>
        <w:numId w:val="1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C4B6B"/>
    <w:pPr>
      <w:keepNext/>
      <w:keepLines/>
      <w:numPr>
        <w:ilvl w:val="2"/>
        <w:numId w:val="1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C4B6B"/>
    <w:pPr>
      <w:keepNext/>
      <w:keepLines/>
      <w:numPr>
        <w:ilvl w:val="3"/>
        <w:numId w:val="1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C4B6B"/>
    <w:pPr>
      <w:keepNext/>
      <w:keepLines/>
      <w:numPr>
        <w:ilvl w:val="4"/>
        <w:numId w:val="1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C4B6B"/>
    <w:pPr>
      <w:keepNext/>
      <w:keepLines/>
      <w:numPr>
        <w:ilvl w:val="5"/>
        <w:numId w:val="1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C4B6B"/>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C4B6B"/>
    <w:pPr>
      <w:keepNext/>
      <w:keepLines/>
      <w:numPr>
        <w:ilvl w:val="7"/>
        <w:numId w:val="14"/>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C4B6B"/>
    <w:pPr>
      <w:keepNext/>
      <w:keepLines/>
      <w:numPr>
        <w:ilvl w:val="8"/>
        <w:numId w:val="14"/>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Footnote number,ftref,Footnotes refss,Style 10,referencia nota al pie,BVI fnr,Footnote text,4_Footnote text,callout,Fago Fußnotenzeichen,Appel note de bas de p.,16 Point,Superscript 6 Point,Footnote,Footnote symbol"/>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uiPriority w:val="9"/>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qFormat/>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qFormat/>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qFormat/>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qFormat/>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qFormat/>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B3E27"/>
    <w:rPr>
      <w:rFonts w:ascii="Tahoma" w:hAnsi="Tahoma" w:cs="Tahoma"/>
      <w:sz w:val="16"/>
      <w:szCs w:val="16"/>
    </w:rPr>
  </w:style>
  <w:style w:type="paragraph" w:customStyle="1" w:styleId="HMG">
    <w:name w:val="_ H __M_G"/>
    <w:basedOn w:val="Normal"/>
    <w:next w:val="Normal"/>
    <w:qFormat/>
    <w:rsid w:val="000C4DE9"/>
    <w:pPr>
      <w:keepNext/>
      <w:keepLines/>
      <w:tabs>
        <w:tab w:val="right" w:pos="851"/>
      </w:tabs>
      <w:suppressAutoHyphens/>
      <w:bidi w:val="0"/>
      <w:spacing w:before="240" w:after="240" w:line="360" w:lineRule="exact"/>
      <w:ind w:left="1134" w:right="1134" w:hanging="1134"/>
      <w:jc w:val="left"/>
    </w:pPr>
    <w:rPr>
      <w:rFonts w:hint="cs"/>
      <w:b/>
      <w:sz w:val="34"/>
      <w:lang w:val="es-ES" w:eastAsia="es-ES"/>
    </w:rPr>
  </w:style>
  <w:style w:type="paragraph" w:customStyle="1" w:styleId="HChG">
    <w:name w:val="_ H _Ch_G"/>
    <w:basedOn w:val="Normal"/>
    <w:next w:val="Normal"/>
    <w:link w:val="HChGChar"/>
    <w:qFormat/>
    <w:rsid w:val="000C4DE9"/>
    <w:pPr>
      <w:keepNext/>
      <w:keepLines/>
      <w:tabs>
        <w:tab w:val="right" w:pos="851"/>
      </w:tabs>
      <w:suppressAutoHyphens/>
      <w:bidi w:val="0"/>
      <w:spacing w:before="360" w:after="240" w:line="300" w:lineRule="exact"/>
      <w:ind w:left="1134" w:right="1134" w:hanging="1134"/>
      <w:jc w:val="left"/>
    </w:pPr>
    <w:rPr>
      <w:b/>
      <w:sz w:val="28"/>
      <w:lang w:val="es-ES" w:eastAsia="es-ES"/>
    </w:rPr>
  </w:style>
  <w:style w:type="paragraph" w:customStyle="1" w:styleId="H1G">
    <w:name w:val="_ H_1_G"/>
    <w:basedOn w:val="Normal"/>
    <w:next w:val="Normal"/>
    <w:link w:val="H1GChar"/>
    <w:qFormat/>
    <w:rsid w:val="000C4DE9"/>
    <w:pPr>
      <w:keepNext/>
      <w:keepLines/>
      <w:tabs>
        <w:tab w:val="right" w:pos="851"/>
      </w:tabs>
      <w:suppressAutoHyphens/>
      <w:bidi w:val="0"/>
      <w:spacing w:before="360" w:after="240" w:line="270" w:lineRule="exact"/>
      <w:ind w:left="1134" w:right="1134" w:hanging="1134"/>
      <w:jc w:val="left"/>
    </w:pPr>
    <w:rPr>
      <w:b/>
      <w:sz w:val="24"/>
      <w:lang w:val="es-ES" w:eastAsia="es-ES"/>
    </w:rPr>
  </w:style>
  <w:style w:type="paragraph" w:customStyle="1" w:styleId="H23G">
    <w:name w:val="_ H_2/3_G"/>
    <w:basedOn w:val="Normal"/>
    <w:next w:val="Normal"/>
    <w:qFormat/>
    <w:rsid w:val="000C4DE9"/>
    <w:pPr>
      <w:keepNext/>
      <w:keepLines/>
      <w:tabs>
        <w:tab w:val="right" w:pos="851"/>
      </w:tabs>
      <w:suppressAutoHyphens/>
      <w:bidi w:val="0"/>
      <w:spacing w:before="240" w:after="120" w:line="240" w:lineRule="exact"/>
      <w:ind w:left="1134" w:right="1134" w:hanging="1134"/>
      <w:jc w:val="left"/>
    </w:pPr>
    <w:rPr>
      <w:rFonts w:hint="cs"/>
      <w:b/>
      <w:lang w:val="es-ES" w:eastAsia="es-ES"/>
    </w:rPr>
  </w:style>
  <w:style w:type="paragraph" w:customStyle="1" w:styleId="H4G">
    <w:name w:val="_ H_4_G"/>
    <w:basedOn w:val="Normal"/>
    <w:next w:val="Normal"/>
    <w:qFormat/>
    <w:rsid w:val="000C4DE9"/>
    <w:pPr>
      <w:keepNext/>
      <w:keepLines/>
      <w:tabs>
        <w:tab w:val="right" w:pos="851"/>
      </w:tabs>
      <w:suppressAutoHyphens/>
      <w:bidi w:val="0"/>
      <w:spacing w:before="240" w:after="120" w:line="240" w:lineRule="exact"/>
      <w:ind w:left="1134" w:right="1134" w:hanging="1134"/>
      <w:jc w:val="left"/>
    </w:pPr>
    <w:rPr>
      <w:rFonts w:hint="cs"/>
      <w:i/>
      <w:lang w:val="es-ES" w:eastAsia="es-ES"/>
    </w:rPr>
  </w:style>
  <w:style w:type="paragraph" w:customStyle="1" w:styleId="H56G">
    <w:name w:val="_ H_5/6_G"/>
    <w:basedOn w:val="Normal"/>
    <w:next w:val="Normal"/>
    <w:qFormat/>
    <w:rsid w:val="000C4DE9"/>
    <w:pPr>
      <w:keepNext/>
      <w:keepLines/>
      <w:tabs>
        <w:tab w:val="right" w:pos="851"/>
      </w:tabs>
      <w:suppressAutoHyphens/>
      <w:bidi w:val="0"/>
      <w:spacing w:before="240" w:after="120" w:line="240" w:lineRule="exact"/>
      <w:ind w:left="1134" w:right="1134" w:hanging="1134"/>
      <w:jc w:val="left"/>
    </w:pPr>
    <w:rPr>
      <w:rFonts w:hint="cs"/>
      <w:lang w:val="es-ES" w:eastAsia="es-ES"/>
    </w:rPr>
  </w:style>
  <w:style w:type="paragraph" w:customStyle="1" w:styleId="SingleTxtG">
    <w:name w:val="_ Single Txt_G"/>
    <w:basedOn w:val="Normal"/>
    <w:link w:val="SingleTxtGChar"/>
    <w:qFormat/>
    <w:rsid w:val="000C4DE9"/>
    <w:pPr>
      <w:bidi w:val="0"/>
      <w:spacing w:after="120"/>
      <w:ind w:left="1134" w:right="1134"/>
      <w:jc w:val="both"/>
    </w:pPr>
    <w:rPr>
      <w:lang w:val="es-ES" w:eastAsia="es-ES"/>
    </w:rPr>
  </w:style>
  <w:style w:type="paragraph" w:customStyle="1" w:styleId="SMG">
    <w:name w:val="__S_M_G"/>
    <w:basedOn w:val="Normal"/>
    <w:next w:val="Normal"/>
    <w:rsid w:val="000C4DE9"/>
    <w:pPr>
      <w:keepNext/>
      <w:keepLines/>
      <w:suppressAutoHyphens/>
      <w:bidi w:val="0"/>
      <w:spacing w:before="240" w:after="240" w:line="420" w:lineRule="exact"/>
      <w:ind w:left="1134" w:right="1134"/>
      <w:jc w:val="left"/>
    </w:pPr>
    <w:rPr>
      <w:rFonts w:hint="cs"/>
      <w:b/>
      <w:sz w:val="40"/>
      <w:lang w:val="es-ES" w:eastAsia="es-ES"/>
    </w:rPr>
  </w:style>
  <w:style w:type="paragraph" w:customStyle="1" w:styleId="SLG">
    <w:name w:val="__S_L_G"/>
    <w:basedOn w:val="Normal"/>
    <w:next w:val="Normal"/>
    <w:rsid w:val="000C4DE9"/>
    <w:pPr>
      <w:keepNext/>
      <w:keepLines/>
      <w:bidi w:val="0"/>
      <w:spacing w:before="240" w:after="240" w:line="580" w:lineRule="exact"/>
      <w:ind w:left="1134" w:right="1134"/>
      <w:jc w:val="left"/>
    </w:pPr>
    <w:rPr>
      <w:rFonts w:hint="cs"/>
      <w:b/>
      <w:sz w:val="56"/>
      <w:lang w:val="es-ES" w:eastAsia="es-ES"/>
    </w:rPr>
  </w:style>
  <w:style w:type="paragraph" w:customStyle="1" w:styleId="SSG">
    <w:name w:val="__S_S_G"/>
    <w:basedOn w:val="Normal"/>
    <w:next w:val="Normal"/>
    <w:rsid w:val="000C4DE9"/>
    <w:pPr>
      <w:keepNext/>
      <w:keepLines/>
      <w:bidi w:val="0"/>
      <w:spacing w:before="240" w:after="240" w:line="300" w:lineRule="exact"/>
      <w:ind w:left="1134" w:right="1134"/>
      <w:jc w:val="left"/>
    </w:pPr>
    <w:rPr>
      <w:rFonts w:hint="cs"/>
      <w:b/>
      <w:sz w:val="28"/>
      <w:lang w:val="es-ES" w:eastAsia="es-ES"/>
    </w:rPr>
  </w:style>
  <w:style w:type="paragraph" w:customStyle="1" w:styleId="XLargeG">
    <w:name w:val="__XLarge_G"/>
    <w:basedOn w:val="Normal"/>
    <w:next w:val="Normal"/>
    <w:rsid w:val="000C4DE9"/>
    <w:pPr>
      <w:keepNext/>
      <w:keepLines/>
      <w:bidi w:val="0"/>
      <w:spacing w:before="240" w:after="240" w:line="420" w:lineRule="exact"/>
      <w:ind w:left="1134" w:right="1134"/>
      <w:jc w:val="left"/>
    </w:pPr>
    <w:rPr>
      <w:rFonts w:hint="cs"/>
      <w:b/>
      <w:sz w:val="40"/>
      <w:lang w:val="es-ES" w:eastAsia="es-ES"/>
    </w:rPr>
  </w:style>
  <w:style w:type="numbering" w:styleId="111111">
    <w:name w:val="Outline List 2"/>
    <w:basedOn w:val="NoList"/>
    <w:semiHidden/>
    <w:rsid w:val="000C4DE9"/>
    <w:pPr>
      <w:numPr>
        <w:numId w:val="14"/>
      </w:numPr>
    </w:pPr>
  </w:style>
  <w:style w:type="numbering" w:styleId="1ai">
    <w:name w:val="Outline List 1"/>
    <w:basedOn w:val="NoList"/>
    <w:semiHidden/>
    <w:rsid w:val="000C4DE9"/>
    <w:pPr>
      <w:numPr>
        <w:numId w:val="15"/>
      </w:numPr>
    </w:pPr>
  </w:style>
  <w:style w:type="character" w:styleId="HTMLAcronym">
    <w:name w:val="HTML Acronym"/>
    <w:basedOn w:val="DefaultParagraphFont"/>
    <w:semiHidden/>
    <w:rsid w:val="000C4DE9"/>
  </w:style>
  <w:style w:type="numbering" w:styleId="ArticleSection">
    <w:name w:val="Outline List 3"/>
    <w:basedOn w:val="NoList"/>
    <w:semiHidden/>
    <w:rsid w:val="000C4DE9"/>
    <w:pPr>
      <w:numPr>
        <w:numId w:val="16"/>
      </w:numPr>
    </w:pPr>
  </w:style>
  <w:style w:type="paragraph" w:styleId="Closing">
    <w:name w:val="Closing"/>
    <w:basedOn w:val="Normal"/>
    <w:link w:val="ClosingChar"/>
    <w:semiHidden/>
    <w:rsid w:val="000C4DE9"/>
    <w:pPr>
      <w:bidi w:val="0"/>
      <w:ind w:left="4252"/>
      <w:jc w:val="left"/>
    </w:pPr>
    <w:rPr>
      <w:rFonts w:hint="cs"/>
      <w:lang w:val="es-ES" w:eastAsia="es-ES"/>
    </w:rPr>
  </w:style>
  <w:style w:type="character" w:customStyle="1" w:styleId="ClosingChar">
    <w:name w:val="Closing Char"/>
    <w:basedOn w:val="DefaultParagraphFont"/>
    <w:link w:val="Closing"/>
    <w:semiHidden/>
    <w:rsid w:val="000C4DE9"/>
    <w:rPr>
      <w:rFonts w:ascii="Times New Roman" w:hAnsi="Times New Roman" w:cs="Traditional Arabic"/>
      <w:sz w:val="20"/>
      <w:szCs w:val="30"/>
      <w:lang w:val="es-ES" w:eastAsia="es-ES"/>
    </w:rPr>
  </w:style>
  <w:style w:type="character" w:styleId="HTMLCite">
    <w:name w:val="HTML Cite"/>
    <w:basedOn w:val="DefaultParagraphFont"/>
    <w:semiHidden/>
    <w:rsid w:val="000C4DE9"/>
    <w:rPr>
      <w:i/>
      <w:iCs/>
    </w:rPr>
  </w:style>
  <w:style w:type="character" w:styleId="HTMLCode">
    <w:name w:val="HTML Code"/>
    <w:basedOn w:val="DefaultParagraphFont"/>
    <w:semiHidden/>
    <w:rsid w:val="000C4DE9"/>
    <w:rPr>
      <w:rFonts w:ascii="Courier New" w:hAnsi="Courier New" w:cs="Courier New"/>
      <w:sz w:val="20"/>
      <w:szCs w:val="20"/>
    </w:rPr>
  </w:style>
  <w:style w:type="paragraph" w:styleId="ListContinue">
    <w:name w:val="List Continue"/>
    <w:basedOn w:val="Normal"/>
    <w:semiHidden/>
    <w:rsid w:val="000C4DE9"/>
    <w:pPr>
      <w:bidi w:val="0"/>
      <w:spacing w:after="120"/>
      <w:ind w:left="283"/>
      <w:jc w:val="left"/>
    </w:pPr>
    <w:rPr>
      <w:rFonts w:hint="cs"/>
      <w:lang w:val="es-ES" w:eastAsia="es-ES"/>
    </w:rPr>
  </w:style>
  <w:style w:type="paragraph" w:styleId="ListContinue2">
    <w:name w:val="List Continue 2"/>
    <w:basedOn w:val="Normal"/>
    <w:semiHidden/>
    <w:rsid w:val="000C4DE9"/>
    <w:pPr>
      <w:bidi w:val="0"/>
      <w:spacing w:after="120"/>
      <w:ind w:left="566"/>
      <w:jc w:val="left"/>
    </w:pPr>
    <w:rPr>
      <w:rFonts w:hint="cs"/>
      <w:lang w:val="es-ES" w:eastAsia="es-ES"/>
    </w:rPr>
  </w:style>
  <w:style w:type="paragraph" w:styleId="ListContinue3">
    <w:name w:val="List Continue 3"/>
    <w:basedOn w:val="Normal"/>
    <w:semiHidden/>
    <w:rsid w:val="000C4DE9"/>
    <w:pPr>
      <w:bidi w:val="0"/>
      <w:spacing w:after="120"/>
      <w:ind w:left="849"/>
      <w:jc w:val="left"/>
    </w:pPr>
    <w:rPr>
      <w:rFonts w:hint="cs"/>
      <w:lang w:val="es-ES" w:eastAsia="es-ES"/>
    </w:rPr>
  </w:style>
  <w:style w:type="paragraph" w:styleId="ListContinue4">
    <w:name w:val="List Continue 4"/>
    <w:basedOn w:val="Normal"/>
    <w:semiHidden/>
    <w:rsid w:val="000C4DE9"/>
    <w:pPr>
      <w:bidi w:val="0"/>
      <w:spacing w:after="120"/>
      <w:ind w:left="1132"/>
      <w:jc w:val="left"/>
    </w:pPr>
    <w:rPr>
      <w:rFonts w:hint="cs"/>
      <w:lang w:val="es-ES" w:eastAsia="es-ES"/>
    </w:rPr>
  </w:style>
  <w:style w:type="paragraph" w:styleId="ListContinue5">
    <w:name w:val="List Continue 5"/>
    <w:basedOn w:val="Normal"/>
    <w:semiHidden/>
    <w:rsid w:val="000C4DE9"/>
    <w:pPr>
      <w:bidi w:val="0"/>
      <w:spacing w:after="120"/>
      <w:ind w:left="1415"/>
      <w:jc w:val="left"/>
    </w:pPr>
    <w:rPr>
      <w:rFonts w:hint="cs"/>
      <w:lang w:val="es-ES" w:eastAsia="es-ES"/>
    </w:rPr>
  </w:style>
  <w:style w:type="character" w:styleId="HTMLDefinition">
    <w:name w:val="HTML Definition"/>
    <w:basedOn w:val="DefaultParagraphFont"/>
    <w:semiHidden/>
    <w:rsid w:val="000C4DE9"/>
    <w:rPr>
      <w:i/>
      <w:iCs/>
    </w:rPr>
  </w:style>
  <w:style w:type="paragraph" w:styleId="HTMLAddress">
    <w:name w:val="HTML Address"/>
    <w:basedOn w:val="Normal"/>
    <w:link w:val="HTMLAddressChar"/>
    <w:semiHidden/>
    <w:rsid w:val="000C4DE9"/>
    <w:pPr>
      <w:bidi w:val="0"/>
      <w:jc w:val="left"/>
    </w:pPr>
    <w:rPr>
      <w:rFonts w:hint="cs"/>
      <w:i/>
      <w:iCs/>
      <w:lang w:val="es-ES" w:eastAsia="es-ES"/>
    </w:rPr>
  </w:style>
  <w:style w:type="character" w:customStyle="1" w:styleId="HTMLAddressChar">
    <w:name w:val="HTML Address Char"/>
    <w:basedOn w:val="DefaultParagraphFont"/>
    <w:link w:val="HTMLAddress"/>
    <w:semiHidden/>
    <w:rsid w:val="000C4DE9"/>
    <w:rPr>
      <w:rFonts w:ascii="Times New Roman" w:hAnsi="Times New Roman" w:cs="Traditional Arabic"/>
      <w:i/>
      <w:iCs/>
      <w:sz w:val="20"/>
      <w:szCs w:val="30"/>
      <w:lang w:val="es-ES" w:eastAsia="es-ES"/>
    </w:rPr>
  </w:style>
  <w:style w:type="paragraph" w:styleId="EnvelopeAddress">
    <w:name w:val="envelope address"/>
    <w:basedOn w:val="Normal"/>
    <w:semiHidden/>
    <w:rsid w:val="000C4DE9"/>
    <w:pPr>
      <w:framePr w:w="7920" w:h="1980" w:hRule="exact" w:hSpace="141" w:wrap="auto" w:hAnchor="page" w:xAlign="center" w:yAlign="bottom"/>
      <w:bidi w:val="0"/>
      <w:ind w:left="2880"/>
      <w:jc w:val="left"/>
    </w:pPr>
    <w:rPr>
      <w:rFonts w:ascii="Arial" w:hAnsi="Arial" w:cs="Arial" w:hint="cs"/>
      <w:sz w:val="24"/>
      <w:szCs w:val="24"/>
      <w:lang w:val="es-ES" w:eastAsia="es-ES"/>
    </w:rPr>
  </w:style>
  <w:style w:type="character" w:styleId="HTMLSample">
    <w:name w:val="HTML Sample"/>
    <w:basedOn w:val="DefaultParagraphFont"/>
    <w:semiHidden/>
    <w:rsid w:val="000C4DE9"/>
    <w:rPr>
      <w:rFonts w:ascii="Courier New" w:hAnsi="Courier New" w:cs="Courier New"/>
    </w:rPr>
  </w:style>
  <w:style w:type="paragraph" w:styleId="MessageHeader">
    <w:name w:val="Message Header"/>
    <w:basedOn w:val="Normal"/>
    <w:link w:val="MessageHeaderChar"/>
    <w:semiHidden/>
    <w:rsid w:val="000C4DE9"/>
    <w:pPr>
      <w:pBdr>
        <w:top w:val="single" w:sz="6" w:space="1" w:color="auto"/>
        <w:left w:val="single" w:sz="6" w:space="1" w:color="auto"/>
        <w:bottom w:val="single" w:sz="6" w:space="1" w:color="auto"/>
        <w:right w:val="single" w:sz="6" w:space="1" w:color="auto"/>
      </w:pBdr>
      <w:shd w:val="pct20" w:color="auto" w:fill="auto"/>
      <w:bidi w:val="0"/>
      <w:ind w:left="1134" w:hanging="1134"/>
      <w:jc w:val="left"/>
    </w:pPr>
    <w:rPr>
      <w:rFonts w:ascii="Arial" w:hAnsi="Arial" w:cs="Arial" w:hint="cs"/>
      <w:sz w:val="24"/>
      <w:szCs w:val="24"/>
      <w:lang w:val="es-ES" w:eastAsia="es-ES"/>
    </w:rPr>
  </w:style>
  <w:style w:type="character" w:customStyle="1" w:styleId="MessageHeaderChar">
    <w:name w:val="Message Header Char"/>
    <w:basedOn w:val="DefaultParagraphFont"/>
    <w:link w:val="MessageHeader"/>
    <w:semiHidden/>
    <w:rsid w:val="000C4DE9"/>
    <w:rPr>
      <w:rFonts w:ascii="Arial" w:hAnsi="Arial" w:cs="Arial"/>
      <w:sz w:val="24"/>
      <w:szCs w:val="24"/>
      <w:shd w:val="pct20" w:color="auto" w:fill="auto"/>
      <w:lang w:val="es-ES" w:eastAsia="es-ES"/>
    </w:rPr>
  </w:style>
  <w:style w:type="paragraph" w:styleId="NoteHeading">
    <w:name w:val="Note Heading"/>
    <w:basedOn w:val="Normal"/>
    <w:next w:val="Normal"/>
    <w:link w:val="NoteHeadingChar"/>
    <w:semiHidden/>
    <w:rsid w:val="000C4DE9"/>
    <w:pPr>
      <w:bidi w:val="0"/>
      <w:jc w:val="left"/>
    </w:pPr>
    <w:rPr>
      <w:rFonts w:hint="cs"/>
      <w:lang w:val="es-ES" w:eastAsia="es-ES"/>
    </w:rPr>
  </w:style>
  <w:style w:type="character" w:customStyle="1" w:styleId="NoteHeadingChar">
    <w:name w:val="Note Heading Char"/>
    <w:basedOn w:val="DefaultParagraphFont"/>
    <w:link w:val="NoteHeading"/>
    <w:semiHidden/>
    <w:rsid w:val="000C4DE9"/>
    <w:rPr>
      <w:rFonts w:ascii="Times New Roman" w:hAnsi="Times New Roman" w:cs="Traditional Arabic"/>
      <w:sz w:val="20"/>
      <w:szCs w:val="30"/>
      <w:lang w:val="es-ES" w:eastAsia="es-ES"/>
    </w:rPr>
  </w:style>
  <w:style w:type="paragraph" w:styleId="Date">
    <w:name w:val="Date"/>
    <w:basedOn w:val="Normal"/>
    <w:next w:val="Normal"/>
    <w:link w:val="DateChar"/>
    <w:semiHidden/>
    <w:rsid w:val="000C4DE9"/>
    <w:pPr>
      <w:bidi w:val="0"/>
      <w:jc w:val="left"/>
    </w:pPr>
    <w:rPr>
      <w:rFonts w:hint="cs"/>
      <w:lang w:val="es-ES" w:eastAsia="es-ES"/>
    </w:rPr>
  </w:style>
  <w:style w:type="character" w:customStyle="1" w:styleId="DateChar">
    <w:name w:val="Date Char"/>
    <w:basedOn w:val="DefaultParagraphFont"/>
    <w:link w:val="Date"/>
    <w:semiHidden/>
    <w:rsid w:val="000C4DE9"/>
    <w:rPr>
      <w:rFonts w:ascii="Times New Roman" w:hAnsi="Times New Roman" w:cs="Traditional Arabic"/>
      <w:sz w:val="20"/>
      <w:szCs w:val="30"/>
      <w:lang w:val="es-ES" w:eastAsia="es-ES"/>
    </w:rPr>
  </w:style>
  <w:style w:type="paragraph" w:styleId="Signature">
    <w:name w:val="Signature"/>
    <w:basedOn w:val="Normal"/>
    <w:link w:val="SignatureChar"/>
    <w:semiHidden/>
    <w:rsid w:val="000C4DE9"/>
    <w:pPr>
      <w:bidi w:val="0"/>
      <w:ind w:left="4252"/>
      <w:jc w:val="left"/>
    </w:pPr>
    <w:rPr>
      <w:rFonts w:hint="cs"/>
      <w:lang w:val="es-ES" w:eastAsia="es-ES"/>
    </w:rPr>
  </w:style>
  <w:style w:type="character" w:customStyle="1" w:styleId="SignatureChar">
    <w:name w:val="Signature Char"/>
    <w:basedOn w:val="DefaultParagraphFont"/>
    <w:link w:val="Signature"/>
    <w:semiHidden/>
    <w:rsid w:val="000C4DE9"/>
    <w:rPr>
      <w:rFonts w:ascii="Times New Roman" w:hAnsi="Times New Roman" w:cs="Traditional Arabic"/>
      <w:sz w:val="20"/>
      <w:szCs w:val="30"/>
      <w:lang w:val="es-ES" w:eastAsia="es-ES"/>
    </w:rPr>
  </w:style>
  <w:style w:type="paragraph" w:styleId="E-mailSignature">
    <w:name w:val="E-mail Signature"/>
    <w:basedOn w:val="Normal"/>
    <w:link w:val="E-mailSignatureChar"/>
    <w:semiHidden/>
    <w:rsid w:val="000C4DE9"/>
    <w:pPr>
      <w:bidi w:val="0"/>
      <w:jc w:val="left"/>
    </w:pPr>
    <w:rPr>
      <w:rFonts w:hint="cs"/>
      <w:lang w:val="es-ES" w:eastAsia="es-ES"/>
    </w:rPr>
  </w:style>
  <w:style w:type="character" w:customStyle="1" w:styleId="E-mailSignatureChar">
    <w:name w:val="E-mail Signature Char"/>
    <w:basedOn w:val="DefaultParagraphFont"/>
    <w:link w:val="E-mailSignature"/>
    <w:semiHidden/>
    <w:rsid w:val="000C4DE9"/>
    <w:rPr>
      <w:rFonts w:ascii="Times New Roman" w:hAnsi="Times New Roman" w:cs="Traditional Arabic"/>
      <w:sz w:val="20"/>
      <w:szCs w:val="30"/>
      <w:lang w:val="es-ES" w:eastAsia="es-ES"/>
    </w:rPr>
  </w:style>
  <w:style w:type="character" w:styleId="Hyperlink">
    <w:name w:val="Hyperlink"/>
    <w:basedOn w:val="DefaultParagraphFont"/>
    <w:semiHidden/>
    <w:rsid w:val="000C4DE9"/>
    <w:rPr>
      <w:color w:val="0000FF"/>
      <w:u w:val="single"/>
    </w:rPr>
  </w:style>
  <w:style w:type="character" w:styleId="FollowedHyperlink">
    <w:name w:val="FollowedHyperlink"/>
    <w:basedOn w:val="DefaultParagraphFont"/>
    <w:semiHidden/>
    <w:rsid w:val="000C4DE9"/>
    <w:rPr>
      <w:color w:val="800080"/>
      <w:u w:val="single"/>
    </w:rPr>
  </w:style>
  <w:style w:type="paragraph" w:styleId="HTMLPreformatted">
    <w:name w:val="HTML Preformatted"/>
    <w:basedOn w:val="Normal"/>
    <w:link w:val="HTMLPreformattedChar"/>
    <w:semiHidden/>
    <w:rsid w:val="000C4DE9"/>
    <w:pPr>
      <w:bidi w:val="0"/>
      <w:jc w:val="left"/>
    </w:pPr>
    <w:rPr>
      <w:rFonts w:ascii="Courier New" w:hAnsi="Courier New" w:cs="Courier New" w:hint="cs"/>
      <w:lang w:val="es-ES" w:eastAsia="es-ES"/>
    </w:rPr>
  </w:style>
  <w:style w:type="character" w:customStyle="1" w:styleId="HTMLPreformattedChar">
    <w:name w:val="HTML Preformatted Char"/>
    <w:basedOn w:val="DefaultParagraphFont"/>
    <w:link w:val="HTMLPreformatted"/>
    <w:semiHidden/>
    <w:rsid w:val="000C4DE9"/>
    <w:rPr>
      <w:rFonts w:ascii="Courier New" w:hAnsi="Courier New" w:cs="Courier New"/>
      <w:sz w:val="20"/>
      <w:szCs w:val="30"/>
      <w:lang w:val="es-ES" w:eastAsia="es-ES"/>
    </w:rPr>
  </w:style>
  <w:style w:type="paragraph" w:styleId="List">
    <w:name w:val="List"/>
    <w:basedOn w:val="Normal"/>
    <w:semiHidden/>
    <w:rsid w:val="000C4DE9"/>
    <w:pPr>
      <w:bidi w:val="0"/>
      <w:ind w:left="283" w:hanging="283"/>
      <w:jc w:val="left"/>
    </w:pPr>
    <w:rPr>
      <w:rFonts w:hint="cs"/>
      <w:lang w:val="es-ES" w:eastAsia="es-ES"/>
    </w:rPr>
  </w:style>
  <w:style w:type="paragraph" w:styleId="List2">
    <w:name w:val="List 2"/>
    <w:basedOn w:val="Normal"/>
    <w:semiHidden/>
    <w:rsid w:val="000C4DE9"/>
    <w:pPr>
      <w:bidi w:val="0"/>
      <w:ind w:left="566" w:hanging="283"/>
      <w:jc w:val="left"/>
    </w:pPr>
    <w:rPr>
      <w:rFonts w:hint="cs"/>
      <w:lang w:val="es-ES" w:eastAsia="es-ES"/>
    </w:rPr>
  </w:style>
  <w:style w:type="paragraph" w:styleId="List3">
    <w:name w:val="List 3"/>
    <w:basedOn w:val="Normal"/>
    <w:semiHidden/>
    <w:rsid w:val="000C4DE9"/>
    <w:pPr>
      <w:bidi w:val="0"/>
      <w:ind w:left="849" w:hanging="283"/>
      <w:jc w:val="left"/>
    </w:pPr>
    <w:rPr>
      <w:rFonts w:hint="cs"/>
      <w:lang w:val="es-ES" w:eastAsia="es-ES"/>
    </w:rPr>
  </w:style>
  <w:style w:type="paragraph" w:styleId="List4">
    <w:name w:val="List 4"/>
    <w:basedOn w:val="Normal"/>
    <w:semiHidden/>
    <w:rsid w:val="000C4DE9"/>
    <w:pPr>
      <w:bidi w:val="0"/>
      <w:ind w:left="1132" w:hanging="283"/>
      <w:jc w:val="left"/>
    </w:pPr>
    <w:rPr>
      <w:rFonts w:hint="cs"/>
      <w:lang w:val="es-ES" w:eastAsia="es-ES"/>
    </w:rPr>
  </w:style>
  <w:style w:type="paragraph" w:styleId="List5">
    <w:name w:val="List 5"/>
    <w:basedOn w:val="Normal"/>
    <w:semiHidden/>
    <w:rsid w:val="000C4DE9"/>
    <w:pPr>
      <w:bidi w:val="0"/>
      <w:ind w:left="1415" w:hanging="283"/>
      <w:jc w:val="left"/>
    </w:pPr>
    <w:rPr>
      <w:rFonts w:hint="cs"/>
      <w:lang w:val="es-ES" w:eastAsia="es-ES"/>
    </w:rPr>
  </w:style>
  <w:style w:type="paragraph" w:styleId="ListNumber">
    <w:name w:val="List Number"/>
    <w:basedOn w:val="Normal"/>
    <w:semiHidden/>
    <w:rsid w:val="000C4DE9"/>
    <w:pPr>
      <w:numPr>
        <w:numId w:val="17"/>
      </w:numPr>
      <w:bidi w:val="0"/>
      <w:jc w:val="left"/>
    </w:pPr>
    <w:rPr>
      <w:rFonts w:hint="cs"/>
      <w:lang w:val="es-ES" w:eastAsia="es-ES"/>
    </w:rPr>
  </w:style>
  <w:style w:type="paragraph" w:styleId="ListNumber2">
    <w:name w:val="List Number 2"/>
    <w:basedOn w:val="Normal"/>
    <w:semiHidden/>
    <w:rsid w:val="000C4DE9"/>
    <w:pPr>
      <w:numPr>
        <w:numId w:val="18"/>
      </w:numPr>
      <w:bidi w:val="0"/>
      <w:jc w:val="left"/>
    </w:pPr>
    <w:rPr>
      <w:rFonts w:hint="cs"/>
      <w:lang w:val="es-ES" w:eastAsia="es-ES"/>
    </w:rPr>
  </w:style>
  <w:style w:type="paragraph" w:styleId="ListNumber3">
    <w:name w:val="List Number 3"/>
    <w:basedOn w:val="Normal"/>
    <w:semiHidden/>
    <w:rsid w:val="000C4DE9"/>
    <w:pPr>
      <w:numPr>
        <w:numId w:val="19"/>
      </w:numPr>
      <w:bidi w:val="0"/>
      <w:jc w:val="left"/>
    </w:pPr>
    <w:rPr>
      <w:rFonts w:hint="cs"/>
      <w:lang w:val="es-ES" w:eastAsia="es-ES"/>
    </w:rPr>
  </w:style>
  <w:style w:type="paragraph" w:styleId="ListNumber4">
    <w:name w:val="List Number 4"/>
    <w:basedOn w:val="Normal"/>
    <w:semiHidden/>
    <w:rsid w:val="000C4DE9"/>
    <w:pPr>
      <w:numPr>
        <w:numId w:val="20"/>
      </w:numPr>
      <w:bidi w:val="0"/>
      <w:jc w:val="left"/>
    </w:pPr>
    <w:rPr>
      <w:rFonts w:hint="cs"/>
      <w:lang w:val="es-ES" w:eastAsia="es-ES"/>
    </w:rPr>
  </w:style>
  <w:style w:type="paragraph" w:styleId="ListNumber5">
    <w:name w:val="List Number 5"/>
    <w:basedOn w:val="Normal"/>
    <w:semiHidden/>
    <w:rsid w:val="000C4DE9"/>
    <w:pPr>
      <w:numPr>
        <w:numId w:val="21"/>
      </w:numPr>
      <w:bidi w:val="0"/>
      <w:jc w:val="left"/>
    </w:pPr>
    <w:rPr>
      <w:rFonts w:hint="cs"/>
      <w:lang w:val="es-ES" w:eastAsia="es-ES"/>
    </w:rPr>
  </w:style>
  <w:style w:type="paragraph" w:styleId="ListBullet">
    <w:name w:val="List Bullet"/>
    <w:basedOn w:val="Normal"/>
    <w:semiHidden/>
    <w:rsid w:val="000C4DE9"/>
    <w:pPr>
      <w:numPr>
        <w:numId w:val="22"/>
      </w:numPr>
      <w:bidi w:val="0"/>
      <w:jc w:val="left"/>
    </w:pPr>
    <w:rPr>
      <w:rFonts w:hint="cs"/>
      <w:lang w:val="es-ES" w:eastAsia="es-ES"/>
    </w:rPr>
  </w:style>
  <w:style w:type="paragraph" w:styleId="ListBullet2">
    <w:name w:val="List Bullet 2"/>
    <w:basedOn w:val="Normal"/>
    <w:semiHidden/>
    <w:rsid w:val="000C4DE9"/>
    <w:pPr>
      <w:numPr>
        <w:numId w:val="23"/>
      </w:numPr>
      <w:bidi w:val="0"/>
      <w:jc w:val="left"/>
    </w:pPr>
    <w:rPr>
      <w:rFonts w:hint="cs"/>
      <w:lang w:val="es-ES" w:eastAsia="es-ES"/>
    </w:rPr>
  </w:style>
  <w:style w:type="paragraph" w:styleId="ListBullet3">
    <w:name w:val="List Bullet 3"/>
    <w:basedOn w:val="Normal"/>
    <w:semiHidden/>
    <w:rsid w:val="000C4DE9"/>
    <w:pPr>
      <w:numPr>
        <w:numId w:val="24"/>
      </w:numPr>
      <w:bidi w:val="0"/>
      <w:jc w:val="left"/>
    </w:pPr>
    <w:rPr>
      <w:rFonts w:hint="cs"/>
      <w:lang w:val="es-ES" w:eastAsia="es-ES"/>
    </w:rPr>
  </w:style>
  <w:style w:type="paragraph" w:styleId="ListBullet4">
    <w:name w:val="List Bullet 4"/>
    <w:basedOn w:val="Normal"/>
    <w:semiHidden/>
    <w:rsid w:val="000C4DE9"/>
    <w:pPr>
      <w:numPr>
        <w:numId w:val="25"/>
      </w:numPr>
      <w:bidi w:val="0"/>
      <w:jc w:val="left"/>
    </w:pPr>
    <w:rPr>
      <w:rFonts w:hint="cs"/>
      <w:lang w:val="es-ES" w:eastAsia="es-ES"/>
    </w:rPr>
  </w:style>
  <w:style w:type="paragraph" w:styleId="ListBullet5">
    <w:name w:val="List Bullet 5"/>
    <w:basedOn w:val="Normal"/>
    <w:semiHidden/>
    <w:rsid w:val="000C4DE9"/>
    <w:pPr>
      <w:numPr>
        <w:numId w:val="26"/>
      </w:numPr>
      <w:bidi w:val="0"/>
      <w:jc w:val="left"/>
    </w:pPr>
    <w:rPr>
      <w:rFonts w:hint="cs"/>
      <w:lang w:val="es-ES" w:eastAsia="es-ES"/>
    </w:rPr>
  </w:style>
  <w:style w:type="character" w:styleId="HTMLTypewriter">
    <w:name w:val="HTML Typewriter"/>
    <w:basedOn w:val="DefaultParagraphFont"/>
    <w:semiHidden/>
    <w:rsid w:val="000C4DE9"/>
    <w:rPr>
      <w:rFonts w:ascii="Courier New" w:hAnsi="Courier New" w:cs="Courier New"/>
      <w:sz w:val="20"/>
      <w:szCs w:val="20"/>
    </w:rPr>
  </w:style>
  <w:style w:type="paragraph" w:styleId="NormalWeb">
    <w:name w:val="Normal (Web)"/>
    <w:basedOn w:val="Normal"/>
    <w:semiHidden/>
    <w:rsid w:val="000C4DE9"/>
    <w:pPr>
      <w:bidi w:val="0"/>
      <w:jc w:val="left"/>
    </w:pPr>
    <w:rPr>
      <w:rFonts w:hint="cs"/>
      <w:sz w:val="24"/>
      <w:szCs w:val="24"/>
      <w:lang w:val="es-ES" w:eastAsia="es-ES"/>
    </w:rPr>
  </w:style>
  <w:style w:type="character" w:styleId="LineNumber">
    <w:name w:val="line number"/>
    <w:basedOn w:val="DefaultParagraphFont"/>
    <w:semiHidden/>
    <w:rsid w:val="000C4DE9"/>
  </w:style>
  <w:style w:type="paragraph" w:styleId="EnvelopeReturn">
    <w:name w:val="envelope return"/>
    <w:basedOn w:val="Normal"/>
    <w:semiHidden/>
    <w:rsid w:val="000C4DE9"/>
    <w:pPr>
      <w:bidi w:val="0"/>
      <w:jc w:val="left"/>
    </w:pPr>
    <w:rPr>
      <w:rFonts w:ascii="Arial" w:hAnsi="Arial" w:cs="Arial" w:hint="cs"/>
      <w:lang w:val="es-ES" w:eastAsia="es-ES"/>
    </w:rPr>
  </w:style>
  <w:style w:type="paragraph" w:styleId="Salutation">
    <w:name w:val="Salutation"/>
    <w:basedOn w:val="Normal"/>
    <w:next w:val="Normal"/>
    <w:link w:val="SalutationChar"/>
    <w:semiHidden/>
    <w:rsid w:val="000C4DE9"/>
    <w:pPr>
      <w:bidi w:val="0"/>
      <w:jc w:val="left"/>
    </w:pPr>
    <w:rPr>
      <w:rFonts w:hint="cs"/>
      <w:lang w:val="es-ES" w:eastAsia="es-ES"/>
    </w:rPr>
  </w:style>
  <w:style w:type="character" w:customStyle="1" w:styleId="SalutationChar">
    <w:name w:val="Salutation Char"/>
    <w:basedOn w:val="DefaultParagraphFont"/>
    <w:link w:val="Salutation"/>
    <w:semiHidden/>
    <w:rsid w:val="000C4DE9"/>
    <w:rPr>
      <w:rFonts w:ascii="Times New Roman" w:hAnsi="Times New Roman" w:cs="Traditional Arabic"/>
      <w:sz w:val="20"/>
      <w:szCs w:val="30"/>
      <w:lang w:val="es-ES" w:eastAsia="es-ES"/>
    </w:rPr>
  </w:style>
  <w:style w:type="paragraph" w:styleId="BodyTextIndent2">
    <w:name w:val="Body Text Indent 2"/>
    <w:basedOn w:val="Normal"/>
    <w:link w:val="BodyTextIndent2Char"/>
    <w:semiHidden/>
    <w:rsid w:val="000C4DE9"/>
    <w:pPr>
      <w:bidi w:val="0"/>
      <w:spacing w:after="120" w:line="480" w:lineRule="auto"/>
      <w:ind w:left="283"/>
      <w:jc w:val="left"/>
    </w:pPr>
    <w:rPr>
      <w:rFonts w:hint="cs"/>
      <w:lang w:val="es-ES" w:eastAsia="es-ES"/>
    </w:rPr>
  </w:style>
  <w:style w:type="character" w:customStyle="1" w:styleId="BodyTextIndent2Char">
    <w:name w:val="Body Text Indent 2 Char"/>
    <w:basedOn w:val="DefaultParagraphFont"/>
    <w:link w:val="BodyTextIndent2"/>
    <w:semiHidden/>
    <w:rsid w:val="000C4DE9"/>
    <w:rPr>
      <w:rFonts w:ascii="Times New Roman" w:hAnsi="Times New Roman" w:cs="Traditional Arabic"/>
      <w:sz w:val="20"/>
      <w:szCs w:val="30"/>
      <w:lang w:val="es-ES" w:eastAsia="es-ES"/>
    </w:rPr>
  </w:style>
  <w:style w:type="paragraph" w:styleId="BodyTextIndent3">
    <w:name w:val="Body Text Indent 3"/>
    <w:basedOn w:val="Normal"/>
    <w:link w:val="BodyTextIndent3Char"/>
    <w:semiHidden/>
    <w:rsid w:val="000C4DE9"/>
    <w:pPr>
      <w:bidi w:val="0"/>
      <w:spacing w:after="120"/>
      <w:ind w:left="283"/>
      <w:jc w:val="left"/>
    </w:pPr>
    <w:rPr>
      <w:rFonts w:hint="cs"/>
      <w:sz w:val="16"/>
      <w:szCs w:val="16"/>
      <w:lang w:val="es-ES" w:eastAsia="es-ES"/>
    </w:rPr>
  </w:style>
  <w:style w:type="character" w:customStyle="1" w:styleId="BodyTextIndent3Char">
    <w:name w:val="Body Text Indent 3 Char"/>
    <w:basedOn w:val="DefaultParagraphFont"/>
    <w:link w:val="BodyTextIndent3"/>
    <w:semiHidden/>
    <w:rsid w:val="000C4DE9"/>
    <w:rPr>
      <w:rFonts w:ascii="Times New Roman" w:hAnsi="Times New Roman" w:cs="Traditional Arabic"/>
      <w:sz w:val="16"/>
      <w:szCs w:val="16"/>
      <w:lang w:val="es-ES" w:eastAsia="es-ES"/>
    </w:rPr>
  </w:style>
  <w:style w:type="paragraph" w:styleId="BodyTextIndent">
    <w:name w:val="Body Text Indent"/>
    <w:basedOn w:val="Normal"/>
    <w:link w:val="BodyTextIndentChar"/>
    <w:semiHidden/>
    <w:rsid w:val="000C4DE9"/>
    <w:pPr>
      <w:bidi w:val="0"/>
      <w:spacing w:after="120"/>
      <w:ind w:left="283"/>
      <w:jc w:val="left"/>
    </w:pPr>
    <w:rPr>
      <w:rFonts w:hint="cs"/>
      <w:lang w:val="es-ES" w:eastAsia="es-ES"/>
    </w:rPr>
  </w:style>
  <w:style w:type="character" w:customStyle="1" w:styleId="BodyTextIndentChar">
    <w:name w:val="Body Text Indent Char"/>
    <w:basedOn w:val="DefaultParagraphFont"/>
    <w:link w:val="BodyTextIndent"/>
    <w:semiHidden/>
    <w:rsid w:val="000C4DE9"/>
    <w:rPr>
      <w:rFonts w:ascii="Times New Roman" w:hAnsi="Times New Roman" w:cs="Traditional Arabic"/>
      <w:sz w:val="20"/>
      <w:szCs w:val="30"/>
      <w:lang w:val="es-ES" w:eastAsia="es-ES"/>
    </w:rPr>
  </w:style>
  <w:style w:type="paragraph" w:styleId="NormalIndent">
    <w:name w:val="Normal Indent"/>
    <w:basedOn w:val="Normal"/>
    <w:semiHidden/>
    <w:rsid w:val="000C4DE9"/>
    <w:pPr>
      <w:bidi w:val="0"/>
      <w:ind w:left="567"/>
      <w:jc w:val="left"/>
    </w:pPr>
    <w:rPr>
      <w:rFonts w:hint="cs"/>
      <w:lang w:val="es-ES" w:eastAsia="es-ES"/>
    </w:rPr>
  </w:style>
  <w:style w:type="table" w:styleId="TableSimple1">
    <w:name w:val="Table Simple 1"/>
    <w:basedOn w:val="TableNormal"/>
    <w:semiHidden/>
    <w:rsid w:val="000C4DE9"/>
    <w:pPr>
      <w:spacing w:after="0" w:line="240" w:lineRule="atLeast"/>
    </w:pPr>
    <w:rPr>
      <w:rFonts w:ascii="Times New Roman" w:hAnsi="Times New Roman" w:cs="Times New Roman"/>
      <w:sz w:val="20"/>
      <w:szCs w:val="20"/>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C4DE9"/>
    <w:pPr>
      <w:spacing w:after="0" w:line="240" w:lineRule="atLeast"/>
    </w:pPr>
    <w:rPr>
      <w:rFonts w:ascii="Times New Roman" w:hAnsi="Times New Roman" w:cs="Times New Roman"/>
      <w:sz w:val="20"/>
      <w:szCs w:val="20"/>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C4DE9"/>
    <w:pPr>
      <w:spacing w:after="0" w:line="240" w:lineRule="atLeast"/>
    </w:pPr>
    <w:rPr>
      <w:rFonts w:ascii="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0C4DE9"/>
    <w:pPr>
      <w:spacing w:after="0" w:line="240" w:lineRule="atLeast"/>
    </w:pPr>
    <w:rPr>
      <w:rFonts w:ascii="Times New Roman" w:hAnsi="Times New Roman" w:cs="Times New Roman"/>
      <w:sz w:val="20"/>
      <w:szCs w:val="20"/>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C4DE9"/>
    <w:pPr>
      <w:spacing w:after="0" w:line="240" w:lineRule="atLeast"/>
    </w:pPr>
    <w:rPr>
      <w:rFonts w:ascii="Times New Roman" w:hAnsi="Times New Roman" w:cs="Times New Roman"/>
      <w:sz w:val="20"/>
      <w:szCs w:val="20"/>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C4DE9"/>
    <w:pPr>
      <w:spacing w:after="0" w:line="240" w:lineRule="atLeast"/>
    </w:pPr>
    <w:rPr>
      <w:rFonts w:ascii="Times New Roman" w:hAnsi="Times New Roman" w:cs="Times New Roman"/>
      <w:color w:val="000080"/>
      <w:sz w:val="20"/>
      <w:szCs w:val="2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C4DE9"/>
    <w:pPr>
      <w:spacing w:after="0" w:line="240" w:lineRule="atLeast"/>
    </w:pPr>
    <w:rPr>
      <w:rFonts w:ascii="Times New Roman" w:hAnsi="Times New Roman" w:cs="Times New Roman"/>
      <w:sz w:val="20"/>
      <w:szCs w:val="20"/>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0C4DE9"/>
    <w:pPr>
      <w:spacing w:after="0" w:line="240" w:lineRule="atLeast"/>
    </w:pPr>
    <w:rPr>
      <w:rFonts w:ascii="Times New Roman" w:hAnsi="Times New Roman" w:cs="Times New Roman"/>
      <w:b/>
      <w:bCs/>
      <w:sz w:val="20"/>
      <w:szCs w:val="20"/>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C4DE9"/>
    <w:pPr>
      <w:spacing w:after="0" w:line="240" w:lineRule="atLeast"/>
    </w:pPr>
    <w:rPr>
      <w:rFonts w:ascii="Times New Roman" w:hAnsi="Times New Roman" w:cs="Times New Roman"/>
      <w:b/>
      <w:bCs/>
      <w:sz w:val="20"/>
      <w:szCs w:val="20"/>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C4DE9"/>
    <w:pPr>
      <w:spacing w:after="0" w:line="240" w:lineRule="atLeast"/>
    </w:pPr>
    <w:rPr>
      <w:rFonts w:ascii="Times New Roman" w:hAnsi="Times New Roman" w:cs="Times New Roman"/>
      <w:b/>
      <w:bCs/>
      <w:sz w:val="20"/>
      <w:szCs w:val="20"/>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C4DE9"/>
    <w:pPr>
      <w:spacing w:after="0" w:line="240" w:lineRule="atLeast"/>
    </w:pPr>
    <w:rPr>
      <w:rFonts w:ascii="Times New Roman" w:hAnsi="Times New Roman" w:cs="Times New Roman"/>
      <w:sz w:val="20"/>
      <w:szCs w:val="20"/>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C4DE9"/>
    <w:pPr>
      <w:spacing w:after="0" w:line="240" w:lineRule="atLeast"/>
    </w:pPr>
    <w:rPr>
      <w:rFonts w:ascii="Times New Roman" w:hAnsi="Times New Roman" w:cs="Times New Roman"/>
      <w:sz w:val="20"/>
      <w:szCs w:val="20"/>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0C4DE9"/>
    <w:pPr>
      <w:spacing w:after="0" w:line="240" w:lineRule="atLeast"/>
    </w:pPr>
    <w:rPr>
      <w:rFonts w:ascii="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C4DE9"/>
    <w:pPr>
      <w:spacing w:after="0" w:line="240" w:lineRule="atLeast"/>
    </w:pPr>
    <w:rPr>
      <w:rFonts w:ascii="Times New Roman" w:hAnsi="Times New Roman" w:cs="Times New Roman"/>
      <w:sz w:val="20"/>
      <w:szCs w:val="20"/>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C4DE9"/>
    <w:pPr>
      <w:spacing w:after="0" w:line="240" w:lineRule="atLeast"/>
    </w:pPr>
    <w:rPr>
      <w:rFonts w:ascii="Times New Roman" w:hAnsi="Times New Roman" w:cs="Times New Roman"/>
      <w:sz w:val="20"/>
      <w:szCs w:val="20"/>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C4DE9"/>
    <w:pPr>
      <w:spacing w:after="0" w:line="240" w:lineRule="atLeast"/>
    </w:pPr>
    <w:rPr>
      <w:rFonts w:ascii="Times New Roman" w:hAnsi="Times New Roman" w:cs="Times New Roman"/>
      <w:sz w:val="20"/>
      <w:szCs w:val="20"/>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C4DE9"/>
    <w:pPr>
      <w:spacing w:after="0" w:line="240" w:lineRule="atLeast"/>
    </w:pPr>
    <w:rPr>
      <w:rFonts w:ascii="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C4DE9"/>
    <w:pPr>
      <w:spacing w:after="0" w:line="240" w:lineRule="atLeast"/>
    </w:pPr>
    <w:rPr>
      <w:rFonts w:ascii="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C4DE9"/>
    <w:pPr>
      <w:spacing w:after="0" w:line="240" w:lineRule="atLeast"/>
    </w:pPr>
    <w:rPr>
      <w:rFonts w:ascii="Times New Roman" w:hAnsi="Times New Roman" w:cs="Times New Roman"/>
      <w:b/>
      <w:bCs/>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C4DE9"/>
    <w:pPr>
      <w:spacing w:after="0" w:line="240" w:lineRule="atLeast"/>
    </w:pPr>
    <w:rPr>
      <w:rFonts w:ascii="Times New Roman" w:hAnsi="Times New Roman" w:cs="Times New Roman"/>
      <w:sz w:val="20"/>
      <w:szCs w:val="20"/>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0C4DE9"/>
    <w:pPr>
      <w:spacing w:after="0" w:line="240" w:lineRule="atLeast"/>
    </w:pPr>
    <w:rPr>
      <w:rFonts w:ascii="Times New Roman" w:hAnsi="Times New Roman" w:cs="Times New Roman"/>
      <w:sz w:val="20"/>
      <w:szCs w:val="20"/>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C4DE9"/>
    <w:pPr>
      <w:spacing w:after="0" w:line="240" w:lineRule="atLeast"/>
    </w:pPr>
    <w:rPr>
      <w:rFonts w:ascii="Times New Roman" w:hAnsi="Times New Roman" w:cs="Times New Roman"/>
      <w:sz w:val="20"/>
      <w:szCs w:val="20"/>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C4DE9"/>
    <w:pPr>
      <w:spacing w:after="0" w:line="240" w:lineRule="atLeast"/>
    </w:pPr>
    <w:rPr>
      <w:rFonts w:ascii="Times New Roman" w:hAnsi="Times New Roman" w:cs="Times New Roman"/>
      <w:sz w:val="20"/>
      <w:szCs w:val="20"/>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0C4DE9"/>
    <w:pPr>
      <w:spacing w:after="0" w:line="240" w:lineRule="atLeast"/>
    </w:pPr>
    <w:rPr>
      <w:rFonts w:ascii="Times New Roman" w:hAnsi="Times New Roman" w:cs="Times New Roman"/>
      <w:sz w:val="20"/>
      <w:szCs w:val="20"/>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C4DE9"/>
    <w:pPr>
      <w:spacing w:after="0" w:line="240" w:lineRule="atLeast"/>
    </w:pPr>
    <w:rPr>
      <w:rFonts w:ascii="Times New Roman" w:hAnsi="Times New Roman" w:cs="Times New Roman"/>
      <w:sz w:val="20"/>
      <w:szCs w:val="20"/>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C4DE9"/>
    <w:pPr>
      <w:spacing w:after="0" w:line="240" w:lineRule="atLeast"/>
    </w:pPr>
    <w:rPr>
      <w:rFonts w:ascii="Times New Roman" w:hAnsi="Times New Roman" w:cs="Times New Roman"/>
      <w:sz w:val="20"/>
      <w:szCs w:val="20"/>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C4DE9"/>
    <w:pPr>
      <w:spacing w:after="0" w:line="240" w:lineRule="atLeast"/>
    </w:pPr>
    <w:rPr>
      <w:rFonts w:ascii="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C4DE9"/>
    <w:pPr>
      <w:spacing w:after="0" w:line="240" w:lineRule="atLeast"/>
    </w:pPr>
    <w:rPr>
      <w:rFonts w:ascii="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C4DE9"/>
    <w:pPr>
      <w:spacing w:after="0" w:line="240" w:lineRule="atLeast"/>
    </w:pPr>
    <w:rPr>
      <w:rFonts w:ascii="Times New Roman" w:hAnsi="Times New Roman" w:cs="Times New Roman"/>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C4DE9"/>
    <w:pPr>
      <w:spacing w:after="0" w:line="240" w:lineRule="atLeast"/>
    </w:pPr>
    <w:rPr>
      <w:rFonts w:ascii="Times New Roman" w:hAnsi="Times New Roman" w:cs="Times New Roman"/>
      <w:sz w:val="20"/>
      <w:szCs w:val="20"/>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C4DE9"/>
    <w:pPr>
      <w:spacing w:after="0" w:line="240" w:lineRule="atLeast"/>
    </w:pPr>
    <w:rPr>
      <w:rFonts w:ascii="Times New Roman" w:hAnsi="Times New Roman" w:cs="Times New Roman"/>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0C4DE9"/>
    <w:pPr>
      <w:spacing w:after="0" w:line="240" w:lineRule="atLeast"/>
    </w:pPr>
    <w:rPr>
      <w:rFonts w:ascii="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0C4DE9"/>
    <w:pPr>
      <w:spacing w:after="0" w:line="240" w:lineRule="atLeast"/>
    </w:pPr>
    <w:rPr>
      <w:rFonts w:ascii="Times New Roman" w:hAnsi="Times New Roman" w:cs="Times New Roman"/>
      <w:sz w:val="20"/>
      <w:szCs w:val="20"/>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0C4DE9"/>
    <w:pPr>
      <w:spacing w:after="0" w:line="240" w:lineRule="atLeast"/>
    </w:pPr>
    <w:rPr>
      <w:rFonts w:ascii="Times New Roman" w:hAnsi="Times New Roman" w:cs="Times New Roman"/>
      <w:sz w:val="20"/>
      <w:szCs w:val="20"/>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0C4DE9"/>
    <w:pPr>
      <w:spacing w:after="0" w:line="240" w:lineRule="atLeast"/>
    </w:pPr>
    <w:rPr>
      <w:rFonts w:ascii="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C4DE9"/>
    <w:pPr>
      <w:spacing w:after="0" w:line="240" w:lineRule="atLeast"/>
    </w:pPr>
    <w:rPr>
      <w:rFonts w:ascii="Times New Roman" w:hAnsi="Times New Roman" w:cs="Times New Roman"/>
      <w:sz w:val="20"/>
      <w:szCs w:val="20"/>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C4DE9"/>
    <w:pPr>
      <w:spacing w:after="0" w:line="240" w:lineRule="atLeast"/>
    </w:pPr>
    <w:rPr>
      <w:rFonts w:ascii="Times New Roman" w:hAnsi="Times New Roman" w:cs="Times New Roman"/>
      <w:sz w:val="20"/>
      <w:szCs w:val="20"/>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0C4DE9"/>
    <w:pPr>
      <w:spacing w:after="0" w:line="240" w:lineRule="atLeast"/>
    </w:pPr>
    <w:rPr>
      <w:rFonts w:ascii="Times New Roman" w:hAnsi="Times New Roman" w:cs="Times New Roman"/>
      <w:color w:val="FFFFFF"/>
      <w:sz w:val="20"/>
      <w:szCs w:val="20"/>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C4DE9"/>
    <w:pPr>
      <w:spacing w:after="0" w:line="240" w:lineRule="atLeast"/>
    </w:pPr>
    <w:rPr>
      <w:rFonts w:ascii="Times New Roman" w:hAnsi="Times New Roman" w:cs="Times New Roman"/>
      <w:sz w:val="20"/>
      <w:szCs w:val="20"/>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C4DE9"/>
    <w:pPr>
      <w:spacing w:after="0" w:line="240" w:lineRule="atLeast"/>
    </w:pPr>
    <w:rPr>
      <w:rFonts w:ascii="Times New Roman" w:hAnsi="Times New Roman" w:cs="Times New Roman"/>
      <w:sz w:val="20"/>
      <w:szCs w:val="20"/>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0C4DE9"/>
    <w:pPr>
      <w:spacing w:after="0" w:line="240" w:lineRule="atLeast"/>
    </w:pPr>
    <w:rPr>
      <w:rFonts w:ascii="Times New Roman" w:hAnsi="Times New Roman" w:cs="Times New Roman"/>
      <w:sz w:val="20"/>
      <w:szCs w:val="20"/>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C4DE9"/>
    <w:pPr>
      <w:spacing w:after="0" w:line="240" w:lineRule="atLeast"/>
    </w:pPr>
    <w:rPr>
      <w:rFonts w:ascii="Times New Roman" w:hAnsi="Times New Roman" w:cs="Times New Roman"/>
      <w:sz w:val="20"/>
      <w:szCs w:val="20"/>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C4DE9"/>
    <w:pPr>
      <w:spacing w:after="0" w:line="240" w:lineRule="atLeast"/>
    </w:pPr>
    <w:rPr>
      <w:rFonts w:ascii="Times New Roman" w:hAnsi="Times New Roman" w:cs="Times New Roman"/>
      <w:sz w:val="20"/>
      <w:szCs w:val="20"/>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0C4DE9"/>
    <w:rPr>
      <w:rFonts w:ascii="Courier New" w:hAnsi="Courier New" w:cs="Courier New"/>
      <w:sz w:val="20"/>
      <w:szCs w:val="20"/>
    </w:rPr>
  </w:style>
  <w:style w:type="paragraph" w:styleId="BlockText">
    <w:name w:val="Block Text"/>
    <w:basedOn w:val="Normal"/>
    <w:semiHidden/>
    <w:rsid w:val="000C4DE9"/>
    <w:pPr>
      <w:bidi w:val="0"/>
      <w:spacing w:after="120"/>
      <w:ind w:left="1440" w:right="1440"/>
      <w:jc w:val="left"/>
    </w:pPr>
    <w:rPr>
      <w:rFonts w:hint="cs"/>
      <w:lang w:val="es-ES" w:eastAsia="es-ES"/>
    </w:rPr>
  </w:style>
  <w:style w:type="paragraph" w:styleId="BodyText">
    <w:name w:val="Body Text"/>
    <w:basedOn w:val="Normal"/>
    <w:link w:val="BodyTextChar"/>
    <w:semiHidden/>
    <w:rsid w:val="000C4DE9"/>
    <w:pPr>
      <w:bidi w:val="0"/>
      <w:spacing w:after="120"/>
      <w:jc w:val="left"/>
    </w:pPr>
    <w:rPr>
      <w:rFonts w:hint="cs"/>
      <w:lang w:val="es-ES" w:eastAsia="es-ES"/>
    </w:rPr>
  </w:style>
  <w:style w:type="character" w:customStyle="1" w:styleId="BodyTextChar">
    <w:name w:val="Body Text Char"/>
    <w:basedOn w:val="DefaultParagraphFont"/>
    <w:link w:val="BodyText"/>
    <w:semiHidden/>
    <w:rsid w:val="000C4DE9"/>
    <w:rPr>
      <w:rFonts w:ascii="Times New Roman" w:hAnsi="Times New Roman" w:cs="Traditional Arabic"/>
      <w:sz w:val="20"/>
      <w:szCs w:val="30"/>
      <w:lang w:val="es-ES" w:eastAsia="es-ES"/>
    </w:rPr>
  </w:style>
  <w:style w:type="paragraph" w:styleId="BodyText2">
    <w:name w:val="Body Text 2"/>
    <w:basedOn w:val="Normal"/>
    <w:link w:val="BodyText2Char"/>
    <w:semiHidden/>
    <w:rsid w:val="000C4DE9"/>
    <w:pPr>
      <w:bidi w:val="0"/>
      <w:spacing w:after="120" w:line="480" w:lineRule="auto"/>
      <w:jc w:val="left"/>
    </w:pPr>
    <w:rPr>
      <w:rFonts w:hint="cs"/>
      <w:lang w:val="es-ES" w:eastAsia="es-ES"/>
    </w:rPr>
  </w:style>
  <w:style w:type="character" w:customStyle="1" w:styleId="BodyText2Char">
    <w:name w:val="Body Text 2 Char"/>
    <w:basedOn w:val="DefaultParagraphFont"/>
    <w:link w:val="BodyText2"/>
    <w:semiHidden/>
    <w:rsid w:val="000C4DE9"/>
    <w:rPr>
      <w:rFonts w:ascii="Times New Roman" w:hAnsi="Times New Roman" w:cs="Traditional Arabic"/>
      <w:sz w:val="20"/>
      <w:szCs w:val="30"/>
      <w:lang w:val="es-ES" w:eastAsia="es-ES"/>
    </w:rPr>
  </w:style>
  <w:style w:type="paragraph" w:styleId="BodyText3">
    <w:name w:val="Body Text 3"/>
    <w:basedOn w:val="Normal"/>
    <w:link w:val="BodyText3Char"/>
    <w:semiHidden/>
    <w:rsid w:val="000C4DE9"/>
    <w:pPr>
      <w:bidi w:val="0"/>
      <w:spacing w:after="120"/>
      <w:jc w:val="left"/>
    </w:pPr>
    <w:rPr>
      <w:rFonts w:hint="cs"/>
      <w:sz w:val="16"/>
      <w:szCs w:val="16"/>
      <w:lang w:val="es-ES" w:eastAsia="es-ES"/>
    </w:rPr>
  </w:style>
  <w:style w:type="character" w:customStyle="1" w:styleId="BodyText3Char">
    <w:name w:val="Body Text 3 Char"/>
    <w:basedOn w:val="DefaultParagraphFont"/>
    <w:link w:val="BodyText3"/>
    <w:semiHidden/>
    <w:rsid w:val="000C4DE9"/>
    <w:rPr>
      <w:rFonts w:ascii="Times New Roman" w:hAnsi="Times New Roman" w:cs="Traditional Arabic"/>
      <w:sz w:val="16"/>
      <w:szCs w:val="16"/>
      <w:lang w:val="es-ES" w:eastAsia="es-ES"/>
    </w:rPr>
  </w:style>
  <w:style w:type="paragraph" w:styleId="BodyTextFirstIndent">
    <w:name w:val="Body Text First Indent"/>
    <w:basedOn w:val="BodyText"/>
    <w:link w:val="BodyTextFirstIndentChar"/>
    <w:semiHidden/>
    <w:rsid w:val="000C4DE9"/>
    <w:pPr>
      <w:ind w:firstLine="210"/>
    </w:pPr>
  </w:style>
  <w:style w:type="character" w:customStyle="1" w:styleId="BodyTextFirstIndentChar">
    <w:name w:val="Body Text First Indent Char"/>
    <w:basedOn w:val="BodyTextChar"/>
    <w:link w:val="BodyTextFirstIndent"/>
    <w:semiHidden/>
    <w:rsid w:val="000C4DE9"/>
    <w:rPr>
      <w:rFonts w:ascii="Times New Roman" w:hAnsi="Times New Roman" w:cs="Traditional Arabic"/>
      <w:sz w:val="20"/>
      <w:szCs w:val="30"/>
      <w:lang w:val="es-ES" w:eastAsia="es-ES"/>
    </w:rPr>
  </w:style>
  <w:style w:type="paragraph" w:styleId="BodyTextFirstIndent2">
    <w:name w:val="Body Text First Indent 2"/>
    <w:basedOn w:val="BodyTextIndent"/>
    <w:link w:val="BodyTextFirstIndent2Char"/>
    <w:semiHidden/>
    <w:rsid w:val="000C4DE9"/>
    <w:pPr>
      <w:ind w:firstLine="210"/>
    </w:pPr>
  </w:style>
  <w:style w:type="character" w:customStyle="1" w:styleId="BodyTextFirstIndent2Char">
    <w:name w:val="Body Text First Indent 2 Char"/>
    <w:basedOn w:val="BodyTextIndentChar"/>
    <w:link w:val="BodyTextFirstIndent2"/>
    <w:semiHidden/>
    <w:rsid w:val="000C4DE9"/>
    <w:rPr>
      <w:rFonts w:ascii="Times New Roman" w:hAnsi="Times New Roman" w:cs="Traditional Arabic"/>
      <w:sz w:val="20"/>
      <w:szCs w:val="30"/>
      <w:lang w:val="es-ES" w:eastAsia="es-ES"/>
    </w:rPr>
  </w:style>
  <w:style w:type="paragraph" w:styleId="PlainText">
    <w:name w:val="Plain Text"/>
    <w:basedOn w:val="Normal"/>
    <w:link w:val="PlainTextChar"/>
    <w:semiHidden/>
    <w:rsid w:val="000C4DE9"/>
    <w:pPr>
      <w:bidi w:val="0"/>
      <w:jc w:val="left"/>
    </w:pPr>
    <w:rPr>
      <w:rFonts w:ascii="Courier New" w:hAnsi="Courier New" w:cs="Courier New" w:hint="cs"/>
      <w:lang w:val="es-ES" w:eastAsia="es-ES"/>
    </w:rPr>
  </w:style>
  <w:style w:type="character" w:customStyle="1" w:styleId="PlainTextChar">
    <w:name w:val="Plain Text Char"/>
    <w:basedOn w:val="DefaultParagraphFont"/>
    <w:link w:val="PlainText"/>
    <w:semiHidden/>
    <w:rsid w:val="000C4DE9"/>
    <w:rPr>
      <w:rFonts w:ascii="Courier New" w:hAnsi="Courier New" w:cs="Courier New"/>
      <w:sz w:val="20"/>
      <w:szCs w:val="30"/>
      <w:lang w:val="es-ES" w:eastAsia="es-ES"/>
    </w:rPr>
  </w:style>
  <w:style w:type="character" w:styleId="HTMLVariable">
    <w:name w:val="HTML Variable"/>
    <w:basedOn w:val="DefaultParagraphFont"/>
    <w:semiHidden/>
    <w:rsid w:val="000C4DE9"/>
    <w:rPr>
      <w:i/>
      <w:iCs/>
    </w:rPr>
  </w:style>
  <w:style w:type="paragraph" w:customStyle="1" w:styleId="Bullet1G">
    <w:name w:val="_Bullet 1_G"/>
    <w:basedOn w:val="Normal"/>
    <w:qFormat/>
    <w:rsid w:val="000C4DE9"/>
    <w:pPr>
      <w:numPr>
        <w:numId w:val="12"/>
      </w:numPr>
      <w:bidi w:val="0"/>
      <w:spacing w:after="120"/>
      <w:ind w:right="1134"/>
      <w:jc w:val="both"/>
    </w:pPr>
    <w:rPr>
      <w:rFonts w:hint="cs"/>
      <w:lang w:val="es-ES"/>
    </w:rPr>
  </w:style>
  <w:style w:type="paragraph" w:customStyle="1" w:styleId="Bullet2G">
    <w:name w:val="_Bullet 2_G"/>
    <w:basedOn w:val="Normal"/>
    <w:qFormat/>
    <w:rsid w:val="000C4DE9"/>
    <w:pPr>
      <w:numPr>
        <w:numId w:val="13"/>
      </w:numPr>
      <w:bidi w:val="0"/>
      <w:spacing w:after="120"/>
      <w:ind w:right="1134"/>
      <w:jc w:val="both"/>
    </w:pPr>
    <w:rPr>
      <w:rFonts w:hint="cs"/>
      <w:lang w:val="es-ES" w:eastAsia="es-ES"/>
    </w:rPr>
  </w:style>
  <w:style w:type="paragraph" w:customStyle="1" w:styleId="ParNoG">
    <w:name w:val="_ParNo_G"/>
    <w:basedOn w:val="SingleTxtG"/>
    <w:qFormat/>
    <w:rsid w:val="000C4DE9"/>
    <w:pPr>
      <w:numPr>
        <w:numId w:val="27"/>
      </w:numPr>
      <w:tabs>
        <w:tab w:val="clear" w:pos="1701"/>
        <w:tab w:val="num" w:pos="1440"/>
      </w:tabs>
      <w:suppressAutoHyphens/>
      <w:kinsoku w:val="0"/>
      <w:overflowPunct w:val="0"/>
      <w:autoSpaceDE w:val="0"/>
      <w:autoSpaceDN w:val="0"/>
      <w:adjustRightInd w:val="0"/>
      <w:snapToGrid w:val="0"/>
      <w:ind w:left="0"/>
    </w:pPr>
    <w:rPr>
      <w:lang w:eastAsia="en-US"/>
    </w:rPr>
  </w:style>
  <w:style w:type="character" w:customStyle="1" w:styleId="SingleTxtGChar">
    <w:name w:val="_ Single Txt_G Char"/>
    <w:link w:val="SingleTxtG"/>
    <w:locked/>
    <w:rsid w:val="000C4DE9"/>
    <w:rPr>
      <w:rFonts w:ascii="Times New Roman" w:hAnsi="Times New Roman" w:cs="Traditional Arabic"/>
      <w:sz w:val="20"/>
      <w:szCs w:val="30"/>
      <w:lang w:val="es-ES" w:eastAsia="es-ES"/>
    </w:rPr>
  </w:style>
  <w:style w:type="character" w:customStyle="1" w:styleId="HChGChar">
    <w:name w:val="_ H _Ch_G Char"/>
    <w:link w:val="HChG"/>
    <w:locked/>
    <w:rsid w:val="000C4DE9"/>
    <w:rPr>
      <w:rFonts w:ascii="Times New Roman" w:hAnsi="Times New Roman" w:cs="Traditional Arabic"/>
      <w:b/>
      <w:sz w:val="28"/>
      <w:szCs w:val="30"/>
      <w:lang w:val="es-ES" w:eastAsia="es-ES"/>
    </w:rPr>
  </w:style>
  <w:style w:type="character" w:customStyle="1" w:styleId="H1GChar">
    <w:name w:val="_ H_1_G Char"/>
    <w:link w:val="H1G"/>
    <w:rsid w:val="000C4DE9"/>
    <w:rPr>
      <w:rFonts w:ascii="Times New Roman" w:hAnsi="Times New Roman" w:cs="Traditional Arabic"/>
      <w:b/>
      <w:sz w:val="24"/>
      <w:szCs w:val="30"/>
      <w:lang w:val="es-ES" w:eastAsia="es-ES"/>
    </w:rPr>
  </w:style>
  <w:style w:type="character" w:styleId="CommentReference">
    <w:name w:val="annotation reference"/>
    <w:rsid w:val="000C4DE9"/>
    <w:rPr>
      <w:sz w:val="16"/>
      <w:szCs w:val="16"/>
    </w:rPr>
  </w:style>
  <w:style w:type="paragraph" w:styleId="CommentText">
    <w:name w:val="annotation text"/>
    <w:basedOn w:val="Normal"/>
    <w:link w:val="CommentTextChar"/>
    <w:rsid w:val="000C4DE9"/>
    <w:pPr>
      <w:suppressAutoHyphens/>
      <w:bidi w:val="0"/>
      <w:jc w:val="left"/>
    </w:pPr>
    <w:rPr>
      <w:rFonts w:hint="cs"/>
      <w:lang w:val="en-GB"/>
    </w:rPr>
  </w:style>
  <w:style w:type="character" w:customStyle="1" w:styleId="CommentTextChar">
    <w:name w:val="Comment Text Char"/>
    <w:basedOn w:val="DefaultParagraphFont"/>
    <w:link w:val="CommentText"/>
    <w:rsid w:val="000C4DE9"/>
    <w:rPr>
      <w:rFonts w:ascii="Times New Roman" w:hAnsi="Times New Roman" w:cs="Traditional Arabic"/>
      <w:sz w:val="20"/>
      <w:szCs w:val="30"/>
      <w:lang w:val="en-GB"/>
    </w:rPr>
  </w:style>
  <w:style w:type="paragraph" w:styleId="CommentSubject">
    <w:name w:val="annotation subject"/>
    <w:basedOn w:val="CommentText"/>
    <w:next w:val="CommentText"/>
    <w:link w:val="CommentSubjectChar"/>
    <w:rsid w:val="000C4DE9"/>
    <w:rPr>
      <w:b/>
      <w:bCs/>
    </w:rPr>
  </w:style>
  <w:style w:type="character" w:customStyle="1" w:styleId="CommentSubjectChar">
    <w:name w:val="Comment Subject Char"/>
    <w:basedOn w:val="CommentTextChar"/>
    <w:link w:val="CommentSubject"/>
    <w:rsid w:val="000C4DE9"/>
    <w:rPr>
      <w:rFonts w:ascii="Times New Roman" w:hAnsi="Times New Roman" w:cs="Traditional Arabic"/>
      <w:b/>
      <w:bCs/>
      <w:sz w:val="20"/>
      <w:szCs w:val="30"/>
      <w:lang w:val="en-GB"/>
    </w:rPr>
  </w:style>
  <w:style w:type="paragraph" w:styleId="Revision">
    <w:name w:val="Revision"/>
    <w:hidden/>
    <w:uiPriority w:val="99"/>
    <w:semiHidden/>
    <w:rsid w:val="000C4DE9"/>
    <w:pPr>
      <w:spacing w:after="0" w:line="240" w:lineRule="auto"/>
    </w:pPr>
    <w:rPr>
      <w:rFonts w:ascii="Times New Roman" w:hAnsi="Times New Roman" w:cs="Times New Roman"/>
      <w:sz w:val="20"/>
      <w:szCs w:val="20"/>
      <w:lang w:val="en-GB"/>
    </w:rPr>
  </w:style>
  <w:style w:type="paragraph" w:customStyle="1" w:styleId="Default">
    <w:name w:val="Default"/>
    <w:rsid w:val="000C4DE9"/>
    <w:pPr>
      <w:autoSpaceDE w:val="0"/>
      <w:autoSpaceDN w:val="0"/>
      <w:adjustRightInd w:val="0"/>
      <w:spacing w:after="0" w:line="240" w:lineRule="auto"/>
    </w:pPr>
    <w:rPr>
      <w:rFonts w:ascii="Times New Roman" w:hAnsi="Times New Roman" w:cs="Times New Roman"/>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357A1-6747-44C5-8CC8-7A1A793DB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16</Pages>
  <Words>5734</Words>
  <Characters>27753</Characters>
  <Application>Microsoft Office Word</Application>
  <DocSecurity>0</DocSecurity>
  <Lines>462</Lines>
  <Paragraphs>115</Paragraphs>
  <ScaleCrop>false</ScaleCrop>
  <HeadingPairs>
    <vt:vector size="2" baseType="variant">
      <vt:variant>
        <vt:lpstr>Title</vt:lpstr>
      </vt:variant>
      <vt:variant>
        <vt:i4>1</vt:i4>
      </vt:variant>
    </vt:vector>
  </HeadingPairs>
  <TitlesOfParts>
    <vt:vector size="1" baseType="lpstr">
      <vt:lpstr>CRC/C/80/D/4/2016</vt:lpstr>
    </vt:vector>
  </TitlesOfParts>
  <Company>DCM</Company>
  <LinksUpToDate>false</LinksUpToDate>
  <CharactersWithSpaces>33372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CRC/C/80/D/4/2016</dc:title>
  <dc:subject>GE. 1907971</dc:subject>
  <dc:creator>SALY - RFATH</dc:creator>
  <cp:keywords>ODS. 1913918</cp:keywords>
  <dc:description/>
  <cp:lastModifiedBy>Ibrahim Balan</cp:lastModifiedBy>
  <cp:revision>2</cp:revision>
  <dcterms:created xsi:type="dcterms:W3CDTF">2019-11-27T12:52:00Z</dcterms:created>
  <dcterms:modified xsi:type="dcterms:W3CDTF">2019-11-27T12:52:00Z</dcterms:modified>
</cp:coreProperties>
</file>