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35353F" w:rsidP="0035353F">
            <w:pPr>
              <w:bidi w:val="0"/>
              <w:spacing w:after="20"/>
              <w:jc w:val="left"/>
              <w:rPr>
                <w:szCs w:val="20"/>
              </w:rPr>
            </w:pPr>
            <w:r w:rsidRPr="0035353F">
              <w:rPr>
                <w:sz w:val="40"/>
                <w:szCs w:val="20"/>
              </w:rPr>
              <w:t>CCPR</w:t>
            </w:r>
            <w:r>
              <w:rPr>
                <w:szCs w:val="20"/>
              </w:rPr>
              <w:t>/C/SVK/CO/3</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35353F" w:rsidRDefault="0035353F" w:rsidP="0035353F">
            <w:pPr>
              <w:bidi w:val="0"/>
              <w:spacing w:before="240"/>
              <w:jc w:val="left"/>
            </w:pPr>
            <w:r>
              <w:t>Distr.: General</w:t>
            </w:r>
          </w:p>
          <w:p w:rsidR="0035353F" w:rsidRDefault="0035353F" w:rsidP="0035353F">
            <w:pPr>
              <w:bidi w:val="0"/>
              <w:jc w:val="left"/>
            </w:pPr>
            <w:r>
              <w:t>20 April 2011</w:t>
            </w:r>
          </w:p>
          <w:p w:rsidR="0035353F" w:rsidRDefault="0035353F" w:rsidP="0035353F">
            <w:pPr>
              <w:bidi w:val="0"/>
              <w:jc w:val="left"/>
            </w:pPr>
            <w:r>
              <w:t>Arabic</w:t>
            </w:r>
          </w:p>
          <w:p w:rsidR="00257225" w:rsidRPr="008B4BC6" w:rsidRDefault="0035353F" w:rsidP="0035353F">
            <w:pPr>
              <w:bidi w:val="0"/>
              <w:jc w:val="left"/>
            </w:pPr>
            <w:r>
              <w:t>Original: English</w:t>
            </w:r>
          </w:p>
        </w:tc>
      </w:tr>
    </w:tbl>
    <w:p w:rsidR="0035353F" w:rsidRPr="006610B7" w:rsidRDefault="0035353F" w:rsidP="0035353F">
      <w:pPr>
        <w:spacing w:before="120" w:line="380" w:lineRule="exact"/>
        <w:rPr>
          <w:rFonts w:hint="cs"/>
          <w:b/>
          <w:bCs/>
          <w:sz w:val="26"/>
          <w:szCs w:val="36"/>
          <w:rtl/>
          <w:lang w:val="fr-CH"/>
        </w:rPr>
      </w:pPr>
      <w:r w:rsidRPr="006610B7">
        <w:rPr>
          <w:rFonts w:hint="cs"/>
          <w:b/>
          <w:bCs/>
          <w:sz w:val="26"/>
          <w:szCs w:val="36"/>
          <w:rtl/>
          <w:lang w:val="fr-CH"/>
        </w:rPr>
        <w:t>اللجنة المعنية بحقوق الإنسان</w:t>
      </w:r>
    </w:p>
    <w:p w:rsidR="0035353F" w:rsidRDefault="0035353F" w:rsidP="0035353F">
      <w:pPr>
        <w:spacing w:line="380" w:lineRule="exact"/>
        <w:rPr>
          <w:rFonts w:hint="cs"/>
          <w:b/>
          <w:bCs/>
          <w:rtl/>
          <w:lang w:val="fr-CH"/>
        </w:rPr>
      </w:pPr>
      <w:r>
        <w:rPr>
          <w:rFonts w:hint="cs"/>
          <w:b/>
          <w:bCs/>
          <w:rtl/>
          <w:lang w:val="fr-CH"/>
        </w:rPr>
        <w:t>الدورة الأولى بعد المائة</w:t>
      </w:r>
    </w:p>
    <w:p w:rsidR="0035353F" w:rsidRDefault="0035353F" w:rsidP="0035353F">
      <w:pPr>
        <w:spacing w:line="380" w:lineRule="exact"/>
        <w:rPr>
          <w:rFonts w:hint="cs"/>
          <w:rtl/>
          <w:lang w:val="fr-CH"/>
        </w:rPr>
      </w:pPr>
      <w:r>
        <w:rPr>
          <w:rFonts w:hint="cs"/>
          <w:rtl/>
          <w:lang w:val="fr-CH"/>
        </w:rPr>
        <w:t>نيويورك، 14</w:t>
      </w:r>
      <w:r w:rsidR="006D7539">
        <w:rPr>
          <w:rFonts w:hint="cs"/>
          <w:rtl/>
          <w:lang w:val="fr-CH"/>
        </w:rPr>
        <w:t xml:space="preserve"> </w:t>
      </w:r>
      <w:r>
        <w:rPr>
          <w:rFonts w:hint="cs"/>
          <w:rtl/>
          <w:lang w:val="fr-CH"/>
        </w:rPr>
        <w:t xml:space="preserve">آذار/مارس - 1 نيسان/أبريل 2011 </w:t>
      </w:r>
    </w:p>
    <w:p w:rsidR="0035353F" w:rsidRPr="006610B7" w:rsidRDefault="0035353F" w:rsidP="0035353F">
      <w:pPr>
        <w:pStyle w:val="HChGA"/>
        <w:rPr>
          <w:rFonts w:hint="cs"/>
          <w:rtl/>
          <w:lang w:val="fr-CH"/>
        </w:rPr>
      </w:pPr>
      <w:r>
        <w:rPr>
          <w:rFonts w:hint="cs"/>
          <w:rtl/>
          <w:lang w:val="fr-CH"/>
        </w:rPr>
        <w:tab/>
      </w:r>
      <w:r>
        <w:rPr>
          <w:rFonts w:hint="cs"/>
          <w:rtl/>
          <w:lang w:val="fr-CH"/>
        </w:rPr>
        <w:tab/>
      </w:r>
      <w:r w:rsidRPr="006610B7">
        <w:rPr>
          <w:rFonts w:hint="cs"/>
          <w:rtl/>
          <w:lang w:val="fr-CH"/>
        </w:rPr>
        <w:t>النظر في التقارير المقدمة من الدول الأطراف بموجب المادة 40 من العهد</w:t>
      </w:r>
    </w:p>
    <w:p w:rsidR="0035353F" w:rsidRDefault="0035353F" w:rsidP="0035353F">
      <w:pPr>
        <w:pStyle w:val="H1GA"/>
        <w:rPr>
          <w:rFonts w:hint="cs"/>
          <w:rtl/>
          <w:lang w:val="fr-CH"/>
        </w:rPr>
      </w:pPr>
      <w:r>
        <w:rPr>
          <w:rFonts w:hint="cs"/>
          <w:rtl/>
          <w:lang w:val="fr-CH"/>
        </w:rPr>
        <w:tab/>
      </w:r>
      <w:r>
        <w:rPr>
          <w:rFonts w:hint="cs"/>
          <w:rtl/>
          <w:lang w:val="fr-CH"/>
        </w:rPr>
        <w:tab/>
        <w:t>الملاحظات الختامية للجنة المعنية بحقوق الإنسان</w:t>
      </w:r>
    </w:p>
    <w:p w:rsidR="0035353F" w:rsidRDefault="0035353F" w:rsidP="0035353F">
      <w:pPr>
        <w:pStyle w:val="HChGA"/>
        <w:rPr>
          <w:rFonts w:hint="cs"/>
          <w:rtl/>
          <w:lang w:val="fr-CH"/>
        </w:rPr>
      </w:pPr>
      <w:r>
        <w:rPr>
          <w:rFonts w:hint="cs"/>
          <w:rtl/>
        </w:rPr>
        <w:tab/>
      </w:r>
      <w:r>
        <w:rPr>
          <w:rFonts w:hint="cs"/>
          <w:rtl/>
        </w:rPr>
        <w:tab/>
      </w:r>
      <w:r w:rsidRPr="004F7B74">
        <w:rPr>
          <w:rFonts w:hint="cs"/>
          <w:rtl/>
        </w:rPr>
        <w:t>سلوفاكيا</w:t>
      </w:r>
    </w:p>
    <w:p w:rsidR="0035353F" w:rsidRPr="006D7539" w:rsidRDefault="0035353F" w:rsidP="00E4305E">
      <w:pPr>
        <w:pStyle w:val="SingleTxtGA"/>
        <w:rPr>
          <w:rFonts w:hint="cs"/>
          <w:rtl/>
        </w:rPr>
      </w:pPr>
      <w:r w:rsidRPr="006D7539">
        <w:rPr>
          <w:rFonts w:hint="cs"/>
          <w:rtl/>
          <w:lang w:val="fr-CH"/>
        </w:rPr>
        <w:t>1-</w:t>
      </w:r>
      <w:r w:rsidRPr="006D7539">
        <w:rPr>
          <w:rFonts w:hint="cs"/>
          <w:rtl/>
          <w:lang w:val="fr-CH"/>
        </w:rPr>
        <w:tab/>
        <w:t xml:space="preserve">نظرت اللجنة المعنية بحقوق الإنسان في التقرير الدوري الثالث لسلوفاكيا </w:t>
      </w:r>
      <w:r w:rsidRPr="006D7539">
        <w:t>(CCPR/C/SVK/3)</w:t>
      </w:r>
      <w:r w:rsidRPr="006D7539">
        <w:rPr>
          <w:rFonts w:hint="cs"/>
          <w:rtl/>
        </w:rPr>
        <w:t xml:space="preserve"> في جلستيها 2778 و2779 </w:t>
      </w:r>
      <w:r w:rsidRPr="006D7539">
        <w:t>CCPR/C/SR.2778)</w:t>
      </w:r>
      <w:r w:rsidRPr="006D7539">
        <w:rPr>
          <w:rFonts w:hint="cs"/>
          <w:rtl/>
        </w:rPr>
        <w:t xml:space="preserve"> و</w:t>
      </w:r>
      <w:r w:rsidRPr="006D7539">
        <w:t>(CCPR/C/SR.2779</w:t>
      </w:r>
      <w:r w:rsidRPr="006D7539">
        <w:rPr>
          <w:rFonts w:hint="cs"/>
          <w:rtl/>
        </w:rPr>
        <w:t>، المعقـودتين يومي</w:t>
      </w:r>
      <w:r w:rsidR="00E4305E" w:rsidRPr="006D7539">
        <w:rPr>
          <w:rFonts w:hint="cs"/>
          <w:rtl/>
        </w:rPr>
        <w:t xml:space="preserve"> 16 و17 آذار/مارس </w:t>
      </w:r>
      <w:r w:rsidRPr="006D7539">
        <w:rPr>
          <w:rFonts w:hint="cs"/>
          <w:rtl/>
        </w:rPr>
        <w:t>2011. وفي جلستيها 2793 و2794</w:t>
      </w:r>
      <w:r w:rsidR="006D7539">
        <w:rPr>
          <w:rFonts w:hint="cs"/>
          <w:rtl/>
        </w:rPr>
        <w:t xml:space="preserve"> </w:t>
      </w:r>
      <w:r w:rsidRPr="006D7539">
        <w:rPr>
          <w:rFonts w:hint="cs"/>
          <w:rtl/>
        </w:rPr>
        <w:t>(</w:t>
      </w:r>
      <w:r w:rsidRPr="006D7539">
        <w:t>CCPR/C/SR.2793</w:t>
      </w:r>
      <w:r w:rsidRPr="006D7539">
        <w:rPr>
          <w:rFonts w:hint="cs"/>
          <w:rtl/>
        </w:rPr>
        <w:t xml:space="preserve"> و</w:t>
      </w:r>
      <w:r w:rsidRPr="006D7539">
        <w:t>(SR/2794</w:t>
      </w:r>
      <w:r w:rsidRPr="006D7539">
        <w:rPr>
          <w:rFonts w:hint="cs"/>
          <w:rtl/>
        </w:rPr>
        <w:t>، المعقودتين في 28 آذار/مارس 2011، اعتمدت الملاحظات الختامية التالية.</w:t>
      </w:r>
    </w:p>
    <w:p w:rsidR="0035353F" w:rsidRDefault="0035353F" w:rsidP="0035353F">
      <w:pPr>
        <w:pStyle w:val="H1GA"/>
        <w:rPr>
          <w:rFonts w:hint="cs"/>
          <w:rtl/>
        </w:rPr>
      </w:pPr>
      <w:r>
        <w:rPr>
          <w:rFonts w:hint="cs"/>
          <w:rtl/>
        </w:rPr>
        <w:tab/>
        <w:t>ألف -</w:t>
      </w:r>
      <w:r>
        <w:rPr>
          <w:rFonts w:hint="cs"/>
          <w:rtl/>
        </w:rPr>
        <w:tab/>
        <w:t>مقدمة</w:t>
      </w:r>
    </w:p>
    <w:p w:rsidR="0035353F" w:rsidRDefault="0035353F" w:rsidP="0035353F">
      <w:pPr>
        <w:pStyle w:val="SingleTxtGA"/>
        <w:rPr>
          <w:rFonts w:hint="cs"/>
          <w:rtl/>
        </w:rPr>
      </w:pPr>
      <w:r>
        <w:rPr>
          <w:rFonts w:hint="cs"/>
          <w:rtl/>
        </w:rPr>
        <w:t>2-</w:t>
      </w:r>
      <w:r>
        <w:rPr>
          <w:rFonts w:hint="cs"/>
          <w:rtl/>
        </w:rPr>
        <w:tab/>
        <w:t xml:space="preserve">ترحب اللجنة بتقديم التقرير الدوري الثالث لسلوفاكيا وبالمعلومات الواردة فيه. وتعرب عن ارتياحها للفرصة التي أتيحت أمامها لتجديد حوارها البنّاء مع الدولة الطرف بشأن التدابير التي اتخذتها الدولة الطرف أثناء فترة تقديم التقرير لتنفيذ أحكام العهد. وتعرب اللجنة عن امتنانها للردود الخطية التي قدمتها الدولة الطرف على قائمة المسائل التي وضعتها اللجنة </w:t>
      </w:r>
      <w:r>
        <w:t>(CCPR/SVK/Q/3/Add.1)</w:t>
      </w:r>
      <w:r>
        <w:rPr>
          <w:rFonts w:hint="cs"/>
          <w:rtl/>
        </w:rPr>
        <w:t xml:space="preserve"> والتي استكملها الوفد من خلال تقديم ردود شفوية، وللمعلومات الإضافية المقدمة خطياً. </w:t>
      </w:r>
    </w:p>
    <w:p w:rsidR="0035353F" w:rsidRDefault="0035353F" w:rsidP="0035353F">
      <w:pPr>
        <w:pStyle w:val="H1GA"/>
        <w:rPr>
          <w:rFonts w:hint="cs"/>
          <w:sz w:val="22"/>
          <w:rtl/>
        </w:rPr>
      </w:pPr>
      <w:r>
        <w:rPr>
          <w:rFonts w:hint="cs"/>
          <w:rtl/>
        </w:rPr>
        <w:tab/>
      </w:r>
      <w:r w:rsidRPr="00D66200">
        <w:rPr>
          <w:rFonts w:hint="cs"/>
          <w:rtl/>
        </w:rPr>
        <w:t>باء -</w:t>
      </w:r>
      <w:r w:rsidRPr="00D66200">
        <w:rPr>
          <w:rFonts w:hint="cs"/>
          <w:rtl/>
        </w:rPr>
        <w:tab/>
        <w:t>الجوانب الإيجابية</w:t>
      </w:r>
    </w:p>
    <w:p w:rsidR="0035353F" w:rsidRDefault="0035353F" w:rsidP="0035353F">
      <w:pPr>
        <w:pStyle w:val="SingleTxtGA"/>
        <w:rPr>
          <w:rFonts w:hint="cs"/>
          <w:sz w:val="22"/>
          <w:rtl/>
        </w:rPr>
      </w:pPr>
      <w:r>
        <w:rPr>
          <w:rFonts w:hint="cs"/>
          <w:sz w:val="22"/>
          <w:rtl/>
        </w:rPr>
        <w:t>3-</w:t>
      </w:r>
      <w:r>
        <w:rPr>
          <w:rFonts w:hint="cs"/>
          <w:sz w:val="22"/>
          <w:rtl/>
        </w:rPr>
        <w:tab/>
      </w:r>
      <w:r w:rsidRPr="00D66200">
        <w:rPr>
          <w:rFonts w:hint="cs"/>
          <w:sz w:val="22"/>
          <w:rtl/>
        </w:rPr>
        <w:t>ترحب اللجنة بال</w:t>
      </w:r>
      <w:r>
        <w:rPr>
          <w:rFonts w:hint="cs"/>
          <w:sz w:val="22"/>
          <w:rtl/>
        </w:rPr>
        <w:t xml:space="preserve">خطوات التشريعية والمؤسسية </w:t>
      </w:r>
      <w:r w:rsidRPr="00D66200">
        <w:rPr>
          <w:rFonts w:hint="cs"/>
          <w:sz w:val="22"/>
          <w:rtl/>
        </w:rPr>
        <w:t>التي اتخذتها الدولة الطرف والواردة أدناه:</w:t>
      </w:r>
    </w:p>
    <w:p w:rsidR="0035353F" w:rsidRPr="006D7539" w:rsidRDefault="0035353F" w:rsidP="0035353F">
      <w:pPr>
        <w:pStyle w:val="SingleTxtGA"/>
        <w:rPr>
          <w:rFonts w:hint="cs"/>
          <w:spacing w:val="-4"/>
          <w:sz w:val="22"/>
          <w:rtl/>
        </w:rPr>
      </w:pPr>
      <w:r w:rsidRPr="006D7539">
        <w:rPr>
          <w:rFonts w:hint="cs"/>
          <w:spacing w:val="-4"/>
          <w:sz w:val="22"/>
          <w:rtl/>
        </w:rPr>
        <w:tab/>
        <w:t>(أ)</w:t>
      </w:r>
      <w:r w:rsidRPr="006D7539">
        <w:rPr>
          <w:rFonts w:hint="cs"/>
          <w:spacing w:val="-4"/>
          <w:sz w:val="22"/>
          <w:rtl/>
        </w:rPr>
        <w:tab/>
        <w:t xml:space="preserve">اعتماد القانون رقم </w:t>
      </w:r>
      <w:r w:rsidRPr="006D7539">
        <w:rPr>
          <w:spacing w:val="-4"/>
          <w:szCs w:val="28"/>
        </w:rPr>
        <w:t>365/2004</w:t>
      </w:r>
      <w:r w:rsidRPr="006D7539">
        <w:rPr>
          <w:spacing w:val="-4"/>
          <w:sz w:val="22"/>
        </w:rPr>
        <w:t xml:space="preserve"> </w:t>
      </w:r>
      <w:r w:rsidRPr="006D7539">
        <w:rPr>
          <w:spacing w:val="-4"/>
          <w:szCs w:val="28"/>
        </w:rPr>
        <w:t>Coll</w:t>
      </w:r>
      <w:r w:rsidR="006D50C1" w:rsidRPr="006D7539">
        <w:rPr>
          <w:spacing w:val="-4"/>
          <w:szCs w:val="28"/>
        </w:rPr>
        <w:t>.</w:t>
      </w:r>
      <w:r w:rsidRPr="006D7539">
        <w:rPr>
          <w:rFonts w:hint="cs"/>
          <w:spacing w:val="-4"/>
          <w:sz w:val="22"/>
          <w:rtl/>
        </w:rPr>
        <w:t>، بشأن المساواة في المعاملة (قانون مكافحة التمييز)؛</w:t>
      </w:r>
    </w:p>
    <w:p w:rsidR="008842B1" w:rsidRDefault="0035353F" w:rsidP="008842B1">
      <w:pPr>
        <w:pStyle w:val="SingleTxtGA"/>
        <w:rPr>
          <w:rFonts w:hint="cs"/>
          <w:sz w:val="22"/>
          <w:rtl/>
        </w:rPr>
      </w:pPr>
      <w:r>
        <w:rPr>
          <w:rFonts w:hint="cs"/>
          <w:sz w:val="22"/>
          <w:rtl/>
        </w:rPr>
        <w:tab/>
      </w:r>
      <w:r w:rsidRPr="007E612A">
        <w:rPr>
          <w:rFonts w:hint="cs"/>
          <w:sz w:val="22"/>
          <w:rtl/>
        </w:rPr>
        <w:t>(ب)</w:t>
      </w:r>
      <w:r>
        <w:rPr>
          <w:rFonts w:hint="cs"/>
          <w:sz w:val="22"/>
          <w:rtl/>
        </w:rPr>
        <w:tab/>
      </w:r>
      <w:r w:rsidRPr="007E612A">
        <w:rPr>
          <w:rFonts w:hint="cs"/>
          <w:sz w:val="22"/>
          <w:rtl/>
        </w:rPr>
        <w:t>تع</w:t>
      </w:r>
      <w:r w:rsidR="006D50C1">
        <w:rPr>
          <w:rFonts w:hint="cs"/>
          <w:sz w:val="22"/>
          <w:rtl/>
        </w:rPr>
        <w:t>ـ</w:t>
      </w:r>
      <w:r w:rsidRPr="007E612A">
        <w:rPr>
          <w:rFonts w:hint="cs"/>
          <w:sz w:val="22"/>
          <w:rtl/>
        </w:rPr>
        <w:t xml:space="preserve">ديل </w:t>
      </w:r>
      <w:r>
        <w:rPr>
          <w:rFonts w:hint="cs"/>
          <w:sz w:val="22"/>
          <w:rtl/>
        </w:rPr>
        <w:t>ال</w:t>
      </w:r>
      <w:r w:rsidRPr="007E612A">
        <w:rPr>
          <w:rFonts w:hint="cs"/>
          <w:sz w:val="22"/>
          <w:rtl/>
        </w:rPr>
        <w:t xml:space="preserve">قانون </w:t>
      </w:r>
      <w:r>
        <w:rPr>
          <w:rFonts w:hint="cs"/>
          <w:sz w:val="22"/>
          <w:rtl/>
        </w:rPr>
        <w:t xml:space="preserve">رقم </w:t>
      </w:r>
      <w:r w:rsidR="008842B1">
        <w:t>757/2004 Coll</w:t>
      </w:r>
      <w:r w:rsidR="006D50C1">
        <w:t>.</w:t>
      </w:r>
      <w:r w:rsidR="00F2334C">
        <w:rPr>
          <w:sz w:val="22"/>
          <w:rtl/>
        </w:rPr>
        <w:t xml:space="preserve">، </w:t>
      </w:r>
      <w:r>
        <w:rPr>
          <w:rFonts w:hint="cs"/>
          <w:sz w:val="22"/>
          <w:rtl/>
        </w:rPr>
        <w:t>بش</w:t>
      </w:r>
      <w:r w:rsidR="006D50C1">
        <w:rPr>
          <w:rFonts w:hint="cs"/>
          <w:sz w:val="22"/>
          <w:rtl/>
        </w:rPr>
        <w:t>ـ</w:t>
      </w:r>
      <w:r>
        <w:rPr>
          <w:rFonts w:hint="cs"/>
          <w:sz w:val="22"/>
          <w:rtl/>
        </w:rPr>
        <w:t>أن ا</w:t>
      </w:r>
      <w:r w:rsidRPr="007E612A">
        <w:rPr>
          <w:rFonts w:hint="cs"/>
          <w:sz w:val="22"/>
          <w:rtl/>
        </w:rPr>
        <w:t>لمحاكم</w:t>
      </w:r>
      <w:r w:rsidR="00F2334C">
        <w:rPr>
          <w:rFonts w:hint="cs"/>
          <w:sz w:val="22"/>
          <w:rtl/>
        </w:rPr>
        <w:t xml:space="preserve">، </w:t>
      </w:r>
      <w:r>
        <w:rPr>
          <w:rFonts w:hint="cs"/>
          <w:sz w:val="22"/>
          <w:rtl/>
        </w:rPr>
        <w:t>الذي</w:t>
      </w:r>
      <w:r w:rsidRPr="007E612A">
        <w:rPr>
          <w:rFonts w:hint="cs"/>
          <w:sz w:val="22"/>
          <w:rtl/>
        </w:rPr>
        <w:t xml:space="preserve"> ألغ</w:t>
      </w:r>
      <w:r>
        <w:rPr>
          <w:rFonts w:hint="cs"/>
          <w:sz w:val="22"/>
          <w:rtl/>
        </w:rPr>
        <w:t>ى</w:t>
      </w:r>
      <w:r w:rsidRPr="007E612A">
        <w:rPr>
          <w:rFonts w:hint="cs"/>
          <w:sz w:val="22"/>
          <w:rtl/>
        </w:rPr>
        <w:t xml:space="preserve"> المحاكم العسكرية، ودخل حيز النفاذ في 1</w:t>
      </w:r>
      <w:r w:rsidR="006D7539">
        <w:rPr>
          <w:rFonts w:hint="cs"/>
          <w:sz w:val="22"/>
          <w:rtl/>
        </w:rPr>
        <w:t xml:space="preserve"> </w:t>
      </w:r>
      <w:r>
        <w:rPr>
          <w:rFonts w:hint="cs"/>
          <w:sz w:val="22"/>
          <w:rtl/>
        </w:rPr>
        <w:t>نيسان/</w:t>
      </w:r>
      <w:r w:rsidRPr="007E612A">
        <w:rPr>
          <w:rFonts w:hint="cs"/>
          <w:sz w:val="22"/>
          <w:rtl/>
        </w:rPr>
        <w:t xml:space="preserve"> أبريل 2009؛</w:t>
      </w:r>
      <w:r w:rsidR="008842B1">
        <w:rPr>
          <w:rFonts w:hint="cs"/>
          <w:sz w:val="22"/>
          <w:rtl/>
        </w:rPr>
        <w:t xml:space="preserve"> </w:t>
      </w:r>
    </w:p>
    <w:p w:rsidR="0035353F" w:rsidRPr="007E612A" w:rsidRDefault="008842B1" w:rsidP="006A3BB8">
      <w:pPr>
        <w:pStyle w:val="SingleTxtGA"/>
        <w:rPr>
          <w:rFonts w:hint="cs"/>
          <w:sz w:val="22"/>
        </w:rPr>
      </w:pPr>
      <w:r>
        <w:rPr>
          <w:rFonts w:hint="cs"/>
          <w:sz w:val="22"/>
          <w:rtl/>
        </w:rPr>
        <w:tab/>
      </w:r>
      <w:r w:rsidR="0035353F" w:rsidRPr="007E612A">
        <w:rPr>
          <w:rFonts w:hint="cs"/>
          <w:sz w:val="22"/>
          <w:rtl/>
        </w:rPr>
        <w:t>(ج)</w:t>
      </w:r>
      <w:r>
        <w:rPr>
          <w:rFonts w:hint="cs"/>
          <w:sz w:val="22"/>
          <w:rtl/>
        </w:rPr>
        <w:tab/>
      </w:r>
      <w:r w:rsidR="0035353F" w:rsidRPr="007E612A">
        <w:rPr>
          <w:rFonts w:hint="cs"/>
          <w:sz w:val="22"/>
          <w:rtl/>
        </w:rPr>
        <w:t>اعتماد اللائحة رقم 64</w:t>
      </w:r>
      <w:r w:rsidR="006D50C1">
        <w:rPr>
          <w:rFonts w:hint="cs"/>
          <w:sz w:val="22"/>
          <w:rtl/>
        </w:rPr>
        <w:t>/</w:t>
      </w:r>
      <w:r w:rsidR="0035353F" w:rsidRPr="007E612A">
        <w:rPr>
          <w:rFonts w:hint="cs"/>
          <w:sz w:val="22"/>
          <w:rtl/>
        </w:rPr>
        <w:t>2008</w:t>
      </w:r>
      <w:r w:rsidR="0035353F">
        <w:rPr>
          <w:rFonts w:hint="cs"/>
          <w:sz w:val="22"/>
          <w:rtl/>
        </w:rPr>
        <w:t>،</w:t>
      </w:r>
      <w:r w:rsidR="0035353F" w:rsidRPr="007E612A">
        <w:rPr>
          <w:rFonts w:hint="cs"/>
          <w:sz w:val="22"/>
          <w:rtl/>
        </w:rPr>
        <w:t xml:space="preserve"> </w:t>
      </w:r>
      <w:r w:rsidR="0035353F">
        <w:rPr>
          <w:rFonts w:hint="cs"/>
          <w:sz w:val="22"/>
          <w:rtl/>
        </w:rPr>
        <w:t>بشأن</w:t>
      </w:r>
      <w:r w:rsidR="0035353F" w:rsidRPr="007E612A">
        <w:rPr>
          <w:rFonts w:hint="cs"/>
          <w:sz w:val="22"/>
          <w:rtl/>
        </w:rPr>
        <w:t xml:space="preserve"> "أساليب مكافحة مظاهر التطرف والحد من </w:t>
      </w:r>
      <w:r w:rsidR="0035353F">
        <w:rPr>
          <w:rFonts w:hint="cs"/>
          <w:sz w:val="22"/>
          <w:rtl/>
        </w:rPr>
        <w:t>عنف المتفرجين</w:t>
      </w:r>
      <w:r w:rsidR="0035353F" w:rsidRPr="007E612A">
        <w:rPr>
          <w:rFonts w:hint="cs"/>
          <w:sz w:val="22"/>
          <w:rtl/>
        </w:rPr>
        <w:t xml:space="preserve">"، التي دخلت حيز النفاذ في 1 </w:t>
      </w:r>
      <w:r w:rsidR="0035353F">
        <w:rPr>
          <w:rFonts w:hint="cs"/>
          <w:sz w:val="22"/>
          <w:rtl/>
        </w:rPr>
        <w:t>أيلول/</w:t>
      </w:r>
      <w:r w:rsidR="0035353F" w:rsidRPr="007E612A">
        <w:rPr>
          <w:rFonts w:hint="cs"/>
          <w:sz w:val="22"/>
          <w:rtl/>
        </w:rPr>
        <w:t>سبتمبر 2008</w:t>
      </w:r>
      <w:r w:rsidR="0035353F">
        <w:rPr>
          <w:rFonts w:hint="cs"/>
          <w:sz w:val="22"/>
          <w:rtl/>
        </w:rPr>
        <w:t>؛</w:t>
      </w:r>
    </w:p>
    <w:p w:rsidR="008842B1" w:rsidRDefault="008842B1" w:rsidP="008842B1">
      <w:pPr>
        <w:pStyle w:val="SingleTxtGA"/>
        <w:rPr>
          <w:rFonts w:hint="cs"/>
          <w:sz w:val="22"/>
          <w:rtl/>
        </w:rPr>
      </w:pPr>
      <w:r>
        <w:rPr>
          <w:rFonts w:hint="cs"/>
          <w:sz w:val="22"/>
          <w:rtl/>
        </w:rPr>
        <w:tab/>
      </w:r>
      <w:r w:rsidR="0035353F">
        <w:rPr>
          <w:rFonts w:hint="cs"/>
          <w:sz w:val="22"/>
          <w:rtl/>
        </w:rPr>
        <w:t>(د</w:t>
      </w:r>
      <w:r w:rsidR="0035353F" w:rsidRPr="007E612A">
        <w:rPr>
          <w:rFonts w:hint="cs"/>
          <w:sz w:val="22"/>
          <w:rtl/>
        </w:rPr>
        <w:t>)</w:t>
      </w:r>
      <w:r>
        <w:rPr>
          <w:rFonts w:hint="cs"/>
          <w:sz w:val="22"/>
          <w:rtl/>
        </w:rPr>
        <w:tab/>
      </w:r>
      <w:r w:rsidR="0035353F" w:rsidRPr="007E612A">
        <w:rPr>
          <w:rFonts w:hint="cs"/>
          <w:sz w:val="22"/>
          <w:rtl/>
        </w:rPr>
        <w:t>إنشاء مجلس حقوق الإنسان والأقليات القومية والمساواة بين الجنسين.</w:t>
      </w:r>
    </w:p>
    <w:p w:rsidR="008842B1" w:rsidRDefault="0035353F" w:rsidP="008842B1">
      <w:pPr>
        <w:pStyle w:val="SingleTxtGA"/>
        <w:rPr>
          <w:rFonts w:hint="cs"/>
          <w:sz w:val="22"/>
          <w:rtl/>
        </w:rPr>
      </w:pPr>
      <w:r w:rsidRPr="007E612A">
        <w:rPr>
          <w:rFonts w:hint="cs"/>
          <w:sz w:val="22"/>
          <w:rtl/>
        </w:rPr>
        <w:t>4</w:t>
      </w:r>
      <w:r>
        <w:rPr>
          <w:rFonts w:hint="cs"/>
          <w:sz w:val="22"/>
          <w:rtl/>
        </w:rPr>
        <w:t>-</w:t>
      </w:r>
      <w:r w:rsidR="008842B1">
        <w:rPr>
          <w:rFonts w:hint="cs"/>
          <w:sz w:val="22"/>
          <w:rtl/>
        </w:rPr>
        <w:tab/>
      </w:r>
      <w:r w:rsidRPr="007E612A">
        <w:rPr>
          <w:rFonts w:hint="cs"/>
          <w:sz w:val="22"/>
          <w:rtl/>
        </w:rPr>
        <w:t>وترحب اللجنة بتصديق الدولة الطرف على الصكوك الدولية التالية:</w:t>
      </w:r>
    </w:p>
    <w:p w:rsidR="008842B1" w:rsidRDefault="008842B1" w:rsidP="008842B1">
      <w:pPr>
        <w:pStyle w:val="SingleTxtGA"/>
        <w:rPr>
          <w:rFonts w:hint="cs"/>
          <w:sz w:val="22"/>
          <w:rtl/>
        </w:rPr>
      </w:pPr>
      <w:r>
        <w:rPr>
          <w:rFonts w:hint="cs"/>
          <w:sz w:val="22"/>
          <w:rtl/>
        </w:rPr>
        <w:tab/>
      </w:r>
      <w:r w:rsidR="0035353F" w:rsidRPr="007E612A">
        <w:rPr>
          <w:rFonts w:hint="cs"/>
          <w:sz w:val="22"/>
          <w:rtl/>
        </w:rPr>
        <w:t>(أ)</w:t>
      </w:r>
      <w:r>
        <w:rPr>
          <w:rFonts w:hint="cs"/>
          <w:sz w:val="22"/>
          <w:rtl/>
        </w:rPr>
        <w:tab/>
      </w:r>
      <w:r w:rsidR="0035353F" w:rsidRPr="007E612A">
        <w:rPr>
          <w:rFonts w:hint="cs"/>
          <w:sz w:val="22"/>
          <w:rtl/>
        </w:rPr>
        <w:t>اتفاقية حقوق الأشخاص ذوي الإعاقة لعام 2006؛</w:t>
      </w:r>
    </w:p>
    <w:p w:rsidR="008842B1" w:rsidRDefault="008842B1" w:rsidP="008842B1">
      <w:pPr>
        <w:pStyle w:val="SingleTxtGA"/>
        <w:rPr>
          <w:rFonts w:hint="cs"/>
          <w:sz w:val="22"/>
          <w:rtl/>
        </w:rPr>
      </w:pPr>
      <w:r>
        <w:rPr>
          <w:rFonts w:hint="cs"/>
          <w:sz w:val="22"/>
          <w:rtl/>
        </w:rPr>
        <w:tab/>
      </w:r>
      <w:r w:rsidR="0035353F" w:rsidRPr="007E612A">
        <w:rPr>
          <w:rFonts w:hint="cs"/>
          <w:sz w:val="22"/>
          <w:rtl/>
        </w:rPr>
        <w:t>(ب)</w:t>
      </w:r>
      <w:r>
        <w:rPr>
          <w:rFonts w:hint="cs"/>
          <w:sz w:val="22"/>
          <w:rtl/>
        </w:rPr>
        <w:tab/>
      </w:r>
      <w:r w:rsidR="0035353F" w:rsidRPr="007E612A">
        <w:rPr>
          <w:rFonts w:hint="cs"/>
          <w:sz w:val="22"/>
          <w:rtl/>
        </w:rPr>
        <w:t>البروتوكول الاختياري لاتفاقية حقوق الأشخاص ذوي الإعاقة، 2006؛</w:t>
      </w:r>
    </w:p>
    <w:p w:rsidR="008842B1" w:rsidRDefault="008842B1" w:rsidP="008842B1">
      <w:pPr>
        <w:pStyle w:val="SingleTxtGA"/>
        <w:rPr>
          <w:rFonts w:hint="cs"/>
          <w:sz w:val="22"/>
          <w:rtl/>
        </w:rPr>
      </w:pPr>
      <w:r>
        <w:rPr>
          <w:rFonts w:hint="cs"/>
          <w:sz w:val="22"/>
          <w:rtl/>
        </w:rPr>
        <w:tab/>
        <w:t>(ج)</w:t>
      </w:r>
      <w:r>
        <w:rPr>
          <w:rFonts w:hint="cs"/>
          <w:sz w:val="22"/>
          <w:rtl/>
        </w:rPr>
        <w:tab/>
      </w:r>
      <w:r w:rsidR="0035353F" w:rsidRPr="007E612A">
        <w:rPr>
          <w:rFonts w:hint="cs"/>
          <w:sz w:val="22"/>
          <w:rtl/>
        </w:rPr>
        <w:t xml:space="preserve">البروتوكول الاختياري لاتفاقية حقوق الطفل </w:t>
      </w:r>
      <w:r>
        <w:rPr>
          <w:rFonts w:hint="cs"/>
          <w:sz w:val="22"/>
          <w:rtl/>
        </w:rPr>
        <w:t xml:space="preserve">المتعلق ببيع </w:t>
      </w:r>
      <w:r w:rsidR="0035353F" w:rsidRPr="007E612A">
        <w:rPr>
          <w:rFonts w:hint="cs"/>
          <w:sz w:val="22"/>
          <w:rtl/>
        </w:rPr>
        <w:t>الأطفال وبغاء الأطفال و</w:t>
      </w:r>
      <w:r>
        <w:rPr>
          <w:rFonts w:hint="cs"/>
          <w:sz w:val="22"/>
          <w:rtl/>
        </w:rPr>
        <w:t xml:space="preserve">استغلال الأطفال في </w:t>
      </w:r>
      <w:r w:rsidR="0035353F" w:rsidRPr="007E612A">
        <w:rPr>
          <w:rFonts w:hint="cs"/>
          <w:sz w:val="22"/>
          <w:rtl/>
        </w:rPr>
        <w:t>المواد الإباحية</w:t>
      </w:r>
      <w:r w:rsidR="00F2334C">
        <w:rPr>
          <w:rFonts w:hint="cs"/>
          <w:sz w:val="22"/>
          <w:rtl/>
        </w:rPr>
        <w:t xml:space="preserve">، </w:t>
      </w:r>
      <w:r w:rsidR="0035353F" w:rsidRPr="007E612A">
        <w:rPr>
          <w:rFonts w:hint="cs"/>
          <w:sz w:val="22"/>
          <w:rtl/>
        </w:rPr>
        <w:t>2000؛</w:t>
      </w:r>
    </w:p>
    <w:p w:rsidR="0035353F" w:rsidRPr="007E612A" w:rsidRDefault="008842B1" w:rsidP="008842B1">
      <w:pPr>
        <w:pStyle w:val="SingleTxtGA"/>
        <w:rPr>
          <w:sz w:val="22"/>
        </w:rPr>
      </w:pPr>
      <w:r>
        <w:rPr>
          <w:rFonts w:hint="cs"/>
          <w:sz w:val="22"/>
          <w:rtl/>
        </w:rPr>
        <w:tab/>
      </w:r>
      <w:r w:rsidR="0035353F" w:rsidRPr="007E612A">
        <w:rPr>
          <w:rFonts w:hint="cs"/>
          <w:sz w:val="22"/>
          <w:rtl/>
        </w:rPr>
        <w:t>(د)</w:t>
      </w:r>
      <w:r>
        <w:rPr>
          <w:rFonts w:hint="cs"/>
          <w:sz w:val="22"/>
          <w:rtl/>
        </w:rPr>
        <w:tab/>
      </w:r>
      <w:r w:rsidR="0035353F" w:rsidRPr="007E612A">
        <w:rPr>
          <w:rFonts w:hint="cs"/>
          <w:sz w:val="22"/>
          <w:rtl/>
        </w:rPr>
        <w:t xml:space="preserve">البروتوكول الاختياري لاتفاقية حقوق الطفل </w:t>
      </w:r>
      <w:r>
        <w:rPr>
          <w:rFonts w:hint="cs"/>
          <w:sz w:val="22"/>
          <w:rtl/>
        </w:rPr>
        <w:t xml:space="preserve">المتعلق </w:t>
      </w:r>
      <w:r w:rsidR="0035353F">
        <w:rPr>
          <w:rFonts w:hint="cs"/>
          <w:rtl/>
        </w:rPr>
        <w:t>بإشراك</w:t>
      </w:r>
      <w:r w:rsidR="0035353F" w:rsidRPr="007E612A">
        <w:rPr>
          <w:rFonts w:hint="cs"/>
          <w:sz w:val="22"/>
          <w:rtl/>
        </w:rPr>
        <w:t xml:space="preserve"> الأطفال في النزاعات المسلحة، 2000.</w:t>
      </w:r>
    </w:p>
    <w:p w:rsidR="0035353F" w:rsidRDefault="008842B1" w:rsidP="008842B1">
      <w:pPr>
        <w:pStyle w:val="H1GA"/>
        <w:rPr>
          <w:rFonts w:hint="cs"/>
          <w:rtl/>
        </w:rPr>
      </w:pPr>
      <w:r>
        <w:rPr>
          <w:rFonts w:hint="cs"/>
          <w:rtl/>
        </w:rPr>
        <w:tab/>
      </w:r>
      <w:r w:rsidR="0035353F">
        <w:rPr>
          <w:rFonts w:hint="cs"/>
          <w:rtl/>
        </w:rPr>
        <w:t>جيم -</w:t>
      </w:r>
      <w:r w:rsidR="0035353F">
        <w:rPr>
          <w:rFonts w:hint="cs"/>
          <w:rtl/>
        </w:rPr>
        <w:tab/>
        <w:t>دواعي القلق الرئيسية والتوصيات</w:t>
      </w:r>
    </w:p>
    <w:p w:rsidR="006D7539" w:rsidRDefault="008842B1" w:rsidP="008842B1">
      <w:pPr>
        <w:pStyle w:val="SingleTxtGA"/>
        <w:rPr>
          <w:rFonts w:hint="cs"/>
          <w:sz w:val="22"/>
          <w:rtl/>
        </w:rPr>
      </w:pPr>
      <w:r>
        <w:rPr>
          <w:rFonts w:hint="cs"/>
          <w:sz w:val="22"/>
          <w:rtl/>
        </w:rPr>
        <w:t>5-</w:t>
      </w:r>
      <w:r>
        <w:rPr>
          <w:rFonts w:hint="cs"/>
          <w:sz w:val="22"/>
          <w:rtl/>
        </w:rPr>
        <w:tab/>
        <w:t xml:space="preserve">بينما </w:t>
      </w:r>
      <w:r w:rsidR="0035353F" w:rsidRPr="00DC3E4E">
        <w:rPr>
          <w:rFonts w:hint="cs"/>
          <w:sz w:val="22"/>
          <w:rtl/>
        </w:rPr>
        <w:t>ت</w:t>
      </w:r>
      <w:r w:rsidR="0035353F">
        <w:rPr>
          <w:rFonts w:hint="cs"/>
          <w:sz w:val="22"/>
          <w:rtl/>
        </w:rPr>
        <w:t>أخذ</w:t>
      </w:r>
      <w:r w:rsidR="0035353F" w:rsidRPr="00DC3E4E">
        <w:rPr>
          <w:rFonts w:hint="cs"/>
          <w:sz w:val="22"/>
          <w:rtl/>
        </w:rPr>
        <w:t xml:space="preserve"> اللجنة </w:t>
      </w:r>
      <w:r w:rsidR="0035353F">
        <w:rPr>
          <w:rFonts w:hint="cs"/>
          <w:sz w:val="22"/>
          <w:rtl/>
        </w:rPr>
        <w:t>علماً ب</w:t>
      </w:r>
      <w:r w:rsidR="0035353F" w:rsidRPr="00DC3E4E">
        <w:rPr>
          <w:rFonts w:hint="cs"/>
          <w:sz w:val="22"/>
          <w:rtl/>
        </w:rPr>
        <w:t xml:space="preserve">التزام الدولة الطرف </w:t>
      </w:r>
      <w:r w:rsidR="0035353F">
        <w:rPr>
          <w:rFonts w:hint="cs"/>
          <w:sz w:val="22"/>
          <w:rtl/>
        </w:rPr>
        <w:t>ب</w:t>
      </w:r>
      <w:r w:rsidR="0035353F" w:rsidRPr="00DC3E4E">
        <w:rPr>
          <w:rFonts w:hint="cs"/>
          <w:sz w:val="22"/>
          <w:rtl/>
        </w:rPr>
        <w:t xml:space="preserve">تعديل </w:t>
      </w:r>
      <w:r w:rsidR="0035353F">
        <w:rPr>
          <w:rFonts w:hint="cs"/>
          <w:sz w:val="22"/>
          <w:rtl/>
        </w:rPr>
        <w:t>ال</w:t>
      </w:r>
      <w:r w:rsidR="0035353F" w:rsidRPr="00DC3E4E">
        <w:rPr>
          <w:rFonts w:hint="cs"/>
          <w:sz w:val="22"/>
          <w:rtl/>
        </w:rPr>
        <w:t xml:space="preserve">قانون الذي أنشأ المركز الوطني لحقوق الإنسان (المركز) وذلك بهدف تعزيز ولايته </w:t>
      </w:r>
      <w:r w:rsidR="0035353F">
        <w:rPr>
          <w:rFonts w:hint="cs"/>
          <w:sz w:val="22"/>
          <w:rtl/>
        </w:rPr>
        <w:t>لكي يتمكن</w:t>
      </w:r>
      <w:r w:rsidR="00F2334C">
        <w:rPr>
          <w:rFonts w:hint="cs"/>
          <w:sz w:val="22"/>
          <w:rtl/>
        </w:rPr>
        <w:t xml:space="preserve">، </w:t>
      </w:r>
      <w:r w:rsidR="0035353F" w:rsidRPr="00DC3E4E">
        <w:rPr>
          <w:rFonts w:hint="cs"/>
          <w:sz w:val="22"/>
          <w:rtl/>
        </w:rPr>
        <w:t>مث</w:t>
      </w:r>
      <w:r w:rsidR="0035353F">
        <w:rPr>
          <w:rFonts w:hint="cs"/>
          <w:sz w:val="22"/>
          <w:rtl/>
        </w:rPr>
        <w:t>لاً</w:t>
      </w:r>
      <w:r w:rsidR="00F2334C">
        <w:rPr>
          <w:rFonts w:hint="cs"/>
          <w:sz w:val="22"/>
          <w:rtl/>
        </w:rPr>
        <w:t xml:space="preserve">، </w:t>
      </w:r>
      <w:r w:rsidR="0035353F">
        <w:rPr>
          <w:rFonts w:hint="cs"/>
          <w:sz w:val="22"/>
          <w:rtl/>
        </w:rPr>
        <w:t>من</w:t>
      </w:r>
      <w:r w:rsidR="0035353F" w:rsidRPr="00DC3E4E">
        <w:rPr>
          <w:rFonts w:hint="cs"/>
          <w:sz w:val="22"/>
          <w:rtl/>
        </w:rPr>
        <w:t xml:space="preserve"> إبلاغ السلطة التشريعية عن قضايا حقوق الإنسان الوطنية، </w:t>
      </w:r>
      <w:r>
        <w:rPr>
          <w:rFonts w:hint="cs"/>
          <w:sz w:val="22"/>
          <w:rtl/>
        </w:rPr>
        <w:t xml:space="preserve">تشعر </w:t>
      </w:r>
      <w:r w:rsidR="0035353F" w:rsidRPr="00DC3E4E">
        <w:rPr>
          <w:rFonts w:hint="cs"/>
          <w:sz w:val="22"/>
          <w:rtl/>
        </w:rPr>
        <w:t xml:space="preserve">اللجنة بالقلق </w:t>
      </w:r>
      <w:r w:rsidR="0035353F">
        <w:rPr>
          <w:rFonts w:hint="cs"/>
          <w:sz w:val="22"/>
          <w:rtl/>
        </w:rPr>
        <w:t>لأ</w:t>
      </w:r>
      <w:r w:rsidR="0035353F" w:rsidRPr="00DC3E4E">
        <w:rPr>
          <w:rFonts w:hint="cs"/>
          <w:sz w:val="22"/>
          <w:rtl/>
        </w:rPr>
        <w:t xml:space="preserve">ن </w:t>
      </w:r>
      <w:r w:rsidR="0035353F">
        <w:rPr>
          <w:rFonts w:hint="cs"/>
          <w:sz w:val="22"/>
          <w:rtl/>
        </w:rPr>
        <w:t>ولاية واستقلالية المركز</w:t>
      </w:r>
      <w:r w:rsidR="0035353F" w:rsidRPr="00DC3E4E">
        <w:rPr>
          <w:rFonts w:hint="cs"/>
          <w:sz w:val="22"/>
          <w:rtl/>
        </w:rPr>
        <w:t xml:space="preserve"> محدود</w:t>
      </w:r>
      <w:r w:rsidR="0035353F">
        <w:rPr>
          <w:rFonts w:hint="cs"/>
          <w:sz w:val="22"/>
          <w:rtl/>
        </w:rPr>
        <w:t>ت</w:t>
      </w:r>
      <w:r>
        <w:rPr>
          <w:rFonts w:hint="cs"/>
          <w:sz w:val="22"/>
          <w:rtl/>
        </w:rPr>
        <w:t>ا</w:t>
      </w:r>
      <w:r w:rsidR="0035353F">
        <w:rPr>
          <w:rFonts w:hint="cs"/>
          <w:sz w:val="22"/>
          <w:rtl/>
        </w:rPr>
        <w:t>ن</w:t>
      </w:r>
      <w:r w:rsidR="0035353F" w:rsidRPr="00DC3E4E">
        <w:rPr>
          <w:rFonts w:hint="cs"/>
          <w:sz w:val="22"/>
          <w:rtl/>
        </w:rPr>
        <w:t>، و</w:t>
      </w:r>
      <w:r w:rsidR="0035353F">
        <w:rPr>
          <w:rFonts w:hint="cs"/>
          <w:sz w:val="22"/>
          <w:rtl/>
        </w:rPr>
        <w:t>لأنه لم يزُود</w:t>
      </w:r>
      <w:r w:rsidR="0035353F" w:rsidRPr="00DC3E4E">
        <w:rPr>
          <w:rFonts w:hint="cs"/>
          <w:sz w:val="22"/>
          <w:rtl/>
        </w:rPr>
        <w:t xml:space="preserve"> </w:t>
      </w:r>
      <w:r w:rsidR="0035353F">
        <w:rPr>
          <w:rFonts w:hint="cs"/>
          <w:sz w:val="22"/>
          <w:rtl/>
        </w:rPr>
        <w:t>ب</w:t>
      </w:r>
      <w:r w:rsidR="0035353F" w:rsidRPr="00DC3E4E">
        <w:rPr>
          <w:rFonts w:hint="cs"/>
          <w:sz w:val="22"/>
          <w:rtl/>
        </w:rPr>
        <w:t xml:space="preserve">الموارد الكافية </w:t>
      </w:r>
      <w:r w:rsidR="0035353F">
        <w:rPr>
          <w:rFonts w:hint="cs"/>
          <w:sz w:val="22"/>
          <w:rtl/>
        </w:rPr>
        <w:t xml:space="preserve">لأداء </w:t>
      </w:r>
      <w:r w:rsidR="0035353F" w:rsidRPr="00DC3E4E">
        <w:rPr>
          <w:rFonts w:hint="cs"/>
          <w:sz w:val="22"/>
          <w:rtl/>
        </w:rPr>
        <w:t>مهامه. و</w:t>
      </w:r>
      <w:r w:rsidR="0035353F">
        <w:rPr>
          <w:rFonts w:hint="cs"/>
          <w:sz w:val="22"/>
          <w:rtl/>
        </w:rPr>
        <w:t xml:space="preserve">لذلك، </w:t>
      </w:r>
      <w:r w:rsidR="0035353F" w:rsidRPr="00DC3E4E">
        <w:rPr>
          <w:rFonts w:hint="cs"/>
          <w:sz w:val="22"/>
          <w:rtl/>
        </w:rPr>
        <w:t xml:space="preserve">تأسف اللجنة </w:t>
      </w:r>
      <w:r w:rsidR="0035353F">
        <w:rPr>
          <w:rFonts w:hint="cs"/>
          <w:sz w:val="22"/>
          <w:rtl/>
        </w:rPr>
        <w:t>لأن</w:t>
      </w:r>
      <w:r>
        <w:rPr>
          <w:rFonts w:hint="cs"/>
          <w:sz w:val="22"/>
          <w:rtl/>
        </w:rPr>
        <w:t xml:space="preserve"> المركز لا يفي </w:t>
      </w:r>
      <w:r w:rsidR="0035353F" w:rsidRPr="00DC3E4E">
        <w:rPr>
          <w:rFonts w:hint="cs"/>
          <w:sz w:val="22"/>
          <w:rtl/>
        </w:rPr>
        <w:t>بالمعايير التي حددتها مبادئ باريس (قرار الجمعية العامة 48/134) (المادة 2).</w:t>
      </w:r>
      <w:r>
        <w:rPr>
          <w:rFonts w:hint="cs"/>
          <w:sz w:val="22"/>
          <w:rtl/>
        </w:rPr>
        <w:t xml:space="preserve"> </w:t>
      </w:r>
    </w:p>
    <w:p w:rsidR="008842B1" w:rsidRPr="00CA3B24" w:rsidRDefault="00CA3B24" w:rsidP="00114030">
      <w:pPr>
        <w:pStyle w:val="SingleTxtGA"/>
        <w:rPr>
          <w:rFonts w:hint="cs"/>
          <w:b/>
          <w:bCs/>
          <w:rtl/>
        </w:rPr>
      </w:pPr>
      <w:r>
        <w:rPr>
          <w:rFonts w:hint="cs"/>
          <w:b/>
          <w:bCs/>
          <w:rtl/>
        </w:rPr>
        <w:tab/>
      </w:r>
      <w:r w:rsidR="0035353F" w:rsidRPr="00CA3B24">
        <w:rPr>
          <w:rFonts w:hint="cs"/>
          <w:b/>
          <w:bCs/>
          <w:rtl/>
        </w:rPr>
        <w:t xml:space="preserve">ينبغي للدولة الطرف </w:t>
      </w:r>
      <w:r w:rsidR="008842B1" w:rsidRPr="00CA3B24">
        <w:rPr>
          <w:rFonts w:hint="cs"/>
          <w:b/>
          <w:bCs/>
          <w:rtl/>
        </w:rPr>
        <w:t xml:space="preserve">أن تنقح </w:t>
      </w:r>
      <w:r w:rsidR="0035353F" w:rsidRPr="00CA3B24">
        <w:rPr>
          <w:rFonts w:hint="cs"/>
          <w:b/>
          <w:bCs/>
          <w:rtl/>
        </w:rPr>
        <w:t>القانون الذي أنشأ المركز الوطني لحقوق الإنسان لتوسيع نطاق ولاية المركز واختصاصه بغية النهوض بحماية حقوق الإنسان ورصدها بفعالية. وينبغي للدولة الطرف أيض</w:t>
      </w:r>
      <w:r w:rsidR="00F2334C" w:rsidRPr="00CA3B24">
        <w:rPr>
          <w:rFonts w:hint="cs"/>
          <w:b/>
          <w:bCs/>
          <w:rtl/>
        </w:rPr>
        <w:t xml:space="preserve">اً </w:t>
      </w:r>
      <w:r w:rsidR="0035353F" w:rsidRPr="00CA3B24">
        <w:rPr>
          <w:rFonts w:hint="cs"/>
          <w:b/>
          <w:bCs/>
          <w:rtl/>
        </w:rPr>
        <w:t>أن تتخذ تدابير ملموسة لضمان تزويد المركز بما</w:t>
      </w:r>
      <w:r w:rsidR="00114030">
        <w:rPr>
          <w:rFonts w:hint="eastAsia"/>
          <w:b/>
          <w:bCs/>
          <w:rtl/>
        </w:rPr>
        <w:t> </w:t>
      </w:r>
      <w:r w:rsidR="0035353F" w:rsidRPr="00CA3B24">
        <w:rPr>
          <w:rFonts w:hint="cs"/>
          <w:b/>
          <w:bCs/>
          <w:rtl/>
        </w:rPr>
        <w:t xml:space="preserve">يكفي من </w:t>
      </w:r>
      <w:r w:rsidR="008842B1" w:rsidRPr="00CA3B24">
        <w:rPr>
          <w:rFonts w:hint="cs"/>
          <w:b/>
          <w:bCs/>
          <w:rtl/>
        </w:rPr>
        <w:t>ال</w:t>
      </w:r>
      <w:r w:rsidR="0035353F" w:rsidRPr="00CA3B24">
        <w:rPr>
          <w:rFonts w:hint="cs"/>
          <w:b/>
          <w:bCs/>
          <w:rtl/>
        </w:rPr>
        <w:t xml:space="preserve">موارد </w:t>
      </w:r>
      <w:r w:rsidR="008842B1" w:rsidRPr="00CA3B24">
        <w:rPr>
          <w:rFonts w:hint="cs"/>
          <w:b/>
          <w:bCs/>
          <w:rtl/>
        </w:rPr>
        <w:t>ال</w:t>
      </w:r>
      <w:r w:rsidR="0035353F" w:rsidRPr="00CA3B24">
        <w:rPr>
          <w:rFonts w:hint="cs"/>
          <w:b/>
          <w:bCs/>
          <w:rtl/>
        </w:rPr>
        <w:t>مالية و</w:t>
      </w:r>
      <w:r w:rsidR="008842B1" w:rsidRPr="00CA3B24">
        <w:rPr>
          <w:rFonts w:hint="cs"/>
          <w:b/>
          <w:bCs/>
          <w:rtl/>
        </w:rPr>
        <w:t>ال</w:t>
      </w:r>
      <w:r w:rsidR="0035353F" w:rsidRPr="00CA3B24">
        <w:rPr>
          <w:rFonts w:hint="cs"/>
          <w:b/>
          <w:bCs/>
          <w:rtl/>
        </w:rPr>
        <w:t xml:space="preserve">بشرية </w:t>
      </w:r>
      <w:r w:rsidR="008842B1" w:rsidRPr="00CA3B24">
        <w:rPr>
          <w:rFonts w:hint="cs"/>
          <w:b/>
          <w:bCs/>
          <w:rtl/>
        </w:rPr>
        <w:t xml:space="preserve">وفقاً لمبادئ </w:t>
      </w:r>
      <w:r w:rsidR="0035353F" w:rsidRPr="00CA3B24">
        <w:rPr>
          <w:rFonts w:hint="cs"/>
          <w:b/>
          <w:bCs/>
          <w:rtl/>
        </w:rPr>
        <w:t>باريس.</w:t>
      </w:r>
    </w:p>
    <w:p w:rsidR="008842B1" w:rsidRDefault="0035353F" w:rsidP="006D50C1">
      <w:pPr>
        <w:pStyle w:val="SingleTxtGA"/>
        <w:rPr>
          <w:rFonts w:hint="cs"/>
          <w:b/>
          <w:bCs/>
          <w:sz w:val="22"/>
          <w:rtl/>
        </w:rPr>
      </w:pPr>
      <w:r w:rsidRPr="00DC3E4E">
        <w:rPr>
          <w:rFonts w:hint="cs"/>
          <w:sz w:val="22"/>
          <w:rtl/>
        </w:rPr>
        <w:t>6</w:t>
      </w:r>
      <w:r>
        <w:rPr>
          <w:rFonts w:hint="cs"/>
          <w:sz w:val="22"/>
          <w:rtl/>
        </w:rPr>
        <w:t>-</w:t>
      </w:r>
      <w:r w:rsidR="008842B1">
        <w:rPr>
          <w:rFonts w:hint="cs"/>
          <w:sz w:val="22"/>
          <w:rtl/>
        </w:rPr>
        <w:tab/>
      </w:r>
      <w:r>
        <w:rPr>
          <w:rFonts w:hint="cs"/>
          <w:sz w:val="22"/>
          <w:rtl/>
        </w:rPr>
        <w:t>وفيما</w:t>
      </w:r>
      <w:r w:rsidRPr="00DC3E4E">
        <w:rPr>
          <w:rFonts w:hint="cs"/>
          <w:sz w:val="22"/>
          <w:rtl/>
        </w:rPr>
        <w:t xml:space="preserve"> تحيط اللجنة علم</w:t>
      </w:r>
      <w:r w:rsidR="00F2334C">
        <w:rPr>
          <w:rFonts w:hint="cs"/>
          <w:sz w:val="22"/>
          <w:rtl/>
        </w:rPr>
        <w:t xml:space="preserve">اً </w:t>
      </w:r>
      <w:r w:rsidRPr="00DC3E4E">
        <w:rPr>
          <w:rFonts w:hint="cs"/>
          <w:sz w:val="22"/>
          <w:rtl/>
        </w:rPr>
        <w:t xml:space="preserve">بأن معاهدات حقوق الإنسان الدولية التي صدقت </w:t>
      </w:r>
      <w:r>
        <w:rPr>
          <w:rFonts w:hint="cs"/>
          <w:sz w:val="22"/>
          <w:rtl/>
        </w:rPr>
        <w:t xml:space="preserve">عليها </w:t>
      </w:r>
      <w:r w:rsidRPr="00DC3E4E">
        <w:rPr>
          <w:rFonts w:hint="cs"/>
          <w:sz w:val="22"/>
          <w:rtl/>
        </w:rPr>
        <w:t>الدولة الطرف</w:t>
      </w:r>
      <w:r w:rsidR="00F2334C">
        <w:rPr>
          <w:rFonts w:hint="cs"/>
          <w:sz w:val="22"/>
          <w:rtl/>
        </w:rPr>
        <w:t xml:space="preserve">، </w:t>
      </w:r>
      <w:r w:rsidRPr="00DC3E4E">
        <w:rPr>
          <w:rFonts w:hint="cs"/>
          <w:sz w:val="22"/>
          <w:rtl/>
        </w:rPr>
        <w:t>و</w:t>
      </w:r>
      <w:r>
        <w:rPr>
          <w:rFonts w:hint="cs"/>
          <w:sz w:val="22"/>
          <w:rtl/>
        </w:rPr>
        <w:t>أ</w:t>
      </w:r>
      <w:r w:rsidRPr="00DC3E4E">
        <w:rPr>
          <w:rFonts w:hint="cs"/>
          <w:sz w:val="22"/>
          <w:rtl/>
        </w:rPr>
        <w:t>صدر</w:t>
      </w:r>
      <w:r>
        <w:rPr>
          <w:rFonts w:hint="cs"/>
          <w:sz w:val="22"/>
          <w:rtl/>
        </w:rPr>
        <w:t>تها في شكل قانون</w:t>
      </w:r>
      <w:r w:rsidR="00F2334C">
        <w:rPr>
          <w:rFonts w:hint="cs"/>
          <w:sz w:val="22"/>
          <w:rtl/>
        </w:rPr>
        <w:t xml:space="preserve">، </w:t>
      </w:r>
      <w:r w:rsidRPr="00DC3E4E">
        <w:rPr>
          <w:rFonts w:hint="cs"/>
          <w:sz w:val="22"/>
          <w:rtl/>
        </w:rPr>
        <w:t>لها الأسبقية على القوانين الوطنية</w:t>
      </w:r>
      <w:r w:rsidR="00F2334C">
        <w:rPr>
          <w:rFonts w:hint="cs"/>
          <w:sz w:val="22"/>
          <w:rtl/>
        </w:rPr>
        <w:t xml:space="preserve">، </w:t>
      </w:r>
      <w:r w:rsidRPr="00DC3E4E">
        <w:rPr>
          <w:rFonts w:hint="cs"/>
          <w:sz w:val="22"/>
          <w:rtl/>
        </w:rPr>
        <w:t xml:space="preserve">تشعر </w:t>
      </w:r>
      <w:r w:rsidR="008842B1">
        <w:rPr>
          <w:rFonts w:hint="cs"/>
          <w:sz w:val="22"/>
          <w:rtl/>
        </w:rPr>
        <w:t xml:space="preserve">اللجنة </w:t>
      </w:r>
      <w:r>
        <w:rPr>
          <w:rFonts w:hint="cs"/>
          <w:sz w:val="22"/>
          <w:rtl/>
        </w:rPr>
        <w:t>بالقلق</w:t>
      </w:r>
      <w:r w:rsidRPr="00DC3E4E">
        <w:rPr>
          <w:rFonts w:hint="cs"/>
          <w:sz w:val="22"/>
          <w:rtl/>
        </w:rPr>
        <w:t xml:space="preserve"> </w:t>
      </w:r>
      <w:r>
        <w:rPr>
          <w:rFonts w:hint="cs"/>
          <w:sz w:val="22"/>
          <w:rtl/>
        </w:rPr>
        <w:t>لأ</w:t>
      </w:r>
      <w:r w:rsidRPr="00DC3E4E">
        <w:rPr>
          <w:rFonts w:hint="cs"/>
          <w:sz w:val="22"/>
          <w:rtl/>
        </w:rPr>
        <w:t xml:space="preserve">نه </w:t>
      </w:r>
      <w:r>
        <w:rPr>
          <w:rFonts w:hint="cs"/>
          <w:sz w:val="22"/>
          <w:rtl/>
        </w:rPr>
        <w:t>لم يتم الاحتجاج ب</w:t>
      </w:r>
      <w:r w:rsidRPr="00DC3E4E">
        <w:rPr>
          <w:rFonts w:hint="cs"/>
          <w:sz w:val="22"/>
          <w:rtl/>
        </w:rPr>
        <w:t>أحكام العهد أمام المحاكم الوطنية منذ النظر في التقرير السابق للدولة الطرف (المادة 2).</w:t>
      </w:r>
    </w:p>
    <w:p w:rsidR="008842B1" w:rsidRPr="00114030" w:rsidRDefault="00CA3B24" w:rsidP="00CA3B24">
      <w:pPr>
        <w:pStyle w:val="SingleTxtGA"/>
        <w:rPr>
          <w:rFonts w:hint="cs"/>
          <w:spacing w:val="-2"/>
          <w:sz w:val="22"/>
          <w:rtl/>
        </w:rPr>
      </w:pPr>
      <w:r w:rsidRPr="00114030">
        <w:rPr>
          <w:b/>
          <w:bCs/>
          <w:spacing w:val="-2"/>
          <w:sz w:val="22"/>
          <w:rtl/>
        </w:rPr>
        <w:tab/>
      </w:r>
      <w:r w:rsidR="0035353F" w:rsidRPr="00114030">
        <w:rPr>
          <w:rFonts w:hint="cs"/>
          <w:b/>
          <w:bCs/>
          <w:spacing w:val="-2"/>
          <w:sz w:val="22"/>
          <w:rtl/>
        </w:rPr>
        <w:t xml:space="preserve">ينبغي للدولة الطرف أن تتخذ التدابير المناسبة لبث الوعي بالعهد بين القضاة والمحامين والمدعين العامين لضمان </w:t>
      </w:r>
      <w:r w:rsidR="008842B1" w:rsidRPr="00114030">
        <w:rPr>
          <w:rFonts w:hint="cs"/>
          <w:b/>
          <w:bCs/>
          <w:spacing w:val="-2"/>
          <w:sz w:val="22"/>
          <w:rtl/>
        </w:rPr>
        <w:t xml:space="preserve">مراعاة </w:t>
      </w:r>
      <w:r w:rsidR="0035353F" w:rsidRPr="00114030">
        <w:rPr>
          <w:rFonts w:hint="cs"/>
          <w:b/>
          <w:bCs/>
          <w:spacing w:val="-2"/>
          <w:sz w:val="22"/>
          <w:rtl/>
        </w:rPr>
        <w:t>أحكامه أمام المحاكم الوطنية. وفي هذا الصدد</w:t>
      </w:r>
      <w:r w:rsidR="00F2334C" w:rsidRPr="00114030">
        <w:rPr>
          <w:rFonts w:hint="cs"/>
          <w:b/>
          <w:bCs/>
          <w:spacing w:val="-2"/>
          <w:sz w:val="22"/>
          <w:rtl/>
        </w:rPr>
        <w:t xml:space="preserve">، </w:t>
      </w:r>
      <w:r w:rsidR="0035353F" w:rsidRPr="00114030">
        <w:rPr>
          <w:rFonts w:hint="cs"/>
          <w:b/>
          <w:bCs/>
          <w:spacing w:val="-2"/>
          <w:sz w:val="22"/>
          <w:rtl/>
        </w:rPr>
        <w:t>ينبغي للدولة الطرف أن تتخذ تدابير فعالة لنشر العهد</w:t>
      </w:r>
      <w:r w:rsidR="008842B1" w:rsidRPr="00114030">
        <w:rPr>
          <w:rFonts w:hint="cs"/>
          <w:b/>
          <w:bCs/>
          <w:spacing w:val="-2"/>
          <w:sz w:val="22"/>
          <w:rtl/>
        </w:rPr>
        <w:t xml:space="preserve"> </w:t>
      </w:r>
      <w:r w:rsidR="0035353F" w:rsidRPr="00114030">
        <w:rPr>
          <w:rFonts w:hint="cs"/>
          <w:b/>
          <w:bCs/>
          <w:spacing w:val="-2"/>
          <w:sz w:val="22"/>
          <w:rtl/>
        </w:rPr>
        <w:t>في الدولة الطرف</w:t>
      </w:r>
      <w:r w:rsidR="008842B1" w:rsidRPr="00114030">
        <w:rPr>
          <w:rFonts w:hint="cs"/>
          <w:b/>
          <w:bCs/>
          <w:spacing w:val="-2"/>
          <w:sz w:val="22"/>
          <w:rtl/>
        </w:rPr>
        <w:t xml:space="preserve"> على نطاق واسع</w:t>
      </w:r>
      <w:r w:rsidR="0035353F" w:rsidRPr="00114030">
        <w:rPr>
          <w:rFonts w:hint="cs"/>
          <w:b/>
          <w:bCs/>
          <w:spacing w:val="-2"/>
          <w:sz w:val="22"/>
          <w:rtl/>
        </w:rPr>
        <w:t>.</w:t>
      </w:r>
    </w:p>
    <w:p w:rsidR="00AA7C5F" w:rsidRDefault="0035353F" w:rsidP="00AA7C5F">
      <w:pPr>
        <w:pStyle w:val="SingleTxtGA"/>
        <w:rPr>
          <w:rFonts w:hint="cs"/>
          <w:b/>
          <w:bCs/>
          <w:sz w:val="22"/>
          <w:rtl/>
        </w:rPr>
      </w:pPr>
      <w:r w:rsidRPr="00DC3E4E">
        <w:rPr>
          <w:rFonts w:hint="cs"/>
          <w:sz w:val="22"/>
          <w:rtl/>
        </w:rPr>
        <w:t>7</w:t>
      </w:r>
      <w:r>
        <w:rPr>
          <w:rFonts w:hint="cs"/>
          <w:sz w:val="22"/>
          <w:rtl/>
        </w:rPr>
        <w:t>-</w:t>
      </w:r>
      <w:r w:rsidR="008842B1">
        <w:rPr>
          <w:rFonts w:hint="cs"/>
          <w:sz w:val="22"/>
          <w:rtl/>
        </w:rPr>
        <w:tab/>
        <w:t xml:space="preserve">وبينما </w:t>
      </w:r>
      <w:r>
        <w:rPr>
          <w:rFonts w:hint="cs"/>
          <w:sz w:val="22"/>
          <w:rtl/>
        </w:rPr>
        <w:t xml:space="preserve">تقدر </w:t>
      </w:r>
      <w:r w:rsidRPr="00DC3E4E">
        <w:rPr>
          <w:rFonts w:hint="cs"/>
          <w:sz w:val="22"/>
          <w:rtl/>
        </w:rPr>
        <w:t>اللجنة الجهود التي تبذلها الدولة الطرف لوضع م</w:t>
      </w:r>
      <w:r w:rsidR="008842B1">
        <w:rPr>
          <w:rFonts w:hint="cs"/>
          <w:sz w:val="22"/>
          <w:rtl/>
        </w:rPr>
        <w:t xml:space="preserve">شروع </w:t>
      </w:r>
      <w:r w:rsidRPr="00DC3E4E">
        <w:rPr>
          <w:rFonts w:hint="cs"/>
          <w:sz w:val="22"/>
          <w:rtl/>
        </w:rPr>
        <w:t xml:space="preserve">قانون يسعى </w:t>
      </w:r>
      <w:r>
        <w:rPr>
          <w:rFonts w:hint="cs"/>
          <w:sz w:val="22"/>
          <w:rtl/>
        </w:rPr>
        <w:t>إلى إسناد الصلاحية ل</w:t>
      </w:r>
      <w:r w:rsidRPr="00DC3E4E">
        <w:rPr>
          <w:rFonts w:hint="cs"/>
          <w:sz w:val="22"/>
          <w:rtl/>
        </w:rPr>
        <w:t>لمحكمة الدستورية للبت في مدى توافق التشريعات المحلية مع المعاه</w:t>
      </w:r>
      <w:r w:rsidR="008842B1">
        <w:rPr>
          <w:rFonts w:hint="cs"/>
          <w:sz w:val="22"/>
          <w:rtl/>
        </w:rPr>
        <w:t>دات الدولية</w:t>
      </w:r>
      <w:r w:rsidRPr="00DC3E4E">
        <w:rPr>
          <w:rFonts w:hint="cs"/>
          <w:sz w:val="22"/>
          <w:rtl/>
        </w:rPr>
        <w:t xml:space="preserve">، </w:t>
      </w:r>
      <w:r w:rsidR="008842B1">
        <w:rPr>
          <w:rFonts w:hint="cs"/>
          <w:sz w:val="22"/>
          <w:rtl/>
        </w:rPr>
        <w:t xml:space="preserve">اللجنة </w:t>
      </w:r>
      <w:r w:rsidRPr="00DC3E4E">
        <w:rPr>
          <w:rFonts w:hint="cs"/>
          <w:sz w:val="22"/>
          <w:rtl/>
        </w:rPr>
        <w:t xml:space="preserve">تلاحظ أن </w:t>
      </w:r>
      <w:r w:rsidR="00AA7C5F">
        <w:rPr>
          <w:rFonts w:hint="cs"/>
          <w:sz w:val="22"/>
          <w:rtl/>
        </w:rPr>
        <w:t xml:space="preserve">المشروع لم يصدر في شكل قانون (المادة 2). </w:t>
      </w:r>
    </w:p>
    <w:p w:rsidR="00AA7C5F" w:rsidRDefault="00CA3B24" w:rsidP="00CA3B24">
      <w:pPr>
        <w:pStyle w:val="SingleTxtGA"/>
        <w:rPr>
          <w:rFonts w:hint="cs"/>
          <w:b/>
          <w:bCs/>
          <w:sz w:val="22"/>
          <w:rtl/>
        </w:rPr>
      </w:pPr>
      <w:r>
        <w:rPr>
          <w:b/>
          <w:bCs/>
          <w:sz w:val="22"/>
          <w:rtl/>
        </w:rPr>
        <w:tab/>
      </w:r>
      <w:r w:rsidR="0035353F" w:rsidRPr="000904B2">
        <w:rPr>
          <w:rFonts w:hint="cs"/>
          <w:b/>
          <w:bCs/>
          <w:sz w:val="22"/>
          <w:rtl/>
        </w:rPr>
        <w:t xml:space="preserve">تشجع اللجنة الدولة الطرف على ضمان سن هذا </w:t>
      </w:r>
      <w:r w:rsidR="00AA7C5F">
        <w:rPr>
          <w:rFonts w:hint="cs"/>
          <w:b/>
          <w:bCs/>
          <w:sz w:val="22"/>
          <w:rtl/>
        </w:rPr>
        <w:t xml:space="preserve">المشروع </w:t>
      </w:r>
      <w:r w:rsidR="0035353F" w:rsidRPr="000904B2">
        <w:rPr>
          <w:rFonts w:hint="cs"/>
          <w:b/>
          <w:bCs/>
          <w:sz w:val="22"/>
          <w:rtl/>
        </w:rPr>
        <w:t>في شكل قانون ينص على جبر الأشخاص الذين يدعون انتهاك حقوقهم بسبب عدم توافق أحكام القانون الوطني مع المعاهدات الدولية التي صدقت عليها الدولة الطرف.</w:t>
      </w:r>
    </w:p>
    <w:p w:rsidR="00AA7C5F" w:rsidRDefault="0035353F" w:rsidP="00AA7C5F">
      <w:pPr>
        <w:pStyle w:val="SingleTxtGA"/>
        <w:rPr>
          <w:rFonts w:hint="cs"/>
          <w:sz w:val="22"/>
          <w:rtl/>
        </w:rPr>
      </w:pPr>
      <w:r w:rsidRPr="00DC3E4E">
        <w:rPr>
          <w:rFonts w:hint="cs"/>
          <w:sz w:val="22"/>
          <w:rtl/>
        </w:rPr>
        <w:t>8</w:t>
      </w:r>
      <w:r>
        <w:rPr>
          <w:rFonts w:hint="cs"/>
          <w:sz w:val="22"/>
          <w:rtl/>
        </w:rPr>
        <w:t>-</w:t>
      </w:r>
      <w:r w:rsidR="00AA7C5F">
        <w:rPr>
          <w:rFonts w:hint="cs"/>
          <w:sz w:val="22"/>
          <w:rtl/>
        </w:rPr>
        <w:tab/>
        <w:t xml:space="preserve">وبينما </w:t>
      </w:r>
      <w:r>
        <w:rPr>
          <w:rFonts w:hint="cs"/>
          <w:sz w:val="22"/>
          <w:rtl/>
        </w:rPr>
        <w:t>ترحب اللجنة</w:t>
      </w:r>
      <w:r w:rsidRPr="00DC3E4E">
        <w:rPr>
          <w:rFonts w:hint="cs"/>
          <w:sz w:val="22"/>
          <w:rtl/>
        </w:rPr>
        <w:t xml:space="preserve"> بالجهود التي تبذلها الدولة الطرف </w:t>
      </w:r>
      <w:r>
        <w:rPr>
          <w:rFonts w:hint="cs"/>
          <w:sz w:val="22"/>
          <w:rtl/>
        </w:rPr>
        <w:t>لمقاضاة</w:t>
      </w:r>
      <w:r w:rsidRPr="00DC3E4E">
        <w:rPr>
          <w:rFonts w:hint="cs"/>
          <w:sz w:val="22"/>
          <w:rtl/>
        </w:rPr>
        <w:t xml:space="preserve"> </w:t>
      </w:r>
      <w:r>
        <w:rPr>
          <w:rFonts w:hint="cs"/>
          <w:sz w:val="22"/>
          <w:rtl/>
        </w:rPr>
        <w:t>الموظفين المكلفين ب</w:t>
      </w:r>
      <w:r w:rsidRPr="00DC3E4E">
        <w:rPr>
          <w:rFonts w:hint="cs"/>
          <w:sz w:val="22"/>
          <w:rtl/>
        </w:rPr>
        <w:t xml:space="preserve">إنفاذ القانون الذين يرتكبون اعتداءات </w:t>
      </w:r>
      <w:r>
        <w:rPr>
          <w:rFonts w:hint="cs"/>
          <w:sz w:val="22"/>
          <w:rtl/>
        </w:rPr>
        <w:t>تقوم على ال</w:t>
      </w:r>
      <w:r w:rsidRPr="00DC3E4E">
        <w:rPr>
          <w:rFonts w:hint="cs"/>
          <w:sz w:val="22"/>
          <w:rtl/>
        </w:rPr>
        <w:t>عنصرية</w:t>
      </w:r>
      <w:r w:rsidR="00F2334C">
        <w:rPr>
          <w:rFonts w:hint="cs"/>
          <w:sz w:val="22"/>
          <w:rtl/>
        </w:rPr>
        <w:t xml:space="preserve">، </w:t>
      </w:r>
      <w:r w:rsidRPr="00DC3E4E">
        <w:rPr>
          <w:rFonts w:hint="cs"/>
          <w:sz w:val="22"/>
          <w:rtl/>
        </w:rPr>
        <w:t>ولا سيما ضد ال</w:t>
      </w:r>
      <w:r>
        <w:rPr>
          <w:rFonts w:hint="cs"/>
          <w:sz w:val="22"/>
          <w:rtl/>
        </w:rPr>
        <w:t>روما</w:t>
      </w:r>
      <w:r w:rsidRPr="00DC3E4E">
        <w:rPr>
          <w:rFonts w:hint="cs"/>
          <w:sz w:val="22"/>
          <w:rtl/>
        </w:rPr>
        <w:t xml:space="preserve">، </w:t>
      </w:r>
      <w:r>
        <w:rPr>
          <w:rFonts w:hint="cs"/>
          <w:sz w:val="22"/>
          <w:rtl/>
        </w:rPr>
        <w:t>تلاحظ</w:t>
      </w:r>
      <w:r w:rsidRPr="00DC3E4E">
        <w:rPr>
          <w:rFonts w:hint="cs"/>
          <w:sz w:val="22"/>
          <w:rtl/>
        </w:rPr>
        <w:t xml:space="preserve"> </w:t>
      </w:r>
      <w:r w:rsidR="00AA7C5F">
        <w:rPr>
          <w:rFonts w:hint="cs"/>
          <w:sz w:val="22"/>
          <w:rtl/>
        </w:rPr>
        <w:t xml:space="preserve">اللجنة استمرار الإبلاغ عن الهجمات العنصرية </w:t>
      </w:r>
      <w:r w:rsidRPr="00DC3E4E">
        <w:rPr>
          <w:rFonts w:hint="cs"/>
          <w:sz w:val="22"/>
          <w:rtl/>
        </w:rPr>
        <w:t>و</w:t>
      </w:r>
      <w:r>
        <w:rPr>
          <w:rFonts w:hint="cs"/>
          <w:sz w:val="22"/>
          <w:rtl/>
        </w:rPr>
        <w:t>عدم تقديم</w:t>
      </w:r>
      <w:r w:rsidRPr="00DC3E4E">
        <w:rPr>
          <w:rFonts w:hint="cs"/>
          <w:sz w:val="22"/>
          <w:rtl/>
        </w:rPr>
        <w:t xml:space="preserve"> تعويضات </w:t>
      </w:r>
      <w:r>
        <w:rPr>
          <w:rFonts w:hint="cs"/>
          <w:sz w:val="22"/>
          <w:rtl/>
        </w:rPr>
        <w:t>مناسبة</w:t>
      </w:r>
      <w:r w:rsidRPr="00DC3E4E">
        <w:rPr>
          <w:rFonts w:hint="cs"/>
          <w:sz w:val="22"/>
          <w:rtl/>
        </w:rPr>
        <w:t xml:space="preserve"> للضحايا (المادتان 2 و27).</w:t>
      </w:r>
    </w:p>
    <w:p w:rsidR="0035353F" w:rsidRDefault="00CA3B24" w:rsidP="00CA3B24">
      <w:pPr>
        <w:pStyle w:val="SingleTxtGA"/>
        <w:rPr>
          <w:rFonts w:hint="cs"/>
          <w:sz w:val="22"/>
          <w:rtl/>
        </w:rPr>
      </w:pPr>
      <w:r>
        <w:rPr>
          <w:b/>
          <w:bCs/>
          <w:sz w:val="22"/>
          <w:rtl/>
        </w:rPr>
        <w:tab/>
      </w:r>
      <w:r w:rsidR="0035353F" w:rsidRPr="005E0BF1">
        <w:rPr>
          <w:rFonts w:hint="cs"/>
          <w:b/>
          <w:bCs/>
          <w:sz w:val="22"/>
          <w:rtl/>
        </w:rPr>
        <w:t xml:space="preserve">ينبغي للدولة الطرف تعزيز جهودها لمكافحة </w:t>
      </w:r>
      <w:r w:rsidR="00AA7C5F">
        <w:rPr>
          <w:rFonts w:hint="cs"/>
          <w:b/>
          <w:bCs/>
          <w:sz w:val="22"/>
          <w:rtl/>
        </w:rPr>
        <w:t xml:space="preserve">الهجمات </w:t>
      </w:r>
      <w:r w:rsidR="0035353F" w:rsidRPr="005E0BF1">
        <w:rPr>
          <w:rFonts w:hint="cs"/>
          <w:b/>
          <w:bCs/>
          <w:sz w:val="22"/>
          <w:rtl/>
        </w:rPr>
        <w:t xml:space="preserve">العنصرية التي </w:t>
      </w:r>
      <w:r w:rsidR="0035353F">
        <w:rPr>
          <w:rFonts w:hint="cs"/>
          <w:b/>
          <w:bCs/>
          <w:sz w:val="22"/>
          <w:rtl/>
        </w:rPr>
        <w:t>ي</w:t>
      </w:r>
      <w:r w:rsidR="0035353F" w:rsidRPr="005E0BF1">
        <w:rPr>
          <w:rFonts w:hint="cs"/>
          <w:b/>
          <w:bCs/>
          <w:sz w:val="22"/>
          <w:rtl/>
        </w:rPr>
        <w:t xml:space="preserve">رتكبها الموظفون المكلفون بإنفاذ </w:t>
      </w:r>
      <w:r w:rsidR="0035353F">
        <w:rPr>
          <w:rFonts w:hint="cs"/>
          <w:b/>
          <w:bCs/>
          <w:sz w:val="22"/>
          <w:rtl/>
        </w:rPr>
        <w:t>القانون</w:t>
      </w:r>
      <w:r w:rsidR="0035353F" w:rsidRPr="005E0BF1">
        <w:rPr>
          <w:rFonts w:hint="cs"/>
          <w:b/>
          <w:bCs/>
          <w:sz w:val="22"/>
          <w:rtl/>
        </w:rPr>
        <w:t>، ولا سيما ضد ال</w:t>
      </w:r>
      <w:r w:rsidR="0035353F">
        <w:rPr>
          <w:rFonts w:hint="cs"/>
          <w:b/>
          <w:bCs/>
          <w:sz w:val="22"/>
          <w:rtl/>
        </w:rPr>
        <w:t>روما</w:t>
      </w:r>
      <w:r w:rsidR="0035353F" w:rsidRPr="005E0BF1">
        <w:rPr>
          <w:rFonts w:hint="cs"/>
          <w:b/>
          <w:bCs/>
          <w:sz w:val="22"/>
          <w:rtl/>
        </w:rPr>
        <w:t xml:space="preserve">، </w:t>
      </w:r>
      <w:r w:rsidR="0035353F">
        <w:rPr>
          <w:rFonts w:hint="cs"/>
          <w:b/>
          <w:bCs/>
          <w:sz w:val="22"/>
          <w:rtl/>
        </w:rPr>
        <w:t>بسبل منها</w:t>
      </w:r>
      <w:r w:rsidR="0035353F" w:rsidRPr="005E0BF1">
        <w:rPr>
          <w:rFonts w:hint="cs"/>
          <w:b/>
          <w:bCs/>
          <w:sz w:val="22"/>
          <w:rtl/>
        </w:rPr>
        <w:t xml:space="preserve">، توفير تدريب خاص </w:t>
      </w:r>
      <w:r w:rsidR="0035353F">
        <w:rPr>
          <w:rFonts w:hint="cs"/>
          <w:b/>
          <w:bCs/>
          <w:sz w:val="22"/>
          <w:rtl/>
        </w:rPr>
        <w:t>ل</w:t>
      </w:r>
      <w:r w:rsidR="0035353F" w:rsidRPr="005E0BF1">
        <w:rPr>
          <w:rFonts w:hint="cs"/>
          <w:b/>
          <w:bCs/>
          <w:sz w:val="22"/>
          <w:rtl/>
        </w:rPr>
        <w:t>لموظفي</w:t>
      </w:r>
      <w:r w:rsidR="0035353F">
        <w:rPr>
          <w:rFonts w:hint="cs"/>
          <w:b/>
          <w:bCs/>
          <w:sz w:val="22"/>
          <w:rtl/>
        </w:rPr>
        <w:t>ن</w:t>
      </w:r>
      <w:r w:rsidR="0035353F" w:rsidRPr="005E0BF1">
        <w:rPr>
          <w:rFonts w:hint="cs"/>
          <w:b/>
          <w:bCs/>
          <w:sz w:val="22"/>
          <w:rtl/>
        </w:rPr>
        <w:t xml:space="preserve"> </w:t>
      </w:r>
      <w:r w:rsidR="0035353F">
        <w:rPr>
          <w:rFonts w:hint="cs"/>
          <w:b/>
          <w:bCs/>
          <w:sz w:val="22"/>
          <w:rtl/>
        </w:rPr>
        <w:t>المكلفين ب</w:t>
      </w:r>
      <w:r w:rsidR="0035353F" w:rsidRPr="005E0BF1">
        <w:rPr>
          <w:rFonts w:hint="cs"/>
          <w:b/>
          <w:bCs/>
          <w:sz w:val="22"/>
          <w:rtl/>
        </w:rPr>
        <w:t xml:space="preserve">إنفاذ </w:t>
      </w:r>
      <w:r w:rsidR="0035353F">
        <w:rPr>
          <w:rFonts w:hint="cs"/>
          <w:b/>
          <w:bCs/>
          <w:sz w:val="22"/>
          <w:rtl/>
        </w:rPr>
        <w:t>القانون</w:t>
      </w:r>
      <w:r w:rsidR="0035353F" w:rsidRPr="005E0BF1">
        <w:rPr>
          <w:rFonts w:hint="cs"/>
          <w:b/>
          <w:bCs/>
          <w:sz w:val="22"/>
          <w:rtl/>
        </w:rPr>
        <w:t xml:space="preserve"> </w:t>
      </w:r>
      <w:r w:rsidR="0035353F">
        <w:rPr>
          <w:rFonts w:hint="cs"/>
          <w:b/>
          <w:bCs/>
          <w:sz w:val="22"/>
          <w:rtl/>
        </w:rPr>
        <w:t>ي</w:t>
      </w:r>
      <w:r w:rsidR="0035353F" w:rsidRPr="005E0BF1">
        <w:rPr>
          <w:rFonts w:hint="cs"/>
          <w:b/>
          <w:bCs/>
          <w:sz w:val="22"/>
          <w:rtl/>
        </w:rPr>
        <w:t xml:space="preserve">رمي إلى تعزيز احترام حقوق الإنسان والتسامح </w:t>
      </w:r>
      <w:r w:rsidR="0035353F">
        <w:rPr>
          <w:rFonts w:hint="cs"/>
          <w:b/>
          <w:bCs/>
          <w:sz w:val="22"/>
          <w:rtl/>
        </w:rPr>
        <w:t>إزاء</w:t>
      </w:r>
      <w:r w:rsidR="0035353F" w:rsidRPr="005E0BF1">
        <w:rPr>
          <w:rFonts w:hint="cs"/>
          <w:b/>
          <w:bCs/>
          <w:sz w:val="22"/>
          <w:rtl/>
        </w:rPr>
        <w:t xml:space="preserve"> التنوع. </w:t>
      </w:r>
      <w:r w:rsidR="0035353F">
        <w:rPr>
          <w:rFonts w:hint="cs"/>
          <w:b/>
          <w:bCs/>
          <w:sz w:val="22"/>
          <w:rtl/>
        </w:rPr>
        <w:t>و</w:t>
      </w:r>
      <w:r w:rsidR="0035353F" w:rsidRPr="005E0BF1">
        <w:rPr>
          <w:rFonts w:hint="cs"/>
          <w:b/>
          <w:bCs/>
          <w:sz w:val="22"/>
          <w:rtl/>
        </w:rPr>
        <w:t>ينبغي للدولة الطرف</w:t>
      </w:r>
      <w:r w:rsidR="0035353F">
        <w:rPr>
          <w:rFonts w:hint="cs"/>
          <w:b/>
          <w:bCs/>
          <w:sz w:val="22"/>
          <w:rtl/>
        </w:rPr>
        <w:t>،</w:t>
      </w:r>
      <w:r w:rsidR="0035353F" w:rsidRPr="005E0BF1">
        <w:rPr>
          <w:rFonts w:hint="cs"/>
          <w:b/>
          <w:bCs/>
          <w:sz w:val="22"/>
          <w:rtl/>
        </w:rPr>
        <w:t xml:space="preserve"> أيض</w:t>
      </w:r>
      <w:r w:rsidR="00F2334C">
        <w:rPr>
          <w:rFonts w:hint="cs"/>
          <w:b/>
          <w:bCs/>
          <w:sz w:val="22"/>
          <w:rtl/>
        </w:rPr>
        <w:t xml:space="preserve">اً، </w:t>
      </w:r>
      <w:r w:rsidR="0035353F" w:rsidRPr="005E0BF1">
        <w:rPr>
          <w:rFonts w:hint="cs"/>
          <w:b/>
          <w:bCs/>
          <w:sz w:val="22"/>
          <w:rtl/>
        </w:rPr>
        <w:t xml:space="preserve">أن تعزز جهودها الرامية إلى ضمان إجراء </w:t>
      </w:r>
      <w:r w:rsidR="00AA7C5F">
        <w:rPr>
          <w:rFonts w:hint="cs"/>
          <w:b/>
          <w:bCs/>
          <w:sz w:val="22"/>
          <w:rtl/>
        </w:rPr>
        <w:t>تحقيق دقيق م</w:t>
      </w:r>
      <w:r w:rsidR="0035353F">
        <w:rPr>
          <w:rFonts w:hint="cs"/>
          <w:b/>
          <w:bCs/>
          <w:sz w:val="22"/>
          <w:rtl/>
        </w:rPr>
        <w:t>ع</w:t>
      </w:r>
      <w:r w:rsidR="0035353F" w:rsidRPr="005E0BF1">
        <w:rPr>
          <w:rFonts w:hint="cs"/>
          <w:b/>
          <w:bCs/>
          <w:sz w:val="22"/>
          <w:rtl/>
        </w:rPr>
        <w:t xml:space="preserve"> ضباط الشرطة </w:t>
      </w:r>
      <w:r w:rsidR="0035353F">
        <w:rPr>
          <w:rFonts w:hint="cs"/>
          <w:b/>
          <w:bCs/>
          <w:sz w:val="22"/>
          <w:rtl/>
        </w:rPr>
        <w:t xml:space="preserve">الذين </w:t>
      </w:r>
      <w:r w:rsidR="0035353F" w:rsidRPr="005E0BF1">
        <w:rPr>
          <w:rFonts w:hint="cs"/>
          <w:b/>
          <w:bCs/>
          <w:sz w:val="22"/>
          <w:rtl/>
        </w:rPr>
        <w:t>ي</w:t>
      </w:r>
      <w:r w:rsidR="0035353F">
        <w:rPr>
          <w:rFonts w:hint="cs"/>
          <w:b/>
          <w:bCs/>
          <w:sz w:val="22"/>
          <w:rtl/>
        </w:rPr>
        <w:t>ُ</w:t>
      </w:r>
      <w:r w:rsidR="0035353F" w:rsidRPr="005E0BF1">
        <w:rPr>
          <w:rFonts w:hint="cs"/>
          <w:b/>
          <w:bCs/>
          <w:sz w:val="22"/>
          <w:rtl/>
        </w:rPr>
        <w:t xml:space="preserve">شتبه </w:t>
      </w:r>
      <w:r w:rsidR="00AA7C5F">
        <w:rPr>
          <w:rFonts w:hint="cs"/>
          <w:b/>
          <w:bCs/>
          <w:sz w:val="22"/>
          <w:rtl/>
        </w:rPr>
        <w:t>ب</w:t>
      </w:r>
      <w:r w:rsidR="0035353F" w:rsidRPr="005E0BF1">
        <w:rPr>
          <w:rFonts w:hint="cs"/>
          <w:b/>
          <w:bCs/>
          <w:sz w:val="22"/>
          <w:rtl/>
        </w:rPr>
        <w:t>ارتكاب</w:t>
      </w:r>
      <w:r w:rsidR="0035353F">
        <w:rPr>
          <w:rFonts w:hint="cs"/>
          <w:b/>
          <w:bCs/>
          <w:sz w:val="22"/>
          <w:rtl/>
        </w:rPr>
        <w:t>هم</w:t>
      </w:r>
      <w:r w:rsidR="0035353F" w:rsidRPr="005E0BF1">
        <w:rPr>
          <w:rFonts w:hint="cs"/>
          <w:b/>
          <w:bCs/>
          <w:sz w:val="22"/>
          <w:rtl/>
        </w:rPr>
        <w:t xml:space="preserve"> </w:t>
      </w:r>
      <w:r w:rsidR="0035353F">
        <w:rPr>
          <w:rFonts w:hint="cs"/>
          <w:b/>
          <w:bCs/>
          <w:sz w:val="22"/>
          <w:rtl/>
        </w:rPr>
        <w:t>ل</w:t>
      </w:r>
      <w:r w:rsidR="0035353F" w:rsidRPr="005E0BF1">
        <w:rPr>
          <w:rFonts w:hint="cs"/>
          <w:b/>
          <w:bCs/>
          <w:sz w:val="22"/>
          <w:rtl/>
        </w:rPr>
        <w:t>مثل هذه الجرائم</w:t>
      </w:r>
      <w:r w:rsidR="0035353F">
        <w:rPr>
          <w:rFonts w:hint="cs"/>
          <w:b/>
          <w:bCs/>
          <w:sz w:val="22"/>
          <w:rtl/>
        </w:rPr>
        <w:t>،</w:t>
      </w:r>
      <w:r w:rsidR="0035353F" w:rsidRPr="005E0BF1">
        <w:rPr>
          <w:rFonts w:hint="cs"/>
          <w:b/>
          <w:bCs/>
          <w:sz w:val="22"/>
          <w:rtl/>
        </w:rPr>
        <w:t xml:space="preserve"> و</w:t>
      </w:r>
      <w:r w:rsidR="0035353F">
        <w:rPr>
          <w:rFonts w:hint="cs"/>
          <w:b/>
          <w:bCs/>
          <w:sz w:val="22"/>
          <w:rtl/>
        </w:rPr>
        <w:t>مقاضاتهم</w:t>
      </w:r>
      <w:r w:rsidR="00F2334C">
        <w:rPr>
          <w:rFonts w:hint="cs"/>
          <w:b/>
          <w:bCs/>
          <w:sz w:val="22"/>
          <w:rtl/>
        </w:rPr>
        <w:t xml:space="preserve">، </w:t>
      </w:r>
      <w:r w:rsidR="0035353F" w:rsidRPr="005E0BF1">
        <w:rPr>
          <w:rFonts w:hint="cs"/>
          <w:b/>
          <w:bCs/>
          <w:sz w:val="22"/>
          <w:rtl/>
        </w:rPr>
        <w:t>و</w:t>
      </w:r>
      <w:r w:rsidR="0035353F">
        <w:rPr>
          <w:rFonts w:hint="cs"/>
          <w:b/>
          <w:bCs/>
          <w:sz w:val="22"/>
          <w:rtl/>
        </w:rPr>
        <w:t>م</w:t>
      </w:r>
      <w:r w:rsidR="0035353F" w:rsidRPr="005E0BF1">
        <w:rPr>
          <w:rFonts w:hint="cs"/>
          <w:b/>
          <w:bCs/>
          <w:sz w:val="22"/>
          <w:rtl/>
        </w:rPr>
        <w:t>عاقب</w:t>
      </w:r>
      <w:r w:rsidR="00AA7C5F">
        <w:rPr>
          <w:rFonts w:hint="cs"/>
          <w:b/>
          <w:bCs/>
          <w:sz w:val="22"/>
          <w:rtl/>
        </w:rPr>
        <w:t>تهم في حال إدانتهم</w:t>
      </w:r>
      <w:r w:rsidR="0035353F" w:rsidRPr="005E0BF1">
        <w:rPr>
          <w:rFonts w:hint="cs"/>
          <w:b/>
          <w:bCs/>
          <w:sz w:val="22"/>
          <w:rtl/>
        </w:rPr>
        <w:t xml:space="preserve"> بعقوبات مناسبة، و</w:t>
      </w:r>
      <w:r w:rsidR="0035353F">
        <w:rPr>
          <w:rFonts w:hint="cs"/>
          <w:b/>
          <w:bCs/>
          <w:sz w:val="22"/>
          <w:rtl/>
        </w:rPr>
        <w:t xml:space="preserve">تقديم </w:t>
      </w:r>
      <w:r w:rsidR="0035353F" w:rsidRPr="005E0BF1">
        <w:rPr>
          <w:rFonts w:hint="cs"/>
          <w:b/>
          <w:bCs/>
          <w:sz w:val="22"/>
          <w:rtl/>
        </w:rPr>
        <w:t xml:space="preserve">تعويض </w:t>
      </w:r>
      <w:r w:rsidR="0035353F">
        <w:rPr>
          <w:rFonts w:hint="cs"/>
          <w:b/>
          <w:bCs/>
          <w:sz w:val="22"/>
          <w:rtl/>
        </w:rPr>
        <w:t xml:space="preserve">مناسب </w:t>
      </w:r>
      <w:r w:rsidR="00AA7C5F">
        <w:rPr>
          <w:rFonts w:hint="cs"/>
          <w:b/>
          <w:bCs/>
          <w:sz w:val="22"/>
          <w:rtl/>
        </w:rPr>
        <w:t>إلى ا</w:t>
      </w:r>
      <w:r w:rsidR="0035353F">
        <w:rPr>
          <w:rFonts w:hint="cs"/>
          <w:b/>
          <w:bCs/>
          <w:sz w:val="22"/>
          <w:rtl/>
        </w:rPr>
        <w:t>لضحايا.</w:t>
      </w:r>
    </w:p>
    <w:p w:rsidR="0035353F" w:rsidRPr="00A34DA4" w:rsidRDefault="00AA7C5F" w:rsidP="00FD022C">
      <w:pPr>
        <w:pStyle w:val="SingleTxtGA"/>
        <w:rPr>
          <w:sz w:val="22"/>
        </w:rPr>
      </w:pPr>
      <w:r w:rsidRPr="00DB61CE">
        <w:rPr>
          <w:rFonts w:hint="cs"/>
          <w:sz w:val="22"/>
          <w:rtl/>
        </w:rPr>
        <w:t>9-</w:t>
      </w:r>
      <w:r w:rsidRPr="00DB61CE">
        <w:rPr>
          <w:rFonts w:hint="cs"/>
          <w:sz w:val="22"/>
          <w:rtl/>
        </w:rPr>
        <w:tab/>
        <w:t xml:space="preserve">وبينما </w:t>
      </w:r>
      <w:r w:rsidR="0035353F" w:rsidRPr="00A34DA4">
        <w:rPr>
          <w:rFonts w:hint="cs"/>
          <w:sz w:val="22"/>
          <w:rtl/>
        </w:rPr>
        <w:t xml:space="preserve">تقدر اللجنة الجهود التي </w:t>
      </w:r>
      <w:r w:rsidR="0035353F">
        <w:rPr>
          <w:rFonts w:hint="cs"/>
          <w:sz w:val="22"/>
          <w:rtl/>
        </w:rPr>
        <w:t>ت</w:t>
      </w:r>
      <w:r w:rsidR="00E141B3">
        <w:rPr>
          <w:rFonts w:hint="cs"/>
          <w:sz w:val="22"/>
          <w:rtl/>
        </w:rPr>
        <w:t>بذل</w:t>
      </w:r>
      <w:r w:rsidR="0035353F" w:rsidRPr="00A34DA4">
        <w:rPr>
          <w:rFonts w:hint="cs"/>
          <w:sz w:val="22"/>
          <w:rtl/>
        </w:rPr>
        <w:t xml:space="preserve">ها الدولة الطرف لحماية حقوق الأشخاص </w:t>
      </w:r>
      <w:r w:rsidR="0035353F">
        <w:rPr>
          <w:rFonts w:hint="cs"/>
          <w:sz w:val="22"/>
          <w:rtl/>
        </w:rPr>
        <w:t>ملتمس</w:t>
      </w:r>
      <w:r>
        <w:rPr>
          <w:rFonts w:hint="cs"/>
          <w:sz w:val="22"/>
          <w:rtl/>
        </w:rPr>
        <w:t>ي</w:t>
      </w:r>
      <w:r w:rsidR="0035353F">
        <w:rPr>
          <w:rFonts w:hint="cs"/>
          <w:sz w:val="22"/>
          <w:rtl/>
        </w:rPr>
        <w:t xml:space="preserve"> </w:t>
      </w:r>
      <w:r w:rsidR="0035353F" w:rsidRPr="00A34DA4">
        <w:rPr>
          <w:rFonts w:hint="cs"/>
          <w:sz w:val="22"/>
          <w:rtl/>
        </w:rPr>
        <w:t xml:space="preserve">اللجوء </w:t>
      </w:r>
      <w:r>
        <w:rPr>
          <w:rFonts w:hint="cs"/>
          <w:sz w:val="22"/>
          <w:rtl/>
        </w:rPr>
        <w:t xml:space="preserve">واللاجئين، </w:t>
      </w:r>
      <w:r w:rsidR="0035353F" w:rsidRPr="00A34DA4">
        <w:rPr>
          <w:rFonts w:hint="cs"/>
          <w:sz w:val="22"/>
          <w:rtl/>
        </w:rPr>
        <w:t xml:space="preserve">تشعر بالقلق إزاء بطء وتيرة </w:t>
      </w:r>
      <w:r w:rsidR="00FD022C">
        <w:rPr>
          <w:rFonts w:hint="cs"/>
          <w:sz w:val="22"/>
          <w:rtl/>
        </w:rPr>
        <w:t>إ</w:t>
      </w:r>
      <w:r w:rsidR="0035353F" w:rsidRPr="00A34DA4">
        <w:rPr>
          <w:rFonts w:hint="cs"/>
          <w:sz w:val="22"/>
          <w:rtl/>
        </w:rPr>
        <w:t>ندماجه</w:t>
      </w:r>
      <w:r w:rsidR="0035353F">
        <w:rPr>
          <w:rFonts w:hint="cs"/>
          <w:sz w:val="22"/>
          <w:rtl/>
        </w:rPr>
        <w:t>م</w:t>
      </w:r>
      <w:r w:rsidR="0035353F" w:rsidRPr="00A34DA4">
        <w:rPr>
          <w:rFonts w:hint="cs"/>
          <w:sz w:val="22"/>
          <w:rtl/>
        </w:rPr>
        <w:t xml:space="preserve"> في المجتمع، مما يعيق وصولهم إلى العمل </w:t>
      </w:r>
      <w:r w:rsidR="0035353F">
        <w:rPr>
          <w:rFonts w:hint="cs"/>
          <w:sz w:val="22"/>
          <w:rtl/>
        </w:rPr>
        <w:t xml:space="preserve">والتعليم </w:t>
      </w:r>
      <w:r w:rsidR="0035353F" w:rsidRPr="00A34DA4">
        <w:rPr>
          <w:rFonts w:hint="cs"/>
          <w:sz w:val="22"/>
          <w:rtl/>
        </w:rPr>
        <w:t>والسكن والصحة (المادتان 2 و26).</w:t>
      </w:r>
    </w:p>
    <w:p w:rsidR="0035353F" w:rsidRPr="00114030" w:rsidRDefault="00CA3B24" w:rsidP="00114030">
      <w:pPr>
        <w:pStyle w:val="SingleTxtGA"/>
        <w:rPr>
          <w:rFonts w:hint="cs"/>
          <w:spacing w:val="-2"/>
          <w:sz w:val="22"/>
        </w:rPr>
      </w:pPr>
      <w:r w:rsidRPr="00114030">
        <w:rPr>
          <w:b/>
          <w:bCs/>
          <w:spacing w:val="-2"/>
          <w:sz w:val="22"/>
          <w:rtl/>
        </w:rPr>
        <w:tab/>
      </w:r>
      <w:r w:rsidR="0035353F" w:rsidRPr="00114030">
        <w:rPr>
          <w:rFonts w:hint="cs"/>
          <w:b/>
          <w:bCs/>
          <w:spacing w:val="-2"/>
          <w:sz w:val="22"/>
          <w:rtl/>
        </w:rPr>
        <w:t xml:space="preserve">ينبغي للدولة الطرف أن تتخذ تدابير ملموسة للنهوض بإدماج الأشخاص </w:t>
      </w:r>
      <w:r w:rsidR="00AA7C5F" w:rsidRPr="00114030">
        <w:rPr>
          <w:rFonts w:hint="cs"/>
          <w:b/>
          <w:bCs/>
          <w:spacing w:val="-2"/>
          <w:sz w:val="22"/>
          <w:rtl/>
        </w:rPr>
        <w:t>الملتمسين اللجوء و</w:t>
      </w:r>
      <w:r w:rsidR="0035353F" w:rsidRPr="00114030">
        <w:rPr>
          <w:rFonts w:hint="cs"/>
          <w:b/>
          <w:bCs/>
          <w:spacing w:val="-2"/>
          <w:sz w:val="22"/>
          <w:rtl/>
        </w:rPr>
        <w:t>الذين منحوا مركز اللاجئ، في الدولة الطرف، لضمان المساواة في حصولهم على</w:t>
      </w:r>
      <w:r w:rsidR="00114030">
        <w:rPr>
          <w:rFonts w:hint="eastAsia"/>
          <w:b/>
          <w:bCs/>
          <w:spacing w:val="-2"/>
          <w:sz w:val="22"/>
          <w:rtl/>
        </w:rPr>
        <w:t> </w:t>
      </w:r>
      <w:r w:rsidR="0035353F" w:rsidRPr="00114030">
        <w:rPr>
          <w:rFonts w:hint="cs"/>
          <w:b/>
          <w:bCs/>
          <w:spacing w:val="-2"/>
          <w:sz w:val="22"/>
          <w:rtl/>
        </w:rPr>
        <w:t>فرص العمل والتعليم والسكن والصحة. وفي هذا الصدد</w:t>
      </w:r>
      <w:r w:rsidR="00F2334C" w:rsidRPr="00114030">
        <w:rPr>
          <w:rFonts w:hint="cs"/>
          <w:b/>
          <w:bCs/>
          <w:spacing w:val="-2"/>
          <w:sz w:val="22"/>
          <w:rtl/>
        </w:rPr>
        <w:t xml:space="preserve">، </w:t>
      </w:r>
      <w:r w:rsidR="0035353F" w:rsidRPr="00114030">
        <w:rPr>
          <w:rFonts w:hint="cs"/>
          <w:b/>
          <w:bCs/>
          <w:spacing w:val="-2"/>
          <w:sz w:val="22"/>
          <w:rtl/>
        </w:rPr>
        <w:t>ينبغي للدولة الطرف أن</w:t>
      </w:r>
      <w:r w:rsidR="00114030">
        <w:rPr>
          <w:rFonts w:hint="eastAsia"/>
          <w:b/>
          <w:bCs/>
          <w:spacing w:val="-2"/>
          <w:sz w:val="22"/>
          <w:rtl/>
        </w:rPr>
        <w:t> </w:t>
      </w:r>
      <w:r w:rsidR="0035353F" w:rsidRPr="00114030">
        <w:rPr>
          <w:rFonts w:hint="cs"/>
          <w:b/>
          <w:bCs/>
          <w:spacing w:val="-2"/>
          <w:sz w:val="22"/>
          <w:rtl/>
        </w:rPr>
        <w:t>تضمن أ</w:t>
      </w:r>
      <w:r w:rsidR="00AA7C5F" w:rsidRPr="00114030">
        <w:rPr>
          <w:rFonts w:hint="cs"/>
          <w:b/>
          <w:bCs/>
          <w:spacing w:val="-2"/>
          <w:sz w:val="22"/>
          <w:rtl/>
        </w:rPr>
        <w:t xml:space="preserve">لا </w:t>
      </w:r>
      <w:r w:rsidR="0035353F" w:rsidRPr="00114030">
        <w:rPr>
          <w:rFonts w:hint="cs"/>
          <w:b/>
          <w:bCs/>
          <w:spacing w:val="-2"/>
          <w:sz w:val="22"/>
          <w:rtl/>
        </w:rPr>
        <w:t>يكون الوصول إلى فرص العمل قائم</w:t>
      </w:r>
      <w:r w:rsidR="00AA7C5F" w:rsidRPr="00114030">
        <w:rPr>
          <w:rFonts w:hint="cs"/>
          <w:b/>
          <w:bCs/>
          <w:spacing w:val="-2"/>
          <w:sz w:val="22"/>
          <w:rtl/>
        </w:rPr>
        <w:t>اً</w:t>
      </w:r>
      <w:r w:rsidR="0035353F" w:rsidRPr="00114030">
        <w:rPr>
          <w:rFonts w:hint="cs"/>
          <w:b/>
          <w:bCs/>
          <w:spacing w:val="-2"/>
          <w:sz w:val="22"/>
          <w:rtl/>
        </w:rPr>
        <w:t xml:space="preserve"> على التمييز، وأن يحترم الأشخاص الذين</w:t>
      </w:r>
      <w:r w:rsidR="00114030">
        <w:rPr>
          <w:rFonts w:hint="eastAsia"/>
          <w:b/>
          <w:bCs/>
          <w:spacing w:val="-2"/>
          <w:sz w:val="22"/>
          <w:rtl/>
        </w:rPr>
        <w:t> </w:t>
      </w:r>
      <w:r w:rsidR="0035353F" w:rsidRPr="00114030">
        <w:rPr>
          <w:rFonts w:hint="cs"/>
          <w:b/>
          <w:bCs/>
          <w:spacing w:val="-2"/>
          <w:sz w:val="22"/>
          <w:rtl/>
        </w:rPr>
        <w:t>يقومون بالتوظيف، في كل من القطاعين الخاص والعام، مبدأ المساواة وعدم التمييز</w:t>
      </w:r>
      <w:r w:rsidR="0035353F" w:rsidRPr="00114030">
        <w:rPr>
          <w:rFonts w:hint="cs"/>
          <w:spacing w:val="-2"/>
          <w:sz w:val="22"/>
          <w:rtl/>
        </w:rPr>
        <w:t>.</w:t>
      </w:r>
    </w:p>
    <w:p w:rsidR="0035353F" w:rsidRDefault="0035353F" w:rsidP="00AA7C5F">
      <w:pPr>
        <w:pStyle w:val="SingleTxtGA"/>
        <w:rPr>
          <w:rFonts w:hint="cs"/>
          <w:sz w:val="22"/>
          <w:rtl/>
        </w:rPr>
      </w:pPr>
      <w:r>
        <w:rPr>
          <w:rFonts w:hint="cs"/>
          <w:sz w:val="22"/>
          <w:rtl/>
        </w:rPr>
        <w:t>10-</w:t>
      </w:r>
      <w:r w:rsidR="00AA7C5F">
        <w:rPr>
          <w:rFonts w:hint="cs"/>
          <w:sz w:val="22"/>
          <w:rtl/>
        </w:rPr>
        <w:tab/>
        <w:t xml:space="preserve">وبينما </w:t>
      </w:r>
      <w:r w:rsidRPr="00174BE6">
        <w:rPr>
          <w:rFonts w:hint="cs"/>
          <w:sz w:val="22"/>
          <w:rtl/>
        </w:rPr>
        <w:t xml:space="preserve">ترحب اللجنة باعتماد </w:t>
      </w:r>
      <w:r>
        <w:rPr>
          <w:rFonts w:hint="cs"/>
          <w:sz w:val="22"/>
          <w:rtl/>
        </w:rPr>
        <w:t>الدولة الطرف ل</w:t>
      </w:r>
      <w:r w:rsidRPr="00174BE6">
        <w:rPr>
          <w:rFonts w:hint="cs"/>
          <w:sz w:val="22"/>
          <w:rtl/>
        </w:rPr>
        <w:t>خطة العمل الوطنية للمساواة بين الجنسين (2010-2013) و</w:t>
      </w:r>
      <w:r>
        <w:rPr>
          <w:rFonts w:hint="cs"/>
          <w:sz w:val="22"/>
          <w:rtl/>
        </w:rPr>
        <w:t>بال</w:t>
      </w:r>
      <w:r w:rsidRPr="00174BE6">
        <w:rPr>
          <w:rFonts w:hint="cs"/>
          <w:sz w:val="22"/>
          <w:rtl/>
        </w:rPr>
        <w:t xml:space="preserve">بيانات </w:t>
      </w:r>
      <w:r w:rsidR="00AA7C5F">
        <w:rPr>
          <w:rFonts w:hint="cs"/>
          <w:sz w:val="22"/>
          <w:rtl/>
        </w:rPr>
        <w:t xml:space="preserve">المتعلقة بتمثيل </w:t>
      </w:r>
      <w:r w:rsidRPr="00174BE6">
        <w:rPr>
          <w:rFonts w:hint="cs"/>
          <w:sz w:val="22"/>
          <w:rtl/>
        </w:rPr>
        <w:t>المرأة في القطاع العام، تلاحظ</w:t>
      </w:r>
      <w:r w:rsidR="00AA7C5F">
        <w:rPr>
          <w:rFonts w:hint="cs"/>
          <w:sz w:val="22"/>
          <w:rtl/>
        </w:rPr>
        <w:t xml:space="preserve"> اللجنة </w:t>
      </w:r>
      <w:r w:rsidRPr="00174BE6">
        <w:rPr>
          <w:rFonts w:hint="cs"/>
          <w:sz w:val="22"/>
          <w:rtl/>
        </w:rPr>
        <w:t xml:space="preserve">مع القلق أن </w:t>
      </w:r>
      <w:r>
        <w:rPr>
          <w:rFonts w:hint="cs"/>
          <w:sz w:val="22"/>
          <w:rtl/>
        </w:rPr>
        <w:t>ا</w:t>
      </w:r>
      <w:r w:rsidRPr="00174BE6">
        <w:rPr>
          <w:rFonts w:hint="cs"/>
          <w:sz w:val="22"/>
          <w:rtl/>
        </w:rPr>
        <w:t xml:space="preserve">لمرأة </w:t>
      </w:r>
      <w:r>
        <w:rPr>
          <w:rFonts w:hint="cs"/>
          <w:sz w:val="22"/>
          <w:rtl/>
        </w:rPr>
        <w:t xml:space="preserve">لا تزال </w:t>
      </w:r>
      <w:r w:rsidRPr="00174BE6">
        <w:rPr>
          <w:rFonts w:hint="cs"/>
          <w:sz w:val="22"/>
          <w:rtl/>
        </w:rPr>
        <w:t>ممثلة تمثيل</w:t>
      </w:r>
      <w:r w:rsidR="00F2334C">
        <w:rPr>
          <w:rFonts w:hint="cs"/>
          <w:sz w:val="22"/>
          <w:rtl/>
        </w:rPr>
        <w:t xml:space="preserve">اً </w:t>
      </w:r>
      <w:r w:rsidRPr="00174BE6">
        <w:rPr>
          <w:rFonts w:hint="cs"/>
          <w:sz w:val="22"/>
          <w:rtl/>
        </w:rPr>
        <w:t>ناقص</w:t>
      </w:r>
      <w:r w:rsidR="00F2334C">
        <w:rPr>
          <w:rFonts w:hint="cs"/>
          <w:sz w:val="22"/>
          <w:rtl/>
        </w:rPr>
        <w:t xml:space="preserve">اً </w:t>
      </w:r>
      <w:r w:rsidRPr="00174BE6">
        <w:rPr>
          <w:rFonts w:hint="cs"/>
          <w:sz w:val="22"/>
          <w:rtl/>
        </w:rPr>
        <w:t xml:space="preserve">في كل من القطاعين العام والخاص، ولا سيما في </w:t>
      </w:r>
      <w:r>
        <w:rPr>
          <w:rFonts w:hint="cs"/>
          <w:sz w:val="22"/>
          <w:rtl/>
        </w:rPr>
        <w:t xml:space="preserve">وظائف </w:t>
      </w:r>
      <w:r w:rsidRPr="00174BE6">
        <w:rPr>
          <w:rFonts w:hint="cs"/>
          <w:sz w:val="22"/>
          <w:rtl/>
        </w:rPr>
        <w:t xml:space="preserve">صنع القرار. وتأسف اللجنة لعدم قيام الدولة الطرف </w:t>
      </w:r>
      <w:r>
        <w:rPr>
          <w:rFonts w:hint="cs"/>
          <w:sz w:val="22"/>
          <w:rtl/>
        </w:rPr>
        <w:t>ب</w:t>
      </w:r>
      <w:r w:rsidRPr="00174BE6">
        <w:rPr>
          <w:rFonts w:hint="cs"/>
          <w:sz w:val="22"/>
          <w:rtl/>
        </w:rPr>
        <w:t>تزويدها بمعلومات تتعلق بتم</w:t>
      </w:r>
      <w:r w:rsidR="00AA7C5F">
        <w:rPr>
          <w:rFonts w:hint="cs"/>
          <w:sz w:val="22"/>
          <w:rtl/>
        </w:rPr>
        <w:t>ثيل المرأة في القطاع الخاص (المواد</w:t>
      </w:r>
      <w:r w:rsidRPr="00174BE6">
        <w:rPr>
          <w:rFonts w:hint="cs"/>
          <w:sz w:val="22"/>
          <w:rtl/>
        </w:rPr>
        <w:t xml:space="preserve"> 2</w:t>
      </w:r>
      <w:r w:rsidR="00F2334C">
        <w:rPr>
          <w:rFonts w:hint="cs"/>
          <w:sz w:val="22"/>
          <w:rtl/>
        </w:rPr>
        <w:t xml:space="preserve"> و</w:t>
      </w:r>
      <w:r w:rsidRPr="00174BE6">
        <w:rPr>
          <w:rFonts w:hint="cs"/>
          <w:sz w:val="22"/>
          <w:rtl/>
        </w:rPr>
        <w:t>3</w:t>
      </w:r>
      <w:r w:rsidR="00F2334C">
        <w:rPr>
          <w:rFonts w:hint="cs"/>
          <w:sz w:val="22"/>
          <w:rtl/>
        </w:rPr>
        <w:t xml:space="preserve"> و</w:t>
      </w:r>
      <w:r w:rsidRPr="00174BE6">
        <w:rPr>
          <w:rFonts w:hint="cs"/>
          <w:sz w:val="22"/>
          <w:rtl/>
        </w:rPr>
        <w:t>26).</w:t>
      </w:r>
    </w:p>
    <w:p w:rsidR="0035353F" w:rsidRPr="00ED7F62" w:rsidRDefault="00CA3B24" w:rsidP="00CA3B24">
      <w:pPr>
        <w:pStyle w:val="SingleTxtGA"/>
        <w:rPr>
          <w:rFonts w:hint="cs"/>
          <w:b/>
          <w:bCs/>
          <w:sz w:val="22"/>
        </w:rPr>
      </w:pPr>
      <w:r>
        <w:rPr>
          <w:b/>
          <w:bCs/>
          <w:sz w:val="22"/>
          <w:rtl/>
        </w:rPr>
        <w:tab/>
      </w:r>
      <w:r w:rsidR="0035353F" w:rsidRPr="00ED7F62">
        <w:rPr>
          <w:rFonts w:hint="cs"/>
          <w:b/>
          <w:bCs/>
          <w:sz w:val="22"/>
          <w:rtl/>
        </w:rPr>
        <w:t xml:space="preserve">ينبغي للدولة الطرف </w:t>
      </w:r>
      <w:r w:rsidR="0035353F">
        <w:rPr>
          <w:rFonts w:hint="cs"/>
          <w:b/>
          <w:bCs/>
          <w:sz w:val="22"/>
          <w:rtl/>
        </w:rPr>
        <w:t xml:space="preserve">أن </w:t>
      </w:r>
      <w:r w:rsidR="0035353F" w:rsidRPr="00ED7F62">
        <w:rPr>
          <w:rFonts w:hint="cs"/>
          <w:b/>
          <w:bCs/>
          <w:sz w:val="22"/>
          <w:rtl/>
        </w:rPr>
        <w:t xml:space="preserve">تعزز جهودها الرامية إلى زيادة مشاركة المرأة في القطاعين العام والخاص، وإذا لزم الأمر، من خلال اتخاذ تدابير </w:t>
      </w:r>
      <w:r w:rsidR="00AA7C5F">
        <w:rPr>
          <w:rFonts w:hint="cs"/>
          <w:b/>
          <w:bCs/>
          <w:sz w:val="22"/>
          <w:rtl/>
        </w:rPr>
        <w:t xml:space="preserve">خاصة </w:t>
      </w:r>
      <w:r w:rsidR="0035353F" w:rsidRPr="00ED7F62">
        <w:rPr>
          <w:rFonts w:hint="cs"/>
          <w:b/>
          <w:bCs/>
          <w:sz w:val="22"/>
          <w:rtl/>
        </w:rPr>
        <w:t xml:space="preserve">مؤقتة </w:t>
      </w:r>
      <w:r w:rsidR="00AA7C5F">
        <w:rPr>
          <w:rFonts w:hint="cs"/>
          <w:b/>
          <w:bCs/>
          <w:sz w:val="22"/>
          <w:rtl/>
        </w:rPr>
        <w:t xml:space="preserve">مناسبة </w:t>
      </w:r>
      <w:r w:rsidR="0035353F" w:rsidRPr="00ED7F62">
        <w:rPr>
          <w:rFonts w:hint="cs"/>
          <w:b/>
          <w:bCs/>
          <w:sz w:val="22"/>
          <w:rtl/>
        </w:rPr>
        <w:t xml:space="preserve">لإنفاذ أحكام العهد. </w:t>
      </w:r>
      <w:r w:rsidR="0035353F">
        <w:rPr>
          <w:rFonts w:hint="cs"/>
          <w:b/>
          <w:bCs/>
          <w:sz w:val="22"/>
          <w:rtl/>
        </w:rPr>
        <w:t>و</w:t>
      </w:r>
      <w:r w:rsidR="0035353F" w:rsidRPr="00ED7F62">
        <w:rPr>
          <w:rFonts w:hint="cs"/>
          <w:b/>
          <w:bCs/>
          <w:sz w:val="22"/>
          <w:rtl/>
        </w:rPr>
        <w:t xml:space="preserve">تحث اللجنة الدولة الطرف </w:t>
      </w:r>
      <w:r w:rsidR="0035353F">
        <w:rPr>
          <w:rFonts w:hint="cs"/>
          <w:b/>
          <w:bCs/>
          <w:sz w:val="22"/>
          <w:rtl/>
        </w:rPr>
        <w:t xml:space="preserve">على </w:t>
      </w:r>
      <w:r w:rsidR="0035353F" w:rsidRPr="00ED7F62">
        <w:rPr>
          <w:rFonts w:hint="cs"/>
          <w:b/>
          <w:bCs/>
          <w:sz w:val="22"/>
          <w:rtl/>
        </w:rPr>
        <w:t>أن تدرج في تقريرها الدوري ال</w:t>
      </w:r>
      <w:r w:rsidR="0035353F">
        <w:rPr>
          <w:rFonts w:hint="cs"/>
          <w:b/>
          <w:bCs/>
          <w:sz w:val="22"/>
          <w:rtl/>
        </w:rPr>
        <w:t>مقبل</w:t>
      </w:r>
      <w:r w:rsidR="0035353F" w:rsidRPr="00ED7F62">
        <w:rPr>
          <w:rFonts w:hint="cs"/>
          <w:b/>
          <w:bCs/>
          <w:sz w:val="22"/>
          <w:rtl/>
        </w:rPr>
        <w:t xml:space="preserve"> بيانات إحصائية </w:t>
      </w:r>
      <w:r w:rsidR="0035353F">
        <w:rPr>
          <w:rFonts w:hint="cs"/>
          <w:b/>
          <w:bCs/>
          <w:sz w:val="22"/>
          <w:rtl/>
        </w:rPr>
        <w:t xml:space="preserve">مصنفة </w:t>
      </w:r>
      <w:r w:rsidR="0035353F" w:rsidRPr="00ED7F62">
        <w:rPr>
          <w:rFonts w:hint="cs"/>
          <w:b/>
          <w:bCs/>
          <w:sz w:val="22"/>
          <w:rtl/>
        </w:rPr>
        <w:t>عن تمثيل المرأة في القطاع الخاص</w:t>
      </w:r>
      <w:r w:rsidR="0035353F">
        <w:rPr>
          <w:rFonts w:hint="cs"/>
          <w:b/>
          <w:bCs/>
          <w:sz w:val="22"/>
          <w:rtl/>
        </w:rPr>
        <w:t>.</w:t>
      </w:r>
    </w:p>
    <w:p w:rsidR="0035353F" w:rsidRDefault="0035353F" w:rsidP="00AA7C5F">
      <w:pPr>
        <w:pStyle w:val="SingleTxtGA"/>
        <w:rPr>
          <w:rFonts w:hint="cs"/>
          <w:sz w:val="22"/>
          <w:rtl/>
        </w:rPr>
      </w:pPr>
      <w:r>
        <w:rPr>
          <w:rFonts w:hint="cs"/>
          <w:sz w:val="22"/>
          <w:rtl/>
        </w:rPr>
        <w:t>11-</w:t>
      </w:r>
      <w:r w:rsidR="00AA7C5F">
        <w:rPr>
          <w:rFonts w:hint="cs"/>
          <w:sz w:val="22"/>
          <w:rtl/>
        </w:rPr>
        <w:tab/>
        <w:t xml:space="preserve">بينما </w:t>
      </w:r>
      <w:r w:rsidRPr="00ED7F62">
        <w:rPr>
          <w:rFonts w:hint="cs"/>
          <w:sz w:val="22"/>
          <w:rtl/>
        </w:rPr>
        <w:t>ت</w:t>
      </w:r>
      <w:r>
        <w:rPr>
          <w:rFonts w:hint="cs"/>
          <w:sz w:val="22"/>
          <w:rtl/>
        </w:rPr>
        <w:t>أخذ</w:t>
      </w:r>
      <w:r w:rsidRPr="00ED7F62">
        <w:rPr>
          <w:rFonts w:hint="cs"/>
          <w:sz w:val="22"/>
          <w:rtl/>
        </w:rPr>
        <w:t xml:space="preserve"> اللجنة </w:t>
      </w:r>
      <w:r>
        <w:rPr>
          <w:rFonts w:hint="cs"/>
          <w:sz w:val="22"/>
          <w:rtl/>
        </w:rPr>
        <w:t>علماً ب</w:t>
      </w:r>
      <w:r w:rsidRPr="00ED7F62">
        <w:rPr>
          <w:rFonts w:hint="cs"/>
          <w:sz w:val="22"/>
          <w:rtl/>
        </w:rPr>
        <w:t xml:space="preserve">اعتماد خطة </w:t>
      </w:r>
      <w:r w:rsidR="00AA7C5F">
        <w:rPr>
          <w:rFonts w:hint="cs"/>
          <w:sz w:val="22"/>
          <w:rtl/>
        </w:rPr>
        <w:t>ال</w:t>
      </w:r>
      <w:r w:rsidRPr="00ED7F62">
        <w:rPr>
          <w:rFonts w:hint="cs"/>
          <w:sz w:val="22"/>
          <w:rtl/>
        </w:rPr>
        <w:t xml:space="preserve">عمل </w:t>
      </w:r>
      <w:r w:rsidR="00AA7C5F">
        <w:rPr>
          <w:rFonts w:hint="cs"/>
          <w:sz w:val="22"/>
          <w:rtl/>
        </w:rPr>
        <w:t>ال</w:t>
      </w:r>
      <w:r w:rsidRPr="00ED7F62">
        <w:rPr>
          <w:rFonts w:hint="cs"/>
          <w:sz w:val="22"/>
          <w:rtl/>
        </w:rPr>
        <w:t xml:space="preserve">وطنية لمنع </w:t>
      </w:r>
      <w:r>
        <w:rPr>
          <w:rFonts w:hint="cs"/>
          <w:sz w:val="22"/>
          <w:rtl/>
        </w:rPr>
        <w:t>العنف</w:t>
      </w:r>
      <w:r w:rsidRPr="00ED7F62">
        <w:rPr>
          <w:rFonts w:hint="cs"/>
          <w:sz w:val="22"/>
          <w:rtl/>
        </w:rPr>
        <w:t xml:space="preserve"> ضد المرأة</w:t>
      </w:r>
      <w:r>
        <w:rPr>
          <w:rFonts w:hint="cs"/>
          <w:sz w:val="22"/>
          <w:rtl/>
        </w:rPr>
        <w:t xml:space="preserve"> </w:t>
      </w:r>
      <w:r w:rsidRPr="00ED7F62">
        <w:rPr>
          <w:rFonts w:hint="cs"/>
          <w:sz w:val="22"/>
          <w:rtl/>
        </w:rPr>
        <w:t>والقضاء عل</w:t>
      </w:r>
      <w:r>
        <w:rPr>
          <w:rFonts w:hint="cs"/>
          <w:sz w:val="22"/>
          <w:rtl/>
        </w:rPr>
        <w:t>يه</w:t>
      </w:r>
      <w:r w:rsidRPr="00ED7F62">
        <w:rPr>
          <w:rFonts w:hint="cs"/>
          <w:sz w:val="22"/>
          <w:rtl/>
        </w:rPr>
        <w:t xml:space="preserve"> (2009-2012)، تشعر </w:t>
      </w:r>
      <w:r w:rsidR="00AA7C5F">
        <w:rPr>
          <w:rFonts w:hint="cs"/>
          <w:sz w:val="22"/>
          <w:rtl/>
        </w:rPr>
        <w:t xml:space="preserve">اللجنة </w:t>
      </w:r>
      <w:r w:rsidRPr="00ED7F62">
        <w:rPr>
          <w:rFonts w:hint="cs"/>
          <w:sz w:val="22"/>
          <w:rtl/>
        </w:rPr>
        <w:t xml:space="preserve">بالقلق إزاء </w:t>
      </w:r>
      <w:r>
        <w:rPr>
          <w:rFonts w:hint="cs"/>
          <w:sz w:val="22"/>
          <w:rtl/>
        </w:rPr>
        <w:t xml:space="preserve">استمرار </w:t>
      </w:r>
      <w:r w:rsidR="00AA7C5F">
        <w:rPr>
          <w:rFonts w:hint="cs"/>
          <w:sz w:val="22"/>
          <w:rtl/>
        </w:rPr>
        <w:t xml:space="preserve">الإبلاغ </w:t>
      </w:r>
      <w:r w:rsidRPr="00ED7F62">
        <w:rPr>
          <w:rFonts w:hint="cs"/>
          <w:sz w:val="22"/>
          <w:rtl/>
        </w:rPr>
        <w:t>عن العنف القائم على نوع الجنس في الدولة الطرف، و</w:t>
      </w:r>
      <w:r>
        <w:rPr>
          <w:rFonts w:hint="cs"/>
          <w:sz w:val="22"/>
          <w:rtl/>
        </w:rPr>
        <w:t xml:space="preserve">إزاء تدني مستوى </w:t>
      </w:r>
      <w:r w:rsidR="00AA7C5F">
        <w:rPr>
          <w:rFonts w:hint="cs"/>
          <w:sz w:val="22"/>
          <w:rtl/>
        </w:rPr>
        <w:t>ال</w:t>
      </w:r>
      <w:r w:rsidRPr="00ED7F62">
        <w:rPr>
          <w:rFonts w:hint="cs"/>
          <w:sz w:val="22"/>
          <w:rtl/>
        </w:rPr>
        <w:t xml:space="preserve">إبلاغ </w:t>
      </w:r>
      <w:r>
        <w:rPr>
          <w:rFonts w:hint="cs"/>
          <w:sz w:val="22"/>
          <w:rtl/>
        </w:rPr>
        <w:t>عن</w:t>
      </w:r>
      <w:r w:rsidRPr="00ED7F62">
        <w:rPr>
          <w:rFonts w:hint="cs"/>
          <w:sz w:val="22"/>
          <w:rtl/>
        </w:rPr>
        <w:t xml:space="preserve"> هذه الحالات </w:t>
      </w:r>
      <w:r w:rsidR="00AA7C5F">
        <w:rPr>
          <w:rFonts w:hint="cs"/>
          <w:sz w:val="22"/>
          <w:rtl/>
        </w:rPr>
        <w:t xml:space="preserve">لدى الشرطة </w:t>
      </w:r>
      <w:r w:rsidRPr="00ED7F62">
        <w:rPr>
          <w:rFonts w:hint="cs"/>
          <w:sz w:val="22"/>
          <w:rtl/>
        </w:rPr>
        <w:t>(المادتان 3 و7</w:t>
      </w:r>
      <w:r>
        <w:rPr>
          <w:rFonts w:hint="cs"/>
          <w:sz w:val="22"/>
          <w:rtl/>
        </w:rPr>
        <w:t>).</w:t>
      </w:r>
    </w:p>
    <w:p w:rsidR="0035353F" w:rsidRPr="00523403" w:rsidRDefault="00CA3B24" w:rsidP="00CA3B24">
      <w:pPr>
        <w:pStyle w:val="SingleTxtGA"/>
        <w:rPr>
          <w:b/>
          <w:bCs/>
          <w:spacing w:val="-2"/>
          <w:sz w:val="22"/>
        </w:rPr>
      </w:pPr>
      <w:r w:rsidRPr="00523403">
        <w:rPr>
          <w:b/>
          <w:bCs/>
          <w:spacing w:val="-2"/>
          <w:sz w:val="22"/>
          <w:rtl/>
        </w:rPr>
        <w:tab/>
      </w:r>
      <w:r w:rsidR="0035353F" w:rsidRPr="00523403">
        <w:rPr>
          <w:rFonts w:hint="cs"/>
          <w:b/>
          <w:bCs/>
          <w:spacing w:val="-2"/>
          <w:sz w:val="22"/>
          <w:rtl/>
        </w:rPr>
        <w:t>ينبغي للدولة الطرف اتخاذ تدابير ملموسة لمنع ومعالجة العنف القائم على نوع الجنس في جميع أشكاله ومظاهره. وفي هذا الصدد</w:t>
      </w:r>
      <w:r w:rsidR="00F2334C" w:rsidRPr="00523403">
        <w:rPr>
          <w:rFonts w:hint="cs"/>
          <w:b/>
          <w:bCs/>
          <w:spacing w:val="-2"/>
          <w:sz w:val="22"/>
          <w:rtl/>
        </w:rPr>
        <w:t xml:space="preserve">، </w:t>
      </w:r>
      <w:r w:rsidR="0035353F" w:rsidRPr="00523403">
        <w:rPr>
          <w:rFonts w:hint="cs"/>
          <w:b/>
          <w:bCs/>
          <w:spacing w:val="-2"/>
          <w:sz w:val="22"/>
          <w:rtl/>
        </w:rPr>
        <w:t>ينبغي للدولة الطرف تحسين الطرق التي تتبعها لإجراء البحوث وجمع البيانات من أجل تحديد حجم المشكلة وأسبابها ونتائجها بالنسبة للمرأة. وينبغي للدولة الطرف أن تشجع ضحايا العنف المنزلي على الإبلاغ عن هذه الحالات</w:t>
      </w:r>
      <w:r w:rsidR="00F2334C" w:rsidRPr="00523403">
        <w:rPr>
          <w:rFonts w:hint="cs"/>
          <w:b/>
          <w:bCs/>
          <w:spacing w:val="-2"/>
          <w:sz w:val="22"/>
          <w:rtl/>
        </w:rPr>
        <w:t xml:space="preserve">. </w:t>
      </w:r>
      <w:r w:rsidR="0035353F" w:rsidRPr="00523403">
        <w:rPr>
          <w:rFonts w:hint="cs"/>
          <w:b/>
          <w:bCs/>
          <w:spacing w:val="-2"/>
          <w:sz w:val="22"/>
          <w:rtl/>
        </w:rPr>
        <w:t>وينبغي أن تضمن أيض</w:t>
      </w:r>
      <w:r w:rsidR="00F2334C" w:rsidRPr="00523403">
        <w:rPr>
          <w:rFonts w:hint="cs"/>
          <w:b/>
          <w:bCs/>
          <w:spacing w:val="-2"/>
          <w:sz w:val="22"/>
          <w:rtl/>
        </w:rPr>
        <w:t xml:space="preserve">اً </w:t>
      </w:r>
      <w:r w:rsidR="0035353F" w:rsidRPr="00523403">
        <w:rPr>
          <w:rFonts w:hint="cs"/>
          <w:b/>
          <w:bCs/>
          <w:spacing w:val="-2"/>
          <w:sz w:val="22"/>
          <w:rtl/>
        </w:rPr>
        <w:t xml:space="preserve">إجراء تحقيق </w:t>
      </w:r>
      <w:r w:rsidR="00AA7C5F" w:rsidRPr="00523403">
        <w:rPr>
          <w:rFonts w:hint="cs"/>
          <w:b/>
          <w:bCs/>
          <w:spacing w:val="-2"/>
          <w:sz w:val="22"/>
          <w:rtl/>
        </w:rPr>
        <w:t xml:space="preserve">دقيق </w:t>
      </w:r>
      <w:r w:rsidR="0035353F" w:rsidRPr="00523403">
        <w:rPr>
          <w:rFonts w:hint="cs"/>
          <w:b/>
          <w:bCs/>
          <w:spacing w:val="-2"/>
          <w:sz w:val="22"/>
          <w:rtl/>
        </w:rPr>
        <w:t>في مثل هذه الحالات</w:t>
      </w:r>
      <w:r w:rsidR="00F2334C" w:rsidRPr="00523403">
        <w:rPr>
          <w:rFonts w:hint="cs"/>
          <w:b/>
          <w:bCs/>
          <w:spacing w:val="-2"/>
          <w:sz w:val="22"/>
          <w:rtl/>
        </w:rPr>
        <w:t xml:space="preserve">، </w:t>
      </w:r>
      <w:r w:rsidR="0035353F" w:rsidRPr="00523403">
        <w:rPr>
          <w:rFonts w:hint="cs"/>
          <w:b/>
          <w:bCs/>
          <w:spacing w:val="-2"/>
          <w:sz w:val="22"/>
          <w:rtl/>
        </w:rPr>
        <w:t xml:space="preserve">وملاحقة الجناة، وإنزال </w:t>
      </w:r>
      <w:r w:rsidR="00AA7C5F" w:rsidRPr="00523403">
        <w:rPr>
          <w:rFonts w:hint="cs"/>
          <w:b/>
          <w:bCs/>
          <w:spacing w:val="-2"/>
          <w:sz w:val="22"/>
          <w:rtl/>
        </w:rPr>
        <w:t>ال</w:t>
      </w:r>
      <w:r w:rsidR="0035353F" w:rsidRPr="00523403">
        <w:rPr>
          <w:rFonts w:hint="cs"/>
          <w:b/>
          <w:bCs/>
          <w:spacing w:val="-2"/>
          <w:sz w:val="22"/>
          <w:rtl/>
        </w:rPr>
        <w:t xml:space="preserve">عقوبة </w:t>
      </w:r>
      <w:r w:rsidR="00AA7C5F" w:rsidRPr="00523403">
        <w:rPr>
          <w:rFonts w:hint="cs"/>
          <w:b/>
          <w:bCs/>
          <w:spacing w:val="-2"/>
          <w:sz w:val="22"/>
          <w:rtl/>
        </w:rPr>
        <w:t>ال</w:t>
      </w:r>
      <w:r w:rsidR="0035353F" w:rsidRPr="00523403">
        <w:rPr>
          <w:rFonts w:hint="cs"/>
          <w:b/>
          <w:bCs/>
          <w:spacing w:val="-2"/>
          <w:sz w:val="22"/>
          <w:rtl/>
        </w:rPr>
        <w:t>مناسبة</w:t>
      </w:r>
      <w:r w:rsidR="00AA7C5F" w:rsidRPr="00523403">
        <w:rPr>
          <w:rFonts w:hint="cs"/>
          <w:b/>
          <w:bCs/>
          <w:spacing w:val="-2"/>
          <w:sz w:val="22"/>
          <w:rtl/>
        </w:rPr>
        <w:t xml:space="preserve"> عليهم،</w:t>
      </w:r>
      <w:r w:rsidR="0035353F" w:rsidRPr="00523403">
        <w:rPr>
          <w:rFonts w:hint="cs"/>
          <w:b/>
          <w:bCs/>
          <w:spacing w:val="-2"/>
          <w:sz w:val="22"/>
          <w:rtl/>
        </w:rPr>
        <w:t xml:space="preserve"> في حال إدان</w:t>
      </w:r>
      <w:r w:rsidR="00AA7C5F" w:rsidRPr="00523403">
        <w:rPr>
          <w:rFonts w:hint="cs"/>
          <w:b/>
          <w:bCs/>
          <w:spacing w:val="-2"/>
          <w:sz w:val="22"/>
          <w:rtl/>
        </w:rPr>
        <w:t>تهم</w:t>
      </w:r>
      <w:r w:rsidR="0035353F" w:rsidRPr="00523403">
        <w:rPr>
          <w:rFonts w:hint="cs"/>
          <w:b/>
          <w:bCs/>
          <w:spacing w:val="-2"/>
          <w:sz w:val="22"/>
          <w:rtl/>
        </w:rPr>
        <w:t xml:space="preserve">، </w:t>
      </w:r>
      <w:r w:rsidR="00AA7C5F" w:rsidRPr="00523403">
        <w:rPr>
          <w:rFonts w:hint="cs"/>
          <w:b/>
          <w:bCs/>
          <w:spacing w:val="-2"/>
          <w:sz w:val="22"/>
          <w:rtl/>
        </w:rPr>
        <w:t>و</w:t>
      </w:r>
      <w:r w:rsidR="0035353F" w:rsidRPr="00523403">
        <w:rPr>
          <w:rFonts w:hint="cs"/>
          <w:b/>
          <w:bCs/>
          <w:spacing w:val="-2"/>
          <w:sz w:val="22"/>
          <w:rtl/>
        </w:rPr>
        <w:t xml:space="preserve">دفع </w:t>
      </w:r>
      <w:r w:rsidR="00AA7C5F" w:rsidRPr="00523403">
        <w:rPr>
          <w:rFonts w:hint="cs"/>
          <w:b/>
          <w:bCs/>
          <w:spacing w:val="-2"/>
          <w:sz w:val="22"/>
          <w:rtl/>
        </w:rPr>
        <w:t>ال</w:t>
      </w:r>
      <w:r w:rsidR="0035353F" w:rsidRPr="00523403">
        <w:rPr>
          <w:rFonts w:hint="cs"/>
          <w:b/>
          <w:bCs/>
          <w:spacing w:val="-2"/>
          <w:sz w:val="22"/>
          <w:rtl/>
        </w:rPr>
        <w:t xml:space="preserve">تعويض </w:t>
      </w:r>
      <w:r w:rsidR="00AA7C5F" w:rsidRPr="00523403">
        <w:rPr>
          <w:rFonts w:hint="cs"/>
          <w:b/>
          <w:bCs/>
          <w:spacing w:val="-2"/>
          <w:sz w:val="22"/>
          <w:rtl/>
        </w:rPr>
        <w:t>ال</w:t>
      </w:r>
      <w:r w:rsidR="0035353F" w:rsidRPr="00523403">
        <w:rPr>
          <w:rFonts w:hint="cs"/>
          <w:b/>
          <w:bCs/>
          <w:spacing w:val="-2"/>
          <w:sz w:val="22"/>
          <w:rtl/>
        </w:rPr>
        <w:t>مناسب</w:t>
      </w:r>
      <w:r w:rsidR="00AA7C5F" w:rsidRPr="00523403">
        <w:rPr>
          <w:rFonts w:hint="cs"/>
          <w:b/>
          <w:bCs/>
          <w:spacing w:val="-2"/>
          <w:sz w:val="22"/>
          <w:rtl/>
        </w:rPr>
        <w:t xml:space="preserve"> إلى ا</w:t>
      </w:r>
      <w:r w:rsidR="0035353F" w:rsidRPr="00523403">
        <w:rPr>
          <w:rFonts w:hint="cs"/>
          <w:b/>
          <w:bCs/>
          <w:spacing w:val="-2"/>
          <w:sz w:val="22"/>
          <w:rtl/>
        </w:rPr>
        <w:t>لضحايا.</w:t>
      </w:r>
    </w:p>
    <w:p w:rsidR="00002EEC" w:rsidRDefault="0035353F" w:rsidP="00002EEC">
      <w:pPr>
        <w:pStyle w:val="SingleTxtGA"/>
        <w:rPr>
          <w:rFonts w:hint="cs"/>
          <w:b/>
          <w:bCs/>
          <w:sz w:val="22"/>
          <w:rtl/>
        </w:rPr>
      </w:pPr>
      <w:r>
        <w:rPr>
          <w:rFonts w:hint="cs"/>
          <w:sz w:val="22"/>
          <w:rtl/>
        </w:rPr>
        <w:t>12-</w:t>
      </w:r>
      <w:r w:rsidR="00AA7C5F">
        <w:rPr>
          <w:rFonts w:hint="cs"/>
          <w:sz w:val="22"/>
          <w:rtl/>
        </w:rPr>
        <w:tab/>
        <w:t xml:space="preserve">بينما </w:t>
      </w:r>
      <w:r>
        <w:rPr>
          <w:rFonts w:hint="cs"/>
          <w:sz w:val="22"/>
          <w:rtl/>
        </w:rPr>
        <w:t>تأخ</w:t>
      </w:r>
      <w:r w:rsidRPr="0072138D">
        <w:rPr>
          <w:rFonts w:hint="cs"/>
          <w:sz w:val="22"/>
          <w:rtl/>
        </w:rPr>
        <w:t xml:space="preserve">ذ </w:t>
      </w:r>
      <w:r>
        <w:rPr>
          <w:rFonts w:hint="cs"/>
          <w:sz w:val="22"/>
          <w:rtl/>
        </w:rPr>
        <w:t xml:space="preserve">اللجنة </w:t>
      </w:r>
      <w:r w:rsidRPr="0072138D">
        <w:rPr>
          <w:rFonts w:hint="cs"/>
          <w:sz w:val="22"/>
          <w:rtl/>
        </w:rPr>
        <w:t>علم</w:t>
      </w:r>
      <w:r w:rsidR="00F2334C">
        <w:rPr>
          <w:rFonts w:hint="cs"/>
          <w:sz w:val="22"/>
          <w:rtl/>
        </w:rPr>
        <w:t xml:space="preserve">اً </w:t>
      </w:r>
      <w:r>
        <w:rPr>
          <w:rFonts w:hint="cs"/>
          <w:sz w:val="22"/>
          <w:rtl/>
        </w:rPr>
        <w:t>ب</w:t>
      </w:r>
      <w:r w:rsidRPr="0072138D">
        <w:rPr>
          <w:rFonts w:hint="cs"/>
          <w:sz w:val="22"/>
          <w:rtl/>
        </w:rPr>
        <w:t>أن القانون الجنائي الحالي رق</w:t>
      </w:r>
      <w:r w:rsidR="006A3BB8">
        <w:rPr>
          <w:rFonts w:hint="cs"/>
          <w:sz w:val="22"/>
          <w:rtl/>
        </w:rPr>
        <w:t>ـ</w:t>
      </w:r>
      <w:r w:rsidRPr="0072138D">
        <w:rPr>
          <w:rFonts w:hint="cs"/>
          <w:sz w:val="22"/>
          <w:rtl/>
        </w:rPr>
        <w:t xml:space="preserve">م </w:t>
      </w:r>
      <w:r w:rsidR="00AA7C5F" w:rsidRPr="00B819FB">
        <w:t>300/2005 Coll</w:t>
      </w:r>
      <w:r w:rsidR="00002EEC">
        <w:t>.</w:t>
      </w:r>
      <w:r w:rsidR="00AA7C5F" w:rsidRPr="0072138D">
        <w:rPr>
          <w:rFonts w:hint="cs"/>
          <w:sz w:val="22"/>
          <w:rtl/>
        </w:rPr>
        <w:t xml:space="preserve"> </w:t>
      </w:r>
      <w:r w:rsidRPr="0072138D">
        <w:rPr>
          <w:rFonts w:hint="cs"/>
          <w:sz w:val="22"/>
          <w:rtl/>
        </w:rPr>
        <w:t>(بصيغته المعدلة) يجرم ويعاقب على تعذيب الأطفال</w:t>
      </w:r>
      <w:r>
        <w:rPr>
          <w:rFonts w:hint="cs"/>
          <w:sz w:val="22"/>
          <w:rtl/>
        </w:rPr>
        <w:t xml:space="preserve"> وإساءة معاملتهم</w:t>
      </w:r>
      <w:r w:rsidRPr="0072138D">
        <w:rPr>
          <w:rFonts w:hint="cs"/>
          <w:sz w:val="22"/>
          <w:rtl/>
        </w:rPr>
        <w:t xml:space="preserve">، </w:t>
      </w:r>
      <w:r w:rsidR="00AA7C5F">
        <w:rPr>
          <w:rFonts w:hint="cs"/>
          <w:sz w:val="22"/>
          <w:rtl/>
        </w:rPr>
        <w:t xml:space="preserve">تعرب اللجنة </w:t>
      </w:r>
      <w:r w:rsidRPr="0072138D">
        <w:rPr>
          <w:rFonts w:hint="cs"/>
          <w:sz w:val="22"/>
          <w:rtl/>
        </w:rPr>
        <w:t xml:space="preserve">عن قلقها </w:t>
      </w:r>
      <w:r w:rsidR="00AA7C5F">
        <w:rPr>
          <w:rFonts w:hint="cs"/>
          <w:sz w:val="22"/>
          <w:rtl/>
        </w:rPr>
        <w:t xml:space="preserve">إزاء جواز العقاب البدني في المنزل </w:t>
      </w:r>
      <w:r w:rsidR="00002EEC">
        <w:rPr>
          <w:rFonts w:hint="cs"/>
          <w:sz w:val="22"/>
          <w:rtl/>
        </w:rPr>
        <w:t xml:space="preserve">حيث لا يزال في العادة مقبولاً وممارساً من الآباء والأولياء باعتباره شكلاً من أشكال التأديب </w:t>
      </w:r>
      <w:r w:rsidRPr="0072138D">
        <w:rPr>
          <w:rFonts w:hint="cs"/>
          <w:sz w:val="22"/>
          <w:rtl/>
        </w:rPr>
        <w:t>(المادتان 7 و24).</w:t>
      </w:r>
    </w:p>
    <w:p w:rsidR="0035353F" w:rsidRDefault="00CA3B24" w:rsidP="00CA3B24">
      <w:pPr>
        <w:pStyle w:val="SingleTxtGA"/>
        <w:rPr>
          <w:rFonts w:hint="cs"/>
          <w:b/>
          <w:bCs/>
          <w:sz w:val="22"/>
          <w:rtl/>
        </w:rPr>
      </w:pPr>
      <w:r>
        <w:rPr>
          <w:b/>
          <w:bCs/>
          <w:sz w:val="22"/>
          <w:rtl/>
        </w:rPr>
        <w:tab/>
      </w:r>
      <w:r w:rsidR="0035353F" w:rsidRPr="0072138D">
        <w:rPr>
          <w:rFonts w:hint="cs"/>
          <w:b/>
          <w:bCs/>
          <w:sz w:val="22"/>
          <w:rtl/>
        </w:rPr>
        <w:t xml:space="preserve">ينبغي للدولة الطرف أن تتخذ خطوات عملية لوضع حد للعقاب البدني في جميع الأوساط. وينبغي أن </w:t>
      </w:r>
      <w:r w:rsidR="0035353F">
        <w:rPr>
          <w:rFonts w:hint="cs"/>
          <w:b/>
          <w:bCs/>
          <w:sz w:val="22"/>
          <w:rtl/>
        </w:rPr>
        <w:t>ت</w:t>
      </w:r>
      <w:r w:rsidR="0035353F" w:rsidRPr="0072138D">
        <w:rPr>
          <w:rFonts w:hint="cs"/>
          <w:b/>
          <w:bCs/>
          <w:sz w:val="22"/>
          <w:rtl/>
        </w:rPr>
        <w:t xml:space="preserve">شجع </w:t>
      </w:r>
      <w:r w:rsidR="0035353F">
        <w:rPr>
          <w:rFonts w:hint="cs"/>
          <w:b/>
          <w:bCs/>
          <w:sz w:val="22"/>
          <w:rtl/>
        </w:rPr>
        <w:t xml:space="preserve">على اعتماد </w:t>
      </w:r>
      <w:r w:rsidR="0035353F" w:rsidRPr="0072138D">
        <w:rPr>
          <w:rFonts w:hint="cs"/>
          <w:b/>
          <w:bCs/>
          <w:sz w:val="22"/>
          <w:rtl/>
        </w:rPr>
        <w:t xml:space="preserve">أشكال غير عنيفة </w:t>
      </w:r>
      <w:r w:rsidR="0035353F">
        <w:rPr>
          <w:rFonts w:hint="cs"/>
          <w:b/>
          <w:bCs/>
          <w:sz w:val="22"/>
          <w:rtl/>
        </w:rPr>
        <w:t>ل</w:t>
      </w:r>
      <w:r w:rsidR="0035353F" w:rsidRPr="0072138D">
        <w:rPr>
          <w:rFonts w:hint="cs"/>
          <w:b/>
          <w:bCs/>
          <w:sz w:val="22"/>
          <w:rtl/>
        </w:rPr>
        <w:t xml:space="preserve">لتأديب كبدائل للعقاب البدني، وينبغي </w:t>
      </w:r>
      <w:r w:rsidR="0035353F">
        <w:rPr>
          <w:rFonts w:hint="cs"/>
          <w:b/>
          <w:bCs/>
          <w:sz w:val="22"/>
          <w:rtl/>
        </w:rPr>
        <w:t xml:space="preserve">تنظيم </w:t>
      </w:r>
      <w:r w:rsidR="0035353F" w:rsidRPr="0072138D">
        <w:rPr>
          <w:rFonts w:hint="cs"/>
          <w:b/>
          <w:bCs/>
          <w:sz w:val="22"/>
          <w:rtl/>
        </w:rPr>
        <w:t>حملات إعلامية ل</w:t>
      </w:r>
      <w:r w:rsidR="0035353F">
        <w:rPr>
          <w:rFonts w:hint="cs"/>
          <w:b/>
          <w:bCs/>
          <w:sz w:val="22"/>
          <w:rtl/>
        </w:rPr>
        <w:t>بث</w:t>
      </w:r>
      <w:r w:rsidR="0035353F" w:rsidRPr="0072138D">
        <w:rPr>
          <w:rFonts w:hint="cs"/>
          <w:b/>
          <w:bCs/>
          <w:sz w:val="22"/>
          <w:rtl/>
        </w:rPr>
        <w:t xml:space="preserve"> الوعي حول آثاره الضارة</w:t>
      </w:r>
      <w:r w:rsidR="006D50C1">
        <w:rPr>
          <w:rFonts w:hint="cs"/>
          <w:b/>
          <w:bCs/>
          <w:sz w:val="22"/>
          <w:rtl/>
        </w:rPr>
        <w:t>.</w:t>
      </w:r>
    </w:p>
    <w:p w:rsidR="00002EEC" w:rsidRDefault="0035353F" w:rsidP="00002EEC">
      <w:pPr>
        <w:pStyle w:val="SingleTxtGA"/>
        <w:rPr>
          <w:rFonts w:hint="cs"/>
          <w:sz w:val="22"/>
          <w:rtl/>
        </w:rPr>
      </w:pPr>
      <w:r w:rsidRPr="001F7E27">
        <w:rPr>
          <w:rFonts w:hint="cs"/>
          <w:sz w:val="22"/>
          <w:rtl/>
        </w:rPr>
        <w:t>13</w:t>
      </w:r>
      <w:r>
        <w:rPr>
          <w:rFonts w:hint="cs"/>
          <w:sz w:val="22"/>
          <w:rtl/>
        </w:rPr>
        <w:t>-</w:t>
      </w:r>
      <w:r w:rsidR="00002EEC">
        <w:rPr>
          <w:rFonts w:hint="cs"/>
          <w:sz w:val="22"/>
          <w:rtl/>
        </w:rPr>
        <w:tab/>
        <w:t xml:space="preserve">بينما </w:t>
      </w:r>
      <w:r>
        <w:rPr>
          <w:rFonts w:hint="cs"/>
          <w:sz w:val="22"/>
          <w:rtl/>
        </w:rPr>
        <w:t>ترحب</w:t>
      </w:r>
      <w:r w:rsidRPr="001F7E27">
        <w:rPr>
          <w:rFonts w:hint="cs"/>
          <w:sz w:val="22"/>
          <w:rtl/>
        </w:rPr>
        <w:t xml:space="preserve"> اللجنة </w:t>
      </w:r>
      <w:r>
        <w:rPr>
          <w:rFonts w:hint="cs"/>
          <w:sz w:val="22"/>
          <w:rtl/>
        </w:rPr>
        <w:t>ب</w:t>
      </w:r>
      <w:r w:rsidRPr="001F7E27">
        <w:rPr>
          <w:rFonts w:hint="cs"/>
          <w:sz w:val="22"/>
          <w:rtl/>
        </w:rPr>
        <w:t xml:space="preserve">التحقيق </w:t>
      </w:r>
      <w:r>
        <w:rPr>
          <w:rFonts w:hint="cs"/>
          <w:sz w:val="22"/>
          <w:rtl/>
        </w:rPr>
        <w:t xml:space="preserve">في موضوع </w:t>
      </w:r>
      <w:r w:rsidRPr="001F7E27">
        <w:rPr>
          <w:rFonts w:hint="cs"/>
          <w:sz w:val="22"/>
          <w:rtl/>
        </w:rPr>
        <w:t>التعقيم القسري لنساء ال</w:t>
      </w:r>
      <w:r>
        <w:rPr>
          <w:rFonts w:hint="cs"/>
          <w:sz w:val="22"/>
          <w:rtl/>
        </w:rPr>
        <w:t>روما</w:t>
      </w:r>
      <w:r w:rsidRPr="001F7E27">
        <w:rPr>
          <w:rFonts w:hint="cs"/>
          <w:sz w:val="22"/>
          <w:rtl/>
        </w:rPr>
        <w:t xml:space="preserve">، واعتماد القانون رقم </w:t>
      </w:r>
      <w:r w:rsidR="00002EEC">
        <w:t>576/2004 Coll.</w:t>
      </w:r>
      <w:r>
        <w:rPr>
          <w:rFonts w:hint="cs"/>
          <w:sz w:val="22"/>
          <w:rtl/>
        </w:rPr>
        <w:t xml:space="preserve">، </w:t>
      </w:r>
      <w:r w:rsidR="00002EEC">
        <w:rPr>
          <w:rFonts w:hint="cs"/>
          <w:sz w:val="22"/>
          <w:rtl/>
        </w:rPr>
        <w:t>المتعلق بالرعاية و</w:t>
      </w:r>
      <w:r w:rsidRPr="001F7E27">
        <w:rPr>
          <w:rFonts w:hint="cs"/>
          <w:sz w:val="22"/>
          <w:rtl/>
        </w:rPr>
        <w:t>الخدمات</w:t>
      </w:r>
      <w:r w:rsidRPr="0015183D">
        <w:rPr>
          <w:rFonts w:hint="cs"/>
          <w:sz w:val="22"/>
          <w:rtl/>
        </w:rPr>
        <w:t xml:space="preserve"> </w:t>
      </w:r>
      <w:r w:rsidRPr="001F7E27">
        <w:rPr>
          <w:rFonts w:hint="cs"/>
          <w:sz w:val="22"/>
          <w:rtl/>
        </w:rPr>
        <w:t>الصحية</w:t>
      </w:r>
      <w:r w:rsidR="00F2334C">
        <w:rPr>
          <w:rFonts w:hint="cs"/>
          <w:sz w:val="22"/>
          <w:rtl/>
        </w:rPr>
        <w:t xml:space="preserve">، </w:t>
      </w:r>
      <w:r w:rsidRPr="001F7E27">
        <w:rPr>
          <w:rFonts w:hint="cs"/>
          <w:sz w:val="22"/>
          <w:rtl/>
        </w:rPr>
        <w:t xml:space="preserve">الذي </w:t>
      </w:r>
      <w:r>
        <w:rPr>
          <w:rFonts w:hint="cs"/>
          <w:sz w:val="22"/>
          <w:rtl/>
        </w:rPr>
        <w:t>يطبق م</w:t>
      </w:r>
      <w:r w:rsidRPr="001F7E27">
        <w:rPr>
          <w:rFonts w:hint="cs"/>
          <w:sz w:val="22"/>
          <w:rtl/>
        </w:rPr>
        <w:t xml:space="preserve">فهوم الموافقة </w:t>
      </w:r>
      <w:r w:rsidR="00002EEC">
        <w:rPr>
          <w:rFonts w:hint="cs"/>
          <w:sz w:val="22"/>
          <w:rtl/>
        </w:rPr>
        <w:t>المستنيرة</w:t>
      </w:r>
      <w:r w:rsidRPr="001F7E27">
        <w:rPr>
          <w:rFonts w:hint="cs"/>
          <w:sz w:val="22"/>
          <w:rtl/>
        </w:rPr>
        <w:t xml:space="preserve">، تشعر اللجنة بالقلق إزاء التركيز الضيق </w:t>
      </w:r>
      <w:r>
        <w:rPr>
          <w:rFonts w:hint="cs"/>
          <w:sz w:val="22"/>
          <w:rtl/>
        </w:rPr>
        <w:t xml:space="preserve">لعملية </w:t>
      </w:r>
      <w:r w:rsidRPr="001F7E27">
        <w:rPr>
          <w:rFonts w:hint="cs"/>
          <w:sz w:val="22"/>
          <w:rtl/>
        </w:rPr>
        <w:t xml:space="preserve">التحقيق وعدم </w:t>
      </w:r>
      <w:r>
        <w:rPr>
          <w:rFonts w:hint="cs"/>
          <w:sz w:val="22"/>
          <w:rtl/>
        </w:rPr>
        <w:t>ت</w:t>
      </w:r>
      <w:r w:rsidRPr="001F7E27">
        <w:rPr>
          <w:rFonts w:hint="cs"/>
          <w:sz w:val="22"/>
          <w:rtl/>
        </w:rPr>
        <w:t>و</w:t>
      </w:r>
      <w:r>
        <w:rPr>
          <w:rFonts w:hint="cs"/>
          <w:sz w:val="22"/>
          <w:rtl/>
        </w:rPr>
        <w:t>فر</w:t>
      </w:r>
      <w:r w:rsidRPr="001F7E27">
        <w:rPr>
          <w:rFonts w:hint="cs"/>
          <w:sz w:val="22"/>
          <w:rtl/>
        </w:rPr>
        <w:t xml:space="preserve"> معلومات عن </w:t>
      </w:r>
      <w:r w:rsidR="00002EEC">
        <w:rPr>
          <w:rFonts w:hint="cs"/>
          <w:sz w:val="22"/>
          <w:rtl/>
        </w:rPr>
        <w:t>ال</w:t>
      </w:r>
      <w:r w:rsidRPr="001F7E27">
        <w:rPr>
          <w:rFonts w:hint="cs"/>
          <w:sz w:val="22"/>
          <w:rtl/>
        </w:rPr>
        <w:t xml:space="preserve">تدابير </w:t>
      </w:r>
      <w:r w:rsidR="00002EEC">
        <w:rPr>
          <w:rFonts w:hint="cs"/>
          <w:sz w:val="22"/>
          <w:rtl/>
        </w:rPr>
        <w:t>ال</w:t>
      </w:r>
      <w:r w:rsidRPr="001F7E27">
        <w:rPr>
          <w:rFonts w:hint="cs"/>
          <w:sz w:val="22"/>
          <w:rtl/>
        </w:rPr>
        <w:t xml:space="preserve">ملموسة </w:t>
      </w:r>
      <w:r w:rsidR="00002EEC">
        <w:rPr>
          <w:rFonts w:hint="cs"/>
          <w:sz w:val="22"/>
          <w:rtl/>
        </w:rPr>
        <w:t xml:space="preserve">المتخذة </w:t>
      </w:r>
      <w:r w:rsidRPr="001F7E27">
        <w:rPr>
          <w:rFonts w:hint="cs"/>
          <w:sz w:val="22"/>
          <w:rtl/>
        </w:rPr>
        <w:t xml:space="preserve">للقضاء على التعقيم القسري، </w:t>
      </w:r>
      <w:r>
        <w:rPr>
          <w:rFonts w:hint="cs"/>
          <w:sz w:val="22"/>
          <w:rtl/>
        </w:rPr>
        <w:t>الذي</w:t>
      </w:r>
      <w:r w:rsidRPr="001F7E27">
        <w:rPr>
          <w:rFonts w:hint="cs"/>
          <w:sz w:val="22"/>
          <w:rtl/>
        </w:rPr>
        <w:t xml:space="preserve"> ي</w:t>
      </w:r>
      <w:r>
        <w:rPr>
          <w:rFonts w:hint="cs"/>
          <w:sz w:val="22"/>
          <w:rtl/>
        </w:rPr>
        <w:t>ُ</w:t>
      </w:r>
      <w:r w:rsidRPr="001F7E27">
        <w:rPr>
          <w:rFonts w:hint="cs"/>
          <w:sz w:val="22"/>
          <w:rtl/>
        </w:rPr>
        <w:t xml:space="preserve">زعم </w:t>
      </w:r>
      <w:r w:rsidR="00002EEC">
        <w:rPr>
          <w:rFonts w:hint="cs"/>
          <w:sz w:val="22"/>
          <w:rtl/>
        </w:rPr>
        <w:t>أ</w:t>
      </w:r>
      <w:r>
        <w:rPr>
          <w:rFonts w:hint="cs"/>
          <w:sz w:val="22"/>
          <w:rtl/>
        </w:rPr>
        <w:t>نه</w:t>
      </w:r>
      <w:r w:rsidRPr="001F7E27">
        <w:rPr>
          <w:rFonts w:hint="cs"/>
          <w:sz w:val="22"/>
          <w:rtl/>
        </w:rPr>
        <w:t xml:space="preserve"> </w:t>
      </w:r>
      <w:r>
        <w:rPr>
          <w:rFonts w:hint="cs"/>
          <w:sz w:val="22"/>
          <w:rtl/>
        </w:rPr>
        <w:t>لا يزال يُمارس</w:t>
      </w:r>
      <w:r w:rsidR="00002EEC">
        <w:rPr>
          <w:rFonts w:hint="cs"/>
          <w:sz w:val="22"/>
          <w:rtl/>
        </w:rPr>
        <w:t xml:space="preserve"> </w:t>
      </w:r>
      <w:r w:rsidRPr="001F7E27">
        <w:rPr>
          <w:rFonts w:hint="cs"/>
          <w:sz w:val="22"/>
          <w:rtl/>
        </w:rPr>
        <w:t>(المادتان 7</w:t>
      </w:r>
      <w:r w:rsidR="00F2334C">
        <w:rPr>
          <w:rFonts w:hint="cs"/>
          <w:sz w:val="22"/>
          <w:rtl/>
        </w:rPr>
        <w:t xml:space="preserve"> و</w:t>
      </w:r>
      <w:r w:rsidRPr="001F7E27">
        <w:rPr>
          <w:rFonts w:hint="cs"/>
          <w:sz w:val="22"/>
          <w:rtl/>
        </w:rPr>
        <w:t>26).</w:t>
      </w:r>
    </w:p>
    <w:p w:rsidR="0035353F" w:rsidRPr="00523403" w:rsidRDefault="00CA3B24" w:rsidP="00523403">
      <w:pPr>
        <w:pStyle w:val="SingleTxtGA"/>
        <w:rPr>
          <w:b/>
          <w:bCs/>
        </w:rPr>
      </w:pPr>
      <w:r w:rsidRPr="00523403">
        <w:rPr>
          <w:b/>
          <w:bCs/>
          <w:rtl/>
        </w:rPr>
        <w:tab/>
      </w:r>
      <w:r w:rsidR="0035353F" w:rsidRPr="00523403">
        <w:rPr>
          <w:rFonts w:hint="cs"/>
          <w:b/>
          <w:bCs/>
          <w:rtl/>
        </w:rPr>
        <w:t xml:space="preserve">ينبغي للدولة الطرف أن تتخذ التدابير اللازمة لرصد تنفيذ </w:t>
      </w:r>
      <w:r w:rsidR="00523403">
        <w:rPr>
          <w:rFonts w:hint="cs"/>
          <w:b/>
          <w:bCs/>
          <w:rtl/>
        </w:rPr>
        <w:t xml:space="preserve">           </w:t>
      </w:r>
      <w:r w:rsidR="0035353F" w:rsidRPr="00523403">
        <w:rPr>
          <w:rFonts w:hint="cs"/>
          <w:b/>
          <w:bCs/>
          <w:rtl/>
        </w:rPr>
        <w:t>القانون</w:t>
      </w:r>
      <w:r w:rsidR="00523403" w:rsidRPr="00523403">
        <w:rPr>
          <w:rFonts w:hint="eastAsia"/>
          <w:b/>
          <w:bCs/>
          <w:rtl/>
        </w:rPr>
        <w:t> </w:t>
      </w:r>
      <w:r w:rsidR="0035353F" w:rsidRPr="00523403">
        <w:rPr>
          <w:rFonts w:hint="cs"/>
          <w:b/>
          <w:bCs/>
          <w:rtl/>
        </w:rPr>
        <w:t>رقم</w:t>
      </w:r>
      <w:r w:rsidR="00523403" w:rsidRPr="00523403">
        <w:rPr>
          <w:rFonts w:hint="eastAsia"/>
          <w:b/>
          <w:bCs/>
          <w:rtl/>
        </w:rPr>
        <w:t> </w:t>
      </w:r>
      <w:r w:rsidR="00002EEC" w:rsidRPr="00523403">
        <w:rPr>
          <w:b/>
          <w:bCs/>
          <w:spacing w:val="-5"/>
        </w:rPr>
        <w:t>576/2004</w:t>
      </w:r>
      <w:r w:rsidR="00002EEC" w:rsidRPr="00523403">
        <w:rPr>
          <w:b/>
          <w:bCs/>
          <w:spacing w:val="-5"/>
          <w:sz w:val="8"/>
          <w:szCs w:val="8"/>
        </w:rPr>
        <w:t xml:space="preserve"> </w:t>
      </w:r>
      <w:r w:rsidR="00002EEC" w:rsidRPr="00523403">
        <w:rPr>
          <w:b/>
          <w:bCs/>
          <w:spacing w:val="-5"/>
        </w:rPr>
        <w:t>Coll.</w:t>
      </w:r>
      <w:r w:rsidR="0035353F" w:rsidRPr="00523403">
        <w:rPr>
          <w:rFonts w:hint="cs"/>
          <w:b/>
          <w:bCs/>
          <w:spacing w:val="-5"/>
          <w:rtl/>
        </w:rPr>
        <w:t xml:space="preserve">. </w:t>
      </w:r>
      <w:r w:rsidR="0035353F" w:rsidRPr="00523403">
        <w:rPr>
          <w:rFonts w:hint="cs"/>
          <w:b/>
          <w:bCs/>
          <w:rtl/>
        </w:rPr>
        <w:t xml:space="preserve">لضمان </w:t>
      </w:r>
      <w:r w:rsidR="00002EEC" w:rsidRPr="00523403">
        <w:rPr>
          <w:rFonts w:hint="cs"/>
          <w:b/>
          <w:bCs/>
          <w:rtl/>
        </w:rPr>
        <w:t>ا</w:t>
      </w:r>
      <w:r w:rsidR="0035353F" w:rsidRPr="00523403">
        <w:rPr>
          <w:rFonts w:hint="cs"/>
          <w:b/>
          <w:bCs/>
          <w:rtl/>
        </w:rPr>
        <w:t>تباع جميع الإجراءات عند الحصول على موافقة</w:t>
      </w:r>
      <w:r w:rsidR="00F2334C" w:rsidRPr="00523403">
        <w:rPr>
          <w:rFonts w:hint="cs"/>
          <w:b/>
          <w:bCs/>
          <w:rtl/>
        </w:rPr>
        <w:t xml:space="preserve"> </w:t>
      </w:r>
      <w:r w:rsidR="0035353F" w:rsidRPr="00523403">
        <w:rPr>
          <w:rFonts w:hint="cs"/>
          <w:b/>
          <w:bCs/>
          <w:rtl/>
        </w:rPr>
        <w:t>تام</w:t>
      </w:r>
      <w:r w:rsidR="006D50C1" w:rsidRPr="00523403">
        <w:rPr>
          <w:rFonts w:hint="cs"/>
          <w:b/>
          <w:bCs/>
          <w:rtl/>
        </w:rPr>
        <w:t>ـ</w:t>
      </w:r>
      <w:r w:rsidR="0035353F" w:rsidRPr="00523403">
        <w:rPr>
          <w:rFonts w:hint="cs"/>
          <w:b/>
          <w:bCs/>
          <w:rtl/>
        </w:rPr>
        <w:t>ة ومستنيرة من النساء، ولا</w:t>
      </w:r>
      <w:r w:rsidR="00002EEC" w:rsidRPr="00523403">
        <w:rPr>
          <w:rFonts w:hint="eastAsia"/>
          <w:b/>
          <w:bCs/>
          <w:rtl/>
        </w:rPr>
        <w:t> </w:t>
      </w:r>
      <w:r w:rsidR="0035353F" w:rsidRPr="00523403">
        <w:rPr>
          <w:rFonts w:hint="cs"/>
          <w:b/>
          <w:bCs/>
          <w:rtl/>
        </w:rPr>
        <w:t xml:space="preserve">سيما نساء الروما، اللاتي </w:t>
      </w:r>
      <w:r w:rsidR="00002EEC" w:rsidRPr="00523403">
        <w:rPr>
          <w:rFonts w:hint="cs"/>
          <w:b/>
          <w:bCs/>
          <w:rtl/>
        </w:rPr>
        <w:t>ي</w:t>
      </w:r>
      <w:r w:rsidR="0035353F" w:rsidRPr="00523403">
        <w:rPr>
          <w:rFonts w:hint="cs"/>
          <w:b/>
          <w:bCs/>
          <w:rtl/>
        </w:rPr>
        <w:t>لتمسن الحصول على خدمات التعقيم في المرافق الصحية. وفي هذا الصدد</w:t>
      </w:r>
      <w:r w:rsidR="00F2334C" w:rsidRPr="00523403">
        <w:rPr>
          <w:rFonts w:hint="cs"/>
          <w:b/>
          <w:bCs/>
          <w:rtl/>
        </w:rPr>
        <w:t xml:space="preserve">، </w:t>
      </w:r>
      <w:r w:rsidR="0035353F" w:rsidRPr="00523403">
        <w:rPr>
          <w:rFonts w:hint="cs"/>
          <w:b/>
          <w:bCs/>
          <w:rtl/>
        </w:rPr>
        <w:t>ينبغي للدولة الطرف أن توفر تدريباً خاصاً لموظفي الصحة يهدف رفع مستوى الوعي بالآثار الضارة للتعقيم القسري.</w:t>
      </w:r>
    </w:p>
    <w:p w:rsidR="0035353F" w:rsidRPr="00D45C9A" w:rsidRDefault="00002EEC" w:rsidP="00002EEC">
      <w:pPr>
        <w:pStyle w:val="SingleTxtGA"/>
        <w:rPr>
          <w:rFonts w:ascii="Arial" w:hAnsi="Arial" w:cs="Arial"/>
          <w:color w:val="888888"/>
          <w:szCs w:val="20"/>
        </w:rPr>
      </w:pPr>
      <w:r>
        <w:rPr>
          <w:rFonts w:hint="cs"/>
          <w:sz w:val="22"/>
          <w:rtl/>
        </w:rPr>
        <w:t>14-</w:t>
      </w:r>
      <w:r>
        <w:rPr>
          <w:rFonts w:hint="cs"/>
          <w:sz w:val="22"/>
          <w:rtl/>
        </w:rPr>
        <w:tab/>
        <w:t xml:space="preserve">بينما </w:t>
      </w:r>
      <w:r w:rsidR="0035353F" w:rsidRPr="00314D66">
        <w:rPr>
          <w:rFonts w:hint="cs"/>
          <w:sz w:val="22"/>
          <w:rtl/>
        </w:rPr>
        <w:t xml:space="preserve">تقدر </w:t>
      </w:r>
      <w:r w:rsidR="0035353F">
        <w:rPr>
          <w:rFonts w:hint="cs"/>
          <w:sz w:val="22"/>
          <w:rtl/>
        </w:rPr>
        <w:t xml:space="preserve">اللجنة </w:t>
      </w:r>
      <w:r w:rsidR="0035353F" w:rsidRPr="00314D66">
        <w:rPr>
          <w:rFonts w:hint="cs"/>
          <w:sz w:val="22"/>
          <w:rtl/>
        </w:rPr>
        <w:t xml:space="preserve">وجود </w:t>
      </w:r>
      <w:r>
        <w:rPr>
          <w:rFonts w:hint="cs"/>
          <w:sz w:val="22"/>
          <w:rtl/>
        </w:rPr>
        <w:t xml:space="preserve">إدارة </w:t>
      </w:r>
      <w:r w:rsidR="0035353F">
        <w:rPr>
          <w:rFonts w:hint="cs"/>
          <w:sz w:val="22"/>
          <w:rtl/>
        </w:rPr>
        <w:t xml:space="preserve">لخدمات </w:t>
      </w:r>
      <w:r w:rsidR="0035353F" w:rsidRPr="00314D66">
        <w:rPr>
          <w:rFonts w:hint="cs"/>
          <w:sz w:val="22"/>
          <w:rtl/>
        </w:rPr>
        <w:t>التفتيش تابعة لقسم الرقابة و</w:t>
      </w:r>
      <w:r w:rsidR="0035353F">
        <w:rPr>
          <w:rFonts w:hint="cs"/>
          <w:sz w:val="22"/>
          <w:rtl/>
        </w:rPr>
        <w:t xml:space="preserve">خدمات </w:t>
      </w:r>
      <w:r w:rsidR="0035353F" w:rsidRPr="00314D66">
        <w:rPr>
          <w:rFonts w:hint="cs"/>
          <w:sz w:val="22"/>
          <w:rtl/>
        </w:rPr>
        <w:t xml:space="preserve">التفتيش، </w:t>
      </w:r>
      <w:r w:rsidR="0035353F">
        <w:rPr>
          <w:rFonts w:hint="cs"/>
          <w:sz w:val="22"/>
          <w:rtl/>
        </w:rPr>
        <w:t>م</w:t>
      </w:r>
      <w:r w:rsidR="0035353F" w:rsidRPr="00314D66">
        <w:rPr>
          <w:rFonts w:hint="cs"/>
          <w:sz w:val="22"/>
          <w:rtl/>
        </w:rPr>
        <w:t>كلف</w:t>
      </w:r>
      <w:r w:rsidR="0035353F">
        <w:rPr>
          <w:rFonts w:hint="cs"/>
          <w:sz w:val="22"/>
          <w:rtl/>
        </w:rPr>
        <w:t>ة</w:t>
      </w:r>
      <w:r w:rsidR="0035353F" w:rsidRPr="00314D66">
        <w:rPr>
          <w:rFonts w:hint="cs"/>
          <w:sz w:val="22"/>
          <w:rtl/>
        </w:rPr>
        <w:t xml:space="preserve"> بالتحقيق في الجرائم التي يرتكبها أفراد قوة الشرطة</w:t>
      </w:r>
      <w:r w:rsidR="00F2334C">
        <w:rPr>
          <w:rFonts w:hint="cs"/>
          <w:sz w:val="22"/>
          <w:rtl/>
        </w:rPr>
        <w:t xml:space="preserve">، </w:t>
      </w:r>
      <w:r w:rsidR="0035353F" w:rsidRPr="00314D66">
        <w:rPr>
          <w:rFonts w:hint="cs"/>
          <w:sz w:val="22"/>
          <w:rtl/>
        </w:rPr>
        <w:t xml:space="preserve">تشعر </w:t>
      </w:r>
      <w:r>
        <w:rPr>
          <w:rFonts w:hint="cs"/>
          <w:sz w:val="22"/>
          <w:rtl/>
        </w:rPr>
        <w:t xml:space="preserve">اللجنة </w:t>
      </w:r>
      <w:r w:rsidR="0035353F" w:rsidRPr="00314D66">
        <w:rPr>
          <w:rFonts w:hint="cs"/>
          <w:sz w:val="22"/>
          <w:rtl/>
        </w:rPr>
        <w:t xml:space="preserve">بالقلق </w:t>
      </w:r>
      <w:r w:rsidR="0035353F">
        <w:rPr>
          <w:rFonts w:hint="cs"/>
          <w:sz w:val="22"/>
          <w:rtl/>
        </w:rPr>
        <w:t xml:space="preserve">لأن </w:t>
      </w:r>
      <w:r>
        <w:rPr>
          <w:rFonts w:hint="cs"/>
          <w:sz w:val="22"/>
          <w:rtl/>
        </w:rPr>
        <w:t xml:space="preserve">إدارة </w:t>
      </w:r>
      <w:r w:rsidR="0035353F" w:rsidRPr="00314D66">
        <w:rPr>
          <w:rFonts w:hint="cs"/>
          <w:sz w:val="22"/>
          <w:rtl/>
        </w:rPr>
        <w:t>خدم</w:t>
      </w:r>
      <w:r w:rsidR="0035353F">
        <w:rPr>
          <w:rFonts w:hint="cs"/>
          <w:sz w:val="22"/>
          <w:rtl/>
        </w:rPr>
        <w:t>ات</w:t>
      </w:r>
      <w:r w:rsidR="0035353F" w:rsidRPr="00314D66">
        <w:rPr>
          <w:rFonts w:hint="cs"/>
          <w:sz w:val="22"/>
          <w:rtl/>
        </w:rPr>
        <w:t xml:space="preserve"> التفتيش ليست مستقلة تمام</w:t>
      </w:r>
      <w:r w:rsidR="00F2334C">
        <w:rPr>
          <w:rFonts w:hint="cs"/>
          <w:sz w:val="22"/>
          <w:rtl/>
        </w:rPr>
        <w:t xml:space="preserve">اً، </w:t>
      </w:r>
      <w:r w:rsidR="0035353F">
        <w:rPr>
          <w:rFonts w:hint="cs"/>
          <w:sz w:val="22"/>
          <w:rtl/>
        </w:rPr>
        <w:t xml:space="preserve">لأن التحقيق في </w:t>
      </w:r>
      <w:r w:rsidR="0035353F" w:rsidRPr="00314D66">
        <w:rPr>
          <w:rFonts w:hint="cs"/>
          <w:sz w:val="22"/>
          <w:rtl/>
        </w:rPr>
        <w:t xml:space="preserve">الشكاوى المقدمة ضد الشرطة </w:t>
      </w:r>
      <w:r w:rsidR="0035353F">
        <w:rPr>
          <w:rFonts w:hint="cs"/>
          <w:sz w:val="22"/>
          <w:rtl/>
        </w:rPr>
        <w:t xml:space="preserve">يتم </w:t>
      </w:r>
      <w:r w:rsidR="0035353F" w:rsidRPr="00314D66">
        <w:rPr>
          <w:rFonts w:hint="cs"/>
          <w:sz w:val="22"/>
          <w:rtl/>
        </w:rPr>
        <w:t xml:space="preserve">من قبل </w:t>
      </w:r>
      <w:r w:rsidR="0035353F">
        <w:rPr>
          <w:rFonts w:hint="cs"/>
          <w:sz w:val="22"/>
          <w:rtl/>
        </w:rPr>
        <w:t>محققين يعملون في</w:t>
      </w:r>
      <w:r w:rsidR="0035353F" w:rsidRPr="00314D66">
        <w:rPr>
          <w:rFonts w:hint="cs"/>
          <w:sz w:val="22"/>
          <w:rtl/>
        </w:rPr>
        <w:t xml:space="preserve"> الشرطة. </w:t>
      </w:r>
      <w:r w:rsidR="0035353F">
        <w:rPr>
          <w:rFonts w:hint="cs"/>
          <w:sz w:val="22"/>
          <w:rtl/>
        </w:rPr>
        <w:t>و</w:t>
      </w:r>
      <w:r w:rsidR="0035353F" w:rsidRPr="00314D66">
        <w:rPr>
          <w:rFonts w:hint="cs"/>
          <w:sz w:val="22"/>
          <w:rtl/>
        </w:rPr>
        <w:t xml:space="preserve">يساور اللجنة </w:t>
      </w:r>
      <w:r w:rsidR="0035353F">
        <w:rPr>
          <w:rFonts w:hint="cs"/>
          <w:sz w:val="22"/>
          <w:rtl/>
        </w:rPr>
        <w:t xml:space="preserve">أيضاً القلق </w:t>
      </w:r>
      <w:r w:rsidR="0035353F" w:rsidRPr="00314D66">
        <w:rPr>
          <w:rFonts w:hint="cs"/>
          <w:sz w:val="22"/>
          <w:rtl/>
        </w:rPr>
        <w:t xml:space="preserve">إزاء استمرار </w:t>
      </w:r>
      <w:r>
        <w:rPr>
          <w:rFonts w:hint="cs"/>
          <w:sz w:val="22"/>
          <w:rtl/>
        </w:rPr>
        <w:t xml:space="preserve">الإبلاغ </w:t>
      </w:r>
      <w:r w:rsidR="0035353F" w:rsidRPr="00314D66">
        <w:rPr>
          <w:rFonts w:hint="cs"/>
          <w:sz w:val="22"/>
          <w:rtl/>
        </w:rPr>
        <w:t>عن سوء معاملة الم</w:t>
      </w:r>
      <w:r w:rsidR="0035353F">
        <w:rPr>
          <w:rFonts w:hint="cs"/>
          <w:sz w:val="22"/>
          <w:rtl/>
        </w:rPr>
        <w:t>حتجزين</w:t>
      </w:r>
      <w:r w:rsidR="0035353F" w:rsidRPr="00314D66">
        <w:rPr>
          <w:rFonts w:hint="cs"/>
          <w:sz w:val="22"/>
          <w:rtl/>
        </w:rPr>
        <w:t xml:space="preserve"> من قبل الموظفين المكلفين بإنفاذ </w:t>
      </w:r>
      <w:r w:rsidR="0035353F">
        <w:rPr>
          <w:rFonts w:hint="cs"/>
          <w:sz w:val="22"/>
          <w:rtl/>
        </w:rPr>
        <w:t>القانون</w:t>
      </w:r>
      <w:r w:rsidR="0035353F" w:rsidRPr="00314D66">
        <w:rPr>
          <w:rFonts w:hint="cs"/>
          <w:sz w:val="22"/>
          <w:rtl/>
        </w:rPr>
        <w:t xml:space="preserve"> (المادتان 7</w:t>
      </w:r>
      <w:r w:rsidR="00F2334C">
        <w:rPr>
          <w:rFonts w:hint="cs"/>
          <w:sz w:val="22"/>
          <w:rtl/>
        </w:rPr>
        <w:t xml:space="preserve"> و</w:t>
      </w:r>
      <w:r w:rsidR="0035353F" w:rsidRPr="00314D66">
        <w:rPr>
          <w:rFonts w:hint="cs"/>
          <w:sz w:val="22"/>
          <w:rtl/>
        </w:rPr>
        <w:t>10)</w:t>
      </w:r>
      <w:r>
        <w:rPr>
          <w:rFonts w:hint="cs"/>
          <w:sz w:val="22"/>
          <w:rtl/>
        </w:rPr>
        <w:t>.</w:t>
      </w:r>
    </w:p>
    <w:p w:rsidR="0035353F" w:rsidRDefault="00CA3B24" w:rsidP="00523403">
      <w:pPr>
        <w:pStyle w:val="SingleTxtGA"/>
        <w:rPr>
          <w:rFonts w:hint="cs"/>
          <w:b/>
          <w:bCs/>
          <w:sz w:val="22"/>
          <w:rtl/>
        </w:rPr>
      </w:pPr>
      <w:r>
        <w:rPr>
          <w:b/>
          <w:bCs/>
          <w:sz w:val="22"/>
          <w:rtl/>
        </w:rPr>
        <w:tab/>
      </w:r>
      <w:r w:rsidR="0035353F" w:rsidRPr="00272578">
        <w:rPr>
          <w:rFonts w:hint="cs"/>
          <w:b/>
          <w:bCs/>
          <w:sz w:val="22"/>
          <w:rtl/>
        </w:rPr>
        <w:t>ينبغي للدولة الطرف أن تتخذ التدابير الملائمة ل</w:t>
      </w:r>
      <w:r w:rsidR="0035353F">
        <w:rPr>
          <w:rFonts w:hint="cs"/>
          <w:b/>
          <w:bCs/>
          <w:sz w:val="22"/>
          <w:rtl/>
        </w:rPr>
        <w:t>دعم</w:t>
      </w:r>
      <w:r w:rsidR="0035353F" w:rsidRPr="00272578">
        <w:rPr>
          <w:rFonts w:hint="cs"/>
          <w:b/>
          <w:bCs/>
          <w:sz w:val="22"/>
          <w:rtl/>
        </w:rPr>
        <w:t xml:space="preserve"> </w:t>
      </w:r>
      <w:r w:rsidR="00002EEC">
        <w:rPr>
          <w:rFonts w:hint="cs"/>
          <w:b/>
          <w:bCs/>
          <w:sz w:val="22"/>
          <w:rtl/>
        </w:rPr>
        <w:t xml:space="preserve">إدارة </w:t>
      </w:r>
      <w:r w:rsidR="0035353F">
        <w:rPr>
          <w:rFonts w:hint="cs"/>
          <w:b/>
          <w:bCs/>
          <w:sz w:val="22"/>
          <w:rtl/>
        </w:rPr>
        <w:t xml:space="preserve">خدمات </w:t>
      </w:r>
      <w:r w:rsidR="0035353F" w:rsidRPr="00272578">
        <w:rPr>
          <w:rFonts w:hint="cs"/>
          <w:b/>
          <w:bCs/>
          <w:sz w:val="22"/>
          <w:rtl/>
        </w:rPr>
        <w:t>التفتيش التابعة لقسم الرقابة و</w:t>
      </w:r>
      <w:r w:rsidR="0035353F">
        <w:rPr>
          <w:rFonts w:hint="cs"/>
          <w:b/>
          <w:bCs/>
          <w:sz w:val="22"/>
          <w:rtl/>
        </w:rPr>
        <w:t xml:space="preserve">خدمات </w:t>
      </w:r>
      <w:r w:rsidR="0035353F" w:rsidRPr="00272578">
        <w:rPr>
          <w:rFonts w:hint="cs"/>
          <w:b/>
          <w:bCs/>
          <w:sz w:val="22"/>
          <w:rtl/>
        </w:rPr>
        <w:t xml:space="preserve">التفتيش لضمان استقلالها </w:t>
      </w:r>
      <w:r w:rsidR="0035353F">
        <w:rPr>
          <w:rFonts w:hint="cs"/>
          <w:b/>
          <w:bCs/>
          <w:sz w:val="22"/>
          <w:rtl/>
        </w:rPr>
        <w:t xml:space="preserve">في </w:t>
      </w:r>
      <w:r w:rsidR="0035353F" w:rsidRPr="00272578">
        <w:rPr>
          <w:rFonts w:hint="cs"/>
          <w:b/>
          <w:bCs/>
          <w:sz w:val="22"/>
          <w:rtl/>
        </w:rPr>
        <w:t xml:space="preserve">إجراء </w:t>
      </w:r>
      <w:r w:rsidR="00002EEC">
        <w:rPr>
          <w:rFonts w:hint="cs"/>
          <w:b/>
          <w:bCs/>
          <w:sz w:val="22"/>
          <w:rtl/>
        </w:rPr>
        <w:t>ال</w:t>
      </w:r>
      <w:r w:rsidR="0035353F" w:rsidRPr="00272578">
        <w:rPr>
          <w:rFonts w:hint="cs"/>
          <w:b/>
          <w:bCs/>
          <w:sz w:val="22"/>
          <w:rtl/>
        </w:rPr>
        <w:t xml:space="preserve">تحقيقات في </w:t>
      </w:r>
      <w:r w:rsidR="0035353F">
        <w:rPr>
          <w:rFonts w:hint="cs"/>
          <w:b/>
          <w:bCs/>
          <w:sz w:val="22"/>
          <w:rtl/>
        </w:rPr>
        <w:t>ال</w:t>
      </w:r>
      <w:r w:rsidR="0035353F" w:rsidRPr="00272578">
        <w:rPr>
          <w:rFonts w:hint="cs"/>
          <w:b/>
          <w:bCs/>
          <w:sz w:val="22"/>
          <w:rtl/>
        </w:rPr>
        <w:t xml:space="preserve">مزاعم </w:t>
      </w:r>
      <w:r w:rsidR="0035353F">
        <w:rPr>
          <w:rFonts w:hint="cs"/>
          <w:b/>
          <w:bCs/>
          <w:sz w:val="22"/>
          <w:rtl/>
        </w:rPr>
        <w:t>ب</w:t>
      </w:r>
      <w:r w:rsidR="0035353F" w:rsidRPr="00272578">
        <w:rPr>
          <w:rFonts w:hint="cs"/>
          <w:b/>
          <w:bCs/>
          <w:sz w:val="22"/>
          <w:rtl/>
        </w:rPr>
        <w:t>سوء سلوك ضباط الشرطة. وفي هذا الصدد</w:t>
      </w:r>
      <w:r w:rsidR="00F2334C">
        <w:rPr>
          <w:rFonts w:hint="cs"/>
          <w:b/>
          <w:bCs/>
          <w:sz w:val="22"/>
          <w:rtl/>
        </w:rPr>
        <w:t xml:space="preserve">، </w:t>
      </w:r>
      <w:r w:rsidR="0035353F" w:rsidRPr="00272578">
        <w:rPr>
          <w:rFonts w:hint="cs"/>
          <w:b/>
          <w:bCs/>
          <w:sz w:val="22"/>
          <w:rtl/>
        </w:rPr>
        <w:t xml:space="preserve">ينبغي للدولة الطرف </w:t>
      </w:r>
      <w:r w:rsidR="0035353F">
        <w:rPr>
          <w:rFonts w:hint="cs"/>
          <w:b/>
          <w:bCs/>
          <w:sz w:val="22"/>
          <w:rtl/>
        </w:rPr>
        <w:t>أن ت</w:t>
      </w:r>
      <w:r w:rsidR="0035353F" w:rsidRPr="00272578">
        <w:rPr>
          <w:rFonts w:hint="cs"/>
          <w:b/>
          <w:bCs/>
          <w:sz w:val="22"/>
          <w:rtl/>
        </w:rPr>
        <w:t xml:space="preserve">ضمن </w:t>
      </w:r>
      <w:r w:rsidR="0035353F">
        <w:rPr>
          <w:rFonts w:hint="cs"/>
          <w:b/>
          <w:bCs/>
          <w:sz w:val="22"/>
          <w:rtl/>
        </w:rPr>
        <w:t>استمرار تلقي ا</w:t>
      </w:r>
      <w:r w:rsidR="0035353F" w:rsidRPr="00272578">
        <w:rPr>
          <w:rFonts w:hint="cs"/>
          <w:b/>
          <w:bCs/>
          <w:sz w:val="22"/>
          <w:rtl/>
        </w:rPr>
        <w:t xml:space="preserve">لموظفين المكلفين بإنفاذ القانون التدريب </w:t>
      </w:r>
      <w:r w:rsidR="0035353F">
        <w:rPr>
          <w:rFonts w:hint="cs"/>
          <w:b/>
          <w:bCs/>
          <w:sz w:val="22"/>
          <w:rtl/>
        </w:rPr>
        <w:t>على الكشف عن</w:t>
      </w:r>
      <w:r w:rsidR="0035353F" w:rsidRPr="00272578">
        <w:rPr>
          <w:rFonts w:hint="cs"/>
          <w:b/>
          <w:bCs/>
          <w:sz w:val="22"/>
          <w:rtl/>
        </w:rPr>
        <w:t xml:space="preserve"> </w:t>
      </w:r>
      <w:r w:rsidR="0035353F">
        <w:rPr>
          <w:rFonts w:hint="cs"/>
          <w:b/>
          <w:bCs/>
          <w:sz w:val="22"/>
          <w:rtl/>
        </w:rPr>
        <w:t xml:space="preserve">حالات </w:t>
      </w:r>
      <w:r w:rsidR="0035353F" w:rsidRPr="00272578">
        <w:rPr>
          <w:rFonts w:hint="cs"/>
          <w:b/>
          <w:bCs/>
          <w:sz w:val="22"/>
          <w:rtl/>
        </w:rPr>
        <w:t xml:space="preserve">التعذيب وسوء المعاملة من خلال </w:t>
      </w:r>
      <w:r w:rsidR="0035353F">
        <w:rPr>
          <w:rFonts w:hint="cs"/>
          <w:b/>
          <w:bCs/>
          <w:sz w:val="22"/>
          <w:rtl/>
        </w:rPr>
        <w:t xml:space="preserve">إدراج </w:t>
      </w:r>
      <w:r w:rsidR="0035353F" w:rsidRPr="00272578">
        <w:rPr>
          <w:rFonts w:hint="cs"/>
          <w:b/>
          <w:bCs/>
          <w:sz w:val="22"/>
          <w:rtl/>
        </w:rPr>
        <w:t>بروتوكول اس</w:t>
      </w:r>
      <w:r w:rsidR="00FD022C">
        <w:rPr>
          <w:rFonts w:hint="cs"/>
          <w:b/>
          <w:bCs/>
          <w:sz w:val="22"/>
          <w:rtl/>
        </w:rPr>
        <w:t>ت</w:t>
      </w:r>
      <w:r w:rsidR="0035353F" w:rsidRPr="00272578">
        <w:rPr>
          <w:rFonts w:hint="cs"/>
          <w:b/>
          <w:bCs/>
          <w:sz w:val="22"/>
          <w:rtl/>
        </w:rPr>
        <w:t>نبول</w:t>
      </w:r>
      <w:r w:rsidR="0035353F">
        <w:rPr>
          <w:rFonts w:hint="cs"/>
          <w:b/>
          <w:bCs/>
          <w:sz w:val="22"/>
          <w:rtl/>
        </w:rPr>
        <w:t xml:space="preserve"> لعام</w:t>
      </w:r>
      <w:r w:rsidR="006D50C1">
        <w:rPr>
          <w:rFonts w:hint="eastAsia"/>
          <w:b/>
          <w:bCs/>
          <w:sz w:val="22"/>
          <w:rtl/>
        </w:rPr>
        <w:t> </w:t>
      </w:r>
      <w:r w:rsidR="0035353F" w:rsidRPr="00272578">
        <w:rPr>
          <w:rFonts w:hint="cs"/>
          <w:b/>
          <w:bCs/>
          <w:sz w:val="22"/>
          <w:rtl/>
        </w:rPr>
        <w:t xml:space="preserve">1999 </w:t>
      </w:r>
      <w:r w:rsidR="0035353F" w:rsidRPr="009D0FB4">
        <w:rPr>
          <w:rFonts w:hint="cs"/>
          <w:b/>
          <w:bCs/>
          <w:rtl/>
          <w:lang w:bidi="ar"/>
        </w:rPr>
        <w:t>(دليل التقصي والتوثيق الفعالين بشأن التعذيب وغيره من ضروب المعاملة أو العقوبة القاسية أو اللاإنسانية أو</w:t>
      </w:r>
      <w:r w:rsidR="00523403">
        <w:rPr>
          <w:rFonts w:hint="eastAsia"/>
          <w:b/>
          <w:bCs/>
          <w:rtl/>
          <w:lang w:bidi="ar"/>
        </w:rPr>
        <w:t> </w:t>
      </w:r>
      <w:r w:rsidR="0035353F" w:rsidRPr="009D0FB4">
        <w:rPr>
          <w:rFonts w:hint="cs"/>
          <w:b/>
          <w:bCs/>
          <w:rtl/>
          <w:lang w:bidi="ar"/>
        </w:rPr>
        <w:t>المهينة)</w:t>
      </w:r>
      <w:r w:rsidR="0035353F">
        <w:rPr>
          <w:rFonts w:hint="cs"/>
          <w:b/>
          <w:bCs/>
          <w:sz w:val="22"/>
          <w:rtl/>
        </w:rPr>
        <w:t xml:space="preserve"> </w:t>
      </w:r>
      <w:r w:rsidR="0035353F" w:rsidRPr="00272578">
        <w:rPr>
          <w:rFonts w:hint="cs"/>
          <w:b/>
          <w:bCs/>
          <w:sz w:val="22"/>
          <w:rtl/>
        </w:rPr>
        <w:t>في جميع برامج تدريب</w:t>
      </w:r>
      <w:r w:rsidR="0035353F">
        <w:rPr>
          <w:rFonts w:hint="cs"/>
          <w:b/>
          <w:bCs/>
          <w:sz w:val="22"/>
          <w:rtl/>
        </w:rPr>
        <w:t xml:space="preserve"> ا</w:t>
      </w:r>
      <w:r w:rsidR="0035353F" w:rsidRPr="00272578">
        <w:rPr>
          <w:rFonts w:hint="cs"/>
          <w:b/>
          <w:bCs/>
          <w:sz w:val="22"/>
          <w:rtl/>
        </w:rPr>
        <w:t xml:space="preserve">لموظفين المكلفين بإنفاذ القانون. </w:t>
      </w:r>
      <w:r w:rsidR="0035353F">
        <w:rPr>
          <w:rFonts w:hint="cs"/>
          <w:b/>
          <w:bCs/>
          <w:sz w:val="22"/>
          <w:rtl/>
        </w:rPr>
        <w:t xml:space="preserve">ولذلك </w:t>
      </w:r>
      <w:r w:rsidR="0035353F" w:rsidRPr="00272578">
        <w:rPr>
          <w:rFonts w:hint="cs"/>
          <w:b/>
          <w:bCs/>
          <w:sz w:val="22"/>
          <w:rtl/>
        </w:rPr>
        <w:t xml:space="preserve">ينبغي للدولة الطرف </w:t>
      </w:r>
      <w:r w:rsidR="0035353F">
        <w:rPr>
          <w:rFonts w:hint="cs"/>
          <w:b/>
          <w:bCs/>
          <w:sz w:val="22"/>
          <w:rtl/>
        </w:rPr>
        <w:t>أن</w:t>
      </w:r>
      <w:r w:rsidR="0035353F" w:rsidRPr="00272578">
        <w:rPr>
          <w:rFonts w:hint="cs"/>
          <w:b/>
          <w:bCs/>
          <w:sz w:val="22"/>
          <w:rtl/>
        </w:rPr>
        <w:t xml:space="preserve"> </w:t>
      </w:r>
      <w:r w:rsidR="0035353F">
        <w:rPr>
          <w:rFonts w:hint="cs"/>
          <w:b/>
          <w:bCs/>
          <w:sz w:val="22"/>
          <w:rtl/>
        </w:rPr>
        <w:t>ت</w:t>
      </w:r>
      <w:r w:rsidR="0035353F" w:rsidRPr="00272578">
        <w:rPr>
          <w:rFonts w:hint="cs"/>
          <w:b/>
          <w:bCs/>
          <w:sz w:val="22"/>
          <w:rtl/>
        </w:rPr>
        <w:t xml:space="preserve">ضمن </w:t>
      </w:r>
      <w:r w:rsidR="00002EEC">
        <w:rPr>
          <w:rFonts w:hint="cs"/>
          <w:b/>
          <w:bCs/>
          <w:sz w:val="22"/>
          <w:rtl/>
        </w:rPr>
        <w:t xml:space="preserve">التحقيق الفعال </w:t>
      </w:r>
      <w:r w:rsidR="0035353F" w:rsidRPr="00272578">
        <w:rPr>
          <w:rFonts w:hint="cs"/>
          <w:b/>
          <w:bCs/>
          <w:sz w:val="22"/>
          <w:rtl/>
        </w:rPr>
        <w:t xml:space="preserve">في </w:t>
      </w:r>
      <w:r w:rsidR="0035353F">
        <w:rPr>
          <w:rFonts w:hint="cs"/>
          <w:b/>
          <w:bCs/>
          <w:sz w:val="22"/>
          <w:rtl/>
        </w:rPr>
        <w:t>ال</w:t>
      </w:r>
      <w:r w:rsidR="0035353F" w:rsidRPr="00272578">
        <w:rPr>
          <w:rFonts w:hint="cs"/>
          <w:b/>
          <w:bCs/>
          <w:sz w:val="22"/>
          <w:rtl/>
        </w:rPr>
        <w:t xml:space="preserve">مزاعم </w:t>
      </w:r>
      <w:r w:rsidR="0035353F">
        <w:rPr>
          <w:rFonts w:hint="cs"/>
          <w:b/>
          <w:bCs/>
          <w:sz w:val="22"/>
          <w:rtl/>
        </w:rPr>
        <w:t>ب</w:t>
      </w:r>
      <w:r w:rsidR="0035353F" w:rsidRPr="00272578">
        <w:rPr>
          <w:rFonts w:hint="cs"/>
          <w:b/>
          <w:bCs/>
          <w:sz w:val="22"/>
          <w:rtl/>
        </w:rPr>
        <w:t xml:space="preserve">التعذيب وسوء المعاملة، وملاحقة المرتكبين المزعومين، </w:t>
      </w:r>
      <w:r w:rsidR="00FD022C">
        <w:rPr>
          <w:rFonts w:hint="cs"/>
          <w:b/>
          <w:bCs/>
          <w:sz w:val="22"/>
          <w:rtl/>
        </w:rPr>
        <w:t>و</w:t>
      </w:r>
      <w:r w:rsidR="00002EEC">
        <w:rPr>
          <w:rFonts w:hint="cs"/>
          <w:b/>
          <w:bCs/>
          <w:sz w:val="22"/>
          <w:rtl/>
        </w:rPr>
        <w:t xml:space="preserve">إنزال العقوبات المناسبة عليهم في حال إدانتهم، ودفع التعويض </w:t>
      </w:r>
      <w:r w:rsidR="0035353F">
        <w:rPr>
          <w:rFonts w:hint="cs"/>
          <w:b/>
          <w:bCs/>
          <w:sz w:val="22"/>
          <w:rtl/>
        </w:rPr>
        <w:t>المناسب إلى</w:t>
      </w:r>
      <w:r w:rsidR="00523403">
        <w:rPr>
          <w:rFonts w:hint="eastAsia"/>
          <w:b/>
          <w:bCs/>
          <w:sz w:val="22"/>
          <w:rtl/>
        </w:rPr>
        <w:t> </w:t>
      </w:r>
      <w:r w:rsidR="0035353F" w:rsidRPr="00272578">
        <w:rPr>
          <w:rFonts w:hint="cs"/>
          <w:b/>
          <w:bCs/>
          <w:sz w:val="22"/>
          <w:rtl/>
        </w:rPr>
        <w:t>الضحايا</w:t>
      </w:r>
      <w:r w:rsidR="0035353F">
        <w:rPr>
          <w:rFonts w:hint="cs"/>
          <w:b/>
          <w:bCs/>
          <w:sz w:val="22"/>
          <w:rtl/>
        </w:rPr>
        <w:t>.</w:t>
      </w:r>
    </w:p>
    <w:p w:rsidR="0035353F" w:rsidRDefault="0035353F" w:rsidP="00002EEC">
      <w:pPr>
        <w:pStyle w:val="SingleTxtGA"/>
        <w:rPr>
          <w:rFonts w:hint="cs"/>
          <w:sz w:val="22"/>
          <w:rtl/>
        </w:rPr>
      </w:pPr>
      <w:r>
        <w:rPr>
          <w:rFonts w:hint="cs"/>
          <w:sz w:val="22"/>
          <w:rtl/>
        </w:rPr>
        <w:t>15-</w:t>
      </w:r>
      <w:r w:rsidR="00002EEC">
        <w:rPr>
          <w:rFonts w:hint="cs"/>
          <w:sz w:val="22"/>
          <w:rtl/>
        </w:rPr>
        <w:tab/>
        <w:t xml:space="preserve">بينما </w:t>
      </w:r>
      <w:r w:rsidRPr="001A30F7">
        <w:rPr>
          <w:rFonts w:hint="cs"/>
          <w:sz w:val="22"/>
          <w:rtl/>
        </w:rPr>
        <w:t xml:space="preserve">تلاحظ اللجنة </w:t>
      </w:r>
      <w:r>
        <w:rPr>
          <w:rFonts w:hint="cs"/>
          <w:sz w:val="22"/>
          <w:rtl/>
        </w:rPr>
        <w:t>أن</w:t>
      </w:r>
      <w:r w:rsidRPr="001A30F7">
        <w:rPr>
          <w:rFonts w:hint="cs"/>
          <w:sz w:val="22"/>
          <w:rtl/>
        </w:rPr>
        <w:t xml:space="preserve"> دستور الدولة الطرف </w:t>
      </w:r>
      <w:r>
        <w:rPr>
          <w:rFonts w:hint="cs"/>
          <w:sz w:val="22"/>
          <w:rtl/>
        </w:rPr>
        <w:t xml:space="preserve">يحظر </w:t>
      </w:r>
      <w:r w:rsidRPr="001A30F7">
        <w:rPr>
          <w:rFonts w:hint="cs"/>
          <w:sz w:val="22"/>
          <w:rtl/>
        </w:rPr>
        <w:t>الخدمة العسكرية الإجبارية و</w:t>
      </w:r>
      <w:r>
        <w:rPr>
          <w:rFonts w:hint="cs"/>
          <w:sz w:val="22"/>
          <w:rtl/>
        </w:rPr>
        <w:t>ي</w:t>
      </w:r>
      <w:r w:rsidRPr="001A30F7">
        <w:rPr>
          <w:rFonts w:hint="cs"/>
          <w:sz w:val="22"/>
          <w:rtl/>
        </w:rPr>
        <w:t xml:space="preserve">عترف بحق الشخص في </w:t>
      </w:r>
      <w:r>
        <w:rPr>
          <w:rFonts w:hint="cs"/>
          <w:sz w:val="22"/>
          <w:rtl/>
        </w:rPr>
        <w:t>ا</w:t>
      </w:r>
      <w:r w:rsidR="00002EEC">
        <w:rPr>
          <w:rFonts w:hint="cs"/>
          <w:sz w:val="22"/>
          <w:rtl/>
        </w:rPr>
        <w:t>لا</w:t>
      </w:r>
      <w:r>
        <w:rPr>
          <w:rFonts w:hint="cs"/>
          <w:sz w:val="22"/>
          <w:rtl/>
        </w:rPr>
        <w:t>ستنكاف</w:t>
      </w:r>
      <w:r w:rsidRPr="001A30F7">
        <w:rPr>
          <w:rFonts w:hint="cs"/>
          <w:sz w:val="22"/>
          <w:rtl/>
        </w:rPr>
        <w:t xml:space="preserve"> </w:t>
      </w:r>
      <w:r w:rsidR="00002EEC">
        <w:rPr>
          <w:rFonts w:hint="cs"/>
          <w:sz w:val="22"/>
          <w:rtl/>
        </w:rPr>
        <w:t xml:space="preserve">الضميري </w:t>
      </w:r>
      <w:r>
        <w:rPr>
          <w:rFonts w:hint="cs"/>
          <w:sz w:val="22"/>
          <w:rtl/>
        </w:rPr>
        <w:t>عن أداء هذه</w:t>
      </w:r>
      <w:r w:rsidRPr="001A30F7">
        <w:rPr>
          <w:rFonts w:hint="cs"/>
          <w:sz w:val="22"/>
          <w:rtl/>
        </w:rPr>
        <w:t xml:space="preserve"> الخدمة، تشعر</w:t>
      </w:r>
      <w:r w:rsidR="00002EEC">
        <w:rPr>
          <w:rFonts w:hint="cs"/>
          <w:sz w:val="22"/>
          <w:rtl/>
        </w:rPr>
        <w:t xml:space="preserve"> اللجنة </w:t>
      </w:r>
      <w:r w:rsidRPr="001A30F7">
        <w:rPr>
          <w:rFonts w:hint="cs"/>
          <w:sz w:val="22"/>
          <w:rtl/>
        </w:rPr>
        <w:t xml:space="preserve">بالقلق </w:t>
      </w:r>
      <w:r>
        <w:rPr>
          <w:rFonts w:hint="cs"/>
          <w:sz w:val="22"/>
          <w:rtl/>
        </w:rPr>
        <w:t xml:space="preserve">لأن الدستور لا يبين </w:t>
      </w:r>
      <w:r w:rsidRPr="001A30F7">
        <w:rPr>
          <w:rFonts w:hint="cs"/>
          <w:sz w:val="22"/>
          <w:rtl/>
        </w:rPr>
        <w:t xml:space="preserve">ما إذا كان </w:t>
      </w:r>
      <w:r w:rsidR="00002EEC">
        <w:rPr>
          <w:rFonts w:hint="cs"/>
          <w:sz w:val="22"/>
          <w:rtl/>
        </w:rPr>
        <w:t>ا</w:t>
      </w:r>
      <w:r>
        <w:rPr>
          <w:rFonts w:hint="cs"/>
          <w:sz w:val="22"/>
          <w:rtl/>
        </w:rPr>
        <w:t xml:space="preserve">لشخص </w:t>
      </w:r>
      <w:r w:rsidR="00002EEC">
        <w:rPr>
          <w:rFonts w:hint="cs"/>
          <w:sz w:val="22"/>
          <w:rtl/>
        </w:rPr>
        <w:t xml:space="preserve">يحتفظ بحق الاستنكاف الضميري إذا وقع الاستنكاف في </w:t>
      </w:r>
      <w:r>
        <w:rPr>
          <w:rFonts w:hint="cs"/>
          <w:sz w:val="22"/>
          <w:rtl/>
        </w:rPr>
        <w:t>أثناء</w:t>
      </w:r>
      <w:r w:rsidRPr="001A30F7">
        <w:rPr>
          <w:rFonts w:hint="cs"/>
          <w:sz w:val="22"/>
          <w:rtl/>
        </w:rPr>
        <w:t xml:space="preserve"> أداء الخدمة العسكرية (المادة 18).</w:t>
      </w:r>
    </w:p>
    <w:p w:rsidR="0035353F" w:rsidRPr="009D0FB4" w:rsidRDefault="00CA3B24" w:rsidP="00CA3B24">
      <w:pPr>
        <w:pStyle w:val="SingleTxtGA"/>
        <w:rPr>
          <w:rFonts w:hint="cs"/>
          <w:b/>
          <w:bCs/>
          <w:sz w:val="22"/>
          <w:rtl/>
        </w:rPr>
      </w:pPr>
      <w:r>
        <w:rPr>
          <w:b/>
          <w:bCs/>
          <w:sz w:val="22"/>
          <w:rtl/>
        </w:rPr>
        <w:tab/>
      </w:r>
      <w:r w:rsidR="0035353F" w:rsidRPr="009D0FB4">
        <w:rPr>
          <w:rFonts w:hint="cs"/>
          <w:b/>
          <w:bCs/>
          <w:sz w:val="22"/>
          <w:rtl/>
        </w:rPr>
        <w:t xml:space="preserve">تشجع اللجنة الدولة الطرف على اتخاذ التدابير اللازمة لضمان </w:t>
      </w:r>
      <w:r w:rsidR="0035353F">
        <w:rPr>
          <w:rFonts w:hint="cs"/>
          <w:b/>
          <w:bCs/>
          <w:sz w:val="22"/>
          <w:rtl/>
        </w:rPr>
        <w:t xml:space="preserve">نص </w:t>
      </w:r>
      <w:r w:rsidR="0035353F" w:rsidRPr="009D0FB4">
        <w:rPr>
          <w:rFonts w:hint="cs"/>
          <w:b/>
          <w:bCs/>
          <w:sz w:val="22"/>
          <w:rtl/>
        </w:rPr>
        <w:t xml:space="preserve">القانون بوضوح على </w:t>
      </w:r>
      <w:r w:rsidR="00002EEC">
        <w:rPr>
          <w:rFonts w:hint="cs"/>
          <w:b/>
          <w:bCs/>
          <w:sz w:val="22"/>
          <w:rtl/>
        </w:rPr>
        <w:t>ا</w:t>
      </w:r>
      <w:r w:rsidR="0035353F">
        <w:rPr>
          <w:rFonts w:hint="cs"/>
          <w:b/>
          <w:bCs/>
          <w:sz w:val="22"/>
          <w:rtl/>
        </w:rPr>
        <w:t>حتفاظ ال</w:t>
      </w:r>
      <w:r w:rsidR="00002EEC">
        <w:rPr>
          <w:rFonts w:hint="cs"/>
          <w:b/>
          <w:bCs/>
          <w:sz w:val="22"/>
          <w:rtl/>
        </w:rPr>
        <w:t>أ</w:t>
      </w:r>
      <w:r w:rsidR="0035353F">
        <w:rPr>
          <w:rFonts w:hint="cs"/>
          <w:b/>
          <w:bCs/>
          <w:sz w:val="22"/>
          <w:rtl/>
        </w:rPr>
        <w:t>فر</w:t>
      </w:r>
      <w:r w:rsidR="00002EEC">
        <w:rPr>
          <w:rFonts w:hint="cs"/>
          <w:b/>
          <w:bCs/>
          <w:sz w:val="22"/>
          <w:rtl/>
        </w:rPr>
        <w:t>ا</w:t>
      </w:r>
      <w:r w:rsidR="0035353F">
        <w:rPr>
          <w:rFonts w:hint="cs"/>
          <w:b/>
          <w:bCs/>
          <w:sz w:val="22"/>
          <w:rtl/>
        </w:rPr>
        <w:t xml:space="preserve">د </w:t>
      </w:r>
      <w:r w:rsidR="0035353F" w:rsidRPr="009D0FB4">
        <w:rPr>
          <w:rFonts w:hint="cs"/>
          <w:b/>
          <w:bCs/>
          <w:sz w:val="22"/>
          <w:rtl/>
        </w:rPr>
        <w:t xml:space="preserve">بالحق في الاستنكاف الضميري حتى </w:t>
      </w:r>
      <w:r w:rsidR="00002EEC">
        <w:rPr>
          <w:rFonts w:hint="cs"/>
          <w:b/>
          <w:bCs/>
          <w:sz w:val="22"/>
          <w:rtl/>
        </w:rPr>
        <w:t xml:space="preserve">في </w:t>
      </w:r>
      <w:r w:rsidR="0035353F" w:rsidRPr="009D0FB4">
        <w:rPr>
          <w:rFonts w:hint="cs"/>
          <w:b/>
          <w:bCs/>
          <w:sz w:val="22"/>
          <w:rtl/>
        </w:rPr>
        <w:t>أثناء أداء الخدمة العسكرية.</w:t>
      </w:r>
    </w:p>
    <w:p w:rsidR="0035353F" w:rsidRDefault="0035353F" w:rsidP="00ED585B">
      <w:pPr>
        <w:pStyle w:val="SingleTxtGA"/>
        <w:rPr>
          <w:rFonts w:hint="cs"/>
          <w:sz w:val="22"/>
          <w:rtl/>
        </w:rPr>
      </w:pPr>
      <w:r w:rsidRPr="001A30F7">
        <w:rPr>
          <w:rFonts w:hint="cs"/>
          <w:sz w:val="22"/>
          <w:rtl/>
        </w:rPr>
        <w:t>16</w:t>
      </w:r>
      <w:r>
        <w:rPr>
          <w:rFonts w:hint="cs"/>
          <w:sz w:val="22"/>
          <w:rtl/>
        </w:rPr>
        <w:t>-</w:t>
      </w:r>
      <w:r w:rsidR="00002EEC">
        <w:rPr>
          <w:rFonts w:hint="cs"/>
          <w:sz w:val="22"/>
          <w:rtl/>
        </w:rPr>
        <w:tab/>
        <w:t xml:space="preserve">بينما </w:t>
      </w:r>
      <w:r w:rsidRPr="001A30F7">
        <w:rPr>
          <w:rFonts w:hint="cs"/>
          <w:sz w:val="22"/>
          <w:rtl/>
        </w:rPr>
        <w:t>ت</w:t>
      </w:r>
      <w:r>
        <w:rPr>
          <w:rFonts w:hint="cs"/>
          <w:sz w:val="22"/>
          <w:rtl/>
        </w:rPr>
        <w:t>أخذ</w:t>
      </w:r>
      <w:r w:rsidRPr="001A30F7">
        <w:rPr>
          <w:rFonts w:hint="cs"/>
          <w:sz w:val="22"/>
          <w:rtl/>
        </w:rPr>
        <w:t xml:space="preserve"> اللجنة </w:t>
      </w:r>
      <w:r>
        <w:rPr>
          <w:rFonts w:hint="cs"/>
          <w:sz w:val="22"/>
          <w:rtl/>
        </w:rPr>
        <w:t xml:space="preserve">علماً </w:t>
      </w:r>
      <w:r w:rsidRPr="001A30F7">
        <w:rPr>
          <w:rFonts w:hint="cs"/>
          <w:sz w:val="22"/>
          <w:rtl/>
        </w:rPr>
        <w:t xml:space="preserve">باعتماد الدولة الطرف </w:t>
      </w:r>
      <w:r>
        <w:rPr>
          <w:rFonts w:hint="cs"/>
          <w:rtl/>
          <w:lang w:bidi="ar"/>
        </w:rPr>
        <w:t>لمفهوم التنمية المتوسطة الأجل الخاصة بالأقلية الروما العرقية في سلوفاكيا: التضامن - السلامة - الإدماج للفترة 2008-2013</w:t>
      </w:r>
      <w:r>
        <w:rPr>
          <w:rFonts w:hint="cs"/>
          <w:sz w:val="22"/>
          <w:rtl/>
        </w:rPr>
        <w:t>،</w:t>
      </w:r>
      <w:r w:rsidRPr="001A30F7">
        <w:rPr>
          <w:rFonts w:hint="cs"/>
          <w:sz w:val="22"/>
          <w:rtl/>
        </w:rPr>
        <w:t xml:space="preserve"> وانتخاب أول امرأة</w:t>
      </w:r>
      <w:r>
        <w:rPr>
          <w:rFonts w:hint="cs"/>
          <w:sz w:val="22"/>
          <w:rtl/>
        </w:rPr>
        <w:t xml:space="preserve"> من الروما رئيسة للبلدية</w:t>
      </w:r>
      <w:r w:rsidRPr="001A30F7">
        <w:rPr>
          <w:rFonts w:hint="cs"/>
          <w:sz w:val="22"/>
          <w:rtl/>
        </w:rPr>
        <w:t xml:space="preserve">، لا تزال </w:t>
      </w:r>
      <w:r w:rsidR="00002EEC">
        <w:rPr>
          <w:rFonts w:hint="cs"/>
          <w:sz w:val="22"/>
          <w:rtl/>
        </w:rPr>
        <w:t xml:space="preserve">اللجنة </w:t>
      </w:r>
      <w:r w:rsidRPr="001A30F7">
        <w:rPr>
          <w:rFonts w:hint="cs"/>
          <w:sz w:val="22"/>
          <w:rtl/>
        </w:rPr>
        <w:t xml:space="preserve">تشعر بالقلق </w:t>
      </w:r>
      <w:r>
        <w:rPr>
          <w:rFonts w:hint="cs"/>
          <w:sz w:val="22"/>
          <w:rtl/>
        </w:rPr>
        <w:t xml:space="preserve">إزاء </w:t>
      </w:r>
      <w:r w:rsidRPr="001A30F7">
        <w:rPr>
          <w:rFonts w:hint="cs"/>
          <w:sz w:val="22"/>
          <w:rtl/>
        </w:rPr>
        <w:t xml:space="preserve">الصور النمطية السائدة </w:t>
      </w:r>
      <w:r>
        <w:rPr>
          <w:rFonts w:hint="cs"/>
          <w:sz w:val="22"/>
          <w:rtl/>
        </w:rPr>
        <w:t xml:space="preserve">فيما يتعلق بالروما </w:t>
      </w:r>
      <w:r w:rsidRPr="001A30F7">
        <w:rPr>
          <w:rFonts w:hint="cs"/>
          <w:sz w:val="22"/>
          <w:rtl/>
        </w:rPr>
        <w:t>وإقصاء</w:t>
      </w:r>
      <w:r>
        <w:rPr>
          <w:rFonts w:hint="cs"/>
          <w:sz w:val="22"/>
          <w:rtl/>
        </w:rPr>
        <w:t xml:space="preserve">هم </w:t>
      </w:r>
      <w:r w:rsidRPr="001A30F7">
        <w:rPr>
          <w:rFonts w:hint="cs"/>
          <w:sz w:val="22"/>
          <w:rtl/>
        </w:rPr>
        <w:t>على نطاق واسع في مختلف المجالات مثل التعليم وال</w:t>
      </w:r>
      <w:r w:rsidR="00ED585B">
        <w:rPr>
          <w:rFonts w:hint="cs"/>
          <w:sz w:val="22"/>
          <w:rtl/>
        </w:rPr>
        <w:t>سكن والصحة والمشاركة السياسية (المواد</w:t>
      </w:r>
      <w:r w:rsidRPr="001A30F7">
        <w:rPr>
          <w:rFonts w:hint="cs"/>
          <w:sz w:val="22"/>
          <w:rtl/>
        </w:rPr>
        <w:t xml:space="preserve"> 2</w:t>
      </w:r>
      <w:r w:rsidR="00F2334C">
        <w:rPr>
          <w:rFonts w:hint="cs"/>
          <w:sz w:val="22"/>
          <w:rtl/>
        </w:rPr>
        <w:t xml:space="preserve"> و</w:t>
      </w:r>
      <w:r w:rsidRPr="001A30F7">
        <w:rPr>
          <w:rFonts w:hint="cs"/>
          <w:sz w:val="22"/>
          <w:rtl/>
        </w:rPr>
        <w:t>26</w:t>
      </w:r>
      <w:r w:rsidR="00F2334C">
        <w:rPr>
          <w:rFonts w:hint="cs"/>
          <w:sz w:val="22"/>
          <w:rtl/>
        </w:rPr>
        <w:t xml:space="preserve"> و</w:t>
      </w:r>
      <w:r w:rsidRPr="001A30F7">
        <w:rPr>
          <w:rFonts w:hint="cs"/>
          <w:sz w:val="22"/>
          <w:rtl/>
        </w:rPr>
        <w:t>27).</w:t>
      </w:r>
    </w:p>
    <w:p w:rsidR="0035353F" w:rsidRDefault="00CA3B24" w:rsidP="00CA3B24">
      <w:pPr>
        <w:pStyle w:val="SingleTxtGA"/>
        <w:rPr>
          <w:rFonts w:hint="cs"/>
          <w:sz w:val="22"/>
          <w:rtl/>
        </w:rPr>
      </w:pPr>
      <w:r>
        <w:rPr>
          <w:b/>
          <w:bCs/>
          <w:sz w:val="22"/>
          <w:rtl/>
        </w:rPr>
        <w:tab/>
      </w:r>
      <w:r w:rsidR="0035353F" w:rsidRPr="00A82C42">
        <w:rPr>
          <w:rFonts w:hint="cs"/>
          <w:b/>
          <w:bCs/>
          <w:sz w:val="22"/>
          <w:rtl/>
        </w:rPr>
        <w:t xml:space="preserve">ينبغي للدولة الطرف </w:t>
      </w:r>
      <w:r w:rsidR="0035353F">
        <w:rPr>
          <w:rFonts w:hint="cs"/>
          <w:b/>
          <w:bCs/>
          <w:sz w:val="22"/>
          <w:rtl/>
        </w:rPr>
        <w:t xml:space="preserve">أن </w:t>
      </w:r>
      <w:r w:rsidR="0035353F" w:rsidRPr="00A82C42">
        <w:rPr>
          <w:rFonts w:hint="cs"/>
          <w:b/>
          <w:bCs/>
          <w:sz w:val="22"/>
          <w:rtl/>
        </w:rPr>
        <w:t>تعزز جهودها الرامية إلى القضاء على الصور النمطية</w:t>
      </w:r>
      <w:r w:rsidR="0035353F">
        <w:rPr>
          <w:rFonts w:hint="cs"/>
          <w:b/>
          <w:bCs/>
          <w:sz w:val="22"/>
          <w:rtl/>
        </w:rPr>
        <w:t xml:space="preserve"> فيما يتعلق بالروما</w:t>
      </w:r>
      <w:r w:rsidR="0035353F" w:rsidRPr="00A82C42">
        <w:rPr>
          <w:rFonts w:hint="cs"/>
          <w:b/>
          <w:bCs/>
          <w:sz w:val="22"/>
          <w:rtl/>
        </w:rPr>
        <w:t xml:space="preserve"> و</w:t>
      </w:r>
      <w:r w:rsidR="0035353F">
        <w:rPr>
          <w:rFonts w:hint="cs"/>
          <w:b/>
          <w:bCs/>
          <w:sz w:val="22"/>
          <w:rtl/>
        </w:rPr>
        <w:t>تعرضهم ل</w:t>
      </w:r>
      <w:r w:rsidR="0035353F" w:rsidRPr="00A82C42">
        <w:rPr>
          <w:rFonts w:hint="cs"/>
          <w:b/>
          <w:bCs/>
          <w:sz w:val="22"/>
          <w:rtl/>
        </w:rPr>
        <w:t>سوء المعاملة على نطاق واسع</w:t>
      </w:r>
      <w:r w:rsidR="00F2334C">
        <w:rPr>
          <w:rFonts w:hint="cs"/>
          <w:b/>
          <w:bCs/>
          <w:sz w:val="22"/>
          <w:rtl/>
        </w:rPr>
        <w:t xml:space="preserve">، </w:t>
      </w:r>
      <w:r w:rsidR="0035353F">
        <w:rPr>
          <w:rFonts w:hint="cs"/>
          <w:b/>
          <w:bCs/>
          <w:sz w:val="22"/>
          <w:rtl/>
        </w:rPr>
        <w:t xml:space="preserve">بوسائل </w:t>
      </w:r>
      <w:r w:rsidR="0035353F" w:rsidRPr="00A82C42">
        <w:rPr>
          <w:rFonts w:hint="cs"/>
          <w:b/>
          <w:bCs/>
          <w:sz w:val="22"/>
          <w:rtl/>
        </w:rPr>
        <w:t>من</w:t>
      </w:r>
      <w:r w:rsidR="0035353F">
        <w:rPr>
          <w:rFonts w:hint="cs"/>
          <w:b/>
          <w:bCs/>
          <w:sz w:val="22"/>
          <w:rtl/>
        </w:rPr>
        <w:t xml:space="preserve">ها </w:t>
      </w:r>
      <w:r w:rsidR="0035353F" w:rsidRPr="00A82C42">
        <w:rPr>
          <w:rFonts w:hint="cs"/>
          <w:b/>
          <w:bCs/>
          <w:sz w:val="22"/>
          <w:rtl/>
        </w:rPr>
        <w:t xml:space="preserve">زيادة حملات التوعية التي تشجع على التسامح واحترام التنوع. </w:t>
      </w:r>
      <w:r w:rsidR="0035353F">
        <w:rPr>
          <w:rFonts w:hint="cs"/>
          <w:b/>
          <w:bCs/>
          <w:sz w:val="22"/>
          <w:rtl/>
        </w:rPr>
        <w:t>و</w:t>
      </w:r>
      <w:r w:rsidR="0035353F" w:rsidRPr="00A82C42">
        <w:rPr>
          <w:rFonts w:hint="cs"/>
          <w:b/>
          <w:bCs/>
          <w:sz w:val="22"/>
          <w:rtl/>
        </w:rPr>
        <w:t xml:space="preserve">ينبغي للدولة الطرف </w:t>
      </w:r>
      <w:r w:rsidR="0035353F">
        <w:rPr>
          <w:rFonts w:hint="cs"/>
          <w:b/>
          <w:bCs/>
          <w:sz w:val="22"/>
          <w:rtl/>
        </w:rPr>
        <w:t xml:space="preserve">أيضاً </w:t>
      </w:r>
      <w:r w:rsidR="0035353F" w:rsidRPr="00A82C42">
        <w:rPr>
          <w:rFonts w:hint="cs"/>
          <w:b/>
          <w:bCs/>
          <w:sz w:val="22"/>
          <w:rtl/>
        </w:rPr>
        <w:t xml:space="preserve">أن تعتمد تدابير لتعزيز </w:t>
      </w:r>
      <w:r w:rsidR="0035353F">
        <w:rPr>
          <w:rFonts w:hint="cs"/>
          <w:b/>
          <w:bCs/>
          <w:sz w:val="22"/>
          <w:rtl/>
        </w:rPr>
        <w:t xml:space="preserve">الوصول إلى </w:t>
      </w:r>
      <w:r w:rsidR="0035353F" w:rsidRPr="00A82C42">
        <w:rPr>
          <w:rFonts w:hint="cs"/>
          <w:b/>
          <w:bCs/>
          <w:sz w:val="22"/>
          <w:rtl/>
        </w:rPr>
        <w:t>الفرص والخدمات في جميع المجالات وعلى جميع المستويات من خلال العمل الإيجابي من أجل معالجة أوجه التفاوت</w:t>
      </w:r>
      <w:r w:rsidR="006D50C1">
        <w:rPr>
          <w:rFonts w:hint="eastAsia"/>
          <w:b/>
          <w:bCs/>
          <w:sz w:val="22"/>
          <w:rtl/>
        </w:rPr>
        <w:t> </w:t>
      </w:r>
      <w:r w:rsidR="0035353F" w:rsidRPr="00A82C42">
        <w:rPr>
          <w:rFonts w:hint="cs"/>
          <w:b/>
          <w:bCs/>
          <w:sz w:val="22"/>
          <w:rtl/>
        </w:rPr>
        <w:t>القائمة</w:t>
      </w:r>
      <w:r w:rsidR="0035353F" w:rsidRPr="001A30F7">
        <w:rPr>
          <w:rFonts w:hint="cs"/>
          <w:sz w:val="22"/>
          <w:rtl/>
        </w:rPr>
        <w:t>.</w:t>
      </w:r>
    </w:p>
    <w:p w:rsidR="0035353F" w:rsidRPr="001A30F7" w:rsidRDefault="006D50C1" w:rsidP="006D50C1">
      <w:pPr>
        <w:pStyle w:val="SingleTxtGA"/>
        <w:rPr>
          <w:rFonts w:hint="cs"/>
          <w:sz w:val="22"/>
        </w:rPr>
      </w:pPr>
      <w:r>
        <w:rPr>
          <w:rFonts w:hint="cs"/>
          <w:sz w:val="22"/>
          <w:rtl/>
        </w:rPr>
        <w:t>17-</w:t>
      </w:r>
      <w:r>
        <w:rPr>
          <w:rFonts w:hint="cs"/>
          <w:sz w:val="22"/>
          <w:rtl/>
        </w:rPr>
        <w:tab/>
      </w:r>
      <w:r w:rsidR="0035353F" w:rsidRPr="001A30F7">
        <w:rPr>
          <w:rFonts w:hint="cs"/>
          <w:sz w:val="22"/>
          <w:rtl/>
        </w:rPr>
        <w:t>ت</w:t>
      </w:r>
      <w:r w:rsidR="0035353F">
        <w:rPr>
          <w:rFonts w:hint="cs"/>
          <w:sz w:val="22"/>
          <w:rtl/>
        </w:rPr>
        <w:t>ّ</w:t>
      </w:r>
      <w:r w:rsidR="0035353F" w:rsidRPr="001A30F7">
        <w:rPr>
          <w:rFonts w:hint="cs"/>
          <w:sz w:val="22"/>
          <w:rtl/>
        </w:rPr>
        <w:t xml:space="preserve">ذكر اللجنة </w:t>
      </w:r>
      <w:r w:rsidR="0035353F">
        <w:rPr>
          <w:rFonts w:hint="cs"/>
          <w:sz w:val="22"/>
          <w:rtl/>
        </w:rPr>
        <w:t>ب</w:t>
      </w:r>
      <w:r w:rsidR="0035353F" w:rsidRPr="001A30F7">
        <w:rPr>
          <w:rFonts w:hint="cs"/>
          <w:sz w:val="22"/>
          <w:rtl/>
        </w:rPr>
        <w:t>ملاحظاتها الختامية السابقة (</w:t>
      </w:r>
      <w:r w:rsidR="0035353F" w:rsidRPr="00ED585B">
        <w:rPr>
          <w:rFonts w:hint="cs"/>
          <w:szCs w:val="28"/>
        </w:rPr>
        <w:t>CCPR/CO/78/SVK</w:t>
      </w:r>
      <w:r w:rsidR="00ED585B">
        <w:rPr>
          <w:rFonts w:hint="cs"/>
          <w:sz w:val="22"/>
          <w:rtl/>
        </w:rPr>
        <w:t>،</w:t>
      </w:r>
      <w:r w:rsidR="0035353F" w:rsidRPr="001A30F7">
        <w:rPr>
          <w:rFonts w:hint="cs"/>
          <w:sz w:val="22"/>
          <w:rtl/>
        </w:rPr>
        <w:t xml:space="preserve"> الفقرة 18) وتشعر بالقلق إزاء استمرار ورود تقارير </w:t>
      </w:r>
      <w:r w:rsidR="0035353F">
        <w:rPr>
          <w:rFonts w:hint="cs"/>
          <w:sz w:val="22"/>
          <w:rtl/>
        </w:rPr>
        <w:t xml:space="preserve">عن </w:t>
      </w:r>
      <w:r w:rsidR="0035353F" w:rsidRPr="001A30F7">
        <w:rPr>
          <w:rFonts w:hint="cs"/>
          <w:sz w:val="22"/>
          <w:rtl/>
        </w:rPr>
        <w:t>عزل أطفال ال</w:t>
      </w:r>
      <w:r w:rsidR="0035353F">
        <w:rPr>
          <w:rFonts w:hint="cs"/>
          <w:sz w:val="22"/>
          <w:rtl/>
        </w:rPr>
        <w:t xml:space="preserve">روما بفعل الواقع </w:t>
      </w:r>
      <w:r w:rsidR="0035353F" w:rsidRPr="001A30F7">
        <w:rPr>
          <w:rFonts w:hint="cs"/>
          <w:sz w:val="22"/>
          <w:rtl/>
        </w:rPr>
        <w:t xml:space="preserve">في قطاع التعليم. </w:t>
      </w:r>
      <w:r w:rsidR="0035353F">
        <w:rPr>
          <w:rFonts w:hint="cs"/>
          <w:sz w:val="22"/>
          <w:rtl/>
        </w:rPr>
        <w:t>و</w:t>
      </w:r>
      <w:r w:rsidR="0035353F" w:rsidRPr="001A30F7">
        <w:rPr>
          <w:rFonts w:hint="cs"/>
          <w:sz w:val="22"/>
          <w:rtl/>
        </w:rPr>
        <w:t xml:space="preserve">تعرب اللجنة عن قلقها </w:t>
      </w:r>
      <w:r w:rsidR="0035353F">
        <w:rPr>
          <w:rFonts w:hint="cs"/>
          <w:sz w:val="22"/>
          <w:rtl/>
        </w:rPr>
        <w:t xml:space="preserve">أيضاً </w:t>
      </w:r>
      <w:r w:rsidR="0035353F" w:rsidRPr="001A30F7">
        <w:rPr>
          <w:rFonts w:hint="cs"/>
          <w:sz w:val="22"/>
          <w:rtl/>
        </w:rPr>
        <w:t>إزاء استمرار ورود تقارير</w:t>
      </w:r>
      <w:r w:rsidR="0035353F">
        <w:rPr>
          <w:rFonts w:hint="cs"/>
          <w:sz w:val="22"/>
          <w:rtl/>
        </w:rPr>
        <w:t xml:space="preserve"> عن </w:t>
      </w:r>
      <w:r w:rsidR="0035353F" w:rsidRPr="001A30F7">
        <w:rPr>
          <w:rFonts w:hint="cs"/>
          <w:sz w:val="22"/>
          <w:rtl/>
        </w:rPr>
        <w:t>وضع أطفال ال</w:t>
      </w:r>
      <w:r w:rsidR="0035353F">
        <w:rPr>
          <w:rFonts w:hint="cs"/>
          <w:sz w:val="22"/>
          <w:rtl/>
        </w:rPr>
        <w:t xml:space="preserve">روما </w:t>
      </w:r>
      <w:r w:rsidR="0035353F" w:rsidRPr="001A30F7">
        <w:rPr>
          <w:rFonts w:hint="cs"/>
          <w:sz w:val="22"/>
          <w:rtl/>
        </w:rPr>
        <w:t>في ص</w:t>
      </w:r>
      <w:r w:rsidR="0035353F">
        <w:rPr>
          <w:rFonts w:hint="cs"/>
          <w:sz w:val="22"/>
          <w:rtl/>
        </w:rPr>
        <w:t>ف</w:t>
      </w:r>
      <w:r w:rsidR="0035353F" w:rsidRPr="001A30F7">
        <w:rPr>
          <w:rFonts w:hint="cs"/>
          <w:sz w:val="22"/>
          <w:rtl/>
        </w:rPr>
        <w:t>و</w:t>
      </w:r>
      <w:r w:rsidR="0035353F">
        <w:rPr>
          <w:rFonts w:hint="cs"/>
          <w:sz w:val="22"/>
          <w:rtl/>
        </w:rPr>
        <w:t>ف</w:t>
      </w:r>
      <w:r w:rsidR="0035353F" w:rsidRPr="001A30F7">
        <w:rPr>
          <w:rFonts w:hint="cs"/>
          <w:sz w:val="22"/>
          <w:rtl/>
        </w:rPr>
        <w:t xml:space="preserve"> </w:t>
      </w:r>
      <w:r w:rsidR="0035353F">
        <w:rPr>
          <w:rFonts w:hint="cs"/>
          <w:sz w:val="22"/>
          <w:rtl/>
        </w:rPr>
        <w:t xml:space="preserve">للطلاب ذوي </w:t>
      </w:r>
      <w:r w:rsidR="0035353F" w:rsidRPr="001A30F7">
        <w:rPr>
          <w:rFonts w:hint="cs"/>
          <w:sz w:val="22"/>
          <w:rtl/>
        </w:rPr>
        <w:t xml:space="preserve">الاحتياجات الخاصة </w:t>
      </w:r>
      <w:r w:rsidR="00ED585B">
        <w:rPr>
          <w:rFonts w:hint="cs"/>
          <w:sz w:val="22"/>
          <w:rtl/>
        </w:rPr>
        <w:t xml:space="preserve">المُعدَّة </w:t>
      </w:r>
      <w:r w:rsidR="0035353F">
        <w:rPr>
          <w:rFonts w:hint="cs"/>
          <w:sz w:val="22"/>
          <w:rtl/>
        </w:rPr>
        <w:t>ل</w:t>
      </w:r>
      <w:r w:rsidR="0035353F" w:rsidRPr="001A30F7">
        <w:rPr>
          <w:rFonts w:hint="cs"/>
          <w:sz w:val="22"/>
          <w:rtl/>
        </w:rPr>
        <w:t xml:space="preserve">ذوي الإعاقة النفسية، دون إجراء تقييمات طبية مناسبة </w:t>
      </w:r>
      <w:r w:rsidR="0035353F">
        <w:rPr>
          <w:rFonts w:hint="cs"/>
          <w:sz w:val="22"/>
          <w:rtl/>
        </w:rPr>
        <w:t>لتحديد</w:t>
      </w:r>
      <w:r w:rsidR="0035353F" w:rsidRPr="001A30F7">
        <w:rPr>
          <w:rFonts w:hint="cs"/>
          <w:sz w:val="22"/>
          <w:rtl/>
        </w:rPr>
        <w:t xml:space="preserve"> قدرا</w:t>
      </w:r>
      <w:r w:rsidR="0035353F">
        <w:rPr>
          <w:rFonts w:hint="cs"/>
          <w:sz w:val="22"/>
          <w:rtl/>
        </w:rPr>
        <w:t>تهم</w:t>
      </w:r>
      <w:r w:rsidR="0035353F" w:rsidRPr="001A30F7">
        <w:rPr>
          <w:rFonts w:hint="cs"/>
          <w:sz w:val="22"/>
          <w:rtl/>
        </w:rPr>
        <w:t xml:space="preserve"> العقلية (المادتان 26 و27)</w:t>
      </w:r>
    </w:p>
    <w:p w:rsidR="00ED585B" w:rsidRDefault="00CA3B24" w:rsidP="00CA3B24">
      <w:pPr>
        <w:pStyle w:val="SingleTxtGA"/>
        <w:rPr>
          <w:rFonts w:hint="cs"/>
          <w:b/>
          <w:bCs/>
          <w:sz w:val="22"/>
          <w:rtl/>
        </w:rPr>
      </w:pPr>
      <w:r>
        <w:rPr>
          <w:rFonts w:hint="cs"/>
          <w:b/>
          <w:bCs/>
          <w:sz w:val="22"/>
          <w:rtl/>
        </w:rPr>
        <w:tab/>
      </w:r>
      <w:r w:rsidR="0035353F" w:rsidRPr="00F64412">
        <w:rPr>
          <w:rFonts w:hint="cs"/>
          <w:b/>
          <w:bCs/>
          <w:sz w:val="22"/>
          <w:rtl/>
        </w:rPr>
        <w:t xml:space="preserve">ينبغي للدولة الطرف </w:t>
      </w:r>
      <w:r w:rsidR="0035353F">
        <w:rPr>
          <w:rFonts w:hint="cs"/>
          <w:b/>
          <w:bCs/>
          <w:sz w:val="22"/>
          <w:rtl/>
        </w:rPr>
        <w:t>أن تت</w:t>
      </w:r>
      <w:r w:rsidR="0035353F" w:rsidRPr="00F64412">
        <w:rPr>
          <w:rFonts w:hint="cs"/>
          <w:b/>
          <w:bCs/>
          <w:sz w:val="22"/>
          <w:rtl/>
        </w:rPr>
        <w:t>خذ خطوات فورية</w:t>
      </w:r>
      <w:r w:rsidR="00F2334C">
        <w:rPr>
          <w:rFonts w:hint="cs"/>
          <w:b/>
          <w:bCs/>
          <w:sz w:val="22"/>
          <w:rtl/>
        </w:rPr>
        <w:t xml:space="preserve"> </w:t>
      </w:r>
      <w:r w:rsidR="0035353F" w:rsidRPr="00F64412">
        <w:rPr>
          <w:rFonts w:hint="cs"/>
          <w:b/>
          <w:bCs/>
          <w:sz w:val="22"/>
          <w:rtl/>
        </w:rPr>
        <w:t xml:space="preserve">لاستئصال عزل التلاميذ الروما في نظامها التعليمي، وذلك بضمان أن يتم </w:t>
      </w:r>
      <w:r w:rsidR="0035353F">
        <w:rPr>
          <w:rFonts w:hint="cs"/>
          <w:b/>
          <w:bCs/>
          <w:sz w:val="22"/>
          <w:rtl/>
        </w:rPr>
        <w:t xml:space="preserve">الإيداع </w:t>
      </w:r>
      <w:r w:rsidR="0035353F" w:rsidRPr="00F64412">
        <w:rPr>
          <w:rFonts w:hint="cs"/>
          <w:b/>
          <w:bCs/>
          <w:sz w:val="22"/>
          <w:rtl/>
        </w:rPr>
        <w:t>في المدرسة على أساس فر</w:t>
      </w:r>
      <w:r w:rsidR="0035353F">
        <w:rPr>
          <w:rFonts w:hint="cs"/>
          <w:b/>
          <w:bCs/>
          <w:sz w:val="22"/>
          <w:rtl/>
        </w:rPr>
        <w:t>د</w:t>
      </w:r>
      <w:r w:rsidR="0035353F" w:rsidRPr="00F64412">
        <w:rPr>
          <w:rFonts w:hint="cs"/>
          <w:b/>
          <w:bCs/>
          <w:sz w:val="22"/>
          <w:rtl/>
        </w:rPr>
        <w:t>ي دون أن يتأثر ب</w:t>
      </w:r>
      <w:r w:rsidR="0035353F">
        <w:rPr>
          <w:rFonts w:hint="cs"/>
          <w:b/>
          <w:bCs/>
          <w:sz w:val="22"/>
          <w:rtl/>
        </w:rPr>
        <w:t>ما إذا كان</w:t>
      </w:r>
      <w:r w:rsidR="0035353F" w:rsidRPr="00F64412">
        <w:rPr>
          <w:rFonts w:hint="cs"/>
          <w:b/>
          <w:bCs/>
          <w:sz w:val="22"/>
          <w:rtl/>
        </w:rPr>
        <w:t xml:space="preserve"> الطفل </w:t>
      </w:r>
      <w:r w:rsidR="0035353F">
        <w:rPr>
          <w:rFonts w:hint="cs"/>
          <w:b/>
          <w:bCs/>
          <w:sz w:val="22"/>
          <w:rtl/>
        </w:rPr>
        <w:t xml:space="preserve">ينتمي إلى </w:t>
      </w:r>
      <w:r w:rsidR="0035353F" w:rsidRPr="00F64412">
        <w:rPr>
          <w:rFonts w:hint="cs"/>
          <w:b/>
          <w:bCs/>
          <w:sz w:val="22"/>
          <w:rtl/>
        </w:rPr>
        <w:t>مجموعة إثنية.</w:t>
      </w:r>
      <w:r w:rsidR="0035353F" w:rsidRPr="00B631C4">
        <w:rPr>
          <w:rFonts w:hint="cs"/>
          <w:sz w:val="22"/>
          <w:rtl/>
        </w:rPr>
        <w:t xml:space="preserve"> </w:t>
      </w:r>
      <w:r w:rsidR="0035353F" w:rsidRPr="001A2303">
        <w:rPr>
          <w:rFonts w:hint="cs"/>
          <w:b/>
          <w:bCs/>
          <w:sz w:val="22"/>
          <w:rtl/>
        </w:rPr>
        <w:t xml:space="preserve">وفضلاً عن ذلك ينبغي </w:t>
      </w:r>
      <w:r w:rsidR="0035353F">
        <w:rPr>
          <w:rFonts w:hint="cs"/>
          <w:b/>
          <w:bCs/>
          <w:sz w:val="22"/>
          <w:rtl/>
        </w:rPr>
        <w:t>ل</w:t>
      </w:r>
      <w:r w:rsidR="0035353F" w:rsidRPr="001A2303">
        <w:rPr>
          <w:rFonts w:hint="cs"/>
          <w:b/>
          <w:bCs/>
          <w:sz w:val="22"/>
          <w:rtl/>
        </w:rPr>
        <w:t xml:space="preserve">لدولة الطرف </w:t>
      </w:r>
      <w:r w:rsidR="0035353F">
        <w:rPr>
          <w:rFonts w:hint="cs"/>
          <w:b/>
          <w:bCs/>
          <w:sz w:val="22"/>
          <w:rtl/>
        </w:rPr>
        <w:t xml:space="preserve">أن </w:t>
      </w:r>
      <w:r w:rsidR="0035353F" w:rsidRPr="001A2303">
        <w:rPr>
          <w:rFonts w:hint="cs"/>
          <w:b/>
          <w:bCs/>
          <w:sz w:val="22"/>
          <w:rtl/>
        </w:rPr>
        <w:t xml:space="preserve">تتخذ خطوات ملموسة لضمان </w:t>
      </w:r>
      <w:r w:rsidR="00ED585B">
        <w:rPr>
          <w:rFonts w:hint="cs"/>
          <w:b/>
          <w:bCs/>
          <w:sz w:val="22"/>
          <w:rtl/>
        </w:rPr>
        <w:t xml:space="preserve">عدم اتخاذ </w:t>
      </w:r>
      <w:r w:rsidR="0035353F">
        <w:rPr>
          <w:rFonts w:hint="cs"/>
          <w:b/>
          <w:bCs/>
          <w:sz w:val="22"/>
          <w:rtl/>
        </w:rPr>
        <w:t>ال</w:t>
      </w:r>
      <w:r w:rsidR="0035353F" w:rsidRPr="001A2303">
        <w:rPr>
          <w:rFonts w:hint="cs"/>
          <w:b/>
          <w:bCs/>
          <w:sz w:val="22"/>
          <w:rtl/>
        </w:rPr>
        <w:t xml:space="preserve">قرارات </w:t>
      </w:r>
      <w:r w:rsidR="0035353F">
        <w:rPr>
          <w:rFonts w:hint="cs"/>
          <w:b/>
          <w:bCs/>
          <w:sz w:val="22"/>
          <w:rtl/>
        </w:rPr>
        <w:t>المتعلقة ب</w:t>
      </w:r>
      <w:r w:rsidR="0035353F" w:rsidRPr="001A2303">
        <w:rPr>
          <w:rFonts w:hint="cs"/>
          <w:b/>
          <w:bCs/>
          <w:sz w:val="22"/>
          <w:rtl/>
        </w:rPr>
        <w:t xml:space="preserve">إيداع </w:t>
      </w:r>
      <w:r w:rsidR="0035353F">
        <w:rPr>
          <w:rFonts w:hint="cs"/>
          <w:b/>
          <w:bCs/>
          <w:sz w:val="22"/>
          <w:rtl/>
        </w:rPr>
        <w:t xml:space="preserve">أي </w:t>
      </w:r>
      <w:r w:rsidR="0035353F" w:rsidRPr="001A2303">
        <w:rPr>
          <w:rFonts w:hint="cs"/>
          <w:b/>
          <w:bCs/>
          <w:sz w:val="22"/>
          <w:rtl/>
        </w:rPr>
        <w:t>طفل</w:t>
      </w:r>
      <w:r w:rsidR="00ED585B">
        <w:rPr>
          <w:rFonts w:hint="cs"/>
          <w:b/>
          <w:bCs/>
          <w:sz w:val="22"/>
          <w:rtl/>
        </w:rPr>
        <w:t xml:space="preserve"> في الصفوف المُعدَّة </w:t>
      </w:r>
      <w:r w:rsidR="0035353F">
        <w:rPr>
          <w:rFonts w:hint="cs"/>
          <w:b/>
          <w:bCs/>
          <w:sz w:val="22"/>
          <w:rtl/>
        </w:rPr>
        <w:t xml:space="preserve">لذوي </w:t>
      </w:r>
      <w:r w:rsidR="0035353F" w:rsidRPr="001A2303">
        <w:rPr>
          <w:rFonts w:hint="cs"/>
          <w:b/>
          <w:bCs/>
          <w:sz w:val="22"/>
          <w:rtl/>
        </w:rPr>
        <w:t>الاحتياجات الخاصة</w:t>
      </w:r>
      <w:r w:rsidR="00F2334C">
        <w:rPr>
          <w:rFonts w:hint="cs"/>
          <w:b/>
          <w:bCs/>
          <w:sz w:val="22"/>
          <w:rtl/>
        </w:rPr>
        <w:t xml:space="preserve">، </w:t>
      </w:r>
      <w:r w:rsidR="0035353F" w:rsidRPr="001A2303">
        <w:rPr>
          <w:rFonts w:hint="cs"/>
          <w:b/>
          <w:bCs/>
          <w:sz w:val="22"/>
          <w:rtl/>
        </w:rPr>
        <w:t>بم</w:t>
      </w:r>
      <w:r w:rsidR="0035353F">
        <w:rPr>
          <w:rFonts w:hint="cs"/>
          <w:b/>
          <w:bCs/>
          <w:sz w:val="22"/>
          <w:rtl/>
        </w:rPr>
        <w:t xml:space="preserve">ا في ذلك </w:t>
      </w:r>
      <w:r w:rsidR="0035353F" w:rsidRPr="001A2303">
        <w:rPr>
          <w:rFonts w:hint="cs"/>
          <w:b/>
          <w:bCs/>
          <w:sz w:val="22"/>
          <w:rtl/>
        </w:rPr>
        <w:t>أطفال الروما، دون تقييم طبي مستقل و</w:t>
      </w:r>
      <w:r w:rsidR="0035353F">
        <w:rPr>
          <w:rFonts w:hint="cs"/>
          <w:b/>
          <w:bCs/>
          <w:sz w:val="22"/>
          <w:rtl/>
        </w:rPr>
        <w:t xml:space="preserve">ضمان </w:t>
      </w:r>
      <w:r w:rsidR="00ED585B">
        <w:rPr>
          <w:rFonts w:hint="cs"/>
          <w:b/>
          <w:bCs/>
          <w:sz w:val="22"/>
          <w:rtl/>
        </w:rPr>
        <w:t xml:space="preserve">عدم استناد </w:t>
      </w:r>
      <w:r w:rsidR="0035353F">
        <w:rPr>
          <w:rFonts w:hint="cs"/>
          <w:b/>
          <w:bCs/>
          <w:sz w:val="22"/>
          <w:rtl/>
        </w:rPr>
        <w:t>هذه القرارا</w:t>
      </w:r>
      <w:r w:rsidR="0035353F">
        <w:rPr>
          <w:rFonts w:hint="eastAsia"/>
          <w:b/>
          <w:bCs/>
          <w:sz w:val="22"/>
          <w:rtl/>
        </w:rPr>
        <w:t>ت</w:t>
      </w:r>
      <w:r w:rsidR="0035353F">
        <w:rPr>
          <w:rFonts w:hint="cs"/>
          <w:b/>
          <w:bCs/>
          <w:sz w:val="22"/>
          <w:rtl/>
        </w:rPr>
        <w:t xml:space="preserve"> </w:t>
      </w:r>
      <w:r w:rsidR="0035353F" w:rsidRPr="001A2303">
        <w:rPr>
          <w:rFonts w:hint="cs"/>
          <w:b/>
          <w:bCs/>
          <w:sz w:val="22"/>
          <w:rtl/>
        </w:rPr>
        <w:t>إلى قدر</w:t>
      </w:r>
      <w:r w:rsidR="0035353F">
        <w:rPr>
          <w:rFonts w:hint="cs"/>
          <w:b/>
          <w:bCs/>
          <w:sz w:val="22"/>
          <w:rtl/>
        </w:rPr>
        <w:t>ات</w:t>
      </w:r>
      <w:r w:rsidR="0035353F" w:rsidRPr="001A2303">
        <w:rPr>
          <w:rFonts w:hint="cs"/>
          <w:b/>
          <w:bCs/>
          <w:sz w:val="22"/>
          <w:rtl/>
        </w:rPr>
        <w:t xml:space="preserve"> الطفل وحدها.</w:t>
      </w:r>
    </w:p>
    <w:p w:rsidR="00ED585B" w:rsidRDefault="0035353F" w:rsidP="00ED585B">
      <w:pPr>
        <w:pStyle w:val="SingleTxtGA"/>
        <w:rPr>
          <w:rFonts w:hint="cs"/>
          <w:sz w:val="22"/>
          <w:rtl/>
        </w:rPr>
      </w:pPr>
      <w:r>
        <w:rPr>
          <w:rFonts w:hint="cs"/>
          <w:sz w:val="22"/>
          <w:rtl/>
        </w:rPr>
        <w:t>18-</w:t>
      </w:r>
      <w:r w:rsidR="00ED585B">
        <w:rPr>
          <w:rFonts w:hint="cs"/>
          <w:sz w:val="22"/>
          <w:rtl/>
        </w:rPr>
        <w:tab/>
      </w:r>
      <w:r w:rsidRPr="00B631C4">
        <w:rPr>
          <w:rFonts w:hint="cs"/>
          <w:sz w:val="22"/>
          <w:rtl/>
        </w:rPr>
        <w:t xml:space="preserve">ينبغي للدولة الطرف أن تنشر </w:t>
      </w:r>
      <w:r w:rsidR="00ED585B">
        <w:rPr>
          <w:rFonts w:hint="cs"/>
          <w:sz w:val="22"/>
          <w:rtl/>
        </w:rPr>
        <w:t xml:space="preserve">على نطاق واسع </w:t>
      </w:r>
      <w:r>
        <w:rPr>
          <w:rFonts w:hint="cs"/>
          <w:sz w:val="22"/>
          <w:rtl/>
        </w:rPr>
        <w:t>العهد</w:t>
      </w:r>
      <w:r w:rsidRPr="00B631C4">
        <w:rPr>
          <w:rFonts w:hint="cs"/>
          <w:sz w:val="22"/>
          <w:rtl/>
        </w:rPr>
        <w:t xml:space="preserve"> </w:t>
      </w:r>
      <w:r>
        <w:rPr>
          <w:rFonts w:hint="cs"/>
          <w:sz w:val="22"/>
          <w:rtl/>
        </w:rPr>
        <w:t>و</w:t>
      </w:r>
      <w:r w:rsidRPr="00B631C4">
        <w:rPr>
          <w:rFonts w:hint="cs"/>
          <w:sz w:val="22"/>
          <w:rtl/>
        </w:rPr>
        <w:t>البروتوكولين الاختياريين للعهد</w:t>
      </w:r>
      <w:r>
        <w:rPr>
          <w:rFonts w:hint="cs"/>
          <w:sz w:val="22"/>
          <w:rtl/>
        </w:rPr>
        <w:t>،</w:t>
      </w:r>
      <w:r w:rsidR="00ED585B">
        <w:rPr>
          <w:rFonts w:hint="cs"/>
          <w:sz w:val="22"/>
          <w:rtl/>
        </w:rPr>
        <w:t xml:space="preserve"> </w:t>
      </w:r>
      <w:r>
        <w:rPr>
          <w:rFonts w:hint="cs"/>
          <w:sz w:val="22"/>
          <w:rtl/>
        </w:rPr>
        <w:t>و</w:t>
      </w:r>
      <w:r w:rsidRPr="00B631C4">
        <w:rPr>
          <w:rFonts w:hint="cs"/>
          <w:sz w:val="22"/>
          <w:rtl/>
        </w:rPr>
        <w:t>نص التقرير الدوري الثالث، والردود الخطية التي قدمتها رد</w:t>
      </w:r>
      <w:r w:rsidR="00F2334C">
        <w:rPr>
          <w:rFonts w:hint="cs"/>
          <w:sz w:val="22"/>
          <w:rtl/>
        </w:rPr>
        <w:t xml:space="preserve">اً </w:t>
      </w:r>
      <w:r w:rsidRPr="00B631C4">
        <w:rPr>
          <w:rFonts w:hint="cs"/>
          <w:sz w:val="22"/>
          <w:rtl/>
        </w:rPr>
        <w:t>على قائمة المسائل التي وضعتها اللجنة</w:t>
      </w:r>
      <w:r w:rsidR="00F2334C">
        <w:rPr>
          <w:rFonts w:hint="cs"/>
          <w:sz w:val="22"/>
          <w:rtl/>
        </w:rPr>
        <w:t xml:space="preserve">، </w:t>
      </w:r>
      <w:r w:rsidRPr="00B631C4">
        <w:rPr>
          <w:rFonts w:hint="cs"/>
          <w:sz w:val="22"/>
          <w:rtl/>
        </w:rPr>
        <w:t xml:space="preserve">والملاحظات الختامية </w:t>
      </w:r>
      <w:r w:rsidR="00ED585B">
        <w:rPr>
          <w:rFonts w:hint="cs"/>
          <w:sz w:val="22"/>
          <w:rtl/>
        </w:rPr>
        <w:t>الراهنة</w:t>
      </w:r>
      <w:r>
        <w:rPr>
          <w:rFonts w:hint="cs"/>
          <w:sz w:val="22"/>
          <w:rtl/>
        </w:rPr>
        <w:t xml:space="preserve"> بغية زي</w:t>
      </w:r>
      <w:r w:rsidRPr="00B631C4">
        <w:rPr>
          <w:rFonts w:hint="cs"/>
          <w:sz w:val="22"/>
          <w:rtl/>
        </w:rPr>
        <w:t xml:space="preserve">ادة الوعي </w:t>
      </w:r>
      <w:r w:rsidR="00ED585B">
        <w:rPr>
          <w:rFonts w:hint="cs"/>
          <w:sz w:val="22"/>
          <w:rtl/>
        </w:rPr>
        <w:t xml:space="preserve">في أوساط </w:t>
      </w:r>
      <w:r w:rsidRPr="00B631C4">
        <w:rPr>
          <w:rFonts w:hint="cs"/>
          <w:sz w:val="22"/>
          <w:rtl/>
        </w:rPr>
        <w:t xml:space="preserve">السلطات القضائية والتشريعية والإدارية والمجتمع المدني والمنظمات غير الحكومية العاملة في البلد، </w:t>
      </w:r>
      <w:r>
        <w:rPr>
          <w:rFonts w:hint="cs"/>
          <w:sz w:val="22"/>
          <w:rtl/>
        </w:rPr>
        <w:t>و</w:t>
      </w:r>
      <w:r w:rsidRPr="00B631C4">
        <w:rPr>
          <w:rFonts w:hint="cs"/>
          <w:sz w:val="22"/>
          <w:rtl/>
        </w:rPr>
        <w:t>عامة الناس</w:t>
      </w:r>
      <w:r w:rsidR="00ED585B">
        <w:rPr>
          <w:rFonts w:hint="cs"/>
          <w:sz w:val="22"/>
          <w:rtl/>
        </w:rPr>
        <w:t xml:space="preserve"> أيضاً</w:t>
      </w:r>
      <w:r w:rsidRPr="00B631C4">
        <w:rPr>
          <w:rFonts w:hint="cs"/>
          <w:sz w:val="22"/>
          <w:rtl/>
        </w:rPr>
        <w:t>. وتقترح اللجنة أيض</w:t>
      </w:r>
      <w:r w:rsidR="00F2334C">
        <w:rPr>
          <w:rFonts w:hint="cs"/>
          <w:sz w:val="22"/>
          <w:rtl/>
        </w:rPr>
        <w:t xml:space="preserve">اً </w:t>
      </w:r>
      <w:r w:rsidRPr="00B631C4">
        <w:rPr>
          <w:rFonts w:hint="cs"/>
          <w:sz w:val="22"/>
          <w:rtl/>
        </w:rPr>
        <w:t xml:space="preserve">أن يترجم التقرير والملاحظات الختامية إلى اللغة الرسمية الأخرى </w:t>
      </w:r>
      <w:r>
        <w:rPr>
          <w:rFonts w:hint="cs"/>
          <w:sz w:val="22"/>
          <w:rtl/>
        </w:rPr>
        <w:t>ل</w:t>
      </w:r>
      <w:r w:rsidRPr="00B631C4">
        <w:rPr>
          <w:rFonts w:hint="cs"/>
          <w:sz w:val="22"/>
          <w:rtl/>
        </w:rPr>
        <w:t>لدولة الطرف. وتطل</w:t>
      </w:r>
      <w:r w:rsidR="00ED585B">
        <w:rPr>
          <w:rFonts w:hint="cs"/>
          <w:sz w:val="22"/>
          <w:rtl/>
        </w:rPr>
        <w:t>ب اللجنة أيض</w:t>
      </w:r>
      <w:r w:rsidR="00F2334C">
        <w:rPr>
          <w:rFonts w:hint="cs"/>
          <w:sz w:val="22"/>
          <w:rtl/>
        </w:rPr>
        <w:t xml:space="preserve">اً </w:t>
      </w:r>
      <w:r w:rsidR="00ED585B">
        <w:rPr>
          <w:rFonts w:hint="cs"/>
          <w:sz w:val="22"/>
          <w:rtl/>
        </w:rPr>
        <w:t xml:space="preserve">إلى الدولة الطرف أن تقوم </w:t>
      </w:r>
      <w:r w:rsidRPr="00B631C4">
        <w:rPr>
          <w:rFonts w:hint="cs"/>
          <w:sz w:val="22"/>
          <w:rtl/>
        </w:rPr>
        <w:t xml:space="preserve">عند إعداد تقريرها الدوري الرابع، </w:t>
      </w:r>
      <w:r w:rsidR="00ED585B">
        <w:rPr>
          <w:rFonts w:hint="cs"/>
          <w:sz w:val="22"/>
          <w:rtl/>
        </w:rPr>
        <w:t xml:space="preserve">بالتشاور </w:t>
      </w:r>
      <w:r w:rsidRPr="00B631C4">
        <w:rPr>
          <w:rFonts w:hint="cs"/>
          <w:sz w:val="22"/>
          <w:rtl/>
        </w:rPr>
        <w:t>على نطاق واسع مع المجتمع المدني والمنظمات غير الحكومية.</w:t>
      </w:r>
    </w:p>
    <w:p w:rsidR="00ED585B" w:rsidRDefault="0035353F" w:rsidP="00ED585B">
      <w:pPr>
        <w:pStyle w:val="SingleTxtGA"/>
        <w:rPr>
          <w:rFonts w:hint="cs"/>
          <w:sz w:val="22"/>
          <w:rtl/>
        </w:rPr>
      </w:pPr>
      <w:r w:rsidRPr="00B631C4">
        <w:rPr>
          <w:rFonts w:hint="cs"/>
          <w:sz w:val="22"/>
          <w:rtl/>
        </w:rPr>
        <w:t>19</w:t>
      </w:r>
      <w:r>
        <w:rPr>
          <w:rFonts w:hint="cs"/>
          <w:sz w:val="22"/>
          <w:rtl/>
        </w:rPr>
        <w:t>-</w:t>
      </w:r>
      <w:r w:rsidR="00ED585B">
        <w:rPr>
          <w:rFonts w:hint="cs"/>
          <w:rtl/>
        </w:rPr>
        <w:tab/>
      </w:r>
      <w:r>
        <w:rPr>
          <w:rFonts w:hint="cs"/>
          <w:rtl/>
        </w:rPr>
        <w:t>ووفقاً للفقرة 5 من المادة 71 من النظام الداخلي للجنة</w:t>
      </w:r>
      <w:r w:rsidR="00F2334C">
        <w:rPr>
          <w:rFonts w:hint="cs"/>
          <w:sz w:val="22"/>
          <w:rtl/>
        </w:rPr>
        <w:t xml:space="preserve">، </w:t>
      </w:r>
      <w:r w:rsidRPr="00B631C4">
        <w:rPr>
          <w:rFonts w:hint="cs"/>
          <w:sz w:val="22"/>
          <w:rtl/>
        </w:rPr>
        <w:t>ينبغي للدولة الطرف أن تقدم، في غضون سنة</w:t>
      </w:r>
      <w:r>
        <w:rPr>
          <w:rFonts w:hint="cs"/>
          <w:sz w:val="22"/>
          <w:rtl/>
        </w:rPr>
        <w:t xml:space="preserve"> واحدة</w:t>
      </w:r>
      <w:r w:rsidRPr="00B631C4">
        <w:rPr>
          <w:rFonts w:hint="cs"/>
          <w:sz w:val="22"/>
          <w:rtl/>
        </w:rPr>
        <w:t>، معلومات ذات صلة عن تنفيذ توصيات اللجنة الواردة في الفقر</w:t>
      </w:r>
      <w:r>
        <w:rPr>
          <w:rFonts w:hint="cs"/>
          <w:sz w:val="22"/>
          <w:rtl/>
        </w:rPr>
        <w:t>ا</w:t>
      </w:r>
      <w:r w:rsidRPr="00B631C4">
        <w:rPr>
          <w:rFonts w:hint="cs"/>
          <w:sz w:val="22"/>
          <w:rtl/>
        </w:rPr>
        <w:t>ت 7</w:t>
      </w:r>
      <w:r w:rsidR="00F2334C">
        <w:rPr>
          <w:rFonts w:hint="cs"/>
          <w:sz w:val="22"/>
          <w:rtl/>
        </w:rPr>
        <w:t xml:space="preserve"> و</w:t>
      </w:r>
      <w:r w:rsidRPr="00B631C4">
        <w:rPr>
          <w:rFonts w:hint="cs"/>
          <w:sz w:val="22"/>
          <w:rtl/>
        </w:rPr>
        <w:t>8</w:t>
      </w:r>
      <w:r w:rsidR="00F2334C">
        <w:rPr>
          <w:rFonts w:hint="cs"/>
          <w:sz w:val="22"/>
          <w:rtl/>
        </w:rPr>
        <w:t xml:space="preserve"> و</w:t>
      </w:r>
      <w:r w:rsidRPr="00B631C4">
        <w:rPr>
          <w:rFonts w:hint="cs"/>
          <w:sz w:val="22"/>
          <w:rtl/>
        </w:rPr>
        <w:t>13 أعلاه.</w:t>
      </w:r>
    </w:p>
    <w:p w:rsidR="00F2334C" w:rsidRDefault="0035353F" w:rsidP="00ED585B">
      <w:pPr>
        <w:pStyle w:val="SingleTxtGA"/>
        <w:rPr>
          <w:rFonts w:hint="cs"/>
          <w:sz w:val="22"/>
          <w:rtl/>
        </w:rPr>
      </w:pPr>
      <w:r w:rsidRPr="00B631C4">
        <w:rPr>
          <w:rFonts w:hint="cs"/>
          <w:sz w:val="22"/>
          <w:rtl/>
        </w:rPr>
        <w:t>20</w:t>
      </w:r>
      <w:r>
        <w:rPr>
          <w:rFonts w:hint="cs"/>
          <w:sz w:val="22"/>
          <w:rtl/>
        </w:rPr>
        <w:t>-</w:t>
      </w:r>
      <w:r w:rsidR="00ED585B">
        <w:rPr>
          <w:rFonts w:hint="cs"/>
          <w:sz w:val="22"/>
          <w:rtl/>
        </w:rPr>
        <w:tab/>
      </w:r>
      <w:r w:rsidRPr="00B631C4">
        <w:rPr>
          <w:rFonts w:hint="cs"/>
          <w:sz w:val="22"/>
          <w:rtl/>
        </w:rPr>
        <w:t xml:space="preserve">وتطلب اللجنة </w:t>
      </w:r>
      <w:r>
        <w:rPr>
          <w:rFonts w:hint="cs"/>
          <w:sz w:val="22"/>
          <w:rtl/>
        </w:rPr>
        <w:t>إلى</w:t>
      </w:r>
      <w:r w:rsidRPr="00B631C4">
        <w:rPr>
          <w:rFonts w:hint="cs"/>
          <w:sz w:val="22"/>
          <w:rtl/>
        </w:rPr>
        <w:t xml:space="preserve"> الدولة الطرف</w:t>
      </w:r>
      <w:r>
        <w:rPr>
          <w:rFonts w:hint="cs"/>
          <w:sz w:val="22"/>
          <w:rtl/>
        </w:rPr>
        <w:t xml:space="preserve"> أن تقدم،</w:t>
      </w:r>
      <w:r w:rsidR="00ED585B">
        <w:rPr>
          <w:rFonts w:hint="cs"/>
          <w:sz w:val="22"/>
          <w:rtl/>
        </w:rPr>
        <w:t xml:space="preserve"> </w:t>
      </w:r>
      <w:r w:rsidRPr="00B631C4">
        <w:rPr>
          <w:rFonts w:hint="cs"/>
          <w:sz w:val="22"/>
          <w:rtl/>
        </w:rPr>
        <w:t xml:space="preserve">في تقريرها الدوري المقبل، </w:t>
      </w:r>
      <w:r>
        <w:rPr>
          <w:rFonts w:hint="cs"/>
          <w:sz w:val="22"/>
          <w:rtl/>
        </w:rPr>
        <w:t xml:space="preserve">الذي يحل موعد تقديمه </w:t>
      </w:r>
      <w:r w:rsidRPr="00B631C4">
        <w:rPr>
          <w:rFonts w:hint="cs"/>
          <w:sz w:val="22"/>
          <w:rtl/>
        </w:rPr>
        <w:t xml:space="preserve">في 1 </w:t>
      </w:r>
      <w:r>
        <w:rPr>
          <w:rFonts w:hint="cs"/>
          <w:sz w:val="22"/>
          <w:rtl/>
        </w:rPr>
        <w:t>نيسان/</w:t>
      </w:r>
      <w:r w:rsidRPr="00B631C4">
        <w:rPr>
          <w:rFonts w:hint="cs"/>
          <w:sz w:val="22"/>
          <w:rtl/>
        </w:rPr>
        <w:t>أبريل 2015،</w:t>
      </w:r>
      <w:r w:rsidR="00ED585B">
        <w:rPr>
          <w:rFonts w:hint="cs"/>
          <w:sz w:val="22"/>
          <w:rtl/>
        </w:rPr>
        <w:t xml:space="preserve"> </w:t>
      </w:r>
      <w:r>
        <w:rPr>
          <w:rFonts w:hint="cs"/>
          <w:sz w:val="22"/>
          <w:rtl/>
        </w:rPr>
        <w:t xml:space="preserve">معلومات محددة ومحدثة عن </w:t>
      </w:r>
      <w:r w:rsidRPr="00B631C4">
        <w:rPr>
          <w:rFonts w:hint="cs"/>
          <w:sz w:val="22"/>
          <w:rtl/>
        </w:rPr>
        <w:t>جميع توصيا</w:t>
      </w:r>
      <w:r>
        <w:rPr>
          <w:rFonts w:hint="cs"/>
          <w:sz w:val="22"/>
          <w:rtl/>
        </w:rPr>
        <w:t>ت اللجنة</w:t>
      </w:r>
      <w:r w:rsidRPr="00B631C4">
        <w:rPr>
          <w:rFonts w:hint="cs"/>
          <w:sz w:val="22"/>
          <w:rtl/>
        </w:rPr>
        <w:t xml:space="preserve"> و</w:t>
      </w:r>
      <w:r w:rsidR="00ED585B">
        <w:rPr>
          <w:rFonts w:hint="cs"/>
          <w:sz w:val="22"/>
          <w:rtl/>
        </w:rPr>
        <w:t>عن العهد ككل.</w:t>
      </w:r>
    </w:p>
    <w:p w:rsidR="0035353F" w:rsidRPr="00F2334C" w:rsidRDefault="00F2334C" w:rsidP="00F2334C">
      <w:pPr>
        <w:spacing w:before="120"/>
        <w:jc w:val="center"/>
        <w:rPr>
          <w:rFonts w:hint="cs"/>
          <w:u w:val="single"/>
          <w:rtl/>
        </w:rPr>
      </w:pPr>
      <w:r>
        <w:rPr>
          <w:u w:val="single"/>
          <w:rtl/>
        </w:rPr>
        <w:tab/>
      </w:r>
      <w:r>
        <w:rPr>
          <w:u w:val="single"/>
          <w:rtl/>
        </w:rPr>
        <w:tab/>
      </w:r>
      <w:r>
        <w:rPr>
          <w:u w:val="single"/>
          <w:rtl/>
        </w:rPr>
        <w:tab/>
      </w:r>
    </w:p>
    <w:sectPr w:rsidR="0035353F" w:rsidRPr="00F2334C"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9D3" w:rsidRPr="00FE6865" w:rsidRDefault="001749D3" w:rsidP="00FE6865">
      <w:pPr>
        <w:pStyle w:val="Footer"/>
      </w:pPr>
    </w:p>
  </w:endnote>
  <w:endnote w:type="continuationSeparator" w:id="0">
    <w:p w:rsidR="001749D3" w:rsidRDefault="0017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58" w:rsidRPr="0035353F" w:rsidRDefault="00F61658" w:rsidP="0035353F">
    <w:pPr>
      <w:pStyle w:val="Footer"/>
      <w:tabs>
        <w:tab w:val="right" w:pos="9598"/>
      </w:tabs>
    </w:pPr>
    <w:r>
      <w:t>GE.11-42275</w:t>
    </w:r>
    <w:r>
      <w:tab/>
    </w:r>
    <w:r w:rsidRPr="0035353F">
      <w:rPr>
        <w:b/>
        <w:sz w:val="18"/>
      </w:rPr>
      <w:fldChar w:fldCharType="begin"/>
    </w:r>
    <w:r w:rsidRPr="0035353F">
      <w:rPr>
        <w:b/>
        <w:sz w:val="18"/>
      </w:rPr>
      <w:instrText xml:space="preserve"> PAGE  \* MERGEFORMAT </w:instrText>
    </w:r>
    <w:r w:rsidRPr="0035353F">
      <w:rPr>
        <w:b/>
        <w:sz w:val="18"/>
      </w:rPr>
      <w:fldChar w:fldCharType="separate"/>
    </w:r>
    <w:r w:rsidR="00D45C9A">
      <w:rPr>
        <w:b/>
        <w:noProof/>
        <w:sz w:val="18"/>
      </w:rPr>
      <w:t>6</w:t>
    </w:r>
    <w:r w:rsidRPr="0035353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58" w:rsidRPr="0035353F" w:rsidRDefault="00F61658" w:rsidP="0035353F">
    <w:pPr>
      <w:pStyle w:val="Footer"/>
      <w:tabs>
        <w:tab w:val="right" w:pos="9598"/>
      </w:tabs>
      <w:rPr>
        <w:b/>
        <w:sz w:val="18"/>
      </w:rPr>
    </w:pPr>
    <w:r w:rsidRPr="0035353F">
      <w:rPr>
        <w:b/>
        <w:sz w:val="18"/>
      </w:rPr>
      <w:fldChar w:fldCharType="begin"/>
    </w:r>
    <w:r w:rsidRPr="0035353F">
      <w:rPr>
        <w:b/>
        <w:sz w:val="18"/>
      </w:rPr>
      <w:instrText xml:space="preserve"> PAGE  \* MERGEFORMAT </w:instrText>
    </w:r>
    <w:r w:rsidRPr="0035353F">
      <w:rPr>
        <w:b/>
        <w:sz w:val="18"/>
      </w:rPr>
      <w:fldChar w:fldCharType="separate"/>
    </w:r>
    <w:r w:rsidR="00D45C9A">
      <w:rPr>
        <w:b/>
        <w:noProof/>
        <w:sz w:val="18"/>
      </w:rPr>
      <w:t>5</w:t>
    </w:r>
    <w:r w:rsidRPr="0035353F">
      <w:rPr>
        <w:b/>
        <w:sz w:val="18"/>
      </w:rPr>
      <w:fldChar w:fldCharType="end"/>
    </w:r>
    <w:r>
      <w:rPr>
        <w:b/>
        <w:sz w:val="18"/>
      </w:rPr>
      <w:tab/>
    </w:r>
    <w:r>
      <w:t>GE.11-42275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58" w:rsidRDefault="00F61658" w:rsidP="0035353F">
    <w:pPr>
      <w:pStyle w:val="Footer"/>
      <w:jc w:val="right"/>
    </w:pPr>
    <w:r>
      <w:rPr>
        <w:sz w:val="20"/>
      </w:rPr>
      <w:t>(A)   GE.11-42275</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170511    180511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9D3" w:rsidRDefault="001749D3" w:rsidP="007E4686">
      <w:pPr>
        <w:pStyle w:val="Footer"/>
        <w:bidi/>
        <w:spacing w:after="80" w:line="200" w:lineRule="exact"/>
        <w:ind w:left="680"/>
      </w:pPr>
      <w:r>
        <w:rPr>
          <w:rFonts w:hint="cs"/>
          <w:rtl/>
        </w:rPr>
        <w:t>__________</w:t>
      </w:r>
    </w:p>
  </w:footnote>
  <w:footnote w:type="continuationSeparator" w:id="0">
    <w:p w:rsidR="001749D3" w:rsidRDefault="001749D3" w:rsidP="007E468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58" w:rsidRPr="0035353F" w:rsidRDefault="00F61658" w:rsidP="0035353F">
    <w:pPr>
      <w:pStyle w:val="Header"/>
      <w:jc w:val="right"/>
    </w:pPr>
    <w:r w:rsidRPr="0035353F">
      <w:t>CCPR/C/SVK/CO/3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58" w:rsidRPr="0035353F" w:rsidRDefault="00F61658" w:rsidP="0035353F">
    <w:pPr>
      <w:pStyle w:val="Header"/>
      <w:jc w:val="left"/>
    </w:pPr>
    <w:r w:rsidRPr="0035353F">
      <w:t>CCPR/C/SVK/CO/3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58" w:rsidRDefault="00F61658"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F61658" w:rsidRPr="008F6743" w:rsidRDefault="00F61658"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21B1"/>
    <w:rsid w:val="00002EEC"/>
    <w:rsid w:val="00040E25"/>
    <w:rsid w:val="00042149"/>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14030"/>
    <w:rsid w:val="001455A0"/>
    <w:rsid w:val="001602A3"/>
    <w:rsid w:val="001749D3"/>
    <w:rsid w:val="001A5161"/>
    <w:rsid w:val="001A60BD"/>
    <w:rsid w:val="001C6D53"/>
    <w:rsid w:val="00232277"/>
    <w:rsid w:val="0023736D"/>
    <w:rsid w:val="00257225"/>
    <w:rsid w:val="00310160"/>
    <w:rsid w:val="00341A8C"/>
    <w:rsid w:val="003519E6"/>
    <w:rsid w:val="0035353F"/>
    <w:rsid w:val="00355F81"/>
    <w:rsid w:val="003B4356"/>
    <w:rsid w:val="003F08A8"/>
    <w:rsid w:val="004250E3"/>
    <w:rsid w:val="00472A81"/>
    <w:rsid w:val="004A20A6"/>
    <w:rsid w:val="004B2C92"/>
    <w:rsid w:val="004D6A3A"/>
    <w:rsid w:val="004F4AD7"/>
    <w:rsid w:val="00523097"/>
    <w:rsid w:val="00523403"/>
    <w:rsid w:val="00557CD3"/>
    <w:rsid w:val="00571432"/>
    <w:rsid w:val="005732A2"/>
    <w:rsid w:val="005762A5"/>
    <w:rsid w:val="00590BA3"/>
    <w:rsid w:val="005B46D9"/>
    <w:rsid w:val="005B7AE0"/>
    <w:rsid w:val="005E23F5"/>
    <w:rsid w:val="005F146F"/>
    <w:rsid w:val="005F71B6"/>
    <w:rsid w:val="00626D24"/>
    <w:rsid w:val="00654786"/>
    <w:rsid w:val="00660FD4"/>
    <w:rsid w:val="00665BE4"/>
    <w:rsid w:val="006A3BB8"/>
    <w:rsid w:val="006A4425"/>
    <w:rsid w:val="006B00A4"/>
    <w:rsid w:val="006B4669"/>
    <w:rsid w:val="006D3CFA"/>
    <w:rsid w:val="006D50C1"/>
    <w:rsid w:val="006D7539"/>
    <w:rsid w:val="006F6BF8"/>
    <w:rsid w:val="00707BDF"/>
    <w:rsid w:val="00710727"/>
    <w:rsid w:val="00715F45"/>
    <w:rsid w:val="0072608F"/>
    <w:rsid w:val="00731815"/>
    <w:rsid w:val="00731B84"/>
    <w:rsid w:val="00734AE7"/>
    <w:rsid w:val="0079344E"/>
    <w:rsid w:val="007E197F"/>
    <w:rsid w:val="007E2786"/>
    <w:rsid w:val="007E4686"/>
    <w:rsid w:val="007F68C4"/>
    <w:rsid w:val="008153DE"/>
    <w:rsid w:val="00821372"/>
    <w:rsid w:val="00852A10"/>
    <w:rsid w:val="00862634"/>
    <w:rsid w:val="00866C59"/>
    <w:rsid w:val="00877306"/>
    <w:rsid w:val="008842B1"/>
    <w:rsid w:val="00885524"/>
    <w:rsid w:val="008A6242"/>
    <w:rsid w:val="008B4BC6"/>
    <w:rsid w:val="008F6743"/>
    <w:rsid w:val="00901E57"/>
    <w:rsid w:val="009070DF"/>
    <w:rsid w:val="00935F0E"/>
    <w:rsid w:val="0095208F"/>
    <w:rsid w:val="00977B3F"/>
    <w:rsid w:val="009814AE"/>
    <w:rsid w:val="009901D3"/>
    <w:rsid w:val="00996BBE"/>
    <w:rsid w:val="009B2C03"/>
    <w:rsid w:val="009C095B"/>
    <w:rsid w:val="009D17B9"/>
    <w:rsid w:val="009D1DD5"/>
    <w:rsid w:val="009F722C"/>
    <w:rsid w:val="00A26157"/>
    <w:rsid w:val="00A265C3"/>
    <w:rsid w:val="00A43F9A"/>
    <w:rsid w:val="00A53F38"/>
    <w:rsid w:val="00A543D4"/>
    <w:rsid w:val="00AA7C5F"/>
    <w:rsid w:val="00AD0014"/>
    <w:rsid w:val="00AD4CF2"/>
    <w:rsid w:val="00AF0BBA"/>
    <w:rsid w:val="00B25159"/>
    <w:rsid w:val="00B30468"/>
    <w:rsid w:val="00B44E31"/>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A3B24"/>
    <w:rsid w:val="00CA5F7C"/>
    <w:rsid w:val="00D45C9A"/>
    <w:rsid w:val="00D51067"/>
    <w:rsid w:val="00D75657"/>
    <w:rsid w:val="00D960AD"/>
    <w:rsid w:val="00DA0E0E"/>
    <w:rsid w:val="00DB0885"/>
    <w:rsid w:val="00DB0C39"/>
    <w:rsid w:val="00DB61CE"/>
    <w:rsid w:val="00DB7679"/>
    <w:rsid w:val="00DF1702"/>
    <w:rsid w:val="00DF4DD8"/>
    <w:rsid w:val="00DF668E"/>
    <w:rsid w:val="00E04826"/>
    <w:rsid w:val="00E141B3"/>
    <w:rsid w:val="00E14D2B"/>
    <w:rsid w:val="00E20DBA"/>
    <w:rsid w:val="00E4305E"/>
    <w:rsid w:val="00E6524A"/>
    <w:rsid w:val="00E660D6"/>
    <w:rsid w:val="00E771AB"/>
    <w:rsid w:val="00E921B1"/>
    <w:rsid w:val="00EA796F"/>
    <w:rsid w:val="00EB077B"/>
    <w:rsid w:val="00EC50B9"/>
    <w:rsid w:val="00ED26A0"/>
    <w:rsid w:val="00ED585B"/>
    <w:rsid w:val="00F1727A"/>
    <w:rsid w:val="00F2334C"/>
    <w:rsid w:val="00F34764"/>
    <w:rsid w:val="00F54E3C"/>
    <w:rsid w:val="00F61658"/>
    <w:rsid w:val="00F874BD"/>
    <w:rsid w:val="00FB1D0B"/>
    <w:rsid w:val="00FD022C"/>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1747</Words>
  <Characters>9961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CCPR/C/SVK/CO/3</vt:lpstr>
    </vt:vector>
  </TitlesOfParts>
  <Company>CSD</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CCPR/C/SVK/CO/3</dc:title>
  <dc:subject>B.AL-KUDHAIRI-  A. ALAOUI</dc:subject>
  <dc:creator>Buhnam</dc:creator>
  <cp:keywords/>
  <dc:description>Gamal</dc:description>
  <cp:lastModifiedBy>Gamal</cp:lastModifiedBy>
  <cp:revision>3</cp:revision>
  <cp:lastPrinted>2011-05-18T15:08:00Z</cp:lastPrinted>
  <dcterms:created xsi:type="dcterms:W3CDTF">2011-05-18T15:08:00Z</dcterms:created>
  <dcterms:modified xsi:type="dcterms:W3CDTF">2011-05-18T15:08:00Z</dcterms:modified>
</cp:coreProperties>
</file>