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0D798E"/>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0D798E" w:rsidP="000D798E">
            <w:pPr>
              <w:jc w:val="right"/>
            </w:pPr>
            <w:r w:rsidRPr="000D798E">
              <w:rPr>
                <w:sz w:val="40"/>
              </w:rPr>
              <w:t>CAT</w:t>
            </w:r>
            <w:r>
              <w:t>/OP/PAN/1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0D798E" w:rsidP="00A704A8">
            <w:pPr>
              <w:spacing w:before="240"/>
            </w:pPr>
            <w:proofErr w:type="spellStart"/>
            <w:r>
              <w:t>Distr</w:t>
            </w:r>
            <w:proofErr w:type="spellEnd"/>
            <w:r>
              <w:t>. générale</w:t>
            </w:r>
          </w:p>
          <w:p w:rsidR="000D798E" w:rsidRDefault="000D798E" w:rsidP="000D798E">
            <w:pPr>
              <w:spacing w:line="240" w:lineRule="exact"/>
            </w:pPr>
            <w:r>
              <w:t>31 juillet 2018</w:t>
            </w:r>
          </w:p>
          <w:p w:rsidR="000D798E" w:rsidRDefault="000D798E" w:rsidP="000D798E">
            <w:pPr>
              <w:spacing w:line="240" w:lineRule="exact"/>
            </w:pPr>
            <w:r>
              <w:t>Français</w:t>
            </w:r>
          </w:p>
          <w:p w:rsidR="000D798E" w:rsidRDefault="000D798E" w:rsidP="000D798E">
            <w:pPr>
              <w:spacing w:line="240" w:lineRule="exact"/>
            </w:pPr>
            <w:r>
              <w:t>Original : espagnol</w:t>
            </w:r>
          </w:p>
          <w:p w:rsidR="000D798E" w:rsidRPr="00DB58B5" w:rsidRDefault="000D798E" w:rsidP="000D798E">
            <w:pPr>
              <w:spacing w:line="240" w:lineRule="exact"/>
            </w:pPr>
            <w:r>
              <w:t>Anglais, espagnol et français seulement</w:t>
            </w:r>
          </w:p>
        </w:tc>
      </w:tr>
    </w:tbl>
    <w:p w:rsidR="000D798E" w:rsidRDefault="000D798E" w:rsidP="000D798E">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0D798E" w:rsidRPr="004E42E6" w:rsidRDefault="000D798E" w:rsidP="000D798E">
      <w:pPr>
        <w:pStyle w:val="HMG"/>
      </w:pPr>
      <w:bookmarkStart w:id="0" w:name="bookmark_12"/>
      <w:r w:rsidRPr="004E42E6">
        <w:rPr>
          <w:lang w:val="fr-FR"/>
        </w:rPr>
        <w:tab/>
      </w:r>
      <w:r w:rsidRPr="004E42E6">
        <w:rPr>
          <w:lang w:val="fr-FR"/>
        </w:rPr>
        <w:tab/>
        <w:t>Visite au Panama menée du 20 au 26</w:t>
      </w:r>
      <w:r>
        <w:rPr>
          <w:lang w:val="fr-FR"/>
        </w:rPr>
        <w:t> </w:t>
      </w:r>
      <w:r w:rsidRPr="004E42E6">
        <w:rPr>
          <w:lang w:val="fr-FR"/>
        </w:rPr>
        <w:t>août 2017</w:t>
      </w:r>
      <w:r>
        <w:rPr>
          <w:lang w:val="fr-FR"/>
        </w:rPr>
        <w:t> </w:t>
      </w:r>
      <w:r w:rsidRPr="004E42E6">
        <w:rPr>
          <w:lang w:val="fr-FR"/>
        </w:rPr>
        <w:t>: observation</w:t>
      </w:r>
      <w:r>
        <w:rPr>
          <w:lang w:val="fr-FR"/>
        </w:rPr>
        <w:t xml:space="preserve">s et recommandations adressées </w:t>
      </w:r>
      <w:r>
        <w:rPr>
          <w:lang w:val="fr-FR"/>
        </w:rPr>
        <w:br/>
      </w:r>
      <w:r w:rsidRPr="004E42E6">
        <w:rPr>
          <w:lang w:val="fr-FR"/>
        </w:rPr>
        <w:t>à l</w:t>
      </w:r>
      <w:r>
        <w:rPr>
          <w:lang w:val="fr-FR"/>
        </w:rPr>
        <w:t>’</w:t>
      </w:r>
      <w:r w:rsidRPr="004E42E6">
        <w:rPr>
          <w:lang w:val="fr-FR"/>
        </w:rPr>
        <w:t>État partie</w:t>
      </w:r>
      <w:bookmarkStart w:id="1" w:name="_GoBack"/>
      <w:bookmarkEnd w:id="0"/>
      <w:bookmarkEnd w:id="1"/>
    </w:p>
    <w:p w:rsidR="00BA41F4" w:rsidRDefault="000D798E" w:rsidP="000D798E">
      <w:pPr>
        <w:pStyle w:val="H1G"/>
        <w:rPr>
          <w:b w:val="0"/>
          <w:bCs/>
          <w:sz w:val="20"/>
        </w:rPr>
      </w:pPr>
      <w:bookmarkStart w:id="2" w:name="bookmark_13"/>
      <w:r w:rsidRPr="004E42E6">
        <w:rPr>
          <w:lang w:val="fr-FR"/>
        </w:rPr>
        <w:tab/>
      </w:r>
      <w:r w:rsidRPr="004E42E6">
        <w:rPr>
          <w:lang w:val="fr-FR"/>
        </w:rPr>
        <w:tab/>
        <w:t>Rapport établi par le Sous-Comité</w:t>
      </w:r>
      <w:r w:rsidRPr="000D798E">
        <w:rPr>
          <w:rStyle w:val="Appelnotedebasdep"/>
          <w:b w:val="0"/>
          <w:sz w:val="20"/>
          <w:vertAlign w:val="baseline"/>
        </w:rPr>
        <w:footnoteReference w:customMarkFollows="1" w:id="2"/>
        <w:t>*</w:t>
      </w:r>
      <w:r w:rsidRPr="000D798E">
        <w:rPr>
          <w:sz w:val="20"/>
          <w:vertAlign w:val="superscript"/>
        </w:rPr>
        <w:t>,</w:t>
      </w:r>
      <w:r w:rsidRPr="000D798E">
        <w:rPr>
          <w:rStyle w:val="Appelnotedebasdep"/>
          <w:b w:val="0"/>
          <w:bCs/>
          <w:sz w:val="20"/>
          <w:lang w:val="fr-FR"/>
        </w:rPr>
        <w:t xml:space="preserve"> </w:t>
      </w:r>
      <w:bookmarkEnd w:id="2"/>
      <w:r w:rsidRPr="000D798E">
        <w:rPr>
          <w:rStyle w:val="Appelnotedebasdep"/>
          <w:b w:val="0"/>
          <w:bCs/>
          <w:sz w:val="20"/>
          <w:vertAlign w:val="baseline"/>
        </w:rPr>
        <w:footnoteReference w:customMarkFollows="1" w:id="3"/>
        <w:t>**</w:t>
      </w:r>
      <w:r w:rsidRPr="000D798E">
        <w:rPr>
          <w:sz w:val="20"/>
          <w:vertAlign w:val="superscript"/>
        </w:rPr>
        <w:t xml:space="preserve">, </w:t>
      </w:r>
      <w:r w:rsidRPr="000D798E">
        <w:rPr>
          <w:rStyle w:val="Appelnotedebasdep"/>
          <w:b w:val="0"/>
          <w:bCs/>
          <w:sz w:val="20"/>
          <w:vertAlign w:val="baseline"/>
        </w:rPr>
        <w:footnoteReference w:customMarkFollows="1" w:id="4"/>
        <w:t>***</w:t>
      </w:r>
    </w:p>
    <w:p w:rsidR="000D798E" w:rsidRPr="00834258" w:rsidRDefault="000D798E" w:rsidP="000D798E">
      <w:pPr>
        <w:spacing w:after="120"/>
        <w:rPr>
          <w:sz w:val="28"/>
        </w:rPr>
      </w:pPr>
      <w:r>
        <w:br w:type="page"/>
      </w:r>
      <w:r w:rsidRPr="00834258">
        <w:rPr>
          <w:sz w:val="28"/>
        </w:rPr>
        <w:lastRenderedPageBreak/>
        <w:t>Table des matières</w:t>
      </w:r>
    </w:p>
    <w:p w:rsidR="000D798E" w:rsidRPr="00834258" w:rsidRDefault="000D798E" w:rsidP="000D798E">
      <w:pPr>
        <w:tabs>
          <w:tab w:val="right" w:pos="9638"/>
        </w:tabs>
        <w:spacing w:after="120"/>
        <w:ind w:left="283"/>
        <w:rPr>
          <w:i/>
          <w:sz w:val="18"/>
        </w:rPr>
      </w:pPr>
      <w:r w:rsidRPr="00834258">
        <w:rPr>
          <w:i/>
          <w:sz w:val="18"/>
        </w:rPr>
        <w:tab/>
        <w:t>Page</w:t>
      </w:r>
    </w:p>
    <w:p w:rsidR="000D798E" w:rsidRDefault="000D798E" w:rsidP="000D798E">
      <w:pPr>
        <w:tabs>
          <w:tab w:val="right" w:pos="850"/>
          <w:tab w:val="right" w:leader="dot" w:pos="8787"/>
          <w:tab w:val="right" w:pos="9638"/>
        </w:tabs>
        <w:spacing w:after="120"/>
        <w:ind w:left="1134" w:hanging="1134"/>
      </w:pPr>
      <w:r>
        <w:tab/>
        <w:t>I.</w:t>
      </w:r>
      <w:r>
        <w:tab/>
      </w:r>
      <w:r w:rsidRPr="004E42E6">
        <w:rPr>
          <w:lang w:val="fr-FR"/>
        </w:rPr>
        <w:t>Introduction</w:t>
      </w:r>
      <w:r>
        <w:tab/>
      </w:r>
      <w:r>
        <w:tab/>
        <w:t>3</w:t>
      </w:r>
    </w:p>
    <w:p w:rsidR="000D798E" w:rsidRDefault="000D798E" w:rsidP="000D798E">
      <w:pPr>
        <w:tabs>
          <w:tab w:val="right" w:pos="850"/>
          <w:tab w:val="right" w:leader="dot" w:pos="8787"/>
          <w:tab w:val="right" w:pos="9638"/>
        </w:tabs>
        <w:spacing w:after="120"/>
        <w:ind w:left="1134" w:hanging="1134"/>
      </w:pPr>
      <w:r>
        <w:tab/>
        <w:t>II.</w:t>
      </w:r>
      <w:r>
        <w:tab/>
      </w:r>
      <w:r w:rsidRPr="004E42E6">
        <w:rPr>
          <w:lang w:val="fr-FR"/>
        </w:rPr>
        <w:t>Mécanisme national de prévention</w:t>
      </w:r>
      <w:r>
        <w:tab/>
      </w:r>
      <w:r>
        <w:tab/>
        <w:t>4</w:t>
      </w:r>
    </w:p>
    <w:p w:rsidR="000D798E" w:rsidRDefault="000D798E" w:rsidP="000D798E">
      <w:pPr>
        <w:tabs>
          <w:tab w:val="right" w:pos="850"/>
          <w:tab w:val="right" w:leader="dot" w:pos="8787"/>
          <w:tab w:val="right" w:pos="9638"/>
        </w:tabs>
        <w:spacing w:after="120"/>
        <w:ind w:left="1134" w:hanging="1134"/>
      </w:pPr>
      <w:r>
        <w:tab/>
        <w:t>III.</w:t>
      </w:r>
      <w:r>
        <w:tab/>
      </w:r>
      <w:r w:rsidRPr="004E42E6">
        <w:rPr>
          <w:lang w:val="fr-FR"/>
        </w:rPr>
        <w:t xml:space="preserve">Aspects relatifs au cadre juridique et institutionnel de la prévention </w:t>
      </w:r>
      <w:r>
        <w:rPr>
          <w:lang w:val="fr-FR"/>
        </w:rPr>
        <w:br/>
      </w:r>
      <w:r w:rsidRPr="004E42E6">
        <w:rPr>
          <w:lang w:val="fr-FR"/>
        </w:rPr>
        <w:t>de la torture et des mauvais traitements</w:t>
      </w:r>
      <w:r>
        <w:tab/>
      </w:r>
      <w:r>
        <w:tab/>
        <w:t>6</w:t>
      </w:r>
    </w:p>
    <w:p w:rsidR="000D798E" w:rsidRDefault="000D798E" w:rsidP="000D798E">
      <w:pPr>
        <w:tabs>
          <w:tab w:val="right" w:leader="dot" w:pos="8787"/>
          <w:tab w:val="right" w:pos="9638"/>
        </w:tabs>
        <w:spacing w:after="120"/>
        <w:ind w:left="1559" w:hanging="425"/>
      </w:pPr>
      <w:r>
        <w:t>A.</w:t>
      </w:r>
      <w:r>
        <w:tab/>
      </w:r>
      <w:r w:rsidRPr="004E42E6">
        <w:rPr>
          <w:lang w:val="fr-FR"/>
        </w:rPr>
        <w:t>Incrimination de la torture</w:t>
      </w:r>
      <w:r>
        <w:tab/>
      </w:r>
      <w:r>
        <w:tab/>
        <w:t>6</w:t>
      </w:r>
    </w:p>
    <w:p w:rsidR="000D798E" w:rsidRDefault="000D798E" w:rsidP="000D798E">
      <w:pPr>
        <w:tabs>
          <w:tab w:val="right" w:leader="dot" w:pos="8787"/>
          <w:tab w:val="right" w:pos="9638"/>
        </w:tabs>
        <w:spacing w:after="120"/>
        <w:ind w:left="1559" w:hanging="425"/>
      </w:pPr>
      <w:r>
        <w:t>B.</w:t>
      </w:r>
      <w:r>
        <w:tab/>
      </w:r>
      <w:r w:rsidRPr="004E42E6">
        <w:rPr>
          <w:lang w:val="fr-FR"/>
        </w:rPr>
        <w:t>Imprescriptibilité de la torture</w:t>
      </w:r>
      <w:r>
        <w:tab/>
      </w:r>
      <w:r>
        <w:tab/>
        <w:t>6</w:t>
      </w:r>
    </w:p>
    <w:p w:rsidR="000D798E" w:rsidRDefault="000D798E" w:rsidP="000D798E">
      <w:pPr>
        <w:tabs>
          <w:tab w:val="right" w:leader="dot" w:pos="8787"/>
          <w:tab w:val="right" w:pos="9638"/>
        </w:tabs>
        <w:spacing w:after="120"/>
        <w:ind w:left="1559" w:hanging="425"/>
      </w:pPr>
      <w:r>
        <w:t>C.</w:t>
      </w:r>
      <w:r>
        <w:tab/>
      </w:r>
      <w:r w:rsidRPr="004E42E6">
        <w:rPr>
          <w:lang w:val="fr-FR"/>
        </w:rPr>
        <w:t>Détection de la torture et des mauvais traitements</w:t>
      </w:r>
      <w:r>
        <w:tab/>
      </w:r>
      <w:r>
        <w:tab/>
        <w:t>7</w:t>
      </w:r>
    </w:p>
    <w:p w:rsidR="000D798E" w:rsidRDefault="000D798E" w:rsidP="000D798E">
      <w:pPr>
        <w:tabs>
          <w:tab w:val="right" w:pos="850"/>
          <w:tab w:val="right" w:leader="dot" w:pos="8787"/>
          <w:tab w:val="right" w:pos="9638"/>
        </w:tabs>
        <w:spacing w:after="120"/>
        <w:ind w:left="1134" w:hanging="1134"/>
      </w:pPr>
      <w:r>
        <w:tab/>
        <w:t>IV.</w:t>
      </w:r>
      <w:r>
        <w:tab/>
      </w:r>
      <w:r w:rsidRPr="00830A64">
        <w:t>O</w:t>
      </w:r>
      <w:r>
        <w:t>bservations du Sous-Comité</w:t>
      </w:r>
      <w:r w:rsidRPr="003064FF">
        <w:t xml:space="preserve"> sur les lieux visités</w:t>
      </w:r>
      <w:r>
        <w:tab/>
      </w:r>
      <w:r>
        <w:tab/>
        <w:t>9</w:t>
      </w:r>
    </w:p>
    <w:p w:rsidR="000D798E" w:rsidRDefault="000D798E" w:rsidP="000D798E">
      <w:pPr>
        <w:tabs>
          <w:tab w:val="right" w:leader="dot" w:pos="8787"/>
          <w:tab w:val="right" w:pos="9638"/>
        </w:tabs>
        <w:spacing w:after="120"/>
        <w:ind w:left="1559" w:hanging="425"/>
      </w:pPr>
      <w:r>
        <w:t>A.</w:t>
      </w:r>
      <w:r>
        <w:tab/>
        <w:t xml:space="preserve">Surpopulation et état des </w:t>
      </w:r>
      <w:r w:rsidRPr="003064FF">
        <w:t>infrastructur</w:t>
      </w:r>
      <w:r>
        <w:t>es</w:t>
      </w:r>
      <w:r>
        <w:tab/>
      </w:r>
      <w:r>
        <w:tab/>
        <w:t>9</w:t>
      </w:r>
    </w:p>
    <w:p w:rsidR="000D798E" w:rsidRDefault="000D798E" w:rsidP="000D798E">
      <w:pPr>
        <w:tabs>
          <w:tab w:val="right" w:leader="dot" w:pos="8787"/>
          <w:tab w:val="right" w:pos="9638"/>
        </w:tabs>
        <w:spacing w:after="120"/>
        <w:ind w:left="1559" w:hanging="425"/>
      </w:pPr>
      <w:r>
        <w:t>B.</w:t>
      </w:r>
      <w:r>
        <w:tab/>
      </w:r>
      <w:r w:rsidRPr="003064FF">
        <w:t>Alimenta</w:t>
      </w:r>
      <w:r>
        <w:t>tion et eau</w:t>
      </w:r>
      <w:r w:rsidRPr="003064FF">
        <w:t xml:space="preserve"> potable</w:t>
      </w:r>
      <w:r>
        <w:tab/>
      </w:r>
      <w:r>
        <w:tab/>
        <w:t>10</w:t>
      </w:r>
    </w:p>
    <w:p w:rsidR="000D798E" w:rsidRDefault="000D798E" w:rsidP="000D798E">
      <w:pPr>
        <w:tabs>
          <w:tab w:val="right" w:leader="dot" w:pos="8787"/>
          <w:tab w:val="right" w:pos="9638"/>
        </w:tabs>
        <w:spacing w:after="120"/>
        <w:ind w:left="1559" w:hanging="425"/>
      </w:pPr>
      <w:r>
        <w:t>C.</w:t>
      </w:r>
      <w:r>
        <w:tab/>
      </w:r>
      <w:r w:rsidRPr="003064FF">
        <w:t>Autog</w:t>
      </w:r>
      <w:r>
        <w:t>estion</w:t>
      </w:r>
      <w:r w:rsidRPr="003064FF">
        <w:t xml:space="preserve"> </w:t>
      </w:r>
      <w:r>
        <w:t>et</w:t>
      </w:r>
      <w:r w:rsidRPr="003064FF">
        <w:t xml:space="preserve"> corruption</w:t>
      </w:r>
      <w:r>
        <w:tab/>
      </w:r>
      <w:r>
        <w:tab/>
        <w:t>11</w:t>
      </w:r>
    </w:p>
    <w:p w:rsidR="000D798E" w:rsidRDefault="000D798E" w:rsidP="000D798E">
      <w:pPr>
        <w:tabs>
          <w:tab w:val="right" w:leader="dot" w:pos="8787"/>
          <w:tab w:val="right" w:pos="9638"/>
        </w:tabs>
        <w:spacing w:after="120"/>
        <w:ind w:left="1559" w:hanging="425"/>
      </w:pPr>
      <w:r>
        <w:t>D.</w:t>
      </w:r>
      <w:r>
        <w:tab/>
      </w:r>
      <w:r w:rsidRPr="003064FF">
        <w:t>Détention</w:t>
      </w:r>
      <w:r>
        <w:t xml:space="preserve"> avant jugement de longue</w:t>
      </w:r>
      <w:r w:rsidRPr="003064FF">
        <w:t xml:space="preserve"> dur</w:t>
      </w:r>
      <w:r>
        <w:t>ée</w:t>
      </w:r>
      <w:r>
        <w:tab/>
      </w:r>
      <w:r>
        <w:tab/>
        <w:t>12</w:t>
      </w:r>
    </w:p>
    <w:p w:rsidR="000D798E" w:rsidRDefault="000D798E" w:rsidP="000D798E">
      <w:pPr>
        <w:tabs>
          <w:tab w:val="right" w:leader="dot" w:pos="8787"/>
          <w:tab w:val="right" w:pos="9638"/>
        </w:tabs>
        <w:spacing w:after="120"/>
        <w:ind w:left="1559" w:hanging="425"/>
      </w:pPr>
      <w:r>
        <w:t>E.</w:t>
      </w:r>
      <w:r>
        <w:tab/>
      </w:r>
      <w:r>
        <w:rPr>
          <w:lang w:eastAsia="it-IT"/>
        </w:rPr>
        <w:t>Fouilles</w:t>
      </w:r>
      <w:r>
        <w:tab/>
      </w:r>
      <w:r>
        <w:tab/>
        <w:t>12</w:t>
      </w:r>
    </w:p>
    <w:p w:rsidR="000D798E" w:rsidRDefault="000D798E" w:rsidP="000D798E">
      <w:pPr>
        <w:tabs>
          <w:tab w:val="right" w:pos="850"/>
          <w:tab w:val="right" w:leader="dot" w:pos="8787"/>
          <w:tab w:val="right" w:pos="9638"/>
        </w:tabs>
        <w:spacing w:after="120"/>
        <w:ind w:left="1134" w:hanging="1134"/>
      </w:pPr>
      <w:r>
        <w:tab/>
        <w:t>V.</w:t>
      </w:r>
      <w:r>
        <w:tab/>
        <w:t>Santé</w:t>
      </w:r>
      <w:r>
        <w:tab/>
      </w:r>
      <w:r>
        <w:tab/>
        <w:t>12</w:t>
      </w:r>
    </w:p>
    <w:p w:rsidR="000D798E" w:rsidRDefault="000D798E" w:rsidP="000D798E">
      <w:pPr>
        <w:tabs>
          <w:tab w:val="right" w:pos="850"/>
          <w:tab w:val="right" w:leader="dot" w:pos="8787"/>
          <w:tab w:val="right" w:pos="9638"/>
        </w:tabs>
        <w:spacing w:after="120"/>
        <w:ind w:left="1134" w:hanging="1134"/>
      </w:pPr>
      <w:r>
        <w:tab/>
        <w:t>VI.</w:t>
      </w:r>
      <w:r>
        <w:tab/>
      </w:r>
      <w:r w:rsidRPr="007F4145">
        <w:rPr>
          <w:lang w:val="fr-FR"/>
        </w:rPr>
        <w:t>Groupes privés de liberté en situation de vulnérabilité</w:t>
      </w:r>
      <w:r>
        <w:tab/>
      </w:r>
      <w:r>
        <w:tab/>
        <w:t>14</w:t>
      </w:r>
    </w:p>
    <w:p w:rsidR="000D798E" w:rsidRDefault="000D798E" w:rsidP="000D798E">
      <w:pPr>
        <w:tabs>
          <w:tab w:val="right" w:leader="dot" w:pos="8787"/>
          <w:tab w:val="right" w:pos="9638"/>
        </w:tabs>
        <w:spacing w:after="120"/>
        <w:ind w:left="1559" w:hanging="425"/>
      </w:pPr>
      <w:r>
        <w:t>A.</w:t>
      </w:r>
      <w:r>
        <w:tab/>
      </w:r>
      <w:r>
        <w:rPr>
          <w:lang w:val="fr-FR"/>
        </w:rPr>
        <w:t>F</w:t>
      </w:r>
      <w:r w:rsidRPr="007F4145">
        <w:rPr>
          <w:lang w:val="fr-FR"/>
        </w:rPr>
        <w:t>emmes</w:t>
      </w:r>
      <w:r>
        <w:tab/>
      </w:r>
      <w:r>
        <w:tab/>
        <w:t>14</w:t>
      </w:r>
    </w:p>
    <w:p w:rsidR="000D798E" w:rsidRDefault="000D798E" w:rsidP="000D798E">
      <w:pPr>
        <w:tabs>
          <w:tab w:val="right" w:leader="dot" w:pos="8787"/>
          <w:tab w:val="right" w:pos="9638"/>
        </w:tabs>
        <w:spacing w:after="120"/>
        <w:ind w:left="1559" w:hanging="425"/>
      </w:pPr>
      <w:r>
        <w:t>B.</w:t>
      </w:r>
      <w:r>
        <w:tab/>
      </w:r>
      <w:r>
        <w:rPr>
          <w:lang w:val="fr-FR"/>
        </w:rPr>
        <w:t>A</w:t>
      </w:r>
      <w:r w:rsidRPr="007F4145">
        <w:rPr>
          <w:lang w:val="fr-FR"/>
        </w:rPr>
        <w:t>dolescents en conflit avec la loi</w:t>
      </w:r>
      <w:r>
        <w:tab/>
      </w:r>
      <w:r>
        <w:tab/>
        <w:t>15</w:t>
      </w:r>
    </w:p>
    <w:p w:rsidR="000D798E" w:rsidRDefault="000D798E" w:rsidP="000D798E">
      <w:pPr>
        <w:tabs>
          <w:tab w:val="right" w:leader="dot" w:pos="8787"/>
          <w:tab w:val="right" w:pos="9638"/>
        </w:tabs>
        <w:spacing w:after="120"/>
        <w:ind w:left="1559" w:hanging="425"/>
      </w:pPr>
      <w:r>
        <w:t>C.</w:t>
      </w:r>
      <w:r>
        <w:tab/>
      </w:r>
      <w:r>
        <w:rPr>
          <w:lang w:val="fr-FR"/>
        </w:rPr>
        <w:t>M</w:t>
      </w:r>
      <w:r w:rsidRPr="007F4145">
        <w:rPr>
          <w:lang w:val="fr-FR"/>
        </w:rPr>
        <w:t>igrants</w:t>
      </w:r>
      <w:r>
        <w:tab/>
      </w:r>
      <w:r>
        <w:tab/>
        <w:t>17</w:t>
      </w:r>
    </w:p>
    <w:p w:rsidR="000D798E" w:rsidRDefault="000D798E" w:rsidP="000D798E">
      <w:pPr>
        <w:tabs>
          <w:tab w:val="right" w:leader="dot" w:pos="8787"/>
          <w:tab w:val="right" w:pos="9638"/>
        </w:tabs>
        <w:spacing w:after="120"/>
        <w:ind w:left="1559" w:hanging="425"/>
      </w:pPr>
      <w:r>
        <w:t>D.</w:t>
      </w:r>
      <w:r>
        <w:tab/>
      </w:r>
      <w:r w:rsidRPr="007F4145">
        <w:rPr>
          <w:lang w:val="fr-FR"/>
        </w:rPr>
        <w:t>Lesbiennes, gays, bisexuels, transgenres et intersexués</w:t>
      </w:r>
      <w:r>
        <w:tab/>
      </w:r>
      <w:r>
        <w:tab/>
        <w:t>18</w:t>
      </w:r>
    </w:p>
    <w:p w:rsidR="000D798E" w:rsidRDefault="000D798E" w:rsidP="000D798E">
      <w:pPr>
        <w:tabs>
          <w:tab w:val="right" w:pos="850"/>
          <w:tab w:val="right" w:leader="dot" w:pos="8787"/>
          <w:tab w:val="right" w:pos="9638"/>
        </w:tabs>
        <w:spacing w:after="120"/>
        <w:ind w:left="1134" w:hanging="1134"/>
      </w:pPr>
      <w:r>
        <w:tab/>
        <w:t>VII.</w:t>
      </w:r>
      <w:r>
        <w:tab/>
      </w:r>
      <w:r w:rsidRPr="007F4145">
        <w:rPr>
          <w:lang w:val="fr-FR"/>
        </w:rPr>
        <w:t>Répercussions de la visite</w:t>
      </w:r>
      <w:r>
        <w:tab/>
      </w:r>
      <w:r>
        <w:tab/>
        <w:t>18</w:t>
      </w:r>
    </w:p>
    <w:p w:rsidR="000D798E" w:rsidRPr="00093DB3" w:rsidRDefault="000D798E" w:rsidP="000D798E">
      <w:pPr>
        <w:tabs>
          <w:tab w:val="right" w:pos="850"/>
          <w:tab w:val="right" w:leader="dot" w:pos="8787"/>
          <w:tab w:val="right" w:pos="9638"/>
        </w:tabs>
        <w:spacing w:after="120"/>
        <w:ind w:left="1134" w:hanging="1134"/>
        <w:rPr>
          <w:lang w:val="es-ES"/>
        </w:rPr>
      </w:pPr>
      <w:r>
        <w:tab/>
      </w:r>
      <w:r w:rsidRPr="00093DB3">
        <w:rPr>
          <w:lang w:val="es-ES"/>
        </w:rPr>
        <w:t>VIII.</w:t>
      </w:r>
      <w:r w:rsidRPr="00093DB3">
        <w:rPr>
          <w:lang w:val="es-ES"/>
        </w:rPr>
        <w:tab/>
      </w:r>
      <w:proofErr w:type="spellStart"/>
      <w:r w:rsidRPr="00093DB3">
        <w:rPr>
          <w:lang w:val="es-ES"/>
        </w:rPr>
        <w:t>Conclusion</w:t>
      </w:r>
      <w:proofErr w:type="spellEnd"/>
      <w:r w:rsidRPr="00093DB3">
        <w:rPr>
          <w:lang w:val="es-ES"/>
        </w:rPr>
        <w:tab/>
      </w:r>
      <w:r w:rsidRPr="00093DB3">
        <w:rPr>
          <w:lang w:val="es-ES"/>
        </w:rPr>
        <w:tab/>
        <w:t>19</w:t>
      </w:r>
    </w:p>
    <w:p w:rsidR="000D798E" w:rsidRPr="00093DB3" w:rsidRDefault="000D798E" w:rsidP="000D798E">
      <w:pPr>
        <w:tabs>
          <w:tab w:val="right" w:pos="850"/>
        </w:tabs>
        <w:spacing w:after="120"/>
        <w:rPr>
          <w:lang w:val="es-ES"/>
        </w:rPr>
      </w:pPr>
      <w:r w:rsidRPr="00093DB3">
        <w:rPr>
          <w:lang w:val="es-ES"/>
        </w:rPr>
        <w:tab/>
      </w:r>
      <w:proofErr w:type="spellStart"/>
      <w:r w:rsidRPr="00093DB3">
        <w:rPr>
          <w:lang w:val="es-ES"/>
        </w:rPr>
        <w:t>Annexes</w:t>
      </w:r>
      <w:proofErr w:type="spellEnd"/>
    </w:p>
    <w:p w:rsidR="000D798E" w:rsidRPr="00B42AF5" w:rsidRDefault="000D798E" w:rsidP="000D798E">
      <w:pPr>
        <w:tabs>
          <w:tab w:val="right" w:pos="850"/>
          <w:tab w:val="right" w:leader="dot" w:pos="8787"/>
          <w:tab w:val="right" w:pos="9638"/>
        </w:tabs>
        <w:spacing w:after="120"/>
        <w:ind w:left="1134" w:hanging="1134"/>
        <w:rPr>
          <w:lang w:val="es-ES"/>
        </w:rPr>
      </w:pPr>
      <w:r w:rsidRPr="00093DB3">
        <w:rPr>
          <w:lang w:val="es-ES"/>
        </w:rPr>
        <w:tab/>
      </w:r>
      <w:r w:rsidRPr="00B42AF5">
        <w:rPr>
          <w:lang w:val="es-ES"/>
        </w:rPr>
        <w:t>I.</w:t>
      </w:r>
      <w:r w:rsidRPr="00B42AF5">
        <w:rPr>
          <w:lang w:val="es-ES"/>
        </w:rPr>
        <w:tab/>
      </w:r>
      <w:r w:rsidRPr="00570C78">
        <w:rPr>
          <w:lang w:val="es-ES_tradnl"/>
        </w:rPr>
        <w:t>Lista de las personas con quienes se reunió el Subcomité</w:t>
      </w:r>
      <w:r w:rsidRPr="00B42AF5">
        <w:rPr>
          <w:lang w:val="es-ES"/>
        </w:rPr>
        <w:tab/>
      </w:r>
      <w:r w:rsidRPr="00B42AF5">
        <w:rPr>
          <w:lang w:val="es-ES"/>
        </w:rPr>
        <w:tab/>
      </w:r>
      <w:r>
        <w:rPr>
          <w:lang w:val="es-ES"/>
        </w:rPr>
        <w:t>20</w:t>
      </w:r>
    </w:p>
    <w:p w:rsidR="000D798E" w:rsidRDefault="000D798E" w:rsidP="000D798E">
      <w:pPr>
        <w:tabs>
          <w:tab w:val="right" w:pos="850"/>
          <w:tab w:val="right" w:leader="dot" w:pos="8787"/>
          <w:tab w:val="right" w:pos="9638"/>
        </w:tabs>
        <w:spacing w:after="120"/>
        <w:ind w:left="1134" w:hanging="1134"/>
        <w:rPr>
          <w:lang w:val="es-ES"/>
        </w:rPr>
      </w:pPr>
      <w:r w:rsidRPr="00B42AF5">
        <w:rPr>
          <w:lang w:val="es-ES"/>
        </w:rPr>
        <w:tab/>
        <w:t>II.</w:t>
      </w:r>
      <w:r w:rsidRPr="00B42AF5">
        <w:rPr>
          <w:lang w:val="es-ES"/>
        </w:rPr>
        <w:tab/>
      </w:r>
      <w:r w:rsidRPr="00570C78">
        <w:rPr>
          <w:lang w:val="es-ES_tradnl"/>
        </w:rPr>
        <w:t>Lugares de privación de libertad visitados</w:t>
      </w:r>
      <w:r w:rsidRPr="00B42AF5">
        <w:rPr>
          <w:lang w:val="es-ES"/>
        </w:rPr>
        <w:tab/>
      </w:r>
      <w:r w:rsidRPr="00B42AF5">
        <w:rPr>
          <w:lang w:val="es-ES"/>
        </w:rPr>
        <w:tab/>
      </w:r>
      <w:r>
        <w:rPr>
          <w:lang w:val="es-ES"/>
        </w:rPr>
        <w:t>23</w:t>
      </w:r>
    </w:p>
    <w:p w:rsidR="000D798E" w:rsidRPr="004E42E6" w:rsidRDefault="000D798E" w:rsidP="000D798E">
      <w:pPr>
        <w:pStyle w:val="HChG"/>
      </w:pPr>
      <w:r w:rsidRPr="00E9448B">
        <w:rPr>
          <w:lang w:val="es-ES"/>
        </w:rPr>
        <w:br w:type="page"/>
      </w:r>
      <w:bookmarkStart w:id="4" w:name="bookmark_41"/>
      <w:r w:rsidRPr="00E9448B">
        <w:rPr>
          <w:lang w:val="es-ES"/>
        </w:rPr>
        <w:lastRenderedPageBreak/>
        <w:tab/>
      </w:r>
      <w:r>
        <w:rPr>
          <w:lang w:val="fr-FR"/>
        </w:rPr>
        <w:t>I.</w:t>
      </w:r>
      <w:r>
        <w:rPr>
          <w:lang w:val="fr-FR"/>
        </w:rPr>
        <w:tab/>
      </w:r>
      <w:r w:rsidRPr="004E42E6">
        <w:rPr>
          <w:lang w:val="fr-FR"/>
        </w:rPr>
        <w:t>Introduction</w:t>
      </w:r>
      <w:bookmarkEnd w:id="4"/>
    </w:p>
    <w:p w:rsidR="000D798E" w:rsidRPr="004E42E6" w:rsidRDefault="000D798E" w:rsidP="000D798E">
      <w:pPr>
        <w:pStyle w:val="SingleTxtG"/>
      </w:pPr>
      <w:bookmarkStart w:id="5" w:name="bookmark_42"/>
      <w:r w:rsidRPr="004E42E6">
        <w:rPr>
          <w:lang w:val="fr-FR"/>
        </w:rPr>
        <w:t>1.</w:t>
      </w:r>
      <w:r w:rsidRPr="004E42E6">
        <w:rPr>
          <w:lang w:val="fr-FR"/>
        </w:rPr>
        <w:tab/>
        <w:t>Conformément aux dispositions du Protocole facultatif se rapportant à la Convention contre la torture et autres peines ou traitements cruels, i</w:t>
      </w:r>
      <w:r>
        <w:rPr>
          <w:lang w:val="fr-FR"/>
        </w:rPr>
        <w:t>nhumains ou dégradants, le Sous</w:t>
      </w:r>
      <w:r>
        <w:rPr>
          <w:lang w:val="fr-FR"/>
        </w:rPr>
        <w:noBreakHyphen/>
      </w:r>
      <w:r w:rsidRPr="004E42E6">
        <w:rPr>
          <w:lang w:val="fr-FR"/>
        </w:rPr>
        <w:t>Comité a effectué sa première visite au Panama du 20 au 26</w:t>
      </w:r>
      <w:r>
        <w:rPr>
          <w:lang w:val="fr-FR"/>
        </w:rPr>
        <w:t> </w:t>
      </w:r>
      <w:r w:rsidRPr="004E42E6">
        <w:rPr>
          <w:lang w:val="fr-FR"/>
        </w:rPr>
        <w:t>août 2017.</w:t>
      </w:r>
      <w:bookmarkEnd w:id="5"/>
    </w:p>
    <w:p w:rsidR="000D798E" w:rsidRPr="004E42E6" w:rsidRDefault="000D798E" w:rsidP="000D798E">
      <w:pPr>
        <w:pStyle w:val="SingleTxtG"/>
      </w:pPr>
      <w:bookmarkStart w:id="6" w:name="bookmark_43"/>
      <w:r w:rsidRPr="004E42E6">
        <w:rPr>
          <w:lang w:val="fr-FR"/>
        </w:rPr>
        <w:t>2.</w:t>
      </w:r>
      <w:r w:rsidRPr="004E42E6">
        <w:rPr>
          <w:lang w:val="fr-FR"/>
        </w:rPr>
        <w:tab/>
      </w:r>
      <w:r>
        <w:rPr>
          <w:lang w:val="fr-FR"/>
        </w:rPr>
        <w:t>Il</w:t>
      </w:r>
      <w:r w:rsidRPr="004E42E6">
        <w:rPr>
          <w:lang w:val="fr-FR"/>
        </w:rPr>
        <w:t xml:space="preserve"> était représenté par M</w:t>
      </w:r>
      <w:r w:rsidRPr="005B2AE8">
        <w:rPr>
          <w:vertAlign w:val="superscript"/>
          <w:lang w:val="fr-FR"/>
        </w:rPr>
        <w:t>me</w:t>
      </w:r>
      <w:r>
        <w:rPr>
          <w:lang w:val="fr-FR"/>
        </w:rPr>
        <w:t> </w:t>
      </w:r>
      <w:r w:rsidRPr="004E42E6">
        <w:rPr>
          <w:lang w:val="fr-FR"/>
        </w:rPr>
        <w:t>Lorena</w:t>
      </w:r>
      <w:r>
        <w:rPr>
          <w:lang w:val="fr-FR"/>
        </w:rPr>
        <w:t> </w:t>
      </w:r>
      <w:r w:rsidRPr="004E42E6">
        <w:rPr>
          <w:lang w:val="fr-FR"/>
        </w:rPr>
        <w:t>González</w:t>
      </w:r>
      <w:r>
        <w:rPr>
          <w:lang w:val="fr-FR"/>
        </w:rPr>
        <w:t> </w:t>
      </w:r>
      <w:r w:rsidRPr="004E42E6">
        <w:rPr>
          <w:lang w:val="fr-FR"/>
        </w:rPr>
        <w:t>Pinto (cheffe de la</w:t>
      </w:r>
      <w:r>
        <w:rPr>
          <w:lang w:val="fr-FR"/>
        </w:rPr>
        <w:t xml:space="preserve"> délégation), </w:t>
      </w:r>
      <w:r w:rsidRPr="00093DB3">
        <w:rPr>
          <w:spacing w:val="-3"/>
          <w:lang w:val="fr-FR"/>
        </w:rPr>
        <w:t>M. Felipe Villavicencio </w:t>
      </w:r>
      <w:proofErr w:type="spellStart"/>
      <w:r w:rsidRPr="00093DB3">
        <w:rPr>
          <w:spacing w:val="-3"/>
          <w:lang w:val="fr-FR"/>
        </w:rPr>
        <w:t>Terreros</w:t>
      </w:r>
      <w:proofErr w:type="spellEnd"/>
      <w:r w:rsidRPr="00093DB3">
        <w:rPr>
          <w:spacing w:val="-3"/>
          <w:lang w:val="fr-FR"/>
        </w:rPr>
        <w:t>, M. Roberto </w:t>
      </w:r>
      <w:proofErr w:type="spellStart"/>
      <w:r w:rsidRPr="00093DB3">
        <w:rPr>
          <w:spacing w:val="-3"/>
          <w:lang w:val="fr-FR"/>
        </w:rPr>
        <w:t>Fehér</w:t>
      </w:r>
      <w:proofErr w:type="spellEnd"/>
      <w:r w:rsidRPr="00093DB3">
        <w:rPr>
          <w:spacing w:val="-3"/>
          <w:lang w:val="fr-FR"/>
        </w:rPr>
        <w:t> Pérez et M</w:t>
      </w:r>
      <w:r w:rsidRPr="00093DB3">
        <w:rPr>
          <w:spacing w:val="-3"/>
          <w:vertAlign w:val="superscript"/>
          <w:lang w:val="fr-FR"/>
        </w:rPr>
        <w:t>me</w:t>
      </w:r>
      <w:r w:rsidRPr="00093DB3">
        <w:rPr>
          <w:spacing w:val="-3"/>
          <w:lang w:val="fr-FR"/>
        </w:rPr>
        <w:t> Nora </w:t>
      </w:r>
      <w:proofErr w:type="spellStart"/>
      <w:r w:rsidRPr="00093DB3">
        <w:rPr>
          <w:spacing w:val="-3"/>
          <w:lang w:val="fr-FR"/>
        </w:rPr>
        <w:t>Sveaass</w:t>
      </w:r>
      <w:proofErr w:type="spellEnd"/>
      <w:r w:rsidRPr="00093DB3">
        <w:rPr>
          <w:spacing w:val="-3"/>
          <w:lang w:val="fr-FR"/>
        </w:rPr>
        <w:t>. La</w:t>
      </w:r>
      <w:r>
        <w:rPr>
          <w:spacing w:val="-3"/>
          <w:lang w:val="fr-FR"/>
        </w:rPr>
        <w:t xml:space="preserve"> </w:t>
      </w:r>
      <w:r w:rsidRPr="00093DB3">
        <w:rPr>
          <w:spacing w:val="-3"/>
          <w:lang w:val="fr-FR"/>
        </w:rPr>
        <w:t>délégation</w:t>
      </w:r>
      <w:r w:rsidRPr="004E42E6">
        <w:rPr>
          <w:lang w:val="fr-FR"/>
        </w:rPr>
        <w:t xml:space="preserve"> était assistée de deux spécialistes des droits de l</w:t>
      </w:r>
      <w:r>
        <w:rPr>
          <w:lang w:val="fr-FR"/>
        </w:rPr>
        <w:t>’</w:t>
      </w:r>
      <w:r w:rsidRPr="004E42E6">
        <w:rPr>
          <w:lang w:val="fr-FR"/>
        </w:rPr>
        <w:t>homme et de deux agents de sécurité du Haut-Commissariat des Nations Unies aux droits de l</w:t>
      </w:r>
      <w:r>
        <w:rPr>
          <w:lang w:val="fr-FR"/>
        </w:rPr>
        <w:t>’</w:t>
      </w:r>
      <w:r w:rsidRPr="004E42E6">
        <w:rPr>
          <w:lang w:val="fr-FR"/>
        </w:rPr>
        <w:t xml:space="preserve">homme. </w:t>
      </w:r>
      <w:bookmarkEnd w:id="6"/>
    </w:p>
    <w:p w:rsidR="000D798E" w:rsidRPr="004E42E6" w:rsidRDefault="000D798E" w:rsidP="000D798E">
      <w:pPr>
        <w:pStyle w:val="SingleTxtG"/>
      </w:pPr>
      <w:bookmarkStart w:id="7" w:name="bookmark_44"/>
      <w:r w:rsidRPr="004E42E6">
        <w:rPr>
          <w:lang w:val="fr-FR"/>
        </w:rPr>
        <w:t>3.</w:t>
      </w:r>
      <w:r w:rsidRPr="004E42E6">
        <w:rPr>
          <w:lang w:val="fr-FR"/>
        </w:rPr>
        <w:tab/>
      </w:r>
      <w:r>
        <w:rPr>
          <w:lang w:val="fr-FR"/>
        </w:rPr>
        <w:t>La</w:t>
      </w:r>
      <w:r w:rsidRPr="004E42E6">
        <w:rPr>
          <w:lang w:val="fr-FR"/>
        </w:rPr>
        <w:t xml:space="preserve"> visite </w:t>
      </w:r>
      <w:r>
        <w:rPr>
          <w:lang w:val="fr-FR"/>
        </w:rPr>
        <w:t>visait principalement</w:t>
      </w:r>
      <w:r w:rsidRPr="004E42E6">
        <w:rPr>
          <w:lang w:val="fr-FR"/>
        </w:rPr>
        <w:t xml:space="preserve"> à analyser </w:t>
      </w:r>
      <w:r>
        <w:rPr>
          <w:lang w:val="fr-FR"/>
        </w:rPr>
        <w:t>la</w:t>
      </w:r>
      <w:r w:rsidRPr="004E42E6">
        <w:rPr>
          <w:lang w:val="fr-FR"/>
        </w:rPr>
        <w:t xml:space="preserve"> mise en œuvre de la loi n</w:t>
      </w:r>
      <w:r w:rsidRPr="005B2AE8">
        <w:rPr>
          <w:vertAlign w:val="superscript"/>
          <w:lang w:val="fr-FR"/>
        </w:rPr>
        <w:t>o</w:t>
      </w:r>
      <w:r>
        <w:rPr>
          <w:lang w:val="fr-FR"/>
        </w:rPr>
        <w:t> 6 du 22 février 2017, qui prévoi</w:t>
      </w:r>
      <w:r w:rsidRPr="004E42E6">
        <w:rPr>
          <w:lang w:val="fr-FR"/>
        </w:rPr>
        <w:t>t la création du mécanisme national de prévention, et à fournir des conseils techniques aux institutions concernées, conformément au paragraphe</w:t>
      </w:r>
      <w:r>
        <w:rPr>
          <w:lang w:val="fr-FR"/>
        </w:rPr>
        <w:t> </w:t>
      </w:r>
      <w:r w:rsidRPr="004E42E6">
        <w:rPr>
          <w:lang w:val="fr-FR"/>
        </w:rPr>
        <w:t>b)</w:t>
      </w:r>
      <w:r>
        <w:rPr>
          <w:lang w:val="fr-FR"/>
        </w:rPr>
        <w:t> </w:t>
      </w:r>
      <w:r w:rsidRPr="004E42E6">
        <w:rPr>
          <w:lang w:val="fr-FR"/>
        </w:rPr>
        <w:t>i) de l</w:t>
      </w:r>
      <w:r>
        <w:rPr>
          <w:lang w:val="fr-FR"/>
        </w:rPr>
        <w:t>’</w:t>
      </w:r>
      <w:r w:rsidRPr="004E42E6">
        <w:rPr>
          <w:lang w:val="fr-FR"/>
        </w:rPr>
        <w:t>article</w:t>
      </w:r>
      <w:r>
        <w:rPr>
          <w:lang w:val="fr-FR"/>
        </w:rPr>
        <w:t> </w:t>
      </w:r>
      <w:r w:rsidRPr="004E42E6">
        <w:rPr>
          <w:lang w:val="fr-FR"/>
        </w:rPr>
        <w:t>11 du Protocole facultatif.</w:t>
      </w:r>
      <w:r>
        <w:rPr>
          <w:lang w:val="fr-FR"/>
        </w:rPr>
        <w:t xml:space="preserve"> </w:t>
      </w:r>
      <w:bookmarkEnd w:id="7"/>
    </w:p>
    <w:p w:rsidR="000D798E" w:rsidRPr="004E42E6" w:rsidRDefault="000D798E" w:rsidP="000D798E">
      <w:pPr>
        <w:pStyle w:val="SingleTxtG"/>
      </w:pPr>
      <w:bookmarkStart w:id="8" w:name="bookmark_45"/>
      <w:r w:rsidRPr="004E42E6">
        <w:rPr>
          <w:lang w:val="fr-FR"/>
        </w:rPr>
        <w:t>4.</w:t>
      </w:r>
      <w:r w:rsidRPr="004E42E6">
        <w:rPr>
          <w:lang w:val="fr-FR"/>
        </w:rPr>
        <w:tab/>
        <w:t xml:space="preserve">Au cours de la visite, le Sous-Comité a tenu des réunions avec les autorités des trois branches du pouvoir de </w:t>
      </w:r>
      <w:r>
        <w:rPr>
          <w:lang w:val="fr-FR"/>
        </w:rPr>
        <w:t>l’État, le Bureau du D</w:t>
      </w:r>
      <w:r w:rsidRPr="004E42E6">
        <w:rPr>
          <w:lang w:val="fr-FR"/>
        </w:rPr>
        <w:t>éfenseur du peuple, des représentants de la société civile et des fonctionnaires d</w:t>
      </w:r>
      <w:r>
        <w:rPr>
          <w:lang w:val="fr-FR"/>
        </w:rPr>
        <w:t>’</w:t>
      </w:r>
      <w:r w:rsidRPr="004E42E6">
        <w:rPr>
          <w:lang w:val="fr-FR"/>
        </w:rPr>
        <w:t>organismes des Nations Unies</w:t>
      </w:r>
      <w:r w:rsidRPr="004D62C4">
        <w:rPr>
          <w:rStyle w:val="Appelnotedebasdep"/>
        </w:rPr>
        <w:footnoteReference w:id="5"/>
      </w:r>
      <w:r w:rsidRPr="004E42E6">
        <w:rPr>
          <w:lang w:val="fr-FR"/>
        </w:rPr>
        <w:t>. Il a également visité 13</w:t>
      </w:r>
      <w:r>
        <w:rPr>
          <w:lang w:val="fr-FR"/>
        </w:rPr>
        <w:t> </w:t>
      </w:r>
      <w:r w:rsidRPr="004E42E6">
        <w:rPr>
          <w:lang w:val="fr-FR"/>
        </w:rPr>
        <w:t xml:space="preserve">lieux de </w:t>
      </w:r>
      <w:r w:rsidRPr="00CB398F">
        <w:rPr>
          <w:bCs/>
          <w:iCs/>
          <w:lang w:val="fr-FR"/>
        </w:rPr>
        <w:t>détention</w:t>
      </w:r>
      <w:r>
        <w:rPr>
          <w:bCs/>
          <w:iCs/>
          <w:lang w:val="fr-FR"/>
        </w:rPr>
        <w:t xml:space="preserve"> situés</w:t>
      </w:r>
      <w:r w:rsidRPr="004E42E6">
        <w:rPr>
          <w:b/>
          <w:bCs/>
          <w:i/>
          <w:iCs/>
          <w:lang w:val="fr-FR"/>
        </w:rPr>
        <w:t xml:space="preserve"> </w:t>
      </w:r>
      <w:r w:rsidRPr="004E42E6">
        <w:rPr>
          <w:lang w:val="fr-FR"/>
        </w:rPr>
        <w:t xml:space="preserve">dans les villes de </w:t>
      </w:r>
      <w:r w:rsidRPr="00CB398F">
        <w:rPr>
          <w:bCs/>
          <w:iCs/>
          <w:lang w:val="fr-FR"/>
        </w:rPr>
        <w:t>Panama</w:t>
      </w:r>
      <w:r w:rsidRPr="004E42E6">
        <w:rPr>
          <w:b/>
          <w:bCs/>
          <w:i/>
          <w:iCs/>
          <w:lang w:val="fr-FR"/>
        </w:rPr>
        <w:t xml:space="preserve"> </w:t>
      </w:r>
      <w:r>
        <w:rPr>
          <w:lang w:val="fr-FR"/>
        </w:rPr>
        <w:t>et de Coló</w:t>
      </w:r>
      <w:r w:rsidRPr="004E42E6">
        <w:rPr>
          <w:lang w:val="fr-FR"/>
        </w:rPr>
        <w:t>n</w:t>
      </w:r>
      <w:r w:rsidRPr="004D62C4">
        <w:rPr>
          <w:rStyle w:val="Appelnotedebasdep"/>
        </w:rPr>
        <w:footnoteReference w:id="6"/>
      </w:r>
      <w:r w:rsidRPr="004E42E6">
        <w:rPr>
          <w:lang w:val="fr-FR"/>
        </w:rPr>
        <w:t>.</w:t>
      </w:r>
      <w:r>
        <w:rPr>
          <w:lang w:val="fr-FR"/>
        </w:rPr>
        <w:t xml:space="preserve"> </w:t>
      </w:r>
      <w:bookmarkEnd w:id="8"/>
    </w:p>
    <w:p w:rsidR="000D798E" w:rsidRPr="004E42E6" w:rsidRDefault="000D798E" w:rsidP="000D798E">
      <w:pPr>
        <w:pStyle w:val="SingleTxtG"/>
      </w:pPr>
      <w:bookmarkStart w:id="10" w:name="bookmark_48"/>
      <w:r w:rsidRPr="004E42E6">
        <w:rPr>
          <w:lang w:val="fr-FR"/>
        </w:rPr>
        <w:t>5.</w:t>
      </w:r>
      <w:r w:rsidRPr="004E42E6">
        <w:rPr>
          <w:lang w:val="fr-FR"/>
        </w:rPr>
        <w:tab/>
        <w:t>Le Sous-Comité a accueilli avec satisfaction une série de faits nouveaux législatifs et institutionnels concernant les droits de l</w:t>
      </w:r>
      <w:r>
        <w:rPr>
          <w:lang w:val="fr-FR"/>
        </w:rPr>
        <w:t>’</w:t>
      </w:r>
      <w:r w:rsidRPr="004E42E6">
        <w:rPr>
          <w:lang w:val="fr-FR"/>
        </w:rPr>
        <w:t xml:space="preserve">homme, </w:t>
      </w:r>
      <w:r>
        <w:rPr>
          <w:lang w:val="fr-FR"/>
        </w:rPr>
        <w:t xml:space="preserve">comme l’adoption de la </w:t>
      </w:r>
      <w:r w:rsidRPr="004E42E6">
        <w:rPr>
          <w:lang w:val="fr-FR"/>
        </w:rPr>
        <w:t>loi n</w:t>
      </w:r>
      <w:r w:rsidRPr="005B2AE8">
        <w:rPr>
          <w:vertAlign w:val="superscript"/>
          <w:lang w:val="fr-FR"/>
        </w:rPr>
        <w:t>o</w:t>
      </w:r>
      <w:r>
        <w:rPr>
          <w:lang w:val="fr-FR"/>
        </w:rPr>
        <w:t> </w:t>
      </w:r>
      <w:r w:rsidRPr="004E42E6">
        <w:rPr>
          <w:lang w:val="fr-FR"/>
        </w:rPr>
        <w:t>6 de 2017, qui prévoit la création du mécanisme nation</w:t>
      </w:r>
      <w:r>
        <w:rPr>
          <w:lang w:val="fr-FR"/>
        </w:rPr>
        <w:t xml:space="preserve">al de prévention et de la </w:t>
      </w:r>
      <w:r w:rsidRPr="004E42E6">
        <w:rPr>
          <w:lang w:val="fr-FR"/>
        </w:rPr>
        <w:t>loi n</w:t>
      </w:r>
      <w:r w:rsidRPr="005B2AE8">
        <w:rPr>
          <w:vertAlign w:val="superscript"/>
          <w:lang w:val="fr-FR"/>
        </w:rPr>
        <w:t>o</w:t>
      </w:r>
      <w:r>
        <w:rPr>
          <w:lang w:val="fr-FR"/>
        </w:rPr>
        <w:t> </w:t>
      </w:r>
      <w:r w:rsidRPr="004E42E6">
        <w:rPr>
          <w:lang w:val="fr-FR"/>
        </w:rPr>
        <w:t xml:space="preserve">42 de 2016, relative aux carrières des fonctionnaires pénitentiaires et qui est entrée en vigueur en septembre 2017. </w:t>
      </w:r>
      <w:r>
        <w:rPr>
          <w:lang w:val="fr-FR"/>
        </w:rPr>
        <w:t>Il</w:t>
      </w:r>
      <w:r w:rsidRPr="004E42E6">
        <w:rPr>
          <w:lang w:val="fr-FR"/>
        </w:rPr>
        <w:t xml:space="preserve"> a également accueilli avec satisfaction </w:t>
      </w:r>
      <w:r>
        <w:rPr>
          <w:lang w:val="fr-FR"/>
        </w:rPr>
        <w:t>l’action menée</w:t>
      </w:r>
      <w:r w:rsidRPr="004E42E6">
        <w:rPr>
          <w:lang w:val="fr-FR"/>
        </w:rPr>
        <w:t xml:space="preserve"> pour remplacer la procédure inquisitoire par un système accusatoire, qui a des répercussions positives sur l</w:t>
      </w:r>
      <w:r>
        <w:rPr>
          <w:lang w:val="fr-FR"/>
        </w:rPr>
        <w:t>’</w:t>
      </w:r>
      <w:r w:rsidRPr="004E42E6">
        <w:rPr>
          <w:lang w:val="fr-FR"/>
        </w:rPr>
        <w:t>administration de la justice pénale.</w:t>
      </w:r>
      <w:r>
        <w:rPr>
          <w:lang w:val="fr-FR"/>
        </w:rPr>
        <w:t xml:space="preserve"> </w:t>
      </w:r>
      <w:bookmarkEnd w:id="10"/>
    </w:p>
    <w:p w:rsidR="000D798E" w:rsidRPr="004E42E6" w:rsidRDefault="000D798E" w:rsidP="000D798E">
      <w:pPr>
        <w:pStyle w:val="SingleTxtG"/>
      </w:pPr>
      <w:bookmarkStart w:id="11" w:name="bookmark_49"/>
      <w:r w:rsidRPr="004E42E6">
        <w:rPr>
          <w:lang w:val="fr-FR"/>
        </w:rPr>
        <w:t>6.</w:t>
      </w:r>
      <w:r w:rsidRPr="004E42E6">
        <w:rPr>
          <w:lang w:val="fr-FR"/>
        </w:rPr>
        <w:tab/>
      </w:r>
      <w:r>
        <w:rPr>
          <w:lang w:val="fr-FR"/>
        </w:rPr>
        <w:t>Il</w:t>
      </w:r>
      <w:r w:rsidRPr="004E42E6">
        <w:rPr>
          <w:lang w:val="fr-FR"/>
        </w:rPr>
        <w:t xml:space="preserve"> a </w:t>
      </w:r>
      <w:r>
        <w:rPr>
          <w:lang w:val="fr-FR"/>
        </w:rPr>
        <w:t>aussi</w:t>
      </w:r>
      <w:r w:rsidRPr="004E42E6">
        <w:rPr>
          <w:lang w:val="fr-FR"/>
        </w:rPr>
        <w:t xml:space="preserve"> pris note avec satisfaction </w:t>
      </w:r>
      <w:r>
        <w:rPr>
          <w:lang w:val="fr-FR"/>
        </w:rPr>
        <w:t>de ce qui a été fait</w:t>
      </w:r>
      <w:r w:rsidRPr="004E42E6">
        <w:rPr>
          <w:lang w:val="fr-FR"/>
        </w:rPr>
        <w:t xml:space="preserve"> ces dernières années par le</w:t>
      </w:r>
      <w:r>
        <w:rPr>
          <w:lang w:val="fr-FR"/>
        </w:rPr>
        <w:t> </w:t>
      </w:r>
      <w:r w:rsidRPr="004E42E6">
        <w:rPr>
          <w:lang w:val="fr-FR"/>
        </w:rPr>
        <w:t>Ministère de l</w:t>
      </w:r>
      <w:r>
        <w:rPr>
          <w:lang w:val="fr-FR"/>
        </w:rPr>
        <w:t>’</w:t>
      </w:r>
      <w:r w:rsidRPr="004E42E6">
        <w:rPr>
          <w:lang w:val="fr-FR"/>
        </w:rPr>
        <w:t>intérieur, avec l</w:t>
      </w:r>
      <w:r>
        <w:rPr>
          <w:lang w:val="fr-FR"/>
        </w:rPr>
        <w:t>’</w:t>
      </w:r>
      <w:r w:rsidRPr="004E42E6">
        <w:rPr>
          <w:lang w:val="fr-FR"/>
        </w:rPr>
        <w:t>appui de certains organismes des Nations Unies, pour améliorer la situation des détenus, notamment le renforcement de l</w:t>
      </w:r>
      <w:r>
        <w:rPr>
          <w:lang w:val="fr-FR"/>
        </w:rPr>
        <w:t>’</w:t>
      </w:r>
      <w:r w:rsidRPr="004E42E6">
        <w:rPr>
          <w:lang w:val="fr-FR"/>
        </w:rPr>
        <w:t>Académie de formation pénitentiaire, la construction de nouveaux établissements pénitentiaires ou</w:t>
      </w:r>
      <w:r>
        <w:rPr>
          <w:lang w:val="fr-FR"/>
        </w:rPr>
        <w:t xml:space="preserve"> la publication d’</w:t>
      </w:r>
      <w:r w:rsidRPr="004E42E6">
        <w:rPr>
          <w:lang w:val="fr-FR"/>
        </w:rPr>
        <w:t>appel</w:t>
      </w:r>
      <w:r>
        <w:rPr>
          <w:lang w:val="fr-FR"/>
        </w:rPr>
        <w:t>s</w:t>
      </w:r>
      <w:r w:rsidRPr="004E42E6">
        <w:rPr>
          <w:lang w:val="fr-FR"/>
        </w:rPr>
        <w:t xml:space="preserve"> d</w:t>
      </w:r>
      <w:r>
        <w:rPr>
          <w:lang w:val="fr-FR"/>
        </w:rPr>
        <w:t>’</w:t>
      </w:r>
      <w:r w:rsidRPr="004E42E6">
        <w:rPr>
          <w:lang w:val="fr-FR"/>
        </w:rPr>
        <w:t>offres à cet effet, ainsi que l</w:t>
      </w:r>
      <w:r>
        <w:rPr>
          <w:lang w:val="fr-FR"/>
        </w:rPr>
        <w:t>’</w:t>
      </w:r>
      <w:r w:rsidRPr="004E42E6">
        <w:rPr>
          <w:lang w:val="fr-FR"/>
        </w:rPr>
        <w:t>adoption d</w:t>
      </w:r>
      <w:r>
        <w:rPr>
          <w:lang w:val="fr-FR"/>
        </w:rPr>
        <w:t>’</w:t>
      </w:r>
      <w:r w:rsidRPr="004E42E6">
        <w:rPr>
          <w:lang w:val="fr-FR"/>
        </w:rPr>
        <w:t>un protocole concernant l</w:t>
      </w:r>
      <w:r>
        <w:rPr>
          <w:lang w:val="fr-FR"/>
        </w:rPr>
        <w:t>’</w:t>
      </w:r>
      <w:r w:rsidRPr="004E42E6">
        <w:rPr>
          <w:lang w:val="fr-FR"/>
        </w:rPr>
        <w:t>accès des organisations de défense des droits de l</w:t>
      </w:r>
      <w:r>
        <w:rPr>
          <w:lang w:val="fr-FR"/>
        </w:rPr>
        <w:t>’</w:t>
      </w:r>
      <w:r w:rsidRPr="004E42E6">
        <w:rPr>
          <w:lang w:val="fr-FR"/>
        </w:rPr>
        <w:t>homme aux établissement</w:t>
      </w:r>
      <w:r>
        <w:rPr>
          <w:lang w:val="fr-FR"/>
        </w:rPr>
        <w:t>s</w:t>
      </w:r>
      <w:r w:rsidRPr="004E42E6">
        <w:rPr>
          <w:lang w:val="fr-FR"/>
        </w:rPr>
        <w:t xml:space="preserve"> pénitentiaires.</w:t>
      </w:r>
      <w:bookmarkEnd w:id="11"/>
    </w:p>
    <w:p w:rsidR="000D798E" w:rsidRPr="004E42E6" w:rsidRDefault="000D798E" w:rsidP="000D798E">
      <w:pPr>
        <w:pStyle w:val="SingleTxtG"/>
      </w:pPr>
      <w:bookmarkStart w:id="12" w:name="bookmark_50"/>
      <w:r w:rsidRPr="004E42E6">
        <w:rPr>
          <w:lang w:val="fr-FR"/>
        </w:rPr>
        <w:t>7</w:t>
      </w:r>
      <w:r w:rsidR="00E9448B">
        <w:rPr>
          <w:lang w:val="fr-FR"/>
        </w:rPr>
        <w:t>.</w:t>
      </w:r>
      <w:r w:rsidRPr="004E42E6">
        <w:rPr>
          <w:lang w:val="fr-FR"/>
        </w:rPr>
        <w:tab/>
        <w:t>Le Sous-Comité tient à remercier les autorités panaméennes, qui ont facilité la visite de sa délégation et coopéré avec ses membres. La délégation a eu accès aux lieux de détention rapidement et librement,</w:t>
      </w:r>
      <w:r>
        <w:rPr>
          <w:lang w:val="fr-FR"/>
        </w:rPr>
        <w:t xml:space="preserve"> a pu rencontrer librement les</w:t>
      </w:r>
      <w:r w:rsidRPr="004E42E6">
        <w:rPr>
          <w:lang w:val="fr-FR"/>
        </w:rPr>
        <w:t xml:space="preserve"> personnes privées de liberté avec lesquelles elle souhaitait s</w:t>
      </w:r>
      <w:r>
        <w:rPr>
          <w:lang w:val="fr-FR"/>
        </w:rPr>
        <w:t>’</w:t>
      </w:r>
      <w:r w:rsidRPr="004E42E6">
        <w:rPr>
          <w:lang w:val="fr-FR"/>
        </w:rPr>
        <w:t xml:space="preserve">entretenir en privé, </w:t>
      </w:r>
      <w:r>
        <w:rPr>
          <w:lang w:val="fr-FR"/>
        </w:rPr>
        <w:t>et pu consulter</w:t>
      </w:r>
      <w:r w:rsidRPr="004E42E6">
        <w:rPr>
          <w:lang w:val="fr-FR"/>
        </w:rPr>
        <w:t xml:space="preserve"> </w:t>
      </w:r>
      <w:r>
        <w:rPr>
          <w:lang w:val="fr-FR"/>
        </w:rPr>
        <w:t xml:space="preserve">les </w:t>
      </w:r>
      <w:r w:rsidRPr="004E42E6">
        <w:rPr>
          <w:lang w:val="fr-FR"/>
        </w:rPr>
        <w:t xml:space="preserve">rapports et </w:t>
      </w:r>
      <w:r>
        <w:rPr>
          <w:lang w:val="fr-FR"/>
        </w:rPr>
        <w:t>les</w:t>
      </w:r>
      <w:r w:rsidRPr="004E42E6">
        <w:rPr>
          <w:lang w:val="fr-FR"/>
        </w:rPr>
        <w:t xml:space="preserve"> registres qu</w:t>
      </w:r>
      <w:r>
        <w:rPr>
          <w:lang w:val="fr-FR"/>
        </w:rPr>
        <w:t>’</w:t>
      </w:r>
      <w:r w:rsidRPr="004E42E6">
        <w:rPr>
          <w:lang w:val="fr-FR"/>
        </w:rPr>
        <w:t>elle avait demandé</w:t>
      </w:r>
      <w:r>
        <w:rPr>
          <w:lang w:val="fr-FR"/>
        </w:rPr>
        <w:t>s</w:t>
      </w:r>
      <w:r w:rsidRPr="004E42E6">
        <w:rPr>
          <w:lang w:val="fr-FR"/>
        </w:rPr>
        <w:t xml:space="preserve"> à </w:t>
      </w:r>
      <w:r>
        <w:rPr>
          <w:lang w:val="fr-FR"/>
        </w:rPr>
        <w:t>voir</w:t>
      </w:r>
      <w:r w:rsidRPr="004E42E6">
        <w:rPr>
          <w:lang w:val="fr-FR"/>
        </w:rPr>
        <w:t xml:space="preserve">. </w:t>
      </w:r>
      <w:bookmarkEnd w:id="12"/>
    </w:p>
    <w:p w:rsidR="000D798E" w:rsidRPr="004E42E6" w:rsidRDefault="000D798E" w:rsidP="000D798E">
      <w:pPr>
        <w:pStyle w:val="SingleTxtG"/>
      </w:pPr>
      <w:bookmarkStart w:id="13" w:name="bookmark_51"/>
      <w:r w:rsidRPr="004E42E6">
        <w:rPr>
          <w:lang w:val="fr-FR"/>
        </w:rPr>
        <w:t>8.</w:t>
      </w:r>
      <w:r w:rsidRPr="004E42E6">
        <w:rPr>
          <w:lang w:val="fr-FR"/>
        </w:rPr>
        <w:tab/>
        <w:t>À l</w:t>
      </w:r>
      <w:r>
        <w:rPr>
          <w:lang w:val="fr-FR"/>
        </w:rPr>
        <w:t>’</w:t>
      </w:r>
      <w:r w:rsidRPr="004E42E6">
        <w:rPr>
          <w:lang w:val="fr-FR"/>
        </w:rPr>
        <w:t xml:space="preserve">issue de la visite, le Sous-Comité a présenté ses observations préliminaires confidentielles aux autorités. Dans le présent rapport, </w:t>
      </w:r>
      <w:r>
        <w:rPr>
          <w:lang w:val="fr-FR"/>
        </w:rPr>
        <w:t>il</w:t>
      </w:r>
      <w:r w:rsidRPr="004E42E6">
        <w:rPr>
          <w:lang w:val="fr-FR"/>
        </w:rPr>
        <w:t xml:space="preserve"> expose ses conclusions et recommandations concernant la mise en </w:t>
      </w:r>
      <w:r>
        <w:rPr>
          <w:lang w:val="fr-FR"/>
        </w:rPr>
        <w:t>place dans l’État partie</w:t>
      </w:r>
      <w:r w:rsidRPr="004E42E6">
        <w:rPr>
          <w:lang w:val="fr-FR"/>
        </w:rPr>
        <w:t xml:space="preserve"> du mécanisme national de prévention de la torture et des mauvais traitements à l</w:t>
      </w:r>
      <w:r>
        <w:rPr>
          <w:lang w:val="fr-FR"/>
        </w:rPr>
        <w:t>’</w:t>
      </w:r>
      <w:r w:rsidRPr="004E42E6">
        <w:rPr>
          <w:lang w:val="fr-FR"/>
        </w:rPr>
        <w:t>encontre des personnes privées de lib</w:t>
      </w:r>
      <w:r>
        <w:rPr>
          <w:lang w:val="fr-FR"/>
        </w:rPr>
        <w:t>erté</w:t>
      </w:r>
      <w:r w:rsidRPr="004E42E6">
        <w:rPr>
          <w:lang w:val="fr-FR"/>
        </w:rPr>
        <w:t>. L</w:t>
      </w:r>
      <w:r>
        <w:rPr>
          <w:lang w:val="fr-FR"/>
        </w:rPr>
        <w:t>’</w:t>
      </w:r>
      <w:r w:rsidRPr="004E42E6">
        <w:rPr>
          <w:lang w:val="fr-FR"/>
        </w:rPr>
        <w:t>expression «</w:t>
      </w:r>
      <w:r>
        <w:rPr>
          <w:lang w:val="fr-FR"/>
        </w:rPr>
        <w:t> </w:t>
      </w:r>
      <w:r w:rsidRPr="004E42E6">
        <w:rPr>
          <w:lang w:val="fr-FR"/>
        </w:rPr>
        <w:t>mauvais traitements</w:t>
      </w:r>
      <w:r>
        <w:rPr>
          <w:lang w:val="fr-FR"/>
        </w:rPr>
        <w:t> </w:t>
      </w:r>
      <w:r w:rsidRPr="004E42E6">
        <w:rPr>
          <w:lang w:val="fr-FR"/>
        </w:rPr>
        <w:t>» est utilisée au sens large pour faire référence à toutes les formes de peines ou de traitements cruels, inhumains ou dégradants</w:t>
      </w:r>
      <w:r w:rsidRPr="004D62C4">
        <w:rPr>
          <w:rStyle w:val="Appelnotedebasdep"/>
        </w:rPr>
        <w:footnoteReference w:id="7"/>
      </w:r>
      <w:r w:rsidRPr="004E42E6">
        <w:rPr>
          <w:lang w:val="fr-FR"/>
        </w:rPr>
        <w:t>.</w:t>
      </w:r>
      <w:bookmarkEnd w:id="13"/>
    </w:p>
    <w:p w:rsidR="000D798E" w:rsidRPr="00CB398F" w:rsidRDefault="000D798E" w:rsidP="000D798E">
      <w:pPr>
        <w:pStyle w:val="SingleTxtG"/>
        <w:rPr>
          <w:b/>
        </w:rPr>
      </w:pPr>
      <w:bookmarkStart w:id="15" w:name="bookmark_53"/>
      <w:r w:rsidRPr="00301C42">
        <w:rPr>
          <w:lang w:val="fr-FR"/>
        </w:rPr>
        <w:t>9.</w:t>
      </w:r>
      <w:r w:rsidRPr="00CB398F">
        <w:rPr>
          <w:b/>
          <w:lang w:val="fr-FR"/>
        </w:rPr>
        <w:tab/>
        <w:t>Le Sous-Comité demande aux autorités de l</w:t>
      </w:r>
      <w:r>
        <w:rPr>
          <w:b/>
          <w:lang w:val="fr-FR"/>
        </w:rPr>
        <w:t>’</w:t>
      </w:r>
      <w:r w:rsidRPr="00CB398F">
        <w:rPr>
          <w:b/>
          <w:lang w:val="fr-FR"/>
        </w:rPr>
        <w:t>État partie de lui rendre compte de manière détaillée, dans les six mois qui suivront la présentation du présent rapport, des mesures qu</w:t>
      </w:r>
      <w:r>
        <w:rPr>
          <w:b/>
          <w:lang w:val="fr-FR"/>
        </w:rPr>
        <w:t>’</w:t>
      </w:r>
      <w:r w:rsidRPr="00CB398F">
        <w:rPr>
          <w:b/>
          <w:lang w:val="fr-FR"/>
        </w:rPr>
        <w:t xml:space="preserve">elles auront prises pour donner suite aux recommandations formulées. </w:t>
      </w:r>
      <w:bookmarkEnd w:id="15"/>
    </w:p>
    <w:p w:rsidR="000D798E" w:rsidRPr="004E42E6" w:rsidRDefault="000D798E" w:rsidP="000D798E">
      <w:pPr>
        <w:pStyle w:val="SingleTxtG"/>
      </w:pPr>
      <w:bookmarkStart w:id="16" w:name="bookmark_54"/>
      <w:r w:rsidRPr="004E42E6">
        <w:rPr>
          <w:lang w:val="fr-FR"/>
        </w:rPr>
        <w:t>10.</w:t>
      </w:r>
      <w:r w:rsidRPr="004E42E6">
        <w:rPr>
          <w:lang w:val="fr-FR"/>
        </w:rPr>
        <w:tab/>
        <w:t>Le présent rapport restera confidentiel jusqu</w:t>
      </w:r>
      <w:r>
        <w:rPr>
          <w:lang w:val="fr-FR"/>
        </w:rPr>
        <w:t>’</w:t>
      </w:r>
      <w:r w:rsidRPr="004E42E6">
        <w:rPr>
          <w:lang w:val="fr-FR"/>
        </w:rPr>
        <w:t>à ce que l</w:t>
      </w:r>
      <w:r>
        <w:rPr>
          <w:lang w:val="fr-FR"/>
        </w:rPr>
        <w:t>’</w:t>
      </w:r>
      <w:r w:rsidRPr="004E42E6">
        <w:rPr>
          <w:lang w:val="fr-FR"/>
        </w:rPr>
        <w:t>État partie décide de le rendre public. Le Sous-Comité est convaincu que sa publication ne peut que contribuer à prévenir la torture et les mauvais traitements. Il estime en effet qu</w:t>
      </w:r>
      <w:r>
        <w:rPr>
          <w:lang w:val="fr-FR"/>
        </w:rPr>
        <w:t>’</w:t>
      </w:r>
      <w:r w:rsidRPr="004E42E6">
        <w:rPr>
          <w:lang w:val="fr-FR"/>
        </w:rPr>
        <w:t xml:space="preserve">une large diffusion des </w:t>
      </w:r>
      <w:r w:rsidRPr="004E42E6">
        <w:rPr>
          <w:lang w:val="fr-FR"/>
        </w:rPr>
        <w:lastRenderedPageBreak/>
        <w:t>recommandations formulées favorisera un dialogue national transparent et fructueux sur les questions abordées dans le rapport.</w:t>
      </w:r>
      <w:bookmarkEnd w:id="16"/>
    </w:p>
    <w:p w:rsidR="000D798E" w:rsidRPr="00CB398F" w:rsidRDefault="000D798E" w:rsidP="000D798E">
      <w:pPr>
        <w:pStyle w:val="SingleTxtG"/>
        <w:rPr>
          <w:b/>
        </w:rPr>
      </w:pPr>
      <w:bookmarkStart w:id="17" w:name="bookmark_55"/>
      <w:r w:rsidRPr="00301C42">
        <w:rPr>
          <w:lang w:val="fr-FR"/>
        </w:rPr>
        <w:t>11.</w:t>
      </w:r>
      <w:r w:rsidRPr="00CB398F">
        <w:rPr>
          <w:b/>
          <w:lang w:val="fr-FR"/>
        </w:rPr>
        <w:tab/>
        <w:t>Le Sous-Comité recommande à l</w:t>
      </w:r>
      <w:r>
        <w:rPr>
          <w:b/>
          <w:lang w:val="fr-FR"/>
        </w:rPr>
        <w:t>’</w:t>
      </w:r>
      <w:r w:rsidRPr="00CB398F">
        <w:rPr>
          <w:b/>
          <w:lang w:val="fr-FR"/>
        </w:rPr>
        <w:t>État partie de publier le présent rapport, conformément au paragraphe</w:t>
      </w:r>
      <w:r>
        <w:rPr>
          <w:b/>
          <w:lang w:val="fr-FR"/>
        </w:rPr>
        <w:t> </w:t>
      </w:r>
      <w:r w:rsidRPr="00CB398F">
        <w:rPr>
          <w:b/>
          <w:lang w:val="fr-FR"/>
        </w:rPr>
        <w:t>2 de l</w:t>
      </w:r>
      <w:r>
        <w:rPr>
          <w:b/>
          <w:lang w:val="fr-FR"/>
        </w:rPr>
        <w:t>’</w:t>
      </w:r>
      <w:r w:rsidRPr="00CB398F">
        <w:rPr>
          <w:b/>
          <w:lang w:val="fr-FR"/>
        </w:rPr>
        <w:t>article</w:t>
      </w:r>
      <w:r>
        <w:rPr>
          <w:b/>
          <w:lang w:val="fr-FR"/>
        </w:rPr>
        <w:t> </w:t>
      </w:r>
      <w:r w:rsidRPr="00CB398F">
        <w:rPr>
          <w:b/>
          <w:lang w:val="fr-FR"/>
        </w:rPr>
        <w:t>16 du Protocole facultatif, comme l</w:t>
      </w:r>
      <w:r>
        <w:rPr>
          <w:b/>
          <w:lang w:val="fr-FR"/>
        </w:rPr>
        <w:t>’</w:t>
      </w:r>
      <w:r w:rsidRPr="00CB398F">
        <w:rPr>
          <w:b/>
          <w:lang w:val="fr-FR"/>
        </w:rPr>
        <w:t>ont déjà fait d</w:t>
      </w:r>
      <w:r>
        <w:rPr>
          <w:b/>
          <w:lang w:val="fr-FR"/>
        </w:rPr>
        <w:t xml:space="preserve">’autres États </w:t>
      </w:r>
      <w:r w:rsidRPr="00CB398F">
        <w:rPr>
          <w:b/>
          <w:lang w:val="fr-FR"/>
        </w:rPr>
        <w:t>parties.</w:t>
      </w:r>
      <w:bookmarkEnd w:id="17"/>
    </w:p>
    <w:p w:rsidR="000D798E" w:rsidRPr="004E42E6" w:rsidRDefault="000D798E" w:rsidP="000D798E">
      <w:pPr>
        <w:pStyle w:val="SingleTxtG"/>
      </w:pPr>
      <w:bookmarkStart w:id="18" w:name="bookmark_56"/>
      <w:r w:rsidRPr="004E42E6">
        <w:rPr>
          <w:lang w:val="fr-FR"/>
        </w:rPr>
        <w:t>12.</w:t>
      </w:r>
      <w:r w:rsidRPr="004E42E6">
        <w:rPr>
          <w:lang w:val="fr-FR"/>
        </w:rPr>
        <w:tab/>
        <w:t>Le Sous-Comité tient à appeler l</w:t>
      </w:r>
      <w:r>
        <w:rPr>
          <w:lang w:val="fr-FR"/>
        </w:rPr>
        <w:t>’</w:t>
      </w:r>
      <w:r w:rsidRPr="004E42E6">
        <w:rPr>
          <w:lang w:val="fr-FR"/>
        </w:rPr>
        <w:t>attention de l</w:t>
      </w:r>
      <w:r>
        <w:rPr>
          <w:lang w:val="fr-FR"/>
        </w:rPr>
        <w:t>’</w:t>
      </w:r>
      <w:r w:rsidRPr="004E42E6">
        <w:rPr>
          <w:lang w:val="fr-FR"/>
        </w:rPr>
        <w:t>État partie sur le Fonds spécial créé en vertu de l</w:t>
      </w:r>
      <w:r>
        <w:rPr>
          <w:lang w:val="fr-FR"/>
        </w:rPr>
        <w:t>’</w:t>
      </w:r>
      <w:r w:rsidRPr="004E42E6">
        <w:rPr>
          <w:lang w:val="fr-FR"/>
        </w:rPr>
        <w:t>article</w:t>
      </w:r>
      <w:r>
        <w:rPr>
          <w:lang w:val="fr-FR"/>
        </w:rPr>
        <w:t> </w:t>
      </w:r>
      <w:r w:rsidRPr="004E42E6">
        <w:rPr>
          <w:lang w:val="fr-FR"/>
        </w:rPr>
        <w:t>26 du Protocole facultatif. Les recomm</w:t>
      </w:r>
      <w:r>
        <w:rPr>
          <w:lang w:val="fr-FR"/>
        </w:rPr>
        <w:t>andations formulées par le Sous</w:t>
      </w:r>
      <w:r>
        <w:rPr>
          <w:lang w:val="fr-FR"/>
        </w:rPr>
        <w:noBreakHyphen/>
      </w:r>
      <w:r w:rsidRPr="004E42E6">
        <w:rPr>
          <w:lang w:val="fr-FR"/>
        </w:rPr>
        <w:t>Comité dans ses rapports de visite rendus publics peuvent servir de base à l</w:t>
      </w:r>
      <w:r>
        <w:rPr>
          <w:lang w:val="fr-FR"/>
        </w:rPr>
        <w:t>’</w:t>
      </w:r>
      <w:r w:rsidRPr="004E42E6">
        <w:rPr>
          <w:lang w:val="fr-FR"/>
        </w:rPr>
        <w:t>État partie s</w:t>
      </w:r>
      <w:r>
        <w:rPr>
          <w:lang w:val="fr-FR"/>
        </w:rPr>
        <w:t>’</w:t>
      </w:r>
      <w:r w:rsidRPr="004E42E6">
        <w:rPr>
          <w:lang w:val="fr-FR"/>
        </w:rPr>
        <w:t>il souhaite faire une demande de financement de projets particuliers auprès du</w:t>
      </w:r>
      <w:r>
        <w:rPr>
          <w:lang w:val="fr-FR"/>
        </w:rPr>
        <w:t> </w:t>
      </w:r>
      <w:r w:rsidRPr="004E42E6">
        <w:rPr>
          <w:lang w:val="fr-FR"/>
        </w:rPr>
        <w:t>Fonds spécial</w:t>
      </w:r>
      <w:r w:rsidRPr="00E9448B">
        <w:rPr>
          <w:rStyle w:val="Appelnotedebasdep"/>
        </w:rPr>
        <w:footnoteReference w:id="8"/>
      </w:r>
      <w:r w:rsidRPr="004E42E6">
        <w:rPr>
          <w:lang w:val="fr-FR"/>
        </w:rPr>
        <w:t>.</w:t>
      </w:r>
      <w:bookmarkEnd w:id="18"/>
    </w:p>
    <w:p w:rsidR="000D798E" w:rsidRPr="004E42E6" w:rsidRDefault="000D798E" w:rsidP="000D798E">
      <w:pPr>
        <w:pStyle w:val="HChG"/>
      </w:pPr>
      <w:bookmarkStart w:id="20" w:name="bookmark_58"/>
      <w:r>
        <w:rPr>
          <w:lang w:val="fr-FR"/>
        </w:rPr>
        <w:tab/>
        <w:t>II.</w:t>
      </w:r>
      <w:r>
        <w:rPr>
          <w:lang w:val="fr-FR"/>
        </w:rPr>
        <w:tab/>
      </w:r>
      <w:r w:rsidRPr="004E42E6">
        <w:rPr>
          <w:lang w:val="fr-FR"/>
        </w:rPr>
        <w:t xml:space="preserve">Mécanisme national de prévention </w:t>
      </w:r>
      <w:bookmarkEnd w:id="20"/>
    </w:p>
    <w:p w:rsidR="000D798E" w:rsidRPr="004E42E6" w:rsidRDefault="000D798E" w:rsidP="000D798E">
      <w:pPr>
        <w:pStyle w:val="SingleTxtG"/>
        <w:rPr>
          <w:color w:val="000000"/>
        </w:rPr>
      </w:pPr>
      <w:bookmarkStart w:id="21" w:name="bookmark_59"/>
      <w:r w:rsidRPr="004E42E6">
        <w:rPr>
          <w:lang w:val="fr-FR"/>
        </w:rPr>
        <w:t>13.</w:t>
      </w:r>
      <w:r w:rsidRPr="004E42E6">
        <w:rPr>
          <w:lang w:val="fr-FR"/>
        </w:rPr>
        <w:tab/>
        <w:t>Après la ratification du Protocole facultatif le 2</w:t>
      </w:r>
      <w:r>
        <w:rPr>
          <w:lang w:val="fr-FR"/>
        </w:rPr>
        <w:t> </w:t>
      </w:r>
      <w:r w:rsidRPr="004E42E6">
        <w:rPr>
          <w:lang w:val="fr-FR"/>
        </w:rPr>
        <w:t>juin 2011 et conformément à l</w:t>
      </w:r>
      <w:r>
        <w:rPr>
          <w:lang w:val="fr-FR"/>
        </w:rPr>
        <w:t>’</w:t>
      </w:r>
      <w:r w:rsidRPr="004E42E6">
        <w:rPr>
          <w:lang w:val="fr-FR"/>
        </w:rPr>
        <w:t>article</w:t>
      </w:r>
      <w:r>
        <w:rPr>
          <w:lang w:val="fr-FR"/>
        </w:rPr>
        <w:t> </w:t>
      </w:r>
      <w:r w:rsidRPr="004E42E6">
        <w:rPr>
          <w:lang w:val="fr-FR"/>
        </w:rPr>
        <w:t>17 de cet instrument, l</w:t>
      </w:r>
      <w:r>
        <w:rPr>
          <w:lang w:val="fr-FR"/>
        </w:rPr>
        <w:t>’</w:t>
      </w:r>
      <w:r w:rsidRPr="004E42E6">
        <w:rPr>
          <w:lang w:val="fr-FR"/>
        </w:rPr>
        <w:t>État partie a pris l</w:t>
      </w:r>
      <w:r>
        <w:rPr>
          <w:lang w:val="fr-FR"/>
        </w:rPr>
        <w:t>’</w:t>
      </w:r>
      <w:r w:rsidRPr="004E42E6">
        <w:rPr>
          <w:lang w:val="fr-FR"/>
        </w:rPr>
        <w:t>engagement</w:t>
      </w:r>
      <w:r>
        <w:rPr>
          <w:lang w:val="fr-FR"/>
        </w:rPr>
        <w:t xml:space="preserve">, envers la communauté internationale, </w:t>
      </w:r>
      <w:r w:rsidRPr="004E42E6">
        <w:rPr>
          <w:lang w:val="fr-FR"/>
        </w:rPr>
        <w:t>de créer le mécanisme national de prévention dans un délai d</w:t>
      </w:r>
      <w:r>
        <w:rPr>
          <w:lang w:val="fr-FR"/>
        </w:rPr>
        <w:t>’</w:t>
      </w:r>
      <w:r w:rsidRPr="004E42E6">
        <w:rPr>
          <w:lang w:val="fr-FR"/>
        </w:rPr>
        <w:t>un an. Le</w:t>
      </w:r>
      <w:r>
        <w:rPr>
          <w:lang w:val="fr-FR"/>
        </w:rPr>
        <w:t> </w:t>
      </w:r>
      <w:r w:rsidRPr="004E42E6">
        <w:rPr>
          <w:lang w:val="fr-FR"/>
        </w:rPr>
        <w:t>Sous-Comité note avec préoccupation que l</w:t>
      </w:r>
      <w:r>
        <w:rPr>
          <w:lang w:val="fr-FR"/>
        </w:rPr>
        <w:t>’</w:t>
      </w:r>
      <w:r w:rsidRPr="004E42E6">
        <w:rPr>
          <w:lang w:val="fr-FR"/>
        </w:rPr>
        <w:t>État partie a plus de cinq ans de retard dans l</w:t>
      </w:r>
      <w:r>
        <w:rPr>
          <w:lang w:val="fr-FR"/>
        </w:rPr>
        <w:t>’</w:t>
      </w:r>
      <w:r w:rsidRPr="004E42E6">
        <w:rPr>
          <w:lang w:val="fr-FR"/>
        </w:rPr>
        <w:t>exécution de cette obligation.</w:t>
      </w:r>
      <w:bookmarkEnd w:id="21"/>
    </w:p>
    <w:p w:rsidR="000D798E" w:rsidRPr="004E42E6" w:rsidRDefault="000D798E" w:rsidP="000D798E">
      <w:pPr>
        <w:pStyle w:val="SingleTxtG"/>
        <w:rPr>
          <w:color w:val="000000"/>
        </w:rPr>
      </w:pPr>
      <w:bookmarkStart w:id="22" w:name="bookmark_60"/>
      <w:r w:rsidRPr="004E42E6">
        <w:rPr>
          <w:lang w:val="fr-FR"/>
        </w:rPr>
        <w:t>14.</w:t>
      </w:r>
      <w:r w:rsidRPr="004E42E6">
        <w:rPr>
          <w:lang w:val="fr-FR"/>
        </w:rPr>
        <w:tab/>
        <w:t>Cette situation est d</w:t>
      </w:r>
      <w:r>
        <w:rPr>
          <w:lang w:val="fr-FR"/>
        </w:rPr>
        <w:t>’</w:t>
      </w:r>
      <w:r w:rsidRPr="004E42E6">
        <w:rPr>
          <w:lang w:val="fr-FR"/>
        </w:rPr>
        <w:t>autant plus notable que très peu d</w:t>
      </w:r>
      <w:r>
        <w:rPr>
          <w:lang w:val="fr-FR"/>
        </w:rPr>
        <w:t>’</w:t>
      </w:r>
      <w:r w:rsidRPr="004E42E6">
        <w:rPr>
          <w:lang w:val="fr-FR"/>
        </w:rPr>
        <w:t xml:space="preserve">États parties accusent un retard si important. À cet égard, pendant sa </w:t>
      </w:r>
      <w:r>
        <w:rPr>
          <w:lang w:val="fr-FR"/>
        </w:rPr>
        <w:t>vingt</w:t>
      </w:r>
      <w:r>
        <w:rPr>
          <w:lang w:val="fr-FR"/>
        </w:rPr>
        <w:noBreakHyphen/>
        <w:t>huitième session (février 2016), le Sous</w:t>
      </w:r>
      <w:r>
        <w:rPr>
          <w:lang w:val="fr-FR"/>
        </w:rPr>
        <w:noBreakHyphen/>
      </w:r>
      <w:r w:rsidRPr="004E42E6">
        <w:rPr>
          <w:lang w:val="fr-FR"/>
        </w:rPr>
        <w:t xml:space="preserve">Comité est convenu de rendre publique la liste des États parties </w:t>
      </w:r>
      <w:r>
        <w:rPr>
          <w:lang w:val="fr-FR"/>
        </w:rPr>
        <w:t>accusant</w:t>
      </w:r>
      <w:r w:rsidRPr="004E42E6">
        <w:rPr>
          <w:lang w:val="fr-FR"/>
        </w:rPr>
        <w:t xml:space="preserve"> plus de trois ans de retard dans la création d</w:t>
      </w:r>
      <w:r>
        <w:rPr>
          <w:lang w:val="fr-FR"/>
        </w:rPr>
        <w:t>’</w:t>
      </w:r>
      <w:r w:rsidRPr="004E42E6">
        <w:rPr>
          <w:lang w:val="fr-FR"/>
        </w:rPr>
        <w:t xml:space="preserve">un mécanisme national de prévention. Le Panama </w:t>
      </w:r>
      <w:r>
        <w:rPr>
          <w:lang w:val="fr-FR"/>
        </w:rPr>
        <w:t>est l’un de ces États</w:t>
      </w:r>
      <w:r w:rsidRPr="004D62C4">
        <w:rPr>
          <w:rStyle w:val="Appelnotedebasdep"/>
        </w:rPr>
        <w:footnoteReference w:id="9"/>
      </w:r>
      <w:r w:rsidRPr="004E42E6">
        <w:rPr>
          <w:lang w:val="fr-FR"/>
        </w:rPr>
        <w:t>.</w:t>
      </w:r>
      <w:bookmarkEnd w:id="22"/>
    </w:p>
    <w:p w:rsidR="000D798E" w:rsidRPr="004E42E6" w:rsidRDefault="000D798E" w:rsidP="000D798E">
      <w:pPr>
        <w:pStyle w:val="SingleTxtG"/>
        <w:rPr>
          <w:color w:val="000000"/>
        </w:rPr>
      </w:pPr>
      <w:bookmarkStart w:id="24" w:name="bookmark_62"/>
      <w:r w:rsidRPr="004E42E6">
        <w:rPr>
          <w:lang w:val="fr-FR"/>
        </w:rPr>
        <w:t>15.</w:t>
      </w:r>
      <w:r w:rsidRPr="004E42E6">
        <w:rPr>
          <w:lang w:val="fr-FR"/>
        </w:rPr>
        <w:tab/>
        <w:t>De plus, il convient de rappeler qu</w:t>
      </w:r>
      <w:r>
        <w:rPr>
          <w:lang w:val="fr-FR"/>
        </w:rPr>
        <w:t>’</w:t>
      </w:r>
      <w:r w:rsidRPr="004E42E6">
        <w:rPr>
          <w:lang w:val="fr-FR"/>
        </w:rPr>
        <w:t>à l</w:t>
      </w:r>
      <w:r>
        <w:rPr>
          <w:lang w:val="fr-FR"/>
        </w:rPr>
        <w:t>’</w:t>
      </w:r>
      <w:r w:rsidRPr="004E42E6">
        <w:rPr>
          <w:lang w:val="fr-FR"/>
        </w:rPr>
        <w:t xml:space="preserve">occasion du deuxième Examen périodique universel concernant le Panama, en 2015, le Gouvernement </w:t>
      </w:r>
      <w:r>
        <w:rPr>
          <w:lang w:val="fr-FR"/>
        </w:rPr>
        <w:t>panaméen avait</w:t>
      </w:r>
      <w:r w:rsidRPr="004E42E6">
        <w:rPr>
          <w:lang w:val="fr-FR"/>
        </w:rPr>
        <w:t xml:space="preserve"> accepté plusieurs recommandations tendant à </w:t>
      </w:r>
      <w:r>
        <w:rPr>
          <w:lang w:val="fr-FR"/>
        </w:rPr>
        <w:t>ce qu’il établisse</w:t>
      </w:r>
      <w:r w:rsidRPr="004E42E6">
        <w:rPr>
          <w:lang w:val="fr-FR"/>
        </w:rPr>
        <w:t xml:space="preserve"> rapidement le mécanisme national de prévention</w:t>
      </w:r>
      <w:r w:rsidRPr="004D62C4">
        <w:rPr>
          <w:rStyle w:val="Appelnotedebasdep"/>
        </w:rPr>
        <w:footnoteReference w:id="10"/>
      </w:r>
      <w:r w:rsidRPr="004E42E6">
        <w:rPr>
          <w:lang w:val="fr-FR"/>
        </w:rPr>
        <w:t>.</w:t>
      </w:r>
      <w:bookmarkEnd w:id="24"/>
    </w:p>
    <w:p w:rsidR="000D798E" w:rsidRPr="004E42E6" w:rsidRDefault="000D798E" w:rsidP="000D798E">
      <w:pPr>
        <w:pStyle w:val="SingleTxtG"/>
        <w:rPr>
          <w:color w:val="000000"/>
        </w:rPr>
      </w:pPr>
      <w:bookmarkStart w:id="26" w:name="bookmark_64"/>
      <w:r w:rsidRPr="004E42E6">
        <w:rPr>
          <w:lang w:val="fr-FR"/>
        </w:rPr>
        <w:t>16.</w:t>
      </w:r>
      <w:r w:rsidRPr="004E42E6">
        <w:rPr>
          <w:lang w:val="fr-FR"/>
        </w:rPr>
        <w:tab/>
        <w:t>Le Sous-Comité a accueilli avec sa</w:t>
      </w:r>
      <w:r>
        <w:rPr>
          <w:lang w:val="fr-FR"/>
        </w:rPr>
        <w:t xml:space="preserve">tisfaction </w:t>
      </w:r>
      <w:r w:rsidRPr="00E76046">
        <w:rPr>
          <w:lang w:val="fr-FR"/>
        </w:rPr>
        <w:t>l</w:t>
      </w:r>
      <w:r>
        <w:rPr>
          <w:lang w:val="fr-FR"/>
        </w:rPr>
        <w:t>’</w:t>
      </w:r>
      <w:r w:rsidRPr="00E76046">
        <w:rPr>
          <w:lang w:val="fr-FR"/>
        </w:rPr>
        <w:t xml:space="preserve">adoption de la loi </w:t>
      </w:r>
      <w:r>
        <w:rPr>
          <w:lang w:val="fr-FR"/>
        </w:rPr>
        <w:t>n</w:t>
      </w:r>
      <w:r w:rsidRPr="00C62FD9">
        <w:rPr>
          <w:vertAlign w:val="superscript"/>
          <w:lang w:val="fr-FR"/>
        </w:rPr>
        <w:t>o</w:t>
      </w:r>
      <w:r>
        <w:rPr>
          <w:lang w:val="fr-FR"/>
        </w:rPr>
        <w:t> </w:t>
      </w:r>
      <w:r w:rsidRPr="00E76046">
        <w:rPr>
          <w:lang w:val="fr-FR"/>
        </w:rPr>
        <w:t>6 du 22</w:t>
      </w:r>
      <w:r>
        <w:rPr>
          <w:lang w:val="fr-FR"/>
        </w:rPr>
        <w:t> </w:t>
      </w:r>
      <w:r w:rsidRPr="00E76046">
        <w:rPr>
          <w:lang w:val="fr-FR"/>
        </w:rPr>
        <w:t xml:space="preserve">février 2017 sur le mécanisme national de prévention, </w:t>
      </w:r>
      <w:r w:rsidRPr="00E76046">
        <w:rPr>
          <w:bCs/>
          <w:iCs/>
          <w:lang w:val="fr-FR"/>
        </w:rPr>
        <w:t>qui intègre les normes le concernant formulées</w:t>
      </w:r>
      <w:r w:rsidRPr="00E76046">
        <w:rPr>
          <w:lang w:val="fr-FR"/>
        </w:rPr>
        <w:t xml:space="preserve"> dans le Protocole</w:t>
      </w:r>
      <w:r w:rsidRPr="004E42E6">
        <w:rPr>
          <w:lang w:val="fr-FR"/>
        </w:rPr>
        <w:t xml:space="preserve"> facultatif et dans les D</w:t>
      </w:r>
      <w:r>
        <w:rPr>
          <w:lang w:val="fr-FR"/>
        </w:rPr>
        <w:t>irectiv</w:t>
      </w:r>
      <w:r w:rsidRPr="004E42E6">
        <w:rPr>
          <w:lang w:val="fr-FR"/>
        </w:rPr>
        <w:t>es concernant les mécanismes nationaux de prévention du Sous-Comité</w:t>
      </w:r>
      <w:r w:rsidRPr="004D62C4">
        <w:rPr>
          <w:rStyle w:val="Appelnotedebasdep"/>
        </w:rPr>
        <w:footnoteReference w:id="11"/>
      </w:r>
      <w:r>
        <w:rPr>
          <w:lang w:val="fr-FR"/>
        </w:rPr>
        <w:t>. Cette même l</w:t>
      </w:r>
      <w:r w:rsidRPr="004E42E6">
        <w:rPr>
          <w:lang w:val="fr-FR"/>
        </w:rPr>
        <w:t>oi di</w:t>
      </w:r>
      <w:r>
        <w:rPr>
          <w:lang w:val="fr-FR"/>
        </w:rPr>
        <w:t>t</w:t>
      </w:r>
      <w:r w:rsidRPr="004E42E6">
        <w:rPr>
          <w:lang w:val="fr-FR"/>
        </w:rPr>
        <w:t xml:space="preserve"> également comment les membres</w:t>
      </w:r>
      <w:r>
        <w:rPr>
          <w:lang w:val="fr-FR"/>
        </w:rPr>
        <w:t xml:space="preserve"> du comité, le directeur et le d</w:t>
      </w:r>
      <w:r w:rsidRPr="004E42E6">
        <w:rPr>
          <w:lang w:val="fr-FR"/>
        </w:rPr>
        <w:t>irecteur adjoint du mécanisme national de prévention sont choisis et prévoit la création, par le Défenseur du peuple, d</w:t>
      </w:r>
      <w:r>
        <w:rPr>
          <w:lang w:val="fr-FR"/>
        </w:rPr>
        <w:t>’</w:t>
      </w:r>
      <w:r w:rsidRPr="004E42E6">
        <w:rPr>
          <w:lang w:val="fr-FR"/>
        </w:rPr>
        <w:t>un groupe de travail</w:t>
      </w:r>
      <w:r>
        <w:rPr>
          <w:lang w:val="fr-FR"/>
        </w:rPr>
        <w:t xml:space="preserve"> </w:t>
      </w:r>
      <w:r w:rsidRPr="004E42E6">
        <w:rPr>
          <w:lang w:val="fr-FR"/>
        </w:rPr>
        <w:t>interinstitutionnel pour la rédaction du décret qui établira les</w:t>
      </w:r>
      <w:r>
        <w:rPr>
          <w:lang w:val="fr-FR"/>
        </w:rPr>
        <w:t xml:space="preserve"> modalités d’application de la loi. L</w:t>
      </w:r>
      <w:r w:rsidRPr="004E42E6">
        <w:rPr>
          <w:lang w:val="fr-FR"/>
        </w:rPr>
        <w:t>e Sous-Comité tient</w:t>
      </w:r>
      <w:r>
        <w:rPr>
          <w:lang w:val="fr-FR"/>
        </w:rPr>
        <w:t xml:space="preserve"> toutefois</w:t>
      </w:r>
      <w:r w:rsidRPr="004E42E6">
        <w:rPr>
          <w:lang w:val="fr-FR"/>
        </w:rPr>
        <w:t xml:space="preserve"> à faire connaître ses inquiétudes concernant les points mentionnés ci-après.</w:t>
      </w:r>
      <w:bookmarkEnd w:id="26"/>
    </w:p>
    <w:p w:rsidR="000D798E" w:rsidRPr="004E42E6" w:rsidRDefault="000D798E" w:rsidP="000D798E">
      <w:pPr>
        <w:pStyle w:val="H23G"/>
      </w:pPr>
      <w:bookmarkStart w:id="28" w:name="bookmark_66"/>
      <w:r w:rsidRPr="004E42E6">
        <w:rPr>
          <w:lang w:val="fr-FR"/>
        </w:rPr>
        <w:tab/>
      </w:r>
      <w:r w:rsidRPr="004E42E6">
        <w:rPr>
          <w:lang w:val="fr-FR"/>
        </w:rPr>
        <w:tab/>
        <w:t>Indépendance financière et de fonctionnement</w:t>
      </w:r>
      <w:bookmarkEnd w:id="28"/>
    </w:p>
    <w:p w:rsidR="000D798E" w:rsidRPr="004E42E6" w:rsidRDefault="000D798E" w:rsidP="000D798E">
      <w:pPr>
        <w:pStyle w:val="SingleTxtG"/>
      </w:pPr>
      <w:bookmarkStart w:id="29" w:name="bookmark_67"/>
      <w:r w:rsidRPr="004E42E6">
        <w:rPr>
          <w:lang w:val="fr-FR"/>
        </w:rPr>
        <w:t>17.</w:t>
      </w:r>
      <w:r w:rsidRPr="004E42E6">
        <w:rPr>
          <w:lang w:val="fr-FR"/>
        </w:rPr>
        <w:tab/>
      </w:r>
      <w:r>
        <w:rPr>
          <w:lang w:val="fr-FR"/>
        </w:rPr>
        <w:t>Même si</w:t>
      </w:r>
      <w:r w:rsidRPr="004E42E6">
        <w:rPr>
          <w:lang w:val="fr-FR"/>
        </w:rPr>
        <w:t>, en applicat</w:t>
      </w:r>
      <w:r>
        <w:rPr>
          <w:lang w:val="fr-FR"/>
        </w:rPr>
        <w:t xml:space="preserve">ion de l’article premier de la </w:t>
      </w:r>
      <w:r w:rsidRPr="00E76046">
        <w:rPr>
          <w:lang w:val="fr-FR"/>
        </w:rPr>
        <w:t xml:space="preserve">loi </w:t>
      </w:r>
      <w:r>
        <w:rPr>
          <w:lang w:val="fr-FR"/>
        </w:rPr>
        <w:t>n</w:t>
      </w:r>
      <w:r w:rsidRPr="00C62FD9">
        <w:rPr>
          <w:vertAlign w:val="superscript"/>
          <w:lang w:val="fr-FR"/>
        </w:rPr>
        <w:t>o</w:t>
      </w:r>
      <w:r>
        <w:rPr>
          <w:lang w:val="fr-FR"/>
        </w:rPr>
        <w:t> </w:t>
      </w:r>
      <w:r w:rsidRPr="004E42E6">
        <w:rPr>
          <w:lang w:val="fr-FR"/>
        </w:rPr>
        <w:t xml:space="preserve">6, le mécanisme national de prévention </w:t>
      </w:r>
      <w:r>
        <w:rPr>
          <w:lang w:val="fr-FR"/>
        </w:rPr>
        <w:t xml:space="preserve">est </w:t>
      </w:r>
      <w:r w:rsidRPr="004E42E6">
        <w:rPr>
          <w:lang w:val="fr-FR"/>
        </w:rPr>
        <w:t xml:space="preserve">créé </w:t>
      </w:r>
      <w:r>
        <w:rPr>
          <w:lang w:val="fr-FR"/>
        </w:rPr>
        <w:t>en tant que</w:t>
      </w:r>
      <w:r w:rsidRPr="004E42E6">
        <w:rPr>
          <w:lang w:val="fr-FR"/>
        </w:rPr>
        <w:t xml:space="preserve"> direction nationale rattachée au Bureau du Défenseur du peuple</w:t>
      </w:r>
      <w:r>
        <w:rPr>
          <w:lang w:val="fr-FR"/>
        </w:rPr>
        <w:t>,</w:t>
      </w:r>
      <w:r w:rsidRPr="004E42E6">
        <w:rPr>
          <w:lang w:val="fr-FR"/>
        </w:rPr>
        <w:t xml:space="preserve"> </w:t>
      </w:r>
      <w:r>
        <w:rPr>
          <w:lang w:val="fr-FR"/>
        </w:rPr>
        <w:t>et</w:t>
      </w:r>
      <w:r w:rsidRPr="004E42E6">
        <w:rPr>
          <w:lang w:val="fr-FR"/>
        </w:rPr>
        <w:t xml:space="preserve"> exerce ses fonctions et se </w:t>
      </w:r>
      <w:r w:rsidRPr="00B72241">
        <w:rPr>
          <w:bCs/>
          <w:iCs/>
          <w:lang w:val="fr-FR"/>
        </w:rPr>
        <w:t>prononce</w:t>
      </w:r>
      <w:r w:rsidRPr="004E42E6">
        <w:rPr>
          <w:b/>
          <w:bCs/>
          <w:i/>
          <w:iCs/>
          <w:lang w:val="fr-FR"/>
        </w:rPr>
        <w:t xml:space="preserve"> </w:t>
      </w:r>
      <w:r w:rsidRPr="004E42E6">
        <w:rPr>
          <w:lang w:val="fr-FR"/>
        </w:rPr>
        <w:t xml:space="preserve">de manière indépendante, le Sous-Comité rappelle que le Protocole facultatif établit clairement </w:t>
      </w:r>
      <w:r>
        <w:rPr>
          <w:lang w:val="fr-FR"/>
        </w:rPr>
        <w:t xml:space="preserve">qu’il incombe aussi à l’État partie de dégager </w:t>
      </w:r>
      <w:r w:rsidRPr="004E42E6">
        <w:rPr>
          <w:lang w:val="fr-FR"/>
        </w:rPr>
        <w:t xml:space="preserve">des ressources </w:t>
      </w:r>
      <w:r>
        <w:rPr>
          <w:lang w:val="fr-FR"/>
        </w:rPr>
        <w:t>propres</w:t>
      </w:r>
      <w:r w:rsidRPr="004E42E6">
        <w:rPr>
          <w:lang w:val="fr-FR"/>
        </w:rPr>
        <w:t xml:space="preserve"> </w:t>
      </w:r>
      <w:r>
        <w:rPr>
          <w:lang w:val="fr-FR"/>
        </w:rPr>
        <w:t>pour les</w:t>
      </w:r>
      <w:r w:rsidRPr="004E42E6">
        <w:rPr>
          <w:lang w:val="fr-FR"/>
        </w:rPr>
        <w:t xml:space="preserve"> travaux du mécanis</w:t>
      </w:r>
      <w:r>
        <w:rPr>
          <w:lang w:val="fr-FR"/>
        </w:rPr>
        <w:t>me national de prévention (art. </w:t>
      </w:r>
      <w:r w:rsidRPr="004E42E6">
        <w:rPr>
          <w:lang w:val="fr-FR"/>
        </w:rPr>
        <w:t>18, par.</w:t>
      </w:r>
      <w:r>
        <w:rPr>
          <w:lang w:val="fr-FR"/>
        </w:rPr>
        <w:t> </w:t>
      </w:r>
      <w:r w:rsidRPr="004E42E6">
        <w:rPr>
          <w:lang w:val="fr-FR"/>
        </w:rPr>
        <w:t>1), afin de garantir l</w:t>
      </w:r>
      <w:r>
        <w:rPr>
          <w:lang w:val="fr-FR"/>
        </w:rPr>
        <w:t>’</w:t>
      </w:r>
      <w:r w:rsidRPr="004E42E6">
        <w:rPr>
          <w:lang w:val="fr-FR"/>
        </w:rPr>
        <w:t>indépendance opérationnel</w:t>
      </w:r>
      <w:r>
        <w:rPr>
          <w:lang w:val="fr-FR"/>
        </w:rPr>
        <w:t>le</w:t>
      </w:r>
      <w:r w:rsidRPr="004E42E6">
        <w:rPr>
          <w:lang w:val="fr-FR"/>
        </w:rPr>
        <w:t xml:space="preserve"> de celui-ci</w:t>
      </w:r>
      <w:r w:rsidRPr="004D62C4">
        <w:rPr>
          <w:rStyle w:val="Appelnotedebasdep"/>
        </w:rPr>
        <w:footnoteReference w:id="12"/>
      </w:r>
      <w:r>
        <w:rPr>
          <w:lang w:val="fr-FR"/>
        </w:rPr>
        <w:t>. Les Directiv</w:t>
      </w:r>
      <w:r w:rsidRPr="004E42E6">
        <w:rPr>
          <w:lang w:val="fr-FR"/>
        </w:rPr>
        <w:t xml:space="preserve">es du Sous-Comité </w:t>
      </w:r>
      <w:r>
        <w:rPr>
          <w:lang w:val="fr-FR"/>
        </w:rPr>
        <w:t>en la matière</w:t>
      </w:r>
      <w:r w:rsidRPr="004E42E6">
        <w:rPr>
          <w:lang w:val="fr-FR"/>
        </w:rPr>
        <w:t xml:space="preserve"> disposent clairement que </w:t>
      </w:r>
      <w:r>
        <w:rPr>
          <w:lang w:val="fr-FR"/>
        </w:rPr>
        <w:t>« </w:t>
      </w:r>
      <w:r w:rsidRPr="004E42E6">
        <w:rPr>
          <w:lang w:val="fr-FR"/>
        </w:rPr>
        <w:t>[l]es mécanismes nationaux de prévention devraient jouir d</w:t>
      </w:r>
      <w:r>
        <w:rPr>
          <w:lang w:val="fr-FR"/>
        </w:rPr>
        <w:t>’</w:t>
      </w:r>
      <w:r w:rsidRPr="004E42E6">
        <w:rPr>
          <w:lang w:val="fr-FR"/>
        </w:rPr>
        <w:t>une entière autonomie financière et opérationnelle pour pouvoir s</w:t>
      </w:r>
      <w:r>
        <w:rPr>
          <w:lang w:val="fr-FR"/>
        </w:rPr>
        <w:t>’</w:t>
      </w:r>
      <w:r w:rsidRPr="004E42E6">
        <w:rPr>
          <w:lang w:val="fr-FR"/>
        </w:rPr>
        <w:t>acquitter de leurs fonctions en vertu du Protocole facultatif</w:t>
      </w:r>
      <w:r>
        <w:rPr>
          <w:lang w:val="fr-FR"/>
        </w:rPr>
        <w:t> »</w:t>
      </w:r>
      <w:r w:rsidRPr="004D62C4">
        <w:rPr>
          <w:rStyle w:val="Appelnotedebasdep"/>
        </w:rPr>
        <w:footnoteReference w:id="13"/>
      </w:r>
      <w:r w:rsidRPr="004E42E6">
        <w:rPr>
          <w:lang w:val="fr-FR"/>
        </w:rPr>
        <w:t>.</w:t>
      </w:r>
      <w:bookmarkEnd w:id="29"/>
    </w:p>
    <w:p w:rsidR="000D798E" w:rsidRPr="008E69C4" w:rsidRDefault="000D798E" w:rsidP="000D798E">
      <w:pPr>
        <w:pStyle w:val="SingleTxtG"/>
        <w:rPr>
          <w:b/>
        </w:rPr>
      </w:pPr>
      <w:bookmarkStart w:id="32" w:name="bookmark_70"/>
      <w:r w:rsidRPr="00301C42">
        <w:rPr>
          <w:lang w:val="fr-FR"/>
        </w:rPr>
        <w:lastRenderedPageBreak/>
        <w:t>18.</w:t>
      </w:r>
      <w:r w:rsidRPr="008E69C4">
        <w:rPr>
          <w:b/>
          <w:lang w:val="fr-FR"/>
        </w:rPr>
        <w:tab/>
        <w:t>Afin de garantir l</w:t>
      </w:r>
      <w:r>
        <w:rPr>
          <w:b/>
          <w:lang w:val="fr-FR"/>
        </w:rPr>
        <w:t>’</w:t>
      </w:r>
      <w:r w:rsidRPr="008E69C4">
        <w:rPr>
          <w:b/>
          <w:lang w:val="fr-FR"/>
        </w:rPr>
        <w:t xml:space="preserve">autonomie de fonctionnement du mécanisme national de prévention, le Sous-Comité recommande que celui-ci ne </w:t>
      </w:r>
      <w:r>
        <w:rPr>
          <w:b/>
          <w:lang w:val="fr-FR"/>
        </w:rPr>
        <w:t>soit soumis à aucune forme de lien hiérarchique avec le</w:t>
      </w:r>
      <w:r w:rsidRPr="008E69C4">
        <w:rPr>
          <w:b/>
          <w:lang w:val="fr-FR"/>
        </w:rPr>
        <w:t xml:space="preserve"> Bureau du Défenseur du peuple. L</w:t>
      </w:r>
      <w:r>
        <w:rPr>
          <w:b/>
          <w:lang w:val="fr-FR"/>
        </w:rPr>
        <w:t>’</w:t>
      </w:r>
      <w:r w:rsidRPr="008E69C4">
        <w:rPr>
          <w:b/>
          <w:lang w:val="fr-FR"/>
        </w:rPr>
        <w:t xml:space="preserve">organigramme du Bureau du Défenseur du peuple </w:t>
      </w:r>
      <w:r>
        <w:rPr>
          <w:b/>
          <w:lang w:val="fr-FR"/>
        </w:rPr>
        <w:t>fait écho aux</w:t>
      </w:r>
      <w:r w:rsidRPr="008E69C4">
        <w:rPr>
          <w:b/>
          <w:lang w:val="fr-FR"/>
        </w:rPr>
        <w:t xml:space="preserve"> </w:t>
      </w:r>
      <w:r>
        <w:rPr>
          <w:b/>
          <w:lang w:val="fr-FR"/>
        </w:rPr>
        <w:t>dispositions</w:t>
      </w:r>
      <w:r w:rsidRPr="008E69C4">
        <w:rPr>
          <w:b/>
          <w:lang w:val="fr-FR"/>
        </w:rPr>
        <w:t xml:space="preserve"> du Protocole facultatif, qui précisent que le mécanisme national de prévention d</w:t>
      </w:r>
      <w:r>
        <w:rPr>
          <w:b/>
          <w:lang w:val="fr-FR"/>
        </w:rPr>
        <w:t>oit</w:t>
      </w:r>
      <w:r w:rsidRPr="008E69C4">
        <w:rPr>
          <w:b/>
          <w:lang w:val="fr-FR"/>
        </w:rPr>
        <w:t xml:space="preserve"> jouir d</w:t>
      </w:r>
      <w:r>
        <w:rPr>
          <w:b/>
          <w:lang w:val="fr-FR"/>
        </w:rPr>
        <w:t>’</w:t>
      </w:r>
      <w:r w:rsidRPr="008E69C4">
        <w:rPr>
          <w:b/>
          <w:lang w:val="fr-FR"/>
        </w:rPr>
        <w:t>une autonomie de fonctionnement en ce qui concerne ses ressources, son programme de travail, ses conclusions</w:t>
      </w:r>
      <w:r>
        <w:rPr>
          <w:b/>
          <w:lang w:val="fr-FR"/>
        </w:rPr>
        <w:t xml:space="preserve"> et</w:t>
      </w:r>
      <w:r w:rsidRPr="008E69C4">
        <w:rPr>
          <w:b/>
          <w:lang w:val="fr-FR"/>
        </w:rPr>
        <w:t xml:space="preserve"> ses recommandations</w:t>
      </w:r>
      <w:r>
        <w:rPr>
          <w:b/>
          <w:lang w:val="fr-FR"/>
        </w:rPr>
        <w:t>,</w:t>
      </w:r>
      <w:r w:rsidRPr="008E69C4">
        <w:rPr>
          <w:b/>
          <w:lang w:val="fr-FR"/>
        </w:rPr>
        <w:t xml:space="preserve"> et avoir un contact direct et confidentiel avec le</w:t>
      </w:r>
      <w:r>
        <w:rPr>
          <w:b/>
          <w:lang w:val="fr-FR"/>
        </w:rPr>
        <w:t> </w:t>
      </w:r>
      <w:r w:rsidRPr="008E69C4">
        <w:rPr>
          <w:b/>
          <w:lang w:val="fr-FR"/>
        </w:rPr>
        <w:t>Sous-Comité.</w:t>
      </w:r>
      <w:bookmarkEnd w:id="32"/>
    </w:p>
    <w:p w:rsidR="000D798E" w:rsidRPr="004E42E6" w:rsidRDefault="000D798E" w:rsidP="000D798E">
      <w:pPr>
        <w:pStyle w:val="SingleTxtG"/>
      </w:pPr>
      <w:bookmarkStart w:id="33" w:name="bookmark_71"/>
      <w:r w:rsidRPr="004E42E6">
        <w:rPr>
          <w:lang w:val="fr-FR"/>
        </w:rPr>
        <w:t>19.</w:t>
      </w:r>
      <w:r w:rsidRPr="004E42E6">
        <w:rPr>
          <w:lang w:val="fr-FR"/>
        </w:rPr>
        <w:tab/>
        <w:t>Con</w:t>
      </w:r>
      <w:r>
        <w:rPr>
          <w:lang w:val="fr-FR"/>
        </w:rPr>
        <w:t xml:space="preserve">formément à l’article 43 de la </w:t>
      </w:r>
      <w:r w:rsidRPr="00E76046">
        <w:rPr>
          <w:lang w:val="fr-FR"/>
        </w:rPr>
        <w:t xml:space="preserve">loi </w:t>
      </w:r>
      <w:r>
        <w:rPr>
          <w:lang w:val="fr-FR"/>
        </w:rPr>
        <w:t>n</w:t>
      </w:r>
      <w:r w:rsidRPr="00C62FD9">
        <w:rPr>
          <w:vertAlign w:val="superscript"/>
          <w:lang w:val="fr-FR"/>
        </w:rPr>
        <w:t>o</w:t>
      </w:r>
      <w:r>
        <w:rPr>
          <w:lang w:val="fr-FR"/>
        </w:rPr>
        <w:t> </w:t>
      </w:r>
      <w:r w:rsidRPr="004E42E6">
        <w:rPr>
          <w:lang w:val="fr-FR"/>
        </w:rPr>
        <w:t>6, le mécanisme national de prévention élaborera lui-même son budget annuel, qu</w:t>
      </w:r>
      <w:r>
        <w:rPr>
          <w:lang w:val="fr-FR"/>
        </w:rPr>
        <w:t>i</w:t>
      </w:r>
      <w:r w:rsidRPr="004E42E6">
        <w:rPr>
          <w:lang w:val="fr-FR"/>
        </w:rPr>
        <w:t xml:space="preserve"> devra</w:t>
      </w:r>
      <w:r>
        <w:rPr>
          <w:lang w:val="fr-FR"/>
        </w:rPr>
        <w:t xml:space="preserve"> être présenté</w:t>
      </w:r>
      <w:r w:rsidRPr="004E42E6">
        <w:rPr>
          <w:lang w:val="fr-FR"/>
        </w:rPr>
        <w:t xml:space="preserve"> et </w:t>
      </w:r>
      <w:r>
        <w:rPr>
          <w:lang w:val="fr-FR"/>
        </w:rPr>
        <w:t>financé</w:t>
      </w:r>
      <w:r w:rsidRPr="004E42E6">
        <w:rPr>
          <w:lang w:val="fr-FR"/>
        </w:rPr>
        <w:t xml:space="preserve"> </w:t>
      </w:r>
      <w:r>
        <w:rPr>
          <w:lang w:val="fr-FR"/>
        </w:rPr>
        <w:t>parallèlement</w:t>
      </w:r>
      <w:r w:rsidRPr="004E42E6">
        <w:rPr>
          <w:lang w:val="fr-FR"/>
        </w:rPr>
        <w:t xml:space="preserve"> avec celui du Bureau du Défenseur du peuple. </w:t>
      </w:r>
      <w:r>
        <w:rPr>
          <w:lang w:val="fr-FR"/>
        </w:rPr>
        <w:t>Ce dernier</w:t>
      </w:r>
      <w:r w:rsidRPr="004E42E6">
        <w:rPr>
          <w:lang w:val="fr-FR"/>
        </w:rPr>
        <w:t xml:space="preserve"> a tr</w:t>
      </w:r>
      <w:r>
        <w:rPr>
          <w:lang w:val="fr-FR"/>
        </w:rPr>
        <w:t>ansmis au Sous-Comité son avant</w:t>
      </w:r>
      <w:r>
        <w:rPr>
          <w:lang w:val="fr-FR"/>
        </w:rPr>
        <w:noBreakHyphen/>
      </w:r>
      <w:r w:rsidRPr="004E42E6">
        <w:rPr>
          <w:lang w:val="fr-FR"/>
        </w:rPr>
        <w:t>projet de budget pour 2018. L</w:t>
      </w:r>
      <w:r>
        <w:rPr>
          <w:lang w:val="fr-FR"/>
        </w:rPr>
        <w:t>’</w:t>
      </w:r>
      <w:r w:rsidRPr="004E42E6">
        <w:rPr>
          <w:lang w:val="fr-FR"/>
        </w:rPr>
        <w:t>introduction de ce document fait mention de la dotation du bureau du mécanisme national de prévention, mais aucun</w:t>
      </w:r>
      <w:r>
        <w:rPr>
          <w:lang w:val="fr-FR"/>
        </w:rPr>
        <w:t>e ligne budgétaire propre n’est prévue pour le mécanisme</w:t>
      </w:r>
      <w:r w:rsidRPr="004E42E6">
        <w:rPr>
          <w:lang w:val="fr-FR"/>
        </w:rPr>
        <w:t xml:space="preserve">. </w:t>
      </w:r>
      <w:bookmarkEnd w:id="33"/>
    </w:p>
    <w:p w:rsidR="000D798E" w:rsidRPr="008E69C4" w:rsidRDefault="000D798E" w:rsidP="000D798E">
      <w:pPr>
        <w:pStyle w:val="SingleTxtG"/>
        <w:rPr>
          <w:b/>
        </w:rPr>
      </w:pPr>
      <w:bookmarkStart w:id="34" w:name="bookmark_72"/>
      <w:r w:rsidRPr="00301C42">
        <w:rPr>
          <w:lang w:val="fr-FR"/>
        </w:rPr>
        <w:t>20.</w:t>
      </w:r>
      <w:r w:rsidRPr="008E69C4">
        <w:rPr>
          <w:b/>
          <w:lang w:val="fr-FR"/>
        </w:rPr>
        <w:tab/>
      </w:r>
      <w:r>
        <w:rPr>
          <w:b/>
          <w:lang w:val="fr-FR"/>
        </w:rPr>
        <w:t>L</w:t>
      </w:r>
      <w:r w:rsidRPr="008E69C4">
        <w:rPr>
          <w:b/>
          <w:lang w:val="fr-FR"/>
        </w:rPr>
        <w:t>e Sous-Comité considère que</w:t>
      </w:r>
      <w:r>
        <w:rPr>
          <w:b/>
          <w:lang w:val="fr-FR"/>
        </w:rPr>
        <w:t>,</w:t>
      </w:r>
      <w:r w:rsidRPr="008E69C4">
        <w:rPr>
          <w:b/>
          <w:lang w:val="fr-FR"/>
        </w:rPr>
        <w:t xml:space="preserve"> </w:t>
      </w:r>
      <w:r>
        <w:rPr>
          <w:b/>
          <w:lang w:val="fr-FR"/>
        </w:rPr>
        <w:t>p</w:t>
      </w:r>
      <w:r w:rsidRPr="008E69C4">
        <w:rPr>
          <w:b/>
          <w:lang w:val="fr-FR"/>
        </w:rPr>
        <w:t>our assurer l</w:t>
      </w:r>
      <w:r>
        <w:rPr>
          <w:b/>
          <w:lang w:val="fr-FR"/>
        </w:rPr>
        <w:t>’</w:t>
      </w:r>
      <w:r w:rsidRPr="008E69C4">
        <w:rPr>
          <w:b/>
          <w:lang w:val="fr-FR"/>
        </w:rPr>
        <w:t>autonomie financière du mécanisme national de prévention</w:t>
      </w:r>
      <w:r>
        <w:rPr>
          <w:b/>
          <w:lang w:val="fr-FR"/>
        </w:rPr>
        <w:t>,</w:t>
      </w:r>
      <w:r w:rsidRPr="008E69C4">
        <w:rPr>
          <w:b/>
          <w:lang w:val="fr-FR"/>
        </w:rPr>
        <w:t xml:space="preserve"> le Bureau du Défenseur du peuple doit inclure dans son budget une ligne </w:t>
      </w:r>
      <w:r>
        <w:rPr>
          <w:b/>
          <w:lang w:val="fr-FR"/>
        </w:rPr>
        <w:t>distincte</w:t>
      </w:r>
      <w:r w:rsidRPr="008E69C4">
        <w:rPr>
          <w:b/>
          <w:lang w:val="fr-FR"/>
        </w:rPr>
        <w:t xml:space="preserve"> pour le mécanisme national de prévention. </w:t>
      </w:r>
      <w:r>
        <w:rPr>
          <w:b/>
          <w:lang w:val="fr-FR"/>
        </w:rPr>
        <w:t xml:space="preserve">Lorsqu’il adopte </w:t>
      </w:r>
      <w:r w:rsidRPr="008E69C4">
        <w:rPr>
          <w:b/>
          <w:lang w:val="fr-FR"/>
        </w:rPr>
        <w:t xml:space="preserve">le budget du Bureau du Défenseur du peuple, </w:t>
      </w:r>
      <w:r>
        <w:rPr>
          <w:b/>
          <w:lang w:val="fr-FR"/>
        </w:rPr>
        <w:t xml:space="preserve">l’État partie </w:t>
      </w:r>
      <w:r w:rsidRPr="008E69C4">
        <w:rPr>
          <w:b/>
          <w:lang w:val="fr-FR"/>
        </w:rPr>
        <w:t xml:space="preserve">doit préciser la ligne budgétaire et le montant </w:t>
      </w:r>
      <w:r>
        <w:rPr>
          <w:b/>
          <w:lang w:val="fr-FR"/>
        </w:rPr>
        <w:t>consacrés</w:t>
      </w:r>
      <w:r w:rsidRPr="008E69C4">
        <w:rPr>
          <w:b/>
          <w:lang w:val="fr-FR"/>
        </w:rPr>
        <w:t xml:space="preserve"> au mécanisme national de prévention </w:t>
      </w:r>
      <w:r>
        <w:rPr>
          <w:b/>
          <w:lang w:val="fr-FR"/>
        </w:rPr>
        <w:t>pour</w:t>
      </w:r>
      <w:r w:rsidRPr="008E69C4">
        <w:rPr>
          <w:b/>
          <w:lang w:val="fr-FR"/>
        </w:rPr>
        <w:t xml:space="preserve"> que les ressources soient destinées exclusivement à l</w:t>
      </w:r>
      <w:r>
        <w:rPr>
          <w:b/>
          <w:lang w:val="fr-FR"/>
        </w:rPr>
        <w:t>’</w:t>
      </w:r>
      <w:r w:rsidRPr="008E69C4">
        <w:rPr>
          <w:b/>
          <w:lang w:val="fr-FR"/>
        </w:rPr>
        <w:t xml:space="preserve">exercice de ses </w:t>
      </w:r>
      <w:r w:rsidRPr="00B72241">
        <w:rPr>
          <w:b/>
          <w:bCs/>
          <w:iCs/>
          <w:lang w:val="fr-FR"/>
        </w:rPr>
        <w:t>attributions</w:t>
      </w:r>
      <w:r w:rsidRPr="008E69C4">
        <w:rPr>
          <w:b/>
          <w:bCs/>
          <w:i/>
          <w:iCs/>
          <w:lang w:val="fr-FR"/>
        </w:rPr>
        <w:t xml:space="preserve"> </w:t>
      </w:r>
      <w:r w:rsidRPr="008E69C4">
        <w:rPr>
          <w:b/>
          <w:lang w:val="fr-FR"/>
        </w:rPr>
        <w:t>et de ses fonctions.</w:t>
      </w:r>
      <w:bookmarkEnd w:id="34"/>
    </w:p>
    <w:p w:rsidR="000D798E" w:rsidRPr="004E42E6" w:rsidRDefault="000D798E" w:rsidP="000D798E">
      <w:pPr>
        <w:pStyle w:val="H23G"/>
      </w:pPr>
      <w:bookmarkStart w:id="35" w:name="bookmark_73"/>
      <w:r w:rsidRPr="004E42E6">
        <w:rPr>
          <w:lang w:val="fr-FR"/>
        </w:rPr>
        <w:tab/>
      </w:r>
      <w:r>
        <w:rPr>
          <w:lang w:val="fr-FR"/>
        </w:rPr>
        <w:tab/>
        <w:t>Règlement d’application de la l</w:t>
      </w:r>
      <w:r w:rsidRPr="004E42E6">
        <w:rPr>
          <w:lang w:val="fr-FR"/>
        </w:rPr>
        <w:t>oi</w:t>
      </w:r>
      <w:bookmarkEnd w:id="35"/>
    </w:p>
    <w:p w:rsidR="000D798E" w:rsidRPr="004E42E6" w:rsidRDefault="000D798E" w:rsidP="000D798E">
      <w:pPr>
        <w:pStyle w:val="SingleTxtG"/>
      </w:pPr>
      <w:bookmarkStart w:id="36" w:name="bookmark_74"/>
      <w:r>
        <w:rPr>
          <w:lang w:val="fr-FR"/>
        </w:rPr>
        <w:t>21.</w:t>
      </w:r>
      <w:r>
        <w:rPr>
          <w:lang w:val="fr-FR"/>
        </w:rPr>
        <w:tab/>
        <w:t xml:space="preserve">La </w:t>
      </w:r>
      <w:r w:rsidRPr="00E76046">
        <w:rPr>
          <w:lang w:val="fr-FR"/>
        </w:rPr>
        <w:t xml:space="preserve">loi </w:t>
      </w:r>
      <w:r>
        <w:rPr>
          <w:lang w:val="fr-FR"/>
        </w:rPr>
        <w:t>n</w:t>
      </w:r>
      <w:r w:rsidRPr="00C62FD9">
        <w:rPr>
          <w:vertAlign w:val="superscript"/>
          <w:lang w:val="fr-FR"/>
        </w:rPr>
        <w:t>o</w:t>
      </w:r>
      <w:r>
        <w:rPr>
          <w:lang w:val="fr-FR"/>
        </w:rPr>
        <w:t> </w:t>
      </w:r>
      <w:r w:rsidRPr="004E42E6">
        <w:rPr>
          <w:lang w:val="fr-FR"/>
        </w:rPr>
        <w:t>6 dispose que, dans les quatre mois suivant sa publication au Journal officiel (à savoir avant le 22</w:t>
      </w:r>
      <w:r>
        <w:rPr>
          <w:lang w:val="fr-FR"/>
        </w:rPr>
        <w:t> </w:t>
      </w:r>
      <w:r w:rsidRPr="004E42E6">
        <w:rPr>
          <w:lang w:val="fr-FR"/>
        </w:rPr>
        <w:t>juin 2017), un décret établissant les</w:t>
      </w:r>
      <w:r>
        <w:rPr>
          <w:lang w:val="fr-FR"/>
        </w:rPr>
        <w:t xml:space="preserve"> modalités d’application de la l</w:t>
      </w:r>
      <w:r w:rsidRPr="004E42E6">
        <w:rPr>
          <w:lang w:val="fr-FR"/>
        </w:rPr>
        <w:t>oi doit être adopté. Le Sous-Comité a pris note avec satisfaction des renseignements reçu</w:t>
      </w:r>
      <w:r>
        <w:rPr>
          <w:lang w:val="fr-FR"/>
        </w:rPr>
        <w:t>s</w:t>
      </w:r>
      <w:r w:rsidRPr="004E42E6">
        <w:rPr>
          <w:lang w:val="fr-FR"/>
        </w:rPr>
        <w:t xml:space="preserve"> concernant la mise en place d</w:t>
      </w:r>
      <w:r>
        <w:rPr>
          <w:lang w:val="fr-FR"/>
        </w:rPr>
        <w:t>’un</w:t>
      </w:r>
      <w:r w:rsidRPr="004E42E6">
        <w:rPr>
          <w:lang w:val="fr-FR"/>
        </w:rPr>
        <w:t xml:space="preserve"> processus participatif pour l</w:t>
      </w:r>
      <w:r>
        <w:rPr>
          <w:lang w:val="fr-FR"/>
        </w:rPr>
        <w:t>’</w:t>
      </w:r>
      <w:r w:rsidRPr="004E42E6">
        <w:rPr>
          <w:lang w:val="fr-FR"/>
        </w:rPr>
        <w:t>élaboration du règlement d</w:t>
      </w:r>
      <w:r>
        <w:rPr>
          <w:lang w:val="fr-FR"/>
        </w:rPr>
        <w:t>’</w:t>
      </w:r>
      <w:r w:rsidRPr="004E42E6">
        <w:rPr>
          <w:lang w:val="fr-FR"/>
        </w:rPr>
        <w:t xml:space="preserve">application de la </w:t>
      </w:r>
      <w:r>
        <w:rPr>
          <w:lang w:val="fr-FR"/>
        </w:rPr>
        <w:t>l</w:t>
      </w:r>
      <w:r w:rsidRPr="004E42E6">
        <w:rPr>
          <w:lang w:val="fr-FR"/>
        </w:rPr>
        <w:t>oi, grâce à la création par le Bureau du Défenseur public d</w:t>
      </w:r>
      <w:r>
        <w:rPr>
          <w:lang w:val="fr-FR"/>
        </w:rPr>
        <w:t>’</w:t>
      </w:r>
      <w:r w:rsidRPr="004E42E6">
        <w:rPr>
          <w:lang w:val="fr-FR"/>
        </w:rPr>
        <w:t xml:space="preserve">un groupe de </w:t>
      </w:r>
      <w:r>
        <w:rPr>
          <w:lang w:val="fr-FR"/>
        </w:rPr>
        <w:t>travail interinstitutionnel composé de</w:t>
      </w:r>
      <w:r w:rsidRPr="004E42E6">
        <w:rPr>
          <w:lang w:val="fr-FR"/>
        </w:rPr>
        <w:t xml:space="preserve"> re</w:t>
      </w:r>
      <w:r>
        <w:rPr>
          <w:lang w:val="fr-FR"/>
        </w:rPr>
        <w:t>présentants de l’État et de la s</w:t>
      </w:r>
      <w:r w:rsidRPr="004E42E6">
        <w:rPr>
          <w:lang w:val="fr-FR"/>
        </w:rPr>
        <w:t>ociété civile.</w:t>
      </w:r>
      <w:bookmarkEnd w:id="36"/>
    </w:p>
    <w:p w:rsidR="000D798E" w:rsidRPr="00A1408E" w:rsidRDefault="000D798E" w:rsidP="000D798E">
      <w:pPr>
        <w:pStyle w:val="SingleTxtG"/>
        <w:rPr>
          <w:b/>
        </w:rPr>
      </w:pPr>
      <w:bookmarkStart w:id="37" w:name="bookmark_75"/>
      <w:r w:rsidRPr="00301C42">
        <w:rPr>
          <w:lang w:val="fr-FR"/>
        </w:rPr>
        <w:t>22.</w:t>
      </w:r>
      <w:r w:rsidRPr="00301C42">
        <w:rPr>
          <w:lang w:val="fr-FR"/>
        </w:rPr>
        <w:tab/>
      </w:r>
      <w:r>
        <w:rPr>
          <w:b/>
          <w:lang w:val="fr-FR"/>
        </w:rPr>
        <w:t>Faisant siennes les constatations du</w:t>
      </w:r>
      <w:r w:rsidRPr="00A1408E">
        <w:rPr>
          <w:b/>
          <w:lang w:val="fr-FR"/>
        </w:rPr>
        <w:t xml:space="preserve"> Comité contre la torture, le Sous-Comité regrette que, à la date du présent rapport, le projet de décret n</w:t>
      </w:r>
      <w:r>
        <w:rPr>
          <w:b/>
          <w:lang w:val="fr-FR"/>
        </w:rPr>
        <w:t>’</w:t>
      </w:r>
      <w:r w:rsidRPr="00A1408E">
        <w:rPr>
          <w:b/>
          <w:lang w:val="fr-FR"/>
        </w:rPr>
        <w:t xml:space="preserve">ait pas encore été </w:t>
      </w:r>
      <w:r>
        <w:rPr>
          <w:b/>
          <w:lang w:val="fr-FR"/>
        </w:rPr>
        <w:t>adopté</w:t>
      </w:r>
      <w:r w:rsidRPr="00A1408E">
        <w:rPr>
          <w:b/>
          <w:lang w:val="fr-FR"/>
        </w:rPr>
        <w:t xml:space="preserve">. </w:t>
      </w:r>
      <w:r>
        <w:rPr>
          <w:b/>
          <w:lang w:val="fr-FR"/>
        </w:rPr>
        <w:t>Il</w:t>
      </w:r>
      <w:r w:rsidRPr="00A1408E">
        <w:rPr>
          <w:b/>
          <w:lang w:val="fr-FR"/>
        </w:rPr>
        <w:t xml:space="preserve"> prie le </w:t>
      </w:r>
      <w:r>
        <w:rPr>
          <w:b/>
          <w:lang w:val="fr-FR"/>
        </w:rPr>
        <w:t>Bureau du Défenseur du peuple,</w:t>
      </w:r>
      <w:r w:rsidRPr="00A1408E">
        <w:rPr>
          <w:b/>
          <w:lang w:val="fr-FR"/>
        </w:rPr>
        <w:t xml:space="preserve"> de</w:t>
      </w:r>
      <w:r>
        <w:rPr>
          <w:b/>
          <w:lang w:val="fr-FR"/>
        </w:rPr>
        <w:t xml:space="preserve"> </w:t>
      </w:r>
      <w:r w:rsidRPr="00A1408E">
        <w:rPr>
          <w:b/>
          <w:lang w:val="fr-FR"/>
        </w:rPr>
        <w:t>transmettre le projet de règlement</w:t>
      </w:r>
      <w:r>
        <w:rPr>
          <w:b/>
          <w:lang w:val="fr-FR"/>
        </w:rPr>
        <w:t xml:space="preserve"> </w:t>
      </w:r>
      <w:r w:rsidRPr="00A1408E">
        <w:rPr>
          <w:b/>
          <w:lang w:val="fr-FR"/>
        </w:rPr>
        <w:t>immédiatement à l</w:t>
      </w:r>
      <w:r>
        <w:rPr>
          <w:b/>
          <w:lang w:val="fr-FR"/>
        </w:rPr>
        <w:t>’</w:t>
      </w:r>
      <w:r w:rsidRPr="00A1408E">
        <w:rPr>
          <w:b/>
          <w:lang w:val="fr-FR"/>
        </w:rPr>
        <w:t>autorité compétente pour qu</w:t>
      </w:r>
      <w:r>
        <w:rPr>
          <w:b/>
          <w:lang w:val="fr-FR"/>
        </w:rPr>
        <w:t>’</w:t>
      </w:r>
      <w:r w:rsidRPr="00A1408E">
        <w:rPr>
          <w:b/>
          <w:lang w:val="fr-FR"/>
        </w:rPr>
        <w:t xml:space="preserve">il </w:t>
      </w:r>
      <w:r>
        <w:rPr>
          <w:b/>
          <w:lang w:val="fr-FR"/>
        </w:rPr>
        <w:t>l’</w:t>
      </w:r>
      <w:r w:rsidRPr="00A1408E">
        <w:rPr>
          <w:b/>
          <w:lang w:val="fr-FR"/>
        </w:rPr>
        <w:t>adopt</w:t>
      </w:r>
      <w:r>
        <w:rPr>
          <w:b/>
          <w:lang w:val="fr-FR"/>
        </w:rPr>
        <w:t>e</w:t>
      </w:r>
      <w:r w:rsidRPr="00A1408E">
        <w:rPr>
          <w:b/>
          <w:lang w:val="fr-FR"/>
        </w:rPr>
        <w:t xml:space="preserve"> sans délai</w:t>
      </w:r>
      <w:r>
        <w:rPr>
          <w:b/>
          <w:lang w:val="fr-FR"/>
        </w:rPr>
        <w:t>,</w:t>
      </w:r>
      <w:r w:rsidRPr="008114B2">
        <w:rPr>
          <w:b/>
          <w:lang w:val="fr-FR"/>
        </w:rPr>
        <w:t xml:space="preserve"> </w:t>
      </w:r>
      <w:r>
        <w:rPr>
          <w:b/>
          <w:lang w:val="fr-FR"/>
        </w:rPr>
        <w:t>après que</w:t>
      </w:r>
      <w:r w:rsidRPr="00A1408E">
        <w:rPr>
          <w:b/>
          <w:lang w:val="fr-FR"/>
        </w:rPr>
        <w:t xml:space="preserve"> le groupe de travail interinstitutionnel </w:t>
      </w:r>
      <w:r>
        <w:rPr>
          <w:b/>
          <w:lang w:val="fr-FR"/>
        </w:rPr>
        <w:t>l’aura approuvé</w:t>
      </w:r>
      <w:r w:rsidRPr="00A1408E">
        <w:rPr>
          <w:b/>
          <w:lang w:val="fr-FR"/>
        </w:rPr>
        <w:t>.</w:t>
      </w:r>
      <w:bookmarkEnd w:id="37"/>
    </w:p>
    <w:p w:rsidR="000D798E" w:rsidRPr="004E42E6" w:rsidRDefault="000D798E" w:rsidP="000D798E">
      <w:pPr>
        <w:pStyle w:val="H23G"/>
      </w:pPr>
      <w:bookmarkStart w:id="38" w:name="bookmark_76"/>
      <w:r w:rsidRPr="004E42E6">
        <w:rPr>
          <w:lang w:val="fr-FR"/>
        </w:rPr>
        <w:tab/>
      </w:r>
      <w:r w:rsidRPr="004E42E6">
        <w:rPr>
          <w:lang w:val="fr-FR"/>
        </w:rPr>
        <w:tab/>
        <w:t xml:space="preserve">Nomination du directeur et du directeur adjoint du mécanisme national </w:t>
      </w:r>
      <w:r>
        <w:rPr>
          <w:lang w:val="fr-FR"/>
        </w:rPr>
        <w:br/>
      </w:r>
      <w:r w:rsidRPr="004E42E6">
        <w:rPr>
          <w:lang w:val="fr-FR"/>
        </w:rPr>
        <w:t>de prévention</w:t>
      </w:r>
      <w:bookmarkEnd w:id="38"/>
    </w:p>
    <w:p w:rsidR="000D798E" w:rsidRPr="004E42E6" w:rsidRDefault="000D798E" w:rsidP="000D798E">
      <w:pPr>
        <w:pStyle w:val="SingleTxtG"/>
      </w:pPr>
      <w:bookmarkStart w:id="39" w:name="bookmark_77"/>
      <w:r w:rsidRPr="004E42E6">
        <w:rPr>
          <w:lang w:val="fr-FR"/>
        </w:rPr>
        <w:t>23.</w:t>
      </w:r>
      <w:r w:rsidRPr="004E42E6">
        <w:rPr>
          <w:lang w:val="fr-FR"/>
        </w:rPr>
        <w:tab/>
        <w:t xml:space="preserve">Le Sous-Comité a </w:t>
      </w:r>
      <w:r>
        <w:rPr>
          <w:lang w:val="fr-FR"/>
        </w:rPr>
        <w:t>salué</w:t>
      </w:r>
      <w:r w:rsidRPr="004E42E6">
        <w:rPr>
          <w:lang w:val="fr-FR"/>
        </w:rPr>
        <w:t xml:space="preserve"> la nomination, en août 2017, des membres du comité chargé de sélectionner le directeur et le directeur adjoint du mécanisme national de prévention. Il</w:t>
      </w:r>
      <w:r>
        <w:rPr>
          <w:lang w:val="fr-FR"/>
        </w:rPr>
        <w:t> trouve néanmoins regrettable que, à la date de la visite de sa délégation</w:t>
      </w:r>
      <w:r w:rsidRPr="004E42E6">
        <w:rPr>
          <w:lang w:val="fr-FR"/>
        </w:rPr>
        <w:t>, le règlement du comité de sélection n</w:t>
      </w:r>
      <w:r>
        <w:rPr>
          <w:lang w:val="fr-FR"/>
        </w:rPr>
        <w:t>’</w:t>
      </w:r>
      <w:r w:rsidRPr="004E42E6">
        <w:rPr>
          <w:lang w:val="fr-FR"/>
        </w:rPr>
        <w:t>a</w:t>
      </w:r>
      <w:r>
        <w:rPr>
          <w:lang w:val="fr-FR"/>
        </w:rPr>
        <w:t>vait</w:t>
      </w:r>
      <w:r w:rsidRPr="004E42E6">
        <w:rPr>
          <w:lang w:val="fr-FR"/>
        </w:rPr>
        <w:t xml:space="preserve"> </w:t>
      </w:r>
      <w:r>
        <w:rPr>
          <w:lang w:val="fr-FR"/>
        </w:rPr>
        <w:t>toujours pas</w:t>
      </w:r>
      <w:r w:rsidRPr="004E42E6">
        <w:rPr>
          <w:lang w:val="fr-FR"/>
        </w:rPr>
        <w:t xml:space="preserve"> été </w:t>
      </w:r>
      <w:r>
        <w:rPr>
          <w:lang w:val="fr-FR"/>
        </w:rPr>
        <w:t>adopté</w:t>
      </w:r>
      <w:r w:rsidRPr="004E42E6">
        <w:rPr>
          <w:lang w:val="fr-FR"/>
        </w:rPr>
        <w:t xml:space="preserve">, ce qui retardait </w:t>
      </w:r>
      <w:r w:rsidRPr="00B72241">
        <w:rPr>
          <w:lang w:val="fr-FR"/>
        </w:rPr>
        <w:t>l</w:t>
      </w:r>
      <w:r>
        <w:rPr>
          <w:lang w:val="fr-FR"/>
        </w:rPr>
        <w:t>’</w:t>
      </w:r>
      <w:r w:rsidRPr="00B72241">
        <w:rPr>
          <w:bCs/>
          <w:iCs/>
          <w:lang w:val="fr-FR"/>
        </w:rPr>
        <w:t>annonce</w:t>
      </w:r>
      <w:r>
        <w:rPr>
          <w:lang w:val="fr-FR"/>
        </w:rPr>
        <w:t xml:space="preserve"> de vacances de postes aux fins du recrutement</w:t>
      </w:r>
      <w:r w:rsidRPr="004E42E6">
        <w:rPr>
          <w:lang w:val="fr-FR"/>
        </w:rPr>
        <w:t xml:space="preserve"> du directeur et du directeur adjoint du mécanisme national de prévention.</w:t>
      </w:r>
      <w:bookmarkEnd w:id="39"/>
    </w:p>
    <w:p w:rsidR="000D798E" w:rsidRPr="00A1408E" w:rsidRDefault="000D798E" w:rsidP="000D798E">
      <w:pPr>
        <w:pStyle w:val="SingleTxtG"/>
        <w:rPr>
          <w:b/>
        </w:rPr>
      </w:pPr>
      <w:bookmarkStart w:id="40" w:name="bookmark_78"/>
      <w:r w:rsidRPr="00301C42">
        <w:rPr>
          <w:lang w:val="fr-FR"/>
        </w:rPr>
        <w:t>24.</w:t>
      </w:r>
      <w:r w:rsidRPr="00301C42">
        <w:rPr>
          <w:lang w:val="fr-FR"/>
        </w:rPr>
        <w:tab/>
      </w:r>
      <w:r w:rsidRPr="00A1408E">
        <w:rPr>
          <w:b/>
          <w:lang w:val="fr-FR"/>
        </w:rPr>
        <w:t>Le Sous-Comité demande instamment à l</w:t>
      </w:r>
      <w:r>
        <w:rPr>
          <w:b/>
          <w:lang w:val="fr-FR"/>
        </w:rPr>
        <w:t>’</w:t>
      </w:r>
      <w:r w:rsidRPr="00A1408E">
        <w:rPr>
          <w:b/>
          <w:lang w:val="fr-FR"/>
        </w:rPr>
        <w:t>État partie de s</w:t>
      </w:r>
      <w:r>
        <w:rPr>
          <w:b/>
          <w:lang w:val="fr-FR"/>
        </w:rPr>
        <w:t>’</w:t>
      </w:r>
      <w:r w:rsidRPr="00A1408E">
        <w:rPr>
          <w:b/>
          <w:lang w:val="fr-FR"/>
        </w:rPr>
        <w:t>acquitter rapidement de son obligation internationale d</w:t>
      </w:r>
      <w:r>
        <w:rPr>
          <w:b/>
          <w:lang w:val="fr-FR"/>
        </w:rPr>
        <w:t>’</w:t>
      </w:r>
      <w:r w:rsidRPr="00A1408E">
        <w:rPr>
          <w:b/>
          <w:lang w:val="fr-FR"/>
        </w:rPr>
        <w:t>établir un mécanisme national de prévention</w:t>
      </w:r>
      <w:r>
        <w:rPr>
          <w:b/>
          <w:lang w:val="fr-FR"/>
        </w:rPr>
        <w:t xml:space="preserve"> présentant</w:t>
      </w:r>
      <w:r w:rsidRPr="00A1408E">
        <w:rPr>
          <w:b/>
          <w:lang w:val="fr-FR"/>
        </w:rPr>
        <w:t xml:space="preserve"> les garanties </w:t>
      </w:r>
      <w:r>
        <w:rPr>
          <w:b/>
          <w:lang w:val="fr-FR"/>
        </w:rPr>
        <w:t>particulières</w:t>
      </w:r>
      <w:r w:rsidRPr="00A1408E">
        <w:rPr>
          <w:b/>
          <w:lang w:val="fr-FR"/>
        </w:rPr>
        <w:t xml:space="preserve"> exigées des mécanismes nationaux, étant donné qu</w:t>
      </w:r>
      <w:r>
        <w:rPr>
          <w:b/>
          <w:lang w:val="fr-FR"/>
        </w:rPr>
        <w:t>’</w:t>
      </w:r>
      <w:r w:rsidRPr="00A1408E">
        <w:rPr>
          <w:b/>
          <w:lang w:val="fr-FR"/>
        </w:rPr>
        <w:t>il accuse cinq ans de retard dans l</w:t>
      </w:r>
      <w:r>
        <w:rPr>
          <w:b/>
          <w:lang w:val="fr-FR"/>
        </w:rPr>
        <w:t>’</w:t>
      </w:r>
      <w:r w:rsidRPr="00A1408E">
        <w:rPr>
          <w:b/>
          <w:lang w:val="fr-FR"/>
        </w:rPr>
        <w:t xml:space="preserve">exécution de ses obligations. </w:t>
      </w:r>
      <w:r>
        <w:rPr>
          <w:b/>
          <w:lang w:val="fr-FR"/>
        </w:rPr>
        <w:t>Il lui</w:t>
      </w:r>
      <w:r w:rsidRPr="00A1408E">
        <w:rPr>
          <w:b/>
          <w:lang w:val="fr-FR"/>
        </w:rPr>
        <w:t xml:space="preserve"> demande de </w:t>
      </w:r>
      <w:r>
        <w:rPr>
          <w:b/>
          <w:lang w:val="fr-FR"/>
        </w:rPr>
        <w:t xml:space="preserve">lui </w:t>
      </w:r>
      <w:r w:rsidRPr="00A1408E">
        <w:rPr>
          <w:b/>
          <w:lang w:val="fr-FR"/>
        </w:rPr>
        <w:t>communiquer, dans un délai d</w:t>
      </w:r>
      <w:r>
        <w:rPr>
          <w:b/>
          <w:lang w:val="fr-FR"/>
        </w:rPr>
        <w:t>’</w:t>
      </w:r>
      <w:r w:rsidRPr="00A1408E">
        <w:rPr>
          <w:b/>
          <w:lang w:val="fr-FR"/>
        </w:rPr>
        <w:t>un mois, des renseignements sur le calendrier de nomination du directeur et du directeur adjoint du mécanisme national de prévention et sur le budget effectivement alloué</w:t>
      </w:r>
      <w:r>
        <w:rPr>
          <w:b/>
          <w:lang w:val="fr-FR"/>
        </w:rPr>
        <w:t xml:space="preserve"> au mécanisme</w:t>
      </w:r>
      <w:r w:rsidRPr="00A1408E">
        <w:rPr>
          <w:b/>
          <w:lang w:val="fr-FR"/>
        </w:rPr>
        <w:t xml:space="preserve">. </w:t>
      </w:r>
      <w:bookmarkEnd w:id="40"/>
    </w:p>
    <w:p w:rsidR="000D798E" w:rsidRPr="004E42E6" w:rsidRDefault="000D798E" w:rsidP="000D798E">
      <w:pPr>
        <w:pStyle w:val="H23G"/>
      </w:pPr>
      <w:bookmarkStart w:id="41" w:name="bookmark_79"/>
      <w:r w:rsidRPr="004E42E6">
        <w:rPr>
          <w:lang w:val="fr-FR"/>
        </w:rPr>
        <w:tab/>
      </w:r>
      <w:r w:rsidRPr="004E42E6">
        <w:rPr>
          <w:lang w:val="fr-FR"/>
        </w:rPr>
        <w:tab/>
      </w:r>
      <w:r>
        <w:rPr>
          <w:lang w:val="fr-FR"/>
        </w:rPr>
        <w:t>Points</w:t>
      </w:r>
      <w:r w:rsidRPr="004E42E6">
        <w:rPr>
          <w:lang w:val="fr-FR"/>
        </w:rPr>
        <w:t xml:space="preserve"> fondamentaux pour le fonctionnement du mécanisme national </w:t>
      </w:r>
      <w:r>
        <w:rPr>
          <w:lang w:val="fr-FR"/>
        </w:rPr>
        <w:br/>
      </w:r>
      <w:r w:rsidRPr="004E42E6">
        <w:rPr>
          <w:lang w:val="fr-FR"/>
        </w:rPr>
        <w:t>de prévention</w:t>
      </w:r>
      <w:bookmarkEnd w:id="41"/>
    </w:p>
    <w:p w:rsidR="000D798E" w:rsidRPr="004E42E6" w:rsidRDefault="000D798E" w:rsidP="000D798E">
      <w:pPr>
        <w:pStyle w:val="SingleTxtG"/>
      </w:pPr>
      <w:bookmarkStart w:id="42" w:name="bookmark_80"/>
      <w:r w:rsidRPr="004E42E6">
        <w:rPr>
          <w:lang w:val="fr-FR"/>
        </w:rPr>
        <w:t>25.</w:t>
      </w:r>
      <w:r w:rsidRPr="004E42E6">
        <w:rPr>
          <w:lang w:val="fr-FR"/>
        </w:rPr>
        <w:tab/>
        <w:t xml:space="preserve">Une fois </w:t>
      </w:r>
      <w:r>
        <w:rPr>
          <w:lang w:val="fr-FR"/>
        </w:rPr>
        <w:t>mis en place</w:t>
      </w:r>
      <w:r w:rsidRPr="004E42E6">
        <w:rPr>
          <w:lang w:val="fr-FR"/>
        </w:rPr>
        <w:t>, le mécanisme national de prévention devra exécuter son mandat conformément au Protocole facultatif, en particulier les a</w:t>
      </w:r>
      <w:r>
        <w:rPr>
          <w:lang w:val="fr-FR"/>
        </w:rPr>
        <w:t xml:space="preserve">rticles 4 et 19, et </w:t>
      </w:r>
      <w:r>
        <w:rPr>
          <w:lang w:val="fr-FR"/>
        </w:rPr>
        <w:lastRenderedPageBreak/>
        <w:t>aux Directive</w:t>
      </w:r>
      <w:r w:rsidRPr="004E42E6">
        <w:rPr>
          <w:lang w:val="fr-FR"/>
        </w:rPr>
        <w:t xml:space="preserve">s concernant les mécanismes nationaux de </w:t>
      </w:r>
      <w:r>
        <w:rPr>
          <w:lang w:val="fr-FR"/>
        </w:rPr>
        <w:t>prévention publiées par le Sous</w:t>
      </w:r>
      <w:r>
        <w:rPr>
          <w:lang w:val="fr-FR"/>
        </w:rPr>
        <w:noBreakHyphen/>
      </w:r>
      <w:r w:rsidRPr="004E42E6">
        <w:rPr>
          <w:lang w:val="fr-FR"/>
        </w:rPr>
        <w:t xml:space="preserve">Comité. Pour ce faire, il devra établir un programme de travail et un budget </w:t>
      </w:r>
      <w:r>
        <w:rPr>
          <w:lang w:val="fr-FR"/>
        </w:rPr>
        <w:t>qui garantissent</w:t>
      </w:r>
      <w:r w:rsidRPr="004E42E6">
        <w:rPr>
          <w:lang w:val="fr-FR"/>
        </w:rPr>
        <w:t xml:space="preserve"> que les lieux de privation de liberté puissent être visités </w:t>
      </w:r>
      <w:r>
        <w:rPr>
          <w:lang w:val="fr-FR"/>
        </w:rPr>
        <w:t>dûment et aussi souvent que nécessaire</w:t>
      </w:r>
      <w:r w:rsidRPr="004E42E6">
        <w:rPr>
          <w:lang w:val="fr-FR"/>
        </w:rPr>
        <w:t xml:space="preserve"> pour </w:t>
      </w:r>
      <w:r>
        <w:rPr>
          <w:lang w:val="fr-FR"/>
        </w:rPr>
        <w:t>contribuer</w:t>
      </w:r>
      <w:r w:rsidRPr="004E42E6">
        <w:rPr>
          <w:lang w:val="fr-FR"/>
        </w:rPr>
        <w:t xml:space="preserve"> réelle</w:t>
      </w:r>
      <w:r>
        <w:rPr>
          <w:lang w:val="fr-FR"/>
        </w:rPr>
        <w:t>ment</w:t>
      </w:r>
      <w:r w:rsidRPr="004E42E6">
        <w:rPr>
          <w:lang w:val="fr-FR"/>
        </w:rPr>
        <w:t xml:space="preserve"> à la prévention de la torture. Le</w:t>
      </w:r>
      <w:r>
        <w:rPr>
          <w:lang w:val="fr-FR"/>
        </w:rPr>
        <w:t> </w:t>
      </w:r>
      <w:r w:rsidRPr="004E42E6">
        <w:rPr>
          <w:lang w:val="fr-FR"/>
        </w:rPr>
        <w:t xml:space="preserve">programme de travail devra également comprendre un programme de partenariat avec les organisations de la société civile. </w:t>
      </w:r>
      <w:bookmarkEnd w:id="42"/>
    </w:p>
    <w:p w:rsidR="000D798E" w:rsidRPr="004E42E6" w:rsidRDefault="000D798E" w:rsidP="000D798E">
      <w:pPr>
        <w:pStyle w:val="SingleTxtG"/>
      </w:pPr>
      <w:bookmarkStart w:id="43" w:name="bookmark_81"/>
      <w:r w:rsidRPr="004E42E6">
        <w:rPr>
          <w:lang w:val="fr-FR"/>
        </w:rPr>
        <w:t>26.</w:t>
      </w:r>
      <w:r w:rsidRPr="004E42E6">
        <w:rPr>
          <w:lang w:val="fr-FR"/>
        </w:rPr>
        <w:tab/>
        <w:t>Le mécanisme national de prévention devra établir des rapports à l</w:t>
      </w:r>
      <w:r>
        <w:rPr>
          <w:lang w:val="fr-FR"/>
        </w:rPr>
        <w:t>’</w:t>
      </w:r>
      <w:r w:rsidRPr="004E42E6">
        <w:rPr>
          <w:lang w:val="fr-FR"/>
        </w:rPr>
        <w:t>issue de ses visites, ainsi qu</w:t>
      </w:r>
      <w:r>
        <w:rPr>
          <w:lang w:val="fr-FR"/>
        </w:rPr>
        <w:t>’</w:t>
      </w:r>
      <w:r w:rsidRPr="004E42E6">
        <w:rPr>
          <w:lang w:val="fr-FR"/>
        </w:rPr>
        <w:t>un rapport annuel et tout autre type de rapport qu</w:t>
      </w:r>
      <w:r>
        <w:rPr>
          <w:lang w:val="fr-FR"/>
        </w:rPr>
        <w:t>’</w:t>
      </w:r>
      <w:r w:rsidRPr="004E42E6">
        <w:rPr>
          <w:lang w:val="fr-FR"/>
        </w:rPr>
        <w:t xml:space="preserve">il </w:t>
      </w:r>
      <w:r>
        <w:rPr>
          <w:lang w:val="fr-FR"/>
        </w:rPr>
        <w:t>considérera</w:t>
      </w:r>
      <w:r w:rsidRPr="004E42E6">
        <w:rPr>
          <w:lang w:val="fr-FR"/>
        </w:rPr>
        <w:t xml:space="preserve"> opportun. S</w:t>
      </w:r>
      <w:r>
        <w:rPr>
          <w:lang w:val="fr-FR"/>
        </w:rPr>
        <w:t>’</w:t>
      </w:r>
      <w:r w:rsidRPr="004E42E6">
        <w:rPr>
          <w:lang w:val="fr-FR"/>
        </w:rPr>
        <w:t>il y a lieu, il formulera dans ces rapports des recommandations à l</w:t>
      </w:r>
      <w:r>
        <w:rPr>
          <w:lang w:val="fr-FR"/>
        </w:rPr>
        <w:t>’</w:t>
      </w:r>
      <w:r w:rsidRPr="004E42E6">
        <w:rPr>
          <w:lang w:val="fr-FR"/>
        </w:rPr>
        <w:t xml:space="preserve">intention des </w:t>
      </w:r>
      <w:r>
        <w:rPr>
          <w:lang w:val="fr-FR"/>
        </w:rPr>
        <w:t>autorités compétentes. Dans lesdites</w:t>
      </w:r>
      <w:r w:rsidRPr="004E42E6">
        <w:rPr>
          <w:lang w:val="fr-FR"/>
        </w:rPr>
        <w:t xml:space="preserve"> recommandations, il devra tenir compte des règles pertinentes du système des Nations Unies en matière de prévention de la torture, ainsi que des</w:t>
      </w:r>
      <w:r>
        <w:rPr>
          <w:lang w:val="fr-FR"/>
        </w:rPr>
        <w:t> </w:t>
      </w:r>
      <w:r w:rsidRPr="004E42E6">
        <w:rPr>
          <w:lang w:val="fr-FR"/>
        </w:rPr>
        <w:t>Directives du Sous-Comité.</w:t>
      </w:r>
      <w:bookmarkEnd w:id="43"/>
    </w:p>
    <w:p w:rsidR="000D798E" w:rsidRPr="004E42E6" w:rsidRDefault="000D798E" w:rsidP="000D798E">
      <w:pPr>
        <w:pStyle w:val="SingleTxtG"/>
      </w:pPr>
      <w:bookmarkStart w:id="44" w:name="bookmark_82"/>
      <w:r w:rsidRPr="004E42E6">
        <w:rPr>
          <w:lang w:val="fr-FR"/>
        </w:rPr>
        <w:t>27.</w:t>
      </w:r>
      <w:r w:rsidRPr="004E42E6">
        <w:rPr>
          <w:lang w:val="fr-FR"/>
        </w:rPr>
        <w:tab/>
        <w:t>Le mécanisme pourra également présenter aux autorités compétentes de l</w:t>
      </w:r>
      <w:r>
        <w:rPr>
          <w:lang w:val="fr-FR"/>
        </w:rPr>
        <w:t>’</w:t>
      </w:r>
      <w:r w:rsidRPr="004E42E6">
        <w:rPr>
          <w:lang w:val="fr-FR"/>
        </w:rPr>
        <w:t>État partie des propositions et des observations sur la politique et la législation en vigueur ou sur des projets qu</w:t>
      </w:r>
      <w:r>
        <w:rPr>
          <w:lang w:val="fr-FR"/>
        </w:rPr>
        <w:t>’</w:t>
      </w:r>
      <w:r w:rsidRPr="004E42E6">
        <w:rPr>
          <w:lang w:val="fr-FR"/>
        </w:rPr>
        <w:t>il considère pertinents pour l</w:t>
      </w:r>
      <w:r>
        <w:rPr>
          <w:lang w:val="fr-FR"/>
        </w:rPr>
        <w:t>’</w:t>
      </w:r>
      <w:r w:rsidRPr="004E42E6">
        <w:rPr>
          <w:lang w:val="fr-FR"/>
        </w:rPr>
        <w:t>exécution de son mandat.</w:t>
      </w:r>
      <w:bookmarkEnd w:id="44"/>
    </w:p>
    <w:p w:rsidR="000D798E" w:rsidRPr="004E42E6" w:rsidRDefault="000D798E" w:rsidP="000D798E">
      <w:pPr>
        <w:pStyle w:val="SingleTxtG"/>
      </w:pPr>
      <w:bookmarkStart w:id="45" w:name="bookmark_83"/>
      <w:r w:rsidRPr="004E42E6">
        <w:rPr>
          <w:lang w:val="fr-FR"/>
        </w:rPr>
        <w:t>28.</w:t>
      </w:r>
      <w:r w:rsidRPr="004E42E6">
        <w:rPr>
          <w:lang w:val="fr-FR"/>
        </w:rPr>
        <w:tab/>
        <w:t xml:space="preserve">Le mécanisme national de prévention devra engager un dialogue </w:t>
      </w:r>
      <w:r>
        <w:rPr>
          <w:lang w:val="fr-FR"/>
        </w:rPr>
        <w:t>nourri</w:t>
      </w:r>
      <w:r w:rsidRPr="004E42E6">
        <w:rPr>
          <w:lang w:val="fr-FR"/>
        </w:rPr>
        <w:t xml:space="preserve"> avec l</w:t>
      </w:r>
      <w:r>
        <w:rPr>
          <w:lang w:val="fr-FR"/>
        </w:rPr>
        <w:t>’</w:t>
      </w:r>
      <w:r w:rsidRPr="004E42E6">
        <w:rPr>
          <w:lang w:val="fr-FR"/>
        </w:rPr>
        <w:t>État partie sur l</w:t>
      </w:r>
      <w:r>
        <w:rPr>
          <w:lang w:val="fr-FR"/>
        </w:rPr>
        <w:t>’</w:t>
      </w:r>
      <w:r w:rsidRPr="004E42E6">
        <w:rPr>
          <w:lang w:val="fr-FR"/>
        </w:rPr>
        <w:t xml:space="preserve">application de ses recommandations. De même il devra </w:t>
      </w:r>
      <w:r>
        <w:rPr>
          <w:lang w:val="fr-FR"/>
        </w:rPr>
        <w:t>se préoccuper</w:t>
      </w:r>
      <w:r w:rsidRPr="004E42E6">
        <w:rPr>
          <w:lang w:val="fr-FR"/>
        </w:rPr>
        <w:t xml:space="preserve"> de l</w:t>
      </w:r>
      <w:r>
        <w:rPr>
          <w:lang w:val="fr-FR"/>
        </w:rPr>
        <w:t>’</w:t>
      </w:r>
      <w:r w:rsidRPr="004E42E6">
        <w:rPr>
          <w:lang w:val="fr-FR"/>
        </w:rPr>
        <w:t xml:space="preserve">application de ses recommandations et de celles que le Sous-Comité aurait pu formuler. </w:t>
      </w:r>
      <w:r>
        <w:rPr>
          <w:lang w:val="fr-FR"/>
        </w:rPr>
        <w:t>Il </w:t>
      </w:r>
      <w:r w:rsidRPr="004E42E6">
        <w:rPr>
          <w:lang w:val="fr-FR"/>
        </w:rPr>
        <w:t>devra veiller à protéger pleinement les informations confidentielles qu</w:t>
      </w:r>
      <w:r>
        <w:rPr>
          <w:lang w:val="fr-FR"/>
        </w:rPr>
        <w:t>’</w:t>
      </w:r>
      <w:r w:rsidRPr="004E42E6">
        <w:rPr>
          <w:lang w:val="fr-FR"/>
        </w:rPr>
        <w:t>il obtiendra dans l</w:t>
      </w:r>
      <w:r>
        <w:rPr>
          <w:lang w:val="fr-FR"/>
        </w:rPr>
        <w:t>’</w:t>
      </w:r>
      <w:r w:rsidRPr="004E42E6">
        <w:rPr>
          <w:lang w:val="fr-FR"/>
        </w:rPr>
        <w:t>exécution de ses travaux.</w:t>
      </w:r>
      <w:bookmarkEnd w:id="45"/>
    </w:p>
    <w:p w:rsidR="000D798E" w:rsidRPr="00A1408E" w:rsidRDefault="000D798E" w:rsidP="000D798E">
      <w:pPr>
        <w:pStyle w:val="SingleTxtG"/>
        <w:rPr>
          <w:b/>
        </w:rPr>
      </w:pPr>
      <w:bookmarkStart w:id="46" w:name="bookmark_84"/>
      <w:r w:rsidRPr="00301C42">
        <w:rPr>
          <w:lang w:val="fr-FR"/>
        </w:rPr>
        <w:t>29.</w:t>
      </w:r>
      <w:r w:rsidRPr="00301C42">
        <w:rPr>
          <w:lang w:val="fr-FR"/>
        </w:rPr>
        <w:tab/>
      </w:r>
      <w:r w:rsidRPr="00A1408E">
        <w:rPr>
          <w:b/>
          <w:lang w:val="fr-FR"/>
        </w:rPr>
        <w:t>Le Sous-Comité réaffirme qu</w:t>
      </w:r>
      <w:r>
        <w:rPr>
          <w:b/>
          <w:lang w:val="fr-FR"/>
        </w:rPr>
        <w:t>’</w:t>
      </w:r>
      <w:r w:rsidRPr="00A1408E">
        <w:rPr>
          <w:b/>
          <w:lang w:val="fr-FR"/>
        </w:rPr>
        <w:t>il est pleinement disposé à coopérer avec l</w:t>
      </w:r>
      <w:r>
        <w:rPr>
          <w:b/>
          <w:lang w:val="fr-FR"/>
        </w:rPr>
        <w:t>’</w:t>
      </w:r>
      <w:r w:rsidRPr="00A1408E">
        <w:rPr>
          <w:b/>
          <w:lang w:val="fr-FR"/>
        </w:rPr>
        <w:t xml:space="preserve">État partie et à lui fournir </w:t>
      </w:r>
      <w:r>
        <w:rPr>
          <w:b/>
          <w:lang w:val="fr-FR"/>
        </w:rPr>
        <w:t>l</w:t>
      </w:r>
      <w:r w:rsidRPr="00A1408E">
        <w:rPr>
          <w:b/>
          <w:lang w:val="fr-FR"/>
        </w:rPr>
        <w:t xml:space="preserve">es conseils et </w:t>
      </w:r>
      <w:r>
        <w:rPr>
          <w:b/>
          <w:lang w:val="fr-FR"/>
        </w:rPr>
        <w:t>l’</w:t>
      </w:r>
      <w:r w:rsidRPr="00A1408E">
        <w:rPr>
          <w:b/>
          <w:lang w:val="fr-FR"/>
        </w:rPr>
        <w:t xml:space="preserve">appui </w:t>
      </w:r>
      <w:r>
        <w:rPr>
          <w:b/>
          <w:lang w:val="fr-FR"/>
        </w:rPr>
        <w:t>nécessaires à</w:t>
      </w:r>
      <w:r w:rsidRPr="00A1408E">
        <w:rPr>
          <w:b/>
          <w:lang w:val="fr-FR"/>
        </w:rPr>
        <w:t xml:space="preserve"> la mise en place et </w:t>
      </w:r>
      <w:r>
        <w:rPr>
          <w:b/>
          <w:lang w:val="fr-FR"/>
        </w:rPr>
        <w:t>au</w:t>
      </w:r>
      <w:r w:rsidRPr="00A1408E">
        <w:rPr>
          <w:b/>
          <w:lang w:val="fr-FR"/>
        </w:rPr>
        <w:t xml:space="preserve"> fonctionnement du mécanisme national de prévention.</w:t>
      </w:r>
      <w:bookmarkEnd w:id="46"/>
    </w:p>
    <w:p w:rsidR="000D798E" w:rsidRPr="004E42E6" w:rsidRDefault="000D798E" w:rsidP="000D798E">
      <w:pPr>
        <w:pStyle w:val="HChG"/>
      </w:pPr>
      <w:bookmarkStart w:id="47" w:name="bookmark_85"/>
      <w:r>
        <w:rPr>
          <w:lang w:val="fr-FR"/>
        </w:rPr>
        <w:tab/>
        <w:t>III.</w:t>
      </w:r>
      <w:r>
        <w:rPr>
          <w:lang w:val="fr-FR"/>
        </w:rPr>
        <w:tab/>
      </w:r>
      <w:r w:rsidRPr="004E42E6">
        <w:rPr>
          <w:lang w:val="fr-FR"/>
        </w:rPr>
        <w:t xml:space="preserve">Aspects relatifs au cadre juridique et institutionnel de </w:t>
      </w:r>
      <w:r w:rsidR="009C2091">
        <w:rPr>
          <w:lang w:val="fr-FR"/>
        </w:rPr>
        <w:br/>
      </w:r>
      <w:r w:rsidRPr="004E42E6">
        <w:rPr>
          <w:lang w:val="fr-FR"/>
        </w:rPr>
        <w:t>la prévention de la torture et des mauvais traitements</w:t>
      </w:r>
      <w:bookmarkEnd w:id="47"/>
    </w:p>
    <w:p w:rsidR="000D798E" w:rsidRPr="004E42E6" w:rsidRDefault="000D798E" w:rsidP="000D798E">
      <w:pPr>
        <w:pStyle w:val="H1G"/>
      </w:pPr>
      <w:bookmarkStart w:id="48" w:name="bookmark_86"/>
      <w:r>
        <w:rPr>
          <w:lang w:val="fr-FR"/>
        </w:rPr>
        <w:tab/>
        <w:t>A.</w:t>
      </w:r>
      <w:r>
        <w:rPr>
          <w:lang w:val="fr-FR"/>
        </w:rPr>
        <w:tab/>
      </w:r>
      <w:r w:rsidRPr="004E42E6">
        <w:rPr>
          <w:lang w:val="fr-FR"/>
        </w:rPr>
        <w:t>Incrimination de la torture</w:t>
      </w:r>
      <w:bookmarkEnd w:id="48"/>
    </w:p>
    <w:p w:rsidR="000D798E" w:rsidRPr="004E42E6" w:rsidRDefault="000D798E" w:rsidP="000D798E">
      <w:pPr>
        <w:pStyle w:val="SingleTxtG"/>
      </w:pPr>
      <w:bookmarkStart w:id="49" w:name="bookmark_87"/>
      <w:r w:rsidRPr="004E42E6">
        <w:rPr>
          <w:lang w:val="fr-FR"/>
        </w:rPr>
        <w:t>30.</w:t>
      </w:r>
      <w:r w:rsidRPr="004E42E6">
        <w:rPr>
          <w:lang w:val="fr-FR"/>
        </w:rPr>
        <w:tab/>
        <w:t>Le Sous-Comité a fait part à la C</w:t>
      </w:r>
      <w:r>
        <w:rPr>
          <w:lang w:val="fr-FR"/>
        </w:rPr>
        <w:t>ommission « </w:t>
      </w:r>
      <w:r w:rsidRPr="004E42E6">
        <w:rPr>
          <w:lang w:val="fr-FR"/>
        </w:rPr>
        <w:t>Justice et affaires constitutionnelles</w:t>
      </w:r>
      <w:r>
        <w:rPr>
          <w:lang w:val="fr-FR"/>
        </w:rPr>
        <w:t> »</w:t>
      </w:r>
      <w:r w:rsidRPr="004E42E6">
        <w:rPr>
          <w:lang w:val="fr-FR"/>
        </w:rPr>
        <w:t xml:space="preserve"> de l</w:t>
      </w:r>
      <w:r>
        <w:rPr>
          <w:lang w:val="fr-FR"/>
        </w:rPr>
        <w:t>’</w:t>
      </w:r>
      <w:r w:rsidRPr="004E42E6">
        <w:rPr>
          <w:lang w:val="fr-FR"/>
        </w:rPr>
        <w:t xml:space="preserve">Assemblée nationale de sa préoccupation </w:t>
      </w:r>
      <w:r w:rsidRPr="00A1408E">
        <w:rPr>
          <w:bCs/>
          <w:iCs/>
          <w:lang w:val="fr-FR"/>
        </w:rPr>
        <w:t>concernant</w:t>
      </w:r>
      <w:r w:rsidRPr="004E42E6">
        <w:rPr>
          <w:b/>
          <w:bCs/>
          <w:i/>
          <w:iCs/>
          <w:lang w:val="fr-FR"/>
        </w:rPr>
        <w:t xml:space="preserve"> </w:t>
      </w:r>
      <w:r w:rsidRPr="004E42E6">
        <w:rPr>
          <w:lang w:val="fr-FR"/>
        </w:rPr>
        <w:t>le fait que la qualification du crime de torture figurant à l</w:t>
      </w:r>
      <w:r>
        <w:rPr>
          <w:lang w:val="fr-FR"/>
        </w:rPr>
        <w:t>’</w:t>
      </w:r>
      <w:r w:rsidRPr="004E42E6">
        <w:rPr>
          <w:lang w:val="fr-FR"/>
        </w:rPr>
        <w:t>article</w:t>
      </w:r>
      <w:r>
        <w:rPr>
          <w:lang w:val="fr-FR"/>
        </w:rPr>
        <w:t> </w:t>
      </w:r>
      <w:r w:rsidRPr="004E42E6">
        <w:rPr>
          <w:lang w:val="fr-FR"/>
        </w:rPr>
        <w:t>156-A du Code pénal n</w:t>
      </w:r>
      <w:r>
        <w:rPr>
          <w:lang w:val="fr-FR"/>
        </w:rPr>
        <w:t>’</w:t>
      </w:r>
      <w:r w:rsidRPr="004E42E6">
        <w:rPr>
          <w:lang w:val="fr-FR"/>
        </w:rPr>
        <w:t>est pas conforme aux normes internationales, car la définition établie est insuffisante en ce qu</w:t>
      </w:r>
      <w:r>
        <w:rPr>
          <w:lang w:val="fr-FR"/>
        </w:rPr>
        <w:t>’elle ne comprend pas</w:t>
      </w:r>
      <w:r w:rsidRPr="004E42E6">
        <w:rPr>
          <w:lang w:val="fr-FR"/>
        </w:rPr>
        <w:t xml:space="preserve"> les actes commis par des tiers à l</w:t>
      </w:r>
      <w:r>
        <w:rPr>
          <w:lang w:val="fr-FR"/>
        </w:rPr>
        <w:t>’</w:t>
      </w:r>
      <w:r w:rsidRPr="004E42E6">
        <w:rPr>
          <w:lang w:val="fr-FR"/>
        </w:rPr>
        <w:t>instigation ou avec le consentement exprès ou tacite d</w:t>
      </w:r>
      <w:r>
        <w:rPr>
          <w:lang w:val="fr-FR"/>
        </w:rPr>
        <w:t>’</w:t>
      </w:r>
      <w:r w:rsidRPr="004E42E6">
        <w:rPr>
          <w:lang w:val="fr-FR"/>
        </w:rPr>
        <w:t>un agent de la force publique.</w:t>
      </w:r>
      <w:bookmarkEnd w:id="49"/>
    </w:p>
    <w:p w:rsidR="000D798E" w:rsidRPr="00A1408E" w:rsidRDefault="000D798E" w:rsidP="000D798E">
      <w:pPr>
        <w:pStyle w:val="SingleTxtG"/>
        <w:rPr>
          <w:b/>
        </w:rPr>
      </w:pPr>
      <w:bookmarkStart w:id="50" w:name="bookmark_88"/>
      <w:r w:rsidRPr="00301C42">
        <w:rPr>
          <w:lang w:val="fr-FR"/>
        </w:rPr>
        <w:t>31.</w:t>
      </w:r>
      <w:r w:rsidRPr="00301C42">
        <w:rPr>
          <w:lang w:val="fr-FR"/>
        </w:rPr>
        <w:tab/>
      </w:r>
      <w:r w:rsidRPr="00A1408E">
        <w:rPr>
          <w:b/>
          <w:lang w:val="fr-FR"/>
        </w:rPr>
        <w:t>Le Sous-Comité recommande à la Commission « Justice et affaires constitutionnelles » de l</w:t>
      </w:r>
      <w:r>
        <w:rPr>
          <w:b/>
          <w:lang w:val="fr-FR"/>
        </w:rPr>
        <w:t>’</w:t>
      </w:r>
      <w:r w:rsidRPr="00A1408E">
        <w:rPr>
          <w:b/>
          <w:lang w:val="fr-FR"/>
        </w:rPr>
        <w:t>Assemblée nationale de proposer de modifier la législation pour que la qualification du crime de torture dans la législation nationale soit conforme aux normes internationales, en particulier à l</w:t>
      </w:r>
      <w:r>
        <w:rPr>
          <w:b/>
          <w:lang w:val="fr-FR"/>
        </w:rPr>
        <w:t>’</w:t>
      </w:r>
      <w:r w:rsidRPr="00A1408E">
        <w:rPr>
          <w:b/>
          <w:lang w:val="fr-FR"/>
        </w:rPr>
        <w:t>article premier de la</w:t>
      </w:r>
      <w:r>
        <w:rPr>
          <w:b/>
          <w:lang w:val="fr-FR"/>
        </w:rPr>
        <w:t> </w:t>
      </w:r>
      <w:r w:rsidRPr="00A1408E">
        <w:rPr>
          <w:b/>
          <w:lang w:val="fr-FR"/>
        </w:rPr>
        <w:t xml:space="preserve">Convention contre la torture. Le Sous-Comité fait remarquer que le fait que la législation panaméenne ne soit pas conforme aux normes internationales peut </w:t>
      </w:r>
      <w:r>
        <w:rPr>
          <w:b/>
          <w:lang w:val="fr-FR"/>
        </w:rPr>
        <w:t>favoriser</w:t>
      </w:r>
      <w:r w:rsidRPr="00A1408E">
        <w:rPr>
          <w:b/>
          <w:lang w:val="fr-FR"/>
        </w:rPr>
        <w:t xml:space="preserve"> l</w:t>
      </w:r>
      <w:r>
        <w:rPr>
          <w:b/>
          <w:lang w:val="fr-FR"/>
        </w:rPr>
        <w:t>’</w:t>
      </w:r>
      <w:r w:rsidRPr="00A1408E">
        <w:rPr>
          <w:b/>
          <w:lang w:val="fr-FR"/>
        </w:rPr>
        <w:t>impunité.</w:t>
      </w:r>
      <w:bookmarkEnd w:id="50"/>
    </w:p>
    <w:p w:rsidR="000D798E" w:rsidRPr="004E42E6" w:rsidRDefault="000D798E" w:rsidP="000D798E">
      <w:pPr>
        <w:pStyle w:val="H1G"/>
      </w:pPr>
      <w:bookmarkStart w:id="51" w:name="bookmark_89"/>
      <w:r>
        <w:rPr>
          <w:lang w:val="fr-FR"/>
        </w:rPr>
        <w:tab/>
        <w:t>B.</w:t>
      </w:r>
      <w:r>
        <w:rPr>
          <w:lang w:val="fr-FR"/>
        </w:rPr>
        <w:tab/>
      </w:r>
      <w:r w:rsidRPr="004E42E6">
        <w:rPr>
          <w:lang w:val="fr-FR"/>
        </w:rPr>
        <w:t xml:space="preserve">Imprescriptibilité de la torture </w:t>
      </w:r>
      <w:bookmarkEnd w:id="51"/>
    </w:p>
    <w:p w:rsidR="000D798E" w:rsidRPr="004E42E6" w:rsidRDefault="000D798E" w:rsidP="000D798E">
      <w:pPr>
        <w:pStyle w:val="SingleTxtG"/>
      </w:pPr>
      <w:bookmarkStart w:id="52" w:name="bookmark_90"/>
      <w:r w:rsidRPr="004E42E6">
        <w:rPr>
          <w:lang w:val="fr-FR"/>
        </w:rPr>
        <w:t>32.</w:t>
      </w:r>
      <w:r w:rsidRPr="004E42E6">
        <w:rPr>
          <w:lang w:val="fr-FR"/>
        </w:rPr>
        <w:tab/>
        <w:t xml:space="preserve">Le </w:t>
      </w:r>
      <w:r>
        <w:rPr>
          <w:lang w:val="fr-FR"/>
        </w:rPr>
        <w:t>Sous-</w:t>
      </w:r>
      <w:r w:rsidRPr="004E42E6">
        <w:rPr>
          <w:lang w:val="fr-FR"/>
        </w:rPr>
        <w:t xml:space="preserve">Comité a également exprimé ses inquiétudes à </w:t>
      </w:r>
      <w:r>
        <w:rPr>
          <w:lang w:val="fr-FR"/>
        </w:rPr>
        <w:t>la même</w:t>
      </w:r>
      <w:r w:rsidRPr="004E42E6">
        <w:rPr>
          <w:lang w:val="fr-FR"/>
        </w:rPr>
        <w:t xml:space="preserve"> Commission </w:t>
      </w:r>
      <w:r>
        <w:rPr>
          <w:lang w:val="fr-FR"/>
        </w:rPr>
        <w:t>au sujet du</w:t>
      </w:r>
      <w:r w:rsidRPr="004E42E6">
        <w:rPr>
          <w:lang w:val="fr-FR"/>
        </w:rPr>
        <w:t xml:space="preserve"> maintien</w:t>
      </w:r>
      <w:r>
        <w:rPr>
          <w:lang w:val="fr-FR"/>
        </w:rPr>
        <w:t>, dans</w:t>
      </w:r>
      <w:r w:rsidRPr="004E42E6">
        <w:rPr>
          <w:lang w:val="fr-FR"/>
        </w:rPr>
        <w:t xml:space="preserve"> la législation panaméenne</w:t>
      </w:r>
      <w:r>
        <w:rPr>
          <w:lang w:val="fr-FR"/>
        </w:rPr>
        <w:t>,</w:t>
      </w:r>
      <w:r w:rsidRPr="004E42E6">
        <w:rPr>
          <w:lang w:val="fr-FR"/>
        </w:rPr>
        <w:t xml:space="preserve"> </w:t>
      </w:r>
      <w:r>
        <w:rPr>
          <w:lang w:val="fr-FR"/>
        </w:rPr>
        <w:t>d’</w:t>
      </w:r>
      <w:r w:rsidRPr="004E42E6">
        <w:rPr>
          <w:lang w:val="fr-FR"/>
        </w:rPr>
        <w:t xml:space="preserve">un délai de prescription pour le crime de torture, </w:t>
      </w:r>
      <w:r>
        <w:rPr>
          <w:lang w:val="fr-FR"/>
        </w:rPr>
        <w:t>même si</w:t>
      </w:r>
      <w:r w:rsidRPr="004E42E6">
        <w:rPr>
          <w:lang w:val="fr-FR"/>
        </w:rPr>
        <w:t xml:space="preserve"> l</w:t>
      </w:r>
      <w:r>
        <w:rPr>
          <w:lang w:val="fr-FR"/>
        </w:rPr>
        <w:t>’</w:t>
      </w:r>
      <w:r w:rsidRPr="004E42E6">
        <w:rPr>
          <w:lang w:val="fr-FR"/>
        </w:rPr>
        <w:t xml:space="preserve">imprescriptibilité </w:t>
      </w:r>
      <w:r>
        <w:rPr>
          <w:lang w:val="fr-FR"/>
        </w:rPr>
        <w:t>est</w:t>
      </w:r>
      <w:r w:rsidRPr="004E42E6">
        <w:rPr>
          <w:lang w:val="fr-FR"/>
        </w:rPr>
        <w:t xml:space="preserve"> accepté</w:t>
      </w:r>
      <w:r>
        <w:rPr>
          <w:lang w:val="fr-FR"/>
        </w:rPr>
        <w:t>e</w:t>
      </w:r>
      <w:r w:rsidRPr="004E42E6">
        <w:rPr>
          <w:lang w:val="fr-FR"/>
        </w:rPr>
        <w:t xml:space="preserve"> pour les cas </w:t>
      </w:r>
      <w:r>
        <w:rPr>
          <w:lang w:val="fr-FR"/>
        </w:rPr>
        <w:t>où</w:t>
      </w:r>
      <w:r w:rsidRPr="004E42E6">
        <w:rPr>
          <w:lang w:val="fr-FR"/>
        </w:rPr>
        <w:t xml:space="preserve"> ce crime est réalisé de manière systématique et généralisée contre la population civile. </w:t>
      </w:r>
      <w:bookmarkEnd w:id="52"/>
    </w:p>
    <w:p w:rsidR="000D798E" w:rsidRPr="00A1408E" w:rsidRDefault="000D798E" w:rsidP="000D798E">
      <w:pPr>
        <w:pStyle w:val="SingleTxtG"/>
        <w:rPr>
          <w:b/>
        </w:rPr>
      </w:pPr>
      <w:bookmarkStart w:id="53" w:name="bookmark_91"/>
      <w:r w:rsidRPr="00301C42">
        <w:rPr>
          <w:lang w:val="fr-FR"/>
        </w:rPr>
        <w:t>33.</w:t>
      </w:r>
      <w:r w:rsidRPr="00301C42">
        <w:rPr>
          <w:lang w:val="fr-FR"/>
        </w:rPr>
        <w:tab/>
      </w:r>
      <w:r>
        <w:rPr>
          <w:b/>
          <w:lang w:val="fr-FR"/>
        </w:rPr>
        <w:t>Le</w:t>
      </w:r>
      <w:r w:rsidRPr="00A1408E">
        <w:rPr>
          <w:b/>
          <w:lang w:val="fr-FR"/>
        </w:rPr>
        <w:t xml:space="preserve"> Sous-Comité recommande à la Commission « Justice et affaires constitutionnelles » de l</w:t>
      </w:r>
      <w:r>
        <w:rPr>
          <w:b/>
          <w:lang w:val="fr-FR"/>
        </w:rPr>
        <w:t>’</w:t>
      </w:r>
      <w:r w:rsidRPr="00A1408E">
        <w:rPr>
          <w:b/>
          <w:lang w:val="fr-FR"/>
        </w:rPr>
        <w:t xml:space="preserve">Assemblée nationale de proposer de modifier la législation pour que le crime de torture soit </w:t>
      </w:r>
      <w:r>
        <w:rPr>
          <w:b/>
          <w:lang w:val="fr-FR"/>
        </w:rPr>
        <w:t xml:space="preserve">systématiquement </w:t>
      </w:r>
      <w:r w:rsidRPr="00A1408E">
        <w:rPr>
          <w:b/>
          <w:lang w:val="fr-FR"/>
        </w:rPr>
        <w:t>déclaré imprescriptible, conformément aux normes internationales en la matière.</w:t>
      </w:r>
      <w:bookmarkEnd w:id="53"/>
    </w:p>
    <w:p w:rsidR="000D798E" w:rsidRPr="00A1408E" w:rsidRDefault="000D798E" w:rsidP="000D798E">
      <w:pPr>
        <w:pStyle w:val="SingleTxtG"/>
        <w:keepLines/>
      </w:pPr>
      <w:bookmarkStart w:id="54" w:name="bookmark_92"/>
      <w:r w:rsidRPr="004E42E6">
        <w:rPr>
          <w:lang w:val="fr-FR"/>
        </w:rPr>
        <w:lastRenderedPageBreak/>
        <w:t>34.</w:t>
      </w:r>
      <w:r w:rsidRPr="004E42E6">
        <w:rPr>
          <w:lang w:val="fr-FR"/>
        </w:rPr>
        <w:tab/>
        <w:t xml:space="preserve">Le Sous-Comité se félicite du dialogue ouvert </w:t>
      </w:r>
      <w:r>
        <w:rPr>
          <w:lang w:val="fr-FR"/>
        </w:rPr>
        <w:t>qu’il a eu</w:t>
      </w:r>
      <w:r w:rsidRPr="004E42E6">
        <w:rPr>
          <w:lang w:val="fr-FR"/>
        </w:rPr>
        <w:t xml:space="preserve"> avec la Commission </w:t>
      </w:r>
      <w:r>
        <w:rPr>
          <w:lang w:val="fr-FR"/>
        </w:rPr>
        <w:t>« </w:t>
      </w:r>
      <w:r w:rsidRPr="004E42E6">
        <w:rPr>
          <w:lang w:val="fr-FR"/>
        </w:rPr>
        <w:t>Justice</w:t>
      </w:r>
      <w:r>
        <w:rPr>
          <w:lang w:val="fr-FR"/>
        </w:rPr>
        <w:t xml:space="preserve"> et affaires constitutionnelles »</w:t>
      </w:r>
      <w:r w:rsidRPr="004E42E6">
        <w:rPr>
          <w:lang w:val="fr-FR"/>
        </w:rPr>
        <w:t xml:space="preserve"> de l</w:t>
      </w:r>
      <w:r>
        <w:rPr>
          <w:lang w:val="fr-FR"/>
        </w:rPr>
        <w:t>’</w:t>
      </w:r>
      <w:r w:rsidRPr="004E42E6">
        <w:rPr>
          <w:lang w:val="fr-FR"/>
        </w:rPr>
        <w:t xml:space="preserve">Assemblée générale. </w:t>
      </w:r>
      <w:r>
        <w:rPr>
          <w:lang w:val="fr-FR"/>
        </w:rPr>
        <w:t>Il</w:t>
      </w:r>
      <w:r w:rsidRPr="00E72AC8">
        <w:rPr>
          <w:bCs/>
          <w:iCs/>
          <w:lang w:val="fr-FR"/>
        </w:rPr>
        <w:t xml:space="preserve"> </w:t>
      </w:r>
      <w:r>
        <w:rPr>
          <w:bCs/>
          <w:iCs/>
          <w:lang w:val="fr-FR"/>
        </w:rPr>
        <w:t>est disposé à apporter</w:t>
      </w:r>
      <w:r w:rsidRPr="004E42E6">
        <w:rPr>
          <w:lang w:val="fr-FR"/>
        </w:rPr>
        <w:t>, par l</w:t>
      </w:r>
      <w:r>
        <w:rPr>
          <w:lang w:val="fr-FR"/>
        </w:rPr>
        <w:t>’</w:t>
      </w:r>
      <w:r w:rsidRPr="004E42E6">
        <w:rPr>
          <w:lang w:val="fr-FR"/>
        </w:rPr>
        <w:t>intermédiaire d</w:t>
      </w:r>
      <w:r>
        <w:rPr>
          <w:lang w:val="fr-FR"/>
        </w:rPr>
        <w:t>e son</w:t>
      </w:r>
      <w:r w:rsidRPr="004E42E6">
        <w:rPr>
          <w:lang w:val="fr-FR"/>
        </w:rPr>
        <w:t xml:space="preserve"> </w:t>
      </w:r>
      <w:r w:rsidRPr="00856E59">
        <w:rPr>
          <w:bCs/>
          <w:iCs/>
          <w:lang w:val="fr-FR"/>
        </w:rPr>
        <w:t xml:space="preserve">Groupe régional </w:t>
      </w:r>
      <w:r>
        <w:rPr>
          <w:bCs/>
          <w:iCs/>
          <w:lang w:val="fr-FR"/>
        </w:rPr>
        <w:t>pour les Amériques</w:t>
      </w:r>
      <w:bookmarkEnd w:id="54"/>
      <w:r w:rsidRPr="00856E59">
        <w:rPr>
          <w:bCs/>
          <w:iCs/>
          <w:lang w:val="fr-FR"/>
        </w:rPr>
        <w:t xml:space="preserve"> et </w:t>
      </w:r>
      <w:r>
        <w:rPr>
          <w:bCs/>
          <w:iCs/>
          <w:lang w:val="fr-FR"/>
        </w:rPr>
        <w:t>de son coordonnateur pour le Panama, une aide technique à la Commission pour l’élaboration de la proposition législative qui permettrait de rendre conforme au droit international la législation panaméenne relative à l’incrimination de la torture figurant à l’article 156-A, et à l’imprescriptibilité du crime de torture.</w:t>
      </w:r>
    </w:p>
    <w:p w:rsidR="000D798E" w:rsidRPr="004E42E6" w:rsidRDefault="000D798E" w:rsidP="000D798E">
      <w:pPr>
        <w:pStyle w:val="H1G"/>
      </w:pPr>
      <w:bookmarkStart w:id="55" w:name="bookmark_93"/>
      <w:r>
        <w:rPr>
          <w:lang w:val="fr-FR"/>
        </w:rPr>
        <w:tab/>
        <w:t>C.</w:t>
      </w:r>
      <w:r>
        <w:rPr>
          <w:lang w:val="fr-FR"/>
        </w:rPr>
        <w:tab/>
      </w:r>
      <w:r w:rsidRPr="004E42E6">
        <w:rPr>
          <w:lang w:val="fr-FR"/>
        </w:rPr>
        <w:t>Détection de la torture et des mauvais traitements</w:t>
      </w:r>
      <w:bookmarkEnd w:id="55"/>
    </w:p>
    <w:p w:rsidR="000D798E" w:rsidRPr="004E42E6" w:rsidRDefault="000D798E" w:rsidP="000D798E">
      <w:pPr>
        <w:pStyle w:val="SingleTxtG"/>
      </w:pPr>
      <w:bookmarkStart w:id="56" w:name="bookmark_94"/>
      <w:r w:rsidRPr="004E42E6">
        <w:rPr>
          <w:lang w:val="fr-FR"/>
        </w:rPr>
        <w:t>35.</w:t>
      </w:r>
      <w:r w:rsidRPr="004E42E6">
        <w:rPr>
          <w:lang w:val="fr-FR"/>
        </w:rPr>
        <w:tab/>
        <w:t xml:space="preserve">Le Sous-Comité a reçu des allégations concordantes de personnes </w:t>
      </w:r>
      <w:r>
        <w:rPr>
          <w:lang w:val="fr-FR"/>
        </w:rPr>
        <w:t>privées de liberté</w:t>
      </w:r>
      <w:r w:rsidRPr="004E42E6">
        <w:rPr>
          <w:lang w:val="fr-FR"/>
        </w:rPr>
        <w:t xml:space="preserve"> qui ont déclaré avoir fait l</w:t>
      </w:r>
      <w:r>
        <w:rPr>
          <w:lang w:val="fr-FR"/>
        </w:rPr>
        <w:t>’</w:t>
      </w:r>
      <w:r w:rsidRPr="004E42E6">
        <w:rPr>
          <w:lang w:val="fr-FR"/>
        </w:rPr>
        <w:t>objet d</w:t>
      </w:r>
      <w:r>
        <w:rPr>
          <w:lang w:val="fr-FR"/>
        </w:rPr>
        <w:t>’</w:t>
      </w:r>
      <w:r w:rsidRPr="004E42E6">
        <w:rPr>
          <w:lang w:val="fr-FR"/>
        </w:rPr>
        <w:t xml:space="preserve">actes de torture et de mauvais traitements dans différentes circonstances. Ces allégations contrastent avec les renseignements officiels qui indiquent que, </w:t>
      </w:r>
      <w:r>
        <w:rPr>
          <w:lang w:val="fr-FR"/>
        </w:rPr>
        <w:t>pour l’année en cours</w:t>
      </w:r>
      <w:r w:rsidRPr="004E42E6">
        <w:rPr>
          <w:lang w:val="fr-FR"/>
        </w:rPr>
        <w:t>, seules trois plaintes pour des actes supposés de torture ont été déposées. Pendant sa visite, le Sous-Comité a tenté d</w:t>
      </w:r>
      <w:r>
        <w:rPr>
          <w:lang w:val="fr-FR"/>
        </w:rPr>
        <w:t>’</w:t>
      </w:r>
      <w:r w:rsidRPr="004E42E6">
        <w:rPr>
          <w:lang w:val="fr-FR"/>
        </w:rPr>
        <w:t xml:space="preserve">obtenir de la Cour suprême de justice des données officielles sur le nombre de jugements prononcés </w:t>
      </w:r>
      <w:r>
        <w:rPr>
          <w:lang w:val="fr-FR"/>
        </w:rPr>
        <w:t>concernant</w:t>
      </w:r>
      <w:r w:rsidRPr="004E42E6">
        <w:rPr>
          <w:lang w:val="fr-FR"/>
        </w:rPr>
        <w:t xml:space="preserve"> ce crime, mais, à ce jour, il n</w:t>
      </w:r>
      <w:r>
        <w:rPr>
          <w:lang w:val="fr-FR"/>
        </w:rPr>
        <w:t>’</w:t>
      </w:r>
      <w:r w:rsidRPr="004E42E6">
        <w:rPr>
          <w:lang w:val="fr-FR"/>
        </w:rPr>
        <w:t xml:space="preserve">a pu obtenir ces renseignements. </w:t>
      </w:r>
      <w:r>
        <w:rPr>
          <w:lang w:val="fr-FR"/>
        </w:rPr>
        <w:t>Il</w:t>
      </w:r>
      <w:r w:rsidRPr="004E42E6">
        <w:rPr>
          <w:lang w:val="fr-FR"/>
        </w:rPr>
        <w:t xml:space="preserve"> considère que </w:t>
      </w:r>
      <w:r w:rsidRPr="00D1287C">
        <w:rPr>
          <w:bCs/>
          <w:iCs/>
          <w:lang w:val="fr-FR"/>
        </w:rPr>
        <w:t xml:space="preserve">la </w:t>
      </w:r>
      <w:r w:rsidRPr="00E76046">
        <w:rPr>
          <w:lang w:val="fr-FR"/>
        </w:rPr>
        <w:t xml:space="preserve">loi </w:t>
      </w:r>
      <w:r>
        <w:rPr>
          <w:lang w:val="fr-FR"/>
        </w:rPr>
        <w:t>n</w:t>
      </w:r>
      <w:r w:rsidRPr="00C62FD9">
        <w:rPr>
          <w:vertAlign w:val="superscript"/>
          <w:lang w:val="fr-FR"/>
        </w:rPr>
        <w:t>o</w:t>
      </w:r>
      <w:r>
        <w:rPr>
          <w:lang w:val="fr-FR"/>
        </w:rPr>
        <w:t> </w:t>
      </w:r>
      <w:r w:rsidRPr="00D1287C">
        <w:rPr>
          <w:bCs/>
          <w:iCs/>
          <w:lang w:val="fr-FR"/>
        </w:rPr>
        <w:t>1 de 2011</w:t>
      </w:r>
      <w:r>
        <w:rPr>
          <w:bCs/>
          <w:iCs/>
          <w:lang w:val="fr-FR"/>
        </w:rPr>
        <w:t>,</w:t>
      </w:r>
      <w:r w:rsidRPr="00D1287C">
        <w:rPr>
          <w:bCs/>
          <w:iCs/>
          <w:lang w:val="fr-FR"/>
        </w:rPr>
        <w:t xml:space="preserve"> portant </w:t>
      </w:r>
      <w:r>
        <w:rPr>
          <w:bCs/>
          <w:iCs/>
          <w:lang w:val="fr-FR"/>
        </w:rPr>
        <w:t xml:space="preserve">notamment </w:t>
      </w:r>
      <w:r w:rsidRPr="00D1287C">
        <w:rPr>
          <w:bCs/>
          <w:iCs/>
          <w:lang w:val="fr-FR"/>
        </w:rPr>
        <w:t xml:space="preserve">ajout de </w:t>
      </w:r>
      <w:r w:rsidRPr="00D1287C">
        <w:rPr>
          <w:lang w:val="fr-FR"/>
        </w:rPr>
        <w:t>l</w:t>
      </w:r>
      <w:r>
        <w:rPr>
          <w:lang w:val="fr-FR"/>
        </w:rPr>
        <w:t>’</w:t>
      </w:r>
      <w:r w:rsidRPr="00D1287C">
        <w:rPr>
          <w:lang w:val="fr-FR"/>
        </w:rPr>
        <w:t>article</w:t>
      </w:r>
      <w:r>
        <w:rPr>
          <w:lang w:val="fr-FR"/>
        </w:rPr>
        <w:t> </w:t>
      </w:r>
      <w:r w:rsidRPr="004E42E6">
        <w:rPr>
          <w:lang w:val="fr-FR"/>
        </w:rPr>
        <w:t xml:space="preserve">156-A </w:t>
      </w:r>
      <w:r>
        <w:rPr>
          <w:lang w:val="fr-FR"/>
        </w:rPr>
        <w:t>au</w:t>
      </w:r>
      <w:r w:rsidRPr="004E42E6">
        <w:rPr>
          <w:lang w:val="fr-FR"/>
        </w:rPr>
        <w:t xml:space="preserve"> Code pénal</w:t>
      </w:r>
      <w:r>
        <w:rPr>
          <w:lang w:val="fr-FR"/>
        </w:rPr>
        <w:t>,</w:t>
      </w:r>
      <w:r w:rsidRPr="004E42E6">
        <w:rPr>
          <w:lang w:val="fr-FR"/>
        </w:rPr>
        <w:t xml:space="preserve"> </w:t>
      </w:r>
      <w:r>
        <w:rPr>
          <w:lang w:val="fr-FR"/>
        </w:rPr>
        <w:t>n’est pas dûment appliquée</w:t>
      </w:r>
      <w:r w:rsidRPr="004E42E6">
        <w:rPr>
          <w:lang w:val="fr-FR"/>
        </w:rPr>
        <w:t xml:space="preserve"> et tout semble indiquer que l</w:t>
      </w:r>
      <w:r>
        <w:rPr>
          <w:lang w:val="fr-FR"/>
        </w:rPr>
        <w:t>’</w:t>
      </w:r>
      <w:r w:rsidRPr="004E42E6">
        <w:rPr>
          <w:lang w:val="fr-FR"/>
        </w:rPr>
        <w:t>impunité de ce phénomène persiste.</w:t>
      </w:r>
      <w:bookmarkEnd w:id="56"/>
    </w:p>
    <w:p w:rsidR="000D798E" w:rsidRPr="004E42E6" w:rsidRDefault="000D798E" w:rsidP="000D798E">
      <w:pPr>
        <w:pStyle w:val="SingleTxtG"/>
      </w:pPr>
      <w:bookmarkStart w:id="57" w:name="bookmark_95"/>
      <w:r w:rsidRPr="004E42E6">
        <w:rPr>
          <w:lang w:val="fr-FR"/>
        </w:rPr>
        <w:t>36.</w:t>
      </w:r>
      <w:r w:rsidRPr="004E42E6">
        <w:rPr>
          <w:lang w:val="fr-FR"/>
        </w:rPr>
        <w:tab/>
        <w:t xml:space="preserve">Le Sous-Comité </w:t>
      </w:r>
      <w:r>
        <w:rPr>
          <w:lang w:val="fr-FR"/>
        </w:rPr>
        <w:t>estime</w:t>
      </w:r>
      <w:r w:rsidRPr="00EE769D">
        <w:rPr>
          <w:bCs/>
          <w:iCs/>
          <w:lang w:val="fr-FR"/>
        </w:rPr>
        <w:t xml:space="preserve"> </w:t>
      </w:r>
      <w:r w:rsidRPr="00EE769D">
        <w:rPr>
          <w:lang w:val="fr-FR"/>
        </w:rPr>
        <w:t>que</w:t>
      </w:r>
      <w:r>
        <w:rPr>
          <w:lang w:val="fr-FR"/>
        </w:rPr>
        <w:t xml:space="preserve"> </w:t>
      </w:r>
      <w:r w:rsidRPr="004E42E6">
        <w:rPr>
          <w:lang w:val="fr-FR"/>
        </w:rPr>
        <w:t xml:space="preserve">des indices </w:t>
      </w:r>
      <w:r>
        <w:rPr>
          <w:lang w:val="fr-FR"/>
        </w:rPr>
        <w:t>fondés sur un ensemble d’éléments liés</w:t>
      </w:r>
      <w:r w:rsidRPr="004E42E6">
        <w:rPr>
          <w:b/>
          <w:bCs/>
          <w:i/>
          <w:iCs/>
          <w:lang w:val="fr-FR"/>
        </w:rPr>
        <w:t xml:space="preserve"> </w:t>
      </w:r>
      <w:r w:rsidRPr="004E42E6">
        <w:rPr>
          <w:lang w:val="fr-FR"/>
        </w:rPr>
        <w:t>à la détection d</w:t>
      </w:r>
      <w:r>
        <w:rPr>
          <w:lang w:val="fr-FR"/>
        </w:rPr>
        <w:t>’</w:t>
      </w:r>
      <w:r w:rsidRPr="004E42E6">
        <w:rPr>
          <w:lang w:val="fr-FR"/>
        </w:rPr>
        <w:t>actes de torture, la réalisation d</w:t>
      </w:r>
      <w:r>
        <w:rPr>
          <w:lang w:val="fr-FR"/>
        </w:rPr>
        <w:t>’</w:t>
      </w:r>
      <w:r w:rsidRPr="004E42E6">
        <w:rPr>
          <w:lang w:val="fr-FR"/>
        </w:rPr>
        <w:t>enquêtes sur ces</w:t>
      </w:r>
      <w:r>
        <w:rPr>
          <w:lang w:val="fr-FR"/>
        </w:rPr>
        <w:t xml:space="preserve"> actes et la répression de ceux</w:t>
      </w:r>
      <w:r>
        <w:rPr>
          <w:lang w:val="fr-FR"/>
        </w:rPr>
        <w:noBreakHyphen/>
      </w:r>
      <w:r w:rsidRPr="004E42E6">
        <w:rPr>
          <w:lang w:val="fr-FR"/>
        </w:rPr>
        <w:t>ci</w:t>
      </w:r>
      <w:r>
        <w:rPr>
          <w:lang w:val="fr-FR"/>
        </w:rPr>
        <w:t xml:space="preserve"> confirment cette impression. Certain</w:t>
      </w:r>
      <w:r w:rsidRPr="004E42E6">
        <w:rPr>
          <w:lang w:val="fr-FR"/>
        </w:rPr>
        <w:t xml:space="preserve">s de ces </w:t>
      </w:r>
      <w:r>
        <w:rPr>
          <w:lang w:val="fr-FR"/>
        </w:rPr>
        <w:t>éléments</w:t>
      </w:r>
      <w:r w:rsidRPr="004E42E6">
        <w:rPr>
          <w:lang w:val="fr-FR"/>
        </w:rPr>
        <w:t xml:space="preserve"> sont </w:t>
      </w:r>
      <w:r>
        <w:rPr>
          <w:lang w:val="fr-FR"/>
        </w:rPr>
        <w:t>énoncés</w:t>
      </w:r>
      <w:r w:rsidRPr="004E42E6">
        <w:rPr>
          <w:lang w:val="fr-FR"/>
        </w:rPr>
        <w:t xml:space="preserve"> ci-après. </w:t>
      </w:r>
      <w:bookmarkEnd w:id="57"/>
    </w:p>
    <w:p w:rsidR="000D798E" w:rsidRPr="004E42E6" w:rsidRDefault="000D798E" w:rsidP="000D798E">
      <w:pPr>
        <w:pStyle w:val="H23G"/>
      </w:pPr>
      <w:bookmarkStart w:id="58" w:name="bookmark_96"/>
      <w:r w:rsidRPr="004E42E6">
        <w:rPr>
          <w:lang w:val="fr-FR"/>
        </w:rPr>
        <w:tab/>
      </w:r>
      <w:r w:rsidRPr="004E42E6">
        <w:rPr>
          <w:lang w:val="fr-FR"/>
        </w:rPr>
        <w:tab/>
        <w:t xml:space="preserve">Absence de garanties </w:t>
      </w:r>
      <w:bookmarkEnd w:id="58"/>
    </w:p>
    <w:p w:rsidR="000D798E" w:rsidRPr="004E42E6" w:rsidRDefault="000D798E" w:rsidP="000D798E">
      <w:pPr>
        <w:pStyle w:val="SingleTxtG"/>
      </w:pPr>
      <w:bookmarkStart w:id="59" w:name="bookmark_97"/>
      <w:r w:rsidRPr="004E42E6">
        <w:rPr>
          <w:lang w:val="fr-FR"/>
        </w:rPr>
        <w:t>37.</w:t>
      </w:r>
      <w:r w:rsidRPr="004E42E6">
        <w:rPr>
          <w:lang w:val="fr-FR"/>
        </w:rPr>
        <w:tab/>
        <w:t xml:space="preserve">Le Sous-Comité a </w:t>
      </w:r>
      <w:r>
        <w:rPr>
          <w:lang w:val="fr-FR"/>
        </w:rPr>
        <w:t>constaté à diverses reprises</w:t>
      </w:r>
      <w:r w:rsidRPr="004E42E6">
        <w:rPr>
          <w:lang w:val="fr-FR"/>
        </w:rPr>
        <w:t xml:space="preserve"> que les personnes placées dans des centres de détention étaient souvent gardées au secret, ce qui les empêchaient d</w:t>
      </w:r>
      <w:r>
        <w:rPr>
          <w:lang w:val="fr-FR"/>
        </w:rPr>
        <w:t>’</w:t>
      </w:r>
      <w:r w:rsidRPr="004E42E6">
        <w:rPr>
          <w:lang w:val="fr-FR"/>
        </w:rPr>
        <w:t>informer leurs proches de leur détention, de bénéficier des services d</w:t>
      </w:r>
      <w:r>
        <w:rPr>
          <w:lang w:val="fr-FR"/>
        </w:rPr>
        <w:t>’</w:t>
      </w:r>
      <w:r w:rsidRPr="004E42E6">
        <w:rPr>
          <w:lang w:val="fr-FR"/>
        </w:rPr>
        <w:t>un avocat (</w:t>
      </w:r>
      <w:r>
        <w:rPr>
          <w:lang w:val="fr-FR"/>
        </w:rPr>
        <w:t>service de défense public</w:t>
      </w:r>
      <w:r w:rsidRPr="004E42E6">
        <w:rPr>
          <w:lang w:val="fr-FR"/>
        </w:rPr>
        <w:t xml:space="preserve"> insuffisant), ou même de </w:t>
      </w:r>
      <w:r>
        <w:rPr>
          <w:lang w:val="fr-FR"/>
        </w:rPr>
        <w:t>se soumettre à un</w:t>
      </w:r>
      <w:r w:rsidRPr="004E42E6">
        <w:rPr>
          <w:lang w:val="fr-FR"/>
        </w:rPr>
        <w:t xml:space="preserve"> examen médical. </w:t>
      </w:r>
      <w:bookmarkEnd w:id="59"/>
    </w:p>
    <w:p w:rsidR="000D798E" w:rsidRPr="00EE769D" w:rsidRDefault="000D798E" w:rsidP="000D798E">
      <w:pPr>
        <w:pStyle w:val="SingleTxtG"/>
        <w:rPr>
          <w:b/>
        </w:rPr>
      </w:pPr>
      <w:bookmarkStart w:id="60" w:name="bookmark_98"/>
      <w:r w:rsidRPr="00301C42">
        <w:rPr>
          <w:lang w:val="fr-FR"/>
        </w:rPr>
        <w:t>38.</w:t>
      </w:r>
      <w:r w:rsidRPr="00301C42">
        <w:rPr>
          <w:lang w:val="fr-FR"/>
        </w:rPr>
        <w:tab/>
      </w:r>
      <w:r w:rsidRPr="00EE769D">
        <w:rPr>
          <w:b/>
          <w:lang w:val="fr-FR"/>
        </w:rPr>
        <w:t>Le Sous-Comité demande instamment à l</w:t>
      </w:r>
      <w:r>
        <w:rPr>
          <w:b/>
          <w:lang w:val="fr-FR"/>
        </w:rPr>
        <w:t>’</w:t>
      </w:r>
      <w:r w:rsidRPr="00EE769D">
        <w:rPr>
          <w:b/>
          <w:lang w:val="fr-FR"/>
        </w:rPr>
        <w:t xml:space="preserve">État partie de prendre des mesures pour que toutes les personnes détenues bénéficient, dans la pratique et dès leur arrestation, de toutes les garanties </w:t>
      </w:r>
      <w:r>
        <w:rPr>
          <w:b/>
          <w:lang w:val="fr-FR"/>
        </w:rPr>
        <w:t>prévues par les</w:t>
      </w:r>
      <w:r w:rsidRPr="00EE769D">
        <w:rPr>
          <w:b/>
          <w:lang w:val="fr-FR"/>
        </w:rPr>
        <w:t xml:space="preserve"> normes et règles internationales.</w:t>
      </w:r>
      <w:bookmarkEnd w:id="60"/>
    </w:p>
    <w:p w:rsidR="000D798E" w:rsidRPr="004E42E6" w:rsidRDefault="000D798E" w:rsidP="000D798E">
      <w:pPr>
        <w:pStyle w:val="H23G"/>
      </w:pPr>
      <w:bookmarkStart w:id="61" w:name="bookmark_99"/>
      <w:r w:rsidRPr="004E42E6">
        <w:rPr>
          <w:lang w:val="fr-FR"/>
        </w:rPr>
        <w:tab/>
      </w:r>
      <w:r w:rsidRPr="004E42E6">
        <w:rPr>
          <w:lang w:val="fr-FR"/>
        </w:rPr>
        <w:tab/>
      </w:r>
      <w:r>
        <w:rPr>
          <w:bCs/>
          <w:iCs/>
          <w:lang w:val="fr-FR"/>
        </w:rPr>
        <w:t>Carences</w:t>
      </w:r>
      <w:r w:rsidRPr="004E42E6">
        <w:rPr>
          <w:bCs/>
          <w:i/>
          <w:iCs/>
          <w:lang w:val="fr-FR"/>
        </w:rPr>
        <w:t xml:space="preserve"> </w:t>
      </w:r>
      <w:r w:rsidRPr="004E42E6">
        <w:rPr>
          <w:lang w:val="fr-FR"/>
        </w:rPr>
        <w:t>de l</w:t>
      </w:r>
      <w:r>
        <w:rPr>
          <w:lang w:val="fr-FR"/>
        </w:rPr>
        <w:t>a défense publique</w:t>
      </w:r>
      <w:r w:rsidRPr="004E42E6">
        <w:rPr>
          <w:lang w:val="fr-FR"/>
        </w:rPr>
        <w:t xml:space="preserve"> </w:t>
      </w:r>
      <w:bookmarkEnd w:id="61"/>
    </w:p>
    <w:p w:rsidR="000D798E" w:rsidRPr="004E42E6" w:rsidRDefault="000D798E" w:rsidP="000D798E">
      <w:pPr>
        <w:pStyle w:val="SingleTxtG"/>
      </w:pPr>
      <w:bookmarkStart w:id="62" w:name="bookmark_100"/>
      <w:r w:rsidRPr="004E42E6">
        <w:rPr>
          <w:lang w:val="fr-FR"/>
        </w:rPr>
        <w:t>39.</w:t>
      </w:r>
      <w:r w:rsidRPr="004E42E6">
        <w:rPr>
          <w:lang w:val="fr-FR"/>
        </w:rPr>
        <w:tab/>
        <w:t>Le Sous-Comi</w:t>
      </w:r>
      <w:r>
        <w:rPr>
          <w:lang w:val="fr-FR"/>
        </w:rPr>
        <w:t xml:space="preserve">té est préoccupé par les carences </w:t>
      </w:r>
      <w:r w:rsidRPr="004E42E6">
        <w:rPr>
          <w:lang w:val="fr-FR"/>
        </w:rPr>
        <w:t xml:space="preserve">de </w:t>
      </w:r>
      <w:r>
        <w:rPr>
          <w:lang w:val="fr-FR"/>
        </w:rPr>
        <w:t>la défense publique</w:t>
      </w:r>
      <w:r w:rsidRPr="004E42E6">
        <w:rPr>
          <w:lang w:val="fr-FR"/>
        </w:rPr>
        <w:t xml:space="preserve"> accordée aux personnes privées de liberté. </w:t>
      </w:r>
      <w:r>
        <w:rPr>
          <w:lang w:val="fr-FR"/>
        </w:rPr>
        <w:t>À la question systématiquement posée aux détenus</w:t>
      </w:r>
      <w:r w:rsidRPr="004E42E6">
        <w:rPr>
          <w:lang w:val="fr-FR"/>
        </w:rPr>
        <w:t xml:space="preserve"> </w:t>
      </w:r>
      <w:r>
        <w:rPr>
          <w:lang w:val="fr-FR"/>
        </w:rPr>
        <w:t xml:space="preserve">de savoir </w:t>
      </w:r>
      <w:r w:rsidRPr="004E42E6">
        <w:rPr>
          <w:lang w:val="fr-FR"/>
        </w:rPr>
        <w:t>s</w:t>
      </w:r>
      <w:r>
        <w:rPr>
          <w:lang w:val="fr-FR"/>
        </w:rPr>
        <w:t>’ils</w:t>
      </w:r>
      <w:r w:rsidRPr="004E42E6">
        <w:rPr>
          <w:lang w:val="fr-FR"/>
        </w:rPr>
        <w:t xml:space="preserve"> bénéficiaient </w:t>
      </w:r>
      <w:r>
        <w:rPr>
          <w:lang w:val="fr-FR"/>
        </w:rPr>
        <w:t>d’une aide juridictionnelle assurée par des</w:t>
      </w:r>
      <w:r w:rsidRPr="004E42E6">
        <w:rPr>
          <w:lang w:val="fr-FR"/>
        </w:rPr>
        <w:t xml:space="preserve"> avocats commis d</w:t>
      </w:r>
      <w:r>
        <w:rPr>
          <w:lang w:val="fr-FR"/>
        </w:rPr>
        <w:t>’</w:t>
      </w:r>
      <w:r w:rsidRPr="004E42E6">
        <w:rPr>
          <w:lang w:val="fr-FR"/>
        </w:rPr>
        <w:t xml:space="preserve">office, la réponse </w:t>
      </w:r>
      <w:r>
        <w:rPr>
          <w:lang w:val="fr-FR"/>
        </w:rPr>
        <w:t xml:space="preserve">donnée </w:t>
      </w:r>
      <w:r w:rsidRPr="004E42E6">
        <w:rPr>
          <w:lang w:val="fr-FR"/>
        </w:rPr>
        <w:t xml:space="preserve">a toujours été négative, ce qui atteste du </w:t>
      </w:r>
      <w:r>
        <w:rPr>
          <w:lang w:val="fr-FR"/>
        </w:rPr>
        <w:t>fait que, d’une manière générale, ces avocats ne se rendent pas</w:t>
      </w:r>
      <w:r w:rsidRPr="004E42E6">
        <w:rPr>
          <w:lang w:val="fr-FR"/>
        </w:rPr>
        <w:t xml:space="preserve"> dans les centres de détention. Le Sous-Comité a reçu des témoignages indiquant qu</w:t>
      </w:r>
      <w:r>
        <w:rPr>
          <w:lang w:val="fr-FR"/>
        </w:rPr>
        <w:t>’</w:t>
      </w:r>
      <w:r w:rsidRPr="004E42E6">
        <w:rPr>
          <w:lang w:val="fr-FR"/>
        </w:rPr>
        <w:t xml:space="preserve">il était fréquent que </w:t>
      </w:r>
      <w:r>
        <w:rPr>
          <w:lang w:val="fr-FR"/>
        </w:rPr>
        <w:t>la défense publique</w:t>
      </w:r>
      <w:r w:rsidRPr="004E42E6">
        <w:rPr>
          <w:lang w:val="fr-FR"/>
        </w:rPr>
        <w:t xml:space="preserve"> ne soit accordée qu</w:t>
      </w:r>
      <w:r>
        <w:rPr>
          <w:lang w:val="fr-FR"/>
        </w:rPr>
        <w:t>’</w:t>
      </w:r>
      <w:r w:rsidRPr="004E42E6">
        <w:rPr>
          <w:lang w:val="fr-FR"/>
        </w:rPr>
        <w:t xml:space="preserve">au moment des audiences, ce qui démontre le manque de communication avec les </w:t>
      </w:r>
      <w:r>
        <w:rPr>
          <w:lang w:val="fr-FR"/>
        </w:rPr>
        <w:t>intéressés</w:t>
      </w:r>
      <w:r w:rsidRPr="004E42E6">
        <w:rPr>
          <w:lang w:val="fr-FR"/>
        </w:rPr>
        <w:t xml:space="preserve"> avant leur comparution devant le procureur ou le juge, que ce soit pendant la détention ou au cours des diverses étapes de l</w:t>
      </w:r>
      <w:r>
        <w:rPr>
          <w:lang w:val="fr-FR"/>
        </w:rPr>
        <w:t>’</w:t>
      </w:r>
      <w:r w:rsidRPr="004E42E6">
        <w:rPr>
          <w:lang w:val="fr-FR"/>
        </w:rPr>
        <w:t>enquête pénale concernant le</w:t>
      </w:r>
      <w:r>
        <w:rPr>
          <w:lang w:val="fr-FR"/>
        </w:rPr>
        <w:t>s</w:t>
      </w:r>
      <w:r w:rsidRPr="004E42E6">
        <w:rPr>
          <w:lang w:val="fr-FR"/>
        </w:rPr>
        <w:t xml:space="preserve"> fait</w:t>
      </w:r>
      <w:r>
        <w:rPr>
          <w:lang w:val="fr-FR"/>
        </w:rPr>
        <w:t>s</w:t>
      </w:r>
      <w:r w:rsidRPr="004E42E6">
        <w:rPr>
          <w:lang w:val="fr-FR"/>
        </w:rPr>
        <w:t xml:space="preserve"> imputé</w:t>
      </w:r>
      <w:r>
        <w:rPr>
          <w:lang w:val="fr-FR"/>
        </w:rPr>
        <w:t>s</w:t>
      </w:r>
      <w:r w:rsidRPr="004E42E6">
        <w:rPr>
          <w:lang w:val="fr-FR"/>
        </w:rPr>
        <w:t xml:space="preserve">. Au cours </w:t>
      </w:r>
      <w:r>
        <w:rPr>
          <w:lang w:val="fr-FR"/>
        </w:rPr>
        <w:t>de ses visites</w:t>
      </w:r>
      <w:r w:rsidRPr="004E42E6">
        <w:rPr>
          <w:lang w:val="fr-FR"/>
        </w:rPr>
        <w:t>, le Sous-Comité n</w:t>
      </w:r>
      <w:r>
        <w:rPr>
          <w:lang w:val="fr-FR"/>
        </w:rPr>
        <w:t>’</w:t>
      </w:r>
      <w:r w:rsidRPr="004E42E6">
        <w:rPr>
          <w:lang w:val="fr-FR"/>
        </w:rPr>
        <w:t xml:space="preserve">a pas </w:t>
      </w:r>
      <w:r>
        <w:rPr>
          <w:lang w:val="fr-FR"/>
        </w:rPr>
        <w:t>vu</w:t>
      </w:r>
      <w:r w:rsidRPr="004E42E6">
        <w:rPr>
          <w:lang w:val="fr-FR"/>
        </w:rPr>
        <w:t xml:space="preserve"> d</w:t>
      </w:r>
      <w:r>
        <w:rPr>
          <w:lang w:val="fr-FR"/>
        </w:rPr>
        <w:t>’</w:t>
      </w:r>
      <w:r w:rsidRPr="004E42E6">
        <w:rPr>
          <w:lang w:val="fr-FR"/>
        </w:rPr>
        <w:t>avocats commis d</w:t>
      </w:r>
      <w:r>
        <w:rPr>
          <w:lang w:val="fr-FR"/>
        </w:rPr>
        <w:t>’</w:t>
      </w:r>
      <w:r w:rsidRPr="004E42E6">
        <w:rPr>
          <w:lang w:val="fr-FR"/>
        </w:rPr>
        <w:t>office</w:t>
      </w:r>
      <w:r>
        <w:rPr>
          <w:lang w:val="fr-FR"/>
        </w:rPr>
        <w:t xml:space="preserve"> dans les centres de détention</w:t>
      </w:r>
      <w:r w:rsidRPr="004E42E6">
        <w:rPr>
          <w:lang w:val="fr-FR"/>
        </w:rPr>
        <w:t>.</w:t>
      </w:r>
      <w:bookmarkEnd w:id="62"/>
    </w:p>
    <w:p w:rsidR="000D798E" w:rsidRPr="004E42E6" w:rsidRDefault="000D798E" w:rsidP="000D798E">
      <w:pPr>
        <w:pStyle w:val="SingleTxtG"/>
      </w:pPr>
      <w:bookmarkStart w:id="63" w:name="bookmark_101"/>
      <w:r w:rsidRPr="004E42E6">
        <w:rPr>
          <w:lang w:val="fr-FR"/>
        </w:rPr>
        <w:t>40.</w:t>
      </w:r>
      <w:r w:rsidRPr="004E42E6">
        <w:rPr>
          <w:lang w:val="fr-FR"/>
        </w:rPr>
        <w:tab/>
        <w:t>Ce</w:t>
      </w:r>
      <w:r>
        <w:rPr>
          <w:lang w:val="fr-FR"/>
        </w:rPr>
        <w:t>tte constatation concernant les défaillances de la défense publique</w:t>
      </w:r>
      <w:r w:rsidRPr="004E42E6">
        <w:rPr>
          <w:lang w:val="fr-FR"/>
        </w:rPr>
        <w:t xml:space="preserve"> va dans le même sens que les renseignements reçus de la Cour suprême de justice</w:t>
      </w:r>
      <w:r>
        <w:rPr>
          <w:lang w:val="fr-FR"/>
        </w:rPr>
        <w:t>,</w:t>
      </w:r>
      <w:r w:rsidRPr="004E42E6">
        <w:rPr>
          <w:lang w:val="fr-FR"/>
        </w:rPr>
        <w:t xml:space="preserve"> </w:t>
      </w:r>
      <w:r>
        <w:rPr>
          <w:lang w:val="fr-FR"/>
        </w:rPr>
        <w:t>qui indiquent qu’il</w:t>
      </w:r>
      <w:r w:rsidRPr="004E42E6">
        <w:rPr>
          <w:lang w:val="fr-FR"/>
        </w:rPr>
        <w:t xml:space="preserve"> y aurait au total 38</w:t>
      </w:r>
      <w:r>
        <w:rPr>
          <w:lang w:val="fr-FR"/>
        </w:rPr>
        <w:t xml:space="preserve"> défenseurs publics </w:t>
      </w:r>
      <w:r w:rsidRPr="004E42E6">
        <w:rPr>
          <w:lang w:val="fr-FR"/>
        </w:rPr>
        <w:t xml:space="preserve">dans </w:t>
      </w:r>
      <w:r>
        <w:rPr>
          <w:lang w:val="fr-FR"/>
        </w:rPr>
        <w:t>le pays et seulement 11</w:t>
      </w:r>
      <w:r w:rsidRPr="004E42E6">
        <w:rPr>
          <w:lang w:val="fr-FR"/>
        </w:rPr>
        <w:t xml:space="preserve"> dans le premier circuit (Panama), qui compte </w:t>
      </w:r>
      <w:r>
        <w:rPr>
          <w:lang w:val="fr-FR"/>
        </w:rPr>
        <w:t>l’essentiel de la population carcérale</w:t>
      </w:r>
      <w:r w:rsidRPr="004E42E6">
        <w:rPr>
          <w:lang w:val="fr-FR"/>
        </w:rPr>
        <w:t xml:space="preserve">, </w:t>
      </w:r>
      <w:r>
        <w:rPr>
          <w:lang w:val="fr-FR"/>
        </w:rPr>
        <w:t>ce qui est</w:t>
      </w:r>
      <w:r w:rsidRPr="004E42E6">
        <w:rPr>
          <w:lang w:val="fr-FR"/>
        </w:rPr>
        <w:t xml:space="preserve"> totalement insuffisant pour </w:t>
      </w:r>
      <w:r>
        <w:rPr>
          <w:lang w:val="fr-FR"/>
        </w:rPr>
        <w:t xml:space="preserve">répondre aux besoins de </w:t>
      </w:r>
      <w:r w:rsidRPr="004E42E6">
        <w:rPr>
          <w:lang w:val="fr-FR"/>
        </w:rPr>
        <w:t xml:space="preserve">la population </w:t>
      </w:r>
      <w:r>
        <w:rPr>
          <w:lang w:val="fr-FR"/>
        </w:rPr>
        <w:t>carcérale</w:t>
      </w:r>
      <w:r w:rsidRPr="004E42E6">
        <w:rPr>
          <w:lang w:val="fr-FR"/>
        </w:rPr>
        <w:t xml:space="preserve"> actuelle.</w:t>
      </w:r>
      <w:bookmarkEnd w:id="63"/>
    </w:p>
    <w:p w:rsidR="000D798E" w:rsidRPr="004E42E6" w:rsidRDefault="000D798E" w:rsidP="000D798E">
      <w:pPr>
        <w:pStyle w:val="SingleTxtG"/>
      </w:pPr>
      <w:bookmarkStart w:id="64" w:name="bookmark_102"/>
      <w:r w:rsidRPr="004E42E6">
        <w:rPr>
          <w:lang w:val="fr-FR"/>
        </w:rPr>
        <w:t>41.</w:t>
      </w:r>
      <w:r w:rsidRPr="004E42E6">
        <w:rPr>
          <w:lang w:val="fr-FR"/>
        </w:rPr>
        <w:tab/>
        <w:t>Le Sous-Comité a également constaté l</w:t>
      </w:r>
      <w:r>
        <w:rPr>
          <w:lang w:val="fr-FR"/>
        </w:rPr>
        <w:t>’</w:t>
      </w:r>
      <w:r w:rsidRPr="004E42E6">
        <w:rPr>
          <w:lang w:val="fr-FR"/>
        </w:rPr>
        <w:t xml:space="preserve">existence de différents </w:t>
      </w:r>
      <w:r>
        <w:rPr>
          <w:lang w:val="fr-FR"/>
        </w:rPr>
        <w:t>modèles</w:t>
      </w:r>
      <w:r w:rsidRPr="004E42E6">
        <w:rPr>
          <w:lang w:val="fr-FR"/>
        </w:rPr>
        <w:t xml:space="preserve"> </w:t>
      </w:r>
      <w:r>
        <w:rPr>
          <w:lang w:val="fr-FR"/>
        </w:rPr>
        <w:t>de défense publique</w:t>
      </w:r>
      <w:r w:rsidRPr="004E42E6">
        <w:rPr>
          <w:lang w:val="fr-FR"/>
        </w:rPr>
        <w:t xml:space="preserve">, </w:t>
      </w:r>
      <w:r>
        <w:rPr>
          <w:lang w:val="fr-FR"/>
        </w:rPr>
        <w:t xml:space="preserve">et le </w:t>
      </w:r>
      <w:r w:rsidRPr="004E42E6">
        <w:rPr>
          <w:lang w:val="fr-FR"/>
        </w:rPr>
        <w:t>nom</w:t>
      </w:r>
      <w:r>
        <w:rPr>
          <w:lang w:val="fr-FR"/>
        </w:rPr>
        <w:t>bre limité de défenseurs qui s’occupent d’</w:t>
      </w:r>
      <w:r w:rsidRPr="004E42E6">
        <w:rPr>
          <w:lang w:val="fr-FR"/>
        </w:rPr>
        <w:t xml:space="preserve">affaires </w:t>
      </w:r>
      <w:r>
        <w:rPr>
          <w:lang w:val="fr-FR"/>
        </w:rPr>
        <w:t xml:space="preserve">traitées </w:t>
      </w:r>
      <w:r w:rsidRPr="004E42E6">
        <w:rPr>
          <w:lang w:val="fr-FR"/>
        </w:rPr>
        <w:t>selon le mod</w:t>
      </w:r>
      <w:r>
        <w:rPr>
          <w:lang w:val="fr-FR"/>
        </w:rPr>
        <w:t>èle inquisitoire ou accusatoire et</w:t>
      </w:r>
      <w:r w:rsidRPr="004E42E6">
        <w:rPr>
          <w:lang w:val="fr-FR"/>
        </w:rPr>
        <w:t xml:space="preserve"> dont certains sont également chargés de </w:t>
      </w:r>
      <w:r w:rsidRPr="00B175B3">
        <w:rPr>
          <w:lang w:val="fr-FR"/>
        </w:rPr>
        <w:t xml:space="preserve">la défense mixte dans des domaines relatifs à la </w:t>
      </w:r>
      <w:r w:rsidRPr="00B175B3">
        <w:rPr>
          <w:bCs/>
          <w:iCs/>
          <w:lang w:val="fr-FR"/>
        </w:rPr>
        <w:t>protection</w:t>
      </w:r>
      <w:r w:rsidRPr="00B175B3">
        <w:rPr>
          <w:b/>
          <w:bCs/>
          <w:i/>
          <w:iCs/>
          <w:lang w:val="fr-FR"/>
        </w:rPr>
        <w:t xml:space="preserve"> </w:t>
      </w:r>
      <w:r w:rsidRPr="00B175B3">
        <w:rPr>
          <w:lang w:val="fr-FR"/>
        </w:rPr>
        <w:t>de l</w:t>
      </w:r>
      <w:r>
        <w:rPr>
          <w:lang w:val="fr-FR"/>
        </w:rPr>
        <w:t>’</w:t>
      </w:r>
      <w:r w:rsidRPr="00B175B3">
        <w:rPr>
          <w:lang w:val="fr-FR"/>
        </w:rPr>
        <w:t>enfance, à la famille, à l</w:t>
      </w:r>
      <w:r>
        <w:rPr>
          <w:lang w:val="fr-FR"/>
        </w:rPr>
        <w:t>’</w:t>
      </w:r>
      <w:r w:rsidRPr="00B175B3">
        <w:rPr>
          <w:bCs/>
          <w:iCs/>
          <w:lang w:val="fr-FR"/>
        </w:rPr>
        <w:t>agriculture</w:t>
      </w:r>
      <w:r w:rsidRPr="00B175B3">
        <w:rPr>
          <w:b/>
          <w:bCs/>
          <w:i/>
          <w:iCs/>
          <w:lang w:val="fr-FR"/>
        </w:rPr>
        <w:t xml:space="preserve"> </w:t>
      </w:r>
      <w:r w:rsidRPr="00B175B3">
        <w:rPr>
          <w:lang w:val="fr-FR"/>
        </w:rPr>
        <w:t>ou</w:t>
      </w:r>
      <w:r w:rsidRPr="004E42E6">
        <w:rPr>
          <w:lang w:val="fr-FR"/>
        </w:rPr>
        <w:t xml:space="preserve"> autres</w:t>
      </w:r>
      <w:r>
        <w:rPr>
          <w:lang w:val="fr-FR"/>
        </w:rPr>
        <w:t>,</w:t>
      </w:r>
      <w:r w:rsidRPr="004E42E6">
        <w:rPr>
          <w:lang w:val="fr-FR"/>
        </w:rPr>
        <w:t xml:space="preserve"> dans </w:t>
      </w:r>
      <w:r>
        <w:rPr>
          <w:lang w:val="fr-FR"/>
        </w:rPr>
        <w:t>des</w:t>
      </w:r>
      <w:r w:rsidRPr="004E42E6">
        <w:rPr>
          <w:lang w:val="fr-FR"/>
        </w:rPr>
        <w:t xml:space="preserve"> procédure</w:t>
      </w:r>
      <w:r>
        <w:rPr>
          <w:lang w:val="fr-FR"/>
        </w:rPr>
        <w:t>s</w:t>
      </w:r>
      <w:r w:rsidRPr="004E42E6">
        <w:rPr>
          <w:lang w:val="fr-FR"/>
        </w:rPr>
        <w:t xml:space="preserve"> pénale</w:t>
      </w:r>
      <w:r>
        <w:rPr>
          <w:lang w:val="fr-FR"/>
        </w:rPr>
        <w:t>s</w:t>
      </w:r>
      <w:r w:rsidRPr="004E42E6">
        <w:rPr>
          <w:lang w:val="fr-FR"/>
        </w:rPr>
        <w:t xml:space="preserve"> inquisitoire</w:t>
      </w:r>
      <w:r>
        <w:rPr>
          <w:lang w:val="fr-FR"/>
        </w:rPr>
        <w:t>s</w:t>
      </w:r>
      <w:r w:rsidRPr="004E42E6">
        <w:rPr>
          <w:lang w:val="fr-FR"/>
        </w:rPr>
        <w:t xml:space="preserve"> concernant des adultes.</w:t>
      </w:r>
      <w:bookmarkEnd w:id="64"/>
    </w:p>
    <w:p w:rsidR="000D798E" w:rsidRPr="004E42E6" w:rsidRDefault="000D798E" w:rsidP="000D798E">
      <w:pPr>
        <w:pStyle w:val="SingleTxtG"/>
        <w:rPr>
          <w:szCs w:val="17"/>
        </w:rPr>
      </w:pPr>
      <w:bookmarkStart w:id="65" w:name="bookmark_103"/>
      <w:r w:rsidRPr="004E42E6">
        <w:rPr>
          <w:lang w:val="fr-FR"/>
        </w:rPr>
        <w:lastRenderedPageBreak/>
        <w:t>42.</w:t>
      </w:r>
      <w:r w:rsidRPr="004E42E6">
        <w:rPr>
          <w:lang w:val="fr-FR"/>
        </w:rPr>
        <w:tab/>
        <w:t xml:space="preserve">Le Sous-Comité considère que le nombre réduit </w:t>
      </w:r>
      <w:r>
        <w:rPr>
          <w:lang w:val="fr-FR"/>
        </w:rPr>
        <w:t>de défenseurs publics</w:t>
      </w:r>
      <w:r w:rsidRPr="004E42E6">
        <w:rPr>
          <w:lang w:val="fr-FR"/>
        </w:rPr>
        <w:t xml:space="preserve"> est un problème grave pour le renforcement du nouveau modèle accusatoire mis en place au niveau national dans le cadre duquel la défense et le Bureau du Procureur doivent disposer de ressources humaines et financières équivalentes pour pouvoir s</w:t>
      </w:r>
      <w:r>
        <w:rPr>
          <w:lang w:val="fr-FR"/>
        </w:rPr>
        <w:t>’</w:t>
      </w:r>
      <w:r w:rsidRPr="004E42E6">
        <w:rPr>
          <w:lang w:val="fr-FR"/>
        </w:rPr>
        <w:t>acquitter efficacement de leurs fonctions dans le respect du principe de l</w:t>
      </w:r>
      <w:r>
        <w:rPr>
          <w:lang w:val="fr-FR"/>
        </w:rPr>
        <w:t>’</w:t>
      </w:r>
      <w:r w:rsidRPr="004E42E6">
        <w:rPr>
          <w:lang w:val="fr-FR"/>
        </w:rPr>
        <w:t xml:space="preserve">égalité des moyens. Ce problème est un obstacle majeur </w:t>
      </w:r>
      <w:r>
        <w:rPr>
          <w:lang w:val="fr-FR"/>
        </w:rPr>
        <w:t>s’agissant de garantir</w:t>
      </w:r>
      <w:r w:rsidRPr="004E42E6">
        <w:rPr>
          <w:lang w:val="fr-FR"/>
        </w:rPr>
        <w:t xml:space="preserve"> </w:t>
      </w:r>
      <w:r>
        <w:rPr>
          <w:lang w:val="fr-FR"/>
        </w:rPr>
        <w:t>que la défense publique joue</w:t>
      </w:r>
      <w:r w:rsidRPr="004E42E6">
        <w:rPr>
          <w:lang w:val="fr-FR"/>
        </w:rPr>
        <w:t xml:space="preserve"> le rôle fondamental qui est le sien </w:t>
      </w:r>
      <w:r>
        <w:rPr>
          <w:lang w:val="fr-FR"/>
        </w:rPr>
        <w:t>dans la détection d’</w:t>
      </w:r>
      <w:r w:rsidRPr="004E42E6">
        <w:rPr>
          <w:lang w:val="fr-FR"/>
        </w:rPr>
        <w:t>actes de torture, assure la représentation des victimes et leur fournisse une aide</w:t>
      </w:r>
      <w:r>
        <w:rPr>
          <w:lang w:val="fr-FR"/>
        </w:rPr>
        <w:t>,</w:t>
      </w:r>
      <w:r w:rsidRPr="004E42E6">
        <w:rPr>
          <w:lang w:val="fr-FR"/>
        </w:rPr>
        <w:t xml:space="preserve"> </w:t>
      </w:r>
      <w:r>
        <w:rPr>
          <w:lang w:val="fr-FR"/>
        </w:rPr>
        <w:t>protégeant ainsi la régularité des enquêtes réalisées sur les cas qui se présentent.</w:t>
      </w:r>
      <w:bookmarkEnd w:id="65"/>
    </w:p>
    <w:p w:rsidR="000D798E" w:rsidRPr="00F22D51" w:rsidRDefault="000D798E" w:rsidP="000D798E">
      <w:pPr>
        <w:pStyle w:val="SingleTxtG"/>
        <w:rPr>
          <w:b/>
        </w:rPr>
      </w:pPr>
      <w:bookmarkStart w:id="66" w:name="bookmark_104"/>
      <w:r w:rsidRPr="00301C42">
        <w:rPr>
          <w:lang w:val="fr-FR"/>
        </w:rPr>
        <w:t>43.</w:t>
      </w:r>
      <w:r w:rsidRPr="00301C42">
        <w:rPr>
          <w:lang w:val="fr-FR"/>
        </w:rPr>
        <w:tab/>
      </w:r>
      <w:r w:rsidRPr="00F22D51">
        <w:rPr>
          <w:b/>
          <w:lang w:val="fr-FR"/>
        </w:rPr>
        <w:t>Le Sous-Comité prie instamment l</w:t>
      </w:r>
      <w:r>
        <w:rPr>
          <w:b/>
          <w:lang w:val="fr-FR"/>
        </w:rPr>
        <w:t>’</w:t>
      </w:r>
      <w:r w:rsidRPr="00F22D51">
        <w:rPr>
          <w:b/>
          <w:lang w:val="fr-FR"/>
        </w:rPr>
        <w:t xml:space="preserve">État partie de renforcer le rôle de </w:t>
      </w:r>
      <w:r>
        <w:rPr>
          <w:b/>
          <w:lang w:val="fr-FR"/>
        </w:rPr>
        <w:t>la défense publique</w:t>
      </w:r>
      <w:r w:rsidRPr="00F22D51">
        <w:rPr>
          <w:b/>
          <w:lang w:val="fr-FR"/>
        </w:rPr>
        <w:t xml:space="preserve"> sur tout le territoire national </w:t>
      </w:r>
      <w:r>
        <w:rPr>
          <w:b/>
          <w:lang w:val="fr-FR"/>
        </w:rPr>
        <w:t>par</w:t>
      </w:r>
      <w:r w:rsidRPr="00F22D51">
        <w:rPr>
          <w:b/>
          <w:lang w:val="fr-FR"/>
        </w:rPr>
        <w:t xml:space="preserve"> des mesures permettant d</w:t>
      </w:r>
      <w:r>
        <w:rPr>
          <w:b/>
          <w:lang w:val="fr-FR"/>
        </w:rPr>
        <w:t>’</w:t>
      </w:r>
      <w:r w:rsidRPr="00F22D51">
        <w:rPr>
          <w:b/>
          <w:lang w:val="fr-FR"/>
        </w:rPr>
        <w:t>augmenter le nombre d</w:t>
      </w:r>
      <w:r>
        <w:rPr>
          <w:b/>
          <w:lang w:val="fr-FR"/>
        </w:rPr>
        <w:t>’</w:t>
      </w:r>
      <w:r w:rsidRPr="00F22D51">
        <w:rPr>
          <w:b/>
          <w:lang w:val="fr-FR"/>
        </w:rPr>
        <w:t>a</w:t>
      </w:r>
      <w:r>
        <w:rPr>
          <w:b/>
          <w:lang w:val="fr-FR"/>
        </w:rPr>
        <w:t>vocats</w:t>
      </w:r>
      <w:r w:rsidRPr="00F22D51">
        <w:rPr>
          <w:b/>
          <w:lang w:val="fr-FR"/>
        </w:rPr>
        <w:t xml:space="preserve"> </w:t>
      </w:r>
      <w:r>
        <w:rPr>
          <w:b/>
          <w:lang w:val="fr-FR"/>
        </w:rPr>
        <w:t>de la défense publique</w:t>
      </w:r>
      <w:r w:rsidRPr="00F22D51">
        <w:rPr>
          <w:b/>
          <w:lang w:val="fr-FR"/>
        </w:rPr>
        <w:t xml:space="preserve">, en particulier </w:t>
      </w:r>
      <w:r>
        <w:rPr>
          <w:b/>
          <w:lang w:val="fr-FR"/>
        </w:rPr>
        <w:t>pour ce qui est de l’application des peines</w:t>
      </w:r>
      <w:r w:rsidRPr="00557EC6">
        <w:rPr>
          <w:b/>
          <w:lang w:val="fr-FR"/>
        </w:rPr>
        <w:t>.</w:t>
      </w:r>
      <w:r w:rsidRPr="00F22D51">
        <w:rPr>
          <w:b/>
          <w:lang w:val="fr-FR"/>
        </w:rPr>
        <w:t xml:space="preserve"> L</w:t>
      </w:r>
      <w:r>
        <w:rPr>
          <w:b/>
          <w:lang w:val="fr-FR"/>
        </w:rPr>
        <w:t>’</w:t>
      </w:r>
      <w:r w:rsidRPr="00F22D51">
        <w:rPr>
          <w:b/>
          <w:lang w:val="fr-FR"/>
        </w:rPr>
        <w:t xml:space="preserve">État partie doit offrir une formation adaptée et les ressources nécessaires pour garantir </w:t>
      </w:r>
      <w:r>
        <w:rPr>
          <w:b/>
          <w:lang w:val="fr-FR"/>
        </w:rPr>
        <w:t>les services de défense</w:t>
      </w:r>
      <w:r w:rsidRPr="00F22D51">
        <w:rPr>
          <w:b/>
          <w:lang w:val="fr-FR"/>
        </w:rPr>
        <w:t xml:space="preserve"> </w:t>
      </w:r>
      <w:r>
        <w:rPr>
          <w:b/>
          <w:lang w:val="fr-FR"/>
        </w:rPr>
        <w:t xml:space="preserve">publique </w:t>
      </w:r>
      <w:r w:rsidRPr="00F22D51">
        <w:rPr>
          <w:b/>
          <w:lang w:val="fr-FR"/>
        </w:rPr>
        <w:t>dès les premières heures de la détention, en s</w:t>
      </w:r>
      <w:r>
        <w:rPr>
          <w:b/>
          <w:lang w:val="fr-FR"/>
        </w:rPr>
        <w:t>’</w:t>
      </w:r>
      <w:r w:rsidRPr="00F22D51">
        <w:rPr>
          <w:b/>
          <w:lang w:val="fr-FR"/>
        </w:rPr>
        <w:t>assurant que les entretiens avec les personnes privées de liberté ont toujours lieu avant les audiences et qu</w:t>
      </w:r>
      <w:r>
        <w:rPr>
          <w:b/>
          <w:lang w:val="fr-FR"/>
        </w:rPr>
        <w:t>’</w:t>
      </w:r>
      <w:r w:rsidRPr="00F22D51">
        <w:rPr>
          <w:b/>
          <w:lang w:val="fr-FR"/>
        </w:rPr>
        <w:t xml:space="preserve">ils </w:t>
      </w:r>
      <w:r>
        <w:rPr>
          <w:b/>
          <w:lang w:val="fr-FR"/>
        </w:rPr>
        <w:t>sont d’</w:t>
      </w:r>
      <w:r w:rsidRPr="00F22D51">
        <w:rPr>
          <w:b/>
          <w:lang w:val="fr-FR"/>
        </w:rPr>
        <w:t xml:space="preserve">une durée et </w:t>
      </w:r>
      <w:r>
        <w:rPr>
          <w:b/>
          <w:lang w:val="fr-FR"/>
        </w:rPr>
        <w:t>d’</w:t>
      </w:r>
      <w:r w:rsidRPr="00F22D51">
        <w:rPr>
          <w:b/>
          <w:lang w:val="fr-FR"/>
        </w:rPr>
        <w:t>un contenu minimums propres à garantir l</w:t>
      </w:r>
      <w:r>
        <w:rPr>
          <w:b/>
          <w:lang w:val="fr-FR"/>
        </w:rPr>
        <w:t>’</w:t>
      </w:r>
      <w:r w:rsidRPr="00F22D51">
        <w:rPr>
          <w:b/>
          <w:lang w:val="fr-FR"/>
        </w:rPr>
        <w:t xml:space="preserve">exercice du droit à la défense et la détection systématique de </w:t>
      </w:r>
      <w:r>
        <w:rPr>
          <w:b/>
          <w:lang w:val="fr-FR"/>
        </w:rPr>
        <w:t>fait</w:t>
      </w:r>
      <w:r w:rsidRPr="00F22D51">
        <w:rPr>
          <w:b/>
          <w:lang w:val="fr-FR"/>
        </w:rPr>
        <w:t>s de torture et de mauvais traitements.</w:t>
      </w:r>
      <w:bookmarkEnd w:id="66"/>
    </w:p>
    <w:p w:rsidR="000D798E" w:rsidRPr="004E42E6" w:rsidRDefault="000D798E" w:rsidP="000D798E">
      <w:pPr>
        <w:pStyle w:val="H23G"/>
      </w:pPr>
      <w:bookmarkStart w:id="67" w:name="bookmark_105"/>
      <w:r w:rsidRPr="004E42E6">
        <w:rPr>
          <w:lang w:val="fr-FR"/>
        </w:rPr>
        <w:tab/>
      </w:r>
      <w:r w:rsidRPr="004E42E6">
        <w:rPr>
          <w:lang w:val="fr-FR"/>
        </w:rPr>
        <w:tab/>
        <w:t xml:space="preserve">Absence de mécanismes de plaintes </w:t>
      </w:r>
      <w:bookmarkEnd w:id="67"/>
    </w:p>
    <w:p w:rsidR="000D798E" w:rsidRPr="004E42E6" w:rsidRDefault="000D798E" w:rsidP="000D798E">
      <w:pPr>
        <w:pStyle w:val="SingleTxtG"/>
      </w:pPr>
      <w:bookmarkStart w:id="68" w:name="bookmark_106"/>
      <w:r w:rsidRPr="004E42E6">
        <w:rPr>
          <w:lang w:val="fr-FR"/>
        </w:rPr>
        <w:t>44.</w:t>
      </w:r>
      <w:r w:rsidRPr="004E42E6">
        <w:rPr>
          <w:lang w:val="fr-FR"/>
        </w:rPr>
        <w:tab/>
        <w:t xml:space="preserve">Dans la majorité des </w:t>
      </w:r>
      <w:r>
        <w:rPr>
          <w:lang w:val="fr-FR"/>
        </w:rPr>
        <w:t>établissements</w:t>
      </w:r>
      <w:r w:rsidRPr="004E42E6">
        <w:rPr>
          <w:lang w:val="fr-FR"/>
        </w:rPr>
        <w:t xml:space="preserve"> visités, le Sous-Comité a pu constater l</w:t>
      </w:r>
      <w:r>
        <w:rPr>
          <w:lang w:val="fr-FR"/>
        </w:rPr>
        <w:t>’</w:t>
      </w:r>
      <w:r w:rsidRPr="004E42E6">
        <w:rPr>
          <w:lang w:val="fr-FR"/>
        </w:rPr>
        <w:t xml:space="preserve">absence de mécanismes </w:t>
      </w:r>
      <w:r>
        <w:rPr>
          <w:lang w:val="fr-FR"/>
        </w:rPr>
        <w:t>permettant de</w:t>
      </w:r>
      <w:r w:rsidRPr="004E42E6">
        <w:rPr>
          <w:lang w:val="fr-FR"/>
        </w:rPr>
        <w:t xml:space="preserve"> présenter d</w:t>
      </w:r>
      <w:r>
        <w:rPr>
          <w:lang w:val="fr-FR"/>
        </w:rPr>
        <w:t>’</w:t>
      </w:r>
      <w:r w:rsidRPr="004E42E6">
        <w:rPr>
          <w:lang w:val="fr-FR"/>
        </w:rPr>
        <w:t>éventuelles requêtes ou plaintes</w:t>
      </w:r>
      <w:r>
        <w:rPr>
          <w:lang w:val="fr-FR"/>
        </w:rPr>
        <w:t xml:space="preserve"> conformément à la r</w:t>
      </w:r>
      <w:r w:rsidRPr="004E42E6">
        <w:rPr>
          <w:lang w:val="fr-FR"/>
        </w:rPr>
        <w:t>ègle 56 de l</w:t>
      </w:r>
      <w:r>
        <w:rPr>
          <w:lang w:val="fr-FR"/>
        </w:rPr>
        <w:t>’</w:t>
      </w:r>
      <w:r w:rsidRPr="004E42E6">
        <w:rPr>
          <w:lang w:val="fr-FR"/>
        </w:rPr>
        <w:t xml:space="preserve">Ensemble de règles minima des Nations Unies pour le traitement des détenus (Règles Nelson Mandela). </w:t>
      </w:r>
      <w:r>
        <w:rPr>
          <w:lang w:val="fr-FR"/>
        </w:rPr>
        <w:t>Il</w:t>
      </w:r>
      <w:r w:rsidRPr="004E42E6">
        <w:rPr>
          <w:lang w:val="fr-FR"/>
        </w:rPr>
        <w:t xml:space="preserve"> est préoccupé par le fait que l</w:t>
      </w:r>
      <w:r>
        <w:rPr>
          <w:lang w:val="fr-FR"/>
        </w:rPr>
        <w:t>’</w:t>
      </w:r>
      <w:r w:rsidRPr="004E42E6">
        <w:rPr>
          <w:lang w:val="fr-FR"/>
        </w:rPr>
        <w:t xml:space="preserve">accès à des mécanismes de plaintes </w:t>
      </w:r>
      <w:r>
        <w:rPr>
          <w:lang w:val="fr-FR"/>
        </w:rPr>
        <w:t>ne soit</w:t>
      </w:r>
      <w:r w:rsidRPr="004E42E6">
        <w:rPr>
          <w:lang w:val="fr-FR"/>
        </w:rPr>
        <w:t xml:space="preserve"> pas garanti, </w:t>
      </w:r>
      <w:r>
        <w:rPr>
          <w:lang w:val="fr-FR"/>
        </w:rPr>
        <w:t>que celles-ci</w:t>
      </w:r>
      <w:r w:rsidRPr="004E42E6">
        <w:rPr>
          <w:lang w:val="fr-FR"/>
        </w:rPr>
        <w:t xml:space="preserve"> visent les autorités pénitentiaires, les autorités judiciaires, le Bureau du Défenseur du peuple ou d</w:t>
      </w:r>
      <w:r>
        <w:rPr>
          <w:lang w:val="fr-FR"/>
        </w:rPr>
        <w:t>’</w:t>
      </w:r>
      <w:r w:rsidRPr="004E42E6">
        <w:rPr>
          <w:lang w:val="fr-FR"/>
        </w:rPr>
        <w:t xml:space="preserve">autres autorités. Dans tous les cas, </w:t>
      </w:r>
      <w:r>
        <w:rPr>
          <w:lang w:val="fr-FR"/>
        </w:rPr>
        <w:t xml:space="preserve">on constate que </w:t>
      </w:r>
      <w:r w:rsidRPr="004E42E6">
        <w:rPr>
          <w:lang w:val="fr-FR"/>
        </w:rPr>
        <w:t xml:space="preserve">les personnes privées de liberté </w:t>
      </w:r>
      <w:r>
        <w:rPr>
          <w:lang w:val="fr-FR"/>
        </w:rPr>
        <w:t>craignent</w:t>
      </w:r>
      <w:r w:rsidRPr="004E42E6">
        <w:rPr>
          <w:lang w:val="fr-FR"/>
        </w:rPr>
        <w:t xml:space="preserve"> des représailles. </w:t>
      </w:r>
      <w:bookmarkEnd w:id="68"/>
    </w:p>
    <w:p w:rsidR="000D798E" w:rsidRPr="00F22D51" w:rsidRDefault="000D798E" w:rsidP="000D798E">
      <w:pPr>
        <w:pStyle w:val="SingleTxtG"/>
        <w:rPr>
          <w:b/>
        </w:rPr>
      </w:pPr>
      <w:bookmarkStart w:id="69" w:name="bookmark_107"/>
      <w:r w:rsidRPr="00301C42">
        <w:rPr>
          <w:lang w:val="fr-FR"/>
        </w:rPr>
        <w:t>45.</w:t>
      </w:r>
      <w:r w:rsidRPr="00301C42">
        <w:rPr>
          <w:lang w:val="fr-FR"/>
        </w:rPr>
        <w:tab/>
      </w:r>
      <w:r w:rsidRPr="00F22D51">
        <w:rPr>
          <w:b/>
          <w:lang w:val="fr-FR"/>
        </w:rPr>
        <w:t>Le Sous-Comité exhorte l</w:t>
      </w:r>
      <w:r>
        <w:rPr>
          <w:b/>
          <w:lang w:val="fr-FR"/>
        </w:rPr>
        <w:t>’</w:t>
      </w:r>
      <w:r w:rsidRPr="00F22D51">
        <w:rPr>
          <w:b/>
          <w:lang w:val="fr-FR"/>
        </w:rPr>
        <w:t xml:space="preserve">État partie à </w:t>
      </w:r>
      <w:r>
        <w:rPr>
          <w:b/>
          <w:lang w:val="fr-FR"/>
        </w:rPr>
        <w:t>faire en sorte</w:t>
      </w:r>
      <w:r w:rsidRPr="00F22D51">
        <w:rPr>
          <w:b/>
          <w:lang w:val="fr-FR"/>
        </w:rPr>
        <w:t xml:space="preserve"> que, dans la pratique, tout détenu ait la possibilité de présenter des requêtes ou des plaintes au directeur de l</w:t>
      </w:r>
      <w:r>
        <w:rPr>
          <w:b/>
          <w:lang w:val="fr-FR"/>
        </w:rPr>
        <w:t>’</w:t>
      </w:r>
      <w:r w:rsidRPr="00F22D51">
        <w:rPr>
          <w:b/>
          <w:lang w:val="fr-FR"/>
        </w:rPr>
        <w:t>établissement ou au fonctionnaire pénitentiaire autorisé à le représenter. De même</w:t>
      </w:r>
      <w:r>
        <w:rPr>
          <w:b/>
          <w:lang w:val="fr-FR"/>
        </w:rPr>
        <w:t>,</w:t>
      </w:r>
      <w:r w:rsidRPr="00F22D51">
        <w:rPr>
          <w:b/>
          <w:lang w:val="fr-FR"/>
        </w:rPr>
        <w:t xml:space="preserve"> l</w:t>
      </w:r>
      <w:r>
        <w:rPr>
          <w:b/>
          <w:lang w:val="fr-FR"/>
        </w:rPr>
        <w:t>’</w:t>
      </w:r>
      <w:r w:rsidRPr="00F22D51">
        <w:rPr>
          <w:b/>
          <w:lang w:val="fr-FR"/>
        </w:rPr>
        <w:t>État partie devrait veiller à ce que les détenus puissent s</w:t>
      </w:r>
      <w:r>
        <w:rPr>
          <w:b/>
          <w:lang w:val="fr-FR"/>
        </w:rPr>
        <w:t>’</w:t>
      </w:r>
      <w:r w:rsidRPr="00F22D51">
        <w:rPr>
          <w:b/>
          <w:lang w:val="fr-FR"/>
        </w:rPr>
        <w:t>entretenir librement et en toute confidentialité et à ce qu</w:t>
      </w:r>
      <w:r>
        <w:rPr>
          <w:b/>
          <w:lang w:val="fr-FR"/>
        </w:rPr>
        <w:t>’</w:t>
      </w:r>
      <w:r w:rsidRPr="00F22D51">
        <w:rPr>
          <w:b/>
          <w:lang w:val="fr-FR"/>
        </w:rPr>
        <w:t>ils ne soient pas sanctionné</w:t>
      </w:r>
      <w:r>
        <w:rPr>
          <w:b/>
          <w:lang w:val="fr-FR"/>
        </w:rPr>
        <w:t>s</w:t>
      </w:r>
      <w:r w:rsidRPr="00F22D51">
        <w:rPr>
          <w:b/>
          <w:lang w:val="fr-FR"/>
        </w:rPr>
        <w:t xml:space="preserve"> ou exposés à des conséquences nég</w:t>
      </w:r>
      <w:r>
        <w:rPr>
          <w:b/>
          <w:lang w:val="fr-FR"/>
        </w:rPr>
        <w:t xml:space="preserve">atives pour avoir présenté </w:t>
      </w:r>
      <w:r w:rsidRPr="00F22D51">
        <w:rPr>
          <w:b/>
          <w:lang w:val="fr-FR"/>
        </w:rPr>
        <w:t xml:space="preserve">une plainte </w:t>
      </w:r>
      <w:bookmarkEnd w:id="69"/>
      <w:r>
        <w:rPr>
          <w:b/>
          <w:lang w:val="fr-FR"/>
        </w:rPr>
        <w:t>ou communiqué des renseignements.</w:t>
      </w:r>
    </w:p>
    <w:p w:rsidR="000D798E" w:rsidRPr="004E42E6" w:rsidRDefault="000D798E" w:rsidP="000D798E">
      <w:pPr>
        <w:pStyle w:val="H23G"/>
      </w:pPr>
      <w:bookmarkStart w:id="70" w:name="bookmark_108"/>
      <w:r w:rsidRPr="004E42E6">
        <w:rPr>
          <w:lang w:val="fr-FR"/>
        </w:rPr>
        <w:tab/>
      </w:r>
      <w:r w:rsidRPr="004E42E6">
        <w:rPr>
          <w:lang w:val="fr-FR"/>
        </w:rPr>
        <w:tab/>
      </w:r>
      <w:r>
        <w:rPr>
          <w:lang w:val="fr-FR"/>
        </w:rPr>
        <w:t>Nombre insuffisant</w:t>
      </w:r>
      <w:r w:rsidRPr="004E42E6">
        <w:rPr>
          <w:lang w:val="fr-FR"/>
        </w:rPr>
        <w:t xml:space="preserve"> de juges </w:t>
      </w:r>
      <w:r>
        <w:rPr>
          <w:lang w:val="fr-FR"/>
        </w:rPr>
        <w:t>d’application</w:t>
      </w:r>
      <w:r w:rsidRPr="004E42E6">
        <w:rPr>
          <w:lang w:val="fr-FR"/>
        </w:rPr>
        <w:t xml:space="preserve"> des peines</w:t>
      </w:r>
      <w:bookmarkEnd w:id="70"/>
    </w:p>
    <w:p w:rsidR="000D798E" w:rsidRPr="004E42E6" w:rsidRDefault="000D798E" w:rsidP="000D798E">
      <w:pPr>
        <w:pStyle w:val="SingleTxtG"/>
      </w:pPr>
      <w:bookmarkStart w:id="71" w:name="bookmark_109"/>
      <w:r w:rsidRPr="004E42E6">
        <w:rPr>
          <w:lang w:val="fr-FR"/>
        </w:rPr>
        <w:t>46.</w:t>
      </w:r>
      <w:r w:rsidRPr="004E42E6">
        <w:rPr>
          <w:lang w:val="fr-FR"/>
        </w:rPr>
        <w:tab/>
        <w:t xml:space="preserve">Le Sous-Comité a été informé du nombre très faible de juges </w:t>
      </w:r>
      <w:r>
        <w:rPr>
          <w:lang w:val="fr-FR"/>
        </w:rPr>
        <w:t>d’</w:t>
      </w:r>
      <w:r w:rsidRPr="004E42E6">
        <w:rPr>
          <w:lang w:val="fr-FR"/>
        </w:rPr>
        <w:t>application des peines (28 au total et seulement 8 pour le premier circuit</w:t>
      </w:r>
      <w:r>
        <w:rPr>
          <w:lang w:val="fr-FR"/>
        </w:rPr>
        <w:t>,</w:t>
      </w:r>
      <w:r w:rsidRPr="004E42E6">
        <w:rPr>
          <w:lang w:val="fr-FR"/>
        </w:rPr>
        <w:t xml:space="preserve"> qui accueille </w:t>
      </w:r>
      <w:r>
        <w:rPr>
          <w:lang w:val="fr-FR"/>
        </w:rPr>
        <w:t>l’essentiel de la</w:t>
      </w:r>
      <w:r w:rsidRPr="004E42E6">
        <w:rPr>
          <w:lang w:val="fr-FR"/>
        </w:rPr>
        <w:t xml:space="preserve"> population </w:t>
      </w:r>
      <w:r>
        <w:rPr>
          <w:lang w:val="fr-FR"/>
        </w:rPr>
        <w:t>carcérale</w:t>
      </w:r>
      <w:r w:rsidRPr="004E42E6">
        <w:rPr>
          <w:lang w:val="fr-FR"/>
        </w:rPr>
        <w:t>). Il est indispensable qu</w:t>
      </w:r>
      <w:r>
        <w:rPr>
          <w:lang w:val="fr-FR"/>
        </w:rPr>
        <w:t>’</w:t>
      </w:r>
      <w:r w:rsidRPr="004E42E6">
        <w:rPr>
          <w:lang w:val="fr-FR"/>
        </w:rPr>
        <w:t xml:space="preserve">une politique nationale soit mise en place </w:t>
      </w:r>
      <w:r>
        <w:rPr>
          <w:lang w:val="fr-FR"/>
        </w:rPr>
        <w:t>pour que les</w:t>
      </w:r>
      <w:r w:rsidRPr="004E42E6">
        <w:rPr>
          <w:lang w:val="fr-FR"/>
        </w:rPr>
        <w:t xml:space="preserve"> juges </w:t>
      </w:r>
      <w:r>
        <w:rPr>
          <w:lang w:val="fr-FR"/>
        </w:rPr>
        <w:t>d’</w:t>
      </w:r>
      <w:r w:rsidRPr="004E42E6">
        <w:rPr>
          <w:lang w:val="fr-FR"/>
        </w:rPr>
        <w:t xml:space="preserve">application des peines </w:t>
      </w:r>
      <w:r>
        <w:rPr>
          <w:lang w:val="fr-FR"/>
        </w:rPr>
        <w:t>jouent un rôle de</w:t>
      </w:r>
      <w:r w:rsidRPr="004E42E6">
        <w:rPr>
          <w:lang w:val="fr-FR"/>
        </w:rPr>
        <w:t xml:space="preserve"> mécanisme de prévention de la torture</w:t>
      </w:r>
      <w:r w:rsidRPr="00F80DB6">
        <w:rPr>
          <w:lang w:val="fr-FR"/>
        </w:rPr>
        <w:t xml:space="preserve"> </w:t>
      </w:r>
      <w:r w:rsidRPr="004E42E6">
        <w:rPr>
          <w:lang w:val="fr-FR"/>
        </w:rPr>
        <w:t xml:space="preserve">supplémentaire. </w:t>
      </w:r>
      <w:bookmarkEnd w:id="71"/>
    </w:p>
    <w:p w:rsidR="000D798E" w:rsidRPr="00F22D51" w:rsidRDefault="000D798E" w:rsidP="000D798E">
      <w:pPr>
        <w:pStyle w:val="SingleTxtG"/>
        <w:rPr>
          <w:b/>
        </w:rPr>
      </w:pPr>
      <w:bookmarkStart w:id="72" w:name="bookmark_110"/>
      <w:r w:rsidRPr="00301C42">
        <w:rPr>
          <w:lang w:val="fr-FR"/>
        </w:rPr>
        <w:t>47.</w:t>
      </w:r>
      <w:r w:rsidRPr="00301C42">
        <w:rPr>
          <w:lang w:val="fr-FR"/>
        </w:rPr>
        <w:tab/>
      </w:r>
      <w:r w:rsidRPr="00F22D51">
        <w:rPr>
          <w:b/>
          <w:lang w:val="fr-FR"/>
        </w:rPr>
        <w:t>Le Sous-Comité demande à l</w:t>
      </w:r>
      <w:r>
        <w:rPr>
          <w:b/>
          <w:lang w:val="fr-FR"/>
        </w:rPr>
        <w:t>’</w:t>
      </w:r>
      <w:r w:rsidRPr="00F22D51">
        <w:rPr>
          <w:b/>
          <w:lang w:val="fr-FR"/>
        </w:rPr>
        <w:t xml:space="preserve">État partie de mettre en place une politique visant à augmenter le nombre de juges </w:t>
      </w:r>
      <w:r>
        <w:rPr>
          <w:b/>
          <w:lang w:val="fr-FR"/>
        </w:rPr>
        <w:t>d’application</w:t>
      </w:r>
      <w:r w:rsidRPr="00F22D51">
        <w:rPr>
          <w:b/>
          <w:lang w:val="fr-FR"/>
        </w:rPr>
        <w:t xml:space="preserve"> des peines et de veiller à ce qu</w:t>
      </w:r>
      <w:r>
        <w:rPr>
          <w:b/>
          <w:lang w:val="fr-FR"/>
        </w:rPr>
        <w:t>’</w:t>
      </w:r>
      <w:r w:rsidRPr="00F22D51">
        <w:rPr>
          <w:b/>
          <w:lang w:val="fr-FR"/>
        </w:rPr>
        <w:t>ils soient dûment formés pour s</w:t>
      </w:r>
      <w:r>
        <w:rPr>
          <w:b/>
          <w:lang w:val="fr-FR"/>
        </w:rPr>
        <w:t>’</w:t>
      </w:r>
      <w:r w:rsidRPr="00F22D51">
        <w:rPr>
          <w:b/>
          <w:lang w:val="fr-FR"/>
        </w:rPr>
        <w:t xml:space="preserve">acquitter efficacement de leurs fonctions. </w:t>
      </w:r>
      <w:r>
        <w:rPr>
          <w:b/>
          <w:lang w:val="fr-FR"/>
        </w:rPr>
        <w:t>Il</w:t>
      </w:r>
      <w:r w:rsidRPr="00F22D51">
        <w:rPr>
          <w:b/>
          <w:lang w:val="fr-FR"/>
        </w:rPr>
        <w:t xml:space="preserve"> recommande que </w:t>
      </w:r>
      <w:r>
        <w:rPr>
          <w:b/>
          <w:lang w:val="fr-FR"/>
        </w:rPr>
        <w:t>c</w:t>
      </w:r>
      <w:r w:rsidRPr="00F22D51">
        <w:rPr>
          <w:b/>
          <w:lang w:val="fr-FR"/>
        </w:rPr>
        <w:t xml:space="preserve">es juges exercent leur activité professionnelle avec </w:t>
      </w:r>
      <w:r w:rsidRPr="00A87551">
        <w:rPr>
          <w:b/>
          <w:bCs/>
          <w:iCs/>
          <w:lang w:val="fr-FR"/>
        </w:rPr>
        <w:t>diligence</w:t>
      </w:r>
      <w:r w:rsidRPr="00F22D51">
        <w:rPr>
          <w:b/>
          <w:lang w:val="fr-FR"/>
        </w:rPr>
        <w:t>, aient un contact direct avec les dé</w:t>
      </w:r>
      <w:r>
        <w:rPr>
          <w:b/>
          <w:lang w:val="fr-FR"/>
        </w:rPr>
        <w:t xml:space="preserve">tenus et veillent au respect des </w:t>
      </w:r>
      <w:r w:rsidRPr="00F22D51">
        <w:rPr>
          <w:b/>
          <w:lang w:val="fr-FR"/>
        </w:rPr>
        <w:t>droits</w:t>
      </w:r>
      <w:r>
        <w:rPr>
          <w:b/>
          <w:lang w:val="fr-FR"/>
        </w:rPr>
        <w:t xml:space="preserve"> de ces derniers</w:t>
      </w:r>
      <w:r w:rsidRPr="00F22D51">
        <w:rPr>
          <w:b/>
          <w:lang w:val="fr-FR"/>
        </w:rPr>
        <w:t>.</w:t>
      </w:r>
      <w:bookmarkEnd w:id="72"/>
    </w:p>
    <w:p w:rsidR="000D798E" w:rsidRPr="004E42E6" w:rsidRDefault="000D798E" w:rsidP="000D798E">
      <w:pPr>
        <w:pStyle w:val="SingleTxtG"/>
      </w:pPr>
      <w:bookmarkStart w:id="73" w:name="bookmark_111"/>
      <w:r w:rsidRPr="004E42E6">
        <w:rPr>
          <w:lang w:val="fr-FR"/>
        </w:rPr>
        <w:t>48.</w:t>
      </w:r>
      <w:r w:rsidRPr="004E42E6">
        <w:rPr>
          <w:lang w:val="fr-FR"/>
        </w:rPr>
        <w:tab/>
        <w:t>Durant la visite, le Sous-Comité a été invité à participer à une formation organisée par l</w:t>
      </w:r>
      <w:r>
        <w:rPr>
          <w:lang w:val="fr-FR"/>
        </w:rPr>
        <w:t>’</w:t>
      </w:r>
      <w:r w:rsidRPr="004E42E6">
        <w:rPr>
          <w:lang w:val="fr-FR"/>
        </w:rPr>
        <w:t>autorité judiciaire à l</w:t>
      </w:r>
      <w:r>
        <w:rPr>
          <w:lang w:val="fr-FR"/>
        </w:rPr>
        <w:t>’</w:t>
      </w:r>
      <w:r w:rsidRPr="004E42E6">
        <w:rPr>
          <w:lang w:val="fr-FR"/>
        </w:rPr>
        <w:t xml:space="preserve">intention des juges, procureurs et avocats </w:t>
      </w:r>
      <w:r>
        <w:rPr>
          <w:lang w:val="fr-FR"/>
        </w:rPr>
        <w:t>de la défense publique</w:t>
      </w:r>
      <w:r w:rsidRPr="004E42E6">
        <w:rPr>
          <w:lang w:val="fr-FR"/>
        </w:rPr>
        <w:t xml:space="preserve"> et a pris note avec satisfaction de l</w:t>
      </w:r>
      <w:r>
        <w:rPr>
          <w:lang w:val="fr-FR"/>
        </w:rPr>
        <w:t>’</w:t>
      </w:r>
      <w:r w:rsidRPr="004E42E6">
        <w:rPr>
          <w:lang w:val="fr-FR"/>
        </w:rPr>
        <w:t xml:space="preserve">inclusion de modules </w:t>
      </w:r>
      <w:r>
        <w:rPr>
          <w:lang w:val="fr-FR"/>
        </w:rPr>
        <w:t xml:space="preserve">de formation </w:t>
      </w:r>
      <w:r w:rsidRPr="004E42E6">
        <w:rPr>
          <w:lang w:val="fr-FR"/>
        </w:rPr>
        <w:t>sur la torture.</w:t>
      </w:r>
      <w:bookmarkEnd w:id="73"/>
    </w:p>
    <w:p w:rsidR="000D798E" w:rsidRPr="00085D33" w:rsidRDefault="000D798E" w:rsidP="000D798E">
      <w:pPr>
        <w:pStyle w:val="SingleTxtG"/>
        <w:rPr>
          <w:b/>
        </w:rPr>
      </w:pPr>
      <w:bookmarkStart w:id="74" w:name="bookmark_112"/>
      <w:r w:rsidRPr="00301C42">
        <w:rPr>
          <w:lang w:val="fr-FR"/>
        </w:rPr>
        <w:t>49.</w:t>
      </w:r>
      <w:r w:rsidRPr="00301C42">
        <w:rPr>
          <w:lang w:val="fr-FR"/>
        </w:rPr>
        <w:tab/>
      </w:r>
      <w:r w:rsidRPr="00085D33">
        <w:rPr>
          <w:b/>
          <w:lang w:val="fr-FR"/>
        </w:rPr>
        <w:t xml:space="preserve">Le Sous-Comité recommande de renforcer les programmes de formation destinés aux juges, aux procureurs et aux avocats </w:t>
      </w:r>
      <w:r>
        <w:rPr>
          <w:b/>
          <w:lang w:val="fr-FR"/>
        </w:rPr>
        <w:t>de la défense publique</w:t>
      </w:r>
      <w:r w:rsidRPr="00085D33">
        <w:rPr>
          <w:b/>
          <w:lang w:val="fr-FR"/>
        </w:rPr>
        <w:t xml:space="preserve">, </w:t>
      </w:r>
      <w:r>
        <w:rPr>
          <w:b/>
          <w:lang w:val="fr-FR"/>
        </w:rPr>
        <w:t>notamment sur</w:t>
      </w:r>
      <w:r w:rsidRPr="00085D33">
        <w:rPr>
          <w:b/>
          <w:lang w:val="fr-FR"/>
        </w:rPr>
        <w:t xml:space="preserve"> le Manuel pour enquêter efficacement sur la torture et autres peines ou traitements cruels, inhumains ou dégradants (Protocole d</w:t>
      </w:r>
      <w:r>
        <w:rPr>
          <w:b/>
          <w:lang w:val="fr-FR"/>
        </w:rPr>
        <w:t>’</w:t>
      </w:r>
      <w:r w:rsidRPr="00085D33">
        <w:rPr>
          <w:b/>
          <w:lang w:val="fr-FR"/>
        </w:rPr>
        <w:t>Istanbul).</w:t>
      </w:r>
      <w:bookmarkEnd w:id="74"/>
    </w:p>
    <w:p w:rsidR="000D798E" w:rsidRPr="004E42E6" w:rsidRDefault="000D798E" w:rsidP="000D798E">
      <w:pPr>
        <w:pStyle w:val="H23G"/>
      </w:pPr>
      <w:bookmarkStart w:id="75" w:name="bookmark_113"/>
      <w:r w:rsidRPr="004E42E6">
        <w:rPr>
          <w:lang w:val="fr-FR"/>
        </w:rPr>
        <w:lastRenderedPageBreak/>
        <w:tab/>
      </w:r>
      <w:r w:rsidRPr="004E42E6">
        <w:rPr>
          <w:lang w:val="fr-FR"/>
        </w:rPr>
        <w:tab/>
        <w:t>Présence insuffisante du Bureau du Défenseur du peuple</w:t>
      </w:r>
      <w:bookmarkEnd w:id="75"/>
    </w:p>
    <w:p w:rsidR="000D798E" w:rsidRPr="004E42E6" w:rsidRDefault="000D798E" w:rsidP="000D798E">
      <w:pPr>
        <w:pStyle w:val="SingleTxtG"/>
        <w:rPr>
          <w:color w:val="000000"/>
        </w:rPr>
      </w:pPr>
      <w:bookmarkStart w:id="76" w:name="bookmark_114"/>
      <w:r w:rsidRPr="004E42E6">
        <w:rPr>
          <w:lang w:val="fr-FR"/>
        </w:rPr>
        <w:t>50.</w:t>
      </w:r>
      <w:r w:rsidRPr="004E42E6">
        <w:rPr>
          <w:lang w:val="fr-FR"/>
        </w:rPr>
        <w:tab/>
        <w:t xml:space="preserve">Le Sous-Comité a constaté que </w:t>
      </w:r>
      <w:r>
        <w:rPr>
          <w:lang w:val="fr-FR"/>
        </w:rPr>
        <w:t xml:space="preserve">le </w:t>
      </w:r>
      <w:r w:rsidRPr="004E42E6">
        <w:rPr>
          <w:lang w:val="fr-FR"/>
        </w:rPr>
        <w:t xml:space="preserve">Bureau du Défenseur du peuple comprenait un </w:t>
      </w:r>
      <w:r>
        <w:rPr>
          <w:lang w:val="fr-FR"/>
        </w:rPr>
        <w:t>service</w:t>
      </w:r>
      <w:r w:rsidRPr="004E42E6">
        <w:rPr>
          <w:lang w:val="fr-FR"/>
        </w:rPr>
        <w:t xml:space="preserve"> chargé de contrôler le respect des droits de l</w:t>
      </w:r>
      <w:r>
        <w:rPr>
          <w:lang w:val="fr-FR"/>
        </w:rPr>
        <w:t>’</w:t>
      </w:r>
      <w:r w:rsidRPr="004E42E6">
        <w:rPr>
          <w:lang w:val="fr-FR"/>
        </w:rPr>
        <w:t xml:space="preserve">homme des détenus, qui devrait réaliser régulièrement des visites dans les établissements pénitentiaires. Toutefois, ce </w:t>
      </w:r>
      <w:r>
        <w:rPr>
          <w:lang w:val="fr-FR"/>
        </w:rPr>
        <w:t>service</w:t>
      </w:r>
      <w:r w:rsidRPr="004E42E6">
        <w:rPr>
          <w:lang w:val="fr-FR"/>
        </w:rPr>
        <w:t xml:space="preserve"> ne comptait que deux fonctionnaires, ce qui limitait fortement sa capacité de </w:t>
      </w:r>
      <w:r>
        <w:rPr>
          <w:lang w:val="fr-FR"/>
        </w:rPr>
        <w:t xml:space="preserve">surveillance de la situation </w:t>
      </w:r>
      <w:r w:rsidRPr="004E42E6">
        <w:rPr>
          <w:lang w:val="fr-FR"/>
        </w:rPr>
        <w:t>dans les centres de détention, les commissariats ainsi que les centres d</w:t>
      </w:r>
      <w:r>
        <w:rPr>
          <w:lang w:val="fr-FR"/>
        </w:rPr>
        <w:t>’</w:t>
      </w:r>
      <w:r w:rsidRPr="004E42E6">
        <w:rPr>
          <w:lang w:val="fr-FR"/>
        </w:rPr>
        <w:t xml:space="preserve">hébergement pour migrants, </w:t>
      </w:r>
      <w:r>
        <w:rPr>
          <w:lang w:val="fr-FR"/>
        </w:rPr>
        <w:t xml:space="preserve">et </w:t>
      </w:r>
      <w:r w:rsidRPr="004E42E6">
        <w:rPr>
          <w:lang w:val="fr-FR"/>
        </w:rPr>
        <w:t>contribua</w:t>
      </w:r>
      <w:r>
        <w:rPr>
          <w:lang w:val="fr-FR"/>
        </w:rPr>
        <w:t>i</w:t>
      </w:r>
      <w:r w:rsidRPr="004E42E6">
        <w:rPr>
          <w:lang w:val="fr-FR"/>
        </w:rPr>
        <w:t xml:space="preserve">t à </w:t>
      </w:r>
      <w:r>
        <w:rPr>
          <w:lang w:val="fr-FR"/>
        </w:rPr>
        <w:t>ce que les actes de torture et de</w:t>
      </w:r>
      <w:r w:rsidRPr="004E42E6">
        <w:rPr>
          <w:lang w:val="fr-FR"/>
        </w:rPr>
        <w:t xml:space="preserve"> mauvais traitements</w:t>
      </w:r>
      <w:r>
        <w:rPr>
          <w:lang w:val="fr-FR"/>
        </w:rPr>
        <w:t xml:space="preserve"> restent dans l’ombre</w:t>
      </w:r>
      <w:r w:rsidRPr="004E42E6">
        <w:rPr>
          <w:lang w:val="fr-FR"/>
        </w:rPr>
        <w:t xml:space="preserve">. </w:t>
      </w:r>
      <w:bookmarkEnd w:id="76"/>
    </w:p>
    <w:p w:rsidR="000D798E" w:rsidRPr="00085D33" w:rsidRDefault="000D798E" w:rsidP="000D798E">
      <w:pPr>
        <w:pStyle w:val="SingleTxtG"/>
        <w:rPr>
          <w:b/>
        </w:rPr>
      </w:pPr>
      <w:bookmarkStart w:id="77" w:name="bookmark_115"/>
      <w:r w:rsidRPr="00301C42">
        <w:rPr>
          <w:lang w:val="fr-FR"/>
        </w:rPr>
        <w:t>51.</w:t>
      </w:r>
      <w:r w:rsidRPr="00301C42">
        <w:rPr>
          <w:lang w:val="fr-FR"/>
        </w:rPr>
        <w:tab/>
      </w:r>
      <w:r w:rsidRPr="00085D33">
        <w:rPr>
          <w:b/>
          <w:lang w:val="fr-FR"/>
        </w:rPr>
        <w:t>Le Sous-Comité recommande au Bureau du Défenseur du peuple de renforcer sa présence dans les centres de détention sur tout le territoire national pour détecter les cas de torture et de mauvais traitements.</w:t>
      </w:r>
      <w:bookmarkEnd w:id="77"/>
    </w:p>
    <w:p w:rsidR="000D798E" w:rsidRPr="00B175B3" w:rsidRDefault="000D798E" w:rsidP="000D798E">
      <w:pPr>
        <w:pStyle w:val="SingleTxtG"/>
        <w:rPr>
          <w:shd w:val="clear" w:color="auto" w:fill="FFFFFF"/>
        </w:rPr>
      </w:pPr>
      <w:bookmarkStart w:id="78" w:name="bookmark_116"/>
      <w:r w:rsidRPr="004E42E6">
        <w:rPr>
          <w:lang w:val="fr-FR"/>
        </w:rPr>
        <w:t>52.</w:t>
      </w:r>
      <w:r w:rsidRPr="004E42E6">
        <w:rPr>
          <w:lang w:val="fr-FR"/>
        </w:rPr>
        <w:tab/>
        <w:t>Le Sous-Comité a pris note de l</w:t>
      </w:r>
      <w:r>
        <w:rPr>
          <w:lang w:val="fr-FR"/>
        </w:rPr>
        <w:t>’</w:t>
      </w:r>
      <w:r w:rsidRPr="004E42E6">
        <w:rPr>
          <w:lang w:val="fr-FR"/>
        </w:rPr>
        <w:t>incident qui s</w:t>
      </w:r>
      <w:r>
        <w:rPr>
          <w:lang w:val="fr-FR"/>
        </w:rPr>
        <w:t>’</w:t>
      </w:r>
      <w:r w:rsidRPr="004E42E6">
        <w:rPr>
          <w:lang w:val="fr-FR"/>
        </w:rPr>
        <w:t>est produit le 9</w:t>
      </w:r>
      <w:r>
        <w:rPr>
          <w:lang w:val="fr-FR"/>
        </w:rPr>
        <w:t> </w:t>
      </w:r>
      <w:r w:rsidRPr="004E42E6">
        <w:rPr>
          <w:lang w:val="fr-FR"/>
        </w:rPr>
        <w:t>août dans l</w:t>
      </w:r>
      <w:r>
        <w:rPr>
          <w:lang w:val="fr-FR"/>
        </w:rPr>
        <w:t>’</w:t>
      </w:r>
      <w:r w:rsidRPr="004E42E6">
        <w:rPr>
          <w:lang w:val="fr-FR"/>
        </w:rPr>
        <w:t xml:space="preserve">établissement pénitentiaire </w:t>
      </w:r>
      <w:proofErr w:type="spellStart"/>
      <w:r w:rsidRPr="004E42E6">
        <w:rPr>
          <w:lang w:val="fr-FR"/>
        </w:rPr>
        <w:t>Nueva</w:t>
      </w:r>
      <w:proofErr w:type="spellEnd"/>
      <w:r w:rsidRPr="004E42E6">
        <w:rPr>
          <w:lang w:val="fr-FR"/>
        </w:rPr>
        <w:t xml:space="preserve"> </w:t>
      </w:r>
      <w:proofErr w:type="spellStart"/>
      <w:r w:rsidRPr="004E42E6">
        <w:rPr>
          <w:lang w:val="fr-FR"/>
        </w:rPr>
        <w:t>Joya</w:t>
      </w:r>
      <w:proofErr w:type="spellEnd"/>
      <w:r>
        <w:rPr>
          <w:lang w:val="fr-FR"/>
        </w:rPr>
        <w:t>,</w:t>
      </w:r>
      <w:r w:rsidRPr="004E42E6">
        <w:rPr>
          <w:lang w:val="fr-FR"/>
        </w:rPr>
        <w:t xml:space="preserve"> au cours duquel des personnes ont été blessées, tant parmi les fonctionnaires de l</w:t>
      </w:r>
      <w:r>
        <w:rPr>
          <w:lang w:val="fr-FR"/>
        </w:rPr>
        <w:t>’</w:t>
      </w:r>
      <w:r w:rsidRPr="004E42E6">
        <w:rPr>
          <w:lang w:val="fr-FR"/>
        </w:rPr>
        <w:t xml:space="preserve">administration pénitentiaire que parmi les détenus. Il est surprenant </w:t>
      </w:r>
      <w:r>
        <w:rPr>
          <w:lang w:val="fr-FR"/>
        </w:rPr>
        <w:t xml:space="preserve">de constater </w:t>
      </w:r>
      <w:r w:rsidRPr="004E42E6">
        <w:rPr>
          <w:lang w:val="fr-FR"/>
        </w:rPr>
        <w:t>qu</w:t>
      </w:r>
      <w:r>
        <w:rPr>
          <w:lang w:val="fr-FR"/>
        </w:rPr>
        <w:t>’</w:t>
      </w:r>
      <w:r w:rsidRPr="004E42E6">
        <w:rPr>
          <w:lang w:val="fr-FR"/>
        </w:rPr>
        <w:t xml:space="preserve">à ce jour, le Bureau du Défenseur du peuple ne </w:t>
      </w:r>
      <w:r>
        <w:rPr>
          <w:lang w:val="fr-FR"/>
        </w:rPr>
        <w:t>s’est</w:t>
      </w:r>
      <w:r w:rsidRPr="004E42E6">
        <w:rPr>
          <w:lang w:val="fr-FR"/>
        </w:rPr>
        <w:t xml:space="preserve"> </w:t>
      </w:r>
      <w:r w:rsidRPr="00B175B3">
        <w:rPr>
          <w:lang w:val="fr-FR"/>
        </w:rPr>
        <w:t xml:space="preserve">pas </w:t>
      </w:r>
      <w:r w:rsidRPr="00B175B3">
        <w:rPr>
          <w:bCs/>
          <w:iCs/>
          <w:lang w:val="fr-FR"/>
        </w:rPr>
        <w:t>prononcé sur des faits aussi graves.</w:t>
      </w:r>
      <w:bookmarkEnd w:id="78"/>
    </w:p>
    <w:p w:rsidR="000D798E" w:rsidRPr="004E42E6" w:rsidRDefault="000D798E" w:rsidP="000D798E">
      <w:pPr>
        <w:pStyle w:val="SingleTxtG"/>
        <w:rPr>
          <w:color w:val="000000"/>
        </w:rPr>
      </w:pPr>
      <w:bookmarkStart w:id="79" w:name="bookmark_117"/>
      <w:r w:rsidRPr="004E42E6">
        <w:rPr>
          <w:lang w:val="fr-FR"/>
        </w:rPr>
        <w:t>53.</w:t>
      </w:r>
      <w:r w:rsidRPr="004E42E6">
        <w:rPr>
          <w:lang w:val="fr-FR"/>
        </w:rPr>
        <w:tab/>
        <w:t xml:space="preserve">Le Sous-Comité tient à indiquer que la création du mécanisme national de prévention rattaché au Bureau du Défenseur du peuple ne </w:t>
      </w:r>
      <w:r>
        <w:rPr>
          <w:lang w:val="fr-FR"/>
        </w:rPr>
        <w:t>va pas à l’encontre du</w:t>
      </w:r>
      <w:r w:rsidRPr="004E42E6">
        <w:rPr>
          <w:lang w:val="fr-FR"/>
        </w:rPr>
        <w:t xml:space="preserve"> travail réalisé par le </w:t>
      </w:r>
      <w:r>
        <w:rPr>
          <w:lang w:val="fr-FR"/>
        </w:rPr>
        <w:t>service</w:t>
      </w:r>
      <w:r w:rsidRPr="004E42E6">
        <w:rPr>
          <w:lang w:val="fr-FR"/>
        </w:rPr>
        <w:t xml:space="preserve"> chargé de </w:t>
      </w:r>
      <w:r>
        <w:rPr>
          <w:lang w:val="fr-FR"/>
        </w:rPr>
        <w:t>surveiller</w:t>
      </w:r>
      <w:r w:rsidRPr="004E42E6">
        <w:rPr>
          <w:lang w:val="fr-FR"/>
        </w:rPr>
        <w:t xml:space="preserve"> le respect des droits de l</w:t>
      </w:r>
      <w:r>
        <w:rPr>
          <w:lang w:val="fr-FR"/>
        </w:rPr>
        <w:t>’</w:t>
      </w:r>
      <w:r w:rsidRPr="004E42E6">
        <w:rPr>
          <w:lang w:val="fr-FR"/>
        </w:rPr>
        <w:t>homme des détenus. En</w:t>
      </w:r>
      <w:r>
        <w:rPr>
          <w:lang w:val="fr-FR"/>
        </w:rPr>
        <w:t> </w:t>
      </w:r>
      <w:r w:rsidRPr="004E42E6">
        <w:rPr>
          <w:lang w:val="fr-FR"/>
        </w:rPr>
        <w:t>application du Pr</w:t>
      </w:r>
      <w:r>
        <w:rPr>
          <w:lang w:val="fr-FR"/>
        </w:rPr>
        <w:t>otocole facultatif et des Directiv</w:t>
      </w:r>
      <w:r w:rsidRPr="004E42E6">
        <w:rPr>
          <w:lang w:val="fr-FR"/>
        </w:rPr>
        <w:t xml:space="preserve">es du Sous-Comité, deux structures </w:t>
      </w:r>
      <w:r>
        <w:rPr>
          <w:lang w:val="fr-FR"/>
        </w:rPr>
        <w:t>distinctes</w:t>
      </w:r>
      <w:r w:rsidRPr="004E42E6">
        <w:rPr>
          <w:lang w:val="fr-FR"/>
        </w:rPr>
        <w:t xml:space="preserve"> et </w:t>
      </w:r>
      <w:r>
        <w:rPr>
          <w:lang w:val="fr-FR"/>
        </w:rPr>
        <w:t>autonomes</w:t>
      </w:r>
      <w:r w:rsidRPr="004E42E6">
        <w:rPr>
          <w:lang w:val="fr-FR"/>
        </w:rPr>
        <w:t xml:space="preserve"> sont prévues pour remplir des fonctions différentes et </w:t>
      </w:r>
      <w:r>
        <w:rPr>
          <w:lang w:val="fr-FR"/>
        </w:rPr>
        <w:t>garantir</w:t>
      </w:r>
      <w:r w:rsidRPr="004E42E6">
        <w:rPr>
          <w:lang w:val="fr-FR"/>
        </w:rPr>
        <w:t xml:space="preserve"> une certaine indépendance.</w:t>
      </w:r>
      <w:bookmarkEnd w:id="79"/>
    </w:p>
    <w:p w:rsidR="000D798E" w:rsidRPr="00150DB2" w:rsidRDefault="000D798E" w:rsidP="000D798E">
      <w:pPr>
        <w:pStyle w:val="SingleTxtG"/>
      </w:pPr>
      <w:bookmarkStart w:id="80" w:name="bookmark_118"/>
      <w:r w:rsidRPr="004E42E6">
        <w:rPr>
          <w:lang w:val="fr-FR"/>
        </w:rPr>
        <w:t>54.</w:t>
      </w:r>
      <w:r w:rsidRPr="004E42E6">
        <w:rPr>
          <w:lang w:val="fr-FR"/>
        </w:rPr>
        <w:tab/>
        <w:t>Le Sous-Comité rappelle que, pour renforcer l</w:t>
      </w:r>
      <w:r>
        <w:rPr>
          <w:lang w:val="fr-FR"/>
        </w:rPr>
        <w:t>’</w:t>
      </w:r>
      <w:r w:rsidRPr="004E42E6">
        <w:rPr>
          <w:lang w:val="fr-FR"/>
        </w:rPr>
        <w:t>efficacité du mécanisme national de prévention, il est important de veiller à ce que toutes les parties prenantes, en particulier les autorités et les détenus</w:t>
      </w:r>
      <w:r>
        <w:rPr>
          <w:lang w:val="fr-FR"/>
        </w:rPr>
        <w:t>,</w:t>
      </w:r>
      <w:r w:rsidRPr="004E42E6">
        <w:rPr>
          <w:lang w:val="fr-FR"/>
        </w:rPr>
        <w:t xml:space="preserve"> sachent que le mécanisme national de prévention a pour</w:t>
      </w:r>
      <w:r>
        <w:rPr>
          <w:lang w:val="fr-FR"/>
        </w:rPr>
        <w:t xml:space="preserve"> </w:t>
      </w:r>
      <w:r w:rsidRPr="004E42E6">
        <w:rPr>
          <w:lang w:val="fr-FR"/>
        </w:rPr>
        <w:t xml:space="preserve">fonction </w:t>
      </w:r>
      <w:r>
        <w:rPr>
          <w:lang w:val="fr-FR"/>
        </w:rPr>
        <w:t>principale</w:t>
      </w:r>
      <w:r w:rsidRPr="004E42E6">
        <w:rPr>
          <w:lang w:val="fr-FR"/>
        </w:rPr>
        <w:t xml:space="preserve"> de prévenir la torture. </w:t>
      </w:r>
      <w:bookmarkEnd w:id="80"/>
    </w:p>
    <w:p w:rsidR="000D798E" w:rsidRPr="003064FF" w:rsidRDefault="000D798E" w:rsidP="000D798E">
      <w:pPr>
        <w:pStyle w:val="HChG"/>
      </w:pPr>
      <w:r>
        <w:tab/>
      </w:r>
      <w:r w:rsidRPr="003064FF">
        <w:t>IV.</w:t>
      </w:r>
      <w:r w:rsidRPr="003064FF">
        <w:tab/>
      </w:r>
      <w:r w:rsidRPr="00830A64">
        <w:t>O</w:t>
      </w:r>
      <w:bookmarkStart w:id="81" w:name="hit1"/>
      <w:bookmarkEnd w:id="81"/>
      <w:r>
        <w:t>bservations du Sous-Comité</w:t>
      </w:r>
      <w:bookmarkStart w:id="82" w:name="hit2"/>
      <w:bookmarkStart w:id="83" w:name="hit3"/>
      <w:bookmarkStart w:id="84" w:name="hit_last"/>
      <w:bookmarkEnd w:id="82"/>
      <w:bookmarkEnd w:id="83"/>
      <w:bookmarkEnd w:id="84"/>
      <w:r w:rsidRPr="003064FF">
        <w:t xml:space="preserve"> sur les lieux visités</w:t>
      </w:r>
    </w:p>
    <w:p w:rsidR="000D798E" w:rsidRPr="003064FF" w:rsidRDefault="000D798E" w:rsidP="000D798E">
      <w:pPr>
        <w:pStyle w:val="H1G"/>
      </w:pPr>
      <w:r w:rsidRPr="003064FF">
        <w:tab/>
        <w:t>A.</w:t>
      </w:r>
      <w:r w:rsidRPr="003064FF">
        <w:tab/>
      </w:r>
      <w:r>
        <w:t xml:space="preserve">Surpopulation et état des </w:t>
      </w:r>
      <w:r w:rsidRPr="003064FF">
        <w:t>infrastructur</w:t>
      </w:r>
      <w:r>
        <w:t>es</w:t>
      </w:r>
    </w:p>
    <w:p w:rsidR="000D798E" w:rsidRPr="003064FF" w:rsidRDefault="000D798E" w:rsidP="000D798E">
      <w:pPr>
        <w:pStyle w:val="SingleTxtG"/>
        <w:rPr>
          <w:color w:val="000000"/>
        </w:rPr>
      </w:pPr>
      <w:r w:rsidRPr="003064FF">
        <w:t>55.</w:t>
      </w:r>
      <w:r w:rsidRPr="003064FF">
        <w:tab/>
        <w:t>Se</w:t>
      </w:r>
      <w:r>
        <w:t>lon les</w:t>
      </w:r>
      <w:r w:rsidRPr="003064FF">
        <w:t xml:space="preserve"> d</w:t>
      </w:r>
      <w:r>
        <w:t>onnées transmises par</w:t>
      </w:r>
      <w:r w:rsidRPr="003064FF">
        <w:t xml:space="preserve"> la Direction générale du système</w:t>
      </w:r>
      <w:r>
        <w:rPr>
          <w:rFonts w:ascii="Segoe UI" w:hAnsi="Segoe UI" w:cs="Segoe UI"/>
        </w:rPr>
        <w:t xml:space="preserve"> </w:t>
      </w:r>
      <w:r w:rsidRPr="003064FF">
        <w:t xml:space="preserve">pénitentiaire, </w:t>
      </w:r>
      <w:r>
        <w:t>pour</w:t>
      </w:r>
      <w:r w:rsidRPr="003064FF">
        <w:t xml:space="preserve"> jui</w:t>
      </w:r>
      <w:r>
        <w:t>n</w:t>
      </w:r>
      <w:r w:rsidRPr="003064FF">
        <w:t xml:space="preserve"> 2017</w:t>
      </w:r>
      <w:r>
        <w:t>, le</w:t>
      </w:r>
      <w:r w:rsidRPr="003064FF">
        <w:t xml:space="preserve">s </w:t>
      </w:r>
      <w:r>
        <w:t>taux de surpopulation variaient d’un centre de privation de liberté à l’autre</w:t>
      </w:r>
      <w:r w:rsidRPr="003064FF">
        <w:t xml:space="preserve">. Si </w:t>
      </w:r>
      <w:r>
        <w:t xml:space="preserve">quelques centres n’étaient pas surpeuplés, la plupart l’étaient, à différents degrés, le taux de surpopulation allant jusqu’à </w:t>
      </w:r>
      <w:r w:rsidRPr="003064FF">
        <w:t>266</w:t>
      </w:r>
      <w:r>
        <w:t> </w:t>
      </w:r>
      <w:r w:rsidRPr="003064FF">
        <w:t xml:space="preserve">% </w:t>
      </w:r>
      <w:r>
        <w:t xml:space="preserve">à la prison de </w:t>
      </w:r>
      <w:r w:rsidRPr="003064FF">
        <w:t xml:space="preserve">David. </w:t>
      </w:r>
    </w:p>
    <w:p w:rsidR="000D798E" w:rsidRPr="003064FF" w:rsidRDefault="000D798E" w:rsidP="000D798E">
      <w:pPr>
        <w:pStyle w:val="SingleTxtG"/>
      </w:pPr>
      <w:r w:rsidRPr="003064FF">
        <w:t>56.</w:t>
      </w:r>
      <w:r w:rsidRPr="003064FF">
        <w:tab/>
      </w:r>
      <w:r>
        <w:t>Le</w:t>
      </w:r>
      <w:r w:rsidRPr="003064FF">
        <w:t xml:space="preserve"> S</w:t>
      </w:r>
      <w:r>
        <w:t>o</w:t>
      </w:r>
      <w:r w:rsidRPr="003064FF">
        <w:t>u</w:t>
      </w:r>
      <w:r>
        <w:t>s-C</w:t>
      </w:r>
      <w:r w:rsidRPr="003064FF">
        <w:t xml:space="preserve">omité </w:t>
      </w:r>
      <w:r>
        <w:t xml:space="preserve">a constaté des </w:t>
      </w:r>
      <w:r w:rsidRPr="003064FF">
        <w:t>condi</w:t>
      </w:r>
      <w:r>
        <w:t>t</w:t>
      </w:r>
      <w:r w:rsidRPr="003064FF">
        <w:t xml:space="preserve">ions </w:t>
      </w:r>
      <w:r>
        <w:t>de vie déplorables</w:t>
      </w:r>
      <w:r w:rsidRPr="003064FF">
        <w:t xml:space="preserve"> </w:t>
      </w:r>
      <w:r>
        <w:t xml:space="preserve">dans la </w:t>
      </w:r>
      <w:r w:rsidRPr="003064FF">
        <w:t>gran</w:t>
      </w:r>
      <w:r>
        <w:t>de</w:t>
      </w:r>
      <w:r w:rsidRPr="003064FF">
        <w:t xml:space="preserve"> ma</w:t>
      </w:r>
      <w:r>
        <w:t>j</w:t>
      </w:r>
      <w:r w:rsidRPr="003064FF">
        <w:t>or</w:t>
      </w:r>
      <w:r>
        <w:t xml:space="preserve">ité des centres qu’il a </w:t>
      </w:r>
      <w:r w:rsidRPr="003064FF">
        <w:t>visit</w:t>
      </w:r>
      <w:r>
        <w:t>és</w:t>
      </w:r>
      <w:r w:rsidRPr="003064FF">
        <w:t xml:space="preserve">. </w:t>
      </w:r>
      <w:r>
        <w:t>Dans le complexe pénitentiaire</w:t>
      </w:r>
      <w:r w:rsidRPr="003064FF">
        <w:t xml:space="preserve"> </w:t>
      </w:r>
      <w:r>
        <w:t>La </w:t>
      </w:r>
      <w:proofErr w:type="spellStart"/>
      <w:r>
        <w:t>Joya</w:t>
      </w:r>
      <w:proofErr w:type="spellEnd"/>
      <w:r>
        <w:t>-</w:t>
      </w:r>
      <w:r w:rsidRPr="003064FF">
        <w:t>La</w:t>
      </w:r>
      <w:r>
        <w:t> </w:t>
      </w:r>
      <w:proofErr w:type="spellStart"/>
      <w:r w:rsidRPr="003064FF">
        <w:t>Joyita</w:t>
      </w:r>
      <w:proofErr w:type="spellEnd"/>
      <w:r w:rsidRPr="003064FF">
        <w:t xml:space="preserve"> </w:t>
      </w:r>
      <w:r>
        <w:t>(ville de </w:t>
      </w:r>
      <w:r w:rsidRPr="003064FF">
        <w:t>Panamá</w:t>
      </w:r>
      <w:r>
        <w:t>)</w:t>
      </w:r>
      <w:r w:rsidRPr="003064FF">
        <w:t xml:space="preserve"> </w:t>
      </w:r>
      <w:r>
        <w:t>et au centre</w:t>
      </w:r>
      <w:r w:rsidRPr="003064FF">
        <w:t xml:space="preserve"> </w:t>
      </w:r>
      <w:proofErr w:type="spellStart"/>
      <w:r w:rsidRPr="003064FF">
        <w:t>Nueva</w:t>
      </w:r>
      <w:proofErr w:type="spellEnd"/>
      <w:r w:rsidRPr="003064FF">
        <w:t xml:space="preserve"> Esperanza </w:t>
      </w:r>
      <w:r>
        <w:t xml:space="preserve">(ville de </w:t>
      </w:r>
      <w:r w:rsidRPr="003064FF">
        <w:t>Colón</w:t>
      </w:r>
      <w:r>
        <w:t>), il</w:t>
      </w:r>
      <w:r w:rsidRPr="003064FF">
        <w:t xml:space="preserve"> </w:t>
      </w:r>
      <w:r>
        <w:t>a noté que les conditions de détention étaient inhumaines dans plusieurs</w:t>
      </w:r>
      <w:r w:rsidRPr="003064FF">
        <w:t xml:space="preserve"> pa</w:t>
      </w:r>
      <w:r>
        <w:t>villons</w:t>
      </w:r>
      <w:r w:rsidRPr="003064FF">
        <w:t>, no</w:t>
      </w:r>
      <w:r>
        <w:t>n</w:t>
      </w:r>
      <w:r w:rsidRPr="003064FF">
        <w:t xml:space="preserve"> s</w:t>
      </w:r>
      <w:r>
        <w:t>eulement</w:t>
      </w:r>
      <w:r w:rsidRPr="003064FF">
        <w:t xml:space="preserve"> </w:t>
      </w:r>
      <w:r>
        <w:t>du fait de la surpopulation, mais aussi en raison, entre autres choses, du degré élevé d’humidité</w:t>
      </w:r>
      <w:r w:rsidRPr="003064FF">
        <w:t xml:space="preserve">, </w:t>
      </w:r>
      <w:r>
        <w:t xml:space="preserve">de l’absence de </w:t>
      </w:r>
      <w:r w:rsidRPr="003064FF">
        <w:t>ventila</w:t>
      </w:r>
      <w:r>
        <w:t>tion</w:t>
      </w:r>
      <w:r w:rsidRPr="003064FF">
        <w:t xml:space="preserve">, </w:t>
      </w:r>
      <w:r>
        <w:t>d’un manque total d’hygiène</w:t>
      </w:r>
      <w:r w:rsidRPr="003064FF">
        <w:t xml:space="preserve">, </w:t>
      </w:r>
      <w:r>
        <w:t>de l’</w:t>
      </w:r>
      <w:r w:rsidRPr="003064FF">
        <w:t>a</w:t>
      </w:r>
      <w:r>
        <w:t>c</w:t>
      </w:r>
      <w:r w:rsidRPr="003064FF">
        <w:t>cumula</w:t>
      </w:r>
      <w:r>
        <w:t>tion</w:t>
      </w:r>
      <w:r w:rsidRPr="003064FF">
        <w:t xml:space="preserve"> de</w:t>
      </w:r>
      <w:r>
        <w:t>s déchets pendant des</w:t>
      </w:r>
      <w:r w:rsidRPr="003064FF">
        <w:t xml:space="preserve"> sema</w:t>
      </w:r>
      <w:r>
        <w:t>ine</w:t>
      </w:r>
      <w:r w:rsidRPr="003064FF">
        <w:t xml:space="preserve">s, </w:t>
      </w:r>
      <w:r>
        <w:t xml:space="preserve">ou encore de câblages électriques très dangereux risquant même de causer des </w:t>
      </w:r>
      <w:r w:rsidRPr="003064FF">
        <w:t>incendi</w:t>
      </w:r>
      <w:r>
        <w:t>es</w:t>
      </w:r>
      <w:r w:rsidRPr="003064FF">
        <w:t xml:space="preserve">. </w:t>
      </w:r>
      <w:r>
        <w:t>Le</w:t>
      </w:r>
      <w:r w:rsidRPr="003064FF">
        <w:t xml:space="preserve"> S</w:t>
      </w:r>
      <w:r>
        <w:t>o</w:t>
      </w:r>
      <w:r w:rsidRPr="003064FF">
        <w:t>u</w:t>
      </w:r>
      <w:r>
        <w:t>s-C</w:t>
      </w:r>
      <w:r w:rsidRPr="003064FF">
        <w:t xml:space="preserve">omité </w:t>
      </w:r>
      <w:r>
        <w:t xml:space="preserve">a constaté </w:t>
      </w:r>
      <w:r w:rsidRPr="003064FF">
        <w:t>qu</w:t>
      </w:r>
      <w:r>
        <w:t>e de nombreux dét</w:t>
      </w:r>
      <w:r w:rsidRPr="003064FF">
        <w:t>e</w:t>
      </w:r>
      <w:r>
        <w:t>nus dormaient sans matelas, à même le sol ou dans des hamacs improvisés</w:t>
      </w:r>
      <w:r w:rsidRPr="003064FF">
        <w:t xml:space="preserve">. </w:t>
      </w:r>
      <w:r>
        <w:t xml:space="preserve">À </w:t>
      </w:r>
      <w:r>
        <w:rPr>
          <w:noProof/>
        </w:rPr>
        <w:t>La Joyita, la surpopulation était telle dans le pavillon</w:t>
      </w:r>
      <w:r w:rsidRPr="003064FF">
        <w:rPr>
          <w:noProof/>
        </w:rPr>
        <w:t xml:space="preserve"> 17 </w:t>
      </w:r>
      <w:r>
        <w:rPr>
          <w:noProof/>
        </w:rPr>
        <w:t>qu’il a rencontré des détenus qui dormaient sous une table</w:t>
      </w:r>
      <w:r w:rsidRPr="003064FF">
        <w:rPr>
          <w:noProof/>
        </w:rPr>
        <w:t xml:space="preserve"> </w:t>
      </w:r>
      <w:r>
        <w:rPr>
          <w:noProof/>
        </w:rPr>
        <w:t>dans les espaces c</w:t>
      </w:r>
      <w:r w:rsidRPr="003064FF">
        <w:rPr>
          <w:noProof/>
        </w:rPr>
        <w:t>o</w:t>
      </w:r>
      <w:r>
        <w:rPr>
          <w:noProof/>
        </w:rPr>
        <w:t>m</w:t>
      </w:r>
      <w:r w:rsidRPr="003064FF">
        <w:rPr>
          <w:noProof/>
        </w:rPr>
        <w:t>mun</w:t>
      </w:r>
      <w:r>
        <w:rPr>
          <w:noProof/>
        </w:rPr>
        <w:t>s</w:t>
      </w:r>
      <w:r w:rsidRPr="003064FF">
        <w:rPr>
          <w:noProof/>
        </w:rPr>
        <w:t xml:space="preserve">. </w:t>
      </w:r>
      <w:r>
        <w:rPr>
          <w:noProof/>
        </w:rPr>
        <w:t>Prises dans leur ensemble, ces conditions de détention</w:t>
      </w:r>
      <w:r w:rsidRPr="003064FF">
        <w:rPr>
          <w:noProof/>
        </w:rPr>
        <w:t xml:space="preserve"> constituen</w:t>
      </w:r>
      <w:r>
        <w:rPr>
          <w:noProof/>
        </w:rPr>
        <w:t>t</w:t>
      </w:r>
      <w:r w:rsidRPr="003064FF">
        <w:rPr>
          <w:noProof/>
        </w:rPr>
        <w:t xml:space="preserve"> un tra</w:t>
      </w:r>
      <w:r>
        <w:rPr>
          <w:noProof/>
        </w:rPr>
        <w:t>i</w:t>
      </w:r>
      <w:r w:rsidRPr="003064FF">
        <w:rPr>
          <w:noProof/>
        </w:rPr>
        <w:t>t</w:t>
      </w:r>
      <w:r>
        <w:rPr>
          <w:noProof/>
        </w:rPr>
        <w:t>ement</w:t>
      </w:r>
      <w:r w:rsidRPr="003064FF">
        <w:rPr>
          <w:noProof/>
        </w:rPr>
        <w:t xml:space="preserve"> cruel, inhuma</w:t>
      </w:r>
      <w:r>
        <w:rPr>
          <w:noProof/>
        </w:rPr>
        <w:t>i</w:t>
      </w:r>
      <w:r w:rsidRPr="003064FF">
        <w:rPr>
          <w:noProof/>
        </w:rPr>
        <w:t>n</w:t>
      </w:r>
      <w:r>
        <w:rPr>
          <w:noProof/>
        </w:rPr>
        <w:t xml:space="preserve"> et dégradant</w:t>
      </w:r>
      <w:r w:rsidRPr="003064FF">
        <w:rPr>
          <w:noProof/>
        </w:rPr>
        <w:t xml:space="preserve">. </w:t>
      </w:r>
    </w:p>
    <w:p w:rsidR="000D798E" w:rsidRPr="003064FF" w:rsidRDefault="000D798E" w:rsidP="000D798E">
      <w:pPr>
        <w:pStyle w:val="SingleTxtG"/>
        <w:rPr>
          <w:color w:val="1A1A1A"/>
        </w:rPr>
      </w:pPr>
      <w:r w:rsidRPr="003064FF">
        <w:rPr>
          <w:color w:val="1A1A1A"/>
        </w:rPr>
        <w:t>57.</w:t>
      </w:r>
      <w:r w:rsidRPr="003064FF">
        <w:rPr>
          <w:color w:val="1A1A1A"/>
        </w:rPr>
        <w:tab/>
      </w:r>
      <w:r>
        <w:rPr>
          <w:color w:val="1A1A1A"/>
        </w:rPr>
        <w:t>Les condit</w:t>
      </w:r>
      <w:r w:rsidRPr="003064FF">
        <w:rPr>
          <w:color w:val="1A1A1A"/>
        </w:rPr>
        <w:t xml:space="preserve">ions </w:t>
      </w:r>
      <w:r>
        <w:rPr>
          <w:color w:val="1A1A1A"/>
        </w:rPr>
        <w:t>de vie au</w:t>
      </w:r>
      <w:r w:rsidRPr="003064FF">
        <w:rPr>
          <w:color w:val="1A1A1A"/>
        </w:rPr>
        <w:t xml:space="preserve"> centr</w:t>
      </w:r>
      <w:r>
        <w:rPr>
          <w:color w:val="1A1A1A"/>
        </w:rPr>
        <w:t>e</w:t>
      </w:r>
      <w:r w:rsidRPr="003064FF">
        <w:rPr>
          <w:color w:val="1A1A1A"/>
        </w:rPr>
        <w:t xml:space="preserve"> péniten</w:t>
      </w:r>
      <w:r>
        <w:rPr>
          <w:color w:val="1A1A1A"/>
        </w:rPr>
        <w:t>tiaire</w:t>
      </w:r>
      <w:r w:rsidRPr="003064FF">
        <w:rPr>
          <w:color w:val="1A1A1A"/>
        </w:rPr>
        <w:t xml:space="preserve"> </w:t>
      </w:r>
      <w:proofErr w:type="spellStart"/>
      <w:r w:rsidRPr="003064FF">
        <w:rPr>
          <w:color w:val="1A1A1A"/>
        </w:rPr>
        <w:t>Nueva</w:t>
      </w:r>
      <w:proofErr w:type="spellEnd"/>
      <w:r w:rsidRPr="003064FF">
        <w:rPr>
          <w:color w:val="1A1A1A"/>
        </w:rPr>
        <w:t xml:space="preserve"> Esperanza de Colón </w:t>
      </w:r>
      <w:r>
        <w:rPr>
          <w:color w:val="1A1A1A"/>
        </w:rPr>
        <w:t>sont</w:t>
      </w:r>
      <w:r w:rsidRPr="003064FF">
        <w:rPr>
          <w:color w:val="1A1A1A"/>
        </w:rPr>
        <w:t xml:space="preserve"> particul</w:t>
      </w:r>
      <w:r>
        <w:rPr>
          <w:color w:val="1A1A1A"/>
        </w:rPr>
        <w:t>ièrement</w:t>
      </w:r>
      <w:r w:rsidRPr="003064FF">
        <w:rPr>
          <w:color w:val="1A1A1A"/>
        </w:rPr>
        <w:t xml:space="preserve"> pr</w:t>
      </w:r>
      <w:r>
        <w:rPr>
          <w:color w:val="1A1A1A"/>
        </w:rPr>
        <w:t>é</w:t>
      </w:r>
      <w:r w:rsidRPr="003064FF">
        <w:rPr>
          <w:color w:val="1A1A1A"/>
        </w:rPr>
        <w:t>o</w:t>
      </w:r>
      <w:r>
        <w:rPr>
          <w:color w:val="1A1A1A"/>
        </w:rPr>
        <w:t>c</w:t>
      </w:r>
      <w:r w:rsidRPr="003064FF">
        <w:rPr>
          <w:color w:val="1A1A1A"/>
        </w:rPr>
        <w:t>cupan</w:t>
      </w:r>
      <w:r>
        <w:rPr>
          <w:color w:val="1A1A1A"/>
        </w:rPr>
        <w:t>tes</w:t>
      </w:r>
      <w:r w:rsidRPr="003064FF">
        <w:rPr>
          <w:color w:val="1A1A1A"/>
        </w:rPr>
        <w:t>.</w:t>
      </w:r>
      <w:r w:rsidRPr="003064FF">
        <w:t xml:space="preserve"> </w:t>
      </w:r>
      <w:r>
        <w:t>Le</w:t>
      </w:r>
      <w:r w:rsidRPr="003064FF">
        <w:t xml:space="preserve"> S</w:t>
      </w:r>
      <w:r>
        <w:t>o</w:t>
      </w:r>
      <w:r w:rsidRPr="003064FF">
        <w:t>u</w:t>
      </w:r>
      <w:r>
        <w:t>s-C</w:t>
      </w:r>
      <w:r w:rsidRPr="003064FF">
        <w:t xml:space="preserve">omité </w:t>
      </w:r>
      <w:r>
        <w:t>a constaté que l’établissement ne remplissait pas les</w:t>
      </w:r>
      <w:r w:rsidRPr="003064FF">
        <w:t xml:space="preserve"> condi</w:t>
      </w:r>
      <w:r>
        <w:t>t</w:t>
      </w:r>
      <w:r w:rsidRPr="003064FF">
        <w:t xml:space="preserve">ions </w:t>
      </w:r>
      <w:r>
        <w:t xml:space="preserve">minimum </w:t>
      </w:r>
      <w:r w:rsidRPr="003064FF">
        <w:t>d</w:t>
      </w:r>
      <w:r>
        <w:t>’</w:t>
      </w:r>
      <w:r w:rsidRPr="003064FF">
        <w:t>habitabili</w:t>
      </w:r>
      <w:r>
        <w:t>té, qu’il s’agisse de l’hygiène, des soins médicaux, de l’alimentation, ou encore de l’</w:t>
      </w:r>
      <w:r w:rsidRPr="003064FF">
        <w:t>infrastructur</w:t>
      </w:r>
      <w:r>
        <w:t>e</w:t>
      </w:r>
      <w:r w:rsidRPr="003064FF">
        <w:t>.</w:t>
      </w:r>
    </w:p>
    <w:p w:rsidR="000D798E" w:rsidRPr="003064FF" w:rsidRDefault="000D798E" w:rsidP="000D798E">
      <w:pPr>
        <w:pStyle w:val="SingleTxtG"/>
        <w:rPr>
          <w:b/>
          <w:color w:val="1A1A1A"/>
        </w:rPr>
      </w:pPr>
      <w:r w:rsidRPr="003064FF">
        <w:t>58.</w:t>
      </w:r>
      <w:r w:rsidRPr="003064FF">
        <w:rPr>
          <w:b/>
        </w:rPr>
        <w:tab/>
      </w:r>
      <w:r w:rsidRPr="00BE3320">
        <w:rPr>
          <w:b/>
        </w:rPr>
        <w:t>Le Sous-Comité recommande que des mesures soient prises de toute urgence pour améliorer les conditions de détention inacceptables au complexe La </w:t>
      </w:r>
      <w:proofErr w:type="spellStart"/>
      <w:r w:rsidRPr="00BE3320">
        <w:rPr>
          <w:b/>
        </w:rPr>
        <w:t>Joya</w:t>
      </w:r>
      <w:proofErr w:type="spellEnd"/>
      <w:r w:rsidRPr="00BE3320">
        <w:rPr>
          <w:b/>
        </w:rPr>
        <w:noBreakHyphen/>
        <w:t>La </w:t>
      </w:r>
      <w:proofErr w:type="spellStart"/>
      <w:r w:rsidRPr="00BE3320">
        <w:rPr>
          <w:b/>
        </w:rPr>
        <w:t>Joyita</w:t>
      </w:r>
      <w:proofErr w:type="spellEnd"/>
      <w:r w:rsidRPr="00BE3320">
        <w:rPr>
          <w:b/>
        </w:rPr>
        <w:t>.</w:t>
      </w:r>
      <w:r w:rsidRPr="003064FF">
        <w:rPr>
          <w:b/>
        </w:rPr>
        <w:t xml:space="preserve"> </w:t>
      </w:r>
      <w:r>
        <w:rPr>
          <w:b/>
        </w:rPr>
        <w:t>Il engage vivement l’État partie à</w:t>
      </w:r>
      <w:r w:rsidRPr="003064FF">
        <w:rPr>
          <w:b/>
        </w:rPr>
        <w:t xml:space="preserve"> </w:t>
      </w:r>
      <w:r>
        <w:rPr>
          <w:b/>
        </w:rPr>
        <w:t>accélérer la</w:t>
      </w:r>
      <w:r w:rsidRPr="003064FF">
        <w:rPr>
          <w:b/>
        </w:rPr>
        <w:t xml:space="preserve"> construction d</w:t>
      </w:r>
      <w:r>
        <w:rPr>
          <w:b/>
        </w:rPr>
        <w:t>’un</w:t>
      </w:r>
      <w:r w:rsidRPr="003064FF">
        <w:rPr>
          <w:b/>
        </w:rPr>
        <w:t xml:space="preserve"> </w:t>
      </w:r>
      <w:r w:rsidRPr="003064FF">
        <w:rPr>
          <w:b/>
        </w:rPr>
        <w:lastRenderedPageBreak/>
        <w:t>n</w:t>
      </w:r>
      <w:r>
        <w:rPr>
          <w:b/>
        </w:rPr>
        <w:t>o</w:t>
      </w:r>
      <w:r w:rsidRPr="003064FF">
        <w:rPr>
          <w:b/>
        </w:rPr>
        <w:t>u</w:t>
      </w:r>
      <w:r>
        <w:rPr>
          <w:b/>
        </w:rPr>
        <w:t>veau</w:t>
      </w:r>
      <w:r w:rsidRPr="003064FF">
        <w:rPr>
          <w:b/>
        </w:rPr>
        <w:t xml:space="preserve"> centr</w:t>
      </w:r>
      <w:r>
        <w:rPr>
          <w:b/>
        </w:rPr>
        <w:t xml:space="preserve">e de détention à Colón, de manière à pouvoir fermer le centre pénitentiaire </w:t>
      </w:r>
      <w:proofErr w:type="spellStart"/>
      <w:r w:rsidRPr="003064FF">
        <w:rPr>
          <w:b/>
        </w:rPr>
        <w:t>Nueva</w:t>
      </w:r>
      <w:proofErr w:type="spellEnd"/>
      <w:r w:rsidRPr="003064FF">
        <w:rPr>
          <w:b/>
        </w:rPr>
        <w:t xml:space="preserve"> Esperanza</w:t>
      </w:r>
      <w:r>
        <w:rPr>
          <w:b/>
        </w:rPr>
        <w:t xml:space="preserve"> dans les plus brefs délais</w:t>
      </w:r>
      <w:r w:rsidRPr="003064FF">
        <w:rPr>
          <w:b/>
        </w:rPr>
        <w:t>.</w:t>
      </w:r>
    </w:p>
    <w:p w:rsidR="000D798E" w:rsidRPr="003064FF" w:rsidRDefault="000D798E" w:rsidP="000D798E">
      <w:pPr>
        <w:pStyle w:val="SingleTxtG"/>
        <w:rPr>
          <w:color w:val="000000"/>
        </w:rPr>
      </w:pPr>
      <w:r w:rsidRPr="003064FF">
        <w:t>59.</w:t>
      </w:r>
      <w:r w:rsidRPr="003064FF">
        <w:tab/>
      </w:r>
      <w:r>
        <w:t xml:space="preserve">Lors de la visite qu’il a effectuée de nuit au poste de police d’El </w:t>
      </w:r>
      <w:proofErr w:type="spellStart"/>
      <w:r>
        <w:t>Chorrillo</w:t>
      </w:r>
      <w:proofErr w:type="spellEnd"/>
      <w:r>
        <w:t>, le Sous</w:t>
      </w:r>
      <w:r>
        <w:noBreakHyphen/>
        <w:t xml:space="preserve">Comité a constaté qu’il n’y avait ni lumière naturelle ni éclairage électrique dans les cellules, que les toits étaient en tôle et qu’il y faisait très chaud, ce qui laisse supposer une température insupportable en journée. Au poste de police de </w:t>
      </w:r>
      <w:proofErr w:type="spellStart"/>
      <w:r>
        <w:t>Caledonia</w:t>
      </w:r>
      <w:proofErr w:type="spellEnd"/>
      <w:r>
        <w:t>, dans la huitième circonscription de police municipale Est, le Sous-Comité a noté que la cellule de détention, où se trouvaient sept personnes, ne réunissait pas les conditions minimum d’hébergement. Les seules toilettes étaient éloignées, inondées et inutilisables, ce qui contraignait les personnes privées de liberté à faire leurs besoins naturels dans la cellule même − le Sous-Comité a pu y voir de grands seaux remplis d’urine et des sacs contenant des excréments. En consultant les registres du poste de police, le Sous-Comité a pu constater qu’au cours des jours précédents, cette même cellule avait accueilli jusqu’à 21 personnes à la fois. Il a également été témoin du très mauvais état de fonctionnement et d’hygiène des toilettes du personnel de police.</w:t>
      </w:r>
      <w:r w:rsidRPr="003064FF">
        <w:t xml:space="preserve"> </w:t>
      </w:r>
    </w:p>
    <w:p w:rsidR="000D798E" w:rsidRPr="003064FF" w:rsidRDefault="000D798E" w:rsidP="000D798E">
      <w:pPr>
        <w:pStyle w:val="SingleTxtG"/>
        <w:rPr>
          <w:b/>
        </w:rPr>
      </w:pPr>
      <w:r w:rsidRPr="003064FF">
        <w:t>60.</w:t>
      </w:r>
      <w:r w:rsidRPr="003064FF">
        <w:rPr>
          <w:b/>
        </w:rPr>
        <w:tab/>
      </w:r>
      <w:r w:rsidRPr="00344B4F">
        <w:rPr>
          <w:b/>
        </w:rPr>
        <w:t xml:space="preserve">Le Sous-Comité </w:t>
      </w:r>
      <w:r w:rsidRPr="003064FF">
        <w:rPr>
          <w:b/>
        </w:rPr>
        <w:t>recom</w:t>
      </w:r>
      <w:r>
        <w:rPr>
          <w:b/>
        </w:rPr>
        <w:t>ma</w:t>
      </w:r>
      <w:r w:rsidRPr="003064FF">
        <w:rPr>
          <w:b/>
        </w:rPr>
        <w:t>nd</w:t>
      </w:r>
      <w:r>
        <w:rPr>
          <w:b/>
        </w:rPr>
        <w:t>e</w:t>
      </w:r>
      <w:r w:rsidRPr="003064FF">
        <w:rPr>
          <w:b/>
        </w:rPr>
        <w:t xml:space="preserve"> </w:t>
      </w:r>
      <w:r>
        <w:rPr>
          <w:b/>
        </w:rPr>
        <w:t xml:space="preserve">aussi </w:t>
      </w:r>
      <w:r w:rsidRPr="003064FF">
        <w:rPr>
          <w:b/>
        </w:rPr>
        <w:t xml:space="preserve">que </w:t>
      </w:r>
      <w:r>
        <w:rPr>
          <w:b/>
        </w:rPr>
        <w:t>les conditions de détention</w:t>
      </w:r>
      <w:r w:rsidRPr="003064FF">
        <w:rPr>
          <w:b/>
        </w:rPr>
        <w:t xml:space="preserve"> </w:t>
      </w:r>
      <w:r>
        <w:rPr>
          <w:b/>
        </w:rPr>
        <w:t>soie</w:t>
      </w:r>
      <w:r w:rsidRPr="003064FF">
        <w:rPr>
          <w:b/>
        </w:rPr>
        <w:t>n</w:t>
      </w:r>
      <w:r>
        <w:rPr>
          <w:b/>
        </w:rPr>
        <w:t>t améliorées</w:t>
      </w:r>
      <w:r w:rsidRPr="003064FF">
        <w:rPr>
          <w:b/>
        </w:rPr>
        <w:t xml:space="preserve"> </w:t>
      </w:r>
      <w:r w:rsidRPr="00022B7A">
        <w:rPr>
          <w:b/>
        </w:rPr>
        <w:t>au poste de police d</w:t>
      </w:r>
      <w:r>
        <w:rPr>
          <w:b/>
        </w:rPr>
        <w:t>’</w:t>
      </w:r>
      <w:r w:rsidRPr="00022B7A">
        <w:rPr>
          <w:b/>
        </w:rPr>
        <w:t xml:space="preserve">El </w:t>
      </w:r>
      <w:proofErr w:type="spellStart"/>
      <w:r w:rsidRPr="00022B7A">
        <w:rPr>
          <w:b/>
        </w:rPr>
        <w:t>Chorrillo</w:t>
      </w:r>
      <w:proofErr w:type="spellEnd"/>
      <w:r w:rsidRPr="003064FF">
        <w:rPr>
          <w:b/>
        </w:rPr>
        <w:t>.</w:t>
      </w:r>
    </w:p>
    <w:p w:rsidR="000D798E" w:rsidRPr="003064FF" w:rsidRDefault="000D798E" w:rsidP="000D798E">
      <w:pPr>
        <w:pStyle w:val="SingleTxtG"/>
        <w:rPr>
          <w:b/>
        </w:rPr>
      </w:pPr>
      <w:r w:rsidRPr="003064FF">
        <w:rPr>
          <w:color w:val="1A1A1A"/>
        </w:rPr>
        <w:t>61.</w:t>
      </w:r>
      <w:r w:rsidRPr="003064FF">
        <w:rPr>
          <w:b/>
          <w:color w:val="1A1A1A"/>
        </w:rPr>
        <w:tab/>
      </w:r>
      <w:r w:rsidRPr="00344B4F">
        <w:rPr>
          <w:b/>
        </w:rPr>
        <w:t xml:space="preserve">Le Sous-Comité </w:t>
      </w:r>
      <w:r w:rsidRPr="003064FF">
        <w:rPr>
          <w:b/>
        </w:rPr>
        <w:t>recom</w:t>
      </w:r>
      <w:r>
        <w:rPr>
          <w:b/>
        </w:rPr>
        <w:t>ma</w:t>
      </w:r>
      <w:r w:rsidRPr="003064FF">
        <w:rPr>
          <w:b/>
        </w:rPr>
        <w:t>nd</w:t>
      </w:r>
      <w:r>
        <w:rPr>
          <w:b/>
        </w:rPr>
        <w:t>e</w:t>
      </w:r>
      <w:r w:rsidRPr="003064FF">
        <w:rPr>
          <w:b/>
        </w:rPr>
        <w:t xml:space="preserve"> </w:t>
      </w:r>
      <w:r>
        <w:rPr>
          <w:b/>
        </w:rPr>
        <w:t xml:space="preserve">la fermeture immédiate </w:t>
      </w:r>
      <w:r w:rsidRPr="003064FF">
        <w:rPr>
          <w:b/>
          <w:color w:val="1A1A1A"/>
        </w:rPr>
        <w:t>d</w:t>
      </w:r>
      <w:r>
        <w:rPr>
          <w:b/>
          <w:color w:val="1A1A1A"/>
        </w:rPr>
        <w:t xml:space="preserve">u </w:t>
      </w:r>
      <w:r w:rsidRPr="00022B7A">
        <w:rPr>
          <w:b/>
        </w:rPr>
        <w:t>poste de police de</w:t>
      </w:r>
      <w:r>
        <w:rPr>
          <w:b/>
        </w:rPr>
        <w:t> </w:t>
      </w:r>
      <w:proofErr w:type="spellStart"/>
      <w:r w:rsidRPr="00022B7A">
        <w:rPr>
          <w:b/>
        </w:rPr>
        <w:t>Caledonia</w:t>
      </w:r>
      <w:proofErr w:type="spellEnd"/>
      <w:r w:rsidRPr="00022B7A">
        <w:rPr>
          <w:b/>
          <w:color w:val="1A1A1A"/>
        </w:rPr>
        <w:t xml:space="preserve">, </w:t>
      </w:r>
      <w:r>
        <w:rPr>
          <w:b/>
          <w:color w:val="1A1A1A"/>
        </w:rPr>
        <w:t>car tant les détenus que le personnel de la police souffrent de la gravité de la situation qui y prévaut et doivent être traités avec le respect dû à tout être humain.</w:t>
      </w:r>
      <w:r w:rsidRPr="003064FF">
        <w:rPr>
          <w:b/>
        </w:rPr>
        <w:t xml:space="preserve"> </w:t>
      </w:r>
    </w:p>
    <w:p w:rsidR="000D798E" w:rsidRPr="003064FF" w:rsidRDefault="000D798E" w:rsidP="000D798E">
      <w:pPr>
        <w:pStyle w:val="SingleTxtG"/>
        <w:rPr>
          <w:color w:val="000000"/>
        </w:rPr>
      </w:pPr>
      <w:r w:rsidRPr="003064FF">
        <w:t>62.</w:t>
      </w:r>
      <w:r w:rsidRPr="003064FF">
        <w:tab/>
      </w:r>
      <w:r w:rsidRPr="00830A64">
        <w:t>Pour ce qui est du centre de détention provisoire relevant de la Direction</w:t>
      </w:r>
      <w:r w:rsidRPr="009E03C1">
        <w:t xml:space="preserve"> des enquêtes judiciaires</w:t>
      </w:r>
      <w:r>
        <w:t>,</w:t>
      </w:r>
      <w:r w:rsidRPr="003064FF">
        <w:t xml:space="preserve"> </w:t>
      </w:r>
      <w:r>
        <w:t>da</w:t>
      </w:r>
      <w:r w:rsidRPr="003064FF">
        <w:t>n</w:t>
      </w:r>
      <w:r>
        <w:t>s le pavillon des hommes</w:t>
      </w:r>
      <w:r w:rsidRPr="003064FF">
        <w:t xml:space="preserve">, </w:t>
      </w:r>
      <w:r>
        <w:t xml:space="preserve">le Sous-Comité a recensé </w:t>
      </w:r>
      <w:r w:rsidRPr="003064FF">
        <w:t>50</w:t>
      </w:r>
      <w:r>
        <w:t> détenus au total</w:t>
      </w:r>
      <w:r w:rsidRPr="003064FF">
        <w:t xml:space="preserve">, </w:t>
      </w:r>
      <w:r>
        <w:t>dont certains étaient là depuis plusieurs mois, dans des locaux de dimensions très réduites</w:t>
      </w:r>
      <w:r w:rsidRPr="003064FF">
        <w:t>. L</w:t>
      </w:r>
      <w:r>
        <w:t>es condit</w:t>
      </w:r>
      <w:r w:rsidRPr="003064FF">
        <w:t xml:space="preserve">ions </w:t>
      </w:r>
      <w:r>
        <w:t xml:space="preserve">de vie </w:t>
      </w:r>
      <w:r w:rsidRPr="009E03C1">
        <w:t xml:space="preserve">carcérales </w:t>
      </w:r>
      <w:r>
        <w:t>laissaient totalement à désirer</w:t>
      </w:r>
      <w:r w:rsidRPr="003064FF">
        <w:t xml:space="preserve">, </w:t>
      </w:r>
      <w:r>
        <w:t>les cellules étant dépourvues de fenêtres, de ventilation, de lumière</w:t>
      </w:r>
      <w:r w:rsidRPr="003064FF">
        <w:t xml:space="preserve"> (</w:t>
      </w:r>
      <w:r>
        <w:t>alors que le couloir éta</w:t>
      </w:r>
      <w:r w:rsidRPr="003064FF">
        <w:t>i</w:t>
      </w:r>
      <w:r>
        <w:t xml:space="preserve">t alimenté en électricité </w:t>
      </w:r>
      <w:r w:rsidRPr="009E03C1">
        <w:t>24 heures sur 24</w:t>
      </w:r>
      <w:r w:rsidRPr="003064FF">
        <w:t>)</w:t>
      </w:r>
      <w:r>
        <w:t xml:space="preserve"> et le</w:t>
      </w:r>
      <w:r w:rsidRPr="003064FF">
        <w:t xml:space="preserve"> </w:t>
      </w:r>
      <w:r w:rsidRPr="009E03C1">
        <w:t xml:space="preserve">câblage électrique </w:t>
      </w:r>
      <w:r>
        <w:t xml:space="preserve">étant </w:t>
      </w:r>
      <w:r w:rsidRPr="009E03C1">
        <w:t>très dangereux</w:t>
      </w:r>
      <w:r>
        <w:t>. Le</w:t>
      </w:r>
      <w:r w:rsidRPr="003064FF">
        <w:t xml:space="preserve">s </w:t>
      </w:r>
      <w:r>
        <w:t>détenus ne disposaient que d’un sanitaire</w:t>
      </w:r>
      <w:r w:rsidRPr="003064FF">
        <w:t xml:space="preserve">, </w:t>
      </w:r>
      <w:r>
        <w:t>à l’écoulement défectueux et dans un état de grand délabrement</w:t>
      </w:r>
      <w:r w:rsidRPr="003064FF">
        <w:t>, n</w:t>
      </w:r>
      <w:r>
        <w:t>’avaient pas de couchette et, pour certains d’entre eux, dormaient dans le couloir à cause de la surpopulation. Le Sous-Comité a en outre constaté avec surprise que certains étaient détenus pendant de longues périodes dans cet établissement pourtant prévu pour la détention pr</w:t>
      </w:r>
      <w:r w:rsidRPr="003064FF">
        <w:t>o</w:t>
      </w:r>
      <w:r>
        <w:t>visoire. Le</w:t>
      </w:r>
      <w:r w:rsidRPr="003064FF">
        <w:t xml:space="preserve">s </w:t>
      </w:r>
      <w:r>
        <w:t>détenus ont déclaré ne pas avoir la possibilité de sortir à l’air libre dans la cour.</w:t>
      </w:r>
      <w:r w:rsidRPr="003064FF">
        <w:rPr>
          <w:color w:val="000000"/>
        </w:rPr>
        <w:t xml:space="preserve"> </w:t>
      </w:r>
      <w:r>
        <w:rPr>
          <w:color w:val="000000"/>
        </w:rPr>
        <w:t xml:space="preserve">Les femmes étaient certes bien moins nombreuses (au nombre de six au </w:t>
      </w:r>
      <w:r w:rsidRPr="003064FF">
        <w:rPr>
          <w:color w:val="000000"/>
        </w:rPr>
        <w:t>moment</w:t>
      </w:r>
      <w:r>
        <w:rPr>
          <w:color w:val="000000"/>
        </w:rPr>
        <w:t xml:space="preserve"> de la visite), mais, proport</w:t>
      </w:r>
      <w:r w:rsidRPr="003064FF">
        <w:rPr>
          <w:color w:val="000000"/>
        </w:rPr>
        <w:t>ion</w:t>
      </w:r>
      <w:r>
        <w:rPr>
          <w:color w:val="000000"/>
        </w:rPr>
        <w:t>nel</w:t>
      </w:r>
      <w:r w:rsidRPr="003064FF">
        <w:rPr>
          <w:color w:val="000000"/>
        </w:rPr>
        <w:t>l</w:t>
      </w:r>
      <w:r>
        <w:rPr>
          <w:color w:val="000000"/>
        </w:rPr>
        <w:t>e</w:t>
      </w:r>
      <w:r w:rsidRPr="003064FF">
        <w:rPr>
          <w:color w:val="000000"/>
        </w:rPr>
        <w:t>ment</w:t>
      </w:r>
      <w:r>
        <w:rPr>
          <w:color w:val="000000"/>
        </w:rPr>
        <w:t>,</w:t>
      </w:r>
      <w:r w:rsidRPr="003064FF">
        <w:rPr>
          <w:color w:val="000000"/>
        </w:rPr>
        <w:t xml:space="preserve"> </w:t>
      </w:r>
      <w:r>
        <w:rPr>
          <w:color w:val="000000"/>
        </w:rPr>
        <w:t>elles vivaient dans des condit</w:t>
      </w:r>
      <w:r w:rsidRPr="003064FF">
        <w:rPr>
          <w:color w:val="000000"/>
        </w:rPr>
        <w:t>ions simila</w:t>
      </w:r>
      <w:r>
        <w:rPr>
          <w:color w:val="000000"/>
        </w:rPr>
        <w:t>i</w:t>
      </w:r>
      <w:r w:rsidRPr="003064FF">
        <w:rPr>
          <w:color w:val="000000"/>
        </w:rPr>
        <w:t xml:space="preserve">res. </w:t>
      </w:r>
      <w:r>
        <w:rPr>
          <w:color w:val="000000"/>
        </w:rPr>
        <w:t>Cette</w:t>
      </w:r>
      <w:r w:rsidRPr="003064FF">
        <w:rPr>
          <w:color w:val="000000"/>
        </w:rPr>
        <w:t xml:space="preserve"> situa</w:t>
      </w:r>
      <w:r>
        <w:rPr>
          <w:color w:val="000000"/>
        </w:rPr>
        <w:t>tion</w:t>
      </w:r>
      <w:r w:rsidRPr="003064FF">
        <w:rPr>
          <w:color w:val="000000"/>
        </w:rPr>
        <w:t xml:space="preserve"> </w:t>
      </w:r>
      <w:r>
        <w:rPr>
          <w:color w:val="000000"/>
        </w:rPr>
        <w:t>contrastait avec celle d’un petit nombre de détenus qui jouissaient de meilleures conditions de détention dans la cellule n</w:t>
      </w:r>
      <w:r w:rsidRPr="000441C7">
        <w:rPr>
          <w:color w:val="000000"/>
          <w:vertAlign w:val="superscript"/>
        </w:rPr>
        <w:t>o</w:t>
      </w:r>
      <w:r>
        <w:rPr>
          <w:color w:val="000000"/>
        </w:rPr>
        <w:t> </w:t>
      </w:r>
      <w:r w:rsidRPr="003064FF">
        <w:rPr>
          <w:color w:val="000000"/>
        </w:rPr>
        <w:t>7.</w:t>
      </w:r>
    </w:p>
    <w:p w:rsidR="000D798E" w:rsidRPr="003064FF" w:rsidRDefault="000D798E" w:rsidP="000D798E">
      <w:pPr>
        <w:pStyle w:val="SingleTxtG"/>
        <w:rPr>
          <w:b/>
        </w:rPr>
      </w:pPr>
      <w:r w:rsidRPr="003064FF">
        <w:t>63.</w:t>
      </w:r>
      <w:r w:rsidRPr="003064FF">
        <w:rPr>
          <w:b/>
        </w:rPr>
        <w:tab/>
      </w:r>
      <w:r w:rsidRPr="00344B4F">
        <w:rPr>
          <w:b/>
        </w:rPr>
        <w:t>Le Sous-Comité</w:t>
      </w:r>
      <w:r w:rsidRPr="003064FF">
        <w:rPr>
          <w:b/>
        </w:rPr>
        <w:t xml:space="preserve"> </w:t>
      </w:r>
      <w:r>
        <w:rPr>
          <w:b/>
        </w:rPr>
        <w:t>demande à l’État partie</w:t>
      </w:r>
      <w:r w:rsidRPr="003064FF">
        <w:rPr>
          <w:b/>
        </w:rPr>
        <w:t xml:space="preserve"> </w:t>
      </w:r>
      <w:r>
        <w:rPr>
          <w:b/>
        </w:rPr>
        <w:t xml:space="preserve">de réserver </w:t>
      </w:r>
      <w:r w:rsidRPr="003064FF">
        <w:rPr>
          <w:b/>
        </w:rPr>
        <w:t>l</w:t>
      </w:r>
      <w:r>
        <w:rPr>
          <w:b/>
        </w:rPr>
        <w:t>e</w:t>
      </w:r>
      <w:r w:rsidRPr="003064FF">
        <w:rPr>
          <w:b/>
        </w:rPr>
        <w:t xml:space="preserve"> centr</w:t>
      </w:r>
      <w:r>
        <w:rPr>
          <w:b/>
        </w:rPr>
        <w:t>e</w:t>
      </w:r>
      <w:r w:rsidRPr="003064FF">
        <w:rPr>
          <w:b/>
        </w:rPr>
        <w:t xml:space="preserve"> </w:t>
      </w:r>
      <w:r w:rsidRPr="000441C7">
        <w:rPr>
          <w:b/>
        </w:rPr>
        <w:t>de détention provisoire de la Direction des enquêtes judiciaires</w:t>
      </w:r>
      <w:r w:rsidRPr="000441C7">
        <w:rPr>
          <w:b/>
          <w:bCs/>
        </w:rPr>
        <w:t xml:space="preserve"> </w:t>
      </w:r>
      <w:r>
        <w:rPr>
          <w:b/>
          <w:bCs/>
        </w:rPr>
        <w:t>à la</w:t>
      </w:r>
      <w:r>
        <w:rPr>
          <w:b/>
        </w:rPr>
        <w:t xml:space="preserve"> détention</w:t>
      </w:r>
      <w:r w:rsidRPr="003064FF">
        <w:rPr>
          <w:b/>
        </w:rPr>
        <w:t xml:space="preserve"> provis</w:t>
      </w:r>
      <w:r>
        <w:rPr>
          <w:b/>
        </w:rPr>
        <w:t>o</w:t>
      </w:r>
      <w:r w:rsidRPr="003064FF">
        <w:rPr>
          <w:b/>
        </w:rPr>
        <w:t>i</w:t>
      </w:r>
      <w:r>
        <w:rPr>
          <w:b/>
        </w:rPr>
        <w:t>re de courte durée et</w:t>
      </w:r>
      <w:r w:rsidRPr="003064FF">
        <w:rPr>
          <w:b/>
        </w:rPr>
        <w:t xml:space="preserve"> </w:t>
      </w:r>
      <w:r>
        <w:rPr>
          <w:b/>
        </w:rPr>
        <w:t xml:space="preserve">de mettre </w:t>
      </w:r>
      <w:r w:rsidRPr="003064FF">
        <w:rPr>
          <w:b/>
        </w:rPr>
        <w:t>l</w:t>
      </w:r>
      <w:r>
        <w:rPr>
          <w:b/>
        </w:rPr>
        <w:t>e</w:t>
      </w:r>
      <w:r w:rsidRPr="003064FF">
        <w:rPr>
          <w:b/>
        </w:rPr>
        <w:t xml:space="preserve">s </w:t>
      </w:r>
      <w:r>
        <w:rPr>
          <w:b/>
        </w:rPr>
        <w:t>locaux aux normes minimum de respect de la</w:t>
      </w:r>
      <w:r w:rsidRPr="003064FF">
        <w:rPr>
          <w:b/>
        </w:rPr>
        <w:t xml:space="preserve"> digni</w:t>
      </w:r>
      <w:r>
        <w:rPr>
          <w:b/>
        </w:rPr>
        <w:t>té</w:t>
      </w:r>
      <w:r w:rsidRPr="003064FF">
        <w:rPr>
          <w:b/>
        </w:rPr>
        <w:t xml:space="preserve"> des person</w:t>
      </w:r>
      <w:r>
        <w:rPr>
          <w:b/>
        </w:rPr>
        <w:t>ne</w:t>
      </w:r>
      <w:r w:rsidRPr="003064FF">
        <w:rPr>
          <w:b/>
        </w:rPr>
        <w:t>s priv</w:t>
      </w:r>
      <w:r>
        <w:rPr>
          <w:b/>
        </w:rPr>
        <w:t>ées</w:t>
      </w:r>
      <w:r w:rsidRPr="003064FF">
        <w:rPr>
          <w:b/>
        </w:rPr>
        <w:t xml:space="preserve"> de libert</w:t>
      </w:r>
      <w:r>
        <w:rPr>
          <w:b/>
        </w:rPr>
        <w:t>é</w:t>
      </w:r>
      <w:r w:rsidRPr="003064FF">
        <w:rPr>
          <w:b/>
        </w:rPr>
        <w:t>.</w:t>
      </w:r>
    </w:p>
    <w:p w:rsidR="000D798E" w:rsidRPr="002C0CA3" w:rsidRDefault="000D798E" w:rsidP="000D798E">
      <w:pPr>
        <w:pStyle w:val="SingleTxtG"/>
        <w:rPr>
          <w:b/>
        </w:rPr>
      </w:pPr>
      <w:r w:rsidRPr="003064FF">
        <w:t>64.</w:t>
      </w:r>
      <w:r w:rsidRPr="003064FF">
        <w:rPr>
          <w:b/>
        </w:rPr>
        <w:tab/>
      </w:r>
      <w:r>
        <w:rPr>
          <w:b/>
        </w:rPr>
        <w:t>Au vu de la surpopulation que connaissent la majorité des lieux de détention</w:t>
      </w:r>
      <w:r w:rsidRPr="003064FF">
        <w:rPr>
          <w:b/>
        </w:rPr>
        <w:t>, l</w:t>
      </w:r>
      <w:r>
        <w:rPr>
          <w:b/>
        </w:rPr>
        <w:t>e </w:t>
      </w:r>
      <w:r w:rsidRPr="00344B4F">
        <w:rPr>
          <w:b/>
        </w:rPr>
        <w:t xml:space="preserve">Sous-Comité </w:t>
      </w:r>
      <w:r w:rsidRPr="003064FF">
        <w:rPr>
          <w:b/>
        </w:rPr>
        <w:t>recom</w:t>
      </w:r>
      <w:r>
        <w:rPr>
          <w:b/>
        </w:rPr>
        <w:t>ma</w:t>
      </w:r>
      <w:r w:rsidRPr="003064FF">
        <w:rPr>
          <w:b/>
        </w:rPr>
        <w:t>nd</w:t>
      </w:r>
      <w:r>
        <w:rPr>
          <w:b/>
        </w:rPr>
        <w:t>e</w:t>
      </w:r>
      <w:r w:rsidRPr="003064FF">
        <w:rPr>
          <w:b/>
        </w:rPr>
        <w:t xml:space="preserve"> </w:t>
      </w:r>
      <w:r>
        <w:rPr>
          <w:b/>
        </w:rPr>
        <w:t>à l’État partie</w:t>
      </w:r>
      <w:r w:rsidRPr="003064FF">
        <w:rPr>
          <w:b/>
        </w:rPr>
        <w:t xml:space="preserve"> </w:t>
      </w:r>
      <w:r>
        <w:rPr>
          <w:b/>
        </w:rPr>
        <w:t>de mettre d’urgence en place des</w:t>
      </w:r>
      <w:r w:rsidRPr="003064FF">
        <w:rPr>
          <w:b/>
        </w:rPr>
        <w:t xml:space="preserve"> me</w:t>
      </w:r>
      <w:r>
        <w:rPr>
          <w:b/>
        </w:rPr>
        <w:t>sures</w:t>
      </w:r>
      <w:r w:rsidRPr="003064FF">
        <w:rPr>
          <w:b/>
        </w:rPr>
        <w:t xml:space="preserve"> </w:t>
      </w:r>
      <w:r>
        <w:rPr>
          <w:b/>
        </w:rPr>
        <w:t>correctives</w:t>
      </w:r>
      <w:r w:rsidRPr="003064FF">
        <w:rPr>
          <w:b/>
        </w:rPr>
        <w:t xml:space="preserve">, </w:t>
      </w:r>
      <w:r>
        <w:rPr>
          <w:b/>
        </w:rPr>
        <w:t>notamment d’appliquer les différentes peines de substitution à la privation de liberté (trav</w:t>
      </w:r>
      <w:r w:rsidRPr="003064FF">
        <w:rPr>
          <w:b/>
        </w:rPr>
        <w:t>a</w:t>
      </w:r>
      <w:r>
        <w:rPr>
          <w:b/>
        </w:rPr>
        <w:t>ux d’intérêt général</w:t>
      </w:r>
      <w:r w:rsidRPr="003064FF">
        <w:rPr>
          <w:b/>
        </w:rPr>
        <w:t xml:space="preserve">, </w:t>
      </w:r>
      <w:r>
        <w:rPr>
          <w:b/>
        </w:rPr>
        <w:t>emprisonnement de fin de semaine</w:t>
      </w:r>
      <w:r w:rsidRPr="003064FF">
        <w:rPr>
          <w:b/>
        </w:rPr>
        <w:t xml:space="preserve">, </w:t>
      </w:r>
      <w:r>
        <w:rPr>
          <w:b/>
        </w:rPr>
        <w:t>assignation à résidence</w:t>
      </w:r>
      <w:r w:rsidRPr="003064FF">
        <w:rPr>
          <w:b/>
        </w:rPr>
        <w:t xml:space="preserve">), entre </w:t>
      </w:r>
      <w:r>
        <w:rPr>
          <w:b/>
        </w:rPr>
        <w:t>autres mesures prévues dans la législation pénale panaméenne</w:t>
      </w:r>
      <w:r w:rsidRPr="003064FF">
        <w:rPr>
          <w:b/>
        </w:rPr>
        <w:t>, conform</w:t>
      </w:r>
      <w:r>
        <w:rPr>
          <w:b/>
        </w:rPr>
        <w:t>ément aux r</w:t>
      </w:r>
      <w:r w:rsidRPr="002C0CA3">
        <w:rPr>
          <w:b/>
        </w:rPr>
        <w:t>ègles minima des Nations Unies pour l</w:t>
      </w:r>
      <w:r>
        <w:rPr>
          <w:b/>
        </w:rPr>
        <w:t>’</w:t>
      </w:r>
      <w:r w:rsidRPr="002C0CA3">
        <w:rPr>
          <w:b/>
        </w:rPr>
        <w:t>élaboration de mesures non privatives de liberté (Règles de Tokyo).</w:t>
      </w:r>
    </w:p>
    <w:p w:rsidR="000D798E" w:rsidRPr="003064FF" w:rsidRDefault="000D798E" w:rsidP="000D798E">
      <w:pPr>
        <w:pStyle w:val="H1G"/>
      </w:pPr>
      <w:r w:rsidRPr="003064FF">
        <w:tab/>
        <w:t>B.</w:t>
      </w:r>
      <w:r w:rsidRPr="003064FF">
        <w:tab/>
        <w:t>Alimenta</w:t>
      </w:r>
      <w:r>
        <w:t>tion et eau</w:t>
      </w:r>
      <w:r w:rsidRPr="003064FF">
        <w:t xml:space="preserve"> potable</w:t>
      </w:r>
    </w:p>
    <w:p w:rsidR="000D798E" w:rsidRPr="003064FF" w:rsidRDefault="000D798E" w:rsidP="000D798E">
      <w:pPr>
        <w:pStyle w:val="SingleTxtG"/>
      </w:pPr>
      <w:r>
        <w:t>65.</w:t>
      </w:r>
      <w:r>
        <w:tab/>
        <w:t>Da</w:t>
      </w:r>
      <w:r w:rsidRPr="003064FF">
        <w:t>n</w:t>
      </w:r>
      <w:r>
        <w:t xml:space="preserve">s les établissements </w:t>
      </w:r>
      <w:r w:rsidRPr="003064FF">
        <w:t>p</w:t>
      </w:r>
      <w:r>
        <w:t>é</w:t>
      </w:r>
      <w:r w:rsidRPr="003064FF">
        <w:t>niten</w:t>
      </w:r>
      <w:r>
        <w:t>t</w:t>
      </w:r>
      <w:r w:rsidRPr="003064FF">
        <w:t>iai</w:t>
      </w:r>
      <w:r>
        <w:t>res</w:t>
      </w:r>
      <w:r w:rsidRPr="003064FF">
        <w:t xml:space="preserve"> visit</w:t>
      </w:r>
      <w:r>
        <w:t>és, le</w:t>
      </w:r>
      <w:r w:rsidRPr="003064FF">
        <w:t>s person</w:t>
      </w:r>
      <w:r>
        <w:t>ne</w:t>
      </w:r>
      <w:r w:rsidRPr="003064FF">
        <w:t>s priv</w:t>
      </w:r>
      <w:r>
        <w:t>ées de liberté se sont plaintes de la quantité insuffisante et de la mauvaise qualité de la nourriture</w:t>
      </w:r>
      <w:r w:rsidRPr="003064FF">
        <w:t xml:space="preserve">. </w:t>
      </w:r>
      <w:r>
        <w:t>Le </w:t>
      </w:r>
      <w:r w:rsidRPr="003064FF">
        <w:t>S</w:t>
      </w:r>
      <w:r>
        <w:t>o</w:t>
      </w:r>
      <w:r w:rsidRPr="003064FF">
        <w:t>u</w:t>
      </w:r>
      <w:r>
        <w:t>s</w:t>
      </w:r>
      <w:r>
        <w:noBreakHyphen/>
        <w:t>C</w:t>
      </w:r>
      <w:r w:rsidRPr="003064FF">
        <w:t xml:space="preserve">omité </w:t>
      </w:r>
      <w:r>
        <w:t>a pu constater que les horaires de distribution des repas étaient très irréguliers</w:t>
      </w:r>
      <w:r w:rsidRPr="003064FF">
        <w:t xml:space="preserve">. </w:t>
      </w:r>
      <w:r>
        <w:t>Il a également pu voir que l’accès des détenus à l’eau potable était très limité</w:t>
      </w:r>
      <w:r w:rsidRPr="003064FF">
        <w:t xml:space="preserve">. </w:t>
      </w:r>
    </w:p>
    <w:p w:rsidR="000D798E" w:rsidRPr="00BE3320" w:rsidRDefault="000D798E" w:rsidP="000D798E">
      <w:pPr>
        <w:pStyle w:val="SingleTxtG"/>
        <w:rPr>
          <w:b/>
        </w:rPr>
      </w:pPr>
      <w:r w:rsidRPr="003064FF">
        <w:lastRenderedPageBreak/>
        <w:t>66.</w:t>
      </w:r>
      <w:r w:rsidRPr="003064FF">
        <w:tab/>
      </w:r>
      <w:r w:rsidRPr="00BE3320">
        <w:rPr>
          <w:b/>
        </w:rPr>
        <w:t>Le Sous-Comité recommande à l’État partie de veiller à ce que les établissements pénitentiaires procèdent aux distributions de nourriture aux heures habituelles et tiennent un registre de ces distributions, afin de prévenir les actes de corruption, l’alimentation devant être de bonne qualité, bien préparée et servie, et avoir une valeur nutritive suffisante. De même, l’État partie devra faire en sorte que chaque détenu puisse disposer d’ea</w:t>
      </w:r>
      <w:r>
        <w:rPr>
          <w:b/>
        </w:rPr>
        <w:t>u potable lorsqu’il en a besoin</w:t>
      </w:r>
      <w:r w:rsidRPr="00BE3320">
        <w:rPr>
          <w:b/>
        </w:rPr>
        <w:t xml:space="preserve"> (Règle 22 des</w:t>
      </w:r>
      <w:r>
        <w:rPr>
          <w:b/>
        </w:rPr>
        <w:t xml:space="preserve"> </w:t>
      </w:r>
      <w:r w:rsidRPr="00BE3320">
        <w:rPr>
          <w:b/>
        </w:rPr>
        <w:t xml:space="preserve">Règles Nelson Mandela). </w:t>
      </w:r>
    </w:p>
    <w:p w:rsidR="000D798E" w:rsidRPr="003064FF" w:rsidRDefault="000D798E" w:rsidP="000D798E">
      <w:pPr>
        <w:pStyle w:val="SingleTxtG"/>
      </w:pPr>
      <w:r w:rsidRPr="003064FF">
        <w:t>67.</w:t>
      </w:r>
      <w:r w:rsidRPr="003064FF">
        <w:tab/>
      </w:r>
      <w:r w:rsidRPr="00263628">
        <w:t xml:space="preserve">Le Sous-Comité </w:t>
      </w:r>
      <w:r>
        <w:t>a appris que les personnes placées en garde à vue ne recevaient ni nourriture ni eau au motif qu’elles se trouvaient au poste de police, censé être un lieu de détention temporaire</w:t>
      </w:r>
      <w:r w:rsidRPr="003064FF">
        <w:t xml:space="preserve">. </w:t>
      </w:r>
      <w:r>
        <w:t xml:space="preserve">Pourtant, il a pu constater qu’au poste de </w:t>
      </w:r>
      <w:proofErr w:type="spellStart"/>
      <w:r w:rsidRPr="003064FF">
        <w:t>Caledonia</w:t>
      </w:r>
      <w:proofErr w:type="spellEnd"/>
      <w:r>
        <w:t>,</w:t>
      </w:r>
      <w:r w:rsidRPr="003064FF">
        <w:t xml:space="preserve"> </w:t>
      </w:r>
      <w:r>
        <w:t>cert</w:t>
      </w:r>
      <w:r w:rsidRPr="003064FF">
        <w:t>a</w:t>
      </w:r>
      <w:r>
        <w:t xml:space="preserve">ines personnes étaient là depuis cinq jours. Il a appris que </w:t>
      </w:r>
      <w:r w:rsidRPr="003064FF">
        <w:t>l</w:t>
      </w:r>
      <w:r>
        <w:t>es intéressés recevaient de la nourriture de leurs proches et la partageaient avec c</w:t>
      </w:r>
      <w:r w:rsidRPr="003064FF">
        <w:t>e</w:t>
      </w:r>
      <w:r>
        <w:t>ux qui ne recevaient pas de visites</w:t>
      </w:r>
      <w:r w:rsidRPr="003064FF">
        <w:t xml:space="preserve">. </w:t>
      </w:r>
    </w:p>
    <w:p w:rsidR="000D798E" w:rsidRPr="003064FF" w:rsidRDefault="000D798E" w:rsidP="000D798E">
      <w:pPr>
        <w:pStyle w:val="SingleTxtG"/>
        <w:rPr>
          <w:b/>
        </w:rPr>
      </w:pPr>
      <w:r w:rsidRPr="003064FF">
        <w:t>68.</w:t>
      </w:r>
      <w:r w:rsidRPr="003064FF">
        <w:rPr>
          <w:b/>
        </w:rPr>
        <w:tab/>
      </w:r>
      <w:r w:rsidRPr="00344B4F">
        <w:rPr>
          <w:b/>
        </w:rPr>
        <w:t>Le Sous-Comité</w:t>
      </w:r>
      <w:r w:rsidRPr="003064FF">
        <w:rPr>
          <w:b/>
        </w:rPr>
        <w:t xml:space="preserve"> est pr</w:t>
      </w:r>
      <w:r>
        <w:rPr>
          <w:b/>
        </w:rPr>
        <w:t>é</w:t>
      </w:r>
      <w:r w:rsidRPr="003064FF">
        <w:rPr>
          <w:b/>
        </w:rPr>
        <w:t>o</w:t>
      </w:r>
      <w:r>
        <w:rPr>
          <w:b/>
        </w:rPr>
        <w:t xml:space="preserve">ccupé par l’absence de distribution de nourriture et d’eau potable pendant la </w:t>
      </w:r>
      <w:r w:rsidRPr="00CC26C1">
        <w:rPr>
          <w:b/>
        </w:rPr>
        <w:t>garde à vue</w:t>
      </w:r>
      <w:r w:rsidRPr="003064FF">
        <w:rPr>
          <w:b/>
        </w:rPr>
        <w:t xml:space="preserve">. </w:t>
      </w:r>
      <w:r>
        <w:rPr>
          <w:b/>
        </w:rPr>
        <w:t xml:space="preserve">Il </w:t>
      </w:r>
      <w:r w:rsidRPr="00712B6C">
        <w:rPr>
          <w:b/>
        </w:rPr>
        <w:t>recommande à l</w:t>
      </w:r>
      <w:r>
        <w:rPr>
          <w:b/>
        </w:rPr>
        <w:t>’</w:t>
      </w:r>
      <w:r w:rsidRPr="00712B6C">
        <w:rPr>
          <w:b/>
        </w:rPr>
        <w:t xml:space="preserve">État partie de </w:t>
      </w:r>
      <w:r>
        <w:rPr>
          <w:b/>
        </w:rPr>
        <w:t>garantir l’</w:t>
      </w:r>
      <w:r w:rsidRPr="003064FF">
        <w:rPr>
          <w:b/>
        </w:rPr>
        <w:t>acc</w:t>
      </w:r>
      <w:r>
        <w:rPr>
          <w:b/>
        </w:rPr>
        <w:t>ès</w:t>
      </w:r>
      <w:r w:rsidRPr="003064FF">
        <w:rPr>
          <w:b/>
        </w:rPr>
        <w:t xml:space="preserve"> </w:t>
      </w:r>
      <w:r>
        <w:rPr>
          <w:b/>
        </w:rPr>
        <w:t xml:space="preserve">à l’eau potable et la distribution de nourriture à toutes les personnes soumises à une quelconque </w:t>
      </w:r>
      <w:r w:rsidRPr="003064FF">
        <w:rPr>
          <w:b/>
        </w:rPr>
        <w:t>form</w:t>
      </w:r>
      <w:r>
        <w:rPr>
          <w:b/>
        </w:rPr>
        <w:t>e</w:t>
      </w:r>
      <w:r w:rsidRPr="003064FF">
        <w:rPr>
          <w:b/>
        </w:rPr>
        <w:t xml:space="preserve"> de détention, conform</w:t>
      </w:r>
      <w:r>
        <w:rPr>
          <w:b/>
        </w:rPr>
        <w:t>ém</w:t>
      </w:r>
      <w:r w:rsidRPr="003064FF">
        <w:rPr>
          <w:b/>
        </w:rPr>
        <w:t>e</w:t>
      </w:r>
      <w:r>
        <w:rPr>
          <w:b/>
        </w:rPr>
        <w:t>nt aux normes</w:t>
      </w:r>
      <w:r w:rsidRPr="003064FF">
        <w:rPr>
          <w:b/>
        </w:rPr>
        <w:t xml:space="preserve"> internationales</w:t>
      </w:r>
      <w:r>
        <w:rPr>
          <w:b/>
        </w:rPr>
        <w:t>. Aucune personne privée de sa liberté ne doit dépendre d’un tiers pour obtenir de quoi se nourrir</w:t>
      </w:r>
      <w:r w:rsidRPr="003064FF">
        <w:rPr>
          <w:b/>
        </w:rPr>
        <w:t>.</w:t>
      </w:r>
    </w:p>
    <w:p w:rsidR="000D798E" w:rsidRPr="003064FF" w:rsidRDefault="000D798E" w:rsidP="000D798E">
      <w:pPr>
        <w:pStyle w:val="H1G"/>
      </w:pPr>
      <w:r w:rsidRPr="003064FF">
        <w:tab/>
        <w:t>C.</w:t>
      </w:r>
      <w:r w:rsidRPr="003064FF">
        <w:tab/>
        <w:t>Autog</w:t>
      </w:r>
      <w:r>
        <w:t>estion</w:t>
      </w:r>
      <w:r w:rsidRPr="003064FF">
        <w:t xml:space="preserve"> </w:t>
      </w:r>
      <w:r>
        <w:t>et</w:t>
      </w:r>
      <w:r w:rsidRPr="003064FF">
        <w:t xml:space="preserve"> corruption</w:t>
      </w:r>
    </w:p>
    <w:p w:rsidR="000D798E" w:rsidRDefault="000D798E" w:rsidP="000D798E">
      <w:pPr>
        <w:pStyle w:val="SingleTxtG"/>
      </w:pPr>
      <w:r w:rsidRPr="003064FF">
        <w:t>69.</w:t>
      </w:r>
      <w:r w:rsidRPr="003064FF">
        <w:tab/>
      </w:r>
      <w:r w:rsidRPr="005E4262">
        <w:t xml:space="preserve">Dans plusieurs </w:t>
      </w:r>
      <w:r>
        <w:t xml:space="preserve">des </w:t>
      </w:r>
      <w:r w:rsidRPr="005E4262">
        <w:t xml:space="preserve">établissements pénitentiaires </w:t>
      </w:r>
      <w:r>
        <w:t xml:space="preserve">qu’il a </w:t>
      </w:r>
      <w:r w:rsidRPr="005E4262">
        <w:t>visités</w:t>
      </w:r>
      <w:r w:rsidRPr="003064FF">
        <w:t xml:space="preserve">, </w:t>
      </w:r>
      <w:r>
        <w:t xml:space="preserve">le Sous-Comité a relevé différentes formes d’autogestion résultant d’un partage du pouvoir entre les gangs et les autorités pénitentiaires. Dans certains cas, cette situation s’explique par un manque de personnel pénitentiaire qualifié. Dans d’autres, les policiers ou les gardiens n’ont d’autorité qu’à l’extérieur des pavillons. Une telle situation peut aussi dissimuler un véritable système de corruption. </w:t>
      </w:r>
    </w:p>
    <w:p w:rsidR="000D798E" w:rsidRPr="003064FF" w:rsidRDefault="000D798E" w:rsidP="000D798E">
      <w:pPr>
        <w:pStyle w:val="SingleTxtG"/>
      </w:pPr>
      <w:r>
        <w:t>70.</w:t>
      </w:r>
      <w:r>
        <w:tab/>
        <w:t>Toute une série de tâches, telles que le nettoyage des locaux</w:t>
      </w:r>
      <w:r w:rsidRPr="005E4262">
        <w:t>, la distribution de nourriture, l</w:t>
      </w:r>
      <w:r>
        <w:t>’</w:t>
      </w:r>
      <w:r w:rsidRPr="005E4262">
        <w:t>accès aux soins médicaux et l</w:t>
      </w:r>
      <w:r>
        <w:t>’</w:t>
      </w:r>
      <w:r w:rsidRPr="005E4262">
        <w:t xml:space="preserve">ouverture et la fermeture des cellules, sont déléguées aux </w:t>
      </w:r>
      <w:r>
        <w:t>« responsables »</w:t>
      </w:r>
      <w:r w:rsidRPr="005E4262">
        <w:t xml:space="preserve"> des différents pavillons et même, à La</w:t>
      </w:r>
      <w:r>
        <w:t> </w:t>
      </w:r>
      <w:proofErr w:type="spellStart"/>
      <w:r w:rsidRPr="005E4262">
        <w:t>Joya</w:t>
      </w:r>
      <w:proofErr w:type="spellEnd"/>
      <w:r w:rsidRPr="005E4262">
        <w:t xml:space="preserve">, à un </w:t>
      </w:r>
      <w:r>
        <w:t>« </w:t>
      </w:r>
      <w:r w:rsidRPr="005E4262">
        <w:t>responsable général</w:t>
      </w:r>
      <w:r>
        <w:t> »</w:t>
      </w:r>
      <w:r w:rsidRPr="005E4262">
        <w:t xml:space="preserve">. La discipline </w:t>
      </w:r>
      <w:r>
        <w:t xml:space="preserve">elle-même </w:t>
      </w:r>
      <w:r w:rsidRPr="005E4262">
        <w:t xml:space="preserve">est parfois déléguée, ce qui </w:t>
      </w:r>
      <w:r>
        <w:t xml:space="preserve">est </w:t>
      </w:r>
      <w:r w:rsidRPr="005E4262">
        <w:t>contr</w:t>
      </w:r>
      <w:r>
        <w:t>aire</w:t>
      </w:r>
      <w:r w:rsidRPr="005E4262">
        <w:t xml:space="preserve"> à l</w:t>
      </w:r>
      <w:r>
        <w:t>’</w:t>
      </w:r>
      <w:r w:rsidRPr="005E4262">
        <w:t>article</w:t>
      </w:r>
      <w:r>
        <w:t> </w:t>
      </w:r>
      <w:r w:rsidRPr="005E4262">
        <w:t xml:space="preserve">40 des Règles Nelson Mandela. </w:t>
      </w:r>
      <w:r>
        <w:t>C’est ainsi que, dans certains pavillons</w:t>
      </w:r>
      <w:r w:rsidRPr="003064FF">
        <w:t xml:space="preserve">, </w:t>
      </w:r>
      <w:r>
        <w:t>le détenu qui a commis une</w:t>
      </w:r>
      <w:r w:rsidRPr="003064FF">
        <w:t xml:space="preserve"> infract</w:t>
      </w:r>
      <w:r>
        <w:t>i</w:t>
      </w:r>
      <w:r w:rsidRPr="003064FF">
        <w:t>o</w:t>
      </w:r>
      <w:r>
        <w:t xml:space="preserve">n est isolé par ses pairs à l’intérieur de sa propre cellule, ce qui ne peut se produire </w:t>
      </w:r>
      <w:r w:rsidRPr="003064FF">
        <w:t>s</w:t>
      </w:r>
      <w:r>
        <w:t>a</w:t>
      </w:r>
      <w:r w:rsidRPr="003064FF">
        <w:t>n</w:t>
      </w:r>
      <w:r>
        <w:t>s que les autorités pénitentiaires ne ferment les yeux</w:t>
      </w:r>
      <w:r w:rsidRPr="003064FF">
        <w:t xml:space="preserve">. </w:t>
      </w:r>
    </w:p>
    <w:p w:rsidR="000D798E" w:rsidRPr="003064FF" w:rsidRDefault="000D798E" w:rsidP="000D798E">
      <w:pPr>
        <w:pStyle w:val="SingleTxtG"/>
      </w:pPr>
      <w:r w:rsidRPr="003064FF">
        <w:t>71.</w:t>
      </w:r>
      <w:r w:rsidRPr="003064FF">
        <w:tab/>
      </w:r>
      <w:r w:rsidRPr="00C36BD3">
        <w:t xml:space="preserve">Cette </w:t>
      </w:r>
      <w:r>
        <w:t>perversion</w:t>
      </w:r>
      <w:r w:rsidRPr="00C36BD3">
        <w:t xml:space="preserve"> </w:t>
      </w:r>
      <w:r w:rsidRPr="003064FF">
        <w:t>de</w:t>
      </w:r>
      <w:r>
        <w:t xml:space="preserve"> </w:t>
      </w:r>
      <w:r w:rsidRPr="003064FF">
        <w:t>l</w:t>
      </w:r>
      <w:r>
        <w:t>’autorité</w:t>
      </w:r>
      <w:r w:rsidRPr="003064FF">
        <w:t xml:space="preserve"> péniten</w:t>
      </w:r>
      <w:r>
        <w:t>tiaire</w:t>
      </w:r>
      <w:r w:rsidRPr="003064FF">
        <w:t xml:space="preserve"> </w:t>
      </w:r>
      <w:r w:rsidRPr="00C36BD3">
        <w:t>donne lieu à diverses formes et degrés d</w:t>
      </w:r>
      <w:r>
        <w:t>’</w:t>
      </w:r>
      <w:r w:rsidRPr="00C36BD3">
        <w:t>auto</w:t>
      </w:r>
      <w:r>
        <w:t>gestion</w:t>
      </w:r>
      <w:r w:rsidRPr="003064FF">
        <w:t xml:space="preserve">. </w:t>
      </w:r>
      <w:r>
        <w:t>Lorsque les gangs sont très forts</w:t>
      </w:r>
      <w:r w:rsidRPr="003064FF">
        <w:t xml:space="preserve">, </w:t>
      </w:r>
      <w:r>
        <w:t>leur contrôle sur les</w:t>
      </w:r>
      <w:r w:rsidRPr="003064FF">
        <w:t xml:space="preserve"> pa</w:t>
      </w:r>
      <w:r>
        <w:t>villon</w:t>
      </w:r>
      <w:r w:rsidRPr="003064FF">
        <w:t>s es</w:t>
      </w:r>
      <w:r>
        <w:t>t</w:t>
      </w:r>
      <w:r w:rsidRPr="003064FF">
        <w:t xml:space="preserve"> total, </w:t>
      </w:r>
      <w:r>
        <w:t>au point que le Sous-Comité a parfois dû se faire guider par le « responsable » pour mener à bien son évaluation des conditions carcérales</w:t>
      </w:r>
      <w:r w:rsidRPr="003064FF">
        <w:t xml:space="preserve">. </w:t>
      </w:r>
      <w:r>
        <w:t>Dans d’autres cas</w:t>
      </w:r>
      <w:r w:rsidRPr="003064FF">
        <w:t>, l</w:t>
      </w:r>
      <w:r>
        <w:t>e pouvoir des différents gangs est plus dif</w:t>
      </w:r>
      <w:r w:rsidRPr="003064FF">
        <w:t>fus</w:t>
      </w:r>
      <w:r>
        <w:t xml:space="preserve"> et se</w:t>
      </w:r>
      <w:r w:rsidRPr="003064FF">
        <w:t xml:space="preserve"> conf</w:t>
      </w:r>
      <w:r>
        <w:t>o</w:t>
      </w:r>
      <w:r w:rsidRPr="003064FF">
        <w:t>nd</w:t>
      </w:r>
      <w:r>
        <w:t xml:space="preserve"> avec celui des </w:t>
      </w:r>
      <w:r w:rsidRPr="003064FF">
        <w:t>gr</w:t>
      </w:r>
      <w:r>
        <w:t>o</w:t>
      </w:r>
      <w:r w:rsidRPr="003064FF">
        <w:t>up</w:t>
      </w:r>
      <w:r>
        <w:t>e</w:t>
      </w:r>
      <w:r w:rsidRPr="003064FF">
        <w:t>s religi</w:t>
      </w:r>
      <w:r>
        <w:t>eux</w:t>
      </w:r>
      <w:r w:rsidRPr="003064FF">
        <w:t xml:space="preserve">. </w:t>
      </w:r>
      <w:r>
        <w:t>L’autogestion par les gangs et la corruption augmentent le risque, pour les détenus, d’être victimes d’exploitation sous une forme ou une autre, de mauvais traitements, de torture et d’autres abus, avec une forte probabilité d’impunité pour les auteurs</w:t>
      </w:r>
      <w:r w:rsidRPr="003064FF">
        <w:t xml:space="preserve">. </w:t>
      </w:r>
      <w:r>
        <w:t xml:space="preserve">Le Sous-Comité a ressenti un climat de peur parmi les détenus des </w:t>
      </w:r>
      <w:r w:rsidRPr="003064FF">
        <w:t>p</w:t>
      </w:r>
      <w:r>
        <w:t>risons autogérées</w:t>
      </w:r>
      <w:r w:rsidRPr="003064FF">
        <w:t xml:space="preserve">. </w:t>
      </w:r>
      <w:r>
        <w:t xml:space="preserve">On lui a en outre fait état de l’entrée d’armes à feu (et de drogue) dans les </w:t>
      </w:r>
      <w:r w:rsidRPr="003064FF">
        <w:t>centr</w:t>
      </w:r>
      <w:r>
        <w:t>e</w:t>
      </w:r>
      <w:r w:rsidRPr="003064FF">
        <w:t xml:space="preserve">s de détention. </w:t>
      </w:r>
    </w:p>
    <w:p w:rsidR="000D798E" w:rsidRPr="003064FF" w:rsidRDefault="000D798E" w:rsidP="000D798E">
      <w:pPr>
        <w:pStyle w:val="SingleTxtG"/>
      </w:pPr>
      <w:r>
        <w:t>72.</w:t>
      </w:r>
      <w:r>
        <w:tab/>
        <w:t>Le Sous-Comité s’est aussi rendu compte que pareille situation empêche la séparation des condamnés et des prévenus, ce qui est contraire à</w:t>
      </w:r>
      <w:r w:rsidRPr="00C36BD3">
        <w:t xml:space="preserve"> la Règle</w:t>
      </w:r>
      <w:r>
        <w:t> </w:t>
      </w:r>
      <w:r w:rsidRPr="00C36BD3">
        <w:t>11 de</w:t>
      </w:r>
      <w:r>
        <w:t>s Règles</w:t>
      </w:r>
      <w:r w:rsidRPr="00C36BD3">
        <w:t xml:space="preserve"> Nelson Mandel</w:t>
      </w:r>
      <w:r>
        <w:t>a</w:t>
      </w:r>
      <w:r w:rsidRPr="003064FF">
        <w:t xml:space="preserve">, </w:t>
      </w:r>
      <w:r>
        <w:t>et le remplacement des centres</w:t>
      </w:r>
      <w:r w:rsidRPr="003064FF">
        <w:t xml:space="preserve"> de détention</w:t>
      </w:r>
      <w:r>
        <w:t xml:space="preserve"> anciens par des centres modernes, dans la mesure où cela reviendrait à</w:t>
      </w:r>
      <w:r w:rsidRPr="003064FF">
        <w:t xml:space="preserve"> </w:t>
      </w:r>
      <w:r>
        <w:t>mettre un terme au</w:t>
      </w:r>
      <w:r w:rsidRPr="003064FF">
        <w:t xml:space="preserve"> modèle d</w:t>
      </w:r>
      <w:r>
        <w:t>u partag</w:t>
      </w:r>
      <w:r w:rsidRPr="003064FF">
        <w:t xml:space="preserve">e </w:t>
      </w:r>
      <w:r>
        <w:t xml:space="preserve">du </w:t>
      </w:r>
      <w:r w:rsidRPr="003064FF">
        <w:t>po</w:t>
      </w:r>
      <w:r>
        <w:t>uvoir</w:t>
      </w:r>
      <w:r w:rsidRPr="003064FF">
        <w:t>.</w:t>
      </w:r>
    </w:p>
    <w:p w:rsidR="000D798E" w:rsidRDefault="000D798E" w:rsidP="000D798E">
      <w:pPr>
        <w:pStyle w:val="SingleTxtG"/>
        <w:rPr>
          <w:b/>
        </w:rPr>
      </w:pPr>
      <w:r w:rsidRPr="003064FF">
        <w:t>73.</w:t>
      </w:r>
      <w:r w:rsidRPr="003064FF">
        <w:rPr>
          <w:b/>
        </w:rPr>
        <w:tab/>
      </w:r>
      <w:r w:rsidRPr="00344B4F">
        <w:rPr>
          <w:b/>
        </w:rPr>
        <w:t>Le Sous-Comité</w:t>
      </w:r>
      <w:r w:rsidRPr="003064FF">
        <w:rPr>
          <w:b/>
        </w:rPr>
        <w:t xml:space="preserve"> </w:t>
      </w:r>
      <w:r w:rsidRPr="00712B6C">
        <w:rPr>
          <w:b/>
        </w:rPr>
        <w:t>recommande à l</w:t>
      </w:r>
      <w:r>
        <w:rPr>
          <w:b/>
        </w:rPr>
        <w:t>’</w:t>
      </w:r>
      <w:r w:rsidRPr="00712B6C">
        <w:rPr>
          <w:b/>
        </w:rPr>
        <w:t xml:space="preserve">État partie </w:t>
      </w:r>
      <w:r>
        <w:rPr>
          <w:b/>
        </w:rPr>
        <w:t>d’</w:t>
      </w:r>
      <w:r w:rsidRPr="003064FF">
        <w:rPr>
          <w:b/>
        </w:rPr>
        <w:t>a</w:t>
      </w:r>
      <w:r>
        <w:rPr>
          <w:b/>
        </w:rPr>
        <w:t>c</w:t>
      </w:r>
      <w:r w:rsidRPr="003064FF">
        <w:rPr>
          <w:b/>
        </w:rPr>
        <w:t>c</w:t>
      </w:r>
      <w:r>
        <w:rPr>
          <w:b/>
        </w:rPr>
        <w:t>é</w:t>
      </w:r>
      <w:r w:rsidRPr="003064FF">
        <w:rPr>
          <w:b/>
        </w:rPr>
        <w:t>l</w:t>
      </w:r>
      <w:r>
        <w:rPr>
          <w:b/>
        </w:rPr>
        <w:t>é</w:t>
      </w:r>
      <w:r w:rsidRPr="003064FF">
        <w:rPr>
          <w:b/>
        </w:rPr>
        <w:t>r</w:t>
      </w:r>
      <w:r>
        <w:rPr>
          <w:b/>
        </w:rPr>
        <w:t>e</w:t>
      </w:r>
      <w:r w:rsidRPr="003064FF">
        <w:rPr>
          <w:b/>
        </w:rPr>
        <w:t xml:space="preserve">r la </w:t>
      </w:r>
      <w:r>
        <w:rPr>
          <w:b/>
        </w:rPr>
        <w:t>mise en œuvre</w:t>
      </w:r>
      <w:r w:rsidRPr="003064FF">
        <w:rPr>
          <w:b/>
        </w:rPr>
        <w:t xml:space="preserve"> de la </w:t>
      </w:r>
      <w:r>
        <w:rPr>
          <w:b/>
        </w:rPr>
        <w:t xml:space="preserve">loi sur l’organisation des carrières </w:t>
      </w:r>
      <w:r w:rsidRPr="00C91A09">
        <w:rPr>
          <w:b/>
        </w:rPr>
        <w:t>dans l</w:t>
      </w:r>
      <w:r>
        <w:rPr>
          <w:b/>
        </w:rPr>
        <w:t>’</w:t>
      </w:r>
      <w:r w:rsidRPr="00C91A09">
        <w:rPr>
          <w:b/>
        </w:rPr>
        <w:t>administrat</w:t>
      </w:r>
      <w:r>
        <w:rPr>
          <w:b/>
        </w:rPr>
        <w:t xml:space="preserve">ion </w:t>
      </w:r>
      <w:r w:rsidRPr="00C91A09">
        <w:rPr>
          <w:b/>
        </w:rPr>
        <w:t>pénitentiaire</w:t>
      </w:r>
      <w:r w:rsidRPr="003064FF">
        <w:rPr>
          <w:b/>
        </w:rPr>
        <w:t xml:space="preserve"> </w:t>
      </w:r>
      <w:r>
        <w:rPr>
          <w:b/>
        </w:rPr>
        <w:t xml:space="preserve">et d’allouer un nombre </w:t>
      </w:r>
      <w:r w:rsidRPr="003064FF">
        <w:rPr>
          <w:b/>
        </w:rPr>
        <w:t>d</w:t>
      </w:r>
      <w:r>
        <w:rPr>
          <w:b/>
        </w:rPr>
        <w:t>’agents</w:t>
      </w:r>
      <w:r w:rsidRPr="003064FF">
        <w:rPr>
          <w:b/>
        </w:rPr>
        <w:t xml:space="preserve"> </w:t>
      </w:r>
      <w:r w:rsidRPr="00C91A09">
        <w:rPr>
          <w:b/>
        </w:rPr>
        <w:t>pénitentiaire</w:t>
      </w:r>
      <w:r>
        <w:rPr>
          <w:b/>
        </w:rPr>
        <w:t>s</w:t>
      </w:r>
      <w:r w:rsidRPr="003064FF">
        <w:rPr>
          <w:b/>
        </w:rPr>
        <w:t xml:space="preserve"> </w:t>
      </w:r>
      <w:r>
        <w:rPr>
          <w:b/>
        </w:rPr>
        <w:t xml:space="preserve">qualifiés </w:t>
      </w:r>
      <w:r w:rsidRPr="00B93161">
        <w:rPr>
          <w:b/>
        </w:rPr>
        <w:t xml:space="preserve">suffisant pour assurer la bonne gestion des </w:t>
      </w:r>
      <w:r>
        <w:rPr>
          <w:b/>
        </w:rPr>
        <w:t>établissements pénitentiaires</w:t>
      </w:r>
      <w:r w:rsidRPr="00B93161">
        <w:rPr>
          <w:b/>
        </w:rPr>
        <w:t>.</w:t>
      </w:r>
    </w:p>
    <w:p w:rsidR="000D798E" w:rsidRPr="003064FF" w:rsidRDefault="000D798E" w:rsidP="000D798E">
      <w:pPr>
        <w:pStyle w:val="SingleTxtG"/>
        <w:keepLines/>
        <w:rPr>
          <w:b/>
        </w:rPr>
      </w:pPr>
      <w:r w:rsidRPr="003064FF">
        <w:lastRenderedPageBreak/>
        <w:t>74.</w:t>
      </w:r>
      <w:r w:rsidRPr="003064FF">
        <w:rPr>
          <w:b/>
        </w:rPr>
        <w:tab/>
      </w:r>
      <w:r w:rsidRPr="00344B4F">
        <w:rPr>
          <w:b/>
        </w:rPr>
        <w:t>Le Sous-Comité</w:t>
      </w:r>
      <w:r w:rsidRPr="003064FF">
        <w:rPr>
          <w:b/>
        </w:rPr>
        <w:t xml:space="preserve"> </w:t>
      </w:r>
      <w:r w:rsidRPr="00C91A09">
        <w:rPr>
          <w:b/>
        </w:rPr>
        <w:t>considère que la délégation de pouvoir et l</w:t>
      </w:r>
      <w:r>
        <w:rPr>
          <w:b/>
        </w:rPr>
        <w:t>’</w:t>
      </w:r>
      <w:r w:rsidRPr="00C91A09">
        <w:rPr>
          <w:b/>
        </w:rPr>
        <w:t>auto</w:t>
      </w:r>
      <w:r>
        <w:rPr>
          <w:b/>
        </w:rPr>
        <w:t>gestion accroissent le</w:t>
      </w:r>
      <w:r w:rsidRPr="00C91A09">
        <w:rPr>
          <w:b/>
        </w:rPr>
        <w:t xml:space="preserve"> </w:t>
      </w:r>
      <w:r>
        <w:rPr>
          <w:b/>
        </w:rPr>
        <w:t>risque</w:t>
      </w:r>
      <w:r w:rsidRPr="00C91A09">
        <w:rPr>
          <w:b/>
        </w:rPr>
        <w:t xml:space="preserve"> que les personnes privées</w:t>
      </w:r>
      <w:r>
        <w:rPr>
          <w:b/>
        </w:rPr>
        <w:t xml:space="preserve"> de liberté soient soumises à différente</w:t>
      </w:r>
      <w:r w:rsidRPr="00C91A09">
        <w:rPr>
          <w:b/>
        </w:rPr>
        <w:t>s formes de torture et de mauvais traitements</w:t>
      </w:r>
      <w:r>
        <w:rPr>
          <w:b/>
        </w:rPr>
        <w:t>,</w:t>
      </w:r>
      <w:r w:rsidRPr="00C91A09">
        <w:rPr>
          <w:b/>
        </w:rPr>
        <w:t xml:space="preserve"> et demande instamment à l</w:t>
      </w:r>
      <w:r>
        <w:rPr>
          <w:b/>
        </w:rPr>
        <w:t>’</w:t>
      </w:r>
      <w:r w:rsidRPr="00C91A09">
        <w:rPr>
          <w:b/>
        </w:rPr>
        <w:t xml:space="preserve">État partie de prendre les mesures </w:t>
      </w:r>
      <w:r>
        <w:rPr>
          <w:b/>
        </w:rPr>
        <w:t>qui s’imposent</w:t>
      </w:r>
      <w:r w:rsidRPr="00C91A09">
        <w:rPr>
          <w:b/>
        </w:rPr>
        <w:t xml:space="preserve"> pour reprendre le contrôle des </w:t>
      </w:r>
      <w:r>
        <w:rPr>
          <w:b/>
        </w:rPr>
        <w:t>établissements pénitentiaires</w:t>
      </w:r>
      <w:r w:rsidRPr="00C91A09">
        <w:rPr>
          <w:b/>
        </w:rPr>
        <w:t>.</w:t>
      </w:r>
      <w:r w:rsidRPr="003064FF">
        <w:rPr>
          <w:b/>
        </w:rPr>
        <w:t xml:space="preserve"> </w:t>
      </w:r>
    </w:p>
    <w:p w:rsidR="000D798E" w:rsidRPr="003064FF" w:rsidRDefault="000D798E" w:rsidP="000D798E">
      <w:pPr>
        <w:pStyle w:val="H1G"/>
      </w:pPr>
      <w:r w:rsidRPr="003064FF">
        <w:tab/>
        <w:t>D.</w:t>
      </w:r>
      <w:r w:rsidRPr="003064FF">
        <w:tab/>
        <w:t>Détention</w:t>
      </w:r>
      <w:r>
        <w:t xml:space="preserve"> avant jugement de longue</w:t>
      </w:r>
      <w:r w:rsidRPr="003064FF">
        <w:t xml:space="preserve"> dur</w:t>
      </w:r>
      <w:r>
        <w:t>ée</w:t>
      </w:r>
    </w:p>
    <w:p w:rsidR="000D798E" w:rsidRPr="003064FF" w:rsidRDefault="000D798E" w:rsidP="000D798E">
      <w:pPr>
        <w:pStyle w:val="SingleTxtG"/>
      </w:pPr>
      <w:r w:rsidRPr="003064FF">
        <w:t>75.</w:t>
      </w:r>
      <w:r w:rsidRPr="003064FF">
        <w:tab/>
      </w:r>
      <w:r>
        <w:t xml:space="preserve">Le Sous-Comité salue </w:t>
      </w:r>
      <w:r w:rsidRPr="003064FF">
        <w:t xml:space="preserve">la promulgation de la </w:t>
      </w:r>
      <w:r w:rsidRPr="00E76046">
        <w:rPr>
          <w:lang w:val="fr-FR"/>
        </w:rPr>
        <w:t xml:space="preserve">loi </w:t>
      </w:r>
      <w:r>
        <w:rPr>
          <w:lang w:val="fr-FR"/>
        </w:rPr>
        <w:t>n</w:t>
      </w:r>
      <w:r w:rsidRPr="00C62FD9">
        <w:rPr>
          <w:vertAlign w:val="superscript"/>
          <w:lang w:val="fr-FR"/>
        </w:rPr>
        <w:t>o</w:t>
      </w:r>
      <w:r>
        <w:rPr>
          <w:lang w:val="fr-FR"/>
        </w:rPr>
        <w:t> </w:t>
      </w:r>
      <w:r w:rsidRPr="003064FF">
        <w:t>4 d</w:t>
      </w:r>
      <w:r>
        <w:t xml:space="preserve">u </w:t>
      </w:r>
      <w:r w:rsidRPr="003064FF">
        <w:t>17</w:t>
      </w:r>
      <w:r>
        <w:t> février</w:t>
      </w:r>
      <w:r w:rsidRPr="003064FF">
        <w:t xml:space="preserve"> 2017</w:t>
      </w:r>
      <w:r>
        <w:t>, portant modification</w:t>
      </w:r>
      <w:r w:rsidRPr="003064FF">
        <w:t xml:space="preserve"> </w:t>
      </w:r>
      <w:r>
        <w:t xml:space="preserve">du </w:t>
      </w:r>
      <w:r w:rsidRPr="0043202A">
        <w:t>Code judiciaire</w:t>
      </w:r>
      <w:r w:rsidRPr="003064FF">
        <w:t xml:space="preserve">, </w:t>
      </w:r>
      <w:r>
        <w:t>du Code pénal et du Code de procédure pénale, et visant entre autres choses à prévenir la surpopulation carcérale</w:t>
      </w:r>
      <w:r w:rsidRPr="003064FF">
        <w:t xml:space="preserve">, </w:t>
      </w:r>
      <w:r>
        <w:t xml:space="preserve">qui </w:t>
      </w:r>
      <w:r w:rsidRPr="003064FF">
        <w:t>perm</w:t>
      </w:r>
      <w:r>
        <w:t>et</w:t>
      </w:r>
      <w:r w:rsidRPr="003064FF">
        <w:t xml:space="preserve">, </w:t>
      </w:r>
      <w:r>
        <w:t>notamment</w:t>
      </w:r>
      <w:r w:rsidRPr="003064FF">
        <w:t xml:space="preserve">, </w:t>
      </w:r>
      <w:r>
        <w:t xml:space="preserve">une commutation de peine pour les condamnés qui auraient pris part à des </w:t>
      </w:r>
      <w:r w:rsidRPr="003064FF">
        <w:t>program</w:t>
      </w:r>
      <w:r>
        <w:t>me</w:t>
      </w:r>
      <w:r w:rsidRPr="003064FF">
        <w:t xml:space="preserve">s </w:t>
      </w:r>
      <w:r>
        <w:t>d’études, d’emploi ou d’enseignement pendant qu’ils étaient en dét</w:t>
      </w:r>
      <w:r w:rsidRPr="003064FF">
        <w:t>en</w:t>
      </w:r>
      <w:r>
        <w:t>tion avant jugement</w:t>
      </w:r>
      <w:r w:rsidRPr="003064FF">
        <w:t xml:space="preserve">. </w:t>
      </w:r>
    </w:p>
    <w:p w:rsidR="000D798E" w:rsidRPr="003064FF" w:rsidRDefault="000D798E" w:rsidP="000D798E">
      <w:pPr>
        <w:pStyle w:val="SingleTxtG"/>
      </w:pPr>
      <w:r w:rsidRPr="003064FF">
        <w:t>76.</w:t>
      </w:r>
      <w:r w:rsidRPr="003064FF">
        <w:tab/>
      </w:r>
      <w:r>
        <w:t>Cependant</w:t>
      </w:r>
      <w:r w:rsidRPr="003064FF">
        <w:t xml:space="preserve">, </w:t>
      </w:r>
      <w:r w:rsidRPr="00EA110A">
        <w:t>le Sous-Comité</w:t>
      </w:r>
      <w:r>
        <w:t xml:space="preserve"> </w:t>
      </w:r>
      <w:r w:rsidRPr="00EA110A">
        <w:t xml:space="preserve">a pris note du sérieux retard </w:t>
      </w:r>
      <w:r>
        <w:t>qu’accusait</w:t>
      </w:r>
      <w:r w:rsidRPr="00EA110A">
        <w:t xml:space="preserve"> le règlement des affaires pénales</w:t>
      </w:r>
      <w:r>
        <w:t xml:space="preserve">, du recours excessif à la détention provisoire et des durées trop longues de celle-ci. Il ressort des données </w:t>
      </w:r>
      <w:r w:rsidRPr="003064FF">
        <w:t>o</w:t>
      </w:r>
      <w:r>
        <w:t>f</w:t>
      </w:r>
      <w:r w:rsidRPr="003064FF">
        <w:t>fici</w:t>
      </w:r>
      <w:r>
        <w:t>e</w:t>
      </w:r>
      <w:r w:rsidRPr="003064FF">
        <w:t>l</w:t>
      </w:r>
      <w:r>
        <w:t>les</w:t>
      </w:r>
      <w:r w:rsidRPr="003064FF">
        <w:t xml:space="preserve"> que </w:t>
      </w:r>
      <w:r>
        <w:t xml:space="preserve">certaines </w:t>
      </w:r>
      <w:r w:rsidRPr="00EA110A">
        <w:t>personnes</w:t>
      </w:r>
      <w:r>
        <w:t xml:space="preserve"> sont</w:t>
      </w:r>
      <w:r w:rsidRPr="00EA110A">
        <w:t xml:space="preserve"> p</w:t>
      </w:r>
      <w:r>
        <w:t xml:space="preserve">lacées </w:t>
      </w:r>
      <w:r w:rsidRPr="00EA110A">
        <w:t xml:space="preserve">en détention provisoire en </w:t>
      </w:r>
      <w:r>
        <w:t>application</w:t>
      </w:r>
      <w:r w:rsidRPr="00EA110A">
        <w:t xml:space="preserve"> des règles du système </w:t>
      </w:r>
      <w:r w:rsidRPr="00FE6AE0">
        <w:t>inquisitoire et que</w:t>
      </w:r>
      <w:r>
        <w:t xml:space="preserve"> le</w:t>
      </w:r>
      <w:r w:rsidRPr="003064FF">
        <w:t xml:space="preserve">s </w:t>
      </w:r>
      <w:r w:rsidRPr="00EA110A">
        <w:t>détention</w:t>
      </w:r>
      <w:r>
        <w:t>s</w:t>
      </w:r>
      <w:r w:rsidRPr="00EA110A">
        <w:t xml:space="preserve"> </w:t>
      </w:r>
      <w:r>
        <w:t>avant jugement</w:t>
      </w:r>
      <w:r w:rsidRPr="00EA110A">
        <w:t xml:space="preserve"> </w:t>
      </w:r>
      <w:r>
        <w:t>prolongées sont très fréquentes</w:t>
      </w:r>
      <w:r w:rsidRPr="003064FF">
        <w:t xml:space="preserve"> (</w:t>
      </w:r>
      <w:r>
        <w:t xml:space="preserve">on compte </w:t>
      </w:r>
      <w:r w:rsidRPr="003064FF">
        <w:rPr>
          <w:iCs/>
        </w:rPr>
        <w:t>2</w:t>
      </w:r>
      <w:r>
        <w:rPr>
          <w:iCs/>
        </w:rPr>
        <w:t> </w:t>
      </w:r>
      <w:r w:rsidRPr="003064FF">
        <w:rPr>
          <w:iCs/>
        </w:rPr>
        <w:t>759</w:t>
      </w:r>
      <w:r>
        <w:rPr>
          <w:iCs/>
        </w:rPr>
        <w:t> personnes</w:t>
      </w:r>
      <w:r w:rsidRPr="003064FF">
        <w:rPr>
          <w:iCs/>
        </w:rPr>
        <w:t xml:space="preserve"> en </w:t>
      </w:r>
      <w:r>
        <w:t xml:space="preserve">détention provisoire </w:t>
      </w:r>
      <w:r w:rsidRPr="003064FF">
        <w:rPr>
          <w:iCs/>
        </w:rPr>
        <w:t>de</w:t>
      </w:r>
      <w:r>
        <w:rPr>
          <w:iCs/>
        </w:rPr>
        <w:t>puis plus de</w:t>
      </w:r>
      <w:r w:rsidRPr="003064FF">
        <w:rPr>
          <w:iCs/>
        </w:rPr>
        <w:t xml:space="preserve"> tr</w:t>
      </w:r>
      <w:r>
        <w:rPr>
          <w:iCs/>
        </w:rPr>
        <w:t>ois an</w:t>
      </w:r>
      <w:r w:rsidRPr="003064FF">
        <w:rPr>
          <w:iCs/>
        </w:rPr>
        <w:t>s</w:t>
      </w:r>
      <w:r>
        <w:rPr>
          <w:iCs/>
        </w:rPr>
        <w:t xml:space="preserve">, </w:t>
      </w:r>
      <w:r w:rsidRPr="003064FF">
        <w:rPr>
          <w:iCs/>
        </w:rPr>
        <w:t>6</w:t>
      </w:r>
      <w:r>
        <w:rPr>
          <w:iCs/>
        </w:rPr>
        <w:t> </w:t>
      </w:r>
      <w:r w:rsidRPr="003064FF">
        <w:rPr>
          <w:iCs/>
        </w:rPr>
        <w:t>760 de</w:t>
      </w:r>
      <w:r>
        <w:rPr>
          <w:iCs/>
        </w:rPr>
        <w:t>puis plus d’un an et</w:t>
      </w:r>
      <w:r w:rsidRPr="003064FF">
        <w:t xml:space="preserve"> 393 </w:t>
      </w:r>
      <w:r w:rsidRPr="003064FF">
        <w:rPr>
          <w:iCs/>
        </w:rPr>
        <w:t>de</w:t>
      </w:r>
      <w:r>
        <w:rPr>
          <w:iCs/>
        </w:rPr>
        <w:t>puis moins d’un an</w:t>
      </w:r>
      <w:r w:rsidRPr="003064FF">
        <w:t xml:space="preserve">). </w:t>
      </w:r>
      <w:r>
        <w:t xml:space="preserve">À l’inverse, dans le système pénitentiaire accusatoire déjà en vigueur dans le pays, la période de détention </w:t>
      </w:r>
      <w:r w:rsidRPr="00EA110A">
        <w:t xml:space="preserve">provisoire </w:t>
      </w:r>
      <w:r>
        <w:t>est le plus souvent inférieure à un an (8 </w:t>
      </w:r>
      <w:r>
        <w:rPr>
          <w:iCs/>
        </w:rPr>
        <w:t>personnes</w:t>
      </w:r>
      <w:r w:rsidRPr="003064FF">
        <w:rPr>
          <w:iCs/>
        </w:rPr>
        <w:t xml:space="preserve"> en </w:t>
      </w:r>
      <w:r>
        <w:t xml:space="preserve">détention provisoire </w:t>
      </w:r>
      <w:r w:rsidRPr="003064FF">
        <w:rPr>
          <w:iCs/>
        </w:rPr>
        <w:t>de</w:t>
      </w:r>
      <w:r>
        <w:rPr>
          <w:iCs/>
        </w:rPr>
        <w:t>puis plus de</w:t>
      </w:r>
      <w:r w:rsidRPr="003064FF">
        <w:rPr>
          <w:iCs/>
        </w:rPr>
        <w:t xml:space="preserve"> tr</w:t>
      </w:r>
      <w:r>
        <w:rPr>
          <w:iCs/>
        </w:rPr>
        <w:t>ois an</w:t>
      </w:r>
      <w:r w:rsidRPr="003064FF">
        <w:rPr>
          <w:iCs/>
        </w:rPr>
        <w:t>s</w:t>
      </w:r>
      <w:r>
        <w:rPr>
          <w:iCs/>
        </w:rPr>
        <w:t>,</w:t>
      </w:r>
      <w:r>
        <w:t xml:space="preserve"> 328 </w:t>
      </w:r>
      <w:r w:rsidRPr="003064FF">
        <w:rPr>
          <w:iCs/>
        </w:rPr>
        <w:t>de</w:t>
      </w:r>
      <w:r>
        <w:rPr>
          <w:iCs/>
        </w:rPr>
        <w:t>puis plus d’un an et</w:t>
      </w:r>
      <w:r w:rsidRPr="003064FF">
        <w:t xml:space="preserve"> </w:t>
      </w:r>
      <w:r>
        <w:t>1</w:t>
      </w:r>
      <w:r>
        <w:rPr>
          <w:iCs/>
        </w:rPr>
        <w:t> </w:t>
      </w:r>
      <w:r>
        <w:t xml:space="preserve">200 </w:t>
      </w:r>
      <w:r w:rsidRPr="003064FF">
        <w:rPr>
          <w:iCs/>
        </w:rPr>
        <w:t>de</w:t>
      </w:r>
      <w:r>
        <w:rPr>
          <w:iCs/>
        </w:rPr>
        <w:t>puis moins d’un an</w:t>
      </w:r>
      <w:r>
        <w:t>). Globalement, sur un nombre total de 16</w:t>
      </w:r>
      <w:r>
        <w:rPr>
          <w:iCs/>
        </w:rPr>
        <w:t> </w:t>
      </w:r>
      <w:r>
        <w:t>104 personnes privées de liberté dans le pays, le nombre de prévenus s’élève à 8</w:t>
      </w:r>
      <w:r>
        <w:rPr>
          <w:iCs/>
        </w:rPr>
        <w:t> </w:t>
      </w:r>
      <w:r>
        <w:t>681, soit 54</w:t>
      </w:r>
      <w:r>
        <w:rPr>
          <w:iCs/>
        </w:rPr>
        <w:t> </w:t>
      </w:r>
      <w:r>
        <w:t>% de la population carcérale.</w:t>
      </w:r>
      <w:r w:rsidRPr="003064FF">
        <w:t xml:space="preserve"> </w:t>
      </w:r>
      <w:r w:rsidRPr="00FE6AE0">
        <w:t xml:space="preserve">En outre, le Sous-Comité a </w:t>
      </w:r>
      <w:r>
        <w:t>vu au</w:t>
      </w:r>
      <w:r w:rsidRPr="003064FF">
        <w:t xml:space="preserve"> centr</w:t>
      </w:r>
      <w:r>
        <w:t xml:space="preserve">e de réadaptation </w:t>
      </w:r>
      <w:proofErr w:type="spellStart"/>
      <w:r w:rsidRPr="003064FF">
        <w:t>Nueva</w:t>
      </w:r>
      <w:proofErr w:type="spellEnd"/>
      <w:r w:rsidRPr="003064FF">
        <w:t xml:space="preserve"> Esperanza </w:t>
      </w:r>
      <w:r>
        <w:t xml:space="preserve">une personne qui se trouvait, au moment de la visite, en détention provisoire </w:t>
      </w:r>
      <w:r w:rsidRPr="003064FF">
        <w:rPr>
          <w:iCs/>
        </w:rPr>
        <w:t>de</w:t>
      </w:r>
      <w:r>
        <w:rPr>
          <w:iCs/>
        </w:rPr>
        <w:t>puis pas moins de huit ans.</w:t>
      </w:r>
    </w:p>
    <w:p w:rsidR="000D798E" w:rsidRPr="003064FF" w:rsidRDefault="000D798E" w:rsidP="000D798E">
      <w:pPr>
        <w:pStyle w:val="SingleTxtG"/>
        <w:rPr>
          <w:b/>
        </w:rPr>
      </w:pPr>
      <w:r w:rsidRPr="003064FF">
        <w:t>77.</w:t>
      </w:r>
      <w:r w:rsidRPr="003064FF">
        <w:rPr>
          <w:b/>
        </w:rPr>
        <w:tab/>
      </w:r>
      <w:r w:rsidRPr="00FE6AE0">
        <w:rPr>
          <w:b/>
        </w:rPr>
        <w:t>Comme i</w:t>
      </w:r>
      <w:r>
        <w:rPr>
          <w:b/>
        </w:rPr>
        <w:t>l l’</w:t>
      </w:r>
      <w:r w:rsidRPr="00FE6AE0">
        <w:rPr>
          <w:b/>
        </w:rPr>
        <w:t>a</w:t>
      </w:r>
      <w:r>
        <w:rPr>
          <w:b/>
        </w:rPr>
        <w:t xml:space="preserve"> indiqué au sujet de </w:t>
      </w:r>
      <w:r w:rsidRPr="00FE6AE0">
        <w:rPr>
          <w:b/>
        </w:rPr>
        <w:t>la surpopulation carcérale, le Sous-Comi</w:t>
      </w:r>
      <w:r>
        <w:rPr>
          <w:b/>
        </w:rPr>
        <w:t>té recommande à l’État partie d</w:t>
      </w:r>
      <w:r w:rsidRPr="00FE6AE0">
        <w:rPr>
          <w:b/>
        </w:rPr>
        <w:t>e</w:t>
      </w:r>
      <w:r>
        <w:rPr>
          <w:b/>
        </w:rPr>
        <w:t xml:space="preserve"> favoriser</w:t>
      </w:r>
      <w:r w:rsidRPr="00FE6AE0">
        <w:rPr>
          <w:b/>
        </w:rPr>
        <w:t xml:space="preserve"> le recours à des mesures de substitution à la privation de liberté, conformément aux Règles de Tokyo, et de redoubler d</w:t>
      </w:r>
      <w:r>
        <w:rPr>
          <w:b/>
        </w:rPr>
        <w:t>’</w:t>
      </w:r>
      <w:r w:rsidRPr="00FE6AE0">
        <w:rPr>
          <w:b/>
        </w:rPr>
        <w:t xml:space="preserve">efforts pour </w:t>
      </w:r>
      <w:r>
        <w:rPr>
          <w:b/>
        </w:rPr>
        <w:t>limiter</w:t>
      </w:r>
      <w:r w:rsidRPr="00FE6AE0">
        <w:rPr>
          <w:b/>
        </w:rPr>
        <w:t xml:space="preserve"> le recours à la détention </w:t>
      </w:r>
      <w:r>
        <w:rPr>
          <w:b/>
        </w:rPr>
        <w:t>avant jugement</w:t>
      </w:r>
      <w:r w:rsidRPr="00FE6AE0">
        <w:rPr>
          <w:b/>
        </w:rPr>
        <w:t>.</w:t>
      </w:r>
      <w:r>
        <w:rPr>
          <w:b/>
        </w:rPr>
        <w:t xml:space="preserve"> </w:t>
      </w:r>
      <w:bookmarkStart w:id="85" w:name="_Toc447909186"/>
    </w:p>
    <w:p w:rsidR="000D798E" w:rsidRPr="003064FF" w:rsidRDefault="000D798E" w:rsidP="000D798E">
      <w:pPr>
        <w:pStyle w:val="H1G"/>
        <w:rPr>
          <w:lang w:eastAsia="it-IT"/>
        </w:rPr>
      </w:pPr>
      <w:r w:rsidRPr="003064FF">
        <w:rPr>
          <w:lang w:eastAsia="it-IT"/>
        </w:rPr>
        <w:tab/>
        <w:t>E.</w:t>
      </w:r>
      <w:r w:rsidRPr="003064FF">
        <w:rPr>
          <w:lang w:eastAsia="it-IT"/>
        </w:rPr>
        <w:tab/>
      </w:r>
      <w:r>
        <w:rPr>
          <w:lang w:eastAsia="it-IT"/>
        </w:rPr>
        <w:t>Fouilles</w:t>
      </w:r>
    </w:p>
    <w:p w:rsidR="000D798E" w:rsidRPr="003064FF" w:rsidRDefault="000D798E" w:rsidP="000D798E">
      <w:pPr>
        <w:pStyle w:val="SingleTxtG"/>
      </w:pPr>
      <w:r>
        <w:t>78.</w:t>
      </w:r>
      <w:r>
        <w:tab/>
        <w:t>Le</w:t>
      </w:r>
      <w:r w:rsidRPr="003064FF">
        <w:t xml:space="preserve"> </w:t>
      </w:r>
      <w:r w:rsidRPr="00EA110A">
        <w:t>Sous-Comité</w:t>
      </w:r>
      <w:r>
        <w:t xml:space="preserve"> </w:t>
      </w:r>
      <w:r w:rsidRPr="00EA110A">
        <w:t xml:space="preserve">a </w:t>
      </w:r>
      <w:r w:rsidRPr="003064FF">
        <w:t>re</w:t>
      </w:r>
      <w:r>
        <w:t>çu, de détenus et de membres de leur famille, de mu</w:t>
      </w:r>
      <w:r w:rsidRPr="003064FF">
        <w:t>ltiples a</w:t>
      </w:r>
      <w:r>
        <w:t>l</w:t>
      </w:r>
      <w:r w:rsidRPr="003064FF">
        <w:t>l</w:t>
      </w:r>
      <w:r>
        <w:t>é</w:t>
      </w:r>
      <w:r w:rsidRPr="003064FF">
        <w:t>ga</w:t>
      </w:r>
      <w:r>
        <w:t>tions</w:t>
      </w:r>
      <w:r w:rsidRPr="003064FF">
        <w:t xml:space="preserve"> </w:t>
      </w:r>
      <w:r>
        <w:t>selon lesquelles,</w:t>
      </w:r>
      <w:r w:rsidRPr="0004334C">
        <w:t xml:space="preserve"> </w:t>
      </w:r>
      <w:r>
        <w:t>c</w:t>
      </w:r>
      <w:r w:rsidRPr="003064FF">
        <w:t>ontrai</w:t>
      </w:r>
      <w:r>
        <w:t>rement à ce qu’ont dit</w:t>
      </w:r>
      <w:r w:rsidRPr="003064FF">
        <w:t xml:space="preserve"> l</w:t>
      </w:r>
      <w:r>
        <w:t>e</w:t>
      </w:r>
      <w:r w:rsidRPr="003064FF">
        <w:t>s direct</w:t>
      </w:r>
      <w:r>
        <w:t>eurs des établissements</w:t>
      </w:r>
      <w:r w:rsidRPr="003064FF">
        <w:t xml:space="preserve">, </w:t>
      </w:r>
      <w:r>
        <w:t xml:space="preserve">l’entrée dans un lieu de détention s’accompagne de fouilles vexatoires, au cours desquelles les intéressés sont contraints à se déshabiller et à prendre des positions humiliantes, ce qui </w:t>
      </w:r>
      <w:r w:rsidRPr="0004334C">
        <w:t xml:space="preserve">décourage les </w:t>
      </w:r>
      <w:r>
        <w:t>familles de venir visiter un proche détenu</w:t>
      </w:r>
      <w:r w:rsidRPr="0004334C">
        <w:t>.</w:t>
      </w:r>
      <w:r w:rsidRPr="003064FF">
        <w:t xml:space="preserve"> </w:t>
      </w:r>
    </w:p>
    <w:p w:rsidR="000D798E" w:rsidRPr="00EE6757" w:rsidRDefault="000D798E" w:rsidP="000D798E">
      <w:pPr>
        <w:pStyle w:val="SingleTxtG"/>
        <w:rPr>
          <w:b/>
        </w:rPr>
      </w:pPr>
      <w:r w:rsidRPr="003064FF">
        <w:t>79.</w:t>
      </w:r>
      <w:r w:rsidRPr="003064FF">
        <w:rPr>
          <w:b/>
        </w:rPr>
        <w:tab/>
      </w:r>
      <w:r>
        <w:rPr>
          <w:b/>
        </w:rPr>
        <w:t>Le</w:t>
      </w:r>
      <w:r w:rsidRPr="0004334C">
        <w:rPr>
          <w:b/>
        </w:rPr>
        <w:t xml:space="preserve"> Sous-Comité demande instamment à l</w:t>
      </w:r>
      <w:r>
        <w:rPr>
          <w:b/>
        </w:rPr>
        <w:t>’</w:t>
      </w:r>
      <w:r w:rsidRPr="0004334C">
        <w:rPr>
          <w:b/>
        </w:rPr>
        <w:t xml:space="preserve">État partie </w:t>
      </w:r>
      <w:r>
        <w:rPr>
          <w:b/>
        </w:rPr>
        <w:t xml:space="preserve">de respecter les normes internationales et </w:t>
      </w:r>
      <w:r w:rsidRPr="0004334C">
        <w:rPr>
          <w:b/>
        </w:rPr>
        <w:t>d</w:t>
      </w:r>
      <w:r>
        <w:rPr>
          <w:b/>
        </w:rPr>
        <w:t>’</w:t>
      </w:r>
      <w:r w:rsidRPr="0004334C">
        <w:rPr>
          <w:b/>
        </w:rPr>
        <w:t xml:space="preserve">abandonner immédiatement cette pratique, qui porte atteinte à la dignité humaine. </w:t>
      </w:r>
      <w:r>
        <w:rPr>
          <w:b/>
        </w:rPr>
        <w:t>I</w:t>
      </w:r>
      <w:r w:rsidRPr="003064FF">
        <w:rPr>
          <w:b/>
        </w:rPr>
        <w:t xml:space="preserve">l </w:t>
      </w:r>
      <w:r>
        <w:rPr>
          <w:b/>
        </w:rPr>
        <w:t>lui</w:t>
      </w:r>
      <w:r w:rsidRPr="003064FF">
        <w:rPr>
          <w:b/>
        </w:rPr>
        <w:t xml:space="preserve"> recom</w:t>
      </w:r>
      <w:r>
        <w:rPr>
          <w:b/>
        </w:rPr>
        <w:t>ma</w:t>
      </w:r>
      <w:r w:rsidRPr="003064FF">
        <w:rPr>
          <w:b/>
        </w:rPr>
        <w:t>nd</w:t>
      </w:r>
      <w:r>
        <w:rPr>
          <w:b/>
        </w:rPr>
        <w:t xml:space="preserve">e </w:t>
      </w:r>
      <w:r w:rsidRPr="0004334C">
        <w:rPr>
          <w:b/>
        </w:rPr>
        <w:t>de veiller à ce que les procédures d</w:t>
      </w:r>
      <w:r>
        <w:rPr>
          <w:b/>
        </w:rPr>
        <w:t>’enregistrement</w:t>
      </w:r>
      <w:r w:rsidRPr="0004334C">
        <w:rPr>
          <w:b/>
        </w:rPr>
        <w:t xml:space="preserve"> et d</w:t>
      </w:r>
      <w:r>
        <w:rPr>
          <w:b/>
        </w:rPr>
        <w:t>’</w:t>
      </w:r>
      <w:r w:rsidRPr="0004334C">
        <w:rPr>
          <w:b/>
        </w:rPr>
        <w:t>entrée ne soient pas dégradantes pour les visiteurs et soient régies par des principes au moi</w:t>
      </w:r>
      <w:r>
        <w:rPr>
          <w:b/>
        </w:rPr>
        <w:t>ns aussi protecteurs que ceux des</w:t>
      </w:r>
      <w:r w:rsidRPr="0004334C">
        <w:rPr>
          <w:b/>
        </w:rPr>
        <w:t xml:space="preserve"> Règle</w:t>
      </w:r>
      <w:r>
        <w:rPr>
          <w:b/>
        </w:rPr>
        <w:t>s</w:t>
      </w:r>
      <w:r w:rsidRPr="0004334C">
        <w:rPr>
          <w:b/>
        </w:rPr>
        <w:t xml:space="preserve"> Nelson Mandela </w:t>
      </w:r>
      <w:r w:rsidRPr="00EE6757">
        <w:rPr>
          <w:b/>
        </w:rPr>
        <w:t>(règles 50 à 52 et 60)</w:t>
      </w:r>
      <w:r w:rsidRPr="003064FF">
        <w:rPr>
          <w:b/>
        </w:rPr>
        <w:t xml:space="preserve">. </w:t>
      </w:r>
    </w:p>
    <w:bookmarkEnd w:id="85"/>
    <w:p w:rsidR="000D798E" w:rsidRPr="003064FF" w:rsidRDefault="000D798E" w:rsidP="000D798E">
      <w:pPr>
        <w:pStyle w:val="HChG"/>
      </w:pPr>
      <w:r w:rsidRPr="003064FF">
        <w:tab/>
        <w:t>V.</w:t>
      </w:r>
      <w:r w:rsidRPr="003064FF">
        <w:tab/>
      </w:r>
      <w:r>
        <w:t>Santé</w:t>
      </w:r>
    </w:p>
    <w:p w:rsidR="000D798E" w:rsidRPr="003064FF" w:rsidRDefault="000D798E" w:rsidP="000D798E">
      <w:pPr>
        <w:pStyle w:val="SingleTxtG"/>
      </w:pPr>
      <w:r w:rsidRPr="003064FF">
        <w:t>80.</w:t>
      </w:r>
      <w:r w:rsidRPr="003064FF">
        <w:tab/>
      </w:r>
      <w:r>
        <w:t>Le</w:t>
      </w:r>
      <w:r w:rsidRPr="003064FF">
        <w:t xml:space="preserve"> </w:t>
      </w:r>
      <w:r w:rsidRPr="00EA110A">
        <w:t>Sous-Comité</w:t>
      </w:r>
      <w:r>
        <w:t xml:space="preserve"> </w:t>
      </w:r>
      <w:r w:rsidRPr="00EA110A">
        <w:t xml:space="preserve">a </w:t>
      </w:r>
      <w:r>
        <w:t xml:space="preserve">relevé que les personnes détenues dans le complexe </w:t>
      </w:r>
      <w:r w:rsidRPr="003064FF">
        <w:t>p</w:t>
      </w:r>
      <w:r>
        <w:t>é</w:t>
      </w:r>
      <w:r w:rsidRPr="003064FF">
        <w:t>niten</w:t>
      </w:r>
      <w:r>
        <w:t xml:space="preserve">tiaire de La </w:t>
      </w:r>
      <w:proofErr w:type="spellStart"/>
      <w:r>
        <w:t>Joya</w:t>
      </w:r>
      <w:proofErr w:type="spellEnd"/>
      <w:r>
        <w:noBreakHyphen/>
      </w:r>
      <w:r w:rsidRPr="003064FF">
        <w:t>La </w:t>
      </w:r>
      <w:proofErr w:type="spellStart"/>
      <w:r w:rsidRPr="003064FF">
        <w:t>Joyita</w:t>
      </w:r>
      <w:proofErr w:type="spellEnd"/>
      <w:r w:rsidRPr="003064FF">
        <w:t xml:space="preserve">, </w:t>
      </w:r>
      <w:r>
        <w:t>dont le nombre avoisine les 8 </w:t>
      </w:r>
      <w:r w:rsidRPr="003064FF">
        <w:t xml:space="preserve">000, </w:t>
      </w:r>
      <w:r>
        <w:t>sont soignées au centre médical</w:t>
      </w:r>
      <w:r w:rsidRPr="003064FF">
        <w:t xml:space="preserve"> </w:t>
      </w:r>
      <w:proofErr w:type="spellStart"/>
      <w:r w:rsidRPr="003064FF">
        <w:t>Virgen</w:t>
      </w:r>
      <w:proofErr w:type="spellEnd"/>
      <w:r w:rsidRPr="003064FF">
        <w:t xml:space="preserve"> de la Merced</w:t>
      </w:r>
      <w:r w:rsidRPr="003064FF">
        <w:rPr>
          <w:b/>
        </w:rPr>
        <w:t xml:space="preserve">, </w:t>
      </w:r>
      <w:r w:rsidRPr="00EE6757">
        <w:t xml:space="preserve">situé </w:t>
      </w:r>
      <w:r>
        <w:t>non loin du complexe</w:t>
      </w:r>
      <w:r w:rsidRPr="003064FF">
        <w:t xml:space="preserve">. </w:t>
      </w:r>
      <w:r>
        <w:t xml:space="preserve">Il a été </w:t>
      </w:r>
      <w:r w:rsidRPr="003064FF">
        <w:t>inform</w:t>
      </w:r>
      <w:r>
        <w:t xml:space="preserve">é du fait </w:t>
      </w:r>
      <w:r w:rsidRPr="003064FF">
        <w:t xml:space="preserve">que </w:t>
      </w:r>
      <w:r>
        <w:t>ce</w:t>
      </w:r>
      <w:r w:rsidRPr="003064FF">
        <w:t xml:space="preserve"> </w:t>
      </w:r>
      <w:r>
        <w:t>centre médical</w:t>
      </w:r>
      <w:r w:rsidRPr="003064FF">
        <w:t xml:space="preserve"> </w:t>
      </w:r>
      <w:r>
        <w:t>était ouvert de</w:t>
      </w:r>
      <w:r w:rsidRPr="003064FF">
        <w:t xml:space="preserve"> 7 </w:t>
      </w:r>
      <w:r>
        <w:t>à</w:t>
      </w:r>
      <w:r w:rsidRPr="003064FF">
        <w:t xml:space="preserve"> 19 h</w:t>
      </w:r>
      <w:r>
        <w:t>eures et qu’en dehors de ces horaires, il fallait le cas échéant</w:t>
      </w:r>
      <w:r w:rsidRPr="003064FF">
        <w:t xml:space="preserve"> </w:t>
      </w:r>
      <w:r>
        <w:t xml:space="preserve">composer le </w:t>
      </w:r>
      <w:r w:rsidRPr="003064FF">
        <w:t>911.</w:t>
      </w:r>
    </w:p>
    <w:p w:rsidR="000D798E" w:rsidRDefault="000D798E" w:rsidP="000D798E">
      <w:pPr>
        <w:pStyle w:val="SingleTxtG"/>
        <w:rPr>
          <w:lang w:eastAsia="it-IT"/>
        </w:rPr>
      </w:pPr>
      <w:r w:rsidRPr="003064FF">
        <w:rPr>
          <w:lang w:eastAsia="it-IT"/>
        </w:rPr>
        <w:t>81.</w:t>
      </w:r>
      <w:r w:rsidRPr="003064FF">
        <w:rPr>
          <w:lang w:eastAsia="it-IT"/>
        </w:rPr>
        <w:tab/>
      </w:r>
      <w:r>
        <w:t>Le</w:t>
      </w:r>
      <w:r w:rsidRPr="003064FF">
        <w:t xml:space="preserve"> </w:t>
      </w:r>
      <w:r w:rsidRPr="00EA110A">
        <w:t>Sous-Comité</w:t>
      </w:r>
      <w:r>
        <w:t xml:space="preserve"> </w:t>
      </w:r>
      <w:r w:rsidRPr="00EA110A">
        <w:t xml:space="preserve">a </w:t>
      </w:r>
      <w:r w:rsidRPr="003064FF">
        <w:rPr>
          <w:lang w:eastAsia="it-IT"/>
        </w:rPr>
        <w:t>constat</w:t>
      </w:r>
      <w:r>
        <w:rPr>
          <w:lang w:eastAsia="it-IT"/>
        </w:rPr>
        <w:t>é</w:t>
      </w:r>
      <w:r w:rsidRPr="003064FF">
        <w:rPr>
          <w:lang w:eastAsia="it-IT"/>
        </w:rPr>
        <w:t xml:space="preserve"> que l</w:t>
      </w:r>
      <w:r>
        <w:rPr>
          <w:lang w:eastAsia="it-IT"/>
        </w:rPr>
        <w:t>e</w:t>
      </w:r>
      <w:r w:rsidRPr="003064FF">
        <w:rPr>
          <w:lang w:eastAsia="it-IT"/>
        </w:rPr>
        <w:t xml:space="preserve"> </w:t>
      </w:r>
      <w:r>
        <w:t>centre médical</w:t>
      </w:r>
      <w:r w:rsidRPr="003064FF">
        <w:t xml:space="preserve"> </w:t>
      </w:r>
      <w:r w:rsidRPr="003064FF">
        <w:rPr>
          <w:lang w:eastAsia="it-IT"/>
        </w:rPr>
        <w:t>dispo</w:t>
      </w:r>
      <w:r>
        <w:rPr>
          <w:lang w:eastAsia="it-IT"/>
        </w:rPr>
        <w:t xml:space="preserve">sait d’une salle d’urgence dont l’état était </w:t>
      </w:r>
      <w:r w:rsidRPr="00CE691F">
        <w:rPr>
          <w:lang w:eastAsia="it-IT"/>
        </w:rPr>
        <w:t>acceptable</w:t>
      </w:r>
      <w:r>
        <w:rPr>
          <w:lang w:eastAsia="it-IT"/>
        </w:rPr>
        <w:t xml:space="preserve"> et d’équipement pour la réanimation avancée</w:t>
      </w:r>
      <w:r w:rsidRPr="003064FF">
        <w:rPr>
          <w:lang w:eastAsia="it-IT"/>
        </w:rPr>
        <w:t xml:space="preserve">. </w:t>
      </w:r>
      <w:r>
        <w:rPr>
          <w:lang w:eastAsia="it-IT"/>
        </w:rPr>
        <w:t>Il a toutefois</w:t>
      </w:r>
      <w:r w:rsidRPr="003064FF">
        <w:rPr>
          <w:lang w:eastAsia="it-IT"/>
        </w:rPr>
        <w:t xml:space="preserve"> </w:t>
      </w:r>
      <w:r>
        <w:rPr>
          <w:lang w:eastAsia="it-IT"/>
        </w:rPr>
        <w:t xml:space="preserve">relevé que </w:t>
      </w:r>
      <w:r w:rsidRPr="00CE691F">
        <w:rPr>
          <w:lang w:eastAsia="it-IT"/>
        </w:rPr>
        <w:t>le personnel médical et infirmier n</w:t>
      </w:r>
      <w:r>
        <w:rPr>
          <w:lang w:eastAsia="it-IT"/>
        </w:rPr>
        <w:t>’</w:t>
      </w:r>
      <w:r w:rsidRPr="00CE691F">
        <w:rPr>
          <w:lang w:eastAsia="it-IT"/>
        </w:rPr>
        <w:t xml:space="preserve">avait pas </w:t>
      </w:r>
      <w:r>
        <w:rPr>
          <w:lang w:eastAsia="it-IT"/>
        </w:rPr>
        <w:t xml:space="preserve">toutes </w:t>
      </w:r>
      <w:r w:rsidRPr="00CE691F">
        <w:rPr>
          <w:lang w:eastAsia="it-IT"/>
        </w:rPr>
        <w:t xml:space="preserve">les compétences voulues </w:t>
      </w:r>
      <w:r w:rsidRPr="00CE691F">
        <w:rPr>
          <w:lang w:eastAsia="it-IT"/>
        </w:rPr>
        <w:lastRenderedPageBreak/>
        <w:t xml:space="preserve">pour utiliser ces </w:t>
      </w:r>
      <w:r>
        <w:rPr>
          <w:lang w:eastAsia="it-IT"/>
        </w:rPr>
        <w:t>équipements</w:t>
      </w:r>
      <w:r w:rsidRPr="00CE691F">
        <w:rPr>
          <w:lang w:eastAsia="it-IT"/>
        </w:rPr>
        <w:t xml:space="preserve">, ce qui </w:t>
      </w:r>
      <w:r>
        <w:rPr>
          <w:lang w:eastAsia="it-IT"/>
        </w:rPr>
        <w:t>laisse</w:t>
      </w:r>
      <w:r w:rsidRPr="00CE691F">
        <w:rPr>
          <w:lang w:eastAsia="it-IT"/>
        </w:rPr>
        <w:t xml:space="preserve"> à penser qu</w:t>
      </w:r>
      <w:r>
        <w:rPr>
          <w:lang w:eastAsia="it-IT"/>
        </w:rPr>
        <w:t>’</w:t>
      </w:r>
      <w:r w:rsidRPr="00CE691F">
        <w:rPr>
          <w:lang w:eastAsia="it-IT"/>
        </w:rPr>
        <w:t>il n</w:t>
      </w:r>
      <w:r>
        <w:rPr>
          <w:lang w:eastAsia="it-IT"/>
        </w:rPr>
        <w:t>’</w:t>
      </w:r>
      <w:r w:rsidRPr="00CE691F">
        <w:rPr>
          <w:lang w:eastAsia="it-IT"/>
        </w:rPr>
        <w:t xml:space="preserve">aurait pas reçu une formation adéquate dans ce domaine. </w:t>
      </w:r>
    </w:p>
    <w:p w:rsidR="000D798E" w:rsidRPr="003064FF" w:rsidRDefault="000D798E" w:rsidP="000D798E">
      <w:pPr>
        <w:pStyle w:val="SingleTxtG"/>
        <w:rPr>
          <w:b/>
          <w:lang w:eastAsia="it-IT"/>
        </w:rPr>
      </w:pPr>
      <w:r w:rsidRPr="003064FF">
        <w:rPr>
          <w:lang w:eastAsia="it-IT"/>
        </w:rPr>
        <w:t>82.</w:t>
      </w:r>
      <w:r w:rsidRPr="003064FF">
        <w:rPr>
          <w:lang w:eastAsia="it-IT"/>
        </w:rPr>
        <w:tab/>
      </w:r>
      <w:r w:rsidRPr="00344B4F">
        <w:rPr>
          <w:b/>
        </w:rPr>
        <w:t>Le Sous-Comité</w:t>
      </w:r>
      <w:r w:rsidRPr="003064FF">
        <w:rPr>
          <w:b/>
        </w:rPr>
        <w:t xml:space="preserve"> </w:t>
      </w:r>
      <w:r w:rsidRPr="00712B6C">
        <w:rPr>
          <w:b/>
        </w:rPr>
        <w:t>recommande</w:t>
      </w:r>
      <w:r>
        <w:rPr>
          <w:b/>
          <w:lang w:eastAsia="it-IT"/>
        </w:rPr>
        <w:t xml:space="preserve"> que le centre médical, qui est susceptible de recevoir des individus</w:t>
      </w:r>
      <w:r w:rsidRPr="003064FF">
        <w:rPr>
          <w:b/>
          <w:lang w:eastAsia="it-IT"/>
        </w:rPr>
        <w:t xml:space="preserve"> </w:t>
      </w:r>
      <w:r>
        <w:rPr>
          <w:b/>
          <w:lang w:eastAsia="it-IT"/>
        </w:rPr>
        <w:t>de cet établissement,</w:t>
      </w:r>
      <w:r w:rsidRPr="003064FF">
        <w:rPr>
          <w:b/>
          <w:lang w:eastAsia="it-IT"/>
        </w:rPr>
        <w:t xml:space="preserve"> </w:t>
      </w:r>
      <w:r>
        <w:rPr>
          <w:b/>
          <w:lang w:eastAsia="it-IT"/>
        </w:rPr>
        <w:t>dispose d’un service d’urgence ouvert</w:t>
      </w:r>
      <w:r w:rsidRPr="003064FF">
        <w:rPr>
          <w:b/>
          <w:lang w:eastAsia="it-IT"/>
        </w:rPr>
        <w:t xml:space="preserve"> 24</w:t>
      </w:r>
      <w:r>
        <w:rPr>
          <w:b/>
          <w:lang w:eastAsia="it-IT"/>
        </w:rPr>
        <w:t> </w:t>
      </w:r>
      <w:r w:rsidRPr="003064FF">
        <w:rPr>
          <w:b/>
          <w:lang w:eastAsia="it-IT"/>
        </w:rPr>
        <w:t>h</w:t>
      </w:r>
      <w:r>
        <w:rPr>
          <w:b/>
          <w:lang w:eastAsia="it-IT"/>
        </w:rPr>
        <w:t xml:space="preserve">eures sur 24 et que son </w:t>
      </w:r>
      <w:r w:rsidRPr="003064FF">
        <w:rPr>
          <w:b/>
          <w:lang w:eastAsia="it-IT"/>
        </w:rPr>
        <w:t>person</w:t>
      </w:r>
      <w:r>
        <w:rPr>
          <w:b/>
          <w:lang w:eastAsia="it-IT"/>
        </w:rPr>
        <w:t>ne</w:t>
      </w:r>
      <w:r w:rsidRPr="003064FF">
        <w:rPr>
          <w:b/>
          <w:lang w:eastAsia="it-IT"/>
        </w:rPr>
        <w:t>l médic</w:t>
      </w:r>
      <w:r>
        <w:rPr>
          <w:b/>
          <w:lang w:eastAsia="it-IT"/>
        </w:rPr>
        <w:t>al</w:t>
      </w:r>
      <w:r w:rsidRPr="003064FF">
        <w:rPr>
          <w:b/>
          <w:lang w:eastAsia="it-IT"/>
        </w:rPr>
        <w:t xml:space="preserve"> </w:t>
      </w:r>
      <w:r>
        <w:rPr>
          <w:b/>
          <w:lang w:eastAsia="it-IT"/>
        </w:rPr>
        <w:t>soit formé aux situation</w:t>
      </w:r>
      <w:r w:rsidRPr="003064FF">
        <w:rPr>
          <w:b/>
          <w:lang w:eastAsia="it-IT"/>
        </w:rPr>
        <w:t>s d</w:t>
      </w:r>
      <w:r>
        <w:rPr>
          <w:b/>
          <w:lang w:eastAsia="it-IT"/>
        </w:rPr>
        <w:t>’urgence</w:t>
      </w:r>
      <w:r w:rsidRPr="003064FF">
        <w:rPr>
          <w:b/>
          <w:lang w:eastAsia="it-IT"/>
        </w:rPr>
        <w:t>.</w:t>
      </w:r>
    </w:p>
    <w:p w:rsidR="000D798E" w:rsidRDefault="000D798E" w:rsidP="000D798E">
      <w:pPr>
        <w:pStyle w:val="SingleTxtG"/>
      </w:pPr>
      <w:r w:rsidRPr="003064FF">
        <w:t>83.</w:t>
      </w:r>
      <w:r w:rsidRPr="003064FF">
        <w:tab/>
      </w:r>
      <w:r>
        <w:t xml:space="preserve">Des personnes privées de liberté se sont plaintes au Sous-Comité de ne pas recevoir de soins médicaux spécialisés en raison de la difficulté de coordination de l’envoi des patients à l’hôpital de Santo </w:t>
      </w:r>
      <w:proofErr w:type="spellStart"/>
      <w:r>
        <w:t>Tomás</w:t>
      </w:r>
      <w:proofErr w:type="spellEnd"/>
      <w:r>
        <w:t>. Le Sous-</w:t>
      </w:r>
      <w:r w:rsidR="00537091">
        <w:t>C</w:t>
      </w:r>
      <w:r>
        <w:t>omité a pu observer de nombreuses pathologies liées à cette absence de soins spécialisés dans les deux prisons, dont beaucoup évoluaient depuis plusieurs années, dues notamment à des fractures mal consolidées, des colostomies, des sondes urinaires permanentes, des éventrations, des hernies et des tumeurs.</w:t>
      </w:r>
    </w:p>
    <w:p w:rsidR="000D798E" w:rsidRDefault="000D798E" w:rsidP="000D798E">
      <w:pPr>
        <w:pStyle w:val="SingleTxtG"/>
        <w:rPr>
          <w:b/>
          <w:lang w:eastAsia="it-IT"/>
        </w:rPr>
      </w:pPr>
      <w:r w:rsidRPr="003064FF">
        <w:rPr>
          <w:lang w:eastAsia="it-IT"/>
        </w:rPr>
        <w:t>84.</w:t>
      </w:r>
      <w:r w:rsidRPr="003064FF">
        <w:rPr>
          <w:b/>
          <w:lang w:eastAsia="it-IT"/>
        </w:rPr>
        <w:tab/>
      </w:r>
      <w:r w:rsidRPr="00344B4F">
        <w:rPr>
          <w:b/>
        </w:rPr>
        <w:t>Le Sous-Comité</w:t>
      </w:r>
      <w:r w:rsidRPr="003064FF">
        <w:rPr>
          <w:b/>
        </w:rPr>
        <w:t xml:space="preserve"> </w:t>
      </w:r>
      <w:r w:rsidRPr="00712B6C">
        <w:rPr>
          <w:b/>
        </w:rPr>
        <w:t>recommande</w:t>
      </w:r>
      <w:r>
        <w:rPr>
          <w:b/>
          <w:lang w:eastAsia="it-IT"/>
        </w:rPr>
        <w:t xml:space="preserve"> </w:t>
      </w:r>
      <w:r w:rsidRPr="0067456A">
        <w:rPr>
          <w:b/>
          <w:lang w:eastAsia="it-IT"/>
        </w:rPr>
        <w:t>que l</w:t>
      </w:r>
      <w:r>
        <w:rPr>
          <w:b/>
          <w:lang w:eastAsia="it-IT"/>
        </w:rPr>
        <w:t>es problèmes de</w:t>
      </w:r>
      <w:r w:rsidRPr="0067456A">
        <w:rPr>
          <w:b/>
          <w:lang w:eastAsia="it-IT"/>
        </w:rPr>
        <w:t xml:space="preserve"> coordination médicale </w:t>
      </w:r>
      <w:r>
        <w:rPr>
          <w:b/>
          <w:lang w:eastAsia="it-IT"/>
        </w:rPr>
        <w:t>empêchant de traiter</w:t>
      </w:r>
      <w:r w:rsidRPr="0067456A">
        <w:rPr>
          <w:b/>
          <w:lang w:eastAsia="it-IT"/>
        </w:rPr>
        <w:t xml:space="preserve"> ces pathologies soi</w:t>
      </w:r>
      <w:r>
        <w:rPr>
          <w:b/>
          <w:lang w:eastAsia="it-IT"/>
        </w:rPr>
        <w:t>en</w:t>
      </w:r>
      <w:r w:rsidRPr="0067456A">
        <w:rPr>
          <w:b/>
          <w:lang w:eastAsia="it-IT"/>
        </w:rPr>
        <w:t>t rapidement résolu</w:t>
      </w:r>
      <w:r>
        <w:rPr>
          <w:b/>
          <w:lang w:eastAsia="it-IT"/>
        </w:rPr>
        <w:t>s</w:t>
      </w:r>
      <w:r w:rsidRPr="0067456A">
        <w:rPr>
          <w:b/>
          <w:lang w:eastAsia="it-IT"/>
        </w:rPr>
        <w:t xml:space="preserve"> car, </w:t>
      </w:r>
      <w:r>
        <w:rPr>
          <w:b/>
          <w:lang w:eastAsia="it-IT"/>
        </w:rPr>
        <w:t>s’ils n’engagent pas le pronostic vital à court terme</w:t>
      </w:r>
      <w:r w:rsidRPr="0067456A">
        <w:rPr>
          <w:b/>
          <w:lang w:eastAsia="it-IT"/>
        </w:rPr>
        <w:t xml:space="preserve">, </w:t>
      </w:r>
      <w:r>
        <w:rPr>
          <w:b/>
          <w:lang w:eastAsia="it-IT"/>
        </w:rPr>
        <w:t>ils</w:t>
      </w:r>
      <w:r w:rsidRPr="0067456A">
        <w:rPr>
          <w:b/>
          <w:lang w:eastAsia="it-IT"/>
        </w:rPr>
        <w:t xml:space="preserve"> peuvent </w:t>
      </w:r>
      <w:r>
        <w:rPr>
          <w:b/>
          <w:lang w:eastAsia="it-IT"/>
        </w:rPr>
        <w:t>néanmoins entraîner</w:t>
      </w:r>
      <w:r w:rsidRPr="0067456A">
        <w:rPr>
          <w:b/>
          <w:lang w:eastAsia="it-IT"/>
        </w:rPr>
        <w:t xml:space="preserve"> d</w:t>
      </w:r>
      <w:r>
        <w:rPr>
          <w:b/>
          <w:lang w:eastAsia="it-IT"/>
        </w:rPr>
        <w:t>’</w:t>
      </w:r>
      <w:r w:rsidRPr="0067456A">
        <w:rPr>
          <w:b/>
          <w:lang w:eastAsia="it-IT"/>
        </w:rPr>
        <w:t xml:space="preserve">autres dommages </w:t>
      </w:r>
      <w:r>
        <w:rPr>
          <w:b/>
          <w:lang w:eastAsia="it-IT"/>
        </w:rPr>
        <w:t>et nuis</w:t>
      </w:r>
      <w:r w:rsidRPr="0067456A">
        <w:rPr>
          <w:b/>
          <w:lang w:eastAsia="it-IT"/>
        </w:rPr>
        <w:t>e</w:t>
      </w:r>
      <w:r>
        <w:rPr>
          <w:b/>
          <w:lang w:eastAsia="it-IT"/>
        </w:rPr>
        <w:t>nt</w:t>
      </w:r>
      <w:r w:rsidRPr="0067456A">
        <w:rPr>
          <w:b/>
          <w:lang w:eastAsia="it-IT"/>
        </w:rPr>
        <w:t xml:space="preserve"> à la</w:t>
      </w:r>
      <w:r>
        <w:rPr>
          <w:b/>
          <w:lang w:eastAsia="it-IT"/>
        </w:rPr>
        <w:t xml:space="preserve"> qualité de vie</w:t>
      </w:r>
      <w:r w:rsidRPr="0067456A">
        <w:rPr>
          <w:b/>
          <w:lang w:eastAsia="it-IT"/>
        </w:rPr>
        <w:t xml:space="preserve">. </w:t>
      </w:r>
      <w:r>
        <w:rPr>
          <w:b/>
          <w:lang w:eastAsia="it-IT"/>
        </w:rPr>
        <w:t>Si ces problèmes n’étaient pas résolus</w:t>
      </w:r>
      <w:r w:rsidRPr="0067456A">
        <w:rPr>
          <w:b/>
          <w:lang w:eastAsia="it-IT"/>
        </w:rPr>
        <w:t xml:space="preserve">, il </w:t>
      </w:r>
      <w:r>
        <w:rPr>
          <w:b/>
          <w:lang w:eastAsia="it-IT"/>
        </w:rPr>
        <w:t>y aurait</w:t>
      </w:r>
      <w:r w:rsidRPr="0067456A">
        <w:rPr>
          <w:b/>
          <w:lang w:eastAsia="it-IT"/>
        </w:rPr>
        <w:t xml:space="preserve"> </w:t>
      </w:r>
      <w:r>
        <w:rPr>
          <w:b/>
          <w:lang w:eastAsia="it-IT"/>
        </w:rPr>
        <w:t>négligence</w:t>
      </w:r>
      <w:r w:rsidRPr="0067456A">
        <w:rPr>
          <w:b/>
          <w:lang w:eastAsia="it-IT"/>
        </w:rPr>
        <w:t xml:space="preserve"> médicale, </w:t>
      </w:r>
      <w:r>
        <w:rPr>
          <w:b/>
          <w:lang w:eastAsia="it-IT"/>
        </w:rPr>
        <w:t xml:space="preserve">ce </w:t>
      </w:r>
      <w:r w:rsidRPr="0067456A">
        <w:rPr>
          <w:b/>
          <w:lang w:eastAsia="it-IT"/>
        </w:rPr>
        <w:t xml:space="preserve">qui pourrait </w:t>
      </w:r>
      <w:r>
        <w:rPr>
          <w:b/>
          <w:lang w:eastAsia="it-IT"/>
        </w:rPr>
        <w:t>constituer</w:t>
      </w:r>
      <w:r w:rsidRPr="0067456A">
        <w:rPr>
          <w:b/>
          <w:lang w:eastAsia="it-IT"/>
        </w:rPr>
        <w:t xml:space="preserve"> une forme de mauvais traitement.</w:t>
      </w:r>
      <w:r>
        <w:rPr>
          <w:b/>
          <w:lang w:eastAsia="it-IT"/>
        </w:rPr>
        <w:t xml:space="preserve"> </w:t>
      </w:r>
    </w:p>
    <w:p w:rsidR="000D798E" w:rsidRDefault="000D798E" w:rsidP="000D798E">
      <w:pPr>
        <w:pStyle w:val="SingleTxtG"/>
        <w:rPr>
          <w:lang w:eastAsia="it-IT"/>
        </w:rPr>
      </w:pPr>
      <w:r w:rsidRPr="003064FF">
        <w:rPr>
          <w:lang w:eastAsia="it-IT"/>
        </w:rPr>
        <w:t>85.</w:t>
      </w:r>
      <w:r w:rsidRPr="003064FF">
        <w:rPr>
          <w:lang w:eastAsia="it-IT"/>
        </w:rPr>
        <w:tab/>
      </w:r>
      <w:r>
        <w:t>Le</w:t>
      </w:r>
      <w:r w:rsidRPr="003064FF">
        <w:t xml:space="preserve"> </w:t>
      </w:r>
      <w:r w:rsidRPr="00EA110A">
        <w:t>Sous-Comité</w:t>
      </w:r>
      <w:r>
        <w:t xml:space="preserve"> salue</w:t>
      </w:r>
      <w:r w:rsidRPr="003064FF">
        <w:rPr>
          <w:lang w:eastAsia="it-IT"/>
        </w:rPr>
        <w:t xml:space="preserve"> </w:t>
      </w:r>
      <w:r>
        <w:rPr>
          <w:lang w:eastAsia="it-IT"/>
        </w:rPr>
        <w:t>les</w:t>
      </w:r>
      <w:r w:rsidRPr="003064FF">
        <w:rPr>
          <w:lang w:eastAsia="it-IT"/>
        </w:rPr>
        <w:t xml:space="preserve"> me</w:t>
      </w:r>
      <w:r>
        <w:rPr>
          <w:lang w:eastAsia="it-IT"/>
        </w:rPr>
        <w:t>sures prises pour rouvrir</w:t>
      </w:r>
      <w:r w:rsidRPr="003064FF">
        <w:rPr>
          <w:lang w:eastAsia="it-IT"/>
        </w:rPr>
        <w:t xml:space="preserve"> la </w:t>
      </w:r>
      <w:r>
        <w:rPr>
          <w:lang w:eastAsia="it-IT"/>
        </w:rPr>
        <w:t xml:space="preserve">salle pénitentiaire de l’Hôpital de Santo </w:t>
      </w:r>
      <w:proofErr w:type="spellStart"/>
      <w:r>
        <w:rPr>
          <w:lang w:eastAsia="it-IT"/>
        </w:rPr>
        <w:t>Tomás</w:t>
      </w:r>
      <w:proofErr w:type="spellEnd"/>
      <w:r>
        <w:rPr>
          <w:lang w:eastAsia="it-IT"/>
        </w:rPr>
        <w:t xml:space="preserve">, qui pourrait accueillir 25 détenus. De même, il prend note avec satisfaction de la préparation d’une chambre destinée à accueillir les patients vivant avec le VIH/sida dans le centre médical de la </w:t>
      </w:r>
      <w:proofErr w:type="spellStart"/>
      <w:r>
        <w:rPr>
          <w:lang w:eastAsia="it-IT"/>
        </w:rPr>
        <w:t>Virgen</w:t>
      </w:r>
      <w:proofErr w:type="spellEnd"/>
      <w:r>
        <w:rPr>
          <w:lang w:eastAsia="it-IT"/>
        </w:rPr>
        <w:t xml:space="preserve"> de la Merced, afin qu’ils puissent y recevoir des traitements par voie intraveineuse, ainsi que de la décision de remettre en service une salle pour les courts séjours, qui éviterait les transferts inutiles.</w:t>
      </w:r>
    </w:p>
    <w:p w:rsidR="000D798E" w:rsidRPr="003064FF" w:rsidRDefault="000D798E" w:rsidP="000D798E">
      <w:pPr>
        <w:pStyle w:val="SingleTxtG"/>
        <w:rPr>
          <w:lang w:eastAsia="it-IT"/>
        </w:rPr>
      </w:pPr>
      <w:r w:rsidRPr="003064FF">
        <w:rPr>
          <w:lang w:eastAsia="it-IT"/>
        </w:rPr>
        <w:t>86.</w:t>
      </w:r>
      <w:r w:rsidRPr="003064FF">
        <w:rPr>
          <w:lang w:eastAsia="it-IT"/>
        </w:rPr>
        <w:tab/>
      </w:r>
      <w:r>
        <w:t>Le</w:t>
      </w:r>
      <w:r w:rsidRPr="003064FF">
        <w:t xml:space="preserve"> </w:t>
      </w:r>
      <w:r w:rsidRPr="00EA110A">
        <w:t>Sous-Comité</w:t>
      </w:r>
      <w:r>
        <w:t xml:space="preserve"> </w:t>
      </w:r>
      <w:r>
        <w:rPr>
          <w:lang w:eastAsia="it-IT"/>
        </w:rPr>
        <w:t>a appris par le</w:t>
      </w:r>
      <w:r w:rsidRPr="003064FF">
        <w:rPr>
          <w:lang w:eastAsia="it-IT"/>
        </w:rPr>
        <w:t xml:space="preserve"> perso</w:t>
      </w:r>
      <w:r>
        <w:rPr>
          <w:lang w:eastAsia="it-IT"/>
        </w:rPr>
        <w:t>n</w:t>
      </w:r>
      <w:r w:rsidRPr="003064FF">
        <w:rPr>
          <w:lang w:eastAsia="it-IT"/>
        </w:rPr>
        <w:t>n</w:t>
      </w:r>
      <w:r>
        <w:rPr>
          <w:lang w:eastAsia="it-IT"/>
        </w:rPr>
        <w:t>el du</w:t>
      </w:r>
      <w:r w:rsidRPr="003064FF">
        <w:rPr>
          <w:lang w:eastAsia="it-IT"/>
        </w:rPr>
        <w:t xml:space="preserve"> centr</w:t>
      </w:r>
      <w:r>
        <w:rPr>
          <w:lang w:eastAsia="it-IT"/>
        </w:rPr>
        <w:t>e</w:t>
      </w:r>
      <w:r w:rsidRPr="003064FF">
        <w:rPr>
          <w:lang w:eastAsia="it-IT"/>
        </w:rPr>
        <w:t xml:space="preserve"> médic</w:t>
      </w:r>
      <w:r>
        <w:rPr>
          <w:lang w:eastAsia="it-IT"/>
        </w:rPr>
        <w:t>al</w:t>
      </w:r>
      <w:r w:rsidRPr="003064FF">
        <w:rPr>
          <w:lang w:eastAsia="it-IT"/>
        </w:rPr>
        <w:t xml:space="preserve"> que</w:t>
      </w:r>
      <w:r>
        <w:rPr>
          <w:lang w:eastAsia="it-IT"/>
        </w:rPr>
        <w:t xml:space="preserve"> la capacité maximale était de 56 consultations mais que le nombre réel des consultations était toujours bien inférieur, ce qui corrobore les renseignements obtenus auprès des détenus, des gardiens et des « responsables ». I</w:t>
      </w:r>
      <w:r w:rsidRPr="003064FF">
        <w:rPr>
          <w:lang w:eastAsia="it-IT"/>
        </w:rPr>
        <w:t xml:space="preserve">l </w:t>
      </w:r>
      <w:r>
        <w:rPr>
          <w:lang w:eastAsia="it-IT"/>
        </w:rPr>
        <w:t>a pu constater</w:t>
      </w:r>
      <w:r w:rsidRPr="003064FF">
        <w:rPr>
          <w:lang w:eastAsia="it-IT"/>
        </w:rPr>
        <w:t xml:space="preserve"> que l</w:t>
      </w:r>
      <w:r>
        <w:rPr>
          <w:lang w:eastAsia="it-IT"/>
        </w:rPr>
        <w:t>e</w:t>
      </w:r>
      <w:r w:rsidRPr="003064FF">
        <w:rPr>
          <w:lang w:eastAsia="it-IT"/>
        </w:rPr>
        <w:t xml:space="preserve"> centr</w:t>
      </w:r>
      <w:r>
        <w:rPr>
          <w:lang w:eastAsia="it-IT"/>
        </w:rPr>
        <w:t>e</w:t>
      </w:r>
      <w:r w:rsidRPr="003064FF">
        <w:rPr>
          <w:lang w:eastAsia="it-IT"/>
        </w:rPr>
        <w:t xml:space="preserve"> médic</w:t>
      </w:r>
      <w:r>
        <w:rPr>
          <w:lang w:eastAsia="it-IT"/>
        </w:rPr>
        <w:t>al</w:t>
      </w:r>
      <w:r w:rsidRPr="003064FF">
        <w:rPr>
          <w:lang w:eastAsia="it-IT"/>
        </w:rPr>
        <w:t xml:space="preserve"> </w:t>
      </w:r>
      <w:r>
        <w:rPr>
          <w:lang w:eastAsia="it-IT"/>
        </w:rPr>
        <w:t>inscrivait tout l’historique médical des patients</w:t>
      </w:r>
      <w:r w:rsidRPr="003064FF">
        <w:rPr>
          <w:lang w:eastAsia="it-IT"/>
        </w:rPr>
        <w:t xml:space="preserve"> </w:t>
      </w:r>
      <w:r>
        <w:rPr>
          <w:lang w:eastAsia="it-IT"/>
        </w:rPr>
        <w:t xml:space="preserve">dans des dossiers </w:t>
      </w:r>
      <w:r w:rsidRPr="003064FF">
        <w:rPr>
          <w:lang w:eastAsia="it-IT"/>
        </w:rPr>
        <w:t>e</w:t>
      </w:r>
      <w:r>
        <w:rPr>
          <w:lang w:eastAsia="it-IT"/>
        </w:rPr>
        <w:t>t remettait aux personnes atteintes de maladies chroniques les médicaments nécessaires à soixante</w:t>
      </w:r>
      <w:r w:rsidRPr="003064FF">
        <w:rPr>
          <w:lang w:eastAsia="it-IT"/>
        </w:rPr>
        <w:t xml:space="preserve"> </w:t>
      </w:r>
      <w:r>
        <w:rPr>
          <w:lang w:eastAsia="it-IT"/>
        </w:rPr>
        <w:t>jours de traitement. I</w:t>
      </w:r>
      <w:r w:rsidRPr="003064FF">
        <w:rPr>
          <w:lang w:eastAsia="it-IT"/>
        </w:rPr>
        <w:t xml:space="preserve">l </w:t>
      </w:r>
      <w:r>
        <w:rPr>
          <w:lang w:eastAsia="it-IT"/>
        </w:rPr>
        <w:t xml:space="preserve">a reçu des détenus, des gardiens et du personnel des explications divergentes quant à la raison pour laquelle les détenus ne revenaient pas </w:t>
      </w:r>
      <w:r w:rsidRPr="003064FF">
        <w:rPr>
          <w:lang w:eastAsia="it-IT"/>
        </w:rPr>
        <w:t>retir</w:t>
      </w:r>
      <w:r>
        <w:rPr>
          <w:lang w:eastAsia="it-IT"/>
        </w:rPr>
        <w:t>e</w:t>
      </w:r>
      <w:r w:rsidRPr="003064FF">
        <w:rPr>
          <w:lang w:eastAsia="it-IT"/>
        </w:rPr>
        <w:t>r l</w:t>
      </w:r>
      <w:r>
        <w:rPr>
          <w:lang w:eastAsia="it-IT"/>
        </w:rPr>
        <w:t>eurs mé</w:t>
      </w:r>
      <w:r w:rsidRPr="003064FF">
        <w:rPr>
          <w:lang w:eastAsia="it-IT"/>
        </w:rPr>
        <w:t xml:space="preserve">dicaments. </w:t>
      </w:r>
    </w:p>
    <w:p w:rsidR="000D798E" w:rsidRPr="003064FF" w:rsidRDefault="000D798E" w:rsidP="000D798E">
      <w:pPr>
        <w:pStyle w:val="SingleTxtG"/>
        <w:rPr>
          <w:b/>
          <w:lang w:eastAsia="it-IT"/>
        </w:rPr>
      </w:pPr>
      <w:r w:rsidRPr="003064FF">
        <w:rPr>
          <w:lang w:eastAsia="it-IT"/>
        </w:rPr>
        <w:t>87.</w:t>
      </w:r>
      <w:r w:rsidRPr="003064FF">
        <w:rPr>
          <w:b/>
          <w:lang w:eastAsia="it-IT"/>
        </w:rPr>
        <w:tab/>
      </w:r>
      <w:r w:rsidRPr="00344B4F">
        <w:rPr>
          <w:b/>
        </w:rPr>
        <w:t>Le Sous-Comité</w:t>
      </w:r>
      <w:r w:rsidRPr="003064FF">
        <w:rPr>
          <w:b/>
        </w:rPr>
        <w:t xml:space="preserve"> </w:t>
      </w:r>
      <w:r w:rsidRPr="00712B6C">
        <w:rPr>
          <w:b/>
        </w:rPr>
        <w:t>recommande</w:t>
      </w:r>
      <w:r>
        <w:rPr>
          <w:b/>
          <w:lang w:eastAsia="it-IT"/>
        </w:rPr>
        <w:t xml:space="preserve"> de relever sensiblement le nombre </w:t>
      </w:r>
      <w:r w:rsidRPr="003064FF">
        <w:rPr>
          <w:b/>
          <w:lang w:eastAsia="it-IT"/>
        </w:rPr>
        <w:t>de consulta</w:t>
      </w:r>
      <w:r>
        <w:rPr>
          <w:b/>
          <w:lang w:eastAsia="it-IT"/>
        </w:rPr>
        <w:t>tions</w:t>
      </w:r>
      <w:r w:rsidRPr="003064FF">
        <w:rPr>
          <w:b/>
          <w:lang w:eastAsia="it-IT"/>
        </w:rPr>
        <w:t xml:space="preserve"> </w:t>
      </w:r>
      <w:r>
        <w:rPr>
          <w:b/>
          <w:lang w:eastAsia="it-IT"/>
        </w:rPr>
        <w:t xml:space="preserve">et de créer un système permettant de garder une trace effective de l’ensemble du suivi </w:t>
      </w:r>
      <w:r w:rsidRPr="003064FF">
        <w:rPr>
          <w:b/>
          <w:lang w:eastAsia="it-IT"/>
        </w:rPr>
        <w:t>(de</w:t>
      </w:r>
      <w:r>
        <w:rPr>
          <w:b/>
          <w:lang w:eastAsia="it-IT"/>
        </w:rPr>
        <w:t>pui</w:t>
      </w:r>
      <w:r w:rsidRPr="003064FF">
        <w:rPr>
          <w:b/>
          <w:lang w:eastAsia="it-IT"/>
        </w:rPr>
        <w:t xml:space="preserve">s la </w:t>
      </w:r>
      <w:r>
        <w:rPr>
          <w:b/>
          <w:lang w:eastAsia="it-IT"/>
        </w:rPr>
        <w:t>demande</w:t>
      </w:r>
      <w:r w:rsidRPr="003064FF">
        <w:rPr>
          <w:b/>
          <w:lang w:eastAsia="it-IT"/>
        </w:rPr>
        <w:t xml:space="preserve"> d</w:t>
      </w:r>
      <w:r>
        <w:rPr>
          <w:b/>
          <w:lang w:eastAsia="it-IT"/>
        </w:rPr>
        <w:t>u pati</w:t>
      </w:r>
      <w:r w:rsidRPr="003064FF">
        <w:rPr>
          <w:b/>
          <w:lang w:eastAsia="it-IT"/>
        </w:rPr>
        <w:t>e</w:t>
      </w:r>
      <w:r>
        <w:rPr>
          <w:b/>
          <w:lang w:eastAsia="it-IT"/>
        </w:rPr>
        <w:t>nt dans son quartier</w:t>
      </w:r>
      <w:r w:rsidRPr="003064FF">
        <w:rPr>
          <w:b/>
          <w:lang w:eastAsia="it-IT"/>
        </w:rPr>
        <w:t xml:space="preserve">, </w:t>
      </w:r>
      <w:r>
        <w:rPr>
          <w:b/>
          <w:lang w:eastAsia="it-IT"/>
        </w:rPr>
        <w:t xml:space="preserve">en précisant </w:t>
      </w:r>
      <w:r w:rsidRPr="003064FF">
        <w:rPr>
          <w:b/>
          <w:lang w:eastAsia="it-IT"/>
        </w:rPr>
        <w:t>la participa</w:t>
      </w:r>
      <w:r>
        <w:rPr>
          <w:b/>
          <w:lang w:eastAsia="it-IT"/>
        </w:rPr>
        <w:t>tion</w:t>
      </w:r>
      <w:r w:rsidRPr="003064FF">
        <w:rPr>
          <w:b/>
          <w:lang w:eastAsia="it-IT"/>
        </w:rPr>
        <w:t xml:space="preserve"> des </w:t>
      </w:r>
      <w:r>
        <w:rPr>
          <w:b/>
          <w:lang w:eastAsia="it-IT"/>
        </w:rPr>
        <w:t xml:space="preserve">« responsables » et des détenus contribuant à la prise en charge médicale, </w:t>
      </w:r>
      <w:r w:rsidRPr="003064FF">
        <w:rPr>
          <w:b/>
          <w:lang w:eastAsia="it-IT"/>
        </w:rPr>
        <w:t>l</w:t>
      </w:r>
      <w:r>
        <w:rPr>
          <w:b/>
          <w:lang w:eastAsia="it-IT"/>
        </w:rPr>
        <w:t>’orientation par le gardien et l’accueil par le corps médical), afin de garantir la transparence et d’établir les</w:t>
      </w:r>
      <w:r w:rsidRPr="003064FF">
        <w:rPr>
          <w:b/>
          <w:lang w:eastAsia="it-IT"/>
        </w:rPr>
        <w:t xml:space="preserve"> responsabili</w:t>
      </w:r>
      <w:r>
        <w:rPr>
          <w:b/>
          <w:lang w:eastAsia="it-IT"/>
        </w:rPr>
        <w:t>tés</w:t>
      </w:r>
      <w:r w:rsidRPr="003064FF">
        <w:rPr>
          <w:b/>
          <w:lang w:eastAsia="it-IT"/>
        </w:rPr>
        <w:t xml:space="preserve">. </w:t>
      </w:r>
    </w:p>
    <w:p w:rsidR="000D798E" w:rsidRPr="003064FF" w:rsidRDefault="000D798E" w:rsidP="000D798E">
      <w:pPr>
        <w:pStyle w:val="SingleTxtG"/>
        <w:rPr>
          <w:rStyle w:val="m7887215559385715644apple-converted-space"/>
          <w:color w:val="000000"/>
        </w:rPr>
      </w:pPr>
      <w:r w:rsidRPr="003064FF">
        <w:rPr>
          <w:bCs/>
        </w:rPr>
        <w:t>88.</w:t>
      </w:r>
      <w:r w:rsidRPr="003064FF">
        <w:rPr>
          <w:bCs/>
        </w:rPr>
        <w:tab/>
      </w:r>
      <w:r>
        <w:rPr>
          <w:bCs/>
        </w:rPr>
        <w:t>Au</w:t>
      </w:r>
      <w:r w:rsidRPr="003064FF">
        <w:rPr>
          <w:bCs/>
        </w:rPr>
        <w:t xml:space="preserve"> centr</w:t>
      </w:r>
      <w:r>
        <w:rPr>
          <w:bCs/>
        </w:rPr>
        <w:t>e pé</w:t>
      </w:r>
      <w:r w:rsidRPr="003064FF">
        <w:rPr>
          <w:bCs/>
        </w:rPr>
        <w:t>niten</w:t>
      </w:r>
      <w:r>
        <w:rPr>
          <w:bCs/>
        </w:rPr>
        <w:t>tiaire</w:t>
      </w:r>
      <w:r w:rsidRPr="003064FF">
        <w:rPr>
          <w:bCs/>
        </w:rPr>
        <w:t xml:space="preserve"> de Colón, </w:t>
      </w:r>
      <w:r w:rsidRPr="00657385">
        <w:rPr>
          <w:bCs/>
        </w:rPr>
        <w:t xml:space="preserve">dans les étages visités et dans le </w:t>
      </w:r>
      <w:r>
        <w:rPr>
          <w:bCs/>
        </w:rPr>
        <w:t>quartier des femmes, les</w:t>
      </w:r>
      <w:r w:rsidRPr="00657385">
        <w:rPr>
          <w:bCs/>
        </w:rPr>
        <w:t xml:space="preserve"> </w:t>
      </w:r>
      <w:r>
        <w:rPr>
          <w:bCs/>
        </w:rPr>
        <w:t>détenues se plaignaient toutes des</w:t>
      </w:r>
      <w:r w:rsidRPr="00657385">
        <w:rPr>
          <w:bCs/>
        </w:rPr>
        <w:t xml:space="preserve"> graves difficultés d</w:t>
      </w:r>
      <w:r>
        <w:rPr>
          <w:bCs/>
        </w:rPr>
        <w:t>’</w:t>
      </w:r>
      <w:r w:rsidRPr="00657385">
        <w:rPr>
          <w:bCs/>
        </w:rPr>
        <w:t xml:space="preserve">accès aux soins médicaux </w:t>
      </w:r>
      <w:r>
        <w:rPr>
          <w:bCs/>
        </w:rPr>
        <w:t>que posait le nombre insuffisant de</w:t>
      </w:r>
      <w:r w:rsidRPr="00657385">
        <w:rPr>
          <w:bCs/>
        </w:rPr>
        <w:t xml:space="preserve"> consultations </w:t>
      </w:r>
      <w:r>
        <w:rPr>
          <w:bCs/>
        </w:rPr>
        <w:t xml:space="preserve">médicales </w:t>
      </w:r>
      <w:r w:rsidRPr="00657385">
        <w:rPr>
          <w:bCs/>
        </w:rPr>
        <w:t>quotidiennes. Le</w:t>
      </w:r>
      <w:r>
        <w:rPr>
          <w:bCs/>
        </w:rPr>
        <w:t> </w:t>
      </w:r>
      <w:r w:rsidRPr="00EA110A">
        <w:t>Sous-Comité</w:t>
      </w:r>
      <w:r>
        <w:t xml:space="preserve"> </w:t>
      </w:r>
      <w:r w:rsidRPr="00657385">
        <w:rPr>
          <w:bCs/>
        </w:rPr>
        <w:t xml:space="preserve">a </w:t>
      </w:r>
      <w:r>
        <w:rPr>
          <w:bCs/>
        </w:rPr>
        <w:t>relevé</w:t>
      </w:r>
      <w:r w:rsidRPr="00657385">
        <w:rPr>
          <w:bCs/>
        </w:rPr>
        <w:t xml:space="preserve"> avec préoccupation que </w:t>
      </w:r>
      <w:r>
        <w:rPr>
          <w:bCs/>
        </w:rPr>
        <w:t>la capacité de</w:t>
      </w:r>
      <w:r w:rsidRPr="00657385">
        <w:rPr>
          <w:bCs/>
        </w:rPr>
        <w:t xml:space="preserve"> soins médicaux </w:t>
      </w:r>
      <w:r>
        <w:rPr>
          <w:bCs/>
        </w:rPr>
        <w:t>n’était absolument pas en adéquation avec la taille de la</w:t>
      </w:r>
      <w:r w:rsidRPr="00657385">
        <w:rPr>
          <w:bCs/>
        </w:rPr>
        <w:t xml:space="preserve"> prison</w:t>
      </w:r>
      <w:r>
        <w:rPr>
          <w:bCs/>
        </w:rPr>
        <w:t>.</w:t>
      </w:r>
    </w:p>
    <w:p w:rsidR="000D798E" w:rsidRPr="00537091" w:rsidRDefault="000D798E" w:rsidP="000D798E">
      <w:pPr>
        <w:pStyle w:val="SingleTxtG"/>
        <w:rPr>
          <w:b/>
        </w:rPr>
      </w:pPr>
      <w:r w:rsidRPr="003064FF">
        <w:rPr>
          <w:rStyle w:val="m7887215559385715644apple-converted-space"/>
          <w:color w:val="000000"/>
        </w:rPr>
        <w:t>89.</w:t>
      </w:r>
      <w:r w:rsidRPr="003064FF">
        <w:rPr>
          <w:rStyle w:val="m7887215559385715644apple-converted-space"/>
          <w:color w:val="000000"/>
        </w:rPr>
        <w:tab/>
      </w:r>
      <w:r w:rsidRPr="00537091">
        <w:rPr>
          <w:rStyle w:val="m7887215559385715644apple-converted-space"/>
          <w:b/>
          <w:color w:val="000000"/>
        </w:rPr>
        <w:t xml:space="preserve">Le </w:t>
      </w:r>
      <w:r w:rsidRPr="00537091">
        <w:rPr>
          <w:b/>
        </w:rPr>
        <w:t>Sous-Comité recommande</w:t>
      </w:r>
      <w:r w:rsidRPr="00537091">
        <w:rPr>
          <w:b/>
          <w:lang w:eastAsia="it-IT"/>
        </w:rPr>
        <w:t xml:space="preserve"> </w:t>
      </w:r>
      <w:r w:rsidRPr="00537091">
        <w:rPr>
          <w:rStyle w:val="m7887215559385715644apple-converted-space"/>
          <w:b/>
          <w:color w:val="000000"/>
        </w:rPr>
        <w:t>que, lorsque le nouvel établissement pénitentiaire de Colón sera ouvert, le grave manque d’accès aux soins soit pris en compte et le service médical restructuré.</w:t>
      </w:r>
    </w:p>
    <w:p w:rsidR="000D798E" w:rsidRPr="003064FF" w:rsidRDefault="000D798E" w:rsidP="000D798E">
      <w:pPr>
        <w:pStyle w:val="SingleTxtG"/>
      </w:pPr>
      <w:r w:rsidRPr="003064FF">
        <w:t>90.</w:t>
      </w:r>
      <w:r w:rsidRPr="003064FF">
        <w:tab/>
      </w:r>
      <w:r>
        <w:t xml:space="preserve">Le </w:t>
      </w:r>
      <w:r w:rsidRPr="00EA110A">
        <w:t>Sous-Comité</w:t>
      </w:r>
      <w:r>
        <w:t xml:space="preserve"> est inquiet de constater que</w:t>
      </w:r>
      <w:r w:rsidRPr="00C679C2">
        <w:t xml:space="preserve"> toutes les équipes médicales </w:t>
      </w:r>
      <w:r>
        <w:t>assurant la prise e</w:t>
      </w:r>
      <w:r w:rsidRPr="00C679C2">
        <w:t xml:space="preserve">n </w:t>
      </w:r>
      <w:r>
        <w:t>charge initiale</w:t>
      </w:r>
      <w:r w:rsidRPr="00C679C2">
        <w:t xml:space="preserve"> des personnes privées de liberté</w:t>
      </w:r>
      <w:r>
        <w:t>,</w:t>
      </w:r>
      <w:r w:rsidRPr="00C679C2">
        <w:t xml:space="preserve"> dans tous les établissements</w:t>
      </w:r>
      <w:r>
        <w:t xml:space="preserve">, ne connaissent pas le Protocole d’Istanbul. </w:t>
      </w:r>
    </w:p>
    <w:p w:rsidR="000D798E" w:rsidRPr="003064FF" w:rsidRDefault="000D798E" w:rsidP="000D798E">
      <w:pPr>
        <w:pStyle w:val="SingleTxtG"/>
        <w:rPr>
          <w:b/>
        </w:rPr>
      </w:pPr>
      <w:r w:rsidRPr="003064FF">
        <w:t>91.</w:t>
      </w:r>
      <w:r w:rsidRPr="003064FF">
        <w:rPr>
          <w:b/>
        </w:rPr>
        <w:tab/>
      </w:r>
      <w:r w:rsidRPr="006F1898">
        <w:rPr>
          <w:rStyle w:val="m7887215559385715644apple-converted-space"/>
          <w:b/>
          <w:color w:val="000000"/>
        </w:rPr>
        <w:t xml:space="preserve">Le </w:t>
      </w:r>
      <w:r w:rsidRPr="00344B4F">
        <w:rPr>
          <w:b/>
        </w:rPr>
        <w:t>Sous-Comité</w:t>
      </w:r>
      <w:r w:rsidRPr="003064FF">
        <w:rPr>
          <w:b/>
        </w:rPr>
        <w:t xml:space="preserve"> </w:t>
      </w:r>
      <w:r w:rsidRPr="00712B6C">
        <w:rPr>
          <w:b/>
        </w:rPr>
        <w:t>recommande</w:t>
      </w:r>
      <w:r>
        <w:rPr>
          <w:b/>
          <w:lang w:eastAsia="it-IT"/>
        </w:rPr>
        <w:t xml:space="preserve"> </w:t>
      </w:r>
      <w:r w:rsidRPr="00C679C2">
        <w:rPr>
          <w:b/>
        </w:rPr>
        <w:t>à l</w:t>
      </w:r>
      <w:r>
        <w:rPr>
          <w:b/>
        </w:rPr>
        <w:t>’</w:t>
      </w:r>
      <w:r w:rsidRPr="00C679C2">
        <w:rPr>
          <w:b/>
        </w:rPr>
        <w:t xml:space="preserve">État partie de promouvoir </w:t>
      </w:r>
      <w:r>
        <w:rPr>
          <w:b/>
        </w:rPr>
        <w:t>la connaissance effe</w:t>
      </w:r>
      <w:r w:rsidRPr="00C679C2">
        <w:rPr>
          <w:b/>
        </w:rPr>
        <w:t>c</w:t>
      </w:r>
      <w:r>
        <w:rPr>
          <w:b/>
        </w:rPr>
        <w:t>tive</w:t>
      </w:r>
      <w:r w:rsidRPr="00C679C2">
        <w:rPr>
          <w:b/>
        </w:rPr>
        <w:t xml:space="preserve"> </w:t>
      </w:r>
      <w:r>
        <w:rPr>
          <w:b/>
        </w:rPr>
        <w:t>du Protocole d’Istanbul par l</w:t>
      </w:r>
      <w:r w:rsidRPr="00C679C2">
        <w:rPr>
          <w:b/>
        </w:rPr>
        <w:t xml:space="preserve">es médecins et </w:t>
      </w:r>
      <w:r>
        <w:rPr>
          <w:b/>
        </w:rPr>
        <w:t>autres</w:t>
      </w:r>
      <w:r w:rsidRPr="00C679C2">
        <w:rPr>
          <w:b/>
        </w:rPr>
        <w:t xml:space="preserve"> professionnels de </w:t>
      </w:r>
      <w:r>
        <w:rPr>
          <w:b/>
        </w:rPr>
        <w:t xml:space="preserve">la </w:t>
      </w:r>
      <w:r w:rsidRPr="00C679C2">
        <w:rPr>
          <w:b/>
        </w:rPr>
        <w:t>santé qui travaillent avec des personnes privées de liberté</w:t>
      </w:r>
      <w:r>
        <w:rPr>
          <w:b/>
        </w:rPr>
        <w:t xml:space="preserve">, </w:t>
      </w:r>
      <w:r w:rsidRPr="00C679C2">
        <w:rPr>
          <w:b/>
        </w:rPr>
        <w:t>afin qu</w:t>
      </w:r>
      <w:r>
        <w:rPr>
          <w:b/>
        </w:rPr>
        <w:t>e ceux-ci soient à même de</w:t>
      </w:r>
      <w:r w:rsidRPr="00C679C2">
        <w:rPr>
          <w:b/>
        </w:rPr>
        <w:t xml:space="preserve"> documenter et</w:t>
      </w:r>
      <w:r>
        <w:rPr>
          <w:b/>
        </w:rPr>
        <w:t xml:space="preserve"> de</w:t>
      </w:r>
      <w:r w:rsidRPr="00C679C2">
        <w:rPr>
          <w:b/>
        </w:rPr>
        <w:t xml:space="preserve"> traiter les cas</w:t>
      </w:r>
      <w:r>
        <w:rPr>
          <w:b/>
        </w:rPr>
        <w:t xml:space="preserve"> de lésions corporelles. Il lui</w:t>
      </w:r>
      <w:r w:rsidRPr="00C679C2">
        <w:rPr>
          <w:b/>
        </w:rPr>
        <w:t xml:space="preserve"> recommande </w:t>
      </w:r>
      <w:r>
        <w:rPr>
          <w:b/>
        </w:rPr>
        <w:t>aussi</w:t>
      </w:r>
      <w:r w:rsidRPr="00C679C2">
        <w:rPr>
          <w:b/>
        </w:rPr>
        <w:t xml:space="preserve"> de </w:t>
      </w:r>
      <w:r w:rsidRPr="00C679C2">
        <w:rPr>
          <w:b/>
        </w:rPr>
        <w:lastRenderedPageBreak/>
        <w:t>garantir l</w:t>
      </w:r>
      <w:r>
        <w:rPr>
          <w:b/>
        </w:rPr>
        <w:t>’</w:t>
      </w:r>
      <w:r w:rsidRPr="00C679C2">
        <w:rPr>
          <w:b/>
        </w:rPr>
        <w:t xml:space="preserve">indépendance clinique des services </w:t>
      </w:r>
      <w:r>
        <w:rPr>
          <w:b/>
        </w:rPr>
        <w:t>médicaux</w:t>
      </w:r>
      <w:r w:rsidRPr="00C679C2">
        <w:rPr>
          <w:b/>
        </w:rPr>
        <w:t xml:space="preserve"> afin que les professionnels de santé puissent assumer cette obligation </w:t>
      </w:r>
      <w:r w:rsidRPr="003064FF">
        <w:rPr>
          <w:b/>
        </w:rPr>
        <w:t>(</w:t>
      </w:r>
      <w:r>
        <w:rPr>
          <w:b/>
        </w:rPr>
        <w:t>règle 25 des Règles</w:t>
      </w:r>
      <w:r w:rsidRPr="00C679C2">
        <w:rPr>
          <w:b/>
        </w:rPr>
        <w:t xml:space="preserve"> Nelson Mandela</w:t>
      </w:r>
      <w:r w:rsidRPr="003064FF">
        <w:rPr>
          <w:b/>
        </w:rPr>
        <w:t>).</w:t>
      </w:r>
    </w:p>
    <w:p w:rsidR="000D798E" w:rsidRPr="003064FF" w:rsidRDefault="000D798E" w:rsidP="000D798E">
      <w:pPr>
        <w:pStyle w:val="SingleTxtG"/>
      </w:pPr>
      <w:r w:rsidRPr="003064FF">
        <w:rPr>
          <w:rStyle w:val="m7887215559385715644s1"/>
          <w:color w:val="000000"/>
        </w:rPr>
        <w:t>92.</w:t>
      </w:r>
      <w:r w:rsidRPr="003064FF">
        <w:rPr>
          <w:rStyle w:val="m7887215559385715644s1"/>
          <w:color w:val="000000"/>
        </w:rPr>
        <w:tab/>
      </w:r>
      <w:r>
        <w:t xml:space="preserve">Le </w:t>
      </w:r>
      <w:r w:rsidRPr="00EA110A">
        <w:t>Sous-Comité</w:t>
      </w:r>
      <w:r>
        <w:t xml:space="preserve"> s’est rendu à l’hô</w:t>
      </w:r>
      <w:r>
        <w:rPr>
          <w:rStyle w:val="m7887215559385715644s1"/>
          <w:color w:val="000000"/>
        </w:rPr>
        <w:t>pital psychiatrique</w:t>
      </w:r>
      <w:r w:rsidRPr="003064FF">
        <w:rPr>
          <w:rStyle w:val="m7887215559385715644s1"/>
          <w:color w:val="000000"/>
        </w:rPr>
        <w:t xml:space="preserve"> de Panamá </w:t>
      </w:r>
      <w:r>
        <w:rPr>
          <w:rStyle w:val="m7887215559385715644s1"/>
          <w:color w:val="000000"/>
        </w:rPr>
        <w:t>et a jugé que la situation y était satisfaisante, tant pour les i</w:t>
      </w:r>
      <w:r w:rsidRPr="009E1D1E">
        <w:rPr>
          <w:rStyle w:val="m7887215559385715644s1"/>
          <w:color w:val="000000"/>
        </w:rPr>
        <w:t xml:space="preserve">nstallations </w:t>
      </w:r>
      <w:r>
        <w:rPr>
          <w:rStyle w:val="m7887215559385715644s1"/>
          <w:color w:val="000000"/>
        </w:rPr>
        <w:t>que pour les</w:t>
      </w:r>
      <w:r w:rsidRPr="009E1D1E">
        <w:rPr>
          <w:rStyle w:val="m7887215559385715644s1"/>
          <w:color w:val="000000"/>
        </w:rPr>
        <w:t xml:space="preserve"> soins médicaux et </w:t>
      </w:r>
      <w:r>
        <w:rPr>
          <w:rStyle w:val="m7887215559385715644s1"/>
          <w:color w:val="000000"/>
        </w:rPr>
        <w:t>la</w:t>
      </w:r>
      <w:r w:rsidRPr="009E1D1E">
        <w:rPr>
          <w:rStyle w:val="m7887215559385715644s1"/>
          <w:color w:val="000000"/>
        </w:rPr>
        <w:t xml:space="preserve"> dynamique de travail.</w:t>
      </w:r>
      <w:r w:rsidRPr="003064FF">
        <w:rPr>
          <w:rStyle w:val="m7887215559385715644s1"/>
          <w:color w:val="000000"/>
        </w:rPr>
        <w:t xml:space="preserve"> </w:t>
      </w:r>
      <w:r>
        <w:rPr>
          <w:rStyle w:val="m7887215559385715644s1"/>
          <w:color w:val="000000"/>
        </w:rPr>
        <w:t>Il</w:t>
      </w:r>
      <w:r w:rsidRPr="003064FF">
        <w:rPr>
          <w:rStyle w:val="m7887215559385715644s1"/>
          <w:color w:val="000000"/>
        </w:rPr>
        <w:t xml:space="preserve"> </w:t>
      </w:r>
      <w:r w:rsidRPr="009E1D1E">
        <w:rPr>
          <w:rStyle w:val="m7887215559385715644s1"/>
          <w:color w:val="000000"/>
        </w:rPr>
        <w:t>a noté l</w:t>
      </w:r>
      <w:r>
        <w:rPr>
          <w:rStyle w:val="m7887215559385715644s1"/>
          <w:color w:val="000000"/>
        </w:rPr>
        <w:t>’</w:t>
      </w:r>
      <w:r w:rsidRPr="009E1D1E">
        <w:rPr>
          <w:rStyle w:val="m7887215559385715644s1"/>
          <w:color w:val="000000"/>
        </w:rPr>
        <w:t xml:space="preserve">absence de mesures de contention </w:t>
      </w:r>
      <w:r>
        <w:rPr>
          <w:rStyle w:val="m7887215559385715644s1"/>
          <w:color w:val="000000"/>
        </w:rPr>
        <w:t>ainsi que</w:t>
      </w:r>
      <w:r w:rsidRPr="009E1D1E">
        <w:rPr>
          <w:rStyle w:val="m7887215559385715644s1"/>
          <w:color w:val="000000"/>
        </w:rPr>
        <w:t xml:space="preserve"> l</w:t>
      </w:r>
      <w:r>
        <w:rPr>
          <w:rStyle w:val="m7887215559385715644s1"/>
          <w:color w:val="000000"/>
        </w:rPr>
        <w:t>’</w:t>
      </w:r>
      <w:r w:rsidRPr="009E1D1E">
        <w:rPr>
          <w:rStyle w:val="m7887215559385715644s1"/>
          <w:color w:val="000000"/>
        </w:rPr>
        <w:t>existence d</w:t>
      </w:r>
      <w:r>
        <w:rPr>
          <w:rStyle w:val="m7887215559385715644s1"/>
          <w:color w:val="000000"/>
        </w:rPr>
        <w:t>’</w:t>
      </w:r>
      <w:r w:rsidRPr="009E1D1E">
        <w:rPr>
          <w:rStyle w:val="m7887215559385715644s1"/>
          <w:color w:val="000000"/>
        </w:rPr>
        <w:t xml:space="preserve">un protocole relatif aux </w:t>
      </w:r>
      <w:r>
        <w:rPr>
          <w:rStyle w:val="m7887215559385715644s1"/>
          <w:color w:val="000000"/>
        </w:rPr>
        <w:t>lésions corporelles faisant intervenir</w:t>
      </w:r>
      <w:r w:rsidRPr="009E1D1E">
        <w:rPr>
          <w:rStyle w:val="m7887215559385715644s1"/>
          <w:color w:val="000000"/>
        </w:rPr>
        <w:t xml:space="preserve"> un </w:t>
      </w:r>
      <w:r>
        <w:rPr>
          <w:rStyle w:val="m7887215559385715644s1"/>
          <w:color w:val="000000"/>
        </w:rPr>
        <w:t>assistant social, chargé de saisir le parquet de</w:t>
      </w:r>
      <w:r w:rsidRPr="009E1D1E">
        <w:rPr>
          <w:rStyle w:val="m7887215559385715644s1"/>
          <w:color w:val="000000"/>
        </w:rPr>
        <w:t xml:space="preserve"> to</w:t>
      </w:r>
      <w:r>
        <w:rPr>
          <w:rStyle w:val="m7887215559385715644s1"/>
          <w:color w:val="000000"/>
        </w:rPr>
        <w:t>ut cas de</w:t>
      </w:r>
      <w:r w:rsidRPr="009E1D1E">
        <w:rPr>
          <w:rStyle w:val="m7887215559385715644s1"/>
          <w:color w:val="000000"/>
        </w:rPr>
        <w:t xml:space="preserve"> </w:t>
      </w:r>
      <w:r>
        <w:rPr>
          <w:rStyle w:val="m7887215559385715644s1"/>
          <w:color w:val="000000"/>
        </w:rPr>
        <w:t>lésion corporelle</w:t>
      </w:r>
      <w:r w:rsidRPr="009E1D1E">
        <w:rPr>
          <w:rStyle w:val="m7887215559385715644s1"/>
          <w:color w:val="000000"/>
        </w:rPr>
        <w:t>.</w:t>
      </w:r>
      <w:r>
        <w:rPr>
          <w:rStyle w:val="m7887215559385715644s1"/>
          <w:color w:val="000000"/>
        </w:rPr>
        <w:t xml:space="preserve"> </w:t>
      </w:r>
    </w:p>
    <w:p w:rsidR="000D798E" w:rsidRDefault="000D798E" w:rsidP="000D798E">
      <w:pPr>
        <w:pStyle w:val="SingleTxtG"/>
      </w:pPr>
      <w:r w:rsidRPr="003064FF">
        <w:rPr>
          <w:rStyle w:val="m7887215559385715644s1"/>
          <w:color w:val="000000"/>
        </w:rPr>
        <w:t>93.</w:t>
      </w:r>
      <w:r w:rsidRPr="003064FF">
        <w:rPr>
          <w:rStyle w:val="m7887215559385715644s1"/>
          <w:color w:val="000000"/>
        </w:rPr>
        <w:tab/>
      </w:r>
      <w:r>
        <w:t xml:space="preserve">Le </w:t>
      </w:r>
      <w:r w:rsidRPr="00EA110A">
        <w:t>Sous-Comité</w:t>
      </w:r>
      <w:r>
        <w:t xml:space="preserve"> s’est rendu dans une résidence pour personnes âgées remplissant une</w:t>
      </w:r>
      <w:r>
        <w:rPr>
          <w:rStyle w:val="m7887215559385715644s1"/>
          <w:color w:val="000000"/>
        </w:rPr>
        <w:t xml:space="preserve"> importante fo</w:t>
      </w:r>
      <w:r w:rsidRPr="003064FF">
        <w:rPr>
          <w:rStyle w:val="m7887215559385715644s1"/>
          <w:color w:val="000000"/>
        </w:rPr>
        <w:t>nc</w:t>
      </w:r>
      <w:r>
        <w:rPr>
          <w:rStyle w:val="m7887215559385715644s1"/>
          <w:color w:val="000000"/>
        </w:rPr>
        <w:t>tion</w:t>
      </w:r>
      <w:r w:rsidRPr="003064FF">
        <w:rPr>
          <w:rStyle w:val="m7887215559385715644s1"/>
          <w:color w:val="000000"/>
        </w:rPr>
        <w:t xml:space="preserve"> social</w:t>
      </w:r>
      <w:r>
        <w:rPr>
          <w:rStyle w:val="m7887215559385715644s1"/>
          <w:color w:val="000000"/>
        </w:rPr>
        <w:t>e</w:t>
      </w:r>
      <w:r w:rsidRPr="003064FF">
        <w:rPr>
          <w:rStyle w:val="m7887215559385715644s1"/>
          <w:color w:val="000000"/>
        </w:rPr>
        <w:t xml:space="preserve">. </w:t>
      </w:r>
      <w:r>
        <w:rPr>
          <w:rStyle w:val="m7887215559385715644s1"/>
          <w:color w:val="000000"/>
        </w:rPr>
        <w:t>Il a pu constater que les</w:t>
      </w:r>
      <w:r w:rsidRPr="003064FF">
        <w:rPr>
          <w:rStyle w:val="m7887215559385715644s1"/>
          <w:color w:val="000000"/>
        </w:rPr>
        <w:t xml:space="preserve"> insta</w:t>
      </w:r>
      <w:r>
        <w:rPr>
          <w:rStyle w:val="m7887215559385715644s1"/>
          <w:color w:val="000000"/>
        </w:rPr>
        <w:t>l</w:t>
      </w:r>
      <w:r w:rsidRPr="003064FF">
        <w:rPr>
          <w:rStyle w:val="m7887215559385715644s1"/>
          <w:color w:val="000000"/>
        </w:rPr>
        <w:t>la</w:t>
      </w:r>
      <w:r>
        <w:rPr>
          <w:rStyle w:val="m7887215559385715644s1"/>
          <w:color w:val="000000"/>
        </w:rPr>
        <w:t>tions y étaient adaptées, tout comme les conditions d’hygiène. Le</w:t>
      </w:r>
      <w:r w:rsidRPr="003064FF">
        <w:rPr>
          <w:rStyle w:val="m7887215559385715644s1"/>
          <w:color w:val="000000"/>
        </w:rPr>
        <w:t>s pa</w:t>
      </w:r>
      <w:r>
        <w:rPr>
          <w:rStyle w:val="m7887215559385715644s1"/>
          <w:color w:val="000000"/>
        </w:rPr>
        <w:t>tients atteints de troubles cognitifs sérieux, comme la maladie d’</w:t>
      </w:r>
      <w:r w:rsidRPr="003064FF">
        <w:rPr>
          <w:rStyle w:val="m7887215559385715644s1"/>
          <w:color w:val="000000"/>
        </w:rPr>
        <w:t>Alzheimer o</w:t>
      </w:r>
      <w:r>
        <w:rPr>
          <w:rStyle w:val="m7887215559385715644s1"/>
          <w:color w:val="000000"/>
        </w:rPr>
        <w:t>u la</w:t>
      </w:r>
      <w:r w:rsidRPr="003064FF">
        <w:rPr>
          <w:rStyle w:val="m7887215559385715644s1"/>
          <w:color w:val="000000"/>
        </w:rPr>
        <w:t xml:space="preserve"> </w:t>
      </w:r>
      <w:r w:rsidRPr="004B797D">
        <w:rPr>
          <w:rStyle w:val="m7887215559385715644s1"/>
          <w:color w:val="000000"/>
        </w:rPr>
        <w:t>démence sénile</w:t>
      </w:r>
      <w:r>
        <w:rPr>
          <w:rStyle w:val="m7887215559385715644s1"/>
          <w:color w:val="000000"/>
        </w:rPr>
        <w:t xml:space="preserve">, n’y étaient pas soumis à des </w:t>
      </w:r>
      <w:r w:rsidRPr="009E1D1E">
        <w:rPr>
          <w:rStyle w:val="m7887215559385715644s1"/>
          <w:color w:val="000000"/>
        </w:rPr>
        <w:t>mesures de contention</w:t>
      </w:r>
      <w:r w:rsidRPr="003064FF">
        <w:rPr>
          <w:rStyle w:val="m7887215559385715644s1"/>
          <w:color w:val="000000"/>
        </w:rPr>
        <w:t>.</w:t>
      </w:r>
    </w:p>
    <w:p w:rsidR="000D798E" w:rsidRPr="007F4145" w:rsidRDefault="000D798E" w:rsidP="000D798E">
      <w:pPr>
        <w:pStyle w:val="HChG"/>
        <w:rPr>
          <w:rFonts w:eastAsia="Times New Roman"/>
        </w:rPr>
      </w:pPr>
      <w:bookmarkStart w:id="86" w:name="bookmark_3"/>
      <w:r w:rsidRPr="007F4145">
        <w:rPr>
          <w:lang w:val="fr-FR"/>
        </w:rPr>
        <w:tab/>
        <w:t>VI.</w:t>
      </w:r>
      <w:r w:rsidRPr="007F4145">
        <w:rPr>
          <w:lang w:val="fr-FR"/>
        </w:rPr>
        <w:tab/>
        <w:t>Groupes privés de liberté en situation de vulnérabilité</w:t>
      </w:r>
      <w:bookmarkStart w:id="87" w:name="_Toc447909190"/>
      <w:bookmarkEnd w:id="86"/>
    </w:p>
    <w:p w:rsidR="000D798E" w:rsidRPr="007F4145" w:rsidRDefault="000D798E" w:rsidP="000D798E">
      <w:pPr>
        <w:pStyle w:val="H1G"/>
        <w:rPr>
          <w:rFonts w:eastAsia="Times New Roman"/>
        </w:rPr>
      </w:pPr>
      <w:bookmarkStart w:id="88" w:name="bookmark_4"/>
      <w:r w:rsidRPr="007F4145">
        <w:rPr>
          <w:lang w:val="fr-FR"/>
        </w:rPr>
        <w:tab/>
        <w:t>A.</w:t>
      </w:r>
      <w:r w:rsidRPr="007F4145">
        <w:rPr>
          <w:lang w:val="fr-FR"/>
        </w:rPr>
        <w:tab/>
      </w:r>
      <w:r>
        <w:rPr>
          <w:lang w:val="fr-FR"/>
        </w:rPr>
        <w:t>F</w:t>
      </w:r>
      <w:r w:rsidRPr="007F4145">
        <w:rPr>
          <w:lang w:val="fr-FR"/>
        </w:rPr>
        <w:t>emmes</w:t>
      </w:r>
      <w:bookmarkEnd w:id="87"/>
      <w:bookmarkEnd w:id="88"/>
    </w:p>
    <w:p w:rsidR="000D798E" w:rsidRPr="007F4145" w:rsidRDefault="000D798E" w:rsidP="000D798E">
      <w:pPr>
        <w:pStyle w:val="SingleTxtG"/>
        <w:rPr>
          <w:rFonts w:eastAsia="Times New Roman"/>
        </w:rPr>
      </w:pPr>
      <w:bookmarkStart w:id="89" w:name="bookmark_5"/>
      <w:r w:rsidRPr="007F4145">
        <w:rPr>
          <w:lang w:val="fr-FR"/>
        </w:rPr>
        <w:t>94.</w:t>
      </w:r>
      <w:r w:rsidRPr="007F4145">
        <w:rPr>
          <w:lang w:val="fr-FR"/>
        </w:rPr>
        <w:tab/>
      </w:r>
      <w:r>
        <w:rPr>
          <w:lang w:val="fr-FR"/>
        </w:rPr>
        <w:t>Afin d’</w:t>
      </w:r>
      <w:r w:rsidRPr="007F4145">
        <w:rPr>
          <w:lang w:val="fr-FR"/>
        </w:rPr>
        <w:t>examiner la situation des femmes privées de liberté, le Sous-</w:t>
      </w:r>
      <w:r>
        <w:rPr>
          <w:lang w:val="fr-FR"/>
        </w:rPr>
        <w:t>C</w:t>
      </w:r>
      <w:r w:rsidRPr="007F4145">
        <w:rPr>
          <w:lang w:val="fr-FR"/>
        </w:rPr>
        <w:t xml:space="preserve">omité </w:t>
      </w:r>
      <w:r>
        <w:rPr>
          <w:lang w:val="fr-FR"/>
        </w:rPr>
        <w:t>a visité</w:t>
      </w:r>
      <w:r w:rsidRPr="007F4145">
        <w:rPr>
          <w:lang w:val="fr-FR"/>
        </w:rPr>
        <w:t xml:space="preserve"> </w:t>
      </w:r>
      <w:r>
        <w:rPr>
          <w:lang w:val="fr-FR"/>
        </w:rPr>
        <w:t>la prison</w:t>
      </w:r>
      <w:r w:rsidRPr="007F4145">
        <w:rPr>
          <w:lang w:val="fr-FR"/>
        </w:rPr>
        <w:t xml:space="preserve"> pour femmes de Colón, </w:t>
      </w:r>
      <w:r>
        <w:rPr>
          <w:lang w:val="fr-FR"/>
        </w:rPr>
        <w:t>le</w:t>
      </w:r>
      <w:r w:rsidRPr="007F4145">
        <w:rPr>
          <w:lang w:val="fr-FR"/>
        </w:rPr>
        <w:t xml:space="preserve"> centre </w:t>
      </w:r>
      <w:r>
        <w:rPr>
          <w:lang w:val="fr-FR"/>
        </w:rPr>
        <w:t>d’hébergement de</w:t>
      </w:r>
      <w:r w:rsidRPr="007F4145">
        <w:rPr>
          <w:lang w:val="fr-FR"/>
        </w:rPr>
        <w:t xml:space="preserve"> migrantes et </w:t>
      </w:r>
      <w:r>
        <w:rPr>
          <w:lang w:val="fr-FR"/>
        </w:rPr>
        <w:t>les locaux de</w:t>
      </w:r>
      <w:r w:rsidRPr="007F4145">
        <w:rPr>
          <w:lang w:val="fr-FR"/>
        </w:rPr>
        <w:t xml:space="preserve"> la</w:t>
      </w:r>
      <w:r>
        <w:rPr>
          <w:lang w:val="fr-FR"/>
        </w:rPr>
        <w:t> </w:t>
      </w:r>
      <w:r w:rsidRPr="007F4145">
        <w:rPr>
          <w:lang w:val="fr-FR"/>
        </w:rPr>
        <w:t>Direction des enquêtes judiciaires.</w:t>
      </w:r>
      <w:bookmarkEnd w:id="89"/>
    </w:p>
    <w:p w:rsidR="000D798E" w:rsidRPr="007F4145" w:rsidRDefault="000D798E" w:rsidP="000D798E">
      <w:pPr>
        <w:pStyle w:val="H23G"/>
        <w:rPr>
          <w:rFonts w:eastAsia="Times New Roman"/>
        </w:rPr>
      </w:pPr>
      <w:bookmarkStart w:id="90" w:name="bookmark_6"/>
      <w:r w:rsidRPr="007F4145">
        <w:rPr>
          <w:lang w:val="fr-FR"/>
        </w:rPr>
        <w:tab/>
      </w:r>
      <w:r w:rsidRPr="007F4145">
        <w:rPr>
          <w:lang w:val="fr-FR"/>
        </w:rPr>
        <w:tab/>
        <w:t>Établissements pénitentiaires</w:t>
      </w:r>
      <w:bookmarkEnd w:id="90"/>
    </w:p>
    <w:p w:rsidR="000D798E" w:rsidRPr="007F4145" w:rsidRDefault="000D798E" w:rsidP="000D798E">
      <w:pPr>
        <w:pStyle w:val="SingleTxtG"/>
        <w:rPr>
          <w:rFonts w:eastAsia="Times New Roman"/>
        </w:rPr>
      </w:pPr>
      <w:bookmarkStart w:id="91" w:name="bookmark_7"/>
      <w:r w:rsidRPr="007F4145">
        <w:rPr>
          <w:lang w:val="fr-FR"/>
        </w:rPr>
        <w:t>95.</w:t>
      </w:r>
      <w:r w:rsidRPr="007F4145">
        <w:rPr>
          <w:lang w:val="fr-FR"/>
        </w:rPr>
        <w:tab/>
        <w:t>Le Sous-</w:t>
      </w:r>
      <w:r>
        <w:rPr>
          <w:lang w:val="fr-FR"/>
        </w:rPr>
        <w:t>C</w:t>
      </w:r>
      <w:r w:rsidRPr="007F4145">
        <w:rPr>
          <w:lang w:val="fr-FR"/>
        </w:rPr>
        <w:t xml:space="preserve">omité a </w:t>
      </w:r>
      <w:r>
        <w:rPr>
          <w:lang w:val="fr-FR"/>
        </w:rPr>
        <w:t xml:space="preserve">constaté que les 72 détenues de la </w:t>
      </w:r>
      <w:r w:rsidRPr="007F4145">
        <w:rPr>
          <w:lang w:val="fr-FR"/>
        </w:rPr>
        <w:t>nouvelle prison pour femmes de Colón (</w:t>
      </w:r>
      <w:r>
        <w:rPr>
          <w:lang w:val="fr-FR"/>
        </w:rPr>
        <w:t xml:space="preserve">qui fait partie du complexe pénitentiaire </w:t>
      </w:r>
      <w:proofErr w:type="spellStart"/>
      <w:r>
        <w:rPr>
          <w:lang w:val="fr-FR"/>
        </w:rPr>
        <w:t>Nueva</w:t>
      </w:r>
      <w:proofErr w:type="spellEnd"/>
      <w:r>
        <w:rPr>
          <w:lang w:val="fr-FR"/>
        </w:rPr>
        <w:t xml:space="preserve"> Esperanza)</w:t>
      </w:r>
      <w:r w:rsidRPr="007F4145">
        <w:rPr>
          <w:lang w:val="fr-FR"/>
        </w:rPr>
        <w:t xml:space="preserve"> </w:t>
      </w:r>
      <w:r>
        <w:rPr>
          <w:lang w:val="fr-FR"/>
        </w:rPr>
        <w:t>bénéficiaient de conditions matérielles</w:t>
      </w:r>
      <w:r w:rsidRPr="007F4145">
        <w:rPr>
          <w:lang w:val="fr-FR"/>
        </w:rPr>
        <w:t xml:space="preserve"> nettement meilleures que dans </w:t>
      </w:r>
      <w:r>
        <w:rPr>
          <w:lang w:val="fr-FR"/>
        </w:rPr>
        <w:t>l’établissement</w:t>
      </w:r>
      <w:r w:rsidRPr="007F4145">
        <w:rPr>
          <w:lang w:val="fr-FR"/>
        </w:rPr>
        <w:t xml:space="preserve"> du même </w:t>
      </w:r>
      <w:r>
        <w:rPr>
          <w:lang w:val="fr-FR"/>
        </w:rPr>
        <w:t>complexe</w:t>
      </w:r>
      <w:r w:rsidRPr="007F4145">
        <w:rPr>
          <w:lang w:val="fr-FR"/>
        </w:rPr>
        <w:t xml:space="preserve"> où </w:t>
      </w:r>
      <w:r>
        <w:rPr>
          <w:lang w:val="fr-FR"/>
        </w:rPr>
        <w:t>elles se trouvaient</w:t>
      </w:r>
      <w:r w:rsidRPr="007F4145">
        <w:rPr>
          <w:lang w:val="fr-FR"/>
        </w:rPr>
        <w:t xml:space="preserve"> auparavant, en particulier </w:t>
      </w:r>
      <w:r>
        <w:rPr>
          <w:lang w:val="fr-FR"/>
        </w:rPr>
        <w:t>pour ce qui était de</w:t>
      </w:r>
      <w:r w:rsidRPr="007F4145">
        <w:rPr>
          <w:lang w:val="fr-FR"/>
        </w:rPr>
        <w:t xml:space="preserve"> l</w:t>
      </w:r>
      <w:r>
        <w:rPr>
          <w:lang w:val="fr-FR"/>
        </w:rPr>
        <w:t>’</w:t>
      </w:r>
      <w:r w:rsidRPr="007F4145">
        <w:rPr>
          <w:lang w:val="fr-FR"/>
        </w:rPr>
        <w:t xml:space="preserve">hygiène, </w:t>
      </w:r>
      <w:r>
        <w:rPr>
          <w:lang w:val="fr-FR"/>
        </w:rPr>
        <w:t xml:space="preserve">de </w:t>
      </w:r>
      <w:r w:rsidRPr="007F4145">
        <w:rPr>
          <w:lang w:val="fr-FR"/>
        </w:rPr>
        <w:t>la lumi</w:t>
      </w:r>
      <w:r>
        <w:rPr>
          <w:lang w:val="fr-FR"/>
        </w:rPr>
        <w:t>ère</w:t>
      </w:r>
      <w:r w:rsidRPr="007F4145">
        <w:rPr>
          <w:lang w:val="fr-FR"/>
        </w:rPr>
        <w:t xml:space="preserve"> et </w:t>
      </w:r>
      <w:r>
        <w:rPr>
          <w:lang w:val="fr-FR"/>
        </w:rPr>
        <w:t xml:space="preserve">de </w:t>
      </w:r>
      <w:r w:rsidRPr="007F4145">
        <w:rPr>
          <w:lang w:val="fr-FR"/>
        </w:rPr>
        <w:t>l</w:t>
      </w:r>
      <w:r>
        <w:rPr>
          <w:lang w:val="fr-FR"/>
        </w:rPr>
        <w:t>’</w:t>
      </w:r>
      <w:r w:rsidRPr="007F4145">
        <w:rPr>
          <w:lang w:val="fr-FR"/>
        </w:rPr>
        <w:t>aération.</w:t>
      </w:r>
      <w:bookmarkEnd w:id="91"/>
    </w:p>
    <w:p w:rsidR="000D798E" w:rsidRPr="007F4145" w:rsidRDefault="000D798E" w:rsidP="000D798E">
      <w:pPr>
        <w:pStyle w:val="SingleTxtG"/>
        <w:rPr>
          <w:rFonts w:eastAsia="Times New Roman"/>
        </w:rPr>
      </w:pPr>
      <w:bookmarkStart w:id="92" w:name="bookmark_8"/>
      <w:r>
        <w:rPr>
          <w:lang w:val="fr-FR"/>
        </w:rPr>
        <w:t>96.</w:t>
      </w:r>
      <w:r>
        <w:rPr>
          <w:lang w:val="fr-FR"/>
        </w:rPr>
        <w:tab/>
        <w:t>Cependant, le Sous-C</w:t>
      </w:r>
      <w:r w:rsidRPr="007F4145">
        <w:rPr>
          <w:lang w:val="fr-FR"/>
        </w:rPr>
        <w:t xml:space="preserve">omité </w:t>
      </w:r>
      <w:r>
        <w:rPr>
          <w:lang w:val="fr-FR"/>
        </w:rPr>
        <w:t xml:space="preserve">a reçu de nombreuses allégations concordantes </w:t>
      </w:r>
      <w:r w:rsidRPr="007F4145">
        <w:rPr>
          <w:lang w:val="fr-FR"/>
        </w:rPr>
        <w:t>concernant la mauvaise qualité de l</w:t>
      </w:r>
      <w:r>
        <w:rPr>
          <w:lang w:val="fr-FR"/>
        </w:rPr>
        <w:t>’</w:t>
      </w:r>
      <w:r w:rsidRPr="007F4145">
        <w:rPr>
          <w:lang w:val="fr-FR"/>
        </w:rPr>
        <w:t xml:space="preserve">alimentation et </w:t>
      </w:r>
      <w:r>
        <w:rPr>
          <w:lang w:val="fr-FR"/>
        </w:rPr>
        <w:t>l’irrégularité des horaires de</w:t>
      </w:r>
      <w:r w:rsidRPr="007F4145">
        <w:rPr>
          <w:lang w:val="fr-FR"/>
        </w:rPr>
        <w:t xml:space="preserve"> repas</w:t>
      </w:r>
      <w:r>
        <w:rPr>
          <w:lang w:val="fr-FR"/>
        </w:rPr>
        <w:t>,</w:t>
      </w:r>
      <w:r w:rsidRPr="007F4145">
        <w:rPr>
          <w:lang w:val="fr-FR"/>
        </w:rPr>
        <w:t xml:space="preserve"> le nombre </w:t>
      </w:r>
      <w:r>
        <w:rPr>
          <w:lang w:val="fr-FR"/>
        </w:rPr>
        <w:t>restreint</w:t>
      </w:r>
      <w:r w:rsidRPr="007F4145">
        <w:rPr>
          <w:lang w:val="fr-FR"/>
        </w:rPr>
        <w:t xml:space="preserve"> d</w:t>
      </w:r>
      <w:r>
        <w:rPr>
          <w:lang w:val="fr-FR"/>
        </w:rPr>
        <w:t>’</w:t>
      </w:r>
      <w:r w:rsidRPr="007F4145">
        <w:rPr>
          <w:lang w:val="fr-FR"/>
        </w:rPr>
        <w:t xml:space="preserve">activités ludiques </w:t>
      </w:r>
      <w:r>
        <w:rPr>
          <w:lang w:val="fr-FR"/>
        </w:rPr>
        <w:t>et</w:t>
      </w:r>
      <w:r w:rsidRPr="007F4145">
        <w:rPr>
          <w:lang w:val="fr-FR"/>
        </w:rPr>
        <w:t xml:space="preserve"> sportives, d</w:t>
      </w:r>
      <w:r>
        <w:rPr>
          <w:lang w:val="fr-FR"/>
        </w:rPr>
        <w:t>’</w:t>
      </w:r>
      <w:r w:rsidRPr="007F4145">
        <w:rPr>
          <w:lang w:val="fr-FR"/>
        </w:rPr>
        <w:t xml:space="preserve">ateliers </w:t>
      </w:r>
      <w:r>
        <w:rPr>
          <w:lang w:val="fr-FR"/>
        </w:rPr>
        <w:t>de formation professionnelle</w:t>
      </w:r>
      <w:r w:rsidRPr="007F4145">
        <w:rPr>
          <w:lang w:val="fr-FR"/>
        </w:rPr>
        <w:t xml:space="preserve"> et de possibilités </w:t>
      </w:r>
      <w:r>
        <w:rPr>
          <w:lang w:val="fr-FR"/>
        </w:rPr>
        <w:t>éducatives,</w:t>
      </w:r>
      <w:r w:rsidRPr="007F4145">
        <w:rPr>
          <w:lang w:val="fr-FR"/>
        </w:rPr>
        <w:t xml:space="preserve"> le manque de produits d</w:t>
      </w:r>
      <w:r>
        <w:rPr>
          <w:lang w:val="fr-FR"/>
        </w:rPr>
        <w:t>’</w:t>
      </w:r>
      <w:r w:rsidRPr="007F4145">
        <w:rPr>
          <w:lang w:val="fr-FR"/>
        </w:rPr>
        <w:t>hygiène essentiels, notamment de serviettes hygiéniques</w:t>
      </w:r>
      <w:r>
        <w:rPr>
          <w:lang w:val="fr-FR"/>
        </w:rPr>
        <w:t>,</w:t>
      </w:r>
      <w:r w:rsidRPr="007F4145">
        <w:rPr>
          <w:lang w:val="fr-FR"/>
        </w:rPr>
        <w:t xml:space="preserve"> </w:t>
      </w:r>
      <w:r>
        <w:rPr>
          <w:lang w:val="fr-FR"/>
        </w:rPr>
        <w:t>la difficulté d’accès aux soins médicaux</w:t>
      </w:r>
      <w:r w:rsidRPr="007F4145">
        <w:rPr>
          <w:lang w:val="fr-FR"/>
        </w:rPr>
        <w:t xml:space="preserve">, y compris </w:t>
      </w:r>
      <w:r>
        <w:rPr>
          <w:lang w:val="fr-FR"/>
        </w:rPr>
        <w:t>l</w:t>
      </w:r>
      <w:r w:rsidRPr="007F4145">
        <w:rPr>
          <w:lang w:val="fr-FR"/>
        </w:rPr>
        <w:t>es soins gynécologiques et spécialisés</w:t>
      </w:r>
      <w:r>
        <w:rPr>
          <w:lang w:val="fr-FR"/>
        </w:rPr>
        <w:t xml:space="preserve">, et, enfin, </w:t>
      </w:r>
      <w:r w:rsidRPr="007F4145">
        <w:rPr>
          <w:lang w:val="fr-FR"/>
        </w:rPr>
        <w:t>l</w:t>
      </w:r>
      <w:r>
        <w:rPr>
          <w:lang w:val="fr-FR"/>
        </w:rPr>
        <w:t>’</w:t>
      </w:r>
      <w:r w:rsidRPr="007F4145">
        <w:rPr>
          <w:lang w:val="fr-FR"/>
        </w:rPr>
        <w:t>absence d</w:t>
      </w:r>
      <w:r>
        <w:rPr>
          <w:lang w:val="fr-FR"/>
        </w:rPr>
        <w:t>’</w:t>
      </w:r>
      <w:r w:rsidRPr="007F4145">
        <w:rPr>
          <w:lang w:val="fr-FR"/>
        </w:rPr>
        <w:t>un droit de vi</w:t>
      </w:r>
      <w:r>
        <w:rPr>
          <w:lang w:val="fr-FR"/>
        </w:rPr>
        <w:t>site conjugale, ce qui constituait</w:t>
      </w:r>
      <w:r w:rsidRPr="007F4145">
        <w:rPr>
          <w:lang w:val="fr-FR"/>
        </w:rPr>
        <w:t xml:space="preserve"> un traitement discriminatoire par rapport aux hommes</w:t>
      </w:r>
      <w:r>
        <w:rPr>
          <w:lang w:val="fr-FR"/>
        </w:rPr>
        <w:t>,</w:t>
      </w:r>
      <w:r w:rsidRPr="007F4145">
        <w:rPr>
          <w:lang w:val="fr-FR"/>
        </w:rPr>
        <w:t xml:space="preserve"> étant donné que les détenus du même </w:t>
      </w:r>
      <w:r>
        <w:rPr>
          <w:lang w:val="fr-FR"/>
        </w:rPr>
        <w:t>complexe bénéficiai</w:t>
      </w:r>
      <w:r w:rsidRPr="007F4145">
        <w:rPr>
          <w:lang w:val="fr-FR"/>
        </w:rPr>
        <w:t>ent de ce droit.</w:t>
      </w:r>
      <w:bookmarkEnd w:id="92"/>
    </w:p>
    <w:p w:rsidR="000D798E" w:rsidRPr="007F4145" w:rsidRDefault="000D798E" w:rsidP="000D798E">
      <w:pPr>
        <w:pStyle w:val="SingleTxtG"/>
        <w:rPr>
          <w:rFonts w:eastAsia="Times New Roman"/>
        </w:rPr>
      </w:pPr>
      <w:bookmarkStart w:id="93" w:name="bookmark_9"/>
      <w:r w:rsidRPr="007F4145">
        <w:rPr>
          <w:lang w:val="fr-FR"/>
        </w:rPr>
        <w:t>97.</w:t>
      </w:r>
      <w:r w:rsidRPr="007F4145">
        <w:rPr>
          <w:lang w:val="fr-FR"/>
        </w:rPr>
        <w:tab/>
      </w:r>
      <w:r w:rsidRPr="00301C42">
        <w:rPr>
          <w:b/>
          <w:lang w:val="fr-FR"/>
        </w:rPr>
        <w:t>Le Sous-Comité recommande à l’État partie de veiller à ce que les détenues aient accès aux fournitures nécessaires pour répondre aux besoins propres à leur sexe en matière d’hygiène et reçoivent des services de santé spécifiques aux femmes, conformément aux Règles des Nations Unies concernant le traitement des détenues et l’imposition de mesures non privatives de liberté aux délinquantes (Règles de</w:t>
      </w:r>
      <w:r>
        <w:rPr>
          <w:b/>
          <w:lang w:val="fr-FR"/>
        </w:rPr>
        <w:t> Bangkok) n</w:t>
      </w:r>
      <w:r w:rsidRPr="00657E41">
        <w:rPr>
          <w:b/>
          <w:vertAlign w:val="superscript"/>
          <w:lang w:val="fr-FR"/>
        </w:rPr>
        <w:t>os</w:t>
      </w:r>
      <w:r>
        <w:rPr>
          <w:b/>
          <w:lang w:val="fr-FR"/>
        </w:rPr>
        <w:t> </w:t>
      </w:r>
      <w:r w:rsidRPr="00301C42">
        <w:rPr>
          <w:b/>
          <w:lang w:val="fr-FR"/>
        </w:rPr>
        <w:t>5 et 10</w:t>
      </w:r>
      <w:bookmarkEnd w:id="93"/>
      <w:r w:rsidRPr="00301C42">
        <w:rPr>
          <w:b/>
          <w:lang w:val="fr-FR"/>
        </w:rPr>
        <w:t>.</w:t>
      </w:r>
    </w:p>
    <w:p w:rsidR="000D798E" w:rsidRPr="007F4145" w:rsidRDefault="000D798E" w:rsidP="000D798E">
      <w:pPr>
        <w:pStyle w:val="SingleTxtG"/>
        <w:rPr>
          <w:rFonts w:eastAsia="Times New Roman"/>
          <w:shd w:val="clear" w:color="auto" w:fill="FFFFFF"/>
        </w:rPr>
      </w:pPr>
      <w:bookmarkStart w:id="94" w:name="bookmark_10"/>
      <w:r>
        <w:rPr>
          <w:lang w:val="fr-FR"/>
        </w:rPr>
        <w:t>98.</w:t>
      </w:r>
      <w:r>
        <w:rPr>
          <w:lang w:val="fr-FR"/>
        </w:rPr>
        <w:tab/>
        <w:t>Grâce aux</w:t>
      </w:r>
      <w:r w:rsidRPr="007F4145">
        <w:rPr>
          <w:lang w:val="fr-FR"/>
        </w:rPr>
        <w:t xml:space="preserve"> entretiens qu</w:t>
      </w:r>
      <w:r>
        <w:rPr>
          <w:lang w:val="fr-FR"/>
        </w:rPr>
        <w:t>’</w:t>
      </w:r>
      <w:r w:rsidRPr="007F4145">
        <w:rPr>
          <w:lang w:val="fr-FR"/>
        </w:rPr>
        <w:t>il a tenus</w:t>
      </w:r>
      <w:r>
        <w:rPr>
          <w:lang w:val="fr-FR"/>
        </w:rPr>
        <w:t>, le Sous-Comité a pu constater</w:t>
      </w:r>
      <w:r w:rsidRPr="007F4145">
        <w:rPr>
          <w:lang w:val="fr-FR"/>
        </w:rPr>
        <w:t xml:space="preserve"> que des mesures de substitution à la détention </w:t>
      </w:r>
      <w:r>
        <w:rPr>
          <w:lang w:val="fr-FR"/>
        </w:rPr>
        <w:t>n’étaient pas systématiquement accordées aux</w:t>
      </w:r>
      <w:r w:rsidRPr="007F4145">
        <w:rPr>
          <w:lang w:val="fr-FR"/>
        </w:rPr>
        <w:t xml:space="preserve"> </w:t>
      </w:r>
      <w:r>
        <w:rPr>
          <w:lang w:val="fr-FR"/>
        </w:rPr>
        <w:t>femmes ayant des enfants</w:t>
      </w:r>
      <w:r w:rsidRPr="007F4145">
        <w:rPr>
          <w:lang w:val="fr-FR"/>
        </w:rPr>
        <w:t xml:space="preserve">. Il a </w:t>
      </w:r>
      <w:r>
        <w:rPr>
          <w:lang w:val="fr-FR"/>
        </w:rPr>
        <w:t>remarqué</w:t>
      </w:r>
      <w:r w:rsidRPr="007F4145">
        <w:rPr>
          <w:lang w:val="fr-FR"/>
        </w:rPr>
        <w:t xml:space="preserve"> qu</w:t>
      </w:r>
      <w:r>
        <w:rPr>
          <w:lang w:val="fr-FR"/>
        </w:rPr>
        <w:t>’</w:t>
      </w:r>
      <w:r w:rsidRPr="007F4145">
        <w:rPr>
          <w:lang w:val="fr-FR"/>
        </w:rPr>
        <w:t>il n</w:t>
      </w:r>
      <w:r>
        <w:rPr>
          <w:lang w:val="fr-FR"/>
        </w:rPr>
        <w:t>’</w:t>
      </w:r>
      <w:r w:rsidRPr="007F4145">
        <w:rPr>
          <w:lang w:val="fr-FR"/>
        </w:rPr>
        <w:t xml:space="preserve">existait </w:t>
      </w:r>
      <w:r>
        <w:rPr>
          <w:lang w:val="fr-FR"/>
        </w:rPr>
        <w:t>pas d’</w:t>
      </w:r>
      <w:r w:rsidRPr="007F4145">
        <w:rPr>
          <w:lang w:val="fr-FR"/>
        </w:rPr>
        <w:t>unité maternelle permettant aux mères de garder leurs enfants auprès d</w:t>
      </w:r>
      <w:r>
        <w:rPr>
          <w:lang w:val="fr-FR"/>
        </w:rPr>
        <w:t>’</w:t>
      </w:r>
      <w:r w:rsidRPr="007F4145">
        <w:rPr>
          <w:lang w:val="fr-FR"/>
        </w:rPr>
        <w:t>elles. D</w:t>
      </w:r>
      <w:r>
        <w:rPr>
          <w:lang w:val="fr-FR"/>
        </w:rPr>
        <w:t>’</w:t>
      </w:r>
      <w:r w:rsidRPr="007F4145">
        <w:rPr>
          <w:lang w:val="fr-FR"/>
        </w:rPr>
        <w:t>après les informations reçues, aucun des établissements pénitentiaires du pays n</w:t>
      </w:r>
      <w:r>
        <w:rPr>
          <w:lang w:val="fr-FR"/>
        </w:rPr>
        <w:t>’</w:t>
      </w:r>
      <w:r w:rsidRPr="007F4145">
        <w:rPr>
          <w:lang w:val="fr-FR"/>
        </w:rPr>
        <w:t xml:space="preserve">était doté </w:t>
      </w:r>
      <w:r>
        <w:rPr>
          <w:lang w:val="fr-FR"/>
        </w:rPr>
        <w:t>d’une telle unité</w:t>
      </w:r>
      <w:r w:rsidRPr="007F4145">
        <w:rPr>
          <w:lang w:val="fr-FR"/>
        </w:rPr>
        <w:t xml:space="preserve">. </w:t>
      </w:r>
      <w:r>
        <w:rPr>
          <w:lang w:val="fr-FR"/>
        </w:rPr>
        <w:t>L</w:t>
      </w:r>
      <w:r w:rsidRPr="007F4145">
        <w:rPr>
          <w:lang w:val="fr-FR"/>
        </w:rPr>
        <w:t xml:space="preserve">es femmes ne pouvaient pas </w:t>
      </w:r>
      <w:r>
        <w:rPr>
          <w:lang w:val="fr-FR"/>
        </w:rPr>
        <w:t xml:space="preserve">non plus </w:t>
      </w:r>
      <w:r w:rsidRPr="007F4145">
        <w:rPr>
          <w:lang w:val="fr-FR"/>
        </w:rPr>
        <w:t xml:space="preserve">allaiter leurs </w:t>
      </w:r>
      <w:r>
        <w:rPr>
          <w:lang w:val="fr-FR"/>
        </w:rPr>
        <w:t>nouveau-nés</w:t>
      </w:r>
      <w:r w:rsidRPr="007F4145">
        <w:rPr>
          <w:lang w:val="fr-FR"/>
        </w:rPr>
        <w:t>. Le fait de ne pas pouvoir s</w:t>
      </w:r>
      <w:r>
        <w:rPr>
          <w:lang w:val="fr-FR"/>
        </w:rPr>
        <w:t>’</w:t>
      </w:r>
      <w:r w:rsidRPr="007F4145">
        <w:rPr>
          <w:lang w:val="fr-FR"/>
        </w:rPr>
        <w:t>occuper de leurs enfants était une source de stress majeure pour la plupart des femmes interrogées. Le manque d</w:t>
      </w:r>
      <w:r>
        <w:rPr>
          <w:lang w:val="fr-FR"/>
        </w:rPr>
        <w:t>’</w:t>
      </w:r>
      <w:r w:rsidRPr="007F4145">
        <w:rPr>
          <w:lang w:val="fr-FR"/>
        </w:rPr>
        <w:t>assistance sociale et psychologique et l</w:t>
      </w:r>
      <w:r>
        <w:rPr>
          <w:lang w:val="fr-FR"/>
        </w:rPr>
        <w:t>es</w:t>
      </w:r>
      <w:r w:rsidRPr="007F4145">
        <w:rPr>
          <w:lang w:val="fr-FR"/>
        </w:rPr>
        <w:t xml:space="preserve"> </w:t>
      </w:r>
      <w:r>
        <w:rPr>
          <w:lang w:val="fr-FR"/>
        </w:rPr>
        <w:t>difficultés que les femmes éprouvaient à</w:t>
      </w:r>
      <w:r w:rsidRPr="007F4145">
        <w:rPr>
          <w:lang w:val="fr-FR"/>
        </w:rPr>
        <w:t xml:space="preserve"> </w:t>
      </w:r>
      <w:r>
        <w:rPr>
          <w:lang w:val="fr-FR"/>
        </w:rPr>
        <w:t>être tenues</w:t>
      </w:r>
      <w:r w:rsidRPr="007F4145">
        <w:rPr>
          <w:lang w:val="fr-FR"/>
        </w:rPr>
        <w:t xml:space="preserve"> </w:t>
      </w:r>
      <w:r>
        <w:rPr>
          <w:lang w:val="fr-FR"/>
        </w:rPr>
        <w:t>à jour de la</w:t>
      </w:r>
      <w:r w:rsidRPr="007F4145">
        <w:rPr>
          <w:lang w:val="fr-FR"/>
        </w:rPr>
        <w:t xml:space="preserve"> situation de</w:t>
      </w:r>
      <w:r>
        <w:rPr>
          <w:lang w:val="fr-FR"/>
        </w:rPr>
        <w:t xml:space="preserve"> leur</w:t>
      </w:r>
      <w:r w:rsidRPr="007F4145">
        <w:rPr>
          <w:lang w:val="fr-FR"/>
        </w:rPr>
        <w:t xml:space="preserve">s enfants </w:t>
      </w:r>
      <w:r>
        <w:rPr>
          <w:lang w:val="fr-FR"/>
        </w:rPr>
        <w:t>par l</w:t>
      </w:r>
      <w:r w:rsidRPr="007F4145">
        <w:rPr>
          <w:lang w:val="fr-FR"/>
        </w:rPr>
        <w:t>es institutions compétentes aggravai</w:t>
      </w:r>
      <w:r>
        <w:rPr>
          <w:lang w:val="fr-FR"/>
        </w:rPr>
        <w:t>en</w:t>
      </w:r>
      <w:r w:rsidRPr="007F4145">
        <w:rPr>
          <w:lang w:val="fr-FR"/>
        </w:rPr>
        <w:t>t considérablement la situation.</w:t>
      </w:r>
      <w:bookmarkEnd w:id="94"/>
    </w:p>
    <w:p w:rsidR="000D798E" w:rsidRPr="00301C42" w:rsidRDefault="000D798E" w:rsidP="000D798E">
      <w:pPr>
        <w:pStyle w:val="SingleTxtG"/>
        <w:rPr>
          <w:rFonts w:eastAsia="Times New Roman"/>
          <w:b/>
          <w:shd w:val="clear" w:color="auto" w:fill="FFFFFF"/>
        </w:rPr>
      </w:pPr>
      <w:bookmarkStart w:id="95" w:name="bookmark_11"/>
      <w:r w:rsidRPr="007F4145">
        <w:rPr>
          <w:lang w:val="fr-FR"/>
        </w:rPr>
        <w:t>99.</w:t>
      </w:r>
      <w:r w:rsidRPr="007F4145">
        <w:rPr>
          <w:lang w:val="fr-FR"/>
        </w:rPr>
        <w:tab/>
      </w:r>
      <w:r w:rsidRPr="00301C42">
        <w:rPr>
          <w:b/>
          <w:lang w:val="fr-FR"/>
        </w:rPr>
        <w:t>Le Sous-Comité rappelle à l’État partie le principe de l’intérêt supérieur de l’</w:t>
      </w:r>
      <w:r>
        <w:rPr>
          <w:b/>
          <w:lang w:val="fr-FR"/>
        </w:rPr>
        <w:t>enfant et la Règle de Bangkok n</w:t>
      </w:r>
      <w:r w:rsidRPr="00657E41">
        <w:rPr>
          <w:b/>
          <w:vertAlign w:val="superscript"/>
          <w:lang w:val="fr-FR"/>
        </w:rPr>
        <w:t>o</w:t>
      </w:r>
      <w:r>
        <w:rPr>
          <w:b/>
          <w:lang w:val="fr-FR"/>
        </w:rPr>
        <w:t> </w:t>
      </w:r>
      <w:r w:rsidRPr="00301C42">
        <w:rPr>
          <w:b/>
          <w:lang w:val="fr-FR"/>
        </w:rPr>
        <w:t>58 sur les mesures de substitution à la détention provisoire et la condamnation des femmes.</w:t>
      </w:r>
      <w:bookmarkEnd w:id="95"/>
    </w:p>
    <w:p w:rsidR="000D798E" w:rsidRPr="00301C42" w:rsidRDefault="000D798E" w:rsidP="000D798E">
      <w:pPr>
        <w:pStyle w:val="SingleTxtG"/>
        <w:rPr>
          <w:rFonts w:eastAsia="Times New Roman"/>
          <w:b/>
          <w:shd w:val="clear" w:color="auto" w:fill="FFFFFF"/>
        </w:rPr>
      </w:pPr>
      <w:r w:rsidRPr="007F4145">
        <w:rPr>
          <w:lang w:val="fr-FR"/>
        </w:rPr>
        <w:lastRenderedPageBreak/>
        <w:t>100.</w:t>
      </w:r>
      <w:r w:rsidRPr="007F4145">
        <w:rPr>
          <w:lang w:val="fr-FR"/>
        </w:rPr>
        <w:tab/>
      </w:r>
      <w:r w:rsidRPr="00301C42">
        <w:rPr>
          <w:b/>
          <w:lang w:val="fr-FR"/>
        </w:rPr>
        <w:t>Le Sous-Comité recommande à l’État partie de mettre en place les infrastructures nécessaires pour que les femmes puissent garder leurs enfants auprès d’elles et les allaiter. Il lui recommande également de veiller à ce qu’il existe un système de protection efficace pour les mineurs dont les mères sont privées de liberté.</w:t>
      </w:r>
    </w:p>
    <w:p w:rsidR="000D798E" w:rsidRPr="007F4145" w:rsidRDefault="000D798E" w:rsidP="000D798E">
      <w:pPr>
        <w:pStyle w:val="H23G"/>
        <w:rPr>
          <w:rFonts w:eastAsia="Times New Roman"/>
          <w:shd w:val="clear" w:color="auto" w:fill="FFFFFF"/>
        </w:rPr>
      </w:pPr>
      <w:r w:rsidRPr="007F4145">
        <w:rPr>
          <w:lang w:val="fr-FR"/>
        </w:rPr>
        <w:tab/>
      </w:r>
      <w:r w:rsidRPr="007F4145">
        <w:rPr>
          <w:lang w:val="fr-FR"/>
        </w:rPr>
        <w:tab/>
        <w:t>Direction des enquêtes judiciaires</w:t>
      </w:r>
    </w:p>
    <w:p w:rsidR="000D798E" w:rsidRPr="007F4145" w:rsidRDefault="000D798E" w:rsidP="000D798E">
      <w:pPr>
        <w:pStyle w:val="SingleTxtG"/>
        <w:rPr>
          <w:rFonts w:eastAsia="Times New Roman"/>
          <w:color w:val="000000"/>
          <w:shd w:val="clear" w:color="auto" w:fill="FFFFFF"/>
        </w:rPr>
      </w:pPr>
      <w:bookmarkStart w:id="96" w:name="bookmark_14"/>
      <w:r w:rsidRPr="007F4145">
        <w:rPr>
          <w:lang w:val="fr-FR"/>
        </w:rPr>
        <w:t>101.</w:t>
      </w:r>
      <w:r w:rsidRPr="007F4145">
        <w:rPr>
          <w:lang w:val="fr-FR"/>
        </w:rPr>
        <w:tab/>
        <w:t>Le Sous-</w:t>
      </w:r>
      <w:r>
        <w:rPr>
          <w:lang w:val="fr-FR"/>
        </w:rPr>
        <w:t>C</w:t>
      </w:r>
      <w:r w:rsidRPr="007F4145">
        <w:rPr>
          <w:lang w:val="fr-FR"/>
        </w:rPr>
        <w:t xml:space="preserve">omité a visité la cellule pour femmes de la Direction des enquêtes judiciaires. </w:t>
      </w:r>
      <w:r>
        <w:rPr>
          <w:lang w:val="fr-FR"/>
        </w:rPr>
        <w:t xml:space="preserve">Il a constaté que six détenues occupaient une cellule d’une superficie de 7 m² dépourvue de lumière naturelle et mal aérée </w:t>
      </w:r>
      <w:r w:rsidRPr="007F4145">
        <w:rPr>
          <w:lang w:val="fr-FR"/>
        </w:rPr>
        <w:t>(d</w:t>
      </w:r>
      <w:r>
        <w:rPr>
          <w:lang w:val="fr-FR"/>
        </w:rPr>
        <w:t>’</w:t>
      </w:r>
      <w:r w:rsidRPr="007F4145">
        <w:rPr>
          <w:lang w:val="fr-FR"/>
        </w:rPr>
        <w:t xml:space="preserve">après les informations </w:t>
      </w:r>
      <w:r>
        <w:rPr>
          <w:lang w:val="fr-FR"/>
        </w:rPr>
        <w:t>qu’il a reçues, neuf femmes s’y trouvaient quelques jours auparavant</w:t>
      </w:r>
      <w:r w:rsidRPr="007F4145">
        <w:rPr>
          <w:lang w:val="fr-FR"/>
        </w:rPr>
        <w:t xml:space="preserve">). Les femmes ne pouvaient pas sortir de la cellule. Elles pouvaient recevoir des visites une fois par semaine mais ne pouvaient pas voir leurs enfants. Une des femmes </w:t>
      </w:r>
      <w:r>
        <w:rPr>
          <w:lang w:val="fr-FR"/>
        </w:rPr>
        <w:t>avec lesquelles le Sous-Comité s’est entretenu</w:t>
      </w:r>
      <w:r w:rsidRPr="007F4145">
        <w:rPr>
          <w:lang w:val="fr-FR"/>
        </w:rPr>
        <w:t xml:space="preserve"> était </w:t>
      </w:r>
      <w:r>
        <w:rPr>
          <w:lang w:val="fr-FR"/>
        </w:rPr>
        <w:t>enfermée</w:t>
      </w:r>
      <w:r w:rsidRPr="007F4145">
        <w:rPr>
          <w:lang w:val="fr-FR"/>
        </w:rPr>
        <w:t xml:space="preserve"> dans </w:t>
      </w:r>
      <w:r>
        <w:rPr>
          <w:lang w:val="fr-FR"/>
        </w:rPr>
        <w:t>la</w:t>
      </w:r>
      <w:r w:rsidRPr="007F4145">
        <w:rPr>
          <w:lang w:val="fr-FR"/>
        </w:rPr>
        <w:t xml:space="preserve"> cellule depuis un mois.</w:t>
      </w:r>
      <w:bookmarkEnd w:id="96"/>
    </w:p>
    <w:p w:rsidR="000D798E" w:rsidRPr="00301C42" w:rsidRDefault="000D798E" w:rsidP="000D798E">
      <w:pPr>
        <w:pStyle w:val="SingleTxtG"/>
        <w:rPr>
          <w:rFonts w:eastAsia="Times New Roman"/>
          <w:b/>
        </w:rPr>
      </w:pPr>
      <w:bookmarkStart w:id="97" w:name="bookmark_15"/>
      <w:r w:rsidRPr="007F4145">
        <w:rPr>
          <w:lang w:val="fr-FR"/>
        </w:rPr>
        <w:t>102.</w:t>
      </w:r>
      <w:r w:rsidRPr="007F4145">
        <w:rPr>
          <w:lang w:val="fr-FR"/>
        </w:rPr>
        <w:tab/>
      </w:r>
      <w:r w:rsidRPr="00301C42">
        <w:rPr>
          <w:b/>
          <w:lang w:val="fr-FR"/>
        </w:rPr>
        <w:t>Le Sous-Comité réitère sa recommandation visant à ce que le centre de la</w:t>
      </w:r>
      <w:r>
        <w:rPr>
          <w:b/>
          <w:lang w:val="fr-FR"/>
        </w:rPr>
        <w:t> </w:t>
      </w:r>
      <w:r w:rsidRPr="00301C42">
        <w:rPr>
          <w:b/>
          <w:lang w:val="fr-FR"/>
        </w:rPr>
        <w:t xml:space="preserve">Direction des enquêtes judiciaires ne soit utilisé que pour des périodes de détention provisoire de courte durée et à ce que ses infrastructures répondent aux conditions minimales de respect de la dignité des détenus. En outre, le Sous-Comité recommande que les femmes puissent recevoir la visite de leurs enfants. </w:t>
      </w:r>
      <w:bookmarkEnd w:id="97"/>
    </w:p>
    <w:p w:rsidR="000D798E" w:rsidRPr="007F4145" w:rsidRDefault="000D798E" w:rsidP="000D798E">
      <w:pPr>
        <w:pStyle w:val="H23G"/>
        <w:rPr>
          <w:rFonts w:eastAsia="Times New Roman"/>
        </w:rPr>
      </w:pPr>
      <w:r w:rsidRPr="007F4145">
        <w:rPr>
          <w:lang w:val="fr-FR"/>
        </w:rPr>
        <w:tab/>
      </w:r>
      <w:r w:rsidRPr="007F4145">
        <w:rPr>
          <w:lang w:val="fr-FR"/>
        </w:rPr>
        <w:tab/>
        <w:t xml:space="preserve">Centres </w:t>
      </w:r>
      <w:r>
        <w:rPr>
          <w:lang w:val="fr-FR"/>
        </w:rPr>
        <w:t>de détention de</w:t>
      </w:r>
      <w:r w:rsidRPr="007F4145">
        <w:rPr>
          <w:lang w:val="fr-FR"/>
        </w:rPr>
        <w:t xml:space="preserve"> migrantes</w:t>
      </w:r>
    </w:p>
    <w:p w:rsidR="000D798E" w:rsidRPr="007F4145" w:rsidRDefault="000D798E" w:rsidP="000D798E">
      <w:pPr>
        <w:pStyle w:val="SingleTxtG"/>
        <w:rPr>
          <w:rFonts w:eastAsia="Times New Roman"/>
          <w:shd w:val="clear" w:color="auto" w:fill="FFFFFF"/>
        </w:rPr>
      </w:pPr>
      <w:r w:rsidRPr="007F4145">
        <w:rPr>
          <w:lang w:val="fr-FR"/>
        </w:rPr>
        <w:t>103.</w:t>
      </w:r>
      <w:r w:rsidRPr="007F4145">
        <w:rPr>
          <w:lang w:val="fr-FR"/>
        </w:rPr>
        <w:tab/>
        <w:t xml:space="preserve">Le Sous-Comité </w:t>
      </w:r>
      <w:r>
        <w:rPr>
          <w:lang w:val="fr-FR"/>
        </w:rPr>
        <w:t>a aussi visité le</w:t>
      </w:r>
      <w:r w:rsidRPr="007F4145">
        <w:rPr>
          <w:lang w:val="fr-FR"/>
        </w:rPr>
        <w:t xml:space="preserve"> centre d</w:t>
      </w:r>
      <w:r>
        <w:rPr>
          <w:lang w:val="fr-FR"/>
        </w:rPr>
        <w:t xml:space="preserve">’hébergement de </w:t>
      </w:r>
      <w:r w:rsidRPr="007F4145">
        <w:rPr>
          <w:lang w:val="fr-FR"/>
        </w:rPr>
        <w:t>migrantes. Il a constaté que les femmes privées de liberté ne pouvaient pas</w:t>
      </w:r>
      <w:r>
        <w:rPr>
          <w:lang w:val="fr-FR"/>
        </w:rPr>
        <w:t xml:space="preserve"> y </w:t>
      </w:r>
      <w:r w:rsidRPr="007F4145">
        <w:rPr>
          <w:lang w:val="fr-FR"/>
        </w:rPr>
        <w:t xml:space="preserve">garder leurs enfants </w:t>
      </w:r>
      <w:r>
        <w:rPr>
          <w:lang w:val="fr-FR"/>
        </w:rPr>
        <w:t xml:space="preserve">avec </w:t>
      </w:r>
      <w:r w:rsidRPr="007F4145">
        <w:rPr>
          <w:lang w:val="fr-FR"/>
        </w:rPr>
        <w:t>elles. Certaines ont indiqué avoir subi des mauvais traitements dans une unité</w:t>
      </w:r>
      <w:r>
        <w:rPr>
          <w:lang w:val="fr-FR"/>
        </w:rPr>
        <w:t xml:space="preserve"> pour migrants</w:t>
      </w:r>
      <w:r w:rsidRPr="007F4145">
        <w:rPr>
          <w:lang w:val="fr-FR"/>
        </w:rPr>
        <w:t>, avoir fait l</w:t>
      </w:r>
      <w:r>
        <w:rPr>
          <w:lang w:val="fr-FR"/>
        </w:rPr>
        <w:t>’</w:t>
      </w:r>
      <w:r w:rsidRPr="007F4145">
        <w:rPr>
          <w:lang w:val="fr-FR"/>
        </w:rPr>
        <w:t xml:space="preserve">objet de moqueries pendant leur transfert et </w:t>
      </w:r>
      <w:r>
        <w:rPr>
          <w:lang w:val="fr-FR"/>
        </w:rPr>
        <w:t>avoir passé plus de vingt</w:t>
      </w:r>
      <w:r>
        <w:rPr>
          <w:lang w:val="fr-FR"/>
        </w:rPr>
        <w:noBreakHyphen/>
        <w:t>quatre heures dans un</w:t>
      </w:r>
      <w:r w:rsidRPr="007F4145">
        <w:rPr>
          <w:lang w:val="fr-FR"/>
        </w:rPr>
        <w:t xml:space="preserve"> poste de police sans pouvoir obtenir de serviettes hygiéniques. En outre, les femmes qui ne parlaient pas espagnol n</w:t>
      </w:r>
      <w:r>
        <w:rPr>
          <w:lang w:val="fr-FR"/>
        </w:rPr>
        <w:t>’</w:t>
      </w:r>
      <w:r w:rsidRPr="007F4145">
        <w:rPr>
          <w:lang w:val="fr-FR"/>
        </w:rPr>
        <w:t>avaient pas pu recevoir les services d</w:t>
      </w:r>
      <w:r>
        <w:rPr>
          <w:lang w:val="fr-FR"/>
        </w:rPr>
        <w:t>’</w:t>
      </w:r>
      <w:r w:rsidRPr="007F4145">
        <w:rPr>
          <w:lang w:val="fr-FR"/>
        </w:rPr>
        <w:t xml:space="preserve">un interprète </w:t>
      </w:r>
      <w:r>
        <w:rPr>
          <w:lang w:val="fr-FR"/>
        </w:rPr>
        <w:t>ni</w:t>
      </w:r>
      <w:r w:rsidRPr="007F4145">
        <w:rPr>
          <w:lang w:val="fr-FR"/>
        </w:rPr>
        <w:t xml:space="preserve"> bénéficier de </w:t>
      </w:r>
      <w:r>
        <w:rPr>
          <w:lang w:val="fr-FR"/>
        </w:rPr>
        <w:t>l’assistance</w:t>
      </w:r>
      <w:r w:rsidRPr="007F4145">
        <w:rPr>
          <w:lang w:val="fr-FR"/>
        </w:rPr>
        <w:t xml:space="preserve"> </w:t>
      </w:r>
      <w:r>
        <w:rPr>
          <w:lang w:val="fr-FR"/>
        </w:rPr>
        <w:t>de leur consulat</w:t>
      </w:r>
      <w:r w:rsidRPr="007F4145">
        <w:rPr>
          <w:lang w:val="fr-FR"/>
        </w:rPr>
        <w:t>.</w:t>
      </w:r>
    </w:p>
    <w:p w:rsidR="000D798E" w:rsidRPr="00301C42" w:rsidRDefault="000D798E" w:rsidP="000D798E">
      <w:pPr>
        <w:pStyle w:val="SingleTxtG"/>
        <w:rPr>
          <w:rFonts w:eastAsia="Times New Roman"/>
          <w:b/>
          <w:shd w:val="clear" w:color="auto" w:fill="FFFFFF"/>
        </w:rPr>
      </w:pPr>
      <w:bookmarkStart w:id="98" w:name="bookmark_18"/>
      <w:r w:rsidRPr="007F4145">
        <w:rPr>
          <w:lang w:val="fr-FR"/>
        </w:rPr>
        <w:t>104.</w:t>
      </w:r>
      <w:r w:rsidRPr="007F4145">
        <w:rPr>
          <w:lang w:val="fr-FR"/>
        </w:rPr>
        <w:tab/>
      </w:r>
      <w:r w:rsidRPr="00301C42">
        <w:rPr>
          <w:b/>
          <w:lang w:val="fr-FR"/>
        </w:rPr>
        <w:t>Le Sous-Comité recommande à l’État partie de faire en sorte que les femmes puissent rester avec leurs enfants lorsque les conditions le permettent, compte tenu du principe de l’intérêt supérieur de l’enfant.</w:t>
      </w:r>
      <w:bookmarkEnd w:id="98"/>
    </w:p>
    <w:p w:rsidR="000D798E" w:rsidRPr="00301C42" w:rsidRDefault="000D798E" w:rsidP="000D798E">
      <w:pPr>
        <w:pStyle w:val="SingleTxtG"/>
        <w:rPr>
          <w:rFonts w:eastAsia="Times New Roman"/>
          <w:b/>
          <w:shd w:val="clear" w:color="auto" w:fill="FFFFFF"/>
        </w:rPr>
      </w:pPr>
      <w:bookmarkStart w:id="99" w:name="bookmark_19"/>
      <w:r w:rsidRPr="007F4145">
        <w:rPr>
          <w:lang w:val="fr-FR"/>
        </w:rPr>
        <w:t>105.</w:t>
      </w:r>
      <w:r w:rsidRPr="007F4145">
        <w:rPr>
          <w:lang w:val="fr-FR"/>
        </w:rPr>
        <w:tab/>
      </w:r>
      <w:r w:rsidRPr="00301C42">
        <w:rPr>
          <w:b/>
          <w:lang w:val="fr-FR"/>
        </w:rPr>
        <w:t>Le Sous-Comité recommande à l’État partie de tenir compte des problèmes particuliers que rencontrent les femmes privées de liberté et de reconnaître la nécessité de prendre des mesures appropriées pour résoudre ces problèmes, conformément aux Règles de Bangkok, en particulier la règle n</w:t>
      </w:r>
      <w:r w:rsidRPr="00657E41">
        <w:rPr>
          <w:b/>
          <w:vertAlign w:val="superscript"/>
          <w:lang w:val="fr-FR"/>
        </w:rPr>
        <w:t>o</w:t>
      </w:r>
      <w:r>
        <w:rPr>
          <w:b/>
          <w:lang w:val="fr-FR"/>
        </w:rPr>
        <w:t> </w:t>
      </w:r>
      <w:r w:rsidRPr="00301C42">
        <w:rPr>
          <w:b/>
          <w:lang w:val="fr-FR"/>
        </w:rPr>
        <w:t>26, et au document établi par le Sous-Comité concernant la prévention de la torture et des mauvais traitements à l’égard des femmes privées de liberté.</w:t>
      </w:r>
      <w:bookmarkEnd w:id="99"/>
    </w:p>
    <w:p w:rsidR="000D798E" w:rsidRPr="007F4145" w:rsidRDefault="000D798E" w:rsidP="000D798E">
      <w:pPr>
        <w:pStyle w:val="H1G"/>
        <w:rPr>
          <w:rFonts w:eastAsia="Times New Roman"/>
        </w:rPr>
      </w:pPr>
      <w:bookmarkStart w:id="100" w:name="bookmark_20"/>
      <w:r w:rsidRPr="007F4145">
        <w:rPr>
          <w:lang w:val="fr-FR"/>
        </w:rPr>
        <w:tab/>
        <w:t>B.</w:t>
      </w:r>
      <w:r w:rsidRPr="007F4145">
        <w:rPr>
          <w:lang w:val="fr-FR"/>
        </w:rPr>
        <w:tab/>
      </w:r>
      <w:r>
        <w:rPr>
          <w:lang w:val="fr-FR"/>
        </w:rPr>
        <w:t>A</w:t>
      </w:r>
      <w:r w:rsidRPr="007F4145">
        <w:rPr>
          <w:lang w:val="fr-FR"/>
        </w:rPr>
        <w:t xml:space="preserve">dolescents en conflit avec la loi </w:t>
      </w:r>
      <w:bookmarkEnd w:id="100"/>
    </w:p>
    <w:p w:rsidR="000D798E" w:rsidRPr="007F4145" w:rsidRDefault="000D798E" w:rsidP="000D798E">
      <w:pPr>
        <w:pStyle w:val="SingleTxtG"/>
        <w:rPr>
          <w:rFonts w:eastAsia="Times New Roman"/>
        </w:rPr>
      </w:pPr>
      <w:bookmarkStart w:id="101" w:name="bookmark_21"/>
      <w:r>
        <w:rPr>
          <w:lang w:val="fr-FR"/>
        </w:rPr>
        <w:t>106.</w:t>
      </w:r>
      <w:r>
        <w:rPr>
          <w:lang w:val="fr-FR"/>
        </w:rPr>
        <w:tab/>
        <w:t xml:space="preserve">Le régime spécial de </w:t>
      </w:r>
      <w:r w:rsidRPr="007F4145">
        <w:rPr>
          <w:lang w:val="fr-FR"/>
        </w:rPr>
        <w:t>responsabilité pénale des adolescents</w:t>
      </w:r>
      <w:r w:rsidRPr="001812B5">
        <w:rPr>
          <w:lang w:val="fr-FR"/>
        </w:rPr>
        <w:t xml:space="preserve"> </w:t>
      </w:r>
      <w:r>
        <w:rPr>
          <w:lang w:val="fr-FR"/>
        </w:rPr>
        <w:t>est établi par l</w:t>
      </w:r>
      <w:r w:rsidRPr="007F4145">
        <w:rPr>
          <w:lang w:val="fr-FR"/>
        </w:rPr>
        <w:t>a loi n</w:t>
      </w:r>
      <w:r w:rsidRPr="00657E41">
        <w:rPr>
          <w:vertAlign w:val="superscript"/>
          <w:lang w:val="fr-FR"/>
        </w:rPr>
        <w:t>o</w:t>
      </w:r>
      <w:r>
        <w:rPr>
          <w:lang w:val="fr-FR"/>
        </w:rPr>
        <w:t> </w:t>
      </w:r>
      <w:r w:rsidRPr="007F4145">
        <w:rPr>
          <w:lang w:val="fr-FR"/>
        </w:rPr>
        <w:t>40 du 26</w:t>
      </w:r>
      <w:r>
        <w:rPr>
          <w:lang w:val="fr-FR"/>
        </w:rPr>
        <w:t> </w:t>
      </w:r>
      <w:r w:rsidRPr="007F4145">
        <w:rPr>
          <w:lang w:val="fr-FR"/>
        </w:rPr>
        <w:t xml:space="preserve">août 1999. </w:t>
      </w:r>
      <w:r>
        <w:rPr>
          <w:lang w:val="fr-FR"/>
        </w:rPr>
        <w:t xml:space="preserve">D’après les informations que l’État partie a communiquées au Comité contre la torture, </w:t>
      </w:r>
      <w:r w:rsidRPr="007F4145">
        <w:rPr>
          <w:lang w:val="fr-FR"/>
        </w:rPr>
        <w:t>plus de 500</w:t>
      </w:r>
      <w:r>
        <w:rPr>
          <w:lang w:val="fr-FR"/>
        </w:rPr>
        <w:t> </w:t>
      </w:r>
      <w:r w:rsidRPr="007F4145">
        <w:rPr>
          <w:lang w:val="fr-FR"/>
        </w:rPr>
        <w:t xml:space="preserve">mineurs </w:t>
      </w:r>
      <w:r>
        <w:rPr>
          <w:lang w:val="fr-FR"/>
        </w:rPr>
        <w:t>se trouvent</w:t>
      </w:r>
      <w:r w:rsidRPr="007F4145">
        <w:rPr>
          <w:lang w:val="fr-FR"/>
        </w:rPr>
        <w:t xml:space="preserve"> en détention, dont 300 dans des établissement</w:t>
      </w:r>
      <w:r>
        <w:rPr>
          <w:lang w:val="fr-FR"/>
        </w:rPr>
        <w:t>s</w:t>
      </w:r>
      <w:r w:rsidRPr="007F4145">
        <w:rPr>
          <w:lang w:val="fr-FR"/>
        </w:rPr>
        <w:t xml:space="preserve"> pour peine et près de 200 dans </w:t>
      </w:r>
      <w:r>
        <w:rPr>
          <w:lang w:val="fr-FR"/>
        </w:rPr>
        <w:t>des établissements pour adultes, en dépit du</w:t>
      </w:r>
      <w:r w:rsidRPr="007F4145">
        <w:rPr>
          <w:lang w:val="fr-FR"/>
        </w:rPr>
        <w:t xml:space="preserve"> fait que l</w:t>
      </w:r>
      <w:r>
        <w:rPr>
          <w:lang w:val="fr-FR"/>
        </w:rPr>
        <w:t>’</w:t>
      </w:r>
      <w:r w:rsidRPr="007F4145">
        <w:rPr>
          <w:lang w:val="fr-FR"/>
        </w:rPr>
        <w:t xml:space="preserve">État </w:t>
      </w:r>
      <w:r>
        <w:rPr>
          <w:lang w:val="fr-FR"/>
        </w:rPr>
        <w:t xml:space="preserve">a </w:t>
      </w:r>
      <w:r w:rsidRPr="007F4145">
        <w:rPr>
          <w:lang w:val="fr-FR"/>
        </w:rPr>
        <w:t xml:space="preserve">lui-même </w:t>
      </w:r>
      <w:r>
        <w:rPr>
          <w:lang w:val="fr-FR"/>
        </w:rPr>
        <w:t>indiqué</w:t>
      </w:r>
      <w:r w:rsidRPr="007F4145">
        <w:rPr>
          <w:lang w:val="fr-FR"/>
        </w:rPr>
        <w:t xml:space="preserve"> que des mesures privatives de liberté ne </w:t>
      </w:r>
      <w:r>
        <w:rPr>
          <w:lang w:val="fr-FR"/>
        </w:rPr>
        <w:t>devaient</w:t>
      </w:r>
      <w:r w:rsidRPr="007F4145">
        <w:rPr>
          <w:lang w:val="fr-FR"/>
        </w:rPr>
        <w:t xml:space="preserve"> être prises </w:t>
      </w:r>
      <w:r>
        <w:rPr>
          <w:lang w:val="fr-FR"/>
        </w:rPr>
        <w:t xml:space="preserve">qu’à titre exceptionnel. </w:t>
      </w:r>
      <w:r w:rsidRPr="007F4145">
        <w:rPr>
          <w:lang w:val="fr-FR"/>
        </w:rPr>
        <w:t>Des mesures de substitution ont été prises concernant 406</w:t>
      </w:r>
      <w:r>
        <w:rPr>
          <w:lang w:val="fr-FR"/>
        </w:rPr>
        <w:t> </w:t>
      </w:r>
      <w:r w:rsidRPr="007F4145">
        <w:rPr>
          <w:lang w:val="fr-FR"/>
        </w:rPr>
        <w:t>mineurs</w:t>
      </w:r>
      <w:r w:rsidRPr="004D62C4">
        <w:rPr>
          <w:rStyle w:val="Appelnotedebasdep"/>
        </w:rPr>
        <w:footnoteReference w:id="14"/>
      </w:r>
      <w:r w:rsidRPr="007F4145">
        <w:rPr>
          <w:lang w:val="fr-FR"/>
        </w:rPr>
        <w:t>.</w:t>
      </w:r>
      <w:bookmarkEnd w:id="101"/>
    </w:p>
    <w:p w:rsidR="000D798E" w:rsidRPr="007F4145" w:rsidRDefault="000D798E" w:rsidP="000D798E">
      <w:pPr>
        <w:pStyle w:val="SingleTxtG"/>
        <w:rPr>
          <w:rFonts w:eastAsia="Times New Roman"/>
        </w:rPr>
      </w:pPr>
      <w:bookmarkStart w:id="103" w:name="bookmark_23"/>
      <w:r>
        <w:rPr>
          <w:lang w:val="fr-FR"/>
        </w:rPr>
        <w:t>107.</w:t>
      </w:r>
      <w:r>
        <w:rPr>
          <w:lang w:val="fr-FR"/>
        </w:rPr>
        <w:tab/>
        <w:t>À</w:t>
      </w:r>
      <w:r w:rsidRPr="007F4145">
        <w:rPr>
          <w:lang w:val="fr-FR"/>
        </w:rPr>
        <w:t xml:space="preserve"> la lumière de l</w:t>
      </w:r>
      <w:r>
        <w:rPr>
          <w:lang w:val="fr-FR"/>
        </w:rPr>
        <w:t>’</w:t>
      </w:r>
      <w:r w:rsidRPr="007F4145">
        <w:rPr>
          <w:lang w:val="fr-FR"/>
        </w:rPr>
        <w:t>objectif de l</w:t>
      </w:r>
      <w:r>
        <w:rPr>
          <w:lang w:val="fr-FR"/>
        </w:rPr>
        <w:t>’</w:t>
      </w:r>
      <w:r w:rsidRPr="007F4145">
        <w:rPr>
          <w:lang w:val="fr-FR"/>
        </w:rPr>
        <w:t xml:space="preserve">État partie, qui consiste à protéger les adolescents </w:t>
      </w:r>
      <w:r>
        <w:rPr>
          <w:lang w:val="fr-FR"/>
        </w:rPr>
        <w:t>en conflit avec le droit</w:t>
      </w:r>
      <w:r w:rsidRPr="007F4145">
        <w:rPr>
          <w:lang w:val="fr-FR"/>
        </w:rPr>
        <w:t xml:space="preserve"> pénal </w:t>
      </w:r>
      <w:r>
        <w:rPr>
          <w:lang w:val="fr-FR"/>
        </w:rPr>
        <w:t>de façon à garantir</w:t>
      </w:r>
      <w:r w:rsidRPr="007F4145">
        <w:rPr>
          <w:lang w:val="fr-FR"/>
        </w:rPr>
        <w:t xml:space="preserve"> leur réadaptation et leur réinsertion </w:t>
      </w:r>
      <w:r>
        <w:rPr>
          <w:lang w:val="fr-FR"/>
        </w:rPr>
        <w:t>et à éviter toute récidive</w:t>
      </w:r>
      <w:r w:rsidRPr="007F4145">
        <w:rPr>
          <w:lang w:val="fr-FR"/>
        </w:rPr>
        <w:t>, les modifications de la loi n</w:t>
      </w:r>
      <w:r w:rsidRPr="00657E41">
        <w:rPr>
          <w:vertAlign w:val="superscript"/>
          <w:lang w:val="fr-FR"/>
        </w:rPr>
        <w:t>o</w:t>
      </w:r>
      <w:r>
        <w:rPr>
          <w:lang w:val="fr-FR"/>
        </w:rPr>
        <w:t> </w:t>
      </w:r>
      <w:r w:rsidRPr="007F4145">
        <w:rPr>
          <w:lang w:val="fr-FR"/>
        </w:rPr>
        <w:t>40, en particulier celles de 2007 et de 2010, sont inquiétantes. Comme le Comité des droits de l</w:t>
      </w:r>
      <w:r>
        <w:rPr>
          <w:lang w:val="fr-FR"/>
        </w:rPr>
        <w:t>’</w:t>
      </w:r>
      <w:r w:rsidRPr="007F4145">
        <w:rPr>
          <w:lang w:val="fr-FR"/>
        </w:rPr>
        <w:t>enfant</w:t>
      </w:r>
      <w:r>
        <w:rPr>
          <w:lang w:val="fr-FR"/>
        </w:rPr>
        <w:t xml:space="preserve">, </w:t>
      </w:r>
      <w:r w:rsidRPr="007F4145">
        <w:rPr>
          <w:lang w:val="fr-FR"/>
        </w:rPr>
        <w:t xml:space="preserve">le Sous-Comité </w:t>
      </w:r>
      <w:r>
        <w:rPr>
          <w:lang w:val="fr-FR"/>
        </w:rPr>
        <w:t>est préoccupé</w:t>
      </w:r>
      <w:r w:rsidRPr="007F4145">
        <w:rPr>
          <w:lang w:val="fr-FR"/>
        </w:rPr>
        <w:t xml:space="preserve"> en particulier </w:t>
      </w:r>
      <w:r>
        <w:rPr>
          <w:lang w:val="fr-FR"/>
        </w:rPr>
        <w:t>par l</w:t>
      </w:r>
      <w:r w:rsidRPr="007F4145">
        <w:rPr>
          <w:lang w:val="fr-FR"/>
        </w:rPr>
        <w:t>e</w:t>
      </w:r>
      <w:r>
        <w:rPr>
          <w:lang w:val="fr-FR"/>
        </w:rPr>
        <w:t>s modifications suivantes :</w:t>
      </w:r>
      <w:r w:rsidRPr="007F4145">
        <w:rPr>
          <w:lang w:val="fr-FR"/>
        </w:rPr>
        <w:t xml:space="preserve"> l</w:t>
      </w:r>
      <w:r>
        <w:rPr>
          <w:lang w:val="fr-FR"/>
        </w:rPr>
        <w:t>’</w:t>
      </w:r>
      <w:r w:rsidRPr="007F4145">
        <w:rPr>
          <w:lang w:val="fr-FR"/>
        </w:rPr>
        <w:t xml:space="preserve">augmentation de la durée maximale de </w:t>
      </w:r>
      <w:r>
        <w:rPr>
          <w:lang w:val="fr-FR"/>
        </w:rPr>
        <w:t xml:space="preserve">la période de </w:t>
      </w:r>
      <w:r w:rsidRPr="007F4145">
        <w:rPr>
          <w:lang w:val="fr-FR"/>
        </w:rPr>
        <w:t>privation de liberté</w:t>
      </w:r>
      <w:r>
        <w:rPr>
          <w:lang w:val="fr-FR"/>
        </w:rPr>
        <w:t xml:space="preserve">, qui passe de cinq à douze ans (2007), </w:t>
      </w:r>
      <w:r w:rsidRPr="007F4145">
        <w:rPr>
          <w:lang w:val="fr-FR"/>
        </w:rPr>
        <w:t>l</w:t>
      </w:r>
      <w:r>
        <w:rPr>
          <w:lang w:val="fr-FR"/>
        </w:rPr>
        <w:t>’</w:t>
      </w:r>
      <w:r w:rsidRPr="007F4145">
        <w:rPr>
          <w:lang w:val="fr-FR"/>
        </w:rPr>
        <w:t xml:space="preserve">augmentation de la </w:t>
      </w:r>
      <w:r w:rsidRPr="007F4145">
        <w:rPr>
          <w:lang w:val="fr-FR"/>
        </w:rPr>
        <w:lastRenderedPageBreak/>
        <w:t>durée maximale de la période de détention pr</w:t>
      </w:r>
      <w:r>
        <w:rPr>
          <w:lang w:val="fr-FR"/>
        </w:rPr>
        <w:t>éventive, qui passe de deux à neuf mois (2007)</w:t>
      </w:r>
      <w:r w:rsidRPr="007F4145">
        <w:rPr>
          <w:lang w:val="fr-FR"/>
        </w:rPr>
        <w:t xml:space="preserve"> </w:t>
      </w:r>
      <w:r>
        <w:rPr>
          <w:lang w:val="fr-FR"/>
        </w:rPr>
        <w:t xml:space="preserve">et peut être prolongée indéfiniment en cas d’homicide (2010), </w:t>
      </w:r>
      <w:r w:rsidRPr="007F4145">
        <w:rPr>
          <w:lang w:val="fr-FR"/>
        </w:rPr>
        <w:t>l</w:t>
      </w:r>
      <w:r>
        <w:rPr>
          <w:lang w:val="fr-FR"/>
        </w:rPr>
        <w:t>’</w:t>
      </w:r>
      <w:r w:rsidRPr="007F4145">
        <w:rPr>
          <w:lang w:val="fr-FR"/>
        </w:rPr>
        <w:t>allongement de la liste d</w:t>
      </w:r>
      <w:r>
        <w:rPr>
          <w:lang w:val="fr-FR"/>
        </w:rPr>
        <w:t>’</w:t>
      </w:r>
      <w:r w:rsidRPr="007F4145">
        <w:rPr>
          <w:lang w:val="fr-FR"/>
        </w:rPr>
        <w:t>infractions passibles d</w:t>
      </w:r>
      <w:r>
        <w:rPr>
          <w:lang w:val="fr-FR"/>
        </w:rPr>
        <w:t>’</w:t>
      </w:r>
      <w:r w:rsidRPr="007F4145">
        <w:rPr>
          <w:lang w:val="fr-FR"/>
        </w:rPr>
        <w:t>une peine de privatio</w:t>
      </w:r>
      <w:r>
        <w:rPr>
          <w:lang w:val="fr-FR"/>
        </w:rPr>
        <w:t xml:space="preserve">n de liberté (2002, 2004, 2007), </w:t>
      </w:r>
      <w:r w:rsidRPr="007F4145">
        <w:rPr>
          <w:lang w:val="fr-FR"/>
        </w:rPr>
        <w:t>la diminution de l</w:t>
      </w:r>
      <w:r>
        <w:rPr>
          <w:lang w:val="fr-FR"/>
        </w:rPr>
        <w:t>’</w:t>
      </w:r>
      <w:r w:rsidRPr="007F4145">
        <w:rPr>
          <w:lang w:val="fr-FR"/>
        </w:rPr>
        <w:t>âge de la responsabilité pénale</w:t>
      </w:r>
      <w:r>
        <w:rPr>
          <w:lang w:val="fr-FR"/>
        </w:rPr>
        <w:t>,</w:t>
      </w:r>
      <w:r w:rsidRPr="007F4145">
        <w:rPr>
          <w:lang w:val="fr-FR"/>
        </w:rPr>
        <w:t xml:space="preserve"> </w:t>
      </w:r>
      <w:r>
        <w:rPr>
          <w:lang w:val="fr-FR"/>
        </w:rPr>
        <w:t xml:space="preserve">qui est ramené </w:t>
      </w:r>
      <w:r w:rsidRPr="007F4145">
        <w:rPr>
          <w:lang w:val="fr-FR"/>
        </w:rPr>
        <w:t>de 14 à 12 ans (2010)</w:t>
      </w:r>
      <w:r>
        <w:rPr>
          <w:lang w:val="fr-FR"/>
        </w:rPr>
        <w:t xml:space="preserve">, </w:t>
      </w:r>
      <w:r w:rsidRPr="007F4145">
        <w:rPr>
          <w:lang w:val="fr-FR"/>
        </w:rPr>
        <w:t>l</w:t>
      </w:r>
      <w:r>
        <w:rPr>
          <w:lang w:val="fr-FR"/>
        </w:rPr>
        <w:t>’</w:t>
      </w:r>
      <w:r w:rsidRPr="007F4145">
        <w:rPr>
          <w:lang w:val="fr-FR"/>
        </w:rPr>
        <w:t>abaissement de l</w:t>
      </w:r>
      <w:r>
        <w:rPr>
          <w:lang w:val="fr-FR"/>
        </w:rPr>
        <w:t>’</w:t>
      </w:r>
      <w:r w:rsidRPr="007F4145">
        <w:rPr>
          <w:lang w:val="fr-FR"/>
        </w:rPr>
        <w:t xml:space="preserve">âge minimal </w:t>
      </w:r>
      <w:r>
        <w:rPr>
          <w:lang w:val="fr-FR"/>
        </w:rPr>
        <w:t>d’intégration dans le</w:t>
      </w:r>
      <w:r w:rsidRPr="007F4145">
        <w:rPr>
          <w:lang w:val="fr-FR"/>
        </w:rPr>
        <w:t xml:space="preserve"> système pénitentiaire</w:t>
      </w:r>
      <w:r>
        <w:rPr>
          <w:lang w:val="fr-FR"/>
        </w:rPr>
        <w:t xml:space="preserve">, qui est ramené de </w:t>
      </w:r>
      <w:r w:rsidRPr="007F4145">
        <w:rPr>
          <w:lang w:val="fr-FR"/>
        </w:rPr>
        <w:t xml:space="preserve">21 à 18 ans, </w:t>
      </w:r>
      <w:r>
        <w:rPr>
          <w:lang w:val="fr-FR"/>
        </w:rPr>
        <w:t>modification applicable à quiconque</w:t>
      </w:r>
      <w:r w:rsidRPr="007F4145">
        <w:rPr>
          <w:lang w:val="fr-FR"/>
        </w:rPr>
        <w:t xml:space="preserve"> purge une peine dans </w:t>
      </w:r>
      <w:r>
        <w:rPr>
          <w:lang w:val="fr-FR"/>
        </w:rPr>
        <w:t>un centre d</w:t>
      </w:r>
      <w:r w:rsidRPr="007F4145">
        <w:rPr>
          <w:lang w:val="fr-FR"/>
        </w:rPr>
        <w:t>e</w:t>
      </w:r>
      <w:r>
        <w:rPr>
          <w:lang w:val="fr-FR"/>
        </w:rPr>
        <w:t xml:space="preserve"> détention</w:t>
      </w:r>
      <w:r w:rsidRPr="007F4145">
        <w:rPr>
          <w:lang w:val="fr-FR"/>
        </w:rPr>
        <w:t xml:space="preserve"> pour mineurs (2007). </w:t>
      </w:r>
      <w:bookmarkEnd w:id="103"/>
    </w:p>
    <w:p w:rsidR="000D798E" w:rsidRPr="00301C42" w:rsidRDefault="000D798E" w:rsidP="000D798E">
      <w:pPr>
        <w:pStyle w:val="SingleTxtG"/>
        <w:rPr>
          <w:rFonts w:eastAsia="Times New Roman"/>
          <w:b/>
        </w:rPr>
      </w:pPr>
      <w:bookmarkStart w:id="104" w:name="bookmark_24"/>
      <w:r w:rsidRPr="007F4145">
        <w:rPr>
          <w:lang w:val="fr-FR"/>
        </w:rPr>
        <w:t>108.</w:t>
      </w:r>
      <w:r w:rsidRPr="007F4145">
        <w:rPr>
          <w:lang w:val="fr-FR"/>
        </w:rPr>
        <w:tab/>
      </w:r>
      <w:r w:rsidRPr="00301C42">
        <w:rPr>
          <w:b/>
          <w:lang w:val="fr-FR"/>
        </w:rPr>
        <w:t>Le Sous-Comité recommande à l’État partie de réviser sa législation relative à la justice pénale pour mineurs conformément aux normes internationales, en tenant compte de l’Ensemble de règles minima des Nations Unies concernant l’administration de la justice pour mineurs (Règles de Beijing), des Principes directeurs des Nations Unies pour la prévention de la délinquance juvénile (Principes directeurs de Riyad), des Règles des Nations Unies pour la protection des mineurs privés de liberté (Règles de La Havane) et de l’observation générale du C</w:t>
      </w:r>
      <w:r>
        <w:rPr>
          <w:b/>
          <w:lang w:val="fr-FR"/>
        </w:rPr>
        <w:t>omité des droits de l’enfant n</w:t>
      </w:r>
      <w:r w:rsidRPr="00163978">
        <w:rPr>
          <w:b/>
          <w:vertAlign w:val="superscript"/>
          <w:lang w:val="fr-FR"/>
        </w:rPr>
        <w:t>o</w:t>
      </w:r>
      <w:r>
        <w:rPr>
          <w:b/>
          <w:lang w:val="fr-FR"/>
        </w:rPr>
        <w:t> </w:t>
      </w:r>
      <w:r w:rsidRPr="00301C42">
        <w:rPr>
          <w:b/>
          <w:lang w:val="fr-FR"/>
        </w:rPr>
        <w:t>10 (2007) sur les droits de l’enfant dans le système de justice pour mineurs.</w:t>
      </w:r>
      <w:bookmarkEnd w:id="104"/>
    </w:p>
    <w:p w:rsidR="000D798E" w:rsidRPr="007F4145" w:rsidRDefault="000D798E" w:rsidP="000D798E">
      <w:pPr>
        <w:pStyle w:val="SingleTxtG"/>
        <w:rPr>
          <w:rFonts w:eastAsia="Times New Roman"/>
        </w:rPr>
      </w:pPr>
      <w:bookmarkStart w:id="105" w:name="bookmark_25"/>
      <w:r w:rsidRPr="007F4145">
        <w:rPr>
          <w:lang w:val="fr-FR"/>
        </w:rPr>
        <w:t>109.</w:t>
      </w:r>
      <w:r w:rsidRPr="007F4145">
        <w:rPr>
          <w:lang w:val="fr-FR"/>
        </w:rPr>
        <w:tab/>
        <w:t>Le Sous-Comité a visité deux centres de détention pour mineurs</w:t>
      </w:r>
      <w:r>
        <w:rPr>
          <w:lang w:val="fr-FR"/>
        </w:rPr>
        <w:t> </w:t>
      </w:r>
      <w:r w:rsidRPr="007F4145">
        <w:rPr>
          <w:lang w:val="fr-FR"/>
        </w:rPr>
        <w:t>: l</w:t>
      </w:r>
      <w:r>
        <w:rPr>
          <w:lang w:val="fr-FR"/>
        </w:rPr>
        <w:t>’</w:t>
      </w:r>
      <w:r w:rsidRPr="007F4145">
        <w:rPr>
          <w:lang w:val="fr-FR"/>
        </w:rPr>
        <w:t xml:space="preserve">établissement pour peines pour garçons de </w:t>
      </w:r>
      <w:proofErr w:type="spellStart"/>
      <w:r w:rsidRPr="007F4145">
        <w:rPr>
          <w:lang w:val="fr-FR"/>
        </w:rPr>
        <w:t>Pacora</w:t>
      </w:r>
      <w:proofErr w:type="spellEnd"/>
      <w:r w:rsidRPr="007F4145">
        <w:rPr>
          <w:lang w:val="fr-FR"/>
        </w:rPr>
        <w:t xml:space="preserve"> et la maison d</w:t>
      </w:r>
      <w:r>
        <w:rPr>
          <w:lang w:val="fr-FR"/>
        </w:rPr>
        <w:t>’</w:t>
      </w:r>
      <w:r w:rsidRPr="007F4145">
        <w:rPr>
          <w:lang w:val="fr-FR"/>
        </w:rPr>
        <w:t xml:space="preserve">arrêt pour garçons de </w:t>
      </w:r>
      <w:proofErr w:type="spellStart"/>
      <w:r w:rsidRPr="007F4145">
        <w:rPr>
          <w:lang w:val="fr-FR"/>
        </w:rPr>
        <w:t>Tocumen</w:t>
      </w:r>
      <w:proofErr w:type="spellEnd"/>
      <w:r w:rsidRPr="007F4145">
        <w:rPr>
          <w:lang w:val="fr-FR"/>
        </w:rPr>
        <w:t xml:space="preserve"> (Arco</w:t>
      </w:r>
      <w:r>
        <w:rPr>
          <w:lang w:val="fr-FR"/>
        </w:rPr>
        <w:t> </w:t>
      </w:r>
      <w:r w:rsidRPr="007F4145">
        <w:rPr>
          <w:lang w:val="fr-FR"/>
        </w:rPr>
        <w:t xml:space="preserve">Iris). </w:t>
      </w:r>
      <w:bookmarkEnd w:id="105"/>
    </w:p>
    <w:p w:rsidR="000D798E" w:rsidRPr="007F4145" w:rsidRDefault="000D798E" w:rsidP="000D798E">
      <w:pPr>
        <w:pStyle w:val="SingleTxtG"/>
        <w:rPr>
          <w:rFonts w:eastAsia="Times New Roman"/>
        </w:rPr>
      </w:pPr>
      <w:bookmarkStart w:id="106" w:name="bookmark_26"/>
      <w:r w:rsidRPr="007F4145">
        <w:rPr>
          <w:lang w:val="fr-FR"/>
        </w:rPr>
        <w:t>110.</w:t>
      </w:r>
      <w:r w:rsidRPr="007F4145">
        <w:rPr>
          <w:lang w:val="fr-FR"/>
        </w:rPr>
        <w:tab/>
        <w:t xml:space="preserve">Le Sous-Comité a </w:t>
      </w:r>
      <w:r>
        <w:rPr>
          <w:lang w:val="fr-FR"/>
        </w:rPr>
        <w:t>constaté</w:t>
      </w:r>
      <w:r w:rsidRPr="007F4145">
        <w:rPr>
          <w:lang w:val="fr-FR"/>
        </w:rPr>
        <w:t xml:space="preserve"> que l</w:t>
      </w:r>
      <w:r>
        <w:rPr>
          <w:lang w:val="fr-FR"/>
        </w:rPr>
        <w:t>’</w:t>
      </w:r>
      <w:r w:rsidRPr="007F4145">
        <w:rPr>
          <w:lang w:val="fr-FR"/>
        </w:rPr>
        <w:t xml:space="preserve">établissement de </w:t>
      </w:r>
      <w:proofErr w:type="spellStart"/>
      <w:r w:rsidRPr="007F4145">
        <w:rPr>
          <w:lang w:val="fr-FR"/>
        </w:rPr>
        <w:t>Pacora</w:t>
      </w:r>
      <w:proofErr w:type="spellEnd"/>
      <w:r w:rsidRPr="007F4145">
        <w:rPr>
          <w:lang w:val="fr-FR"/>
        </w:rPr>
        <w:t xml:space="preserve"> était r</w:t>
      </w:r>
      <w:r>
        <w:rPr>
          <w:lang w:val="fr-FR"/>
        </w:rPr>
        <w:t>elativement neuf et que certain</w:t>
      </w:r>
      <w:r w:rsidRPr="007F4145">
        <w:rPr>
          <w:lang w:val="fr-FR"/>
        </w:rPr>
        <w:t xml:space="preserve">s quartiers </w:t>
      </w:r>
      <w:r>
        <w:rPr>
          <w:lang w:val="fr-FR"/>
        </w:rPr>
        <w:t xml:space="preserve">pénitentiaires </w:t>
      </w:r>
      <w:r w:rsidRPr="007F4145">
        <w:rPr>
          <w:lang w:val="fr-FR"/>
        </w:rPr>
        <w:t xml:space="preserve">présentaient des conditions matérielles </w:t>
      </w:r>
      <w:r>
        <w:rPr>
          <w:lang w:val="fr-FR"/>
        </w:rPr>
        <w:t>satisfaisante</w:t>
      </w:r>
      <w:r w:rsidRPr="007F4145">
        <w:rPr>
          <w:lang w:val="fr-FR"/>
        </w:rPr>
        <w:t xml:space="preserve">s tandis que </w:t>
      </w:r>
      <w:r>
        <w:rPr>
          <w:lang w:val="fr-FR"/>
        </w:rPr>
        <w:t>d’a</w:t>
      </w:r>
      <w:r w:rsidRPr="007F4145">
        <w:rPr>
          <w:lang w:val="fr-FR"/>
        </w:rPr>
        <w:t xml:space="preserve">utres </w:t>
      </w:r>
      <w:r>
        <w:rPr>
          <w:lang w:val="fr-FR"/>
        </w:rPr>
        <w:t>reproduisaient</w:t>
      </w:r>
      <w:r w:rsidRPr="007F4145">
        <w:rPr>
          <w:lang w:val="fr-FR"/>
        </w:rPr>
        <w:t xml:space="preserve"> le modèle des prisons pour adultes (en particulier le quartier</w:t>
      </w:r>
      <w:r>
        <w:rPr>
          <w:lang w:val="fr-FR"/>
        </w:rPr>
        <w:t> </w:t>
      </w:r>
      <w:r w:rsidRPr="007F4145">
        <w:rPr>
          <w:lang w:val="fr-FR"/>
        </w:rPr>
        <w:t>1A et le</w:t>
      </w:r>
      <w:r>
        <w:rPr>
          <w:lang w:val="fr-FR"/>
        </w:rPr>
        <w:t>s cellules</w:t>
      </w:r>
      <w:r w:rsidRPr="007F4145">
        <w:rPr>
          <w:lang w:val="fr-FR"/>
        </w:rPr>
        <w:t xml:space="preserve"> de haute sécurité). </w:t>
      </w:r>
      <w:bookmarkEnd w:id="106"/>
    </w:p>
    <w:p w:rsidR="000D798E" w:rsidRPr="007F4145" w:rsidRDefault="000D798E" w:rsidP="000D798E">
      <w:pPr>
        <w:pStyle w:val="SingleTxtG"/>
        <w:rPr>
          <w:rFonts w:eastAsia="Times New Roman"/>
        </w:rPr>
      </w:pPr>
      <w:bookmarkStart w:id="107" w:name="bookmark_27"/>
      <w:r w:rsidRPr="007F4145">
        <w:rPr>
          <w:lang w:val="fr-FR"/>
        </w:rPr>
        <w:t>111.</w:t>
      </w:r>
      <w:r w:rsidRPr="007F4145">
        <w:rPr>
          <w:lang w:val="fr-FR"/>
        </w:rPr>
        <w:tab/>
      </w:r>
      <w:r>
        <w:rPr>
          <w:lang w:val="fr-FR"/>
        </w:rPr>
        <w:t>Le</w:t>
      </w:r>
      <w:r w:rsidRPr="007F4145">
        <w:rPr>
          <w:lang w:val="fr-FR"/>
        </w:rPr>
        <w:t xml:space="preserve"> centre </w:t>
      </w:r>
      <w:r>
        <w:rPr>
          <w:lang w:val="fr-FR"/>
        </w:rPr>
        <w:t>fonctionne selon</w:t>
      </w:r>
      <w:r w:rsidRPr="007F4145">
        <w:rPr>
          <w:lang w:val="fr-FR"/>
        </w:rPr>
        <w:t xml:space="preserve"> un système progressif : les </w:t>
      </w:r>
      <w:r>
        <w:rPr>
          <w:lang w:val="fr-FR"/>
        </w:rPr>
        <w:t>mineurs</w:t>
      </w:r>
      <w:r w:rsidRPr="007F4145">
        <w:rPr>
          <w:lang w:val="fr-FR"/>
        </w:rPr>
        <w:t xml:space="preserve"> </w:t>
      </w:r>
      <w:r>
        <w:rPr>
          <w:lang w:val="fr-FR"/>
        </w:rPr>
        <w:t>so</w:t>
      </w:r>
      <w:r w:rsidRPr="007F4145">
        <w:rPr>
          <w:lang w:val="fr-FR"/>
        </w:rPr>
        <w:t>nt d</w:t>
      </w:r>
      <w:r>
        <w:rPr>
          <w:lang w:val="fr-FR"/>
        </w:rPr>
        <w:t>’</w:t>
      </w:r>
      <w:r w:rsidRPr="007F4145">
        <w:rPr>
          <w:lang w:val="fr-FR"/>
        </w:rPr>
        <w:t>abord placés dans le quartier</w:t>
      </w:r>
      <w:r>
        <w:rPr>
          <w:lang w:val="fr-FR"/>
        </w:rPr>
        <w:t> </w:t>
      </w:r>
      <w:r w:rsidRPr="007F4145">
        <w:rPr>
          <w:lang w:val="fr-FR"/>
        </w:rPr>
        <w:t xml:space="preserve">1, où les conditions </w:t>
      </w:r>
      <w:r>
        <w:rPr>
          <w:lang w:val="fr-FR"/>
        </w:rPr>
        <w:t>so</w:t>
      </w:r>
      <w:r w:rsidRPr="007F4145">
        <w:rPr>
          <w:lang w:val="fr-FR"/>
        </w:rPr>
        <w:t xml:space="preserve">nt </w:t>
      </w:r>
      <w:r>
        <w:rPr>
          <w:lang w:val="fr-FR"/>
        </w:rPr>
        <w:t>assez</w:t>
      </w:r>
      <w:r w:rsidRPr="007F4145">
        <w:rPr>
          <w:lang w:val="fr-FR"/>
        </w:rPr>
        <w:t xml:space="preserve"> rudim</w:t>
      </w:r>
      <w:r>
        <w:rPr>
          <w:lang w:val="fr-FR"/>
        </w:rPr>
        <w:t>entaires, et, s’ils se comport</w:t>
      </w:r>
      <w:r w:rsidRPr="007F4145">
        <w:rPr>
          <w:lang w:val="fr-FR"/>
        </w:rPr>
        <w:t>ent de manière satisfaisante, ils p</w:t>
      </w:r>
      <w:r>
        <w:rPr>
          <w:lang w:val="fr-FR"/>
        </w:rPr>
        <w:t>euv</w:t>
      </w:r>
      <w:r w:rsidRPr="007F4145">
        <w:rPr>
          <w:lang w:val="fr-FR"/>
        </w:rPr>
        <w:t xml:space="preserve">ent obtenir des avantages et être </w:t>
      </w:r>
      <w:r>
        <w:rPr>
          <w:lang w:val="fr-FR"/>
        </w:rPr>
        <w:t>transférés vers des quartiers de</w:t>
      </w:r>
      <w:r w:rsidRPr="007F4145">
        <w:rPr>
          <w:lang w:val="fr-FR"/>
        </w:rPr>
        <w:t xml:space="preserve"> niveau supérieur. En cas de mauvaise conduite ou d</w:t>
      </w:r>
      <w:r>
        <w:rPr>
          <w:lang w:val="fr-FR"/>
        </w:rPr>
        <w:t>’</w:t>
      </w:r>
      <w:r w:rsidRPr="007F4145">
        <w:rPr>
          <w:lang w:val="fr-FR"/>
        </w:rPr>
        <w:t>écart disciplina</w:t>
      </w:r>
      <w:r>
        <w:rPr>
          <w:lang w:val="fr-FR"/>
        </w:rPr>
        <w:t>ire, ils réintègrent</w:t>
      </w:r>
      <w:r w:rsidRPr="007F4145">
        <w:rPr>
          <w:lang w:val="fr-FR"/>
        </w:rPr>
        <w:t xml:space="preserve"> un quartier de niveau inférieur ou </w:t>
      </w:r>
      <w:r>
        <w:rPr>
          <w:lang w:val="fr-FR"/>
        </w:rPr>
        <w:t>se voient imposer</w:t>
      </w:r>
      <w:r w:rsidRPr="007F4145">
        <w:rPr>
          <w:lang w:val="fr-FR"/>
        </w:rPr>
        <w:t xml:space="preserve"> une période de </w:t>
      </w:r>
      <w:r>
        <w:rPr>
          <w:lang w:val="fr-FR"/>
        </w:rPr>
        <w:t>« </w:t>
      </w:r>
      <w:r w:rsidRPr="007F4145">
        <w:rPr>
          <w:lang w:val="fr-FR"/>
        </w:rPr>
        <w:t>réflexion</w:t>
      </w:r>
      <w:r>
        <w:rPr>
          <w:lang w:val="fr-FR"/>
        </w:rPr>
        <w:t> »</w:t>
      </w:r>
      <w:r w:rsidRPr="007F4145">
        <w:rPr>
          <w:lang w:val="fr-FR"/>
        </w:rPr>
        <w:t xml:space="preserve"> (</w:t>
      </w:r>
      <w:r>
        <w:rPr>
          <w:lang w:val="fr-FR"/>
        </w:rPr>
        <w:t>ils sont placés</w:t>
      </w:r>
      <w:r w:rsidRPr="007F4145">
        <w:rPr>
          <w:lang w:val="fr-FR"/>
        </w:rPr>
        <w:t xml:space="preserve"> dans une cellule de haute sécurité</w:t>
      </w:r>
      <w:r>
        <w:rPr>
          <w:lang w:val="fr-FR"/>
        </w:rPr>
        <w:t xml:space="preserve"> pour une durée allant jusqu’à vingt</w:t>
      </w:r>
      <w:r>
        <w:rPr>
          <w:lang w:val="fr-FR"/>
        </w:rPr>
        <w:noBreakHyphen/>
        <w:t>neuf jours</w:t>
      </w:r>
      <w:r w:rsidRPr="007F4145">
        <w:rPr>
          <w:lang w:val="fr-FR"/>
        </w:rPr>
        <w:t xml:space="preserve">). </w:t>
      </w:r>
      <w:bookmarkEnd w:id="107"/>
    </w:p>
    <w:p w:rsidR="000D798E" w:rsidRPr="007F4145" w:rsidRDefault="000D798E" w:rsidP="000D798E">
      <w:pPr>
        <w:pStyle w:val="SingleTxtG"/>
        <w:rPr>
          <w:rFonts w:eastAsia="Times New Roman"/>
        </w:rPr>
      </w:pPr>
      <w:bookmarkStart w:id="108" w:name="bookmark_28"/>
      <w:r>
        <w:rPr>
          <w:lang w:val="fr-FR"/>
        </w:rPr>
        <w:t>112.</w:t>
      </w:r>
      <w:r>
        <w:rPr>
          <w:lang w:val="fr-FR"/>
        </w:rPr>
        <w:tab/>
        <w:t>Les nouveaux arrivants, qui so</w:t>
      </w:r>
      <w:r w:rsidRPr="007F4145">
        <w:rPr>
          <w:lang w:val="fr-FR"/>
        </w:rPr>
        <w:t xml:space="preserve">nt souvent les plus jeunes et, par conséquent, les plus vulnérables, </w:t>
      </w:r>
      <w:r>
        <w:rPr>
          <w:lang w:val="fr-FR"/>
        </w:rPr>
        <w:t>sont systématiquement</w:t>
      </w:r>
      <w:r w:rsidRPr="007F4145">
        <w:rPr>
          <w:lang w:val="fr-FR"/>
        </w:rPr>
        <w:t xml:space="preserve"> enfermés dans des cellules du quartier 1 </w:t>
      </w:r>
      <w:r>
        <w:rPr>
          <w:lang w:val="fr-FR"/>
        </w:rPr>
        <w:t>de</w:t>
      </w:r>
      <w:r w:rsidRPr="007F4145">
        <w:rPr>
          <w:lang w:val="fr-FR"/>
        </w:rPr>
        <w:t xml:space="preserve"> 1</w:t>
      </w:r>
      <w:r>
        <w:rPr>
          <w:lang w:val="fr-FR"/>
        </w:rPr>
        <w:t>5 heures à 8 heures du matin</w:t>
      </w:r>
      <w:r w:rsidRPr="007F4145">
        <w:rPr>
          <w:lang w:val="fr-FR"/>
        </w:rPr>
        <w:t>. Le Sous-Comité a observé que les conditions matérielles étaient moins bonnes d</w:t>
      </w:r>
      <w:r>
        <w:rPr>
          <w:lang w:val="fr-FR"/>
        </w:rPr>
        <w:t>ans l</w:t>
      </w:r>
      <w:r w:rsidRPr="007F4145">
        <w:rPr>
          <w:lang w:val="fr-FR"/>
        </w:rPr>
        <w:t xml:space="preserve">es quartiers de niveau inférieur que </w:t>
      </w:r>
      <w:r>
        <w:rPr>
          <w:lang w:val="fr-FR"/>
        </w:rPr>
        <w:t>dans les</w:t>
      </w:r>
      <w:r w:rsidRPr="007F4145">
        <w:rPr>
          <w:lang w:val="fr-FR"/>
        </w:rPr>
        <w:t xml:space="preserve"> quartiers de niveau supérieur (4</w:t>
      </w:r>
      <w:r>
        <w:rPr>
          <w:lang w:val="fr-FR"/>
        </w:rPr>
        <w:t> </w:t>
      </w:r>
      <w:r w:rsidRPr="007F4145">
        <w:rPr>
          <w:lang w:val="fr-FR"/>
        </w:rPr>
        <w:t>et</w:t>
      </w:r>
      <w:r>
        <w:rPr>
          <w:lang w:val="fr-FR"/>
        </w:rPr>
        <w:t> </w:t>
      </w:r>
      <w:r w:rsidRPr="007F4145">
        <w:rPr>
          <w:lang w:val="fr-FR"/>
        </w:rPr>
        <w:t xml:space="preserve">5). Les </w:t>
      </w:r>
      <w:r>
        <w:rPr>
          <w:lang w:val="fr-FR"/>
        </w:rPr>
        <w:t>premiers</w:t>
      </w:r>
      <w:r w:rsidRPr="007F4145">
        <w:rPr>
          <w:lang w:val="fr-FR"/>
        </w:rPr>
        <w:t xml:space="preserve"> étaient équipés de cellules </w:t>
      </w:r>
      <w:r>
        <w:rPr>
          <w:lang w:val="fr-FR"/>
        </w:rPr>
        <w:t>typiques d’une prison qui ne ressemblaient en rien à ce qu’on pouvait attendre d’un centre de</w:t>
      </w:r>
      <w:r w:rsidRPr="007F4145">
        <w:rPr>
          <w:lang w:val="fr-FR"/>
        </w:rPr>
        <w:t xml:space="preserve"> rééducation et </w:t>
      </w:r>
      <w:r>
        <w:rPr>
          <w:lang w:val="fr-FR"/>
        </w:rPr>
        <w:t>de réadaptation pour</w:t>
      </w:r>
      <w:r w:rsidRPr="007F4145">
        <w:rPr>
          <w:lang w:val="fr-FR"/>
        </w:rPr>
        <w:t xml:space="preserve"> enfants, ce </w:t>
      </w:r>
      <w:r>
        <w:rPr>
          <w:lang w:val="fr-FR"/>
        </w:rPr>
        <w:t>que les centres de détention pour mineurs étaient pourtant censés être</w:t>
      </w:r>
      <w:r w:rsidRPr="007F4145">
        <w:rPr>
          <w:lang w:val="fr-FR"/>
        </w:rPr>
        <w:t xml:space="preserve"> d</w:t>
      </w:r>
      <w:r>
        <w:rPr>
          <w:lang w:val="fr-FR"/>
        </w:rPr>
        <w:t>’</w:t>
      </w:r>
      <w:r w:rsidRPr="007F4145">
        <w:rPr>
          <w:lang w:val="fr-FR"/>
        </w:rPr>
        <w:t xml:space="preserve">après </w:t>
      </w:r>
      <w:r>
        <w:rPr>
          <w:lang w:val="fr-FR"/>
        </w:rPr>
        <w:t>l</w:t>
      </w:r>
      <w:r w:rsidRPr="007F4145">
        <w:rPr>
          <w:lang w:val="fr-FR"/>
        </w:rPr>
        <w:t>a directrice</w:t>
      </w:r>
      <w:r>
        <w:rPr>
          <w:lang w:val="fr-FR"/>
        </w:rPr>
        <w:t xml:space="preserve"> de l’établissement de </w:t>
      </w:r>
      <w:proofErr w:type="spellStart"/>
      <w:r>
        <w:rPr>
          <w:lang w:val="fr-FR"/>
        </w:rPr>
        <w:t>Pacora</w:t>
      </w:r>
      <w:proofErr w:type="spellEnd"/>
      <w:r w:rsidRPr="007F4145">
        <w:rPr>
          <w:lang w:val="fr-FR"/>
        </w:rPr>
        <w:t>.</w:t>
      </w:r>
      <w:bookmarkEnd w:id="108"/>
    </w:p>
    <w:p w:rsidR="000D798E" w:rsidRPr="007F4145" w:rsidRDefault="000D798E" w:rsidP="000D798E">
      <w:pPr>
        <w:pStyle w:val="SingleTxtG"/>
        <w:rPr>
          <w:rFonts w:eastAsia="Times New Roman"/>
        </w:rPr>
      </w:pPr>
      <w:bookmarkStart w:id="109" w:name="bookmark_29"/>
      <w:r w:rsidRPr="007F4145">
        <w:rPr>
          <w:lang w:val="fr-FR"/>
        </w:rPr>
        <w:t>113.</w:t>
      </w:r>
      <w:r w:rsidRPr="007F4145">
        <w:rPr>
          <w:lang w:val="fr-FR"/>
        </w:rPr>
        <w:tab/>
        <w:t>D</w:t>
      </w:r>
      <w:r>
        <w:rPr>
          <w:lang w:val="fr-FR"/>
        </w:rPr>
        <w:t>’</w:t>
      </w:r>
      <w:r w:rsidRPr="007F4145">
        <w:rPr>
          <w:lang w:val="fr-FR"/>
        </w:rPr>
        <w:t>après les informations reçues, les jeunes ne vont à l</w:t>
      </w:r>
      <w:r>
        <w:rPr>
          <w:lang w:val="fr-FR"/>
        </w:rPr>
        <w:t>’</w:t>
      </w:r>
      <w:r w:rsidRPr="007F4145">
        <w:rPr>
          <w:lang w:val="fr-FR"/>
        </w:rPr>
        <w:t>école qu</w:t>
      </w:r>
      <w:r>
        <w:rPr>
          <w:lang w:val="fr-FR"/>
        </w:rPr>
        <w:t>’</w:t>
      </w:r>
      <w:r w:rsidRPr="007F4145">
        <w:rPr>
          <w:lang w:val="fr-FR"/>
        </w:rPr>
        <w:t xml:space="preserve">une ou deux fois par semaine. Ceux qui ne suivent pas les cours et ne participent pas aux ateliers de formation </w:t>
      </w:r>
      <w:r>
        <w:rPr>
          <w:lang w:val="fr-FR"/>
        </w:rPr>
        <w:t>so</w:t>
      </w:r>
      <w:r w:rsidRPr="007F4145">
        <w:rPr>
          <w:lang w:val="fr-FR"/>
        </w:rPr>
        <w:t xml:space="preserve">nt enfermés dans leur cellule toute la journée, excepté durant le week-end où ils font un peu de sport. Le système de formation professionnelle semble bien </w:t>
      </w:r>
      <w:r>
        <w:rPr>
          <w:lang w:val="fr-FR"/>
        </w:rPr>
        <w:t>développé</w:t>
      </w:r>
      <w:r w:rsidRPr="007F4145">
        <w:rPr>
          <w:lang w:val="fr-FR"/>
        </w:rPr>
        <w:t xml:space="preserve">, mais </w:t>
      </w:r>
      <w:r>
        <w:rPr>
          <w:lang w:val="fr-FR"/>
        </w:rPr>
        <w:t>il faut plusieurs mois pour que les nouveaux arrivants y soient intégrés.</w:t>
      </w:r>
      <w:bookmarkEnd w:id="109"/>
    </w:p>
    <w:p w:rsidR="000D798E" w:rsidRPr="007F4145" w:rsidRDefault="000D798E" w:rsidP="000D798E">
      <w:pPr>
        <w:pStyle w:val="SingleTxtG"/>
        <w:rPr>
          <w:rFonts w:eastAsia="Times New Roman"/>
        </w:rPr>
      </w:pPr>
      <w:bookmarkStart w:id="110" w:name="bookmark_30"/>
      <w:r w:rsidRPr="007F4145">
        <w:rPr>
          <w:lang w:val="fr-FR"/>
        </w:rPr>
        <w:t>114.</w:t>
      </w:r>
      <w:r w:rsidRPr="007F4145">
        <w:rPr>
          <w:lang w:val="fr-FR"/>
        </w:rPr>
        <w:tab/>
        <w:t xml:space="preserve">Le Sous-Comité a constaté avec préoccupation que les mineurs </w:t>
      </w:r>
      <w:r>
        <w:rPr>
          <w:lang w:val="fr-FR"/>
        </w:rPr>
        <w:t>avaient les</w:t>
      </w:r>
      <w:r w:rsidRPr="007F4145">
        <w:rPr>
          <w:lang w:val="fr-FR"/>
        </w:rPr>
        <w:t xml:space="preserve"> chevilles </w:t>
      </w:r>
      <w:r>
        <w:rPr>
          <w:lang w:val="fr-FR"/>
        </w:rPr>
        <w:t xml:space="preserve">entravées </w:t>
      </w:r>
      <w:r w:rsidRPr="007F4145">
        <w:rPr>
          <w:lang w:val="fr-FR"/>
        </w:rPr>
        <w:t>lorsqu</w:t>
      </w:r>
      <w:r>
        <w:rPr>
          <w:lang w:val="fr-FR"/>
        </w:rPr>
        <w:t>’</w:t>
      </w:r>
      <w:r w:rsidRPr="007F4145">
        <w:rPr>
          <w:lang w:val="fr-FR"/>
        </w:rPr>
        <w:t>ils se rendaient à l</w:t>
      </w:r>
      <w:r>
        <w:rPr>
          <w:lang w:val="fr-FR"/>
        </w:rPr>
        <w:t>’</w:t>
      </w:r>
      <w:r w:rsidRPr="007F4145">
        <w:rPr>
          <w:lang w:val="fr-FR"/>
        </w:rPr>
        <w:t>école et recevaient des visites</w:t>
      </w:r>
      <w:r>
        <w:rPr>
          <w:lang w:val="fr-FR"/>
        </w:rPr>
        <w:t>,</w:t>
      </w:r>
      <w:r w:rsidRPr="007F4145">
        <w:rPr>
          <w:lang w:val="fr-FR"/>
        </w:rPr>
        <w:t xml:space="preserve"> </w:t>
      </w:r>
      <w:r>
        <w:rPr>
          <w:lang w:val="fr-FR"/>
        </w:rPr>
        <w:t>et qu’ils en gardaient</w:t>
      </w:r>
      <w:r w:rsidRPr="007F4145">
        <w:rPr>
          <w:lang w:val="fr-FR"/>
        </w:rPr>
        <w:t xml:space="preserve"> des marques visibles. </w:t>
      </w:r>
      <w:r>
        <w:rPr>
          <w:lang w:val="fr-FR"/>
        </w:rPr>
        <w:t>Le centre fournissait une alimentation</w:t>
      </w:r>
      <w:r w:rsidRPr="007F4145">
        <w:rPr>
          <w:lang w:val="fr-FR"/>
        </w:rPr>
        <w:t xml:space="preserve"> adaptée et de l</w:t>
      </w:r>
      <w:r>
        <w:rPr>
          <w:lang w:val="fr-FR"/>
        </w:rPr>
        <w:t>’</w:t>
      </w:r>
      <w:r w:rsidRPr="007F4145">
        <w:rPr>
          <w:lang w:val="fr-FR"/>
        </w:rPr>
        <w:t>eau en suffisance</w:t>
      </w:r>
      <w:r>
        <w:rPr>
          <w:lang w:val="fr-FR"/>
        </w:rPr>
        <w:t>,</w:t>
      </w:r>
      <w:r w:rsidRPr="007F4145">
        <w:rPr>
          <w:lang w:val="fr-FR"/>
        </w:rPr>
        <w:t xml:space="preserve"> et</w:t>
      </w:r>
      <w:r>
        <w:rPr>
          <w:lang w:val="fr-FR"/>
        </w:rPr>
        <w:t xml:space="preserve"> les jeunes pouvaient bénéficier des services de psychologues, de travailleurs sociaux et de</w:t>
      </w:r>
      <w:r w:rsidRPr="007F4145">
        <w:rPr>
          <w:lang w:val="fr-FR"/>
        </w:rPr>
        <w:t xml:space="preserve"> médecins</w:t>
      </w:r>
      <w:r>
        <w:rPr>
          <w:lang w:val="fr-FR"/>
        </w:rPr>
        <w:t>, ce qu’ils considéraient comme un appui utile</w:t>
      </w:r>
      <w:r w:rsidRPr="007F4145">
        <w:rPr>
          <w:lang w:val="fr-FR"/>
        </w:rPr>
        <w:t>.</w:t>
      </w:r>
      <w:r>
        <w:rPr>
          <w:lang w:val="fr-FR"/>
        </w:rPr>
        <w:t xml:space="preserve"> </w:t>
      </w:r>
      <w:bookmarkEnd w:id="110"/>
    </w:p>
    <w:p w:rsidR="000D798E" w:rsidRPr="007F4145" w:rsidRDefault="000D798E" w:rsidP="000D798E">
      <w:pPr>
        <w:pStyle w:val="SingleTxtG"/>
        <w:rPr>
          <w:rFonts w:eastAsia="Times New Roman"/>
        </w:rPr>
      </w:pPr>
      <w:bookmarkStart w:id="111" w:name="bookmark_31"/>
      <w:r w:rsidRPr="007F4145">
        <w:rPr>
          <w:lang w:val="fr-FR"/>
        </w:rPr>
        <w:t>115.</w:t>
      </w:r>
      <w:r w:rsidRPr="007F4145">
        <w:rPr>
          <w:lang w:val="fr-FR"/>
        </w:rPr>
        <w:tab/>
        <w:t>Le Sous-Comité a été informé que l</w:t>
      </w:r>
      <w:r>
        <w:rPr>
          <w:lang w:val="fr-FR"/>
        </w:rPr>
        <w:t>’</w:t>
      </w:r>
      <w:r w:rsidRPr="007F4145">
        <w:rPr>
          <w:lang w:val="fr-FR"/>
        </w:rPr>
        <w:t xml:space="preserve">établissement de </w:t>
      </w:r>
      <w:proofErr w:type="spellStart"/>
      <w:r w:rsidRPr="007F4145">
        <w:rPr>
          <w:lang w:val="fr-FR"/>
        </w:rPr>
        <w:t>Tocumen</w:t>
      </w:r>
      <w:proofErr w:type="spellEnd"/>
      <w:r w:rsidRPr="007F4145">
        <w:rPr>
          <w:lang w:val="fr-FR"/>
        </w:rPr>
        <w:t xml:space="preserve"> allait être fermé et que les mineurs </w:t>
      </w:r>
      <w:r>
        <w:rPr>
          <w:lang w:val="fr-FR"/>
        </w:rPr>
        <w:t>allaient être</w:t>
      </w:r>
      <w:r w:rsidRPr="007F4145">
        <w:rPr>
          <w:lang w:val="fr-FR"/>
        </w:rPr>
        <w:t xml:space="preserve"> transférés dans un nouvel établissement </w:t>
      </w:r>
      <w:r>
        <w:rPr>
          <w:lang w:val="fr-FR"/>
        </w:rPr>
        <w:t xml:space="preserve">situé </w:t>
      </w:r>
      <w:r w:rsidRPr="007F4145">
        <w:rPr>
          <w:lang w:val="fr-FR"/>
        </w:rPr>
        <w:t xml:space="preserve">à </w:t>
      </w:r>
      <w:proofErr w:type="spellStart"/>
      <w:r w:rsidRPr="007F4145">
        <w:rPr>
          <w:lang w:val="fr-FR"/>
        </w:rPr>
        <w:t>Pacora</w:t>
      </w:r>
      <w:proofErr w:type="spellEnd"/>
      <w:r>
        <w:rPr>
          <w:lang w:val="fr-FR"/>
        </w:rPr>
        <w:t>, dont la construction n’avait pas encore commencé</w:t>
      </w:r>
      <w:r w:rsidRPr="007F4145">
        <w:rPr>
          <w:lang w:val="fr-FR"/>
        </w:rPr>
        <w:t xml:space="preserve">. </w:t>
      </w:r>
      <w:bookmarkEnd w:id="111"/>
    </w:p>
    <w:p w:rsidR="000D798E" w:rsidRPr="007F4145" w:rsidRDefault="000D798E" w:rsidP="000D798E">
      <w:pPr>
        <w:pStyle w:val="SingleTxtG"/>
        <w:rPr>
          <w:rFonts w:eastAsia="Times New Roman"/>
        </w:rPr>
      </w:pPr>
      <w:bookmarkStart w:id="112" w:name="bookmark_32"/>
      <w:r>
        <w:rPr>
          <w:lang w:val="fr-FR"/>
        </w:rPr>
        <w:t>116.</w:t>
      </w:r>
      <w:r>
        <w:rPr>
          <w:lang w:val="fr-FR"/>
        </w:rPr>
        <w:tab/>
        <w:t xml:space="preserve">Le </w:t>
      </w:r>
      <w:r w:rsidRPr="007F4145">
        <w:rPr>
          <w:lang w:val="fr-FR"/>
        </w:rPr>
        <w:t xml:space="preserve">Sous-Comité a constaté que les conditions matérielles </w:t>
      </w:r>
      <w:r>
        <w:rPr>
          <w:lang w:val="fr-FR"/>
        </w:rPr>
        <w:t>qui régnaient dans</w:t>
      </w:r>
      <w:r w:rsidRPr="007F4145">
        <w:rPr>
          <w:lang w:val="fr-FR"/>
        </w:rPr>
        <w:t xml:space="preserve"> l</w:t>
      </w:r>
      <w:r>
        <w:rPr>
          <w:lang w:val="fr-FR"/>
        </w:rPr>
        <w:t>’</w:t>
      </w:r>
      <w:r w:rsidRPr="007F4145">
        <w:rPr>
          <w:lang w:val="fr-FR"/>
        </w:rPr>
        <w:t xml:space="preserve">établissement de </w:t>
      </w:r>
      <w:proofErr w:type="spellStart"/>
      <w:r w:rsidRPr="007F4145">
        <w:rPr>
          <w:lang w:val="fr-FR"/>
        </w:rPr>
        <w:t>Tocumen</w:t>
      </w:r>
      <w:proofErr w:type="spellEnd"/>
      <w:r w:rsidRPr="007F4145">
        <w:rPr>
          <w:lang w:val="fr-FR"/>
        </w:rPr>
        <w:t xml:space="preserve"> étaient in</w:t>
      </w:r>
      <w:r>
        <w:rPr>
          <w:lang w:val="fr-FR"/>
        </w:rPr>
        <w:t>satisfaisant</w:t>
      </w:r>
      <w:r w:rsidRPr="007F4145">
        <w:rPr>
          <w:lang w:val="fr-FR"/>
        </w:rPr>
        <w:t>es, surtout dans les cellules destiné</w:t>
      </w:r>
      <w:r>
        <w:rPr>
          <w:lang w:val="fr-FR"/>
        </w:rPr>
        <w:t>e</w:t>
      </w:r>
      <w:r w:rsidRPr="007F4145">
        <w:rPr>
          <w:lang w:val="fr-FR"/>
        </w:rPr>
        <w:t>s aux nouveaux arriv</w:t>
      </w:r>
      <w:r>
        <w:rPr>
          <w:lang w:val="fr-FR"/>
        </w:rPr>
        <w:t>ant</w:t>
      </w:r>
      <w:r w:rsidRPr="007F4145">
        <w:rPr>
          <w:lang w:val="fr-FR"/>
        </w:rPr>
        <w:t>s et les cellules de haute sécurité, qui ressemblaient à celles d</w:t>
      </w:r>
      <w:r>
        <w:rPr>
          <w:lang w:val="fr-FR"/>
        </w:rPr>
        <w:t>’une prison. Les premières étaient mal aérées, envahies par les insectes</w:t>
      </w:r>
      <w:r w:rsidRPr="007F4145">
        <w:rPr>
          <w:lang w:val="fr-FR"/>
        </w:rPr>
        <w:t xml:space="preserve"> </w:t>
      </w:r>
      <w:r>
        <w:rPr>
          <w:lang w:val="fr-FR"/>
        </w:rPr>
        <w:t xml:space="preserve">et les mineurs y </w:t>
      </w:r>
      <w:r w:rsidRPr="007F4145">
        <w:rPr>
          <w:lang w:val="fr-FR"/>
        </w:rPr>
        <w:t>dormaient sur des matelas à même le sol, avec un accès limité à l</w:t>
      </w:r>
      <w:r>
        <w:rPr>
          <w:lang w:val="fr-FR"/>
        </w:rPr>
        <w:t>’</w:t>
      </w:r>
      <w:r w:rsidRPr="007F4145">
        <w:rPr>
          <w:lang w:val="fr-FR"/>
        </w:rPr>
        <w:t xml:space="preserve">eau. </w:t>
      </w:r>
      <w:r>
        <w:rPr>
          <w:lang w:val="fr-FR"/>
        </w:rPr>
        <w:t>Les</w:t>
      </w:r>
      <w:r w:rsidRPr="007F4145">
        <w:rPr>
          <w:lang w:val="fr-FR"/>
        </w:rPr>
        <w:t xml:space="preserve"> six cellules de haute sécurité, </w:t>
      </w:r>
      <w:r>
        <w:rPr>
          <w:lang w:val="fr-FR"/>
        </w:rPr>
        <w:lastRenderedPageBreak/>
        <w:t xml:space="preserve">quant à elles, </w:t>
      </w:r>
      <w:r w:rsidRPr="007F4145">
        <w:rPr>
          <w:lang w:val="fr-FR"/>
        </w:rPr>
        <w:t xml:space="preserve">étaient sombres, sales, nauséabondes et mal aérées. </w:t>
      </w:r>
      <w:r>
        <w:rPr>
          <w:lang w:val="fr-FR"/>
        </w:rPr>
        <w:t xml:space="preserve">Il était difficile d’y avoir </w:t>
      </w:r>
      <w:r w:rsidRPr="007F4145">
        <w:rPr>
          <w:lang w:val="fr-FR"/>
        </w:rPr>
        <w:t xml:space="preserve">accès à des gardiens adultes. </w:t>
      </w:r>
      <w:bookmarkEnd w:id="112"/>
    </w:p>
    <w:p w:rsidR="000D798E" w:rsidRPr="007F4145" w:rsidRDefault="000D798E" w:rsidP="000D798E">
      <w:pPr>
        <w:pStyle w:val="SingleTxtG"/>
        <w:rPr>
          <w:rFonts w:eastAsia="Times New Roman"/>
        </w:rPr>
      </w:pPr>
      <w:bookmarkStart w:id="113" w:name="bookmark_33"/>
      <w:r w:rsidRPr="007F4145">
        <w:rPr>
          <w:lang w:val="fr-FR"/>
        </w:rPr>
        <w:t>117.</w:t>
      </w:r>
      <w:r w:rsidRPr="007F4145">
        <w:rPr>
          <w:lang w:val="fr-FR"/>
        </w:rPr>
        <w:tab/>
        <w:t>D</w:t>
      </w:r>
      <w:r>
        <w:rPr>
          <w:lang w:val="fr-FR"/>
        </w:rPr>
        <w:t>’</w:t>
      </w:r>
      <w:r w:rsidRPr="007F4145">
        <w:rPr>
          <w:lang w:val="fr-FR"/>
        </w:rPr>
        <w:t xml:space="preserve">après les informations reçues, les </w:t>
      </w:r>
      <w:r>
        <w:rPr>
          <w:lang w:val="fr-FR"/>
        </w:rPr>
        <w:t>jeunes</w:t>
      </w:r>
      <w:r w:rsidRPr="007F4145">
        <w:rPr>
          <w:lang w:val="fr-FR"/>
        </w:rPr>
        <w:t xml:space="preserve"> vont à l</w:t>
      </w:r>
      <w:r>
        <w:rPr>
          <w:lang w:val="fr-FR"/>
        </w:rPr>
        <w:t>’</w:t>
      </w:r>
      <w:r w:rsidRPr="007F4145">
        <w:rPr>
          <w:lang w:val="fr-FR"/>
        </w:rPr>
        <w:t xml:space="preserve">école tous les jours et certains participent à des ateliers de formation. Les nouveaux arrivants et les </w:t>
      </w:r>
      <w:r>
        <w:rPr>
          <w:lang w:val="fr-FR"/>
        </w:rPr>
        <w:t>mineurs placés</w:t>
      </w:r>
      <w:r w:rsidRPr="007F4145">
        <w:rPr>
          <w:lang w:val="fr-FR"/>
        </w:rPr>
        <w:t xml:space="preserve"> dans des cellules de haute sécurité </w:t>
      </w:r>
      <w:r>
        <w:rPr>
          <w:lang w:val="fr-FR"/>
        </w:rPr>
        <w:t>o</w:t>
      </w:r>
      <w:r w:rsidRPr="007F4145">
        <w:rPr>
          <w:lang w:val="fr-FR"/>
        </w:rPr>
        <w:t>nt accès à l</w:t>
      </w:r>
      <w:r>
        <w:rPr>
          <w:lang w:val="fr-FR"/>
        </w:rPr>
        <w:t>’</w:t>
      </w:r>
      <w:r w:rsidRPr="007F4145">
        <w:rPr>
          <w:lang w:val="fr-FR"/>
        </w:rPr>
        <w:t xml:space="preserve">enseignement. </w:t>
      </w:r>
      <w:bookmarkEnd w:id="113"/>
    </w:p>
    <w:p w:rsidR="000D798E" w:rsidRPr="006A1298" w:rsidRDefault="000D798E" w:rsidP="000D798E">
      <w:pPr>
        <w:pStyle w:val="SingleTxtG"/>
        <w:rPr>
          <w:rFonts w:eastAsia="Times New Roman"/>
          <w:b/>
        </w:rPr>
      </w:pPr>
      <w:bookmarkStart w:id="114" w:name="bookmark_34"/>
      <w:r w:rsidRPr="007F4145">
        <w:rPr>
          <w:lang w:val="fr-FR"/>
        </w:rPr>
        <w:t>118.</w:t>
      </w:r>
      <w:r w:rsidRPr="007F4145">
        <w:rPr>
          <w:lang w:val="fr-FR"/>
        </w:rPr>
        <w:tab/>
      </w:r>
      <w:r w:rsidRPr="006A1298">
        <w:rPr>
          <w:b/>
          <w:lang w:val="fr-FR"/>
        </w:rPr>
        <w:t xml:space="preserve">Le Sous-Comité recommande à l’État partie de mettre en place un système de justice pénale pour mineurs qui mette l’accent sur la réadaptation intégrale des jeunes et de diminuer le nombre d’heures passées en cellule. Il lui recommande en particulier de renforcer les possibilités de poursuivre sa scolarité ou de participer à des programmes éducatifs dans les établissements pour mineurs, de mettre fin au placement en isolement dans des cellules de haute sécurité, y compris à des fins de « réflexion », de mettre en place un centre de transition pour les jeunes qui atteignent l’âge de la majorité et d’améliorer les conditions de vie dans le centre de </w:t>
      </w:r>
      <w:proofErr w:type="spellStart"/>
      <w:r w:rsidRPr="006A1298">
        <w:rPr>
          <w:b/>
          <w:lang w:val="fr-FR"/>
        </w:rPr>
        <w:t>Tocumen</w:t>
      </w:r>
      <w:proofErr w:type="spellEnd"/>
      <w:r w:rsidRPr="006A1298">
        <w:rPr>
          <w:b/>
          <w:lang w:val="fr-FR"/>
        </w:rPr>
        <w:t>, en particulier dans les cellules destinées aux nouveaux arrivants et dans les cellules de haute sécurité.</w:t>
      </w:r>
      <w:bookmarkEnd w:id="114"/>
    </w:p>
    <w:p w:rsidR="000D798E" w:rsidRPr="007F4145" w:rsidRDefault="000D798E" w:rsidP="000D798E">
      <w:pPr>
        <w:pStyle w:val="SingleTxtG"/>
        <w:rPr>
          <w:rFonts w:eastAsia="Times New Roman"/>
        </w:rPr>
      </w:pPr>
      <w:bookmarkStart w:id="115" w:name="bookmark_35"/>
      <w:r w:rsidRPr="007F4145">
        <w:rPr>
          <w:lang w:val="fr-FR"/>
        </w:rPr>
        <w:t>119.</w:t>
      </w:r>
      <w:r w:rsidRPr="007F4145">
        <w:rPr>
          <w:lang w:val="fr-FR"/>
        </w:rPr>
        <w:tab/>
      </w:r>
      <w:r w:rsidRPr="006A1298">
        <w:rPr>
          <w:b/>
          <w:lang w:val="fr-FR"/>
        </w:rPr>
        <w:t>Le Sous-Comité recommande également à l’État partie de mettre en place un système permettant aux plus jeunes et aux nouveaux arrivants de recevoir une éducation et de bénéficier de conditions propices à l’établissement de bonnes relations humaines. Dans les programmes de réinsertion,</w:t>
      </w:r>
      <w:r w:rsidRPr="006A1298" w:rsidDel="00747BC1">
        <w:rPr>
          <w:b/>
          <w:lang w:val="fr-FR"/>
        </w:rPr>
        <w:t xml:space="preserve"> </w:t>
      </w:r>
      <w:r w:rsidRPr="006A1298">
        <w:rPr>
          <w:b/>
          <w:lang w:val="fr-FR"/>
        </w:rPr>
        <w:t>il convient de tenir tout particulièrement compte du fait que de nombreux jeunes ont grandi sans relations sûres, sans modèles auxquels s’identifier et sans compétences ou comportements d’adaptation à la vie en société.</w:t>
      </w:r>
      <w:r w:rsidRPr="006A1298">
        <w:rPr>
          <w:rFonts w:eastAsia="Times New Roman"/>
        </w:rPr>
        <w:t xml:space="preserve"> </w:t>
      </w:r>
      <w:bookmarkEnd w:id="115"/>
    </w:p>
    <w:p w:rsidR="000D798E" w:rsidRPr="007F4145" w:rsidRDefault="000D798E" w:rsidP="000D798E">
      <w:pPr>
        <w:pStyle w:val="H1G"/>
        <w:rPr>
          <w:rFonts w:eastAsia="Times New Roman"/>
        </w:rPr>
      </w:pPr>
      <w:bookmarkStart w:id="116" w:name="bookmark_36"/>
      <w:r w:rsidRPr="007F4145">
        <w:rPr>
          <w:lang w:val="fr-FR"/>
        </w:rPr>
        <w:tab/>
        <w:t>C.</w:t>
      </w:r>
      <w:r w:rsidRPr="007F4145">
        <w:rPr>
          <w:lang w:val="fr-FR"/>
        </w:rPr>
        <w:tab/>
      </w:r>
      <w:r>
        <w:rPr>
          <w:lang w:val="fr-FR"/>
        </w:rPr>
        <w:t>M</w:t>
      </w:r>
      <w:r w:rsidRPr="007F4145">
        <w:rPr>
          <w:lang w:val="fr-FR"/>
        </w:rPr>
        <w:t>igrants</w:t>
      </w:r>
      <w:bookmarkEnd w:id="116"/>
    </w:p>
    <w:p w:rsidR="000D798E" w:rsidRPr="007F4145" w:rsidRDefault="000D798E" w:rsidP="000D798E">
      <w:pPr>
        <w:pStyle w:val="SingleTxtG"/>
        <w:rPr>
          <w:rFonts w:eastAsia="Times New Roman"/>
        </w:rPr>
      </w:pPr>
      <w:bookmarkStart w:id="117" w:name="bookmark_37"/>
      <w:r w:rsidRPr="007F4145">
        <w:rPr>
          <w:lang w:val="fr-FR"/>
        </w:rPr>
        <w:t>120.</w:t>
      </w:r>
      <w:r w:rsidRPr="007F4145">
        <w:rPr>
          <w:lang w:val="fr-FR"/>
        </w:rPr>
        <w:tab/>
        <w:t>La détention administrative ne doit</w:t>
      </w:r>
      <w:r>
        <w:rPr>
          <w:lang w:val="fr-FR"/>
        </w:rPr>
        <w:t xml:space="preserve"> en aucun cas</w:t>
      </w:r>
      <w:r w:rsidRPr="007F4145">
        <w:rPr>
          <w:lang w:val="fr-FR"/>
        </w:rPr>
        <w:t xml:space="preserve"> avoir un caractère punitif. </w:t>
      </w:r>
      <w:r>
        <w:rPr>
          <w:lang w:val="fr-FR"/>
        </w:rPr>
        <w:t xml:space="preserve">Des mesures de substitution </w:t>
      </w:r>
      <w:r w:rsidRPr="007F4145">
        <w:rPr>
          <w:lang w:val="fr-FR"/>
        </w:rPr>
        <w:t xml:space="preserve">doivent être envisagées avant de décider de placer </w:t>
      </w:r>
      <w:r>
        <w:rPr>
          <w:lang w:val="fr-FR"/>
        </w:rPr>
        <w:t>quiconque en détention. L’État</w:t>
      </w:r>
      <w:r w:rsidRPr="007F4145">
        <w:rPr>
          <w:lang w:val="fr-FR"/>
        </w:rPr>
        <w:t xml:space="preserve"> doit prévoir dans sa législation un ensemble de mesures autres que la privation de liberté, en tenant dûment compte des normes internationales relatives aux droits de l</w:t>
      </w:r>
      <w:r>
        <w:rPr>
          <w:lang w:val="fr-FR"/>
        </w:rPr>
        <w:t>’</w:t>
      </w:r>
      <w:r w:rsidRPr="007F4145">
        <w:rPr>
          <w:lang w:val="fr-FR"/>
        </w:rPr>
        <w:t>homme.</w:t>
      </w:r>
      <w:bookmarkEnd w:id="117"/>
    </w:p>
    <w:p w:rsidR="000D798E" w:rsidRPr="006A1298" w:rsidRDefault="000D798E" w:rsidP="000D798E">
      <w:pPr>
        <w:pStyle w:val="SingleTxtG"/>
        <w:rPr>
          <w:rFonts w:eastAsia="Times New Roman"/>
          <w:b/>
        </w:rPr>
      </w:pPr>
      <w:bookmarkStart w:id="118" w:name="bookmark_38"/>
      <w:r w:rsidRPr="007F4145">
        <w:rPr>
          <w:lang w:val="fr-FR"/>
        </w:rPr>
        <w:t>121.</w:t>
      </w:r>
      <w:r w:rsidRPr="007F4145">
        <w:rPr>
          <w:lang w:val="fr-FR"/>
        </w:rPr>
        <w:tab/>
      </w:r>
      <w:r w:rsidRPr="006A1298">
        <w:rPr>
          <w:b/>
          <w:lang w:val="fr-FR"/>
        </w:rPr>
        <w:t>Le Sous-Comité rappelle que la rétention de migrants dans des centres d’accueil doit être une mesure exceptionnelle, nécessaire, raisonnable et proportionnée au cas de l’espèce, que sa durée doit être aussi courte que possible et qu’elle doit tendre vers un objectif légitime. En outre, les migrants doivent bénéficier de toutes les garanties d’une procédure régulière pour pouvoir défendre leurs droits.</w:t>
      </w:r>
      <w:bookmarkEnd w:id="118"/>
    </w:p>
    <w:p w:rsidR="000D798E" w:rsidRPr="007F4145" w:rsidRDefault="000D798E" w:rsidP="000D798E">
      <w:pPr>
        <w:pStyle w:val="SingleTxtG"/>
        <w:rPr>
          <w:rFonts w:eastAsia="Times New Roman"/>
        </w:rPr>
      </w:pPr>
      <w:bookmarkStart w:id="119" w:name="bookmark_39"/>
      <w:r w:rsidRPr="007F4145">
        <w:rPr>
          <w:lang w:val="fr-FR"/>
        </w:rPr>
        <w:t>122.</w:t>
      </w:r>
      <w:r w:rsidRPr="007F4145">
        <w:rPr>
          <w:lang w:val="fr-FR"/>
        </w:rPr>
        <w:tab/>
      </w:r>
      <w:r>
        <w:rPr>
          <w:lang w:val="fr-FR"/>
        </w:rPr>
        <w:t>Le</w:t>
      </w:r>
      <w:r w:rsidRPr="007F4145">
        <w:rPr>
          <w:lang w:val="fr-FR"/>
        </w:rPr>
        <w:t xml:space="preserve"> Sous-Comité constate avec préoccupation que certains </w:t>
      </w:r>
      <w:r>
        <w:rPr>
          <w:lang w:val="fr-FR"/>
        </w:rPr>
        <w:t>d</w:t>
      </w:r>
      <w:r w:rsidRPr="007F4145">
        <w:rPr>
          <w:lang w:val="fr-FR"/>
        </w:rPr>
        <w:t xml:space="preserve">es migrants </w:t>
      </w:r>
      <w:r>
        <w:rPr>
          <w:lang w:val="fr-FR"/>
        </w:rPr>
        <w:t>détenus dans des centres d’hébergement</w:t>
      </w:r>
      <w:r w:rsidRPr="007F4145">
        <w:rPr>
          <w:lang w:val="fr-FR"/>
        </w:rPr>
        <w:t xml:space="preserve"> </w:t>
      </w:r>
      <w:r>
        <w:rPr>
          <w:lang w:val="fr-FR"/>
        </w:rPr>
        <w:t xml:space="preserve">relevant </w:t>
      </w:r>
      <w:r w:rsidRPr="007F4145">
        <w:rPr>
          <w:lang w:val="fr-FR"/>
        </w:rPr>
        <w:t>du Service national des migrations, n</w:t>
      </w:r>
      <w:r>
        <w:rPr>
          <w:lang w:val="fr-FR"/>
        </w:rPr>
        <w:t>’</w:t>
      </w:r>
      <w:r w:rsidRPr="007F4145">
        <w:rPr>
          <w:lang w:val="fr-FR"/>
        </w:rPr>
        <w:t>ont pas le droit d</w:t>
      </w:r>
      <w:r>
        <w:rPr>
          <w:lang w:val="fr-FR"/>
        </w:rPr>
        <w:t>’</w:t>
      </w:r>
      <w:r w:rsidRPr="007F4145">
        <w:rPr>
          <w:lang w:val="fr-FR"/>
        </w:rPr>
        <w:t xml:space="preserve">informer la personne de leur choix de leur placement en </w:t>
      </w:r>
      <w:r>
        <w:rPr>
          <w:lang w:val="fr-FR"/>
        </w:rPr>
        <w:t>d</w:t>
      </w:r>
      <w:r w:rsidRPr="007F4145">
        <w:rPr>
          <w:lang w:val="fr-FR"/>
        </w:rPr>
        <w:t>étention, de passer un appel téléphonique ou de recevoir des visites et qu</w:t>
      </w:r>
      <w:r>
        <w:rPr>
          <w:lang w:val="fr-FR"/>
        </w:rPr>
        <w:t>’</w:t>
      </w:r>
      <w:r w:rsidRPr="007F4145">
        <w:rPr>
          <w:lang w:val="fr-FR"/>
        </w:rPr>
        <w:t>il leur est interdit de garder leur téléphone portable ou, à défaut, d</w:t>
      </w:r>
      <w:r>
        <w:rPr>
          <w:lang w:val="fr-FR"/>
        </w:rPr>
        <w:t>’</w:t>
      </w:r>
      <w:r w:rsidRPr="007F4145">
        <w:rPr>
          <w:lang w:val="fr-FR"/>
        </w:rPr>
        <w:t>y avoir accès pendant leur période de privation de liberté. Ceux qui ne parlaient pas espagnol n</w:t>
      </w:r>
      <w:r>
        <w:rPr>
          <w:lang w:val="fr-FR"/>
        </w:rPr>
        <w:t>’étaient</w:t>
      </w:r>
      <w:r w:rsidRPr="007F4145">
        <w:rPr>
          <w:lang w:val="fr-FR"/>
        </w:rPr>
        <w:t xml:space="preserve"> pas informés de leur s</w:t>
      </w:r>
      <w:r>
        <w:rPr>
          <w:lang w:val="fr-FR"/>
        </w:rPr>
        <w:t xml:space="preserve">ituation </w:t>
      </w:r>
      <w:r w:rsidRPr="007F4145">
        <w:rPr>
          <w:lang w:val="fr-FR"/>
        </w:rPr>
        <w:t>juridique dans une langue qu</w:t>
      </w:r>
      <w:r>
        <w:rPr>
          <w:lang w:val="fr-FR"/>
        </w:rPr>
        <w:t>’</w:t>
      </w:r>
      <w:r w:rsidRPr="007F4145">
        <w:rPr>
          <w:lang w:val="fr-FR"/>
        </w:rPr>
        <w:t xml:space="preserve">ils </w:t>
      </w:r>
      <w:r>
        <w:rPr>
          <w:lang w:val="fr-FR"/>
        </w:rPr>
        <w:t>comprenaient</w:t>
      </w:r>
      <w:r w:rsidRPr="007F4145">
        <w:rPr>
          <w:lang w:val="fr-FR"/>
        </w:rPr>
        <w:t>, et ont indiqué qu</w:t>
      </w:r>
      <w:r>
        <w:rPr>
          <w:lang w:val="fr-FR"/>
        </w:rPr>
        <w:t>’</w:t>
      </w:r>
      <w:r w:rsidRPr="007F4145">
        <w:rPr>
          <w:lang w:val="fr-FR"/>
        </w:rPr>
        <w:t xml:space="preserve">ils </w:t>
      </w:r>
      <w:r>
        <w:rPr>
          <w:lang w:val="fr-FR"/>
        </w:rPr>
        <w:t>avaient</w:t>
      </w:r>
      <w:r w:rsidRPr="007F4145">
        <w:rPr>
          <w:lang w:val="fr-FR"/>
        </w:rPr>
        <w:t xml:space="preserve"> dû signer des documents rédigés en espagnol sans en comprendre la teneur.</w:t>
      </w:r>
      <w:bookmarkEnd w:id="119"/>
    </w:p>
    <w:p w:rsidR="000D798E" w:rsidRPr="00CA4C73" w:rsidRDefault="000D798E" w:rsidP="000D798E">
      <w:pPr>
        <w:pStyle w:val="SingleTxtG"/>
        <w:rPr>
          <w:lang w:val="fr-FR"/>
        </w:rPr>
      </w:pPr>
      <w:bookmarkStart w:id="120" w:name="bookmark_40"/>
      <w:r w:rsidRPr="007F4145">
        <w:rPr>
          <w:lang w:val="fr-FR"/>
        </w:rPr>
        <w:t>123.</w:t>
      </w:r>
      <w:r w:rsidRPr="007F4145">
        <w:rPr>
          <w:lang w:val="fr-FR"/>
        </w:rPr>
        <w:tab/>
      </w:r>
      <w:r>
        <w:rPr>
          <w:lang w:val="fr-FR"/>
        </w:rPr>
        <w:t>Dans le</w:t>
      </w:r>
      <w:r w:rsidRPr="007F4145">
        <w:rPr>
          <w:lang w:val="fr-FR"/>
        </w:rPr>
        <w:t xml:space="preserve"> centre d</w:t>
      </w:r>
      <w:r>
        <w:rPr>
          <w:lang w:val="fr-FR"/>
        </w:rPr>
        <w:t xml:space="preserve">’hébergement </w:t>
      </w:r>
      <w:r w:rsidRPr="007F4145">
        <w:rPr>
          <w:lang w:val="fr-FR"/>
        </w:rPr>
        <w:t>p</w:t>
      </w:r>
      <w:r>
        <w:rPr>
          <w:lang w:val="fr-FR"/>
        </w:rPr>
        <w:t>our hommes de la ville de Panamá</w:t>
      </w:r>
      <w:r w:rsidRPr="007F4145">
        <w:rPr>
          <w:lang w:val="fr-FR"/>
        </w:rPr>
        <w:t xml:space="preserve"> (centre de</w:t>
      </w:r>
      <w:r>
        <w:rPr>
          <w:lang w:val="fr-FR"/>
        </w:rPr>
        <w:t> </w:t>
      </w:r>
      <w:proofErr w:type="spellStart"/>
      <w:r w:rsidRPr="007F4145">
        <w:rPr>
          <w:lang w:val="fr-FR"/>
        </w:rPr>
        <w:t>Curundú</w:t>
      </w:r>
      <w:proofErr w:type="spellEnd"/>
      <w:r w:rsidRPr="007F4145">
        <w:rPr>
          <w:lang w:val="fr-FR"/>
        </w:rPr>
        <w:t>)</w:t>
      </w:r>
      <w:r>
        <w:rPr>
          <w:lang w:val="fr-FR"/>
        </w:rPr>
        <w:t>, les installations sont</w:t>
      </w:r>
      <w:r w:rsidRPr="007F4145">
        <w:rPr>
          <w:lang w:val="fr-FR"/>
        </w:rPr>
        <w:t xml:space="preserve"> dans un état pitoyable et les sanitaires </w:t>
      </w:r>
      <w:r>
        <w:rPr>
          <w:lang w:val="fr-FR"/>
        </w:rPr>
        <w:t>so</w:t>
      </w:r>
      <w:r w:rsidRPr="007F4145">
        <w:rPr>
          <w:lang w:val="fr-FR"/>
        </w:rPr>
        <w:t xml:space="preserve">nt </w:t>
      </w:r>
      <w:r>
        <w:rPr>
          <w:lang w:val="fr-FR"/>
        </w:rPr>
        <w:t>défectueux. À cause de ces conditions</w:t>
      </w:r>
      <w:r w:rsidRPr="007F4145">
        <w:rPr>
          <w:lang w:val="fr-FR"/>
        </w:rPr>
        <w:t xml:space="preserve">, </w:t>
      </w:r>
      <w:r>
        <w:rPr>
          <w:lang w:val="fr-FR"/>
        </w:rPr>
        <w:t>aggravées par une</w:t>
      </w:r>
      <w:r w:rsidRPr="007F4145">
        <w:rPr>
          <w:lang w:val="fr-FR"/>
        </w:rPr>
        <w:t xml:space="preserve"> i</w:t>
      </w:r>
      <w:r>
        <w:rPr>
          <w:lang w:val="fr-FR"/>
        </w:rPr>
        <w:t>nvasion</w:t>
      </w:r>
      <w:r w:rsidRPr="007F4145">
        <w:rPr>
          <w:lang w:val="fr-FR"/>
        </w:rPr>
        <w:t xml:space="preserve"> de parasites</w:t>
      </w:r>
      <w:r>
        <w:rPr>
          <w:lang w:val="fr-FR"/>
        </w:rPr>
        <w:t xml:space="preserve">, de nombreux migrants ont </w:t>
      </w:r>
      <w:r w:rsidRPr="007F4145">
        <w:rPr>
          <w:lang w:val="fr-FR"/>
        </w:rPr>
        <w:t xml:space="preserve">des éruptions cutanées et </w:t>
      </w:r>
      <w:r>
        <w:rPr>
          <w:lang w:val="fr-FR"/>
        </w:rPr>
        <w:t>des</w:t>
      </w:r>
      <w:r w:rsidRPr="007F4145">
        <w:rPr>
          <w:lang w:val="fr-FR"/>
        </w:rPr>
        <w:t xml:space="preserve"> </w:t>
      </w:r>
      <w:r>
        <w:rPr>
          <w:lang w:val="fr-FR"/>
        </w:rPr>
        <w:t>mycose</w:t>
      </w:r>
      <w:r w:rsidRPr="007F4145">
        <w:rPr>
          <w:lang w:val="fr-FR"/>
        </w:rPr>
        <w:t xml:space="preserve">s </w:t>
      </w:r>
      <w:r>
        <w:rPr>
          <w:lang w:val="fr-FR"/>
        </w:rPr>
        <w:t>sur diverses parties du corps</w:t>
      </w:r>
      <w:r w:rsidRPr="007F4145">
        <w:rPr>
          <w:lang w:val="fr-FR"/>
        </w:rPr>
        <w:t xml:space="preserve">. </w:t>
      </w:r>
      <w:r>
        <w:rPr>
          <w:lang w:val="fr-FR"/>
        </w:rPr>
        <w:t>Ils</w:t>
      </w:r>
      <w:r w:rsidRPr="007F4145">
        <w:rPr>
          <w:lang w:val="fr-FR"/>
        </w:rPr>
        <w:t xml:space="preserve"> doivent </w:t>
      </w:r>
      <w:r>
        <w:rPr>
          <w:lang w:val="fr-FR"/>
        </w:rPr>
        <w:t>manger</w:t>
      </w:r>
      <w:r w:rsidRPr="007F4145">
        <w:rPr>
          <w:lang w:val="fr-FR"/>
        </w:rPr>
        <w:t xml:space="preserve"> dans des conditions d</w:t>
      </w:r>
      <w:r>
        <w:rPr>
          <w:lang w:val="fr-FR"/>
        </w:rPr>
        <w:t>’</w:t>
      </w:r>
      <w:r w:rsidRPr="007F4145">
        <w:rPr>
          <w:lang w:val="fr-FR"/>
        </w:rPr>
        <w:t>hygiène déplorables</w:t>
      </w:r>
      <w:r>
        <w:rPr>
          <w:lang w:val="fr-FR"/>
        </w:rPr>
        <w:t>,</w:t>
      </w:r>
      <w:r w:rsidRPr="007F4145">
        <w:rPr>
          <w:lang w:val="fr-FR"/>
        </w:rPr>
        <w:t xml:space="preserve"> sur leur lit ou à même le sol, </w:t>
      </w:r>
      <w:r>
        <w:rPr>
          <w:lang w:val="fr-FR"/>
        </w:rPr>
        <w:t>où prolifèrent les</w:t>
      </w:r>
      <w:r w:rsidRPr="007F4145">
        <w:rPr>
          <w:lang w:val="fr-FR"/>
        </w:rPr>
        <w:t xml:space="preserve"> cafards. Certains ont aussi indiqué qu</w:t>
      </w:r>
      <w:r>
        <w:rPr>
          <w:lang w:val="fr-FR"/>
        </w:rPr>
        <w:t>’</w:t>
      </w:r>
      <w:r w:rsidRPr="007F4145">
        <w:rPr>
          <w:lang w:val="fr-FR"/>
        </w:rPr>
        <w:t>ils ne recevaient pas suffisamment de soins médicaux et qu</w:t>
      </w:r>
      <w:r>
        <w:rPr>
          <w:lang w:val="fr-FR"/>
        </w:rPr>
        <w:t>’</w:t>
      </w:r>
      <w:r w:rsidRPr="007F4145">
        <w:rPr>
          <w:lang w:val="fr-FR"/>
        </w:rPr>
        <w:t xml:space="preserve">ils ne pouvaient sortir dans la cour </w:t>
      </w:r>
      <w:r>
        <w:rPr>
          <w:lang w:val="fr-FR"/>
        </w:rPr>
        <w:t>que</w:t>
      </w:r>
      <w:r w:rsidRPr="007F4145">
        <w:rPr>
          <w:lang w:val="fr-FR"/>
        </w:rPr>
        <w:t xml:space="preserve"> deux heures par semaine.</w:t>
      </w:r>
      <w:bookmarkEnd w:id="120"/>
    </w:p>
    <w:p w:rsidR="000D798E" w:rsidRPr="007F4145" w:rsidRDefault="000D798E" w:rsidP="000D798E">
      <w:pPr>
        <w:pStyle w:val="SingleTxtG"/>
        <w:rPr>
          <w:rFonts w:eastAsia="Times New Roman"/>
        </w:rPr>
      </w:pPr>
      <w:r w:rsidRPr="007F4145">
        <w:rPr>
          <w:lang w:val="fr-FR"/>
        </w:rPr>
        <w:t>124.</w:t>
      </w:r>
      <w:r w:rsidRPr="007F4145">
        <w:rPr>
          <w:lang w:val="fr-FR"/>
        </w:rPr>
        <w:tab/>
        <w:t>Dans le même centre, le Sous-Comité a relevé l</w:t>
      </w:r>
      <w:r>
        <w:rPr>
          <w:lang w:val="fr-FR"/>
        </w:rPr>
        <w:t>’</w:t>
      </w:r>
      <w:r w:rsidRPr="007F4145">
        <w:rPr>
          <w:lang w:val="fr-FR"/>
        </w:rPr>
        <w:t>existence d</w:t>
      </w:r>
      <w:r>
        <w:rPr>
          <w:lang w:val="fr-FR"/>
        </w:rPr>
        <w:t>’</w:t>
      </w:r>
      <w:r w:rsidRPr="007F4145">
        <w:rPr>
          <w:lang w:val="fr-FR"/>
        </w:rPr>
        <w:t>une cellule disciplinaire et l</w:t>
      </w:r>
      <w:r>
        <w:rPr>
          <w:lang w:val="fr-FR"/>
        </w:rPr>
        <w:t>’</w:t>
      </w:r>
      <w:r w:rsidRPr="007F4145">
        <w:rPr>
          <w:lang w:val="fr-FR"/>
        </w:rPr>
        <w:t>absence de protocoles de traitement et d</w:t>
      </w:r>
      <w:r>
        <w:rPr>
          <w:lang w:val="fr-FR"/>
        </w:rPr>
        <w:t>’</w:t>
      </w:r>
      <w:r w:rsidRPr="007F4145">
        <w:rPr>
          <w:lang w:val="fr-FR"/>
        </w:rPr>
        <w:t xml:space="preserve">enregistrement des incidents. </w:t>
      </w:r>
    </w:p>
    <w:p w:rsidR="000D798E" w:rsidRPr="006A1298" w:rsidRDefault="000D798E" w:rsidP="000D798E">
      <w:pPr>
        <w:pStyle w:val="SingleTxtG"/>
        <w:keepLines/>
        <w:rPr>
          <w:rFonts w:eastAsia="Times New Roman"/>
          <w:b/>
        </w:rPr>
      </w:pPr>
      <w:r w:rsidRPr="007F4145">
        <w:rPr>
          <w:lang w:val="fr-FR"/>
        </w:rPr>
        <w:lastRenderedPageBreak/>
        <w:t>125.</w:t>
      </w:r>
      <w:r w:rsidRPr="007F4145">
        <w:rPr>
          <w:lang w:val="fr-FR"/>
        </w:rPr>
        <w:tab/>
      </w:r>
      <w:r w:rsidRPr="006A1298">
        <w:rPr>
          <w:b/>
          <w:lang w:val="fr-FR"/>
        </w:rPr>
        <w:t>Le Sous-Comité rappelle que les États ont, au regard du droit international, l’obligation et le devoir de respecter, de protéger et de réaliser les droits de l’homme. Ces obligations et devoirs des États s’appliquent à toutes les personnes, sans considération de nationalité et de situation administrative.</w:t>
      </w:r>
    </w:p>
    <w:p w:rsidR="000D798E" w:rsidRPr="007F4145" w:rsidRDefault="000D798E" w:rsidP="000D798E">
      <w:pPr>
        <w:pStyle w:val="SingleTxtG"/>
        <w:rPr>
          <w:rFonts w:eastAsia="Times New Roman"/>
        </w:rPr>
      </w:pPr>
      <w:r w:rsidRPr="007F4145">
        <w:rPr>
          <w:lang w:val="fr-FR"/>
        </w:rPr>
        <w:t>126.</w:t>
      </w:r>
      <w:r w:rsidRPr="007F4145">
        <w:rPr>
          <w:lang w:val="fr-FR"/>
        </w:rPr>
        <w:tab/>
        <w:t>Le Sous-Comité a été informé, tant par les migrants que par le personnel du centre d</w:t>
      </w:r>
      <w:r>
        <w:rPr>
          <w:lang w:val="fr-FR"/>
        </w:rPr>
        <w:t>’hébergement pour hommes</w:t>
      </w:r>
      <w:r w:rsidRPr="007F4145">
        <w:rPr>
          <w:lang w:val="fr-FR"/>
        </w:rPr>
        <w:t>, que</w:t>
      </w:r>
      <w:r>
        <w:rPr>
          <w:lang w:val="fr-FR"/>
        </w:rPr>
        <w:t>,</w:t>
      </w:r>
      <w:r w:rsidRPr="007F4145">
        <w:rPr>
          <w:lang w:val="fr-FR"/>
        </w:rPr>
        <w:t xml:space="preserve"> lorsque des représentants de l</w:t>
      </w:r>
      <w:r>
        <w:rPr>
          <w:lang w:val="fr-FR"/>
        </w:rPr>
        <w:t>’</w:t>
      </w:r>
      <w:r w:rsidRPr="007F4145">
        <w:rPr>
          <w:lang w:val="fr-FR"/>
        </w:rPr>
        <w:t>Office national de protection des réfugiés se rend</w:t>
      </w:r>
      <w:r>
        <w:rPr>
          <w:lang w:val="fr-FR"/>
        </w:rPr>
        <w:t>ai</w:t>
      </w:r>
      <w:r w:rsidRPr="007F4145">
        <w:rPr>
          <w:lang w:val="fr-FR"/>
        </w:rPr>
        <w:t xml:space="preserve">ent au centre, ils </w:t>
      </w:r>
      <w:r>
        <w:rPr>
          <w:lang w:val="fr-FR"/>
        </w:rPr>
        <w:t>n’allaient</w:t>
      </w:r>
      <w:r w:rsidRPr="007F4145">
        <w:rPr>
          <w:lang w:val="fr-FR"/>
        </w:rPr>
        <w:t xml:space="preserve"> pas jusque dans la cellule où </w:t>
      </w:r>
      <w:r>
        <w:rPr>
          <w:lang w:val="fr-FR"/>
        </w:rPr>
        <w:t>étaien</w:t>
      </w:r>
      <w:r w:rsidRPr="007F4145">
        <w:rPr>
          <w:lang w:val="fr-FR"/>
        </w:rPr>
        <w:t xml:space="preserve">t </w:t>
      </w:r>
      <w:r>
        <w:rPr>
          <w:lang w:val="fr-FR"/>
        </w:rPr>
        <w:t>dé</w:t>
      </w:r>
      <w:r w:rsidRPr="007F4145">
        <w:rPr>
          <w:lang w:val="fr-FR"/>
        </w:rPr>
        <w:t>tenus les migrants</w:t>
      </w:r>
      <w:r>
        <w:rPr>
          <w:lang w:val="fr-FR"/>
        </w:rPr>
        <w:t>, les renseignements</w:t>
      </w:r>
      <w:r w:rsidRPr="007F4145">
        <w:rPr>
          <w:lang w:val="fr-FR"/>
        </w:rPr>
        <w:t xml:space="preserve"> sur l</w:t>
      </w:r>
      <w:r>
        <w:rPr>
          <w:lang w:val="fr-FR"/>
        </w:rPr>
        <w:t>es</w:t>
      </w:r>
      <w:r w:rsidRPr="007F4145">
        <w:rPr>
          <w:lang w:val="fr-FR"/>
        </w:rPr>
        <w:t xml:space="preserve"> personne</w:t>
      </w:r>
      <w:r>
        <w:rPr>
          <w:lang w:val="fr-FR"/>
        </w:rPr>
        <w:t>s</w:t>
      </w:r>
      <w:r w:rsidRPr="007F4145">
        <w:rPr>
          <w:lang w:val="fr-FR"/>
        </w:rPr>
        <w:t xml:space="preserve"> qui a</w:t>
      </w:r>
      <w:r>
        <w:rPr>
          <w:lang w:val="fr-FR"/>
        </w:rPr>
        <w:t>vaient</w:t>
      </w:r>
      <w:r w:rsidRPr="007F4145">
        <w:rPr>
          <w:lang w:val="fr-FR"/>
        </w:rPr>
        <w:t xml:space="preserve"> manifesté </w:t>
      </w:r>
      <w:r>
        <w:rPr>
          <w:lang w:val="fr-FR"/>
        </w:rPr>
        <w:t>leur</w:t>
      </w:r>
      <w:r w:rsidRPr="007F4145">
        <w:rPr>
          <w:lang w:val="fr-FR"/>
        </w:rPr>
        <w:t xml:space="preserve"> intention de demander l</w:t>
      </w:r>
      <w:r>
        <w:rPr>
          <w:lang w:val="fr-FR"/>
        </w:rPr>
        <w:t>’</w:t>
      </w:r>
      <w:r w:rsidRPr="007F4145">
        <w:rPr>
          <w:lang w:val="fr-FR"/>
        </w:rPr>
        <w:t xml:space="preserve">asile </w:t>
      </w:r>
      <w:r>
        <w:rPr>
          <w:lang w:val="fr-FR"/>
        </w:rPr>
        <w:t xml:space="preserve">leur étant donné </w:t>
      </w:r>
      <w:r w:rsidRPr="007F4145">
        <w:rPr>
          <w:lang w:val="fr-FR"/>
        </w:rPr>
        <w:t xml:space="preserve">par le personnel du centre. </w:t>
      </w:r>
    </w:p>
    <w:p w:rsidR="000D798E" w:rsidRPr="007F4145" w:rsidRDefault="000D798E" w:rsidP="000D798E">
      <w:pPr>
        <w:pStyle w:val="SingleTxtG"/>
        <w:rPr>
          <w:rFonts w:eastAsia="Times New Roman"/>
        </w:rPr>
      </w:pPr>
      <w:r w:rsidRPr="007F4145">
        <w:rPr>
          <w:lang w:val="fr-FR"/>
        </w:rPr>
        <w:t>127.</w:t>
      </w:r>
      <w:r w:rsidRPr="007F4145">
        <w:rPr>
          <w:lang w:val="fr-FR"/>
        </w:rPr>
        <w:tab/>
      </w:r>
      <w:r w:rsidRPr="006A1298">
        <w:rPr>
          <w:b/>
          <w:lang w:val="fr-FR"/>
        </w:rPr>
        <w:t xml:space="preserve">Le Sous-Comité recommande à l’État partie de veiller à ce que le personnel de l’Office national de protection des réfugiés se rende dans la cellule où sont détenus les migrants afin de recevoir directement les demandes d’asile éventuelles et d’éliminer tout risque de subjectivité de la part du personnel du centre lors </w:t>
      </w:r>
      <w:r>
        <w:rPr>
          <w:b/>
          <w:lang w:val="fr-FR"/>
        </w:rPr>
        <w:t xml:space="preserve">de </w:t>
      </w:r>
      <w:r w:rsidRPr="006A1298">
        <w:rPr>
          <w:b/>
          <w:lang w:val="fr-FR"/>
        </w:rPr>
        <w:t>la communication des renseignements nécessaires.</w:t>
      </w:r>
      <w:r w:rsidRPr="007F4145">
        <w:rPr>
          <w:lang w:val="fr-FR"/>
        </w:rPr>
        <w:t xml:space="preserve"> </w:t>
      </w:r>
    </w:p>
    <w:p w:rsidR="000D798E" w:rsidRPr="007F4145" w:rsidRDefault="000D798E" w:rsidP="000D798E">
      <w:pPr>
        <w:pStyle w:val="H1G"/>
        <w:rPr>
          <w:rFonts w:eastAsia="Times New Roman"/>
        </w:rPr>
      </w:pPr>
      <w:r w:rsidRPr="007F4145">
        <w:rPr>
          <w:lang w:val="fr-FR"/>
        </w:rPr>
        <w:tab/>
        <w:t>D.</w:t>
      </w:r>
      <w:r w:rsidRPr="007F4145">
        <w:rPr>
          <w:lang w:val="fr-FR"/>
        </w:rPr>
        <w:tab/>
        <w:t xml:space="preserve">Lesbiennes, gays, bisexuels, transgenres et intersexués </w:t>
      </w:r>
    </w:p>
    <w:p w:rsidR="000D798E" w:rsidRPr="007F4145" w:rsidRDefault="000D798E" w:rsidP="000D798E">
      <w:pPr>
        <w:pStyle w:val="SingleTxtG"/>
        <w:rPr>
          <w:rFonts w:eastAsia="Times New Roman"/>
          <w:color w:val="000000"/>
        </w:rPr>
      </w:pPr>
      <w:bookmarkStart w:id="121" w:name="bookmark_46"/>
      <w:r w:rsidRPr="007F4145">
        <w:rPr>
          <w:lang w:val="fr-FR"/>
        </w:rPr>
        <w:t>128.</w:t>
      </w:r>
      <w:r w:rsidRPr="007F4145">
        <w:rPr>
          <w:lang w:val="fr-FR"/>
        </w:rPr>
        <w:tab/>
        <w:t xml:space="preserve">Le Sous-Comité a été informé que des actes de discrimination étaient commis </w:t>
      </w:r>
      <w:r>
        <w:rPr>
          <w:lang w:val="fr-FR"/>
        </w:rPr>
        <w:t>contre</w:t>
      </w:r>
      <w:r w:rsidRPr="007F4145">
        <w:rPr>
          <w:lang w:val="fr-FR"/>
        </w:rPr>
        <w:t xml:space="preserve"> des homosexuels dans </w:t>
      </w:r>
      <w:r>
        <w:rPr>
          <w:lang w:val="fr-FR"/>
        </w:rPr>
        <w:t>le centre de détention</w:t>
      </w:r>
      <w:r w:rsidRPr="007F4145">
        <w:rPr>
          <w:lang w:val="fr-FR"/>
        </w:rPr>
        <w:t xml:space="preserve"> La </w:t>
      </w:r>
      <w:proofErr w:type="spellStart"/>
      <w:r w:rsidRPr="007F4145">
        <w:rPr>
          <w:lang w:val="fr-FR"/>
        </w:rPr>
        <w:t>Joyita</w:t>
      </w:r>
      <w:proofErr w:type="spellEnd"/>
      <w:r w:rsidRPr="007F4145">
        <w:rPr>
          <w:lang w:val="fr-FR"/>
        </w:rPr>
        <w:t xml:space="preserve">, tant par les autorités que par les représentants religieux. </w:t>
      </w:r>
      <w:r>
        <w:rPr>
          <w:lang w:val="fr-FR"/>
        </w:rPr>
        <w:t>Il lui a également été signalé que,</w:t>
      </w:r>
      <w:r w:rsidRPr="007F4145">
        <w:rPr>
          <w:lang w:val="fr-FR"/>
        </w:rPr>
        <w:t xml:space="preserve"> dans </w:t>
      </w:r>
      <w:r>
        <w:rPr>
          <w:lang w:val="fr-FR"/>
        </w:rPr>
        <w:t>le centre de détention</w:t>
      </w:r>
      <w:r w:rsidRPr="007F4145">
        <w:rPr>
          <w:lang w:val="fr-FR"/>
        </w:rPr>
        <w:t xml:space="preserve"> La</w:t>
      </w:r>
      <w:r>
        <w:rPr>
          <w:lang w:val="fr-FR"/>
        </w:rPr>
        <w:t> </w:t>
      </w:r>
      <w:proofErr w:type="spellStart"/>
      <w:r w:rsidRPr="007F4145">
        <w:rPr>
          <w:lang w:val="fr-FR"/>
        </w:rPr>
        <w:t>Joya</w:t>
      </w:r>
      <w:proofErr w:type="spellEnd"/>
      <w:r w:rsidRPr="007F4145">
        <w:rPr>
          <w:lang w:val="fr-FR"/>
        </w:rPr>
        <w:t>, les homosexuels étaient séparés des autres détenus et placés dans un couloir distinct dont la porte restait fermée de façon à garantir leur sécurité et à éviter la propagation de maladies.</w:t>
      </w:r>
      <w:bookmarkEnd w:id="121"/>
    </w:p>
    <w:p w:rsidR="000D798E" w:rsidRPr="006A1298" w:rsidRDefault="000D798E" w:rsidP="000D798E">
      <w:pPr>
        <w:pStyle w:val="SingleTxtG"/>
        <w:rPr>
          <w:rFonts w:eastAsia="Times New Roman"/>
          <w:b/>
        </w:rPr>
      </w:pPr>
      <w:bookmarkStart w:id="122" w:name="bookmark_47"/>
      <w:r w:rsidRPr="007F4145">
        <w:rPr>
          <w:lang w:val="fr-FR"/>
        </w:rPr>
        <w:t>129.</w:t>
      </w:r>
      <w:r w:rsidRPr="007F4145">
        <w:rPr>
          <w:lang w:val="fr-FR"/>
        </w:rPr>
        <w:tab/>
      </w:r>
      <w:r w:rsidRPr="006A1298">
        <w:rPr>
          <w:b/>
          <w:lang w:val="fr-FR"/>
        </w:rPr>
        <w:t xml:space="preserve">Le Sous-Comité rappelle que l’isolement, la mise au secret et la ségrégation administrative ne sont pas des moyens acceptables d’assurer la sécurité des personnes, et que ces mesures ne peuvent être justifiées que si elles s’appliquent en dernier recours, à titre exceptionnel, pour une durée aussi brève que possible et dans le respect des garanties juridiques fondamentales. </w:t>
      </w:r>
      <w:bookmarkEnd w:id="122"/>
    </w:p>
    <w:p w:rsidR="000D798E" w:rsidRPr="007F4145" w:rsidRDefault="000D798E" w:rsidP="000D798E">
      <w:pPr>
        <w:pStyle w:val="SingleTxtG"/>
        <w:rPr>
          <w:rFonts w:eastAsia="Times New Roman"/>
          <w:color w:val="000000"/>
        </w:rPr>
      </w:pPr>
      <w:r w:rsidRPr="007F4145">
        <w:rPr>
          <w:lang w:val="fr-FR"/>
        </w:rPr>
        <w:t>130.</w:t>
      </w:r>
      <w:r w:rsidRPr="007F4145">
        <w:rPr>
          <w:lang w:val="fr-FR"/>
        </w:rPr>
        <w:tab/>
        <w:t>En ce qui concerne les soins médicaux</w:t>
      </w:r>
      <w:r>
        <w:rPr>
          <w:lang w:val="fr-FR"/>
        </w:rPr>
        <w:t xml:space="preserve"> fournis aux</w:t>
      </w:r>
      <w:r w:rsidRPr="007F4145">
        <w:rPr>
          <w:lang w:val="fr-FR"/>
        </w:rPr>
        <w:t xml:space="preserve"> lesbiennes, gays, bisexuels, transgenres et intersexués privés de liberté, </w:t>
      </w:r>
      <w:r>
        <w:rPr>
          <w:lang w:val="fr-FR"/>
        </w:rPr>
        <w:t>les nombreuses personnes séropositives</w:t>
      </w:r>
      <w:r w:rsidRPr="007F4145">
        <w:rPr>
          <w:lang w:val="fr-FR"/>
        </w:rPr>
        <w:t xml:space="preserve"> reçoivent un traitement antirétroviral, mais il leur est extrêmement difficile de consulter le médecin </w:t>
      </w:r>
      <w:r>
        <w:rPr>
          <w:lang w:val="fr-FR"/>
        </w:rPr>
        <w:t>du centre</w:t>
      </w:r>
      <w:r w:rsidRPr="007F4145">
        <w:rPr>
          <w:lang w:val="fr-FR"/>
        </w:rPr>
        <w:t xml:space="preserve">. </w:t>
      </w:r>
      <w:r>
        <w:rPr>
          <w:lang w:val="fr-FR"/>
        </w:rPr>
        <w:t xml:space="preserve">Alors que ces personnes ont besoin d’un suivi médical rigoureux lorsqu’elles sont en contact avec des maladies courantes, compte tenu du risque d’évolution fulgurante de ces maladies, elles n’ont visiblement pas accès à </w:t>
      </w:r>
      <w:r w:rsidRPr="007F4145">
        <w:rPr>
          <w:lang w:val="fr-FR"/>
        </w:rPr>
        <w:t>un infectiologue</w:t>
      </w:r>
      <w:r>
        <w:rPr>
          <w:lang w:val="fr-FR"/>
        </w:rPr>
        <w:t>.</w:t>
      </w:r>
    </w:p>
    <w:p w:rsidR="000D798E" w:rsidRPr="006A1298" w:rsidRDefault="000D798E" w:rsidP="000D798E">
      <w:pPr>
        <w:pStyle w:val="SingleTxtG"/>
        <w:rPr>
          <w:rFonts w:eastAsia="Times New Roman"/>
          <w:b/>
          <w:color w:val="000000"/>
        </w:rPr>
      </w:pPr>
      <w:r w:rsidRPr="007F4145">
        <w:rPr>
          <w:lang w:val="fr-FR"/>
        </w:rPr>
        <w:t>131.</w:t>
      </w:r>
      <w:r w:rsidRPr="007F4145">
        <w:rPr>
          <w:lang w:val="fr-FR"/>
        </w:rPr>
        <w:tab/>
      </w:r>
      <w:r w:rsidRPr="006A1298">
        <w:rPr>
          <w:b/>
          <w:lang w:val="fr-FR"/>
        </w:rPr>
        <w:t>Le Sous-Comité recommande à l’État partie de veiller à ce que les lesbiennes, gays, bisexuels, transgenres et intersexués privés de liberté reçoivent les même</w:t>
      </w:r>
      <w:r>
        <w:rPr>
          <w:b/>
          <w:lang w:val="fr-FR"/>
        </w:rPr>
        <w:t>s</w:t>
      </w:r>
      <w:r w:rsidRPr="006A1298">
        <w:rPr>
          <w:b/>
          <w:lang w:val="fr-FR"/>
        </w:rPr>
        <w:t xml:space="preserve"> soins de santé que ceux qui sont en liberté.</w:t>
      </w:r>
    </w:p>
    <w:p w:rsidR="000D798E" w:rsidRPr="006A1298" w:rsidRDefault="000D798E" w:rsidP="000D798E">
      <w:pPr>
        <w:pStyle w:val="SingleTxtG"/>
        <w:rPr>
          <w:rFonts w:eastAsia="Times New Roman"/>
          <w:b/>
        </w:rPr>
      </w:pPr>
      <w:r w:rsidRPr="007F4145">
        <w:rPr>
          <w:lang w:val="fr-FR"/>
        </w:rPr>
        <w:t>132.</w:t>
      </w:r>
      <w:r w:rsidRPr="007F4145">
        <w:rPr>
          <w:lang w:val="fr-FR"/>
        </w:rPr>
        <w:tab/>
      </w:r>
      <w:r w:rsidRPr="006A1298">
        <w:rPr>
          <w:b/>
          <w:lang w:val="fr-FR"/>
        </w:rPr>
        <w:t>Le Sous-Comité recommande à l’État partie de faire en sorte que le personnel pénitentiaire, les agents des forces de l’ordre, les magistrats et les autres représentants de l’État suivent une formation aux droits de l’homme pour qu’ils prennent davantage conscience des normes internationales relatives aux droits de l’homme et des principes de l’égalité et de la non-discrimination, y compris au motif de l’orientation sexuelle et de l’identité de genre.</w:t>
      </w:r>
    </w:p>
    <w:p w:rsidR="000D798E" w:rsidRPr="007F4145" w:rsidRDefault="000D798E" w:rsidP="000D798E">
      <w:pPr>
        <w:pStyle w:val="HChG"/>
        <w:rPr>
          <w:rFonts w:eastAsia="Times New Roman"/>
        </w:rPr>
      </w:pPr>
      <w:bookmarkStart w:id="123" w:name="_Toc447909181"/>
      <w:r w:rsidRPr="007F4145">
        <w:rPr>
          <w:lang w:val="fr-FR"/>
        </w:rPr>
        <w:tab/>
        <w:t>VII.</w:t>
      </w:r>
      <w:r w:rsidRPr="007F4145">
        <w:rPr>
          <w:lang w:val="fr-FR"/>
        </w:rPr>
        <w:tab/>
        <w:t>Répercussions de la visite</w:t>
      </w:r>
      <w:bookmarkEnd w:id="123"/>
    </w:p>
    <w:p w:rsidR="000D798E" w:rsidRPr="007F4145" w:rsidRDefault="000D798E" w:rsidP="000D798E">
      <w:pPr>
        <w:pStyle w:val="SingleTxtG"/>
        <w:rPr>
          <w:rFonts w:eastAsia="Times New Roman"/>
        </w:rPr>
      </w:pPr>
      <w:bookmarkStart w:id="124" w:name="bookmark_52"/>
      <w:r w:rsidRPr="007F4145">
        <w:rPr>
          <w:lang w:val="fr-FR"/>
        </w:rPr>
        <w:t>133.</w:t>
      </w:r>
      <w:r w:rsidRPr="007F4145">
        <w:rPr>
          <w:lang w:val="fr-FR"/>
        </w:rPr>
        <w:tab/>
        <w:t>Conformément à l</w:t>
      </w:r>
      <w:r>
        <w:rPr>
          <w:lang w:val="fr-FR"/>
        </w:rPr>
        <w:t>’</w:t>
      </w:r>
      <w:r w:rsidRPr="007F4145">
        <w:rPr>
          <w:lang w:val="fr-FR"/>
        </w:rPr>
        <w:t>article</w:t>
      </w:r>
      <w:r>
        <w:rPr>
          <w:lang w:val="fr-FR"/>
        </w:rPr>
        <w:t> </w:t>
      </w:r>
      <w:r w:rsidRPr="007F4145">
        <w:rPr>
          <w:lang w:val="fr-FR"/>
        </w:rPr>
        <w:t xml:space="preserve">15 du Protocole facultatif et à </w:t>
      </w:r>
      <w:r>
        <w:rPr>
          <w:lang w:val="fr-FR"/>
        </w:rPr>
        <w:t>s</w:t>
      </w:r>
      <w:r w:rsidRPr="007F4145">
        <w:rPr>
          <w:lang w:val="fr-FR"/>
        </w:rPr>
        <w:t xml:space="preserve">a </w:t>
      </w:r>
      <w:r w:rsidRPr="00490C91">
        <w:t>propre</w:t>
      </w:r>
      <w:r>
        <w:rPr>
          <w:lang w:val="fr-FR"/>
        </w:rPr>
        <w:t xml:space="preserve"> </w:t>
      </w:r>
      <w:r w:rsidRPr="007F4145">
        <w:rPr>
          <w:lang w:val="fr-FR"/>
        </w:rPr>
        <w:t>politique concernant les représailles en lien avec son mandat d</w:t>
      </w:r>
      <w:r>
        <w:rPr>
          <w:lang w:val="fr-FR"/>
        </w:rPr>
        <w:t>’</w:t>
      </w:r>
      <w:r w:rsidRPr="007F4145">
        <w:rPr>
          <w:lang w:val="fr-FR"/>
        </w:rPr>
        <w:t>inspection</w:t>
      </w:r>
      <w:r w:rsidRPr="004D62C4">
        <w:rPr>
          <w:rStyle w:val="Appelnotedebasdep"/>
        </w:rPr>
        <w:footnoteReference w:id="15"/>
      </w:r>
      <w:r w:rsidRPr="007F4145">
        <w:rPr>
          <w:lang w:val="fr-FR"/>
        </w:rPr>
        <w:t>, le Sous-Comité prie instamment les autorités compétentes de l</w:t>
      </w:r>
      <w:r>
        <w:rPr>
          <w:lang w:val="fr-FR"/>
        </w:rPr>
        <w:t>’</w:t>
      </w:r>
      <w:r w:rsidRPr="007F4145">
        <w:rPr>
          <w:lang w:val="fr-FR"/>
        </w:rPr>
        <w:t>État partie de veiller à ce qu</w:t>
      </w:r>
      <w:r>
        <w:rPr>
          <w:lang w:val="fr-FR"/>
        </w:rPr>
        <w:t>’</w:t>
      </w:r>
      <w:r w:rsidRPr="007F4145">
        <w:rPr>
          <w:lang w:val="fr-FR"/>
        </w:rPr>
        <w:t>il n</w:t>
      </w:r>
      <w:r>
        <w:rPr>
          <w:lang w:val="fr-FR"/>
        </w:rPr>
        <w:t>’</w:t>
      </w:r>
      <w:r w:rsidRPr="007F4145">
        <w:rPr>
          <w:lang w:val="fr-FR"/>
        </w:rPr>
        <w:t xml:space="preserve">y ait pas de représailles </w:t>
      </w:r>
      <w:r>
        <w:rPr>
          <w:lang w:val="fr-FR"/>
        </w:rPr>
        <w:t>après</w:t>
      </w:r>
      <w:r w:rsidRPr="007F4145">
        <w:rPr>
          <w:lang w:val="fr-FR"/>
        </w:rPr>
        <w:t xml:space="preserve"> sa visite. Il demande à l</w:t>
      </w:r>
      <w:r>
        <w:rPr>
          <w:lang w:val="fr-FR"/>
        </w:rPr>
        <w:t>’</w:t>
      </w:r>
      <w:r w:rsidRPr="007F4145">
        <w:rPr>
          <w:lang w:val="fr-FR"/>
        </w:rPr>
        <w:t xml:space="preserve">État partie de faire figurer dans sa réponse des informations détaillées sur les mesures </w:t>
      </w:r>
      <w:r>
        <w:rPr>
          <w:lang w:val="fr-FR"/>
        </w:rPr>
        <w:t xml:space="preserve">qu’il aura </w:t>
      </w:r>
      <w:r w:rsidRPr="007F4145">
        <w:rPr>
          <w:lang w:val="fr-FR"/>
        </w:rPr>
        <w:t xml:space="preserve">prises pour empêcher que les personnes </w:t>
      </w:r>
      <w:r w:rsidRPr="007F4145">
        <w:rPr>
          <w:lang w:val="fr-FR"/>
        </w:rPr>
        <w:lastRenderedPageBreak/>
        <w:t>qu</w:t>
      </w:r>
      <w:r>
        <w:rPr>
          <w:lang w:val="fr-FR"/>
        </w:rPr>
        <w:t>’</w:t>
      </w:r>
      <w:r w:rsidRPr="007F4145">
        <w:rPr>
          <w:lang w:val="fr-FR"/>
        </w:rPr>
        <w:t>il a rencontrées, avec lesquelles il s</w:t>
      </w:r>
      <w:r>
        <w:rPr>
          <w:lang w:val="fr-FR"/>
        </w:rPr>
        <w:t>’</w:t>
      </w:r>
      <w:r w:rsidRPr="007F4145">
        <w:rPr>
          <w:lang w:val="fr-FR"/>
        </w:rPr>
        <w:t>est entretenu ou qui lui ont donné des renseignements durant sa visite soient victimes de représailles.</w:t>
      </w:r>
      <w:bookmarkEnd w:id="124"/>
    </w:p>
    <w:p w:rsidR="000D798E" w:rsidRPr="007F4145" w:rsidRDefault="000D798E" w:rsidP="000D798E">
      <w:pPr>
        <w:pStyle w:val="HChG"/>
        <w:rPr>
          <w:rFonts w:eastAsia="Times New Roman"/>
        </w:rPr>
      </w:pPr>
      <w:r w:rsidRPr="007F4145">
        <w:rPr>
          <w:lang w:val="fr-FR"/>
        </w:rPr>
        <w:tab/>
        <w:t>VIII.</w:t>
      </w:r>
      <w:r w:rsidRPr="007F4145">
        <w:rPr>
          <w:lang w:val="fr-FR"/>
        </w:rPr>
        <w:tab/>
        <w:t>Conclusion</w:t>
      </w:r>
    </w:p>
    <w:p w:rsidR="000D798E" w:rsidRPr="006A1298" w:rsidRDefault="000D798E" w:rsidP="000D798E">
      <w:pPr>
        <w:pStyle w:val="SingleTxtG"/>
        <w:rPr>
          <w:rFonts w:eastAsia="Times New Roman"/>
          <w:b/>
        </w:rPr>
      </w:pPr>
      <w:r w:rsidRPr="00F92811">
        <w:rPr>
          <w:lang w:val="fr-FR"/>
        </w:rPr>
        <w:t>134.</w:t>
      </w:r>
      <w:r w:rsidRPr="00F92811">
        <w:rPr>
          <w:lang w:val="fr-FR"/>
        </w:rPr>
        <w:tab/>
      </w:r>
      <w:r w:rsidRPr="006A1298">
        <w:rPr>
          <w:b/>
          <w:lang w:val="fr-FR"/>
        </w:rPr>
        <w:t>Le Sous-Comité espère que sa visite et le présent rapport marqueront le début d’un dialogue constructif avec l’État partie, qui permettra à celui-ci d’honorer ses obligations découlant du Protocole facultatif, le but étant d’atteindre l’objectif commun de prévention de la torture et des mauvais traitements.</w:t>
      </w:r>
    </w:p>
    <w:p w:rsidR="000D798E" w:rsidRDefault="000D798E" w:rsidP="000D798E">
      <w:pPr>
        <w:pStyle w:val="SingleTxtG"/>
        <w:rPr>
          <w:b/>
          <w:lang w:val="fr-FR"/>
        </w:rPr>
      </w:pPr>
      <w:r w:rsidRPr="007F4145">
        <w:rPr>
          <w:lang w:val="fr-FR"/>
        </w:rPr>
        <w:t>135.</w:t>
      </w:r>
      <w:r w:rsidRPr="007F4145">
        <w:rPr>
          <w:lang w:val="fr-FR"/>
        </w:rPr>
        <w:tab/>
      </w:r>
      <w:r w:rsidRPr="006A1298">
        <w:rPr>
          <w:b/>
          <w:lang w:val="fr-FR"/>
        </w:rPr>
        <w:t>Le Sous-Comité recommande à l’État partie de rendre public le présent rapport, considérant que cette action constitue en soi une mesure de prévention. Il lui recommande en outre de le faire distribuer à tous les départements et établissements publics concernés.</w:t>
      </w:r>
    </w:p>
    <w:p w:rsidR="000D798E" w:rsidRPr="00F641E6" w:rsidRDefault="000D798E" w:rsidP="000D798E">
      <w:pPr>
        <w:pStyle w:val="HChG"/>
      </w:pPr>
      <w:r>
        <w:rPr>
          <w:b w:val="0"/>
          <w:lang w:val="fr-FR"/>
        </w:rPr>
        <w:br w:type="page"/>
      </w:r>
      <w:r w:rsidRPr="00F641E6">
        <w:lastRenderedPageBreak/>
        <w:t>Annexes</w:t>
      </w:r>
    </w:p>
    <w:p w:rsidR="000D798E" w:rsidRPr="00F641E6" w:rsidRDefault="000D798E" w:rsidP="000D798E">
      <w:pPr>
        <w:pStyle w:val="HChG"/>
      </w:pPr>
      <w:r w:rsidRPr="00F641E6">
        <w:t>Annexe I</w:t>
      </w:r>
    </w:p>
    <w:p w:rsidR="000D798E" w:rsidRPr="00F641E6" w:rsidRDefault="000D798E" w:rsidP="000D798E">
      <w:pPr>
        <w:spacing w:line="280" w:lineRule="exact"/>
        <w:jc w:val="right"/>
        <w:rPr>
          <w:i/>
        </w:rPr>
      </w:pPr>
      <w:r w:rsidRPr="00E55EA8">
        <w:t>[</w:t>
      </w:r>
      <w:r w:rsidRPr="00F641E6">
        <w:rPr>
          <w:i/>
        </w:rPr>
        <w:t>Espagnol seulement</w:t>
      </w:r>
      <w:r w:rsidRPr="00E55EA8">
        <w:t>]</w:t>
      </w:r>
    </w:p>
    <w:p w:rsidR="000D798E" w:rsidRPr="00570C78" w:rsidRDefault="000D798E" w:rsidP="000D798E">
      <w:pPr>
        <w:pStyle w:val="HChG"/>
        <w:rPr>
          <w:lang w:val="es-ES_tradnl"/>
        </w:rPr>
      </w:pPr>
      <w:r w:rsidRPr="00F641E6">
        <w:tab/>
      </w:r>
      <w:bookmarkStart w:id="126" w:name="_Toc332721034"/>
      <w:r w:rsidRPr="00F641E6">
        <w:tab/>
      </w:r>
      <w:r w:rsidRPr="00570C78">
        <w:rPr>
          <w:lang w:val="es-ES_tradnl"/>
        </w:rPr>
        <w:t>Lista de las personas con quienes se reunió el Subcomité</w:t>
      </w:r>
      <w:bookmarkEnd w:id="126"/>
    </w:p>
    <w:p w:rsidR="000D798E" w:rsidRPr="00570C78" w:rsidRDefault="000D798E" w:rsidP="000D798E">
      <w:pPr>
        <w:pStyle w:val="H1G"/>
        <w:rPr>
          <w:lang w:val="es-ES_tradnl"/>
        </w:rPr>
      </w:pPr>
      <w:r w:rsidRPr="00570C78">
        <w:rPr>
          <w:lang w:val="es-ES_tradnl"/>
        </w:rPr>
        <w:tab/>
        <w:t>A</w:t>
      </w:r>
      <w:r>
        <w:rPr>
          <w:lang w:val="es-ES_tradnl"/>
        </w:rPr>
        <w:t>.</w:t>
      </w:r>
      <w:r w:rsidRPr="00570C78">
        <w:rPr>
          <w:lang w:val="es-ES_tradnl"/>
        </w:rPr>
        <w:tab/>
        <w:t>Autoridades</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Ministerio de Relaciones Exteriores</w:t>
      </w:r>
    </w:p>
    <w:p w:rsidR="000D798E" w:rsidRPr="002A608B" w:rsidRDefault="000D798E" w:rsidP="000D798E">
      <w:pPr>
        <w:pStyle w:val="Bullet1G"/>
        <w:numPr>
          <w:ilvl w:val="0"/>
          <w:numId w:val="0"/>
        </w:numPr>
        <w:tabs>
          <w:tab w:val="left" w:pos="1701"/>
        </w:tabs>
        <w:ind w:left="1701" w:hanging="170"/>
        <w:rPr>
          <w:shd w:val="clear" w:color="auto" w:fill="FFFFFF"/>
          <w:lang w:val="es-ES_tradnl" w:eastAsia="it-IT"/>
        </w:rPr>
      </w:pPr>
      <w:r w:rsidRPr="008438B9">
        <w:rPr>
          <w:lang w:val="es-ES_tradnl" w:eastAsia="it-IT"/>
        </w:rPr>
        <w:t>•</w:t>
      </w:r>
      <w:r w:rsidRPr="008438B9">
        <w:rPr>
          <w:lang w:val="es-ES_tradnl" w:eastAsia="it-IT"/>
        </w:rPr>
        <w:tab/>
      </w:r>
      <w:r w:rsidRPr="008438B9">
        <w:rPr>
          <w:lang w:val="es-ES_tradnl"/>
        </w:rPr>
        <w:t>Sra. Isabel de Saint Malo de Alvarado, Vicepresidenta</w:t>
      </w:r>
      <w:r w:rsidRPr="008438B9">
        <w:rPr>
          <w:shd w:val="clear" w:color="auto" w:fill="FFFFFF"/>
          <w:lang w:val="es-ES_tradnl" w:eastAsia="it-IT"/>
        </w:rPr>
        <w:t xml:space="preserve"> de la República y Ministra de Relaciones Exteriores</w:t>
      </w:r>
    </w:p>
    <w:p w:rsidR="000D798E" w:rsidRPr="00883B64" w:rsidRDefault="000D798E" w:rsidP="000D798E">
      <w:pPr>
        <w:pStyle w:val="Bullet1G"/>
        <w:numPr>
          <w:ilvl w:val="0"/>
          <w:numId w:val="0"/>
        </w:numPr>
        <w:tabs>
          <w:tab w:val="left" w:pos="1701"/>
        </w:tabs>
        <w:ind w:left="1701" w:hanging="170"/>
        <w:rPr>
          <w:shd w:val="clear" w:color="auto" w:fill="FFFFFF"/>
          <w:lang w:val="es-ES_tradnl" w:eastAsia="it-IT"/>
        </w:rPr>
      </w:pPr>
      <w:r w:rsidRPr="008A7291">
        <w:rPr>
          <w:lang w:val="es-ES_tradnl" w:eastAsia="it-IT"/>
        </w:rPr>
        <w:t>•</w:t>
      </w:r>
      <w:r w:rsidRPr="008A7291">
        <w:rPr>
          <w:lang w:val="es-ES_tradnl" w:eastAsia="it-IT"/>
        </w:rPr>
        <w:tab/>
      </w:r>
      <w:r w:rsidRPr="008A7291">
        <w:rPr>
          <w:lang w:val="es-ES_tradnl"/>
        </w:rPr>
        <w:t>Sra. María Luisa Navarro</w:t>
      </w:r>
      <w:r w:rsidRPr="00883B64">
        <w:rPr>
          <w:lang w:val="es-ES_tradnl"/>
        </w:rPr>
        <w:t>, Viceministra de Asunto Multilaterales y Cooperación</w:t>
      </w:r>
    </w:p>
    <w:p w:rsidR="000D798E" w:rsidRPr="00883B64" w:rsidRDefault="000D798E" w:rsidP="000D798E">
      <w:pPr>
        <w:pStyle w:val="Bullet1G"/>
        <w:numPr>
          <w:ilvl w:val="0"/>
          <w:numId w:val="0"/>
        </w:numPr>
        <w:tabs>
          <w:tab w:val="left" w:pos="1701"/>
        </w:tabs>
        <w:ind w:left="1701" w:hanging="170"/>
        <w:rPr>
          <w:shd w:val="clear" w:color="auto" w:fill="FFFFFF"/>
          <w:lang w:val="es-ES_tradnl" w:eastAsia="it-IT"/>
        </w:rPr>
      </w:pPr>
      <w:r w:rsidRPr="00883B64">
        <w:rPr>
          <w:lang w:val="es-ES_tradnl" w:eastAsia="it-IT"/>
        </w:rPr>
        <w:t>•</w:t>
      </w:r>
      <w:r w:rsidRPr="00883B64">
        <w:rPr>
          <w:lang w:val="es-ES_tradnl" w:eastAsia="it-IT"/>
        </w:rPr>
        <w:tab/>
      </w:r>
      <w:r w:rsidRPr="00883B64">
        <w:rPr>
          <w:lang w:val="es-ES_tradnl"/>
        </w:rPr>
        <w:t xml:space="preserve">Sr. </w:t>
      </w:r>
      <w:r w:rsidRPr="00883B64">
        <w:rPr>
          <w:shd w:val="clear" w:color="auto" w:fill="FFFFFF"/>
          <w:lang w:val="es-ES_tradnl" w:eastAsia="it-IT"/>
        </w:rPr>
        <w:t>Luis Miguel Hincapié, Viceministro de Relaciones Exteriores</w:t>
      </w:r>
    </w:p>
    <w:p w:rsidR="000D798E" w:rsidRPr="00883B64" w:rsidRDefault="000D798E" w:rsidP="000D798E">
      <w:pPr>
        <w:pStyle w:val="Bullet1G"/>
        <w:numPr>
          <w:ilvl w:val="0"/>
          <w:numId w:val="0"/>
        </w:numPr>
        <w:tabs>
          <w:tab w:val="left" w:pos="1701"/>
        </w:tabs>
        <w:ind w:left="1701" w:hanging="170"/>
        <w:rPr>
          <w:shd w:val="clear" w:color="auto" w:fill="FFFFFF"/>
          <w:lang w:val="es-ES_tradnl" w:eastAsia="it-IT"/>
        </w:rPr>
      </w:pPr>
      <w:r w:rsidRPr="00883B64">
        <w:rPr>
          <w:lang w:val="es-ES_tradnl" w:eastAsia="it-IT"/>
        </w:rPr>
        <w:t>•</w:t>
      </w:r>
      <w:r w:rsidRPr="00883B64">
        <w:rPr>
          <w:lang w:val="es-ES_tradnl" w:eastAsia="it-IT"/>
        </w:rPr>
        <w:tab/>
      </w:r>
      <w:r w:rsidRPr="00883B64">
        <w:rPr>
          <w:lang w:val="es-ES_tradnl"/>
        </w:rPr>
        <w:t>Licenciado Max José López, Director de Organismos y Conferencias Internacionales</w:t>
      </w:r>
    </w:p>
    <w:p w:rsidR="000D798E" w:rsidRPr="00883B64" w:rsidRDefault="000D798E" w:rsidP="000D798E">
      <w:pPr>
        <w:pStyle w:val="H23G"/>
        <w:rPr>
          <w:shd w:val="clear" w:color="auto" w:fill="FFFFFF"/>
          <w:lang w:val="es-ES_tradnl" w:eastAsia="it-IT"/>
        </w:rPr>
      </w:pPr>
      <w:r w:rsidRPr="008A7291">
        <w:rPr>
          <w:shd w:val="clear" w:color="auto" w:fill="FFFFFF"/>
          <w:lang w:val="es-ES_tradnl" w:eastAsia="it-IT"/>
        </w:rPr>
        <w:tab/>
      </w:r>
      <w:r w:rsidRPr="008A7291">
        <w:rPr>
          <w:shd w:val="clear" w:color="auto" w:fill="FFFFFF"/>
          <w:lang w:val="es-ES_tradnl" w:eastAsia="it-IT"/>
        </w:rPr>
        <w:tab/>
      </w:r>
      <w:r w:rsidRPr="00883B64">
        <w:rPr>
          <w:shd w:val="clear" w:color="auto" w:fill="FFFFFF"/>
          <w:lang w:val="es-ES_tradnl" w:eastAsia="it-IT"/>
        </w:rPr>
        <w:t>Ministerio de Gobierno</w:t>
      </w:r>
    </w:p>
    <w:p w:rsidR="000D798E" w:rsidRPr="008A7291"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Sra. María Luisa Romero</w:t>
      </w:r>
      <w:r w:rsidRPr="002A608B">
        <w:rPr>
          <w:lang w:val="es-ES_tradnl"/>
        </w:rPr>
        <w:t>, Ministra de Gobierno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Sr. Etéreo Armando Medina, Director General del Sistema Penitenciario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 xml:space="preserve">Sra. </w:t>
      </w:r>
      <w:proofErr w:type="spellStart"/>
      <w:r w:rsidRPr="00883B64">
        <w:rPr>
          <w:lang w:val="es-ES_tradnl"/>
        </w:rPr>
        <w:t>Yaribeth</w:t>
      </w:r>
      <w:proofErr w:type="spellEnd"/>
      <w:r w:rsidRPr="00883B64">
        <w:rPr>
          <w:lang w:val="es-ES_tradnl"/>
        </w:rPr>
        <w:t xml:space="preserve"> de Calvo, Oficina Nacional para la Atención de Refugiados</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Sra. Emma Alba de Tejada, Directora del Instituto Estudios Interdisciplinario</w:t>
      </w:r>
    </w:p>
    <w:p w:rsidR="000D798E" w:rsidRPr="00883B64" w:rsidRDefault="000D798E" w:rsidP="000D798E">
      <w:pPr>
        <w:pStyle w:val="H23G"/>
        <w:rPr>
          <w:lang w:val="es-ES_tradnl"/>
        </w:rPr>
      </w:pPr>
      <w:r w:rsidRPr="00883B64">
        <w:rPr>
          <w:lang w:val="es-ES_tradnl"/>
        </w:rPr>
        <w:tab/>
      </w:r>
      <w:r w:rsidRPr="00883B64">
        <w:rPr>
          <w:lang w:val="es-ES_tradnl"/>
        </w:rPr>
        <w:tab/>
        <w:t>Ministerio de Seguridad</w:t>
      </w:r>
    </w:p>
    <w:p w:rsidR="000D798E" w:rsidRPr="002A608B"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 xml:space="preserve">Sr. Alexis </w:t>
      </w:r>
      <w:proofErr w:type="spellStart"/>
      <w:r w:rsidRPr="008438B9">
        <w:rPr>
          <w:lang w:val="es-ES_tradnl"/>
        </w:rPr>
        <w:t>Bethancourt</w:t>
      </w:r>
      <w:proofErr w:type="spellEnd"/>
      <w:r w:rsidRPr="008438B9">
        <w:rPr>
          <w:lang w:val="es-ES_tradnl"/>
        </w:rPr>
        <w:t xml:space="preserve"> </w:t>
      </w:r>
      <w:proofErr w:type="spellStart"/>
      <w:r w:rsidRPr="008438B9">
        <w:rPr>
          <w:lang w:val="es-ES_tradnl"/>
        </w:rPr>
        <w:t>Yau</w:t>
      </w:r>
      <w:proofErr w:type="spellEnd"/>
      <w:r w:rsidRPr="008438B9">
        <w:rPr>
          <w:lang w:val="es-ES_tradnl"/>
        </w:rPr>
        <w:t>,</w:t>
      </w:r>
      <w:r w:rsidRPr="002A608B">
        <w:rPr>
          <w:lang w:val="es-ES_tradnl"/>
        </w:rPr>
        <w:t xml:space="preserve"> Ministro de Seguridad</w:t>
      </w:r>
    </w:p>
    <w:p w:rsidR="000D798E" w:rsidRPr="00883B64" w:rsidRDefault="000D798E" w:rsidP="000D798E">
      <w:pPr>
        <w:pStyle w:val="Bullet1G"/>
        <w:numPr>
          <w:ilvl w:val="0"/>
          <w:numId w:val="0"/>
        </w:numPr>
        <w:tabs>
          <w:tab w:val="left" w:pos="1701"/>
        </w:tabs>
        <w:ind w:left="1701" w:hanging="170"/>
        <w:rPr>
          <w:lang w:val="es-ES_tradnl"/>
        </w:rPr>
      </w:pPr>
      <w:r w:rsidRPr="008A7291">
        <w:rPr>
          <w:lang w:val="es-ES_tradnl"/>
        </w:rPr>
        <w:t>•</w:t>
      </w:r>
      <w:r w:rsidRPr="008A7291">
        <w:rPr>
          <w:lang w:val="es-ES_tradnl"/>
        </w:rPr>
        <w:tab/>
        <w:t>Sr. Omar A. Pinzón</w:t>
      </w:r>
      <w:r w:rsidRPr="00883B64">
        <w:rPr>
          <w:lang w:val="es-ES_tradnl"/>
        </w:rPr>
        <w:t>, Director de la Policía Nacional</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 xml:space="preserve">Sr. Raúl Mora, Director Encargado del Servicio Nacional de Migración  </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Sr. Feliciano Benítez, Inspector General, designado por el Director General del Servicio Nacional de Fronteras</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Ministerio de Economía y Finanzas</w:t>
      </w:r>
    </w:p>
    <w:p w:rsidR="000D798E" w:rsidRPr="002A608B"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 xml:space="preserve">Sr. </w:t>
      </w:r>
      <w:proofErr w:type="spellStart"/>
      <w:r w:rsidRPr="008438B9">
        <w:rPr>
          <w:lang w:val="es-ES_tradnl"/>
        </w:rPr>
        <w:t>Dulcidio</w:t>
      </w:r>
      <w:proofErr w:type="spellEnd"/>
      <w:r w:rsidRPr="008438B9">
        <w:rPr>
          <w:lang w:val="es-ES_tradnl"/>
        </w:rPr>
        <w:t xml:space="preserve"> de la Guardia,</w:t>
      </w:r>
      <w:r w:rsidRPr="002A608B">
        <w:rPr>
          <w:lang w:val="es-ES_tradnl"/>
        </w:rPr>
        <w:t xml:space="preserve"> Ministro de Economía y Finanzas</w:t>
      </w:r>
    </w:p>
    <w:p w:rsidR="000D798E" w:rsidRPr="00883B64" w:rsidRDefault="000D798E" w:rsidP="000D798E">
      <w:pPr>
        <w:pStyle w:val="H23G"/>
        <w:rPr>
          <w:lang w:val="es-ES_tradnl"/>
        </w:rPr>
      </w:pPr>
      <w:r w:rsidRPr="008A7291">
        <w:rPr>
          <w:lang w:val="es-ES_tradnl"/>
        </w:rPr>
        <w:tab/>
      </w:r>
      <w:r w:rsidRPr="008A7291">
        <w:rPr>
          <w:lang w:val="es-ES_tradnl"/>
        </w:rPr>
        <w:tab/>
      </w:r>
      <w:r w:rsidRPr="00F641E6">
        <w:rPr>
          <w:lang w:val="es-ES"/>
        </w:rPr>
        <w:t>Ministerio</w:t>
      </w:r>
      <w:r w:rsidRPr="00883B64">
        <w:rPr>
          <w:lang w:val="es-ES_tradnl"/>
        </w:rPr>
        <w:t xml:space="preserve"> de Desarrollo Social</w:t>
      </w:r>
    </w:p>
    <w:p w:rsidR="000D798E" w:rsidRPr="008A7291"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Sr. Alcibíades Vásquez Velásquez,</w:t>
      </w:r>
      <w:r w:rsidRPr="002A608B">
        <w:rPr>
          <w:lang w:val="es-ES_tradnl"/>
        </w:rPr>
        <w:t xml:space="preserve"> Ministro de Desarrollo Social</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Ministerio de Salud</w:t>
      </w:r>
    </w:p>
    <w:p w:rsidR="000D798E" w:rsidRPr="008A7291"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Dr. Eric Ulloa</w:t>
      </w:r>
      <w:r w:rsidRPr="002A608B">
        <w:rPr>
          <w:lang w:val="es-ES_tradnl"/>
        </w:rPr>
        <w:t>, Ministro Encargado de Salud</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 xml:space="preserve">Dra. Felicia Ulloa </w:t>
      </w:r>
      <w:proofErr w:type="spellStart"/>
      <w:r w:rsidRPr="00883B64">
        <w:rPr>
          <w:lang w:val="es-ES_tradnl"/>
        </w:rPr>
        <w:t>Tulloch</w:t>
      </w:r>
      <w:proofErr w:type="spellEnd"/>
      <w:r w:rsidRPr="00883B64">
        <w:rPr>
          <w:lang w:val="es-ES_tradnl"/>
        </w:rPr>
        <w:t>, Subdirectora General de Salud de la Población Penitenciaria</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Instituto Nacional de la Mujer</w:t>
      </w:r>
    </w:p>
    <w:p w:rsidR="000D798E" w:rsidRPr="002A608B"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 xml:space="preserve">Licda. Jaqueline </w:t>
      </w:r>
      <w:proofErr w:type="spellStart"/>
      <w:r w:rsidRPr="008438B9">
        <w:rPr>
          <w:lang w:val="es-ES_tradnl"/>
        </w:rPr>
        <w:t>Candanedo</w:t>
      </w:r>
      <w:proofErr w:type="spellEnd"/>
      <w:r w:rsidRPr="008438B9">
        <w:rPr>
          <w:lang w:val="es-ES_tradnl"/>
        </w:rPr>
        <w:t>, Secretaria General</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Defensoría del Pueblo</w:t>
      </w:r>
    </w:p>
    <w:p w:rsidR="000D798E" w:rsidRPr="008A7291"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 xml:space="preserve">Sr. Alfredo </w:t>
      </w:r>
      <w:proofErr w:type="spellStart"/>
      <w:r w:rsidRPr="008438B9">
        <w:rPr>
          <w:lang w:val="es-ES_tradnl"/>
        </w:rPr>
        <w:t>Castillero</w:t>
      </w:r>
      <w:proofErr w:type="spellEnd"/>
      <w:r w:rsidRPr="008438B9">
        <w:rPr>
          <w:lang w:val="es-ES_tradnl"/>
        </w:rPr>
        <w:t xml:space="preserve"> Hoyos</w:t>
      </w:r>
      <w:r w:rsidRPr="002A608B">
        <w:rPr>
          <w:lang w:val="es-ES_tradnl"/>
        </w:rPr>
        <w:t>, Defensor del Pueblo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lastRenderedPageBreak/>
        <w:t>•</w:t>
      </w:r>
      <w:r w:rsidRPr="00883B64">
        <w:rPr>
          <w:lang w:val="es-ES_tradnl"/>
        </w:rPr>
        <w:tab/>
        <w:t>Licda. Ellis Denia Ríos, Coordinadora de la Oficina de personas privadas de libertad</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Sr. Félix Chamorro, Secretario Administrativo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Integrantes del Comité de Selección del mecanismo nacional de prevención</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Integrantes del Comité para la Reglamentación de la Ley núm. 6</w:t>
      </w:r>
    </w:p>
    <w:p w:rsidR="000D798E" w:rsidRPr="00883B64" w:rsidRDefault="000D798E" w:rsidP="000D798E">
      <w:pPr>
        <w:pStyle w:val="H23G"/>
        <w:rPr>
          <w:lang w:val="es-ES_tradnl"/>
        </w:rPr>
      </w:pPr>
      <w:r w:rsidRPr="00883B64">
        <w:rPr>
          <w:lang w:val="es-ES_tradnl"/>
        </w:rPr>
        <w:tab/>
      </w:r>
      <w:r w:rsidRPr="00883B64">
        <w:rPr>
          <w:lang w:val="es-ES_tradnl"/>
        </w:rPr>
        <w:tab/>
        <w:t>Corte Suprema de Justicia</w:t>
      </w:r>
    </w:p>
    <w:p w:rsidR="000D798E" w:rsidRPr="008A7291"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 xml:space="preserve">Sr. José </w:t>
      </w:r>
      <w:proofErr w:type="spellStart"/>
      <w:r w:rsidRPr="008438B9">
        <w:rPr>
          <w:lang w:val="es-ES_tradnl"/>
        </w:rPr>
        <w:t>Ayú</w:t>
      </w:r>
      <w:proofErr w:type="spellEnd"/>
      <w:r w:rsidRPr="008438B9">
        <w:rPr>
          <w:lang w:val="es-ES_tradnl"/>
        </w:rPr>
        <w:t xml:space="preserve"> Prado</w:t>
      </w:r>
      <w:r w:rsidRPr="002A608B">
        <w:rPr>
          <w:lang w:val="es-ES_tradnl"/>
        </w:rPr>
        <w:t xml:space="preserve">, Presidente </w:t>
      </w:r>
    </w:p>
    <w:p w:rsidR="000D798E" w:rsidRPr="00883B64" w:rsidRDefault="000D798E" w:rsidP="000D798E">
      <w:pPr>
        <w:pStyle w:val="H23G"/>
        <w:rPr>
          <w:lang w:val="es-ES_tradnl"/>
        </w:rPr>
      </w:pPr>
      <w:r w:rsidRPr="008A7291">
        <w:rPr>
          <w:lang w:val="es-ES_tradnl"/>
        </w:rPr>
        <w:tab/>
      </w:r>
      <w:r w:rsidRPr="008A7291">
        <w:rPr>
          <w:lang w:val="es-ES_tradnl"/>
        </w:rPr>
        <w:tab/>
      </w:r>
      <w:r w:rsidRPr="00883B64">
        <w:rPr>
          <w:lang w:val="es-ES_tradnl"/>
        </w:rPr>
        <w:t>Asamblea Nacional</w:t>
      </w:r>
    </w:p>
    <w:p w:rsidR="000D798E" w:rsidRPr="00883B64" w:rsidRDefault="000D798E" w:rsidP="000D798E">
      <w:pPr>
        <w:pStyle w:val="Bullet1G"/>
        <w:numPr>
          <w:ilvl w:val="0"/>
          <w:numId w:val="0"/>
        </w:numPr>
        <w:tabs>
          <w:tab w:val="left" w:pos="1701"/>
        </w:tabs>
        <w:ind w:left="1701" w:hanging="170"/>
        <w:rPr>
          <w:lang w:val="es-ES_tradnl"/>
        </w:rPr>
      </w:pPr>
      <w:r w:rsidRPr="008438B9">
        <w:rPr>
          <w:lang w:val="es-ES_tradnl"/>
        </w:rPr>
        <w:t>•</w:t>
      </w:r>
      <w:r w:rsidRPr="008438B9">
        <w:rPr>
          <w:lang w:val="es-ES_tradnl"/>
        </w:rPr>
        <w:tab/>
        <w:t>Sr. Carlos Santana</w:t>
      </w:r>
      <w:r w:rsidRPr="002A608B">
        <w:rPr>
          <w:lang w:val="es-ES_tradnl"/>
        </w:rPr>
        <w:t>, Presidente de la Comisión de Gobierno, Justicia y Asuntos Constituci</w:t>
      </w:r>
      <w:r w:rsidRPr="008A7291">
        <w:rPr>
          <w:lang w:val="es-ES_tradnl"/>
        </w:rPr>
        <w:t>onales de la Asamblea Nacional</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r>
      <w:r w:rsidRPr="00883B64">
        <w:rPr>
          <w:bCs/>
          <w:shd w:val="clear" w:color="auto" w:fill="FFFFFF"/>
          <w:lang w:val="es-ES_tradnl"/>
        </w:rPr>
        <w:t xml:space="preserve">Sra. Ana Matilde Gómez </w:t>
      </w:r>
      <w:proofErr w:type="spellStart"/>
      <w:r w:rsidRPr="00883B64">
        <w:rPr>
          <w:bCs/>
          <w:shd w:val="clear" w:color="auto" w:fill="FFFFFF"/>
          <w:lang w:val="es-ES_tradnl"/>
        </w:rPr>
        <w:t>Ruiloba</w:t>
      </w:r>
      <w:proofErr w:type="spellEnd"/>
      <w:r w:rsidRPr="00883B64">
        <w:rPr>
          <w:bCs/>
          <w:shd w:val="clear" w:color="auto" w:fill="FFFFFF"/>
          <w:lang w:val="es-ES_tradnl"/>
        </w:rPr>
        <w:t xml:space="preserve">, Diputada de la </w:t>
      </w:r>
      <w:r w:rsidRPr="00883B64">
        <w:rPr>
          <w:lang w:val="es-ES_tradnl"/>
        </w:rPr>
        <w:t>Comisión de Gobierno, Justicia y Asuntos Constitucionales de la Asamblea Nacional</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Ministerio de Relaciones Exteriores</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 del Ministerio de Gobierno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Ministerio de Seguridad</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Ministerio de la Presidencia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Ministerio de Economía y Finanza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 la Defensoría del Pueblo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Órgano Judicial</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 Colegio Médico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Representantes del Órgano Legislativo</w:t>
      </w:r>
    </w:p>
    <w:p w:rsidR="000D798E" w:rsidRPr="00570C78" w:rsidRDefault="000D798E" w:rsidP="000D798E">
      <w:pPr>
        <w:pStyle w:val="H1G"/>
        <w:rPr>
          <w:lang w:val="es-ES_tradnl"/>
        </w:rPr>
      </w:pPr>
      <w:r w:rsidRPr="00570C78">
        <w:rPr>
          <w:lang w:val="es-ES_tradnl"/>
        </w:rPr>
        <w:tab/>
        <w:t>B.</w:t>
      </w:r>
      <w:r w:rsidRPr="00570C78">
        <w:rPr>
          <w:lang w:val="es-ES_tradnl"/>
        </w:rPr>
        <w:tab/>
        <w:t>Organismos internacionales</w:t>
      </w:r>
    </w:p>
    <w:p w:rsidR="000D798E" w:rsidRPr="00883B64" w:rsidRDefault="000D798E" w:rsidP="000D798E">
      <w:pPr>
        <w:pStyle w:val="Bullet1G"/>
        <w:numPr>
          <w:ilvl w:val="0"/>
          <w:numId w:val="0"/>
        </w:numPr>
        <w:tabs>
          <w:tab w:val="left" w:pos="1701"/>
        </w:tabs>
        <w:ind w:left="1701" w:hanging="170"/>
        <w:rPr>
          <w:lang w:val="es-ES_tradnl"/>
        </w:rPr>
      </w:pPr>
      <w:r w:rsidRPr="008A7291">
        <w:rPr>
          <w:lang w:val="es-ES_tradnl"/>
        </w:rPr>
        <w:t>•</w:t>
      </w:r>
      <w:r w:rsidRPr="008A7291">
        <w:rPr>
          <w:lang w:val="es-ES_tradnl"/>
        </w:rPr>
        <w:tab/>
      </w:r>
      <w:r w:rsidRPr="00883B64">
        <w:rPr>
          <w:lang w:val="es-ES_tradnl"/>
        </w:rPr>
        <w:t>Coordinador Residente de las Naciones Unidas en Panamá</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Oficina del Alto Comisionado para los Derechos Humanos (ACNUDH), Oficina Regional para América Central</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Programa de las Naciones Unidas para el Desarrollo (PNUD)</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Fondo de las Naciones Unidas para la Infancia (UNICEF)</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Oficina del Alto Comisionado de las Naciones Unidas para los Refugiados (ACNUR), Oficina Regional para América Central, Cuba y México</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Organización Internacional para las Migraciones (OIM)</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Organización de las Naciones Unidas para la Alimentación y la Agricultura (FAO), Oficina Subregional para Mesoamérica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Oficina de las Naciones Unidas contra la Droga y el Delito (UNODC), Oficina Regional para Centroamérica y el Caribe</w:t>
      </w:r>
    </w:p>
    <w:p w:rsidR="000D798E" w:rsidRPr="00570C78" w:rsidRDefault="000D798E" w:rsidP="000D798E">
      <w:pPr>
        <w:pStyle w:val="H1G"/>
        <w:rPr>
          <w:lang w:val="es-ES_tradnl"/>
        </w:rPr>
      </w:pPr>
      <w:r w:rsidRPr="00570C78">
        <w:rPr>
          <w:lang w:val="es-ES_tradnl"/>
        </w:rPr>
        <w:tab/>
        <w:t>C.</w:t>
      </w:r>
      <w:r w:rsidRPr="00570C78">
        <w:rPr>
          <w:lang w:val="es-ES_tradnl"/>
        </w:rPr>
        <w:tab/>
        <w:t>Organizaciones de la sociedad civil</w:t>
      </w:r>
    </w:p>
    <w:p w:rsidR="000D798E" w:rsidRPr="00883B64" w:rsidRDefault="000D798E" w:rsidP="000D798E">
      <w:pPr>
        <w:pStyle w:val="Bullet1G"/>
        <w:numPr>
          <w:ilvl w:val="0"/>
          <w:numId w:val="0"/>
        </w:numPr>
        <w:tabs>
          <w:tab w:val="left" w:pos="1701"/>
        </w:tabs>
        <w:ind w:left="1701" w:hanging="170"/>
        <w:rPr>
          <w:lang w:val="es-ES_tradnl"/>
        </w:rPr>
      </w:pPr>
      <w:r w:rsidRPr="008A7291">
        <w:rPr>
          <w:lang w:val="es-ES_tradnl"/>
        </w:rPr>
        <w:t>•</w:t>
      </w:r>
      <w:r w:rsidRPr="008A7291">
        <w:rPr>
          <w:lang w:val="es-ES_tradnl"/>
        </w:rPr>
        <w:tab/>
      </w:r>
      <w:r w:rsidRPr="00883B64">
        <w:rPr>
          <w:lang w:val="es-ES_tradnl"/>
        </w:rPr>
        <w:t>Alianza Ciudadana Pro Justicia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Asociación para la Prevención de la Tortura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Comisión de Justicia y Paz</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Espacio de Encuentro y Reflexión de Activistas LGBTI (EDERA Panamá)</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 xml:space="preserve">Mesa de Análisis de Leyes y Políticas Públicas de Discapacidad </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lastRenderedPageBreak/>
        <w:t>•</w:t>
      </w:r>
      <w:r w:rsidRPr="00883B64">
        <w:rPr>
          <w:lang w:val="es-ES_tradnl"/>
        </w:rPr>
        <w:tab/>
        <w:t>Instituto de Criminología – Universidad de Panamá</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Pastoral Penitenciaria Católica</w:t>
      </w:r>
    </w:p>
    <w:p w:rsidR="000D798E" w:rsidRPr="00883B64"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 xml:space="preserve">Tara </w:t>
      </w:r>
      <w:proofErr w:type="spellStart"/>
      <w:r w:rsidRPr="00883B64">
        <w:rPr>
          <w:lang w:val="es-ES_tradnl"/>
        </w:rPr>
        <w:t>Pinirpa</w:t>
      </w:r>
      <w:proofErr w:type="spellEnd"/>
      <w:r w:rsidRPr="00883B64">
        <w:rPr>
          <w:lang w:val="es-ES_tradnl"/>
        </w:rPr>
        <w:t xml:space="preserve"> Panamá</w:t>
      </w:r>
    </w:p>
    <w:p w:rsidR="000D798E" w:rsidRDefault="000D798E" w:rsidP="000D798E">
      <w:pPr>
        <w:pStyle w:val="Bullet1G"/>
        <w:numPr>
          <w:ilvl w:val="0"/>
          <w:numId w:val="0"/>
        </w:numPr>
        <w:tabs>
          <w:tab w:val="left" w:pos="1701"/>
        </w:tabs>
        <w:ind w:left="1701" w:hanging="170"/>
        <w:rPr>
          <w:lang w:val="es-ES_tradnl"/>
        </w:rPr>
      </w:pPr>
      <w:r w:rsidRPr="00883B64">
        <w:rPr>
          <w:lang w:val="es-ES_tradnl"/>
        </w:rPr>
        <w:t>•</w:t>
      </w:r>
      <w:r w:rsidRPr="00883B64">
        <w:rPr>
          <w:lang w:val="es-ES_tradnl"/>
        </w:rPr>
        <w:tab/>
        <w:t>Voces de Mujeres Afrodescendientes Panamá</w:t>
      </w:r>
    </w:p>
    <w:p w:rsidR="000D798E" w:rsidRPr="00093DB3" w:rsidRDefault="000D798E" w:rsidP="000D798E">
      <w:pPr>
        <w:pStyle w:val="HChG"/>
        <w:rPr>
          <w:lang w:val="es-ES"/>
        </w:rPr>
      </w:pPr>
      <w:r>
        <w:rPr>
          <w:lang w:val="es-ES_tradnl"/>
        </w:rPr>
        <w:br w:type="page"/>
      </w:r>
      <w:proofErr w:type="spellStart"/>
      <w:r w:rsidRPr="00093DB3">
        <w:rPr>
          <w:lang w:val="es-ES"/>
        </w:rPr>
        <w:lastRenderedPageBreak/>
        <w:t>Annexe</w:t>
      </w:r>
      <w:proofErr w:type="spellEnd"/>
      <w:r w:rsidRPr="00093DB3">
        <w:rPr>
          <w:lang w:val="es-ES"/>
        </w:rPr>
        <w:t xml:space="preserve"> II</w:t>
      </w:r>
    </w:p>
    <w:p w:rsidR="000D798E" w:rsidRPr="00570C78" w:rsidRDefault="000D798E" w:rsidP="000D798E">
      <w:pPr>
        <w:pStyle w:val="HChG"/>
        <w:rPr>
          <w:lang w:val="es-ES_tradnl"/>
        </w:rPr>
      </w:pPr>
      <w:bookmarkStart w:id="127" w:name="_Toc332721043"/>
      <w:r w:rsidRPr="00570C78">
        <w:rPr>
          <w:lang w:val="es-ES_tradnl"/>
        </w:rPr>
        <w:tab/>
      </w:r>
      <w:r w:rsidRPr="00570C78">
        <w:rPr>
          <w:lang w:val="es-ES_tradnl"/>
        </w:rPr>
        <w:tab/>
        <w:t>Lugares de privación de libertad visitados</w:t>
      </w:r>
      <w:bookmarkEnd w:id="127"/>
    </w:p>
    <w:p w:rsidR="000D798E" w:rsidRDefault="000D798E" w:rsidP="000D798E">
      <w:pPr>
        <w:pStyle w:val="H1G"/>
        <w:spacing w:after="0"/>
        <w:ind w:hanging="425"/>
        <w:rPr>
          <w:b w:val="0"/>
          <w:bCs/>
          <w:sz w:val="22"/>
          <w:szCs w:val="22"/>
          <w:u w:val="single"/>
          <w:lang w:val="es-ES_tradnl"/>
        </w:rPr>
      </w:pPr>
      <w:r w:rsidRPr="00883B64">
        <w:rPr>
          <w:bCs/>
          <w:szCs w:val="22"/>
          <w:lang w:val="es-ES_tradnl"/>
        </w:rPr>
        <w:t>A.</w:t>
      </w:r>
      <w:r w:rsidRPr="00883B64">
        <w:rPr>
          <w:bCs/>
          <w:szCs w:val="22"/>
          <w:lang w:val="es-ES_tradnl"/>
        </w:rPr>
        <w:tab/>
      </w:r>
      <w:r w:rsidRPr="008438B9">
        <w:rPr>
          <w:shd w:val="clear" w:color="auto" w:fill="FFFFFF"/>
          <w:lang w:val="es-ES_tradnl"/>
        </w:rPr>
        <w:t xml:space="preserve">Establecimientos bajo la responsabilidad del Ministerio </w:t>
      </w:r>
      <w:r>
        <w:rPr>
          <w:shd w:val="clear" w:color="auto" w:fill="FFFFFF"/>
          <w:lang w:val="es-ES_tradnl"/>
        </w:rPr>
        <w:br/>
      </w:r>
      <w:r w:rsidRPr="008438B9">
        <w:rPr>
          <w:shd w:val="clear" w:color="auto" w:fill="FFFFFF"/>
          <w:lang w:val="es-ES_tradnl"/>
        </w:rPr>
        <w:t>de Gobierno</w:t>
      </w:r>
    </w:p>
    <w:p w:rsidR="000D798E" w:rsidRPr="00883B64" w:rsidRDefault="000D798E" w:rsidP="000D798E">
      <w:pPr>
        <w:pStyle w:val="H23G"/>
        <w:rPr>
          <w:lang w:val="es-ES_tradnl"/>
        </w:rPr>
      </w:pPr>
      <w:r>
        <w:rPr>
          <w:lang w:val="es-ES_tradnl"/>
        </w:rPr>
        <w:tab/>
      </w:r>
      <w:r>
        <w:rPr>
          <w:lang w:val="es-ES_tradnl"/>
        </w:rPr>
        <w:tab/>
      </w:r>
      <w:r w:rsidRPr="00883B64">
        <w:rPr>
          <w:lang w:val="es-ES_tradnl"/>
        </w:rPr>
        <w:t>Centros penitenciarios</w:t>
      </w:r>
    </w:p>
    <w:p w:rsidR="000D798E" w:rsidRPr="002A608B" w:rsidRDefault="000D798E" w:rsidP="000D798E">
      <w:pPr>
        <w:pStyle w:val="Bullet1G"/>
        <w:numPr>
          <w:ilvl w:val="0"/>
          <w:numId w:val="20"/>
        </w:numPr>
        <w:suppressAutoHyphens w:val="0"/>
        <w:kinsoku/>
        <w:overflowPunct/>
        <w:autoSpaceDE/>
        <w:autoSpaceDN/>
        <w:adjustRightInd/>
        <w:snapToGrid/>
        <w:rPr>
          <w:lang w:val="es-ES_tradnl"/>
        </w:rPr>
      </w:pPr>
      <w:r w:rsidRPr="002A608B">
        <w:rPr>
          <w:lang w:val="es-ES_tradnl"/>
        </w:rPr>
        <w:t>Centro Penitenciario La Joya</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Centro Penitenciario La Joyita</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Centro Penitenciario Nueva Esperanza de Colón</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Centro Penitenciario Femenino de Colón (parte del Complejo Penitenciario Nueva Esperanza de Colón)</w:t>
      </w:r>
    </w:p>
    <w:p w:rsidR="000D798E" w:rsidRPr="00883B64" w:rsidRDefault="000D798E" w:rsidP="000D798E">
      <w:pPr>
        <w:pStyle w:val="H23G"/>
        <w:rPr>
          <w:lang w:val="es-ES_tradnl"/>
        </w:rPr>
      </w:pPr>
      <w:r>
        <w:rPr>
          <w:lang w:val="es-ES_tradnl"/>
        </w:rPr>
        <w:tab/>
      </w:r>
      <w:r>
        <w:rPr>
          <w:lang w:val="es-ES_tradnl"/>
        </w:rPr>
        <w:tab/>
      </w:r>
      <w:r w:rsidRPr="00883B64">
        <w:rPr>
          <w:lang w:val="es-ES_tradnl"/>
        </w:rPr>
        <w:t>Centro para menores en conflicto con la ley</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438B9">
        <w:rPr>
          <w:lang w:val="es-ES_tradnl"/>
        </w:rPr>
        <w:t xml:space="preserve">Centro de Custodia de Menores de </w:t>
      </w:r>
      <w:proofErr w:type="spellStart"/>
      <w:r w:rsidRPr="008438B9">
        <w:rPr>
          <w:lang w:val="es-ES_tradnl"/>
        </w:rPr>
        <w:t>Tocum</w:t>
      </w:r>
      <w:r w:rsidRPr="002A608B">
        <w:rPr>
          <w:lang w:val="es-ES_tradnl"/>
        </w:rPr>
        <w:t>en</w:t>
      </w:r>
      <w:proofErr w:type="spellEnd"/>
      <w:r w:rsidRPr="008A7291">
        <w:rPr>
          <w:lang w:val="es-ES_tradnl"/>
        </w:rPr>
        <w:t xml:space="preserve"> (Arco Iris)</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Centro de Cumplimiento de Menores de Pacora</w:t>
      </w:r>
    </w:p>
    <w:p w:rsidR="000D798E" w:rsidRPr="008438B9" w:rsidRDefault="000D798E" w:rsidP="000D798E">
      <w:pPr>
        <w:pStyle w:val="H1G"/>
        <w:rPr>
          <w:lang w:val="es-ES_tradnl"/>
        </w:rPr>
      </w:pPr>
      <w:r w:rsidRPr="00570C78">
        <w:rPr>
          <w:shd w:val="clear" w:color="auto" w:fill="FFFFFF"/>
          <w:lang w:val="es-ES_tradnl"/>
        </w:rPr>
        <w:tab/>
        <w:t>B.</w:t>
      </w:r>
      <w:r w:rsidRPr="00570C78">
        <w:rPr>
          <w:shd w:val="clear" w:color="auto" w:fill="FFFFFF"/>
          <w:lang w:val="es-ES_tradnl"/>
        </w:rPr>
        <w:tab/>
        <w:t>Establecimientos bajo la responsabilidad del Ministerio</w:t>
      </w:r>
      <w:r w:rsidRPr="00570C78">
        <w:rPr>
          <w:lang w:val="es-ES_tradnl"/>
        </w:rPr>
        <w:t xml:space="preserve"> </w:t>
      </w:r>
      <w:r>
        <w:rPr>
          <w:lang w:val="es-ES_tradnl"/>
        </w:rPr>
        <w:br/>
      </w:r>
      <w:r w:rsidRPr="008438B9">
        <w:rPr>
          <w:lang w:val="es-ES_tradnl"/>
        </w:rPr>
        <w:t>de Seguridad</w:t>
      </w:r>
    </w:p>
    <w:p w:rsidR="000D798E" w:rsidRPr="008438B9" w:rsidRDefault="000D798E" w:rsidP="000D798E">
      <w:pPr>
        <w:pStyle w:val="H23G"/>
        <w:rPr>
          <w:lang w:val="es-ES_tradnl"/>
        </w:rPr>
      </w:pPr>
      <w:r>
        <w:rPr>
          <w:lang w:val="es-ES_tradnl"/>
        </w:rPr>
        <w:tab/>
      </w:r>
      <w:r>
        <w:rPr>
          <w:lang w:val="es-ES_tradnl"/>
        </w:rPr>
        <w:tab/>
      </w:r>
      <w:r w:rsidRPr="00883B64">
        <w:rPr>
          <w:lang w:val="es-ES_tradnl"/>
        </w:rPr>
        <w:t>Lugares de detención bajo la responsabilidad de la Policía</w:t>
      </w:r>
    </w:p>
    <w:p w:rsidR="000D798E" w:rsidRPr="008A7291" w:rsidRDefault="000D798E" w:rsidP="000D798E">
      <w:pPr>
        <w:pStyle w:val="Bullet1G"/>
        <w:numPr>
          <w:ilvl w:val="0"/>
          <w:numId w:val="20"/>
        </w:numPr>
        <w:suppressAutoHyphens w:val="0"/>
        <w:kinsoku/>
        <w:overflowPunct/>
        <w:autoSpaceDE/>
        <w:autoSpaceDN/>
        <w:adjustRightInd/>
        <w:snapToGrid/>
        <w:rPr>
          <w:lang w:val="es-ES_tradnl"/>
        </w:rPr>
      </w:pPr>
      <w:r w:rsidRPr="002A608B">
        <w:rPr>
          <w:lang w:val="es-ES_tradnl"/>
        </w:rPr>
        <w:t>Subestación de policía de Chorrillo</w:t>
      </w:r>
    </w:p>
    <w:p w:rsidR="000D798E" w:rsidRPr="00883B64" w:rsidRDefault="000D798E" w:rsidP="000D798E">
      <w:pPr>
        <w:pStyle w:val="Bullet1G"/>
        <w:numPr>
          <w:ilvl w:val="0"/>
          <w:numId w:val="20"/>
        </w:numPr>
        <w:suppressAutoHyphens w:val="0"/>
        <w:kinsoku/>
        <w:overflowPunct/>
        <w:autoSpaceDE/>
        <w:autoSpaceDN/>
        <w:adjustRightInd/>
        <w:snapToGrid/>
        <w:rPr>
          <w:lang w:val="es-ES_tradnl"/>
        </w:rPr>
      </w:pPr>
      <w:r w:rsidRPr="00883B64">
        <w:rPr>
          <w:lang w:val="es-ES_tradnl"/>
        </w:rPr>
        <w:t>Subestación de policía de Caledonia</w:t>
      </w:r>
    </w:p>
    <w:p w:rsidR="000D798E" w:rsidRPr="00883B64" w:rsidRDefault="000D798E" w:rsidP="000D798E">
      <w:pPr>
        <w:pStyle w:val="Bullet1G"/>
        <w:numPr>
          <w:ilvl w:val="0"/>
          <w:numId w:val="20"/>
        </w:numPr>
        <w:suppressAutoHyphens w:val="0"/>
        <w:kinsoku/>
        <w:overflowPunct/>
        <w:autoSpaceDE/>
        <w:autoSpaceDN/>
        <w:adjustRightInd/>
        <w:snapToGrid/>
        <w:rPr>
          <w:i/>
          <w:iCs/>
          <w:lang w:val="es-ES_tradnl"/>
        </w:rPr>
      </w:pPr>
      <w:r w:rsidRPr="00883B64">
        <w:rPr>
          <w:lang w:val="es-ES_tradnl"/>
        </w:rPr>
        <w:t xml:space="preserve">Dirección de Investigación Judicial </w:t>
      </w:r>
    </w:p>
    <w:p w:rsidR="000D798E" w:rsidRPr="008438B9" w:rsidRDefault="000D798E" w:rsidP="000D798E">
      <w:pPr>
        <w:pStyle w:val="H23G"/>
        <w:rPr>
          <w:lang w:val="es-ES_tradnl"/>
        </w:rPr>
      </w:pPr>
      <w:r>
        <w:rPr>
          <w:lang w:val="es-ES_tradnl"/>
        </w:rPr>
        <w:tab/>
      </w:r>
      <w:r>
        <w:rPr>
          <w:lang w:val="es-ES_tradnl"/>
        </w:rPr>
        <w:tab/>
      </w:r>
      <w:r w:rsidRPr="00883B64">
        <w:rPr>
          <w:lang w:val="es-ES_tradnl"/>
        </w:rPr>
        <w:t>Centros de retención de migrantes</w:t>
      </w:r>
    </w:p>
    <w:p w:rsidR="000D798E" w:rsidRPr="008A7291" w:rsidRDefault="000D798E" w:rsidP="000D798E">
      <w:pPr>
        <w:pStyle w:val="Bullet1G"/>
        <w:numPr>
          <w:ilvl w:val="0"/>
          <w:numId w:val="20"/>
        </w:numPr>
        <w:suppressAutoHyphens w:val="0"/>
        <w:kinsoku/>
        <w:overflowPunct/>
        <w:autoSpaceDE/>
        <w:autoSpaceDN/>
        <w:adjustRightInd/>
        <w:snapToGrid/>
        <w:rPr>
          <w:b/>
          <w:lang w:val="es-ES_tradnl"/>
        </w:rPr>
      </w:pPr>
      <w:r w:rsidRPr="002A608B">
        <w:rPr>
          <w:lang w:val="es-ES_tradnl"/>
        </w:rPr>
        <w:t>Albergue masculino de migración</w:t>
      </w:r>
      <w:r w:rsidRPr="008A7291">
        <w:rPr>
          <w:lang w:val="es-ES_tradnl"/>
        </w:rPr>
        <w:t xml:space="preserve"> Altos de Curundú</w:t>
      </w:r>
      <w:r>
        <w:rPr>
          <w:lang w:val="es-ES_tradnl"/>
        </w:rPr>
        <w:t xml:space="preserve"> </w:t>
      </w:r>
    </w:p>
    <w:p w:rsidR="000D798E" w:rsidRPr="00883B64" w:rsidRDefault="000D798E" w:rsidP="000D798E">
      <w:pPr>
        <w:pStyle w:val="Bullet1G"/>
        <w:numPr>
          <w:ilvl w:val="0"/>
          <w:numId w:val="20"/>
        </w:numPr>
        <w:suppressAutoHyphens w:val="0"/>
        <w:kinsoku/>
        <w:overflowPunct/>
        <w:autoSpaceDE/>
        <w:autoSpaceDN/>
        <w:adjustRightInd/>
        <w:snapToGrid/>
        <w:rPr>
          <w:b/>
          <w:lang w:val="es-ES_tradnl"/>
        </w:rPr>
      </w:pPr>
      <w:r w:rsidRPr="00883B64">
        <w:rPr>
          <w:lang w:val="es-ES_tradnl"/>
        </w:rPr>
        <w:t>Albergue femenino de migración</w:t>
      </w:r>
    </w:p>
    <w:p w:rsidR="000D798E" w:rsidRPr="008438B9" w:rsidRDefault="000D798E" w:rsidP="000D798E">
      <w:pPr>
        <w:pStyle w:val="H1G"/>
        <w:rPr>
          <w:lang w:val="es-ES_tradnl"/>
        </w:rPr>
      </w:pPr>
      <w:r w:rsidRPr="00570C78">
        <w:rPr>
          <w:lang w:val="es-ES_tradnl"/>
        </w:rPr>
        <w:tab/>
        <w:t>C.</w:t>
      </w:r>
      <w:r w:rsidRPr="00570C78">
        <w:rPr>
          <w:lang w:val="es-ES_tradnl"/>
        </w:rPr>
        <w:tab/>
      </w:r>
      <w:r w:rsidRPr="00570C78">
        <w:rPr>
          <w:shd w:val="clear" w:color="auto" w:fill="FFFFFF"/>
          <w:lang w:val="es-ES_tradnl"/>
        </w:rPr>
        <w:t xml:space="preserve">Establecimientos bajo la responsabilidad del Ministerio </w:t>
      </w:r>
      <w:r>
        <w:rPr>
          <w:shd w:val="clear" w:color="auto" w:fill="FFFFFF"/>
          <w:lang w:val="es-ES_tradnl"/>
        </w:rPr>
        <w:br/>
      </w:r>
      <w:r w:rsidRPr="008438B9">
        <w:rPr>
          <w:shd w:val="clear" w:color="auto" w:fill="FFFFFF"/>
          <w:lang w:val="es-ES_tradnl"/>
        </w:rPr>
        <w:t>de Salud</w:t>
      </w:r>
    </w:p>
    <w:p w:rsidR="000D798E" w:rsidRPr="008A7291" w:rsidRDefault="000D798E" w:rsidP="000D798E">
      <w:pPr>
        <w:pStyle w:val="Bullet1G"/>
        <w:numPr>
          <w:ilvl w:val="0"/>
          <w:numId w:val="20"/>
        </w:numPr>
        <w:suppressAutoHyphens w:val="0"/>
        <w:kinsoku/>
        <w:overflowPunct/>
        <w:autoSpaceDE/>
        <w:autoSpaceDN/>
        <w:adjustRightInd/>
        <w:snapToGrid/>
        <w:rPr>
          <w:lang w:val="es-ES_tradnl"/>
        </w:rPr>
      </w:pPr>
      <w:r w:rsidRPr="002A608B">
        <w:rPr>
          <w:lang w:val="es-ES_tradnl"/>
        </w:rPr>
        <w:t>Instituto de Salud Mental de Panamá</w:t>
      </w:r>
      <w:r>
        <w:rPr>
          <w:lang w:val="es-ES_tradnl"/>
        </w:rPr>
        <w:t xml:space="preserve"> </w:t>
      </w:r>
    </w:p>
    <w:p w:rsidR="000D798E" w:rsidRPr="00570C78" w:rsidRDefault="000D798E" w:rsidP="000D798E">
      <w:pPr>
        <w:pStyle w:val="H1G"/>
        <w:rPr>
          <w:lang w:val="es-ES_tradnl"/>
        </w:rPr>
      </w:pPr>
      <w:r w:rsidRPr="00570C78">
        <w:rPr>
          <w:lang w:val="es-ES_tradnl"/>
        </w:rPr>
        <w:tab/>
        <w:t>D.</w:t>
      </w:r>
      <w:r w:rsidRPr="00570C78">
        <w:rPr>
          <w:lang w:val="es-ES_tradnl"/>
        </w:rPr>
        <w:tab/>
        <w:t>Otros</w:t>
      </w:r>
    </w:p>
    <w:p w:rsidR="000D798E" w:rsidRDefault="000D798E" w:rsidP="000D798E">
      <w:pPr>
        <w:pStyle w:val="Bullet1G"/>
        <w:numPr>
          <w:ilvl w:val="0"/>
          <w:numId w:val="0"/>
        </w:numPr>
        <w:tabs>
          <w:tab w:val="left" w:pos="1701"/>
        </w:tabs>
        <w:ind w:left="1701" w:hanging="170"/>
        <w:rPr>
          <w:lang w:val="es-ES_tradnl"/>
        </w:rPr>
      </w:pPr>
      <w:r w:rsidRPr="00883B64">
        <w:rPr>
          <w:lang w:val="es-ES_tradnl"/>
        </w:rPr>
        <w:t>Hogar Bolívar para adultos mayores</w:t>
      </w:r>
    </w:p>
    <w:p w:rsidR="000D798E" w:rsidRPr="00E9448B" w:rsidRDefault="000D798E" w:rsidP="000D798E">
      <w:pPr>
        <w:pStyle w:val="SingleTxtG"/>
        <w:spacing w:before="240" w:after="0"/>
        <w:jc w:val="center"/>
        <w:rPr>
          <w:u w:val="single"/>
          <w:lang w:val="es-ES"/>
        </w:rPr>
      </w:pPr>
      <w:r w:rsidRPr="00E9448B">
        <w:rPr>
          <w:u w:val="single"/>
          <w:lang w:val="es-ES"/>
        </w:rPr>
        <w:tab/>
      </w:r>
      <w:r w:rsidRPr="00E9448B">
        <w:rPr>
          <w:u w:val="single"/>
          <w:lang w:val="es-ES"/>
        </w:rPr>
        <w:tab/>
      </w:r>
      <w:r w:rsidRPr="00E9448B">
        <w:rPr>
          <w:u w:val="single"/>
          <w:lang w:val="es-ES"/>
        </w:rPr>
        <w:tab/>
      </w:r>
    </w:p>
    <w:sectPr w:rsidR="000D798E" w:rsidRPr="00E9448B" w:rsidSect="000D79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04" w:rsidRPr="009C4D45" w:rsidRDefault="009F3904" w:rsidP="009C4D45">
      <w:pPr>
        <w:pStyle w:val="Pieddepage"/>
      </w:pPr>
    </w:p>
  </w:endnote>
  <w:endnote w:type="continuationSeparator" w:id="0">
    <w:p w:rsidR="009F3904" w:rsidRPr="009C4D45" w:rsidRDefault="009F3904" w:rsidP="009C4D45">
      <w:pPr>
        <w:pStyle w:val="Pieddepage"/>
      </w:pPr>
    </w:p>
  </w:endnote>
  <w:endnote w:type="continuationNotice" w:id="1">
    <w:p w:rsidR="009F3904" w:rsidRDefault="009F3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E" w:rsidRPr="000D798E" w:rsidRDefault="000D798E" w:rsidP="000D798E">
    <w:pPr>
      <w:pStyle w:val="Pieddepage"/>
      <w:tabs>
        <w:tab w:val="right" w:pos="9638"/>
      </w:tabs>
    </w:pPr>
    <w:r w:rsidRPr="000D798E">
      <w:rPr>
        <w:b/>
        <w:sz w:val="18"/>
      </w:rPr>
      <w:fldChar w:fldCharType="begin"/>
    </w:r>
    <w:r w:rsidRPr="000D798E">
      <w:rPr>
        <w:b/>
        <w:sz w:val="18"/>
      </w:rPr>
      <w:instrText xml:space="preserve"> PAGE  \* MERGEFORMAT </w:instrText>
    </w:r>
    <w:r w:rsidRPr="000D798E">
      <w:rPr>
        <w:b/>
        <w:sz w:val="18"/>
      </w:rPr>
      <w:fldChar w:fldCharType="separate"/>
    </w:r>
    <w:r w:rsidR="00F77F97">
      <w:rPr>
        <w:b/>
        <w:noProof/>
        <w:sz w:val="18"/>
      </w:rPr>
      <w:t>20</w:t>
    </w:r>
    <w:r w:rsidRPr="000D798E">
      <w:rPr>
        <w:b/>
        <w:sz w:val="18"/>
      </w:rPr>
      <w:fldChar w:fldCharType="end"/>
    </w:r>
    <w:r>
      <w:rPr>
        <w:b/>
        <w:sz w:val="18"/>
      </w:rPr>
      <w:tab/>
    </w:r>
    <w:r>
      <w:t>GE.18-12640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E" w:rsidRPr="000D798E" w:rsidRDefault="000D798E" w:rsidP="000D798E">
    <w:pPr>
      <w:pStyle w:val="Pieddepage"/>
      <w:tabs>
        <w:tab w:val="right" w:pos="9638"/>
      </w:tabs>
      <w:rPr>
        <w:b/>
        <w:sz w:val="18"/>
      </w:rPr>
    </w:pPr>
    <w:r>
      <w:t>GE.18-12640</w:t>
    </w:r>
    <w:r>
      <w:tab/>
    </w:r>
    <w:r w:rsidRPr="000D798E">
      <w:rPr>
        <w:b/>
        <w:sz w:val="18"/>
      </w:rPr>
      <w:fldChar w:fldCharType="begin"/>
    </w:r>
    <w:r w:rsidRPr="000D798E">
      <w:rPr>
        <w:b/>
        <w:sz w:val="18"/>
      </w:rPr>
      <w:instrText xml:space="preserve"> PAGE  \* MERGEFORMAT </w:instrText>
    </w:r>
    <w:r w:rsidRPr="000D798E">
      <w:rPr>
        <w:b/>
        <w:sz w:val="18"/>
      </w:rPr>
      <w:fldChar w:fldCharType="separate"/>
    </w:r>
    <w:r w:rsidR="00F77F97">
      <w:rPr>
        <w:b/>
        <w:noProof/>
        <w:sz w:val="18"/>
      </w:rPr>
      <w:t>21</w:t>
    </w:r>
    <w:r w:rsidRPr="000D79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0D798E" w:rsidRDefault="000D798E" w:rsidP="000D798E">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18-12640  (F)</w:t>
    </w:r>
    <w:r w:rsidR="006644FD">
      <w:rPr>
        <w:sz w:val="20"/>
      </w:rPr>
      <w:t xml:space="preserve">    071118    161118</w:t>
    </w:r>
    <w:r>
      <w:rPr>
        <w:sz w:val="20"/>
      </w:rPr>
      <w:br/>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sidRPr="000D798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OP/PA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A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04" w:rsidRPr="009C4D45" w:rsidRDefault="009F3904" w:rsidP="009C4D45">
      <w:pPr>
        <w:pStyle w:val="Pieddepage"/>
        <w:tabs>
          <w:tab w:val="right" w:pos="2155"/>
        </w:tabs>
        <w:spacing w:after="80" w:line="240" w:lineRule="atLeast"/>
        <w:ind w:left="680"/>
        <w:rPr>
          <w:u w:val="single"/>
        </w:rPr>
      </w:pPr>
      <w:r>
        <w:rPr>
          <w:u w:val="single"/>
        </w:rPr>
        <w:tab/>
      </w:r>
    </w:p>
  </w:footnote>
  <w:footnote w:type="continuationSeparator" w:id="0">
    <w:p w:rsidR="009F3904" w:rsidRPr="00035AE4" w:rsidRDefault="009F3904" w:rsidP="00035AE4">
      <w:pPr>
        <w:pStyle w:val="Pieddepage"/>
        <w:tabs>
          <w:tab w:val="right" w:pos="2155"/>
        </w:tabs>
        <w:spacing w:after="80" w:line="240" w:lineRule="atLeast"/>
        <w:ind w:left="680"/>
        <w:rPr>
          <w:u w:val="single"/>
        </w:rPr>
      </w:pPr>
      <w:r>
        <w:rPr>
          <w:u w:val="single"/>
        </w:rPr>
        <w:tab/>
      </w:r>
    </w:p>
  </w:footnote>
  <w:footnote w:type="continuationNotice" w:id="1">
    <w:p w:rsidR="009F3904" w:rsidRPr="00035AE4" w:rsidRDefault="009F3904">
      <w:pPr>
        <w:spacing w:line="240" w:lineRule="auto"/>
        <w:rPr>
          <w:sz w:val="2"/>
          <w:szCs w:val="2"/>
        </w:rPr>
      </w:pPr>
    </w:p>
  </w:footnote>
  <w:footnote w:id="2">
    <w:p w:rsidR="000D798E" w:rsidRPr="00834258" w:rsidRDefault="000D798E" w:rsidP="000D798E">
      <w:pPr>
        <w:pStyle w:val="Notedebasdepage"/>
      </w:pPr>
      <w:bookmarkStart w:id="3" w:name="footnoteBookmark_15"/>
      <w:r>
        <w:rPr>
          <w:rStyle w:val="Appelnotedebasdep"/>
        </w:rPr>
        <w:tab/>
      </w:r>
      <w:r w:rsidRPr="00834258">
        <w:rPr>
          <w:rStyle w:val="Appelnotedebasdep"/>
          <w:sz w:val="20"/>
          <w:vertAlign w:val="baseline"/>
        </w:rPr>
        <w:t>*</w:t>
      </w:r>
      <w:r>
        <w:rPr>
          <w:rStyle w:val="Appelnotedebasdep"/>
          <w:sz w:val="20"/>
          <w:vertAlign w:val="baseline"/>
        </w:rPr>
        <w:tab/>
      </w:r>
      <w:r>
        <w:rPr>
          <w:lang w:val="fr-FR"/>
        </w:rPr>
        <w:t>Conformément au paragraphe 1 de l’article 16 du Protocole facultatif, le présent rapport a été communiqué à titre confidentiel à l’État partie le 15 décembre 2017. Par deux notes verbales en date des 14 juin et 13 juillet 2018, l’État partie a demandé au Sous-Comité de publier le rapport, accompagné de ses réponses.</w:t>
      </w:r>
    </w:p>
    <w:bookmarkEnd w:id="3"/>
  </w:footnote>
  <w:footnote w:id="3">
    <w:p w:rsidR="000D798E" w:rsidRPr="00834258" w:rsidRDefault="000D798E" w:rsidP="000D798E">
      <w:pPr>
        <w:pStyle w:val="Notedebasdepage"/>
      </w:pPr>
      <w:r>
        <w:rPr>
          <w:rStyle w:val="Appelnotedebasdep"/>
        </w:rPr>
        <w:tab/>
      </w:r>
      <w:r w:rsidRPr="00834258">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4">
    <w:p w:rsidR="000D798E" w:rsidRDefault="000D798E" w:rsidP="000D798E">
      <w:pPr>
        <w:pStyle w:val="Notedebasdepage"/>
      </w:pPr>
      <w:r>
        <w:rPr>
          <w:sz w:val="20"/>
        </w:rPr>
        <w:tab/>
      </w:r>
      <w:r w:rsidRPr="000D798E">
        <w:rPr>
          <w:rStyle w:val="Appelnotedebasdep"/>
          <w:sz w:val="20"/>
          <w:vertAlign w:val="baseline"/>
        </w:rPr>
        <w:t>***</w:t>
      </w:r>
      <w:r>
        <w:rPr>
          <w:sz w:val="20"/>
        </w:rPr>
        <w:tab/>
      </w:r>
      <w:r>
        <w:rPr>
          <w:lang w:val="fr-FR"/>
        </w:rPr>
        <w:t>Les annexes sont distribuées uniquement dans la langue de l’original.</w:t>
      </w:r>
    </w:p>
  </w:footnote>
  <w:footnote w:id="5">
    <w:p w:rsidR="000D798E" w:rsidRPr="00E9448B" w:rsidRDefault="000D798E" w:rsidP="000D798E">
      <w:pPr>
        <w:pStyle w:val="Notedebasdepage"/>
        <w:rPr>
          <w:lang w:val="es-ES"/>
        </w:rPr>
      </w:pPr>
      <w:r w:rsidRPr="00883B64">
        <w:rPr>
          <w:lang w:val="fr-FR"/>
        </w:rPr>
        <w:tab/>
      </w:r>
      <w:r w:rsidRPr="004D62C4">
        <w:rPr>
          <w:rStyle w:val="Appelnotedebasdep"/>
        </w:rPr>
        <w:footnoteRef/>
      </w:r>
      <w:r w:rsidRPr="00E9448B">
        <w:rPr>
          <w:lang w:val="es-ES"/>
        </w:rPr>
        <w:tab/>
      </w:r>
      <w:r w:rsidR="00071642" w:rsidRPr="00E9448B">
        <w:rPr>
          <w:lang w:val="es-ES"/>
        </w:rPr>
        <w:t>Véase el anexo I.</w:t>
      </w:r>
    </w:p>
  </w:footnote>
  <w:footnote w:id="6">
    <w:p w:rsidR="000D798E" w:rsidRPr="00E9448B" w:rsidRDefault="000D798E" w:rsidP="000D798E">
      <w:pPr>
        <w:pStyle w:val="Notedebasdepage"/>
        <w:rPr>
          <w:lang w:val="es-ES"/>
        </w:rPr>
      </w:pPr>
      <w:bookmarkStart w:id="9" w:name="footnoteBookmark_47"/>
      <w:r w:rsidRPr="00E9448B">
        <w:rPr>
          <w:lang w:val="es-ES"/>
        </w:rPr>
        <w:tab/>
      </w:r>
      <w:r w:rsidRPr="004D62C4">
        <w:rPr>
          <w:rStyle w:val="Appelnotedebasdep"/>
        </w:rPr>
        <w:footnoteRef/>
      </w:r>
      <w:r w:rsidRPr="00E9448B">
        <w:rPr>
          <w:lang w:val="es-ES"/>
        </w:rPr>
        <w:tab/>
      </w:r>
      <w:bookmarkEnd w:id="9"/>
      <w:r w:rsidR="00071642" w:rsidRPr="00E9448B">
        <w:rPr>
          <w:lang w:val="es-ES"/>
        </w:rPr>
        <w:t>Véase el anexo II.</w:t>
      </w:r>
    </w:p>
  </w:footnote>
  <w:footnote w:id="7">
    <w:p w:rsidR="000D798E" w:rsidRPr="00E9448B" w:rsidRDefault="000D798E" w:rsidP="000D798E">
      <w:pPr>
        <w:pStyle w:val="Notedebasdepage"/>
        <w:rPr>
          <w:lang w:val="es-ES"/>
        </w:rPr>
      </w:pPr>
      <w:bookmarkStart w:id="14" w:name="footnoteBookmark_52"/>
      <w:r w:rsidRPr="00E9448B">
        <w:rPr>
          <w:lang w:val="es-ES"/>
        </w:rPr>
        <w:tab/>
      </w:r>
      <w:r w:rsidRPr="004D62C4">
        <w:rPr>
          <w:rStyle w:val="Appelnotedebasdep"/>
        </w:rPr>
        <w:footnoteRef/>
      </w:r>
      <w:r w:rsidRPr="00E9448B">
        <w:rPr>
          <w:lang w:val="es-ES"/>
        </w:rPr>
        <w:tab/>
      </w:r>
      <w:bookmarkEnd w:id="14"/>
      <w:r w:rsidR="00071642" w:rsidRPr="00E9448B">
        <w:rPr>
          <w:lang w:val="es-ES"/>
        </w:rPr>
        <w:t>De conformidad con el artículo 16 de la Convención contra la Tortura.</w:t>
      </w:r>
    </w:p>
  </w:footnote>
  <w:footnote w:id="8">
    <w:p w:rsidR="000D798E" w:rsidRPr="009A5387" w:rsidRDefault="000D798E" w:rsidP="000D798E">
      <w:pPr>
        <w:pStyle w:val="Notedebasdepage"/>
      </w:pPr>
      <w:bookmarkStart w:id="19" w:name="footnoteBookmark_57"/>
      <w:r w:rsidRPr="00E9448B">
        <w:rPr>
          <w:lang w:val="es-ES"/>
        </w:rPr>
        <w:tab/>
      </w:r>
      <w:r w:rsidRPr="004D62C4">
        <w:rPr>
          <w:rStyle w:val="Appelnotedebasdep"/>
        </w:rPr>
        <w:footnoteRef/>
      </w:r>
      <w:r>
        <w:rPr>
          <w:lang w:val="fr-FR"/>
        </w:rPr>
        <w:t xml:space="preserve"> </w:t>
      </w:r>
      <w:r>
        <w:rPr>
          <w:lang w:val="fr-FR"/>
        </w:rPr>
        <w:tab/>
      </w:r>
      <w:bookmarkEnd w:id="19"/>
      <w:proofErr w:type="spellStart"/>
      <w:r w:rsidR="00071642" w:rsidRPr="00B6707E">
        <w:rPr>
          <w:lang w:val="fr-FR"/>
        </w:rPr>
        <w:t>Véase</w:t>
      </w:r>
      <w:proofErr w:type="spellEnd"/>
      <w:r w:rsidR="00071642" w:rsidRPr="00B6707E">
        <w:rPr>
          <w:lang w:val="fr-FR"/>
        </w:rPr>
        <w:t xml:space="preserve"> </w:t>
      </w:r>
      <w:r w:rsidR="00071642" w:rsidRPr="00071642">
        <w:rPr>
          <w:lang w:val="fr-FR"/>
        </w:rPr>
        <w:t>http://www.ohchr.org/EN/HRBodies/OPCAT/Fund/Pages/SpecialFund.aspx</w:t>
      </w:r>
      <w:r w:rsidR="00071642" w:rsidRPr="00B6707E">
        <w:rPr>
          <w:lang w:val="fr-FR"/>
        </w:rPr>
        <w:t>.</w:t>
      </w:r>
    </w:p>
  </w:footnote>
  <w:footnote w:id="9">
    <w:p w:rsidR="000D798E" w:rsidRPr="009A5387" w:rsidRDefault="000D798E" w:rsidP="000D798E">
      <w:pPr>
        <w:pStyle w:val="Notedebasdepage"/>
      </w:pPr>
      <w:bookmarkStart w:id="23" w:name="footnoteBookmark_61"/>
      <w:r w:rsidRPr="009A5387">
        <w:rPr>
          <w:lang w:val="fr-FR"/>
        </w:rPr>
        <w:tab/>
      </w:r>
      <w:r w:rsidRPr="00E9448B">
        <w:rPr>
          <w:rStyle w:val="Appelnotedebasdep"/>
        </w:rPr>
        <w:footnoteRef/>
      </w:r>
      <w:r>
        <w:rPr>
          <w:lang w:val="fr-FR"/>
        </w:rPr>
        <w:t xml:space="preserve"> </w:t>
      </w:r>
      <w:r>
        <w:rPr>
          <w:lang w:val="fr-FR"/>
        </w:rPr>
        <w:tab/>
      </w:r>
      <w:bookmarkEnd w:id="23"/>
      <w:proofErr w:type="spellStart"/>
      <w:r w:rsidR="00071642" w:rsidRPr="00B6707E">
        <w:rPr>
          <w:lang w:val="fr-FR"/>
        </w:rPr>
        <w:t>Véase</w:t>
      </w:r>
      <w:proofErr w:type="spellEnd"/>
      <w:r w:rsidR="00071642" w:rsidRPr="00B6707E">
        <w:rPr>
          <w:lang w:val="fr-FR"/>
        </w:rPr>
        <w:t>: http://www.ohchr.org/EN/HRBodies/OPCAT/Pages/Article17.aspx.</w:t>
      </w:r>
    </w:p>
  </w:footnote>
  <w:footnote w:id="10">
    <w:p w:rsidR="000D798E" w:rsidRPr="00E9448B" w:rsidRDefault="000D798E" w:rsidP="000D798E">
      <w:pPr>
        <w:pStyle w:val="Notedebasdepage"/>
        <w:rPr>
          <w:lang w:val="en-US"/>
        </w:rPr>
      </w:pPr>
      <w:bookmarkStart w:id="25" w:name="footnoteBookmark_63"/>
      <w:r w:rsidRPr="009A5387">
        <w:rPr>
          <w:lang w:val="fr-FR"/>
        </w:rPr>
        <w:tab/>
      </w:r>
      <w:r w:rsidRPr="004D62C4">
        <w:rPr>
          <w:rStyle w:val="Appelnotedebasdep"/>
        </w:rPr>
        <w:footnoteRef/>
      </w:r>
      <w:r w:rsidRPr="00E9448B">
        <w:rPr>
          <w:lang w:val="en-US"/>
        </w:rPr>
        <w:t xml:space="preserve"> </w:t>
      </w:r>
      <w:r w:rsidRPr="00E9448B">
        <w:rPr>
          <w:lang w:val="en-US"/>
        </w:rPr>
        <w:tab/>
      </w:r>
      <w:bookmarkEnd w:id="25"/>
      <w:r w:rsidR="00071642" w:rsidRPr="00B6707E">
        <w:rPr>
          <w:lang w:val="en-GB"/>
        </w:rPr>
        <w:t xml:space="preserve">A/HRC/30/7, </w:t>
      </w:r>
      <w:proofErr w:type="spellStart"/>
      <w:r w:rsidR="00071642" w:rsidRPr="00B6707E">
        <w:rPr>
          <w:lang w:val="en-GB"/>
        </w:rPr>
        <w:t>párrs</w:t>
      </w:r>
      <w:proofErr w:type="spellEnd"/>
      <w:r w:rsidR="00071642" w:rsidRPr="00B6707E">
        <w:rPr>
          <w:lang w:val="en-GB"/>
        </w:rPr>
        <w:t>. 90.16 a 90.19.</w:t>
      </w:r>
    </w:p>
  </w:footnote>
  <w:footnote w:id="11">
    <w:p w:rsidR="000D798E" w:rsidRPr="00E9448B" w:rsidRDefault="000D798E" w:rsidP="000D798E">
      <w:pPr>
        <w:pStyle w:val="Notedebasdepage"/>
        <w:rPr>
          <w:lang w:val="en-US"/>
        </w:rPr>
      </w:pPr>
      <w:bookmarkStart w:id="27" w:name="footnoteBookmark_65"/>
      <w:r w:rsidRPr="00E9448B">
        <w:rPr>
          <w:lang w:val="en-US"/>
        </w:rPr>
        <w:tab/>
      </w:r>
      <w:r w:rsidRPr="004D62C4">
        <w:rPr>
          <w:rStyle w:val="Appelnotedebasdep"/>
        </w:rPr>
        <w:footnoteRef/>
      </w:r>
      <w:r w:rsidRPr="00E9448B">
        <w:rPr>
          <w:lang w:val="en-US"/>
        </w:rPr>
        <w:t xml:space="preserve"> </w:t>
      </w:r>
      <w:r w:rsidRPr="00E9448B">
        <w:rPr>
          <w:lang w:val="en-US"/>
        </w:rPr>
        <w:tab/>
        <w:t>CAT/OP/12/5.</w:t>
      </w:r>
      <w:bookmarkEnd w:id="27"/>
    </w:p>
  </w:footnote>
  <w:footnote w:id="12">
    <w:p w:rsidR="000D798E" w:rsidRPr="00E9448B" w:rsidRDefault="000D798E" w:rsidP="000D798E">
      <w:pPr>
        <w:pStyle w:val="Notedebasdepage"/>
        <w:rPr>
          <w:lang w:val="en-US"/>
        </w:rPr>
      </w:pPr>
      <w:bookmarkStart w:id="30" w:name="footnoteBookmark_68"/>
      <w:r w:rsidRPr="00E9448B">
        <w:rPr>
          <w:lang w:val="en-US"/>
        </w:rPr>
        <w:tab/>
      </w:r>
      <w:r w:rsidRPr="004D62C4">
        <w:rPr>
          <w:rStyle w:val="Appelnotedebasdep"/>
        </w:rPr>
        <w:footnoteRef/>
      </w:r>
      <w:r w:rsidRPr="00E9448B">
        <w:rPr>
          <w:lang w:val="en-US"/>
        </w:rPr>
        <w:t xml:space="preserve"> </w:t>
      </w:r>
      <w:r w:rsidRPr="00E9448B">
        <w:rPr>
          <w:lang w:val="en-US"/>
        </w:rPr>
        <w:tab/>
      </w:r>
      <w:bookmarkEnd w:id="30"/>
      <w:r w:rsidR="00071642" w:rsidRPr="00B6707E">
        <w:rPr>
          <w:i/>
          <w:iCs/>
          <w:lang w:val="en-GB"/>
        </w:rPr>
        <w:t>Ibid.</w:t>
      </w:r>
      <w:r w:rsidR="00071642" w:rsidRPr="00B6707E">
        <w:rPr>
          <w:lang w:val="en-GB"/>
        </w:rPr>
        <w:t xml:space="preserve">, </w:t>
      </w:r>
      <w:proofErr w:type="spellStart"/>
      <w:r w:rsidR="00071642" w:rsidRPr="00B6707E">
        <w:rPr>
          <w:lang w:val="en-GB"/>
        </w:rPr>
        <w:t>párr</w:t>
      </w:r>
      <w:proofErr w:type="spellEnd"/>
      <w:r w:rsidR="00071642" w:rsidRPr="00B6707E">
        <w:rPr>
          <w:lang w:val="en-GB"/>
        </w:rPr>
        <w:t>. 8.</w:t>
      </w:r>
    </w:p>
  </w:footnote>
  <w:footnote w:id="13">
    <w:p w:rsidR="000D798E" w:rsidRPr="00E9448B" w:rsidRDefault="000D798E" w:rsidP="000D798E">
      <w:pPr>
        <w:pStyle w:val="Notedebasdepage"/>
        <w:rPr>
          <w:lang w:val="en-US"/>
        </w:rPr>
      </w:pPr>
      <w:bookmarkStart w:id="31" w:name="footnoteBookmark_69"/>
      <w:r w:rsidRPr="00E9448B">
        <w:rPr>
          <w:lang w:val="en-US"/>
        </w:rPr>
        <w:tab/>
      </w:r>
      <w:r w:rsidRPr="004D62C4">
        <w:rPr>
          <w:rStyle w:val="Appelnotedebasdep"/>
        </w:rPr>
        <w:footnoteRef/>
      </w:r>
      <w:r w:rsidRPr="00E9448B">
        <w:rPr>
          <w:lang w:val="en-US"/>
        </w:rPr>
        <w:tab/>
      </w:r>
      <w:bookmarkEnd w:id="31"/>
      <w:r w:rsidR="00071642" w:rsidRPr="00B6707E">
        <w:rPr>
          <w:i/>
          <w:iCs/>
          <w:lang w:val="en-GB"/>
        </w:rPr>
        <w:t>Ibid.</w:t>
      </w:r>
      <w:r w:rsidR="00071642" w:rsidRPr="00B6707E">
        <w:rPr>
          <w:lang w:val="en-GB"/>
        </w:rPr>
        <w:t xml:space="preserve">, </w:t>
      </w:r>
      <w:proofErr w:type="spellStart"/>
      <w:r w:rsidR="00071642" w:rsidRPr="00B6707E">
        <w:rPr>
          <w:lang w:val="en-GB"/>
        </w:rPr>
        <w:t>párr</w:t>
      </w:r>
      <w:proofErr w:type="spellEnd"/>
      <w:r w:rsidR="00071642" w:rsidRPr="00B6707E">
        <w:rPr>
          <w:lang w:val="en-GB"/>
        </w:rPr>
        <w:t>. 12.</w:t>
      </w:r>
    </w:p>
  </w:footnote>
  <w:footnote w:id="14">
    <w:p w:rsidR="000D798E" w:rsidRPr="00F12833" w:rsidRDefault="000D798E" w:rsidP="000D798E">
      <w:pPr>
        <w:pStyle w:val="Notedebasdepage"/>
      </w:pPr>
      <w:r w:rsidRPr="00E9448B">
        <w:rPr>
          <w:lang w:val="en-US"/>
        </w:rPr>
        <w:tab/>
      </w:r>
      <w:r w:rsidRPr="004D62C4">
        <w:rPr>
          <w:rStyle w:val="Appelnotedebasdep"/>
        </w:rPr>
        <w:footnoteRef/>
      </w:r>
      <w:bookmarkStart w:id="102" w:name="footnoteBookmark_22"/>
      <w:r w:rsidRPr="00F12833">
        <w:tab/>
      </w:r>
      <w:bookmarkEnd w:id="102"/>
      <w:r w:rsidR="00071642" w:rsidRPr="00F12833">
        <w:t xml:space="preserve">Véase </w:t>
      </w:r>
      <w:hyperlink r:id="rId1" w:history="1">
        <w:r w:rsidR="00071642" w:rsidRPr="00F12833">
          <w:t>http://tbinternet.ohchr.org/Treaties/CAT/Shared%20Documents/PAN/INT_CAT_STA_</w:t>
        </w:r>
        <w:r w:rsidR="00071642" w:rsidRPr="00F12833">
          <w:br/>
          <w:t>PAN_28353_S.pdf</w:t>
        </w:r>
      </w:hyperlink>
      <w:r w:rsidR="00071642" w:rsidRPr="00F12833">
        <w:t>.</w:t>
      </w:r>
    </w:p>
  </w:footnote>
  <w:footnote w:id="15">
    <w:p w:rsidR="000D798E" w:rsidRPr="00883B64" w:rsidRDefault="000D798E" w:rsidP="000D798E">
      <w:pPr>
        <w:pStyle w:val="Notedebasdepage"/>
      </w:pPr>
      <w:bookmarkStart w:id="125" w:name="footnoteBookmark_53"/>
      <w:r w:rsidRPr="00F12833">
        <w:tab/>
      </w:r>
      <w:r w:rsidRPr="004D62C4">
        <w:rPr>
          <w:rStyle w:val="Appelnotedebasdep"/>
        </w:rPr>
        <w:footnoteRef/>
      </w:r>
      <w:r>
        <w:rPr>
          <w:lang w:val="fr-FR"/>
        </w:rPr>
        <w:tab/>
        <w:t xml:space="preserve">CAT/OP/6/Rev.1. </w:t>
      </w:r>
      <w:bookmarkEnd w:id="1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E" w:rsidRPr="000D798E" w:rsidRDefault="00F77F97">
    <w:pPr>
      <w:pStyle w:val="En-tte"/>
    </w:pPr>
    <w:r>
      <w:fldChar w:fldCharType="begin"/>
    </w:r>
    <w:r>
      <w:instrText xml:space="preserve"> TITLE  \* MERGEFORMAT </w:instrText>
    </w:r>
    <w:r>
      <w:fldChar w:fldCharType="separate"/>
    </w:r>
    <w:r>
      <w:t>CAT/OP/PAN/1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E" w:rsidRPr="000D798E" w:rsidRDefault="00F77F97" w:rsidP="000D798E">
    <w:pPr>
      <w:pStyle w:val="En-tte"/>
      <w:jc w:val="right"/>
    </w:pPr>
    <w:r>
      <w:fldChar w:fldCharType="begin"/>
    </w:r>
    <w:r>
      <w:instrText xml:space="preserve"> TITLE  \* MERGEFORMAT </w:instrText>
    </w:r>
    <w:r>
      <w:fldChar w:fldCharType="separate"/>
    </w:r>
    <w:r>
      <w:t>CAT/OP/PAN/1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A86A46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5D2D57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32E6EF8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3"/>
  </w:num>
  <w:num w:numId="21">
    <w:abstractNumId w:val="12"/>
  </w:num>
  <w:num w:numId="22">
    <w:abstractNumId w:val="11"/>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04"/>
    <w:rsid w:val="00023842"/>
    <w:rsid w:val="00035AE4"/>
    <w:rsid w:val="00037DF1"/>
    <w:rsid w:val="00071642"/>
    <w:rsid w:val="0007796D"/>
    <w:rsid w:val="000D798E"/>
    <w:rsid w:val="00101756"/>
    <w:rsid w:val="00111F2F"/>
    <w:rsid w:val="0014365E"/>
    <w:rsid w:val="00176178"/>
    <w:rsid w:val="00191DF6"/>
    <w:rsid w:val="001F525A"/>
    <w:rsid w:val="00354865"/>
    <w:rsid w:val="00437B26"/>
    <w:rsid w:val="00446FE5"/>
    <w:rsid w:val="004D6539"/>
    <w:rsid w:val="004F046A"/>
    <w:rsid w:val="00537091"/>
    <w:rsid w:val="00553A1F"/>
    <w:rsid w:val="00573BE5"/>
    <w:rsid w:val="00586ED3"/>
    <w:rsid w:val="00587A52"/>
    <w:rsid w:val="005970D5"/>
    <w:rsid w:val="005A51D3"/>
    <w:rsid w:val="005B4E23"/>
    <w:rsid w:val="00621144"/>
    <w:rsid w:val="006644FD"/>
    <w:rsid w:val="00672212"/>
    <w:rsid w:val="006F1898"/>
    <w:rsid w:val="006F6A51"/>
    <w:rsid w:val="0071601D"/>
    <w:rsid w:val="007432FB"/>
    <w:rsid w:val="00774AA5"/>
    <w:rsid w:val="0080684C"/>
    <w:rsid w:val="00807D21"/>
    <w:rsid w:val="00840C6C"/>
    <w:rsid w:val="00871C75"/>
    <w:rsid w:val="008776DC"/>
    <w:rsid w:val="009705C8"/>
    <w:rsid w:val="009C2091"/>
    <w:rsid w:val="009C4D45"/>
    <w:rsid w:val="009F3904"/>
    <w:rsid w:val="009F531E"/>
    <w:rsid w:val="00A05770"/>
    <w:rsid w:val="00A37C92"/>
    <w:rsid w:val="00A704A8"/>
    <w:rsid w:val="00A95FA4"/>
    <w:rsid w:val="00AA0CD3"/>
    <w:rsid w:val="00AB1B55"/>
    <w:rsid w:val="00AE323C"/>
    <w:rsid w:val="00BA41F4"/>
    <w:rsid w:val="00C02897"/>
    <w:rsid w:val="00C66525"/>
    <w:rsid w:val="00CA5CE1"/>
    <w:rsid w:val="00CD326D"/>
    <w:rsid w:val="00D21E12"/>
    <w:rsid w:val="00DB1831"/>
    <w:rsid w:val="00DD3BFD"/>
    <w:rsid w:val="00E554A4"/>
    <w:rsid w:val="00E55EA8"/>
    <w:rsid w:val="00E9448B"/>
    <w:rsid w:val="00EA0D23"/>
    <w:rsid w:val="00EA3F83"/>
    <w:rsid w:val="00EE6EA3"/>
    <w:rsid w:val="00F12833"/>
    <w:rsid w:val="00F660DF"/>
    <w:rsid w:val="00F77F97"/>
    <w:rsid w:val="00F95C08"/>
    <w:rsid w:val="00FE77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435CB"/>
  <w15:docId w15:val="{F45E2038-7DAD-43FB-BA7A-75526267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798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D798E"/>
    <w:pPr>
      <w:keepNext/>
      <w:keepLines/>
      <w:spacing w:after="0" w:line="240" w:lineRule="auto"/>
      <w:ind w:right="0"/>
      <w:jc w:val="left"/>
      <w:outlineLvl w:val="0"/>
    </w:pPr>
  </w:style>
  <w:style w:type="paragraph" w:styleId="Titre2">
    <w:name w:val="heading 2"/>
    <w:basedOn w:val="Normal"/>
    <w:next w:val="Normal"/>
    <w:link w:val="Titre2Car"/>
    <w:semiHidden/>
    <w:qFormat/>
    <w:rsid w:val="000D798E"/>
    <w:pPr>
      <w:outlineLvl w:val="1"/>
    </w:pPr>
  </w:style>
  <w:style w:type="paragraph" w:styleId="Titre3">
    <w:name w:val="heading 3"/>
    <w:basedOn w:val="Normal"/>
    <w:next w:val="Normal"/>
    <w:link w:val="Titre3Car"/>
    <w:semiHidden/>
    <w:qFormat/>
    <w:rsid w:val="000D798E"/>
    <w:pPr>
      <w:outlineLvl w:val="2"/>
    </w:pPr>
  </w:style>
  <w:style w:type="paragraph" w:styleId="Titre4">
    <w:name w:val="heading 4"/>
    <w:basedOn w:val="Normal"/>
    <w:next w:val="Normal"/>
    <w:link w:val="Titre4Car"/>
    <w:semiHidden/>
    <w:qFormat/>
    <w:rsid w:val="000D798E"/>
    <w:pPr>
      <w:outlineLvl w:val="3"/>
    </w:pPr>
  </w:style>
  <w:style w:type="paragraph" w:styleId="Titre5">
    <w:name w:val="heading 5"/>
    <w:basedOn w:val="Normal"/>
    <w:next w:val="Normal"/>
    <w:link w:val="Titre5Car"/>
    <w:semiHidden/>
    <w:qFormat/>
    <w:rsid w:val="000D798E"/>
    <w:pPr>
      <w:outlineLvl w:val="4"/>
    </w:pPr>
  </w:style>
  <w:style w:type="paragraph" w:styleId="Titre6">
    <w:name w:val="heading 6"/>
    <w:basedOn w:val="Normal"/>
    <w:next w:val="Normal"/>
    <w:link w:val="Titre6Car"/>
    <w:semiHidden/>
    <w:qFormat/>
    <w:rsid w:val="000D798E"/>
    <w:pPr>
      <w:outlineLvl w:val="5"/>
    </w:pPr>
  </w:style>
  <w:style w:type="paragraph" w:styleId="Titre7">
    <w:name w:val="heading 7"/>
    <w:basedOn w:val="Normal"/>
    <w:next w:val="Normal"/>
    <w:link w:val="Titre7Car"/>
    <w:semiHidden/>
    <w:qFormat/>
    <w:rsid w:val="000D798E"/>
    <w:pPr>
      <w:outlineLvl w:val="6"/>
    </w:pPr>
  </w:style>
  <w:style w:type="paragraph" w:styleId="Titre8">
    <w:name w:val="heading 8"/>
    <w:basedOn w:val="Normal"/>
    <w:next w:val="Normal"/>
    <w:link w:val="Titre8Car"/>
    <w:semiHidden/>
    <w:qFormat/>
    <w:rsid w:val="000D798E"/>
    <w:pPr>
      <w:outlineLvl w:val="7"/>
    </w:pPr>
  </w:style>
  <w:style w:type="paragraph" w:styleId="Titre9">
    <w:name w:val="heading 9"/>
    <w:basedOn w:val="Normal"/>
    <w:next w:val="Normal"/>
    <w:link w:val="Titre9Car"/>
    <w:semiHidden/>
    <w:qFormat/>
    <w:rsid w:val="000D798E"/>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D798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D798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D798E"/>
    <w:pPr>
      <w:spacing w:line="240" w:lineRule="auto"/>
    </w:pPr>
    <w:rPr>
      <w:sz w:val="16"/>
    </w:rPr>
  </w:style>
  <w:style w:type="character" w:customStyle="1" w:styleId="PieddepageCar">
    <w:name w:val="Pied de page Car"/>
    <w:aliases w:val="3_G Car"/>
    <w:basedOn w:val="Policepardfaut"/>
    <w:link w:val="Pieddepage"/>
    <w:rsid w:val="000D798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D798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D798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D798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D798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D798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D798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D798E"/>
    <w:pPr>
      <w:spacing w:after="120"/>
      <w:ind w:left="1134" w:right="1134"/>
      <w:jc w:val="both"/>
    </w:pPr>
  </w:style>
  <w:style w:type="paragraph" w:customStyle="1" w:styleId="SLG">
    <w:name w:val="__S_L_G"/>
    <w:basedOn w:val="Normal"/>
    <w:next w:val="Normal"/>
    <w:rsid w:val="000D798E"/>
    <w:pPr>
      <w:keepNext/>
      <w:keepLines/>
      <w:spacing w:before="240" w:after="240" w:line="580" w:lineRule="exact"/>
      <w:ind w:left="1134" w:right="1134"/>
    </w:pPr>
    <w:rPr>
      <w:b/>
      <w:sz w:val="56"/>
    </w:rPr>
  </w:style>
  <w:style w:type="paragraph" w:customStyle="1" w:styleId="SMG">
    <w:name w:val="__S_M_G"/>
    <w:basedOn w:val="Normal"/>
    <w:next w:val="Normal"/>
    <w:rsid w:val="000D798E"/>
    <w:pPr>
      <w:keepNext/>
      <w:keepLines/>
      <w:spacing w:before="240" w:after="240" w:line="420" w:lineRule="exact"/>
      <w:ind w:left="1134" w:right="1134"/>
    </w:pPr>
    <w:rPr>
      <w:b/>
      <w:sz w:val="40"/>
    </w:rPr>
  </w:style>
  <w:style w:type="paragraph" w:customStyle="1" w:styleId="SSG">
    <w:name w:val="__S_S_G"/>
    <w:basedOn w:val="Normal"/>
    <w:next w:val="Normal"/>
    <w:rsid w:val="000D798E"/>
    <w:pPr>
      <w:keepNext/>
      <w:keepLines/>
      <w:spacing w:before="240" w:after="240" w:line="300" w:lineRule="exact"/>
      <w:ind w:left="1134" w:right="1134"/>
    </w:pPr>
    <w:rPr>
      <w:b/>
      <w:sz w:val="28"/>
    </w:rPr>
  </w:style>
  <w:style w:type="paragraph" w:customStyle="1" w:styleId="XLargeG">
    <w:name w:val="__XLarge_G"/>
    <w:basedOn w:val="Normal"/>
    <w:next w:val="Normal"/>
    <w:rsid w:val="000D798E"/>
    <w:pPr>
      <w:keepNext/>
      <w:keepLines/>
      <w:spacing w:before="240" w:after="240" w:line="420" w:lineRule="exact"/>
      <w:ind w:left="1134" w:right="1134"/>
    </w:pPr>
    <w:rPr>
      <w:b/>
      <w:sz w:val="40"/>
    </w:rPr>
  </w:style>
  <w:style w:type="paragraph" w:customStyle="1" w:styleId="Bullet1G">
    <w:name w:val="_Bullet 1_G"/>
    <w:basedOn w:val="Normal"/>
    <w:qFormat/>
    <w:rsid w:val="000D798E"/>
    <w:pPr>
      <w:numPr>
        <w:numId w:val="21"/>
      </w:numPr>
      <w:spacing w:after="120"/>
      <w:ind w:right="1134"/>
      <w:jc w:val="both"/>
    </w:pPr>
  </w:style>
  <w:style w:type="paragraph" w:customStyle="1" w:styleId="Bullet2G">
    <w:name w:val="_Bullet 2_G"/>
    <w:basedOn w:val="Normal"/>
    <w:qFormat/>
    <w:rsid w:val="000D798E"/>
    <w:pPr>
      <w:numPr>
        <w:numId w:val="22"/>
      </w:numPr>
      <w:spacing w:after="120"/>
      <w:ind w:right="1134"/>
      <w:jc w:val="both"/>
    </w:pPr>
  </w:style>
  <w:style w:type="paragraph" w:customStyle="1" w:styleId="ParNoG">
    <w:name w:val="_ParNo_G"/>
    <w:basedOn w:val="Normal"/>
    <w:qFormat/>
    <w:rsid w:val="000D798E"/>
    <w:pPr>
      <w:numPr>
        <w:numId w:val="23"/>
      </w:numPr>
      <w:tabs>
        <w:tab w:val="clear" w:pos="1701"/>
      </w:tabs>
      <w:spacing w:after="120"/>
      <w:ind w:right="1134"/>
      <w:jc w:val="both"/>
    </w:pPr>
  </w:style>
  <w:style w:type="character" w:styleId="Appelnotedebasdep">
    <w:name w:val="footnote reference"/>
    <w:aliases w:val="4_G"/>
    <w:basedOn w:val="Policepardfaut"/>
    <w:qFormat/>
    <w:rsid w:val="000D798E"/>
    <w:rPr>
      <w:rFonts w:ascii="Times New Roman" w:hAnsi="Times New Roman"/>
      <w:sz w:val="18"/>
      <w:vertAlign w:val="superscript"/>
      <w:lang w:val="fr-CH"/>
    </w:rPr>
  </w:style>
  <w:style w:type="character" w:styleId="Appeldenotedefin">
    <w:name w:val="endnote reference"/>
    <w:aliases w:val="1_G"/>
    <w:basedOn w:val="Appelnotedebasdep"/>
    <w:qFormat/>
    <w:rsid w:val="000D798E"/>
    <w:rPr>
      <w:rFonts w:ascii="Times New Roman" w:hAnsi="Times New Roman"/>
      <w:sz w:val="18"/>
      <w:vertAlign w:val="superscript"/>
      <w:lang w:val="fr-CH"/>
    </w:rPr>
  </w:style>
  <w:style w:type="table" w:styleId="Grilledutableau">
    <w:name w:val="Table Grid"/>
    <w:basedOn w:val="TableauNormal"/>
    <w:rsid w:val="000D798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0D798E"/>
    <w:rPr>
      <w:color w:val="0000FF"/>
      <w:u w:val="none"/>
    </w:rPr>
  </w:style>
  <w:style w:type="character" w:styleId="Lienhypertextesuivivisit">
    <w:name w:val="FollowedHyperlink"/>
    <w:basedOn w:val="Policepardfaut"/>
    <w:unhideWhenUsed/>
    <w:rsid w:val="000D798E"/>
    <w:rPr>
      <w:color w:val="0000FF"/>
      <w:u w:val="none"/>
    </w:rPr>
  </w:style>
  <w:style w:type="paragraph" w:styleId="Notedebasdepage">
    <w:name w:val="footnote text"/>
    <w:aliases w:val="5_G"/>
    <w:basedOn w:val="Normal"/>
    <w:link w:val="NotedebasdepageCar"/>
    <w:qFormat/>
    <w:rsid w:val="000D798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D798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D798E"/>
  </w:style>
  <w:style w:type="character" w:customStyle="1" w:styleId="NotedefinCar">
    <w:name w:val="Note de fin Car"/>
    <w:aliases w:val="2_G Car"/>
    <w:basedOn w:val="Policepardfaut"/>
    <w:link w:val="Notedefin"/>
    <w:rsid w:val="000D798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D798E"/>
    <w:rPr>
      <w:rFonts w:ascii="Times New Roman" w:hAnsi="Times New Roman"/>
      <w:b/>
      <w:sz w:val="18"/>
      <w:lang w:val="fr-CH"/>
    </w:rPr>
  </w:style>
  <w:style w:type="character" w:customStyle="1" w:styleId="Titre1Car">
    <w:name w:val="Titre 1 Car"/>
    <w:aliases w:val="Table_G Car"/>
    <w:basedOn w:val="Policepardfaut"/>
    <w:link w:val="Titre1"/>
    <w:rsid w:val="000D798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D798E"/>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D798E"/>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0D798E"/>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0D798E"/>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0D798E"/>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0D798E"/>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0D798E"/>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0D798E"/>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m7887215559385715644s1">
    <w:name w:val="m_7887215559385715644s1"/>
    <w:basedOn w:val="Policepardfaut"/>
    <w:uiPriority w:val="99"/>
    <w:rsid w:val="000D798E"/>
    <w:rPr>
      <w:rFonts w:cs="Times New Roman"/>
    </w:rPr>
  </w:style>
  <w:style w:type="character" w:customStyle="1" w:styleId="m7887215559385715644apple-converted-space">
    <w:name w:val="m_7887215559385715644apple-converted-space"/>
    <w:basedOn w:val="Policepardfaut"/>
    <w:uiPriority w:val="99"/>
    <w:rsid w:val="000D79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AT/Shared%20Documents/PAN/INT_CAT_STA_PAN_28353_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23</Pages>
  <Words>9987</Words>
  <Characters>59329</Characters>
  <Application>Microsoft Office Word</Application>
  <DocSecurity>0</DocSecurity>
  <Lines>5393</Lines>
  <Paragraphs>1824</Paragraphs>
  <ScaleCrop>false</ScaleCrop>
  <HeadingPairs>
    <vt:vector size="2" baseType="variant">
      <vt:variant>
        <vt:lpstr>Titre</vt:lpstr>
      </vt:variant>
      <vt:variant>
        <vt:i4>1</vt:i4>
      </vt:variant>
    </vt:vector>
  </HeadingPairs>
  <TitlesOfParts>
    <vt:vector size="1" baseType="lpstr">
      <vt:lpstr>CAT/OP/PAN/1</vt:lpstr>
    </vt:vector>
  </TitlesOfParts>
  <Company>DCM</Company>
  <LinksUpToDate>false</LinksUpToDate>
  <CharactersWithSpaces>67492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CAT/OP/PAN/1</dc:title>
  <dc:subject/>
  <dc:creator>Fabienne CRELIER</dc:creator>
  <cp:keywords/>
  <cp:lastModifiedBy>Fabienne Crelier</cp:lastModifiedBy>
  <cp:revision>3</cp:revision>
  <cp:lastPrinted>2018-11-16T11:11:00Z</cp:lastPrinted>
  <dcterms:created xsi:type="dcterms:W3CDTF">2018-11-16T11:11:00Z</dcterms:created>
  <dcterms:modified xsi:type="dcterms:W3CDTF">2018-11-16T11:12:00Z</dcterms:modified>
</cp:coreProperties>
</file>