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6737F0" w:rsidP="006737F0">
            <w:pPr>
              <w:bidi w:val="0"/>
              <w:spacing w:after="20"/>
              <w:jc w:val="left"/>
              <w:rPr>
                <w:szCs w:val="20"/>
              </w:rPr>
            </w:pPr>
            <w:r w:rsidRPr="006737F0">
              <w:rPr>
                <w:sz w:val="40"/>
                <w:szCs w:val="20"/>
              </w:rPr>
              <w:t>CCPR</w:t>
            </w:r>
            <w:r>
              <w:rPr>
                <w:szCs w:val="20"/>
              </w:rPr>
              <w:t>/C/NOR/CO/6</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6737F0" w:rsidRDefault="006737F0" w:rsidP="006737F0">
            <w:pPr>
              <w:bidi w:val="0"/>
              <w:spacing w:before="240"/>
              <w:jc w:val="left"/>
            </w:pPr>
            <w:r>
              <w:t>Distr.: General</w:t>
            </w:r>
          </w:p>
          <w:p w:rsidR="006737F0" w:rsidRDefault="006737F0" w:rsidP="006737F0">
            <w:pPr>
              <w:bidi w:val="0"/>
              <w:jc w:val="left"/>
            </w:pPr>
            <w:r>
              <w:t>18</w:t>
            </w:r>
            <w:r w:rsidRPr="00EF24E0">
              <w:t xml:space="preserve"> November 2011</w:t>
            </w:r>
          </w:p>
          <w:p w:rsidR="006737F0" w:rsidRDefault="006737F0" w:rsidP="006737F0">
            <w:pPr>
              <w:bidi w:val="0"/>
              <w:jc w:val="left"/>
            </w:pPr>
            <w:r>
              <w:t>Arabic</w:t>
            </w:r>
          </w:p>
          <w:p w:rsidR="00257225" w:rsidRPr="008B4BC6" w:rsidRDefault="006737F0" w:rsidP="006737F0">
            <w:pPr>
              <w:bidi w:val="0"/>
              <w:jc w:val="left"/>
            </w:pPr>
            <w:r>
              <w:t>Original: English</w:t>
            </w:r>
          </w:p>
        </w:tc>
      </w:tr>
    </w:tbl>
    <w:p w:rsidR="006737F0" w:rsidRPr="00EF24E0" w:rsidRDefault="006737F0" w:rsidP="006737F0">
      <w:pPr>
        <w:spacing w:before="120" w:line="380" w:lineRule="exact"/>
        <w:jc w:val="left"/>
        <w:rPr>
          <w:rFonts w:hint="cs"/>
          <w:rtl/>
        </w:rPr>
      </w:pPr>
      <w:r w:rsidRPr="00EF24E0">
        <w:rPr>
          <w:rFonts w:hint="cs"/>
          <w:b/>
          <w:bCs/>
          <w:sz w:val="36"/>
          <w:szCs w:val="36"/>
          <w:rtl/>
        </w:rPr>
        <w:t>ال</w:t>
      </w:r>
      <w:r w:rsidRPr="00EF24E0">
        <w:rPr>
          <w:b/>
          <w:bCs/>
          <w:sz w:val="36"/>
          <w:szCs w:val="36"/>
          <w:rtl/>
        </w:rPr>
        <w:t>ل</w:t>
      </w:r>
      <w:r w:rsidRPr="00EF24E0">
        <w:rPr>
          <w:rFonts w:hint="cs"/>
          <w:b/>
          <w:bCs/>
          <w:sz w:val="36"/>
          <w:szCs w:val="36"/>
          <w:rtl/>
        </w:rPr>
        <w:t>جن</w:t>
      </w:r>
      <w:r w:rsidRPr="00EF24E0">
        <w:rPr>
          <w:b/>
          <w:bCs/>
          <w:sz w:val="36"/>
          <w:szCs w:val="36"/>
          <w:rtl/>
        </w:rPr>
        <w:t xml:space="preserve">ة </w:t>
      </w:r>
      <w:r w:rsidRPr="00EF24E0">
        <w:rPr>
          <w:rFonts w:hint="cs"/>
          <w:b/>
          <w:bCs/>
          <w:sz w:val="36"/>
          <w:szCs w:val="36"/>
          <w:rtl/>
        </w:rPr>
        <w:t>المعنية بحقوق الإنسان</w:t>
      </w:r>
    </w:p>
    <w:p w:rsidR="006737F0" w:rsidRPr="00EF24E0" w:rsidRDefault="006737F0" w:rsidP="006737F0">
      <w:pPr>
        <w:spacing w:line="380" w:lineRule="exact"/>
        <w:jc w:val="both"/>
        <w:rPr>
          <w:rFonts w:hint="cs"/>
          <w:b/>
          <w:bCs/>
          <w:rtl/>
        </w:rPr>
      </w:pPr>
      <w:r w:rsidRPr="00EF24E0">
        <w:rPr>
          <w:rFonts w:hint="cs"/>
          <w:b/>
          <w:bCs/>
          <w:sz w:val="30"/>
          <w:rtl/>
        </w:rPr>
        <w:t>الدورة</w:t>
      </w:r>
      <w:r w:rsidRPr="00EF24E0">
        <w:rPr>
          <w:rFonts w:hint="cs"/>
          <w:b/>
          <w:bCs/>
          <w:rtl/>
        </w:rPr>
        <w:t xml:space="preserve"> الثالثة بعد المائة </w:t>
      </w:r>
    </w:p>
    <w:p w:rsidR="006737F0" w:rsidRPr="00EF24E0" w:rsidRDefault="006737F0" w:rsidP="006737F0">
      <w:pPr>
        <w:spacing w:line="380" w:lineRule="exact"/>
        <w:jc w:val="both"/>
        <w:rPr>
          <w:rFonts w:hint="cs"/>
          <w:rtl/>
        </w:rPr>
      </w:pPr>
      <w:r w:rsidRPr="00EF24E0">
        <w:rPr>
          <w:rFonts w:hint="cs"/>
          <w:rtl/>
        </w:rPr>
        <w:t>17</w:t>
      </w:r>
      <w:r w:rsidR="004B1674">
        <w:rPr>
          <w:rFonts w:hint="cs"/>
          <w:rtl/>
        </w:rPr>
        <w:t xml:space="preserve"> </w:t>
      </w:r>
      <w:r w:rsidRPr="00EF24E0">
        <w:rPr>
          <w:rFonts w:hint="cs"/>
          <w:rtl/>
        </w:rPr>
        <w:t>تشرين الأول/أكتوبر</w:t>
      </w:r>
      <w:r w:rsidR="006F4511">
        <w:rPr>
          <w:rFonts w:hint="cs"/>
          <w:rtl/>
        </w:rPr>
        <w:t xml:space="preserve"> </w:t>
      </w:r>
      <w:r w:rsidRPr="00EF24E0">
        <w:rPr>
          <w:rFonts w:hint="cs"/>
          <w:rtl/>
        </w:rPr>
        <w:t xml:space="preserve">- 4 تشرين الثاني/نوفمبر 2011 </w:t>
      </w:r>
    </w:p>
    <w:p w:rsidR="006737F0" w:rsidRPr="00EF24E0" w:rsidRDefault="00420B58" w:rsidP="006F4511">
      <w:pPr>
        <w:pStyle w:val="HChGA"/>
        <w:rPr>
          <w:rFonts w:hint="cs"/>
          <w:rtl/>
        </w:rPr>
      </w:pPr>
      <w:r>
        <w:rPr>
          <w:rFonts w:hint="cs"/>
          <w:rtl/>
        </w:rPr>
        <w:tab/>
      </w:r>
      <w:r>
        <w:rPr>
          <w:rFonts w:hint="cs"/>
          <w:rtl/>
        </w:rPr>
        <w:tab/>
      </w:r>
      <w:r w:rsidR="006737F0" w:rsidRPr="00EF24E0">
        <w:rPr>
          <w:rFonts w:hint="cs"/>
          <w:rtl/>
        </w:rPr>
        <w:t>النظر في التقارير المقدمة من الدول الأطراف بموجب المادة 40 من</w:t>
      </w:r>
      <w:r w:rsidR="006F4511">
        <w:rPr>
          <w:rFonts w:hint="eastAsia"/>
          <w:rtl/>
        </w:rPr>
        <w:t> </w:t>
      </w:r>
      <w:r w:rsidR="006737F0" w:rsidRPr="00EF24E0">
        <w:rPr>
          <w:rFonts w:hint="cs"/>
          <w:rtl/>
        </w:rPr>
        <w:t>العهد</w:t>
      </w:r>
    </w:p>
    <w:p w:rsidR="006737F0" w:rsidRPr="00EF24E0" w:rsidRDefault="006737F0" w:rsidP="00420B58">
      <w:pPr>
        <w:pStyle w:val="H1GA"/>
        <w:rPr>
          <w:rFonts w:hint="cs"/>
          <w:rtl/>
        </w:rPr>
      </w:pPr>
      <w:r w:rsidRPr="00EF24E0">
        <w:rPr>
          <w:rFonts w:hint="cs"/>
          <w:rtl/>
        </w:rPr>
        <w:tab/>
      </w:r>
      <w:r w:rsidR="00420B58">
        <w:rPr>
          <w:rFonts w:hint="cs"/>
          <w:rtl/>
        </w:rPr>
        <w:tab/>
      </w:r>
      <w:r w:rsidRPr="00EF24E0">
        <w:rPr>
          <w:rFonts w:hint="cs"/>
          <w:rtl/>
        </w:rPr>
        <w:t>الملاحظات الختامية للجنة المعنية بحقوق الإنسان</w:t>
      </w:r>
    </w:p>
    <w:p w:rsidR="006737F0" w:rsidRPr="00EF24E0" w:rsidRDefault="006737F0" w:rsidP="00420B58">
      <w:pPr>
        <w:pStyle w:val="HChGA"/>
        <w:rPr>
          <w:rFonts w:hint="cs"/>
          <w:rtl/>
        </w:rPr>
      </w:pPr>
      <w:r w:rsidRPr="00EF24E0">
        <w:rPr>
          <w:rFonts w:hint="cs"/>
          <w:rtl/>
        </w:rPr>
        <w:tab/>
      </w:r>
      <w:r w:rsidR="00420B58">
        <w:rPr>
          <w:rFonts w:hint="cs"/>
          <w:rtl/>
        </w:rPr>
        <w:tab/>
      </w:r>
      <w:r w:rsidRPr="00EF24E0">
        <w:rPr>
          <w:rFonts w:hint="cs"/>
          <w:rtl/>
        </w:rPr>
        <w:t>النرويج</w:t>
      </w:r>
    </w:p>
    <w:p w:rsidR="006737F0" w:rsidRPr="006F4511" w:rsidRDefault="006F4511" w:rsidP="004B1674">
      <w:pPr>
        <w:pStyle w:val="SingleTxtGA"/>
        <w:rPr>
          <w:rFonts w:hint="cs"/>
          <w:rtl/>
          <w:lang w:val="fr-CH"/>
        </w:rPr>
      </w:pPr>
      <w:r w:rsidRPr="006F4511">
        <w:rPr>
          <w:rFonts w:hint="cs"/>
          <w:rtl/>
          <w:lang w:val="fr-CH"/>
        </w:rPr>
        <w:t>1-</w:t>
      </w:r>
      <w:r w:rsidRPr="006F4511">
        <w:rPr>
          <w:rFonts w:hint="cs"/>
          <w:rtl/>
          <w:lang w:val="fr-CH"/>
        </w:rPr>
        <w:tab/>
      </w:r>
      <w:r w:rsidR="006737F0" w:rsidRPr="006F4511">
        <w:rPr>
          <w:rFonts w:hint="cs"/>
          <w:rtl/>
          <w:lang w:val="fr-CH"/>
        </w:rPr>
        <w:t xml:space="preserve">نظرت اللجنة المعنية بحقوق الإنسان في التقرير الدوري السادس المقدم من النرويج </w:t>
      </w:r>
      <w:r w:rsidR="006737F0" w:rsidRPr="004B1674">
        <w:rPr>
          <w:spacing w:val="-2"/>
        </w:rPr>
        <w:t>(CCPR/C/NOR/6)</w:t>
      </w:r>
      <w:r w:rsidR="004B1674" w:rsidRPr="004B1674">
        <w:rPr>
          <w:rFonts w:hint="cs"/>
          <w:spacing w:val="-2"/>
          <w:rtl/>
          <w:lang w:val="fr-CH"/>
        </w:rPr>
        <w:t xml:space="preserve"> </w:t>
      </w:r>
      <w:r w:rsidR="006737F0" w:rsidRPr="004B1674">
        <w:rPr>
          <w:rFonts w:hint="cs"/>
          <w:spacing w:val="-2"/>
          <w:rtl/>
          <w:lang w:val="fr-CH"/>
        </w:rPr>
        <w:t>في جلستيها 2844 و2845 (</w:t>
      </w:r>
      <w:r w:rsidR="006737F0" w:rsidRPr="004B1674">
        <w:rPr>
          <w:spacing w:val="-2"/>
        </w:rPr>
        <w:t>CCPR/C/SR.2844</w:t>
      </w:r>
      <w:r w:rsidR="006737F0" w:rsidRPr="004B1674">
        <w:rPr>
          <w:rFonts w:hint="cs"/>
          <w:spacing w:val="-2"/>
          <w:rtl/>
        </w:rPr>
        <w:t xml:space="preserve"> و</w:t>
      </w:r>
      <w:r w:rsidR="006737F0" w:rsidRPr="004B1674">
        <w:rPr>
          <w:spacing w:val="-2"/>
        </w:rPr>
        <w:t>CCPR/C/SR.2845</w:t>
      </w:r>
      <w:r w:rsidR="006737F0" w:rsidRPr="004B1674">
        <w:rPr>
          <w:rFonts w:hint="cs"/>
          <w:spacing w:val="-2"/>
          <w:rtl/>
        </w:rPr>
        <w:t>)،</w:t>
      </w:r>
      <w:r w:rsidR="006737F0" w:rsidRPr="006F4511">
        <w:rPr>
          <w:rFonts w:hint="cs"/>
          <w:rtl/>
        </w:rPr>
        <w:t xml:space="preserve"> المعقودتين في 24 و25 تشرين الأول/أكتوبر2011. واعتمدت اللجنة، في جلستها 2858 </w:t>
      </w:r>
      <w:r w:rsidR="006737F0" w:rsidRPr="006F4511">
        <w:t>(CCPR/C/SR.2858)</w:t>
      </w:r>
      <w:r w:rsidR="006737F0" w:rsidRPr="006F4511">
        <w:rPr>
          <w:rFonts w:hint="cs"/>
          <w:rtl/>
        </w:rPr>
        <w:t>، المعقودة في</w:t>
      </w:r>
      <w:r w:rsidR="006737F0" w:rsidRPr="006F4511">
        <w:rPr>
          <w:rFonts w:hint="eastAsia"/>
        </w:rPr>
        <w:t> </w:t>
      </w:r>
      <w:r w:rsidR="006737F0" w:rsidRPr="006F4511">
        <w:rPr>
          <w:rFonts w:hint="cs"/>
          <w:rtl/>
        </w:rPr>
        <w:t>2 تشرين الثاني/نوفمبر 2011، الملاحظات الختامية التالية.</w:t>
      </w:r>
    </w:p>
    <w:p w:rsidR="006737F0" w:rsidRPr="006F4511" w:rsidRDefault="006737F0" w:rsidP="006F4511">
      <w:pPr>
        <w:pStyle w:val="H1GA"/>
        <w:rPr>
          <w:rFonts w:hint="cs"/>
          <w:sz w:val="20"/>
          <w:rtl/>
        </w:rPr>
      </w:pPr>
      <w:r w:rsidRPr="006F4511">
        <w:rPr>
          <w:rFonts w:hint="cs"/>
          <w:sz w:val="20"/>
          <w:rtl/>
        </w:rPr>
        <w:tab/>
        <w:t>ألف</w:t>
      </w:r>
      <w:r w:rsidR="006F4511">
        <w:rPr>
          <w:rFonts w:hint="cs"/>
          <w:sz w:val="20"/>
          <w:rtl/>
        </w:rPr>
        <w:t xml:space="preserve"> </w:t>
      </w:r>
      <w:r w:rsidRPr="006F4511">
        <w:rPr>
          <w:rFonts w:hint="cs"/>
          <w:sz w:val="20"/>
          <w:rtl/>
        </w:rPr>
        <w:t>-</w:t>
      </w:r>
      <w:r w:rsidRPr="006F4511">
        <w:rPr>
          <w:rFonts w:hint="cs"/>
          <w:sz w:val="20"/>
          <w:rtl/>
        </w:rPr>
        <w:tab/>
        <w:t>مقدمة</w:t>
      </w:r>
    </w:p>
    <w:p w:rsidR="006737F0" w:rsidRPr="006F4511" w:rsidRDefault="006737F0" w:rsidP="006F4511">
      <w:pPr>
        <w:pStyle w:val="SingleTxtGA"/>
        <w:rPr>
          <w:rFonts w:hint="cs"/>
          <w:rtl/>
        </w:rPr>
      </w:pPr>
      <w:r w:rsidRPr="006F4511">
        <w:rPr>
          <w:rFonts w:hint="cs"/>
          <w:rtl/>
        </w:rPr>
        <w:t>2-</w:t>
      </w:r>
      <w:r w:rsidRPr="006F4511">
        <w:rPr>
          <w:rFonts w:hint="cs"/>
          <w:rtl/>
        </w:rPr>
        <w:tab/>
        <w:t xml:space="preserve">ترحب اللجنة بتقديم </w:t>
      </w:r>
      <w:r w:rsidR="006F4511" w:rsidRPr="006F4511">
        <w:rPr>
          <w:rFonts w:hint="cs"/>
          <w:rtl/>
        </w:rPr>
        <w:t xml:space="preserve">النرويج </w:t>
      </w:r>
      <w:r w:rsidRPr="006F4511">
        <w:rPr>
          <w:rFonts w:hint="cs"/>
          <w:rtl/>
        </w:rPr>
        <w:t>تقرير</w:t>
      </w:r>
      <w:r w:rsidR="006F4511" w:rsidRPr="006F4511">
        <w:rPr>
          <w:rFonts w:hint="cs"/>
          <w:rtl/>
        </w:rPr>
        <w:t>ها</w:t>
      </w:r>
      <w:r w:rsidRPr="006F4511">
        <w:rPr>
          <w:rFonts w:hint="cs"/>
          <w:rtl/>
        </w:rPr>
        <w:t xml:space="preserve"> الدوري السادس في موعده. وتعرب أيضاً عن تقديرها للمعلومات الواردة فيه ولفرصة تجديد حوارها البنَّاء مع الدولة الطرف. كما تعرب اللجنة عن امتنانها للدولة الطرف للردود الخطية التي </w:t>
      </w:r>
      <w:r w:rsidR="006F4511" w:rsidRPr="006F4511">
        <w:rPr>
          <w:rFonts w:hint="cs"/>
          <w:rtl/>
        </w:rPr>
        <w:t>قدمتها</w:t>
      </w:r>
      <w:r w:rsidRPr="006F4511">
        <w:rPr>
          <w:rFonts w:hint="cs"/>
          <w:rtl/>
        </w:rPr>
        <w:t xml:space="preserve"> </w:t>
      </w:r>
      <w:r w:rsidRPr="006F4511">
        <w:rPr>
          <w:szCs w:val="24"/>
        </w:rPr>
        <w:t>(CCPR/C/NOR/Q/6/Add.1)</w:t>
      </w:r>
      <w:r w:rsidR="006F4511" w:rsidRPr="006F4511">
        <w:rPr>
          <w:rFonts w:hint="cs"/>
          <w:rtl/>
        </w:rPr>
        <w:t xml:space="preserve"> </w:t>
      </w:r>
      <w:r w:rsidRPr="006F4511">
        <w:rPr>
          <w:rFonts w:hint="cs"/>
          <w:rtl/>
        </w:rPr>
        <w:t xml:space="preserve">على قائمة المسائل، والتي استُكملت بالردود الشفوية التي قدمها الوفد، وللمعلومات التكميلية التي قُدمت إلى اللجنة خطياً. وتشيد اللجنة أيضاً بالدولة الطرف </w:t>
      </w:r>
      <w:r w:rsidR="006F4511">
        <w:rPr>
          <w:rFonts w:hint="cs"/>
          <w:rtl/>
        </w:rPr>
        <w:t>ل</w:t>
      </w:r>
      <w:r w:rsidRPr="006F4511">
        <w:rPr>
          <w:rFonts w:hint="cs"/>
          <w:rtl/>
        </w:rPr>
        <w:t>تحديث وثيقتها الأساسية</w:t>
      </w:r>
      <w:r w:rsidR="006F4511">
        <w:rPr>
          <w:rFonts w:hint="cs"/>
          <w:rtl/>
        </w:rPr>
        <w:t xml:space="preserve"> باستمرار</w:t>
      </w:r>
      <w:r w:rsidRPr="006F4511">
        <w:rPr>
          <w:rFonts w:hint="cs"/>
          <w:rtl/>
        </w:rPr>
        <w:t xml:space="preserve"> </w:t>
      </w:r>
      <w:r w:rsidRPr="006F4511">
        <w:rPr>
          <w:szCs w:val="24"/>
        </w:rPr>
        <w:t>(HRI/CORE/NOR/2009)</w:t>
      </w:r>
      <w:r w:rsidRPr="006F4511">
        <w:rPr>
          <w:rFonts w:hint="cs"/>
          <w:rtl/>
        </w:rPr>
        <w:t>.</w:t>
      </w:r>
      <w:r w:rsidR="006F4511" w:rsidRPr="006F4511">
        <w:rPr>
          <w:rFonts w:hint="cs"/>
          <w:rtl/>
        </w:rPr>
        <w:t xml:space="preserve"> </w:t>
      </w:r>
    </w:p>
    <w:p w:rsidR="006737F0" w:rsidRPr="006F4511" w:rsidRDefault="006F4511" w:rsidP="006F4511">
      <w:pPr>
        <w:pStyle w:val="H1GA"/>
        <w:rPr>
          <w:rFonts w:hint="cs"/>
          <w:rtl/>
        </w:rPr>
      </w:pPr>
      <w:r>
        <w:rPr>
          <w:rFonts w:hint="cs"/>
          <w:rtl/>
        </w:rPr>
        <w:tab/>
      </w:r>
      <w:r w:rsidR="006737F0" w:rsidRPr="006F4511">
        <w:rPr>
          <w:rFonts w:hint="cs"/>
          <w:rtl/>
        </w:rPr>
        <w:t>باء</w:t>
      </w:r>
      <w:r>
        <w:rPr>
          <w:rFonts w:hint="cs"/>
          <w:rtl/>
        </w:rPr>
        <w:t xml:space="preserve"> </w:t>
      </w:r>
      <w:r w:rsidR="006737F0" w:rsidRPr="006F4511">
        <w:rPr>
          <w:rFonts w:hint="cs"/>
          <w:rtl/>
        </w:rPr>
        <w:t>-</w:t>
      </w:r>
      <w:r w:rsidR="006737F0" w:rsidRPr="006F4511">
        <w:rPr>
          <w:rFonts w:hint="cs"/>
          <w:rtl/>
        </w:rPr>
        <w:tab/>
        <w:t>الجوانب الإيجابية</w:t>
      </w:r>
    </w:p>
    <w:p w:rsidR="006737F0" w:rsidRPr="006F4511" w:rsidRDefault="006737F0" w:rsidP="006F4511">
      <w:pPr>
        <w:pStyle w:val="SingleTxtGA"/>
        <w:rPr>
          <w:rFonts w:hint="cs"/>
          <w:rtl/>
        </w:rPr>
      </w:pPr>
      <w:r w:rsidRPr="006F4511">
        <w:rPr>
          <w:rFonts w:hint="cs"/>
          <w:rtl/>
        </w:rPr>
        <w:t>3-</w:t>
      </w:r>
      <w:r w:rsidRPr="006F4511">
        <w:rPr>
          <w:rFonts w:hint="cs"/>
          <w:rtl/>
        </w:rPr>
        <w:tab/>
        <w:t xml:space="preserve">ترحب اللجنة </w:t>
      </w:r>
      <w:r w:rsidR="006F4511">
        <w:rPr>
          <w:rFonts w:hint="cs"/>
          <w:rtl/>
        </w:rPr>
        <w:t>ب</w:t>
      </w:r>
      <w:r w:rsidR="006F4511" w:rsidRPr="006F4511">
        <w:rPr>
          <w:rFonts w:hint="cs"/>
          <w:rtl/>
        </w:rPr>
        <w:t>اتخ</w:t>
      </w:r>
      <w:r w:rsidR="006F4511">
        <w:rPr>
          <w:rFonts w:hint="cs"/>
          <w:rtl/>
        </w:rPr>
        <w:t>ا</w:t>
      </w:r>
      <w:r w:rsidR="006F4511" w:rsidRPr="006F4511">
        <w:rPr>
          <w:rFonts w:hint="cs"/>
          <w:rtl/>
        </w:rPr>
        <w:t xml:space="preserve">ذ الدولة الطرف </w:t>
      </w:r>
      <w:r w:rsidRPr="006F4511">
        <w:rPr>
          <w:rFonts w:hint="cs"/>
          <w:rtl/>
        </w:rPr>
        <w:t xml:space="preserve">الخطوات التشريعية والمؤسسية </w:t>
      </w:r>
      <w:r w:rsidR="006F4511">
        <w:rPr>
          <w:rFonts w:hint="cs"/>
          <w:rtl/>
        </w:rPr>
        <w:t>التالية</w:t>
      </w:r>
      <w:r w:rsidRPr="006F4511">
        <w:rPr>
          <w:rFonts w:hint="cs"/>
          <w:rtl/>
        </w:rPr>
        <w:t>:</w:t>
      </w:r>
    </w:p>
    <w:p w:rsidR="006737F0" w:rsidRPr="006F4511" w:rsidRDefault="006F4511" w:rsidP="006F4511">
      <w:pPr>
        <w:pStyle w:val="SingleTxtGA"/>
        <w:rPr>
          <w:rFonts w:hint="cs"/>
          <w:rtl/>
        </w:rPr>
      </w:pPr>
      <w:r>
        <w:rPr>
          <w:rFonts w:hint="cs"/>
          <w:rtl/>
        </w:rPr>
        <w:tab/>
      </w:r>
      <w:r w:rsidR="006737F0" w:rsidRPr="006F4511">
        <w:rPr>
          <w:rFonts w:hint="cs"/>
          <w:rtl/>
        </w:rPr>
        <w:t>(أ)</w:t>
      </w:r>
      <w:r w:rsidR="006737F0" w:rsidRPr="006F4511">
        <w:rPr>
          <w:rFonts w:hint="cs"/>
          <w:rtl/>
        </w:rPr>
        <w:tab/>
        <w:t xml:space="preserve">تعديل قانون شؤون الطفل في عام 2010 لحظر </w:t>
      </w:r>
      <w:r>
        <w:rPr>
          <w:rFonts w:hint="cs"/>
          <w:rtl/>
        </w:rPr>
        <w:t>ال</w:t>
      </w:r>
      <w:r w:rsidR="006737F0" w:rsidRPr="006F4511">
        <w:rPr>
          <w:rFonts w:hint="cs"/>
          <w:rtl/>
        </w:rPr>
        <w:t xml:space="preserve">أشكال </w:t>
      </w:r>
      <w:r>
        <w:rPr>
          <w:rFonts w:hint="cs"/>
          <w:rtl/>
        </w:rPr>
        <w:t>الخفيفة من العقوبة البدنية</w:t>
      </w:r>
      <w:r w:rsidR="006737F0" w:rsidRPr="006F4511">
        <w:rPr>
          <w:rFonts w:hint="cs"/>
          <w:rtl/>
        </w:rPr>
        <w:t>؛</w:t>
      </w:r>
    </w:p>
    <w:p w:rsidR="006737F0" w:rsidRPr="006F4511" w:rsidRDefault="006F4511" w:rsidP="006F4511">
      <w:pPr>
        <w:pStyle w:val="SingleTxtGA"/>
        <w:rPr>
          <w:rFonts w:hint="cs"/>
          <w:rtl/>
        </w:rPr>
      </w:pPr>
      <w:r>
        <w:rPr>
          <w:rFonts w:hint="cs"/>
          <w:rtl/>
        </w:rPr>
        <w:tab/>
      </w:r>
      <w:r w:rsidR="006737F0" w:rsidRPr="006F4511">
        <w:rPr>
          <w:rFonts w:hint="cs"/>
          <w:rtl/>
        </w:rPr>
        <w:t>(ب)</w:t>
      </w:r>
      <w:r w:rsidR="006737F0" w:rsidRPr="006F4511">
        <w:rPr>
          <w:rFonts w:hint="cs"/>
          <w:rtl/>
        </w:rPr>
        <w:tab/>
        <w:t>سنّ قانون ملكية وسائط الإعلام في عام 2004؛</w:t>
      </w:r>
    </w:p>
    <w:p w:rsidR="006737F0" w:rsidRPr="006F4511" w:rsidRDefault="006737F0" w:rsidP="006F4511">
      <w:pPr>
        <w:pStyle w:val="SingleTxtGA"/>
        <w:rPr>
          <w:rFonts w:hint="cs"/>
          <w:rtl/>
        </w:rPr>
      </w:pPr>
      <w:r w:rsidRPr="006F4511">
        <w:rPr>
          <w:rFonts w:hint="cs"/>
          <w:rtl/>
        </w:rPr>
        <w:tab/>
        <w:t>(ج)</w:t>
      </w:r>
      <w:r w:rsidRPr="006F4511">
        <w:rPr>
          <w:rFonts w:hint="cs"/>
          <w:rtl/>
        </w:rPr>
        <w:tab/>
        <w:t xml:space="preserve">سنّ القانون رقم 41 لعام 2008 المتعلق بحرية التحرير في وسائط الإعلام؛ </w:t>
      </w:r>
    </w:p>
    <w:p w:rsidR="006737F0" w:rsidRPr="006F4511" w:rsidRDefault="006F4511" w:rsidP="006F4511">
      <w:pPr>
        <w:pStyle w:val="SingleTxtGA"/>
        <w:rPr>
          <w:rFonts w:hint="cs"/>
          <w:rtl/>
        </w:rPr>
      </w:pPr>
      <w:r>
        <w:rPr>
          <w:rFonts w:hint="cs"/>
          <w:rtl/>
        </w:rPr>
        <w:tab/>
      </w:r>
      <w:r w:rsidR="006737F0" w:rsidRPr="006F4511">
        <w:rPr>
          <w:rFonts w:hint="cs"/>
          <w:rtl/>
        </w:rPr>
        <w:t>(د)</w:t>
      </w:r>
      <w:r w:rsidR="006737F0" w:rsidRPr="006F4511">
        <w:rPr>
          <w:rFonts w:hint="cs"/>
          <w:rtl/>
        </w:rPr>
        <w:tab/>
      </w:r>
      <w:r w:rsidR="006737F0" w:rsidRPr="006F4511">
        <w:rPr>
          <w:rFonts w:hint="cs"/>
          <w:spacing w:val="-4"/>
          <w:rtl/>
        </w:rPr>
        <w:t>اعتماد خطة عمل لتعزيز المساواة ومنع التمييز العرقي للفترة 2009-2012</w:t>
      </w:r>
      <w:r w:rsidR="006737F0" w:rsidRPr="006F4511">
        <w:rPr>
          <w:rFonts w:hint="cs"/>
          <w:rtl/>
        </w:rPr>
        <w:t>؛</w:t>
      </w:r>
    </w:p>
    <w:p w:rsidR="006737F0" w:rsidRPr="006F4511" w:rsidRDefault="006F4511" w:rsidP="004B1674">
      <w:pPr>
        <w:pStyle w:val="SingleTxtGA"/>
        <w:rPr>
          <w:rFonts w:hint="cs"/>
          <w:rtl/>
        </w:rPr>
      </w:pPr>
      <w:r>
        <w:rPr>
          <w:rFonts w:hint="cs"/>
          <w:rtl/>
        </w:rPr>
        <w:tab/>
      </w:r>
      <w:r w:rsidR="006737F0" w:rsidRPr="006F4511">
        <w:rPr>
          <w:rFonts w:hint="cs"/>
          <w:rtl/>
        </w:rPr>
        <w:t>(ه</w:t>
      </w:r>
      <w:r>
        <w:rPr>
          <w:rFonts w:hint="cs"/>
          <w:rtl/>
        </w:rPr>
        <w:t>‍</w:t>
      </w:r>
      <w:r w:rsidR="004B1674">
        <w:rPr>
          <w:rFonts w:hint="cs"/>
          <w:rtl/>
        </w:rPr>
        <w:t>)</w:t>
      </w:r>
      <w:r w:rsidR="006737F0" w:rsidRPr="006F4511">
        <w:rPr>
          <w:rFonts w:hint="cs"/>
          <w:rtl/>
        </w:rPr>
        <w:tab/>
        <w:t>اعتماد خط</w:t>
      </w:r>
      <w:r>
        <w:rPr>
          <w:rFonts w:hint="cs"/>
          <w:rtl/>
        </w:rPr>
        <w:t>ـ</w:t>
      </w:r>
      <w:r w:rsidR="006737F0" w:rsidRPr="006F4511">
        <w:rPr>
          <w:rFonts w:hint="cs"/>
          <w:rtl/>
        </w:rPr>
        <w:t>ة العمل لمكافح</w:t>
      </w:r>
      <w:r>
        <w:rPr>
          <w:rFonts w:hint="cs"/>
          <w:rtl/>
        </w:rPr>
        <w:t>ـ</w:t>
      </w:r>
      <w:r w:rsidR="006737F0" w:rsidRPr="006F4511">
        <w:rPr>
          <w:rFonts w:hint="cs"/>
          <w:rtl/>
        </w:rPr>
        <w:t>ة تشوي</w:t>
      </w:r>
      <w:r>
        <w:rPr>
          <w:rFonts w:hint="cs"/>
          <w:rtl/>
        </w:rPr>
        <w:t>ـ</w:t>
      </w:r>
      <w:r w:rsidR="006737F0" w:rsidRPr="006F4511">
        <w:rPr>
          <w:rFonts w:hint="cs"/>
          <w:rtl/>
        </w:rPr>
        <w:t>ه الأعضاء التناسلية للإناث للفترة</w:t>
      </w:r>
      <w:r>
        <w:rPr>
          <w:rFonts w:hint="eastAsia"/>
          <w:rtl/>
        </w:rPr>
        <w:t> </w:t>
      </w:r>
      <w:r w:rsidR="006737F0" w:rsidRPr="006F4511">
        <w:rPr>
          <w:rFonts w:hint="cs"/>
          <w:rtl/>
        </w:rPr>
        <w:t xml:space="preserve">2008-2011؛ </w:t>
      </w:r>
    </w:p>
    <w:p w:rsidR="006737F0" w:rsidRPr="006F4511" w:rsidRDefault="006F4511" w:rsidP="006737F0">
      <w:pPr>
        <w:pStyle w:val="SingleTxtGA"/>
        <w:rPr>
          <w:rFonts w:hint="cs"/>
          <w:rtl/>
        </w:rPr>
      </w:pPr>
      <w:r>
        <w:rPr>
          <w:rFonts w:hint="cs"/>
          <w:rtl/>
        </w:rPr>
        <w:tab/>
        <w:t>(</w:t>
      </w:r>
      <w:r w:rsidR="006737F0" w:rsidRPr="006F4511">
        <w:rPr>
          <w:rFonts w:hint="cs"/>
          <w:rtl/>
        </w:rPr>
        <w:t>و</w:t>
      </w:r>
      <w:r>
        <w:rPr>
          <w:rFonts w:hint="cs"/>
          <w:rtl/>
        </w:rPr>
        <w:t>)</w:t>
      </w:r>
      <w:r>
        <w:rPr>
          <w:rFonts w:hint="cs"/>
          <w:rtl/>
        </w:rPr>
        <w:tab/>
      </w:r>
      <w:r w:rsidR="006737F0" w:rsidRPr="006F4511">
        <w:rPr>
          <w:rFonts w:hint="cs"/>
          <w:rtl/>
        </w:rPr>
        <w:t>اعتماد خطة العمل لمناهضة الزواج بالإكراه للفترة 2008-2011.</w:t>
      </w:r>
    </w:p>
    <w:p w:rsidR="006737F0" w:rsidRPr="006F4511" w:rsidRDefault="006F4511" w:rsidP="006F4511">
      <w:pPr>
        <w:pStyle w:val="H1GA"/>
        <w:rPr>
          <w:rFonts w:hint="cs"/>
          <w:rtl/>
        </w:rPr>
      </w:pPr>
      <w:r>
        <w:rPr>
          <w:rFonts w:hint="cs"/>
          <w:rtl/>
        </w:rPr>
        <w:tab/>
      </w:r>
      <w:r w:rsidR="006737F0" w:rsidRPr="006F4511">
        <w:rPr>
          <w:rFonts w:hint="cs"/>
          <w:rtl/>
        </w:rPr>
        <w:t>جيم</w:t>
      </w:r>
      <w:r>
        <w:rPr>
          <w:rFonts w:hint="cs"/>
          <w:rtl/>
        </w:rPr>
        <w:t xml:space="preserve"> </w:t>
      </w:r>
      <w:r w:rsidR="006737F0" w:rsidRPr="006F4511">
        <w:rPr>
          <w:rFonts w:hint="cs"/>
          <w:rtl/>
        </w:rPr>
        <w:t>-</w:t>
      </w:r>
      <w:r w:rsidR="006737F0" w:rsidRPr="006F4511">
        <w:rPr>
          <w:rFonts w:hint="cs"/>
          <w:rtl/>
        </w:rPr>
        <w:tab/>
        <w:t>دواعي القلق الرئيسية والتوصيات</w:t>
      </w:r>
    </w:p>
    <w:p w:rsidR="006737F0" w:rsidRPr="006F4511" w:rsidRDefault="006737F0" w:rsidP="006F4511">
      <w:pPr>
        <w:pStyle w:val="SingleTxtGA"/>
        <w:rPr>
          <w:rFonts w:hint="cs"/>
          <w:rtl/>
        </w:rPr>
      </w:pPr>
      <w:r w:rsidRPr="006F4511">
        <w:rPr>
          <w:rFonts w:hint="cs"/>
          <w:rtl/>
        </w:rPr>
        <w:t>4-</w:t>
      </w:r>
      <w:r w:rsidRPr="006F4511">
        <w:rPr>
          <w:rFonts w:hint="cs"/>
          <w:rtl/>
        </w:rPr>
        <w:tab/>
        <w:t xml:space="preserve">ترحب اللجنة </w:t>
      </w:r>
      <w:r w:rsidR="006F4511">
        <w:rPr>
          <w:rFonts w:hint="cs"/>
          <w:rtl/>
        </w:rPr>
        <w:t>بإطلاق</w:t>
      </w:r>
      <w:r w:rsidRPr="006F4511">
        <w:rPr>
          <w:rFonts w:hint="cs"/>
          <w:rtl/>
        </w:rPr>
        <w:t xml:space="preserve"> الدولة الطرف </w:t>
      </w:r>
      <w:r w:rsidR="006F4511">
        <w:rPr>
          <w:rFonts w:hint="cs"/>
          <w:rtl/>
        </w:rPr>
        <w:t xml:space="preserve">عملية تفكير </w:t>
      </w:r>
      <w:r w:rsidRPr="006F4511">
        <w:rPr>
          <w:rFonts w:hint="cs"/>
          <w:rtl/>
        </w:rPr>
        <w:t>في كيفية تناول حقوق الإنسان ضمن إطارها الدستوري</w:t>
      </w:r>
      <w:r w:rsidR="006F4511">
        <w:rPr>
          <w:rFonts w:hint="cs"/>
          <w:rtl/>
        </w:rPr>
        <w:t xml:space="preserve"> على نحو أفضل</w:t>
      </w:r>
      <w:r w:rsidRPr="006F4511">
        <w:rPr>
          <w:rFonts w:hint="cs"/>
          <w:rtl/>
        </w:rPr>
        <w:t>.</w:t>
      </w:r>
    </w:p>
    <w:p w:rsidR="006737F0" w:rsidRPr="006F4511" w:rsidRDefault="006F4511" w:rsidP="006F4511">
      <w:pPr>
        <w:pStyle w:val="SingleTxtGA"/>
        <w:rPr>
          <w:rFonts w:hint="cs"/>
          <w:b/>
          <w:bCs/>
          <w:rtl/>
        </w:rPr>
      </w:pPr>
      <w:r w:rsidRPr="006F4511">
        <w:rPr>
          <w:rFonts w:hint="cs"/>
          <w:b/>
          <w:bCs/>
          <w:rtl/>
        </w:rPr>
        <w:tab/>
      </w:r>
      <w:r w:rsidR="006737F0" w:rsidRPr="006F4511">
        <w:rPr>
          <w:rFonts w:hint="cs"/>
          <w:b/>
          <w:bCs/>
          <w:rtl/>
        </w:rPr>
        <w:t>ينبغي للدولة الطرف ضمان أخذ إطارها الدستوري في الحسبان على نحو كافٍ الحقوق المقررة في العهد، بما فيها الحق في الانتصاف الفعال (المادة 2).</w:t>
      </w:r>
    </w:p>
    <w:p w:rsidR="006737F0" w:rsidRPr="006F4511" w:rsidRDefault="006737F0" w:rsidP="006737F0">
      <w:pPr>
        <w:pStyle w:val="SingleTxtGA"/>
        <w:rPr>
          <w:rFonts w:hint="cs"/>
          <w:rtl/>
        </w:rPr>
      </w:pPr>
      <w:r w:rsidRPr="006F4511">
        <w:rPr>
          <w:rFonts w:hint="cs"/>
          <w:rtl/>
        </w:rPr>
        <w:t>5-</w:t>
      </w:r>
      <w:r w:rsidRPr="006F4511">
        <w:rPr>
          <w:rFonts w:hint="cs"/>
          <w:rtl/>
        </w:rPr>
        <w:tab/>
        <w:t>وبينما ترحب اللجنة بوجود المركز الوطني لحقوق الإنسان الذي يؤدي دور المؤسسة الوطنية لحقوق الإنسان، يساورها قلق بشأن إمكانية تأثير عملية إعادة هيكلة المركز الوطني الجارية تأثيراً سلبياً على قدرته على أداء مهامه وفقاً للمبادئ المتعلقة بمركز المؤسسات الوطنية لتعزيز وحماية حقوق الإنسان (مبادئ باريس) (المادة 2).</w:t>
      </w:r>
    </w:p>
    <w:p w:rsidR="006737F0" w:rsidRPr="006F4511" w:rsidRDefault="006F4511" w:rsidP="006F4511">
      <w:pPr>
        <w:pStyle w:val="SingleTxtGA"/>
        <w:rPr>
          <w:rFonts w:hint="cs"/>
          <w:b/>
          <w:bCs/>
          <w:rtl/>
        </w:rPr>
      </w:pPr>
      <w:r>
        <w:rPr>
          <w:rFonts w:hint="cs"/>
          <w:b/>
          <w:bCs/>
          <w:rtl/>
        </w:rPr>
        <w:tab/>
      </w:r>
      <w:r w:rsidR="006737F0" w:rsidRPr="006F4511">
        <w:rPr>
          <w:rFonts w:hint="cs"/>
          <w:b/>
          <w:bCs/>
          <w:rtl/>
        </w:rPr>
        <w:t xml:space="preserve">ينبغي للدولة الطرف </w:t>
      </w:r>
      <w:r>
        <w:rPr>
          <w:rFonts w:hint="cs"/>
          <w:b/>
          <w:bCs/>
          <w:rtl/>
        </w:rPr>
        <w:t>التأكد من</w:t>
      </w:r>
      <w:r w:rsidR="006737F0" w:rsidRPr="006F4511">
        <w:rPr>
          <w:rFonts w:hint="cs"/>
          <w:b/>
          <w:bCs/>
          <w:rtl/>
        </w:rPr>
        <w:t xml:space="preserve"> أن عملية إعادة هيكلة المؤسسة الوطنية لحقوق الإنسان الجارية حالياً </w:t>
      </w:r>
      <w:r>
        <w:rPr>
          <w:rFonts w:hint="cs"/>
          <w:b/>
          <w:bCs/>
          <w:rtl/>
        </w:rPr>
        <w:t xml:space="preserve">ستسفر </w:t>
      </w:r>
      <w:r w:rsidR="006737F0" w:rsidRPr="006F4511">
        <w:rPr>
          <w:rFonts w:hint="cs"/>
          <w:b/>
          <w:bCs/>
          <w:rtl/>
        </w:rPr>
        <w:t xml:space="preserve">عن تحوّل المؤسسة تحوّلاً فعالاً، بغية منحها ولاية واسعة النطاق في مسائل حقوق الإنسان. وفي هذا الصدد، ينبغي للدولة الطرف أن </w:t>
      </w:r>
      <w:r>
        <w:rPr>
          <w:rFonts w:hint="cs"/>
          <w:b/>
          <w:bCs/>
          <w:rtl/>
        </w:rPr>
        <w:t>تحرص على أن تكون</w:t>
      </w:r>
      <w:r w:rsidR="006737F0" w:rsidRPr="006F4511">
        <w:rPr>
          <w:rFonts w:hint="cs"/>
          <w:b/>
          <w:bCs/>
          <w:rtl/>
        </w:rPr>
        <w:t xml:space="preserve"> المؤسسة الجديدة </w:t>
      </w:r>
      <w:r>
        <w:rPr>
          <w:rFonts w:hint="cs"/>
          <w:b/>
          <w:bCs/>
          <w:rtl/>
        </w:rPr>
        <w:t>مطابقة</w:t>
      </w:r>
      <w:r w:rsidR="006737F0" w:rsidRPr="006F4511">
        <w:rPr>
          <w:rFonts w:hint="cs"/>
          <w:b/>
          <w:bCs/>
          <w:rtl/>
        </w:rPr>
        <w:t xml:space="preserve"> ت</w:t>
      </w:r>
      <w:r>
        <w:rPr>
          <w:rFonts w:hint="cs"/>
          <w:b/>
          <w:bCs/>
          <w:rtl/>
        </w:rPr>
        <w:t>م</w:t>
      </w:r>
      <w:r w:rsidR="006737F0" w:rsidRPr="006F4511">
        <w:rPr>
          <w:rFonts w:hint="cs"/>
          <w:b/>
          <w:bCs/>
          <w:rtl/>
        </w:rPr>
        <w:t>اماً لمبادئ باريس.</w:t>
      </w:r>
      <w:r w:rsidRPr="006F4511">
        <w:rPr>
          <w:rFonts w:hint="cs"/>
          <w:b/>
          <w:bCs/>
          <w:rtl/>
        </w:rPr>
        <w:t xml:space="preserve"> </w:t>
      </w:r>
    </w:p>
    <w:p w:rsidR="006737F0" w:rsidRPr="006F4511" w:rsidRDefault="006737F0" w:rsidP="006737F0">
      <w:pPr>
        <w:pStyle w:val="SingleTxtGA"/>
        <w:rPr>
          <w:rFonts w:hint="cs"/>
          <w:rtl/>
        </w:rPr>
      </w:pPr>
      <w:r w:rsidRPr="006F4511">
        <w:rPr>
          <w:rFonts w:hint="cs"/>
          <w:rtl/>
        </w:rPr>
        <w:t>6-</w:t>
      </w:r>
      <w:r w:rsidRPr="006F4511">
        <w:rPr>
          <w:rFonts w:hint="cs"/>
          <w:rtl/>
        </w:rPr>
        <w:tab/>
        <w:t xml:space="preserve">ويساور اللجنة قلق لأن المساعدة القانونية المقدَّرة بحسب الموارد المالية لا تأخذ في الحسبان ظروف مقدمي الطلبات الفعلية ولأنها تُقيَّم دون مراعاةٍ للتكلفة الفعلية للخدمة القانونية التي يلتمسونها. فضلاً عن ذلك، لا تُتاح المساعدة القانونية إطلاقاً في أنواع معينة من القضايا (المادة 14). </w:t>
      </w:r>
    </w:p>
    <w:p w:rsidR="006737F0" w:rsidRPr="006F4511" w:rsidRDefault="006F4511" w:rsidP="006737F0">
      <w:pPr>
        <w:pStyle w:val="SingleTxtGA"/>
        <w:rPr>
          <w:rFonts w:hint="cs"/>
          <w:b/>
          <w:bCs/>
          <w:rtl/>
          <w:lang w:val="fr-CH"/>
        </w:rPr>
      </w:pPr>
      <w:r>
        <w:rPr>
          <w:rFonts w:hint="cs"/>
          <w:b/>
          <w:bCs/>
          <w:rtl/>
          <w:lang w:val="fr-CH"/>
        </w:rPr>
        <w:tab/>
      </w:r>
      <w:r w:rsidR="006737F0" w:rsidRPr="006F4511">
        <w:rPr>
          <w:rFonts w:hint="cs"/>
          <w:b/>
          <w:bCs/>
          <w:rtl/>
          <w:lang w:val="fr-CH"/>
        </w:rPr>
        <w:t>ينبغي للدولة الطرف أن تعيد النظر في نظام المساعدة القانونية المجانية لديها لكي تقدم المساعدة القانونية مجاناً في أي قضية تقتضي فيها مصلحة العدالة ذلك.</w:t>
      </w:r>
    </w:p>
    <w:p w:rsidR="006737F0" w:rsidRPr="006F4511" w:rsidRDefault="006737F0" w:rsidP="00DE1FCB">
      <w:pPr>
        <w:pStyle w:val="SingleTxtGA"/>
        <w:rPr>
          <w:rFonts w:hint="cs"/>
          <w:rtl/>
          <w:lang w:val="fr-CH"/>
        </w:rPr>
      </w:pPr>
      <w:r w:rsidRPr="006F4511">
        <w:rPr>
          <w:rFonts w:hint="cs"/>
          <w:rtl/>
          <w:lang w:val="fr-CH"/>
        </w:rPr>
        <w:t>7-</w:t>
      </w:r>
      <w:r w:rsidR="006F4511">
        <w:rPr>
          <w:rFonts w:hint="cs"/>
          <w:rtl/>
          <w:lang w:val="fr-CH"/>
        </w:rPr>
        <w:tab/>
      </w:r>
      <w:r w:rsidRPr="006F4511">
        <w:rPr>
          <w:rFonts w:hint="cs"/>
          <w:rtl/>
          <w:lang w:val="fr-CH"/>
        </w:rPr>
        <w:t xml:space="preserve">وفيما ترحب اللجنة بالجهود التي تبذلها الدولة الطرف من أجل القضاء على جميع أشكال التمييز في منح إعانات الإسكان، يساورها قلق حيال </w:t>
      </w:r>
      <w:r w:rsidR="00DE1FCB">
        <w:rPr>
          <w:rFonts w:hint="cs"/>
          <w:rtl/>
          <w:lang w:val="fr-CH"/>
        </w:rPr>
        <w:t>البلاغات التي تتحدث عن</w:t>
      </w:r>
      <w:r w:rsidRPr="006F4511">
        <w:rPr>
          <w:rFonts w:hint="cs"/>
          <w:rtl/>
          <w:lang w:val="fr-CH"/>
        </w:rPr>
        <w:t xml:space="preserve"> تعرّض الأشخاص المنحدرين من أصول مهاجرة للتمييز والقوْلبة النمطية السلبية في قطاع الإسكان. كما يساور اللجنة قلق حيال </w:t>
      </w:r>
      <w:r w:rsidR="00DE1FCB">
        <w:rPr>
          <w:rFonts w:hint="cs"/>
          <w:rtl/>
          <w:lang w:val="fr-CH"/>
        </w:rPr>
        <w:t>ال</w:t>
      </w:r>
      <w:r w:rsidRPr="006F4511">
        <w:rPr>
          <w:rFonts w:hint="cs"/>
          <w:rtl/>
          <w:lang w:val="fr-CH"/>
        </w:rPr>
        <w:t xml:space="preserve">بلاغات </w:t>
      </w:r>
      <w:r w:rsidR="00DE1FCB">
        <w:rPr>
          <w:rFonts w:hint="cs"/>
          <w:rtl/>
          <w:lang w:val="fr-CH"/>
        </w:rPr>
        <w:t>التي تتحدث عن</w:t>
      </w:r>
      <w:r w:rsidRPr="006F4511">
        <w:rPr>
          <w:rFonts w:hint="cs"/>
          <w:rtl/>
          <w:lang w:val="fr-CH"/>
        </w:rPr>
        <w:t xml:space="preserve"> تعرض الأشخاص المنحدرين من أصول مهاجرة للتمييز في العمل (المادتان 2 و26). </w:t>
      </w:r>
    </w:p>
    <w:p w:rsidR="006737F0" w:rsidRPr="006F4511" w:rsidRDefault="00DE1FCB" w:rsidP="00DE1FCB">
      <w:pPr>
        <w:pStyle w:val="SingleTxtGA"/>
        <w:rPr>
          <w:rFonts w:hint="cs"/>
          <w:b/>
          <w:bCs/>
          <w:rtl/>
          <w:lang w:val="fr-CH"/>
        </w:rPr>
      </w:pPr>
      <w:r>
        <w:rPr>
          <w:rFonts w:hint="cs"/>
          <w:b/>
          <w:bCs/>
          <w:rtl/>
          <w:lang w:val="fr-CH"/>
        </w:rPr>
        <w:tab/>
      </w:r>
      <w:r w:rsidR="006737F0" w:rsidRPr="006F4511">
        <w:rPr>
          <w:rFonts w:hint="cs"/>
          <w:b/>
          <w:bCs/>
          <w:rtl/>
          <w:lang w:val="fr-CH"/>
        </w:rPr>
        <w:t xml:space="preserve">ينبغي للدولة الطرف أن تتخذ تدابير </w:t>
      </w:r>
      <w:r>
        <w:rPr>
          <w:rFonts w:hint="cs"/>
          <w:b/>
          <w:bCs/>
          <w:rtl/>
          <w:lang w:val="fr-CH"/>
        </w:rPr>
        <w:t>ل</w:t>
      </w:r>
      <w:r w:rsidR="006737F0" w:rsidRPr="006F4511">
        <w:rPr>
          <w:rFonts w:hint="cs"/>
          <w:b/>
          <w:bCs/>
          <w:rtl/>
          <w:lang w:val="fr-CH"/>
        </w:rPr>
        <w:t xml:space="preserve">لقضاء على جميع أشكال التمييز في قطاع الإسكان وتدابير </w:t>
      </w:r>
      <w:r>
        <w:rPr>
          <w:rFonts w:hint="cs"/>
          <w:b/>
          <w:bCs/>
          <w:rtl/>
          <w:lang w:val="fr-CH"/>
        </w:rPr>
        <w:t>للتصدي</w:t>
      </w:r>
      <w:r w:rsidR="006737F0" w:rsidRPr="006F4511">
        <w:rPr>
          <w:rFonts w:hint="cs"/>
          <w:b/>
          <w:bCs/>
          <w:rtl/>
          <w:lang w:val="fr-CH"/>
        </w:rPr>
        <w:t xml:space="preserve"> </w:t>
      </w:r>
      <w:r>
        <w:rPr>
          <w:rFonts w:hint="cs"/>
          <w:b/>
          <w:bCs/>
          <w:rtl/>
          <w:lang w:val="fr-CH"/>
        </w:rPr>
        <w:t>ل</w:t>
      </w:r>
      <w:r w:rsidR="006737F0" w:rsidRPr="006F4511">
        <w:rPr>
          <w:rFonts w:hint="cs"/>
          <w:b/>
          <w:bCs/>
          <w:rtl/>
          <w:lang w:val="fr-CH"/>
        </w:rPr>
        <w:t xml:space="preserve">لقوالب النمطية السلبية ومظاهر التحيّز </w:t>
      </w:r>
      <w:r>
        <w:rPr>
          <w:rFonts w:hint="cs"/>
          <w:b/>
          <w:bCs/>
          <w:rtl/>
          <w:lang w:val="fr-CH"/>
        </w:rPr>
        <w:t>التي قد يتبناها مالكو</w:t>
      </w:r>
      <w:r w:rsidR="006737F0" w:rsidRPr="006F4511">
        <w:rPr>
          <w:rFonts w:hint="cs"/>
          <w:b/>
          <w:bCs/>
          <w:rtl/>
          <w:lang w:val="fr-CH"/>
        </w:rPr>
        <w:t xml:space="preserve"> العقارات وأصحاب الممتلكات </w:t>
      </w:r>
      <w:r>
        <w:rPr>
          <w:rFonts w:hint="cs"/>
          <w:b/>
          <w:bCs/>
          <w:rtl/>
          <w:lang w:val="fr-CH"/>
        </w:rPr>
        <w:t>وتمنعهم من</w:t>
      </w:r>
      <w:r w:rsidR="006737F0" w:rsidRPr="006F4511">
        <w:rPr>
          <w:rFonts w:hint="cs"/>
          <w:b/>
          <w:bCs/>
          <w:rtl/>
          <w:lang w:val="fr-CH"/>
        </w:rPr>
        <w:t xml:space="preserve"> تأجير المساكن للأشخاص المنحدرين من أصول مهاجرة. كما ينبغي للدولة الطرف أن تكثف جهودها لمكافحة التمييز ضد الأشخاص المنحدرين من أصول مهاجرة في المسائل المتعلقة بالعمل. </w:t>
      </w:r>
    </w:p>
    <w:p w:rsidR="006737F0" w:rsidRPr="006F4511" w:rsidRDefault="006737F0" w:rsidP="00C76FA5">
      <w:pPr>
        <w:pStyle w:val="SingleTxtGA"/>
        <w:rPr>
          <w:rFonts w:hint="cs"/>
          <w:rtl/>
          <w:lang w:val="fr-CH"/>
        </w:rPr>
      </w:pPr>
      <w:r w:rsidRPr="006F4511">
        <w:rPr>
          <w:rFonts w:hint="cs"/>
          <w:rtl/>
          <w:lang w:val="fr-CH"/>
        </w:rPr>
        <w:t>8-</w:t>
      </w:r>
      <w:r w:rsidR="00DE1FCB">
        <w:rPr>
          <w:rFonts w:hint="cs"/>
          <w:rtl/>
          <w:lang w:val="fr-CH"/>
        </w:rPr>
        <w:tab/>
      </w:r>
      <w:r w:rsidRPr="006F4511">
        <w:rPr>
          <w:rFonts w:hint="cs"/>
          <w:rtl/>
          <w:lang w:val="fr-CH"/>
        </w:rPr>
        <w:t>وبينما ترحب اللجنة بالتقدم الذي أحرزته الدولة الطرف في ما يتعلق بتحقيق المساواة بين الجنسين، يساورها قلق إزاء عِظَم الفجوة في الأجور بين الرجل والمرأة (المادتان</w:t>
      </w:r>
      <w:r w:rsidR="00C76FA5">
        <w:rPr>
          <w:rFonts w:hint="eastAsia"/>
          <w:rtl/>
          <w:lang w:val="fr-CH"/>
        </w:rPr>
        <w:t> </w:t>
      </w:r>
      <w:r w:rsidRPr="006F4511">
        <w:rPr>
          <w:rFonts w:hint="cs"/>
          <w:rtl/>
          <w:lang w:val="fr-CH"/>
        </w:rPr>
        <w:t>3 و26).</w:t>
      </w:r>
    </w:p>
    <w:p w:rsidR="006737F0" w:rsidRPr="006F4511" w:rsidRDefault="00DE1FCB" w:rsidP="00DE1FCB">
      <w:pPr>
        <w:pStyle w:val="SingleTxtGA"/>
        <w:rPr>
          <w:rFonts w:hint="cs"/>
          <w:b/>
          <w:bCs/>
          <w:rtl/>
          <w:lang w:val="fr-CH"/>
        </w:rPr>
      </w:pPr>
      <w:r>
        <w:rPr>
          <w:rFonts w:hint="cs"/>
          <w:rtl/>
          <w:lang w:val="fr-CH"/>
        </w:rPr>
        <w:tab/>
      </w:r>
      <w:r w:rsidR="006737F0" w:rsidRPr="006F4511">
        <w:rPr>
          <w:rFonts w:hint="cs"/>
          <w:b/>
          <w:bCs/>
          <w:rtl/>
          <w:lang w:val="fr-CH"/>
        </w:rPr>
        <w:t>ينبغي للدولة الطرف أن تواصل اتخاذ تدابير ترمي إلى ضمان حصول النساء</w:t>
      </w:r>
      <w:r>
        <w:rPr>
          <w:rFonts w:hint="cs"/>
          <w:b/>
          <w:bCs/>
          <w:rtl/>
          <w:lang w:val="fr-CH"/>
        </w:rPr>
        <w:t xml:space="preserve"> والرجال</w:t>
      </w:r>
      <w:r w:rsidR="006737F0" w:rsidRPr="006F4511">
        <w:rPr>
          <w:rFonts w:hint="cs"/>
          <w:b/>
          <w:bCs/>
          <w:rtl/>
          <w:lang w:val="fr-CH"/>
        </w:rPr>
        <w:t xml:space="preserve"> على أجر متساوٍ لقاء العمل المتساوي القيمة</w:t>
      </w:r>
      <w:r>
        <w:rPr>
          <w:rFonts w:hint="cs"/>
          <w:b/>
          <w:bCs/>
          <w:rtl/>
          <w:lang w:val="fr-CH"/>
        </w:rPr>
        <w:t>،</w:t>
      </w:r>
      <w:r w:rsidR="006737F0" w:rsidRPr="006F4511">
        <w:rPr>
          <w:rFonts w:hint="cs"/>
          <w:b/>
          <w:bCs/>
          <w:rtl/>
          <w:lang w:val="fr-CH"/>
        </w:rPr>
        <w:t xml:space="preserve"> وتعز</w:t>
      </w:r>
      <w:r>
        <w:rPr>
          <w:rFonts w:hint="cs"/>
          <w:b/>
          <w:bCs/>
          <w:rtl/>
          <w:lang w:val="fr-CH"/>
        </w:rPr>
        <w:t>ي</w:t>
      </w:r>
      <w:r w:rsidR="006737F0" w:rsidRPr="006F4511">
        <w:rPr>
          <w:rFonts w:hint="cs"/>
          <w:b/>
          <w:bCs/>
          <w:rtl/>
          <w:lang w:val="fr-CH"/>
        </w:rPr>
        <w:t>ز هذه التدابير.</w:t>
      </w:r>
    </w:p>
    <w:p w:rsidR="006737F0" w:rsidRPr="006F4511" w:rsidRDefault="006737F0" w:rsidP="00DE1FCB">
      <w:pPr>
        <w:pStyle w:val="SingleTxtGA"/>
        <w:rPr>
          <w:rFonts w:hint="cs"/>
          <w:rtl/>
          <w:lang w:val="fr-CH"/>
        </w:rPr>
      </w:pPr>
      <w:r w:rsidRPr="006F4511">
        <w:rPr>
          <w:rFonts w:hint="cs"/>
          <w:rtl/>
          <w:lang w:val="fr-CH"/>
        </w:rPr>
        <w:t>9-</w:t>
      </w:r>
      <w:r w:rsidR="00DE1FCB">
        <w:rPr>
          <w:rFonts w:hint="cs"/>
          <w:rtl/>
          <w:lang w:val="fr-CH"/>
        </w:rPr>
        <w:tab/>
      </w:r>
      <w:r w:rsidRPr="006F4511">
        <w:rPr>
          <w:rFonts w:hint="cs"/>
          <w:rtl/>
          <w:lang w:val="fr-CH"/>
        </w:rPr>
        <w:t xml:space="preserve">ويساور اللجنة قلق بشأن </w:t>
      </w:r>
      <w:r w:rsidR="00DE1FCB">
        <w:rPr>
          <w:rFonts w:hint="cs"/>
          <w:rtl/>
          <w:lang w:val="fr-CH"/>
        </w:rPr>
        <w:t>المعلومات التي تتحدث عن</w:t>
      </w:r>
      <w:r w:rsidRPr="006F4511">
        <w:rPr>
          <w:rFonts w:hint="cs"/>
          <w:rtl/>
          <w:lang w:val="fr-CH"/>
        </w:rPr>
        <w:t xml:space="preserve"> انتشار العنف القائم على أساس نوع الجنس</w:t>
      </w:r>
      <w:r w:rsidR="00DE1FCB">
        <w:rPr>
          <w:rFonts w:hint="cs"/>
          <w:rtl/>
          <w:lang w:val="fr-CH"/>
        </w:rPr>
        <w:t xml:space="preserve"> على نطاق واسع</w:t>
      </w:r>
      <w:r w:rsidRPr="006F4511">
        <w:rPr>
          <w:rFonts w:hint="cs"/>
          <w:rtl/>
          <w:lang w:val="fr-CH"/>
        </w:rPr>
        <w:t>، ولا</w:t>
      </w:r>
      <w:r w:rsidR="00DE1FCB">
        <w:rPr>
          <w:rFonts w:hint="cs"/>
          <w:rtl/>
          <w:lang w:val="fr-CH"/>
        </w:rPr>
        <w:t xml:space="preserve"> </w:t>
      </w:r>
      <w:r w:rsidRPr="006F4511">
        <w:rPr>
          <w:rFonts w:hint="cs"/>
          <w:rtl/>
          <w:lang w:val="fr-CH"/>
        </w:rPr>
        <w:t xml:space="preserve">سيما الاغتصاب، </w:t>
      </w:r>
      <w:r w:rsidR="00DE1FCB">
        <w:rPr>
          <w:rFonts w:hint="cs"/>
          <w:rtl/>
          <w:lang w:val="fr-CH"/>
        </w:rPr>
        <w:t>والذي قلما تبلغ به</w:t>
      </w:r>
      <w:r w:rsidRPr="006F4511">
        <w:rPr>
          <w:rFonts w:hint="cs"/>
          <w:rtl/>
          <w:lang w:val="fr-CH"/>
        </w:rPr>
        <w:t xml:space="preserve"> الشرطة. كما يساور اللجنة قلق بشأن ارتفاع معدل العنف المنزلي </w:t>
      </w:r>
      <w:r w:rsidR="00DE1FCB" w:rsidRPr="006F4511">
        <w:rPr>
          <w:rFonts w:hint="cs"/>
          <w:rtl/>
          <w:lang w:val="fr-CH"/>
        </w:rPr>
        <w:t xml:space="preserve">ضد النساء والأطفال </w:t>
      </w:r>
      <w:r w:rsidRPr="006F4511">
        <w:rPr>
          <w:rFonts w:hint="cs"/>
          <w:rtl/>
          <w:lang w:val="fr-CH"/>
        </w:rPr>
        <w:t>الذي يسفر عن وفيات (المواد 3 و7 و26).</w:t>
      </w:r>
      <w:r w:rsidR="006F4511" w:rsidRPr="006F4511">
        <w:rPr>
          <w:rFonts w:hint="cs"/>
          <w:rtl/>
          <w:lang w:val="fr-CH"/>
        </w:rPr>
        <w:t xml:space="preserve"> </w:t>
      </w:r>
    </w:p>
    <w:p w:rsidR="006737F0" w:rsidRPr="006F4511" w:rsidRDefault="00DE1FCB" w:rsidP="006737F0">
      <w:pPr>
        <w:pStyle w:val="SingleTxtGA"/>
        <w:rPr>
          <w:rFonts w:hint="cs"/>
          <w:b/>
          <w:bCs/>
          <w:rtl/>
          <w:lang w:val="fr-CH"/>
        </w:rPr>
      </w:pPr>
      <w:r>
        <w:rPr>
          <w:rFonts w:hint="cs"/>
          <w:b/>
          <w:bCs/>
          <w:rtl/>
          <w:lang w:val="fr-CH"/>
        </w:rPr>
        <w:tab/>
      </w:r>
      <w:r w:rsidR="006737F0" w:rsidRPr="006F4511">
        <w:rPr>
          <w:rFonts w:hint="cs"/>
          <w:b/>
          <w:bCs/>
          <w:rtl/>
          <w:lang w:val="fr-CH"/>
        </w:rPr>
        <w:t>ينبغي للدولة الطرف أن تتخذ كل ما يلزم من تدابير لمكافحة جميع أشكال العنف ضد المرأة مكافحةً فعالة، ولا</w:t>
      </w:r>
      <w:r w:rsidR="00690E4C">
        <w:rPr>
          <w:rFonts w:hint="cs"/>
          <w:b/>
          <w:bCs/>
          <w:rtl/>
          <w:lang w:val="fr-CH"/>
        </w:rPr>
        <w:t xml:space="preserve"> </w:t>
      </w:r>
      <w:r w:rsidR="006737F0" w:rsidRPr="006F4511">
        <w:rPr>
          <w:rFonts w:hint="cs"/>
          <w:b/>
          <w:bCs/>
          <w:rtl/>
          <w:lang w:val="fr-CH"/>
        </w:rPr>
        <w:t>سيما العنف الجنسي. وفي هذا الصدد، ينبغي للدولة الطرف توعية المجتمع بظاهرة انتشار العنف القائم على أساس نوع الجنس، بما في ذلك العنف المنزلي، وتوفير التدريب الملائم لموظفي إنفاذ القانون كي يكونوا قادرين على التعامل الفعال مع هذه الحوادث. وينبغي للدولة الطرف أيضاً أن تضمن التحقيق مع مرتكبي هذه الأفعال، ومقاضاتهم، ومعاقبتهم، إذا ثبتت إدانتهم، بعقوبات مناسبة.</w:t>
      </w:r>
    </w:p>
    <w:p w:rsidR="006737F0" w:rsidRPr="006F4511" w:rsidRDefault="006737F0" w:rsidP="00DE1FCB">
      <w:pPr>
        <w:pStyle w:val="SingleTxtGA"/>
        <w:rPr>
          <w:rFonts w:hint="cs"/>
          <w:rtl/>
          <w:lang w:val="fr-CH"/>
        </w:rPr>
      </w:pPr>
      <w:r w:rsidRPr="006F4511">
        <w:rPr>
          <w:rFonts w:hint="cs"/>
          <w:rtl/>
          <w:lang w:val="fr-CH"/>
        </w:rPr>
        <w:t>10-</w:t>
      </w:r>
      <w:r w:rsidR="00DE1FCB">
        <w:rPr>
          <w:rFonts w:hint="cs"/>
          <w:rtl/>
          <w:lang w:val="fr-CH"/>
        </w:rPr>
        <w:tab/>
      </w:r>
      <w:r w:rsidRPr="006F4511">
        <w:rPr>
          <w:rFonts w:hint="cs"/>
          <w:rtl/>
          <w:lang w:val="fr-CH"/>
        </w:rPr>
        <w:t xml:space="preserve">ويساور اللجنة قلق إزاء </w:t>
      </w:r>
      <w:r w:rsidR="00DE1FCB">
        <w:rPr>
          <w:rFonts w:hint="cs"/>
          <w:rtl/>
          <w:lang w:val="fr-CH"/>
        </w:rPr>
        <w:t>ال</w:t>
      </w:r>
      <w:r w:rsidRPr="006F4511">
        <w:rPr>
          <w:rFonts w:hint="cs"/>
          <w:rtl/>
          <w:lang w:val="fr-CH"/>
        </w:rPr>
        <w:t xml:space="preserve">بلاغات </w:t>
      </w:r>
      <w:r w:rsidR="00DE1FCB">
        <w:rPr>
          <w:rFonts w:hint="cs"/>
          <w:rtl/>
          <w:lang w:val="fr-CH"/>
        </w:rPr>
        <w:t xml:space="preserve">التي تتحدث عن </w:t>
      </w:r>
      <w:r w:rsidRPr="006F4511">
        <w:rPr>
          <w:rFonts w:hint="cs"/>
          <w:rtl/>
          <w:lang w:val="fr-CH"/>
        </w:rPr>
        <w:t>الإفراط في استخدام القوة القسرية مع المرضى النفسيين وتردي آليات رصد مؤسسات رعاية الصحة العقلية في لجان الرقابة (المواد 7 و9 و10).</w:t>
      </w:r>
      <w:r w:rsidR="006F4511" w:rsidRPr="006F4511">
        <w:rPr>
          <w:rFonts w:hint="cs"/>
          <w:rtl/>
          <w:lang w:val="fr-CH"/>
        </w:rPr>
        <w:t xml:space="preserve"> </w:t>
      </w:r>
    </w:p>
    <w:p w:rsidR="006737F0" w:rsidRPr="006F4511" w:rsidRDefault="00690E4C" w:rsidP="00C76FA5">
      <w:pPr>
        <w:pStyle w:val="SingleTxtGA"/>
        <w:rPr>
          <w:rFonts w:hint="cs"/>
          <w:b/>
          <w:bCs/>
          <w:rtl/>
          <w:lang w:val="fr-CH"/>
        </w:rPr>
      </w:pPr>
      <w:r>
        <w:rPr>
          <w:rFonts w:hint="cs"/>
          <w:b/>
          <w:bCs/>
          <w:rtl/>
          <w:lang w:val="fr-CH"/>
        </w:rPr>
        <w:tab/>
      </w:r>
      <w:r w:rsidR="006737F0" w:rsidRPr="006F4511">
        <w:rPr>
          <w:rFonts w:hint="cs"/>
          <w:b/>
          <w:bCs/>
          <w:rtl/>
          <w:lang w:val="fr-CH"/>
        </w:rPr>
        <w:t>ينبغي للدولة الطرف أن تتخذ خطوات محددة لإنهاء استخدام القوة القسرية</w:t>
      </w:r>
      <w:r>
        <w:rPr>
          <w:rFonts w:hint="cs"/>
          <w:b/>
          <w:bCs/>
          <w:rtl/>
          <w:lang w:val="fr-CH"/>
        </w:rPr>
        <w:t xml:space="preserve"> والحج</w:t>
      </w:r>
      <w:r w:rsidR="008615DC">
        <w:rPr>
          <w:rFonts w:hint="cs"/>
          <w:b/>
          <w:bCs/>
          <w:rtl/>
          <w:lang w:val="fr-CH"/>
        </w:rPr>
        <w:t>ر</w:t>
      </w:r>
      <w:r w:rsidR="006737F0" w:rsidRPr="006F4511">
        <w:rPr>
          <w:rFonts w:hint="cs"/>
          <w:b/>
          <w:bCs/>
          <w:rtl/>
          <w:lang w:val="fr-CH"/>
        </w:rPr>
        <w:t xml:space="preserve"> مع المرضى النفسيين على نحو غير مبرَّر. وفي هذا الصدد، ينبغي للدولة الطرف ضمان </w:t>
      </w:r>
      <w:r>
        <w:rPr>
          <w:rFonts w:hint="cs"/>
          <w:b/>
          <w:bCs/>
          <w:rtl/>
          <w:lang w:val="fr-CH"/>
        </w:rPr>
        <w:t>عدم اتخاذ</w:t>
      </w:r>
      <w:r w:rsidR="006737F0" w:rsidRPr="006F4511">
        <w:rPr>
          <w:rFonts w:hint="cs"/>
          <w:b/>
          <w:bCs/>
          <w:rtl/>
          <w:lang w:val="fr-CH"/>
        </w:rPr>
        <w:t xml:space="preserve"> أي قرار باستخدام القوة القسرية و</w:t>
      </w:r>
      <w:r w:rsidR="00C76FA5">
        <w:rPr>
          <w:rFonts w:hint="cs"/>
          <w:b/>
          <w:bCs/>
          <w:rtl/>
          <w:lang w:val="fr-CH"/>
        </w:rPr>
        <w:t>ب</w:t>
      </w:r>
      <w:r>
        <w:rPr>
          <w:rFonts w:hint="cs"/>
          <w:b/>
          <w:bCs/>
          <w:rtl/>
          <w:lang w:val="fr-CH"/>
        </w:rPr>
        <w:t>الحج</w:t>
      </w:r>
      <w:r w:rsidR="008615DC">
        <w:rPr>
          <w:rFonts w:hint="cs"/>
          <w:b/>
          <w:bCs/>
          <w:rtl/>
          <w:lang w:val="fr-CH"/>
        </w:rPr>
        <w:t>ر</w:t>
      </w:r>
      <w:r>
        <w:rPr>
          <w:rFonts w:hint="cs"/>
          <w:b/>
          <w:bCs/>
          <w:rtl/>
          <w:lang w:val="fr-CH"/>
        </w:rPr>
        <w:t xml:space="preserve"> إلا</w:t>
      </w:r>
      <w:r w:rsidR="006737F0" w:rsidRPr="006F4511">
        <w:rPr>
          <w:rFonts w:hint="cs"/>
          <w:b/>
          <w:bCs/>
          <w:rtl/>
          <w:lang w:val="fr-CH"/>
        </w:rPr>
        <w:t xml:space="preserve"> بعد إجراء تقييم طبي مختص </w:t>
      </w:r>
      <w:r>
        <w:rPr>
          <w:rFonts w:hint="cs"/>
          <w:b/>
          <w:bCs/>
          <w:rtl/>
          <w:lang w:val="fr-CH"/>
        </w:rPr>
        <w:t>و</w:t>
      </w:r>
      <w:r w:rsidR="006737F0" w:rsidRPr="006F4511">
        <w:rPr>
          <w:rFonts w:hint="cs"/>
          <w:b/>
          <w:bCs/>
          <w:rtl/>
          <w:lang w:val="fr-CH"/>
        </w:rPr>
        <w:t xml:space="preserve">وافٍ يحدد </w:t>
      </w:r>
      <w:r>
        <w:rPr>
          <w:rFonts w:hint="cs"/>
          <w:b/>
          <w:bCs/>
          <w:rtl/>
          <w:lang w:val="fr-CH"/>
        </w:rPr>
        <w:t>م</w:t>
      </w:r>
      <w:r w:rsidR="006737F0" w:rsidRPr="006F4511">
        <w:rPr>
          <w:rFonts w:hint="cs"/>
          <w:b/>
          <w:bCs/>
          <w:rtl/>
          <w:lang w:val="fr-CH"/>
        </w:rPr>
        <w:t>قد</w:t>
      </w:r>
      <w:r>
        <w:rPr>
          <w:rFonts w:hint="cs"/>
          <w:b/>
          <w:bCs/>
          <w:rtl/>
          <w:lang w:val="fr-CH"/>
        </w:rPr>
        <w:t>ا</w:t>
      </w:r>
      <w:r w:rsidR="006737F0" w:rsidRPr="006F4511">
        <w:rPr>
          <w:rFonts w:hint="cs"/>
          <w:b/>
          <w:bCs/>
          <w:rtl/>
          <w:lang w:val="fr-CH"/>
        </w:rPr>
        <w:t xml:space="preserve">ر القوة القسرية </w:t>
      </w:r>
      <w:r>
        <w:rPr>
          <w:rFonts w:hint="cs"/>
          <w:b/>
          <w:bCs/>
          <w:rtl/>
          <w:lang w:val="fr-CH"/>
        </w:rPr>
        <w:t>أ</w:t>
      </w:r>
      <w:r w:rsidR="006737F0" w:rsidRPr="006F4511">
        <w:rPr>
          <w:rFonts w:hint="cs"/>
          <w:b/>
          <w:bCs/>
          <w:rtl/>
          <w:lang w:val="fr-CH"/>
        </w:rPr>
        <w:t>و</w:t>
      </w:r>
      <w:r>
        <w:rPr>
          <w:rFonts w:hint="cs"/>
          <w:b/>
          <w:bCs/>
          <w:rtl/>
          <w:lang w:val="fr-CH"/>
        </w:rPr>
        <w:t xml:space="preserve"> الحجر المطلوب </w:t>
      </w:r>
      <w:r w:rsidR="006737F0" w:rsidRPr="006F4511">
        <w:rPr>
          <w:rFonts w:hint="cs"/>
          <w:b/>
          <w:bCs/>
          <w:rtl/>
          <w:lang w:val="fr-CH"/>
        </w:rPr>
        <w:t xml:space="preserve">استخدامه مع المريض. </w:t>
      </w:r>
      <w:r>
        <w:rPr>
          <w:rFonts w:hint="cs"/>
          <w:b/>
          <w:bCs/>
          <w:rtl/>
          <w:lang w:val="fr-CH"/>
        </w:rPr>
        <w:t>و</w:t>
      </w:r>
      <w:r w:rsidR="006737F0" w:rsidRPr="006F4511">
        <w:rPr>
          <w:rFonts w:hint="cs"/>
          <w:b/>
          <w:bCs/>
          <w:rtl/>
          <w:lang w:val="fr-CH"/>
        </w:rPr>
        <w:t>علاوةً على ذلك، ينبغي للدولة الطرف أن تعزز نظامها المتعلق برصد مؤسسات رعاية الصحة العقلية والإبلاغ عنها من أجل منع وقوع أي انتهاكات.</w:t>
      </w:r>
      <w:r w:rsidR="006F4511" w:rsidRPr="006F4511">
        <w:rPr>
          <w:rFonts w:hint="cs"/>
          <w:b/>
          <w:bCs/>
          <w:rtl/>
          <w:lang w:val="fr-CH"/>
        </w:rPr>
        <w:t xml:space="preserve"> </w:t>
      </w:r>
    </w:p>
    <w:p w:rsidR="006737F0" w:rsidRPr="006F4511" w:rsidRDefault="006737F0" w:rsidP="00C76FA5">
      <w:pPr>
        <w:pStyle w:val="SingleTxtGA"/>
        <w:rPr>
          <w:rFonts w:hint="cs"/>
          <w:rtl/>
          <w:lang w:val="fr-CH"/>
        </w:rPr>
      </w:pPr>
      <w:r w:rsidRPr="006F4511">
        <w:rPr>
          <w:rFonts w:hint="cs"/>
          <w:rtl/>
          <w:lang w:val="fr-CH"/>
        </w:rPr>
        <w:t>11-</w:t>
      </w:r>
      <w:r w:rsidR="008615DC">
        <w:rPr>
          <w:rFonts w:hint="cs"/>
          <w:rtl/>
          <w:lang w:val="fr-CH"/>
        </w:rPr>
        <w:tab/>
      </w:r>
      <w:r w:rsidRPr="006F4511">
        <w:rPr>
          <w:rFonts w:hint="cs"/>
          <w:rtl/>
          <w:lang w:val="fr-CH"/>
        </w:rPr>
        <w:t xml:space="preserve">ويساور اللجنة قلق إزاء زيادة استخدام الحبس قبل المحاكمة والحبس الانفرادي قبل المحاكمة، وكذلك الحبس </w:t>
      </w:r>
      <w:r w:rsidR="00C76FA5">
        <w:rPr>
          <w:rFonts w:hint="cs"/>
          <w:rtl/>
          <w:lang w:val="fr-CH"/>
        </w:rPr>
        <w:t>بنظام العزل</w:t>
      </w:r>
      <w:r w:rsidRPr="006F4511">
        <w:rPr>
          <w:rFonts w:hint="cs"/>
          <w:rtl/>
          <w:lang w:val="fr-CH"/>
        </w:rPr>
        <w:t xml:space="preserve"> بعد الإدانة، في الدولة الطرف (المواد 7 و9 و10).</w:t>
      </w:r>
      <w:r w:rsidR="006F4511" w:rsidRPr="006F4511">
        <w:rPr>
          <w:rFonts w:hint="cs"/>
          <w:rtl/>
          <w:lang w:val="fr-CH"/>
        </w:rPr>
        <w:t xml:space="preserve"> </w:t>
      </w:r>
    </w:p>
    <w:p w:rsidR="006737F0" w:rsidRPr="006F4511" w:rsidRDefault="008615DC" w:rsidP="006737F0">
      <w:pPr>
        <w:pStyle w:val="SingleTxtGA"/>
        <w:rPr>
          <w:rFonts w:hint="cs"/>
          <w:b/>
          <w:bCs/>
          <w:rtl/>
          <w:lang w:val="fr-CH"/>
        </w:rPr>
      </w:pPr>
      <w:r>
        <w:rPr>
          <w:rFonts w:hint="cs"/>
          <w:b/>
          <w:bCs/>
          <w:rtl/>
          <w:lang w:val="fr-CH"/>
        </w:rPr>
        <w:tab/>
      </w:r>
      <w:r w:rsidR="006737F0" w:rsidRPr="006F4511">
        <w:rPr>
          <w:rFonts w:hint="cs"/>
          <w:b/>
          <w:bCs/>
          <w:rtl/>
          <w:lang w:val="fr-CH"/>
        </w:rPr>
        <w:t>ينبغي للدولة الطرف أن تضمن عدم استخدام الحبس الانفرادي، قبل المحاكمة وبعد الإدانة على حدٍّ سواء، إلا في الظروف الاستثنائية القصوى ولفتراتٍ محدودة.</w:t>
      </w:r>
      <w:r w:rsidR="006F4511" w:rsidRPr="006F4511">
        <w:rPr>
          <w:rFonts w:hint="cs"/>
          <w:b/>
          <w:bCs/>
          <w:rtl/>
          <w:lang w:val="fr-CH"/>
        </w:rPr>
        <w:t xml:space="preserve"> </w:t>
      </w:r>
    </w:p>
    <w:p w:rsidR="006737F0" w:rsidRPr="006F4511" w:rsidRDefault="006737F0" w:rsidP="008E55E7">
      <w:pPr>
        <w:pStyle w:val="SingleTxtGA"/>
        <w:rPr>
          <w:rFonts w:hint="cs"/>
          <w:rtl/>
          <w:lang w:val="fr-CH"/>
        </w:rPr>
      </w:pPr>
      <w:r w:rsidRPr="006F4511">
        <w:rPr>
          <w:rFonts w:hint="cs"/>
          <w:rtl/>
          <w:lang w:val="fr-CH"/>
        </w:rPr>
        <w:t>12-</w:t>
      </w:r>
      <w:r w:rsidR="008615DC">
        <w:rPr>
          <w:rFonts w:hint="cs"/>
          <w:rtl/>
          <w:lang w:val="fr-CH"/>
        </w:rPr>
        <w:tab/>
      </w:r>
      <w:r w:rsidRPr="006F4511">
        <w:rPr>
          <w:rFonts w:hint="cs"/>
          <w:rtl/>
          <w:lang w:val="fr-CH"/>
        </w:rPr>
        <w:t xml:space="preserve">ويساور اللجنة قلق إزاء </w:t>
      </w:r>
      <w:r w:rsidR="00C76FA5">
        <w:rPr>
          <w:rFonts w:hint="cs"/>
          <w:rtl/>
          <w:lang w:val="fr-CH"/>
        </w:rPr>
        <w:t>ظروف حبس</w:t>
      </w:r>
      <w:r w:rsidRPr="006F4511">
        <w:rPr>
          <w:rFonts w:hint="cs"/>
          <w:rtl/>
          <w:lang w:val="fr-CH"/>
        </w:rPr>
        <w:t xml:space="preserve"> الأحداث قبل المحاكمة </w:t>
      </w:r>
      <w:r w:rsidR="00C76FA5">
        <w:rPr>
          <w:rFonts w:hint="cs"/>
          <w:rtl/>
          <w:lang w:val="fr-CH"/>
        </w:rPr>
        <w:t>وطول مدته المفرط</w:t>
      </w:r>
      <w:r w:rsidRPr="006F4511">
        <w:rPr>
          <w:rFonts w:hint="cs"/>
          <w:rtl/>
          <w:lang w:val="fr-CH"/>
        </w:rPr>
        <w:t xml:space="preserve"> (المادتان 10 و14). </w:t>
      </w:r>
    </w:p>
    <w:p w:rsidR="006737F0" w:rsidRPr="006F4511" w:rsidRDefault="008615DC" w:rsidP="008E55E7">
      <w:pPr>
        <w:pStyle w:val="SingleTxtGA"/>
        <w:rPr>
          <w:rFonts w:hint="cs"/>
          <w:b/>
          <w:bCs/>
          <w:rtl/>
          <w:lang w:val="fr-CH"/>
        </w:rPr>
      </w:pPr>
      <w:r>
        <w:rPr>
          <w:rFonts w:hint="cs"/>
          <w:rtl/>
          <w:lang w:val="fr-CH"/>
        </w:rPr>
        <w:tab/>
      </w:r>
      <w:r w:rsidR="006737F0" w:rsidRPr="006F4511">
        <w:rPr>
          <w:rFonts w:hint="cs"/>
          <w:b/>
          <w:bCs/>
          <w:rtl/>
          <w:lang w:val="fr-CH"/>
        </w:rPr>
        <w:t xml:space="preserve">ينبغي للدولة الطرف أن </w:t>
      </w:r>
      <w:r w:rsidR="008E55E7">
        <w:rPr>
          <w:rFonts w:hint="cs"/>
          <w:b/>
          <w:bCs/>
          <w:rtl/>
          <w:lang w:val="fr-CH"/>
        </w:rPr>
        <w:t>تحصر</w:t>
      </w:r>
      <w:r w:rsidR="006737F0" w:rsidRPr="006F4511">
        <w:rPr>
          <w:rFonts w:hint="cs"/>
          <w:b/>
          <w:bCs/>
          <w:rtl/>
          <w:lang w:val="fr-CH"/>
        </w:rPr>
        <w:t xml:space="preserve"> حبس الأحداث قبل المحاكمة </w:t>
      </w:r>
      <w:r w:rsidR="008E55E7">
        <w:rPr>
          <w:rFonts w:hint="cs"/>
          <w:b/>
          <w:bCs/>
          <w:rtl/>
          <w:lang w:val="fr-CH"/>
        </w:rPr>
        <w:t>إلى أضيق الحدود وأن</w:t>
      </w:r>
      <w:r w:rsidR="006737F0" w:rsidRPr="006F4511">
        <w:rPr>
          <w:rFonts w:hint="cs"/>
          <w:b/>
          <w:bCs/>
          <w:rtl/>
          <w:lang w:val="fr-CH"/>
        </w:rPr>
        <w:t xml:space="preserve"> تعتمد، قدر الإمكان، تدابير بديلة للحبس قبل المحاكمة.</w:t>
      </w:r>
      <w:r w:rsidR="006F4511" w:rsidRPr="006F4511">
        <w:rPr>
          <w:rFonts w:hint="cs"/>
          <w:b/>
          <w:bCs/>
          <w:rtl/>
          <w:lang w:val="fr-CH"/>
        </w:rPr>
        <w:t xml:space="preserve"> </w:t>
      </w:r>
    </w:p>
    <w:p w:rsidR="006737F0" w:rsidRPr="006F4511" w:rsidRDefault="006737F0" w:rsidP="008E55E7">
      <w:pPr>
        <w:pStyle w:val="SingleTxtGA"/>
        <w:rPr>
          <w:rFonts w:hint="cs"/>
          <w:rtl/>
        </w:rPr>
      </w:pPr>
      <w:r w:rsidRPr="006F4511">
        <w:rPr>
          <w:rFonts w:hint="cs"/>
          <w:rtl/>
          <w:lang w:val="fr-CH"/>
        </w:rPr>
        <w:t>13-</w:t>
      </w:r>
      <w:r w:rsidR="008615DC">
        <w:rPr>
          <w:rFonts w:hint="cs"/>
          <w:rtl/>
          <w:lang w:val="fr-CH"/>
        </w:rPr>
        <w:tab/>
      </w:r>
      <w:r w:rsidR="008E55E7">
        <w:rPr>
          <w:rFonts w:hint="cs"/>
          <w:rtl/>
          <w:lang w:val="fr-CH"/>
        </w:rPr>
        <w:t>و</w:t>
      </w:r>
      <w:r w:rsidRPr="006F4511">
        <w:rPr>
          <w:rFonts w:hint="cs"/>
          <w:rtl/>
          <w:lang w:val="fr-CH"/>
        </w:rPr>
        <w:t xml:space="preserve">بينما ترحب اللجنة </w:t>
      </w:r>
      <w:r w:rsidRPr="006F4511">
        <w:rPr>
          <w:rFonts w:hint="cs"/>
          <w:rtl/>
        </w:rPr>
        <w:t>بالجهود التي تبذلها الدولة الطرف من أجل إنشاء وحدات احتجاز منفصلة للأحداث، يساورها قلق بشأن إبقاء الدولة الطرف على تحفظ</w:t>
      </w:r>
      <w:r w:rsidR="008E55E7">
        <w:rPr>
          <w:rFonts w:hint="cs"/>
          <w:rtl/>
        </w:rPr>
        <w:t xml:space="preserve">ها </w:t>
      </w:r>
      <w:r w:rsidRPr="006F4511">
        <w:rPr>
          <w:rFonts w:hint="cs"/>
          <w:rtl/>
        </w:rPr>
        <w:t xml:space="preserve">على الفقرتين 2(ب) و3 من المادة 10 من العهد وبشأن عدم فصل الأحداث عن السجناء البالغين (المادة 10). </w:t>
      </w:r>
    </w:p>
    <w:p w:rsidR="006737F0" w:rsidRPr="006F4511" w:rsidRDefault="008615DC" w:rsidP="008E55E7">
      <w:pPr>
        <w:pStyle w:val="SingleTxtGA"/>
        <w:rPr>
          <w:rFonts w:hint="cs"/>
          <w:b/>
          <w:bCs/>
          <w:rtl/>
        </w:rPr>
      </w:pPr>
      <w:r>
        <w:rPr>
          <w:rFonts w:hint="cs"/>
          <w:rtl/>
        </w:rPr>
        <w:tab/>
      </w:r>
      <w:r w:rsidR="006737F0" w:rsidRPr="006F4511">
        <w:rPr>
          <w:rFonts w:hint="cs"/>
          <w:b/>
          <w:bCs/>
          <w:rtl/>
          <w:lang w:val="fr-CH"/>
        </w:rPr>
        <w:t>ينبغي للدولة الطرف</w:t>
      </w:r>
      <w:r w:rsidR="006737F0" w:rsidRPr="006F4511">
        <w:rPr>
          <w:rFonts w:hint="cs"/>
          <w:b/>
          <w:bCs/>
          <w:rtl/>
        </w:rPr>
        <w:t xml:space="preserve"> أن تنظر في سحب تحفظاتها على الفقرتين 2(ب) و3 من المادة 10 من العهد؛ وينبغي لها، في الوقت نفسه، أن تضمن فصل الأحداث عن السجناء البالغين </w:t>
      </w:r>
      <w:r w:rsidR="008E55E7">
        <w:rPr>
          <w:rFonts w:hint="cs"/>
          <w:b/>
          <w:bCs/>
          <w:rtl/>
        </w:rPr>
        <w:t>وتشجع على</w:t>
      </w:r>
      <w:r w:rsidR="006737F0" w:rsidRPr="006F4511">
        <w:rPr>
          <w:rFonts w:hint="cs"/>
          <w:b/>
          <w:bCs/>
          <w:rtl/>
        </w:rPr>
        <w:t xml:space="preserve"> الأخذ بأشكال بديلة للعقوبة، من قبيل الخدمة المجتمعية</w:t>
      </w:r>
      <w:r w:rsidR="006F4511" w:rsidRPr="006F4511">
        <w:rPr>
          <w:rFonts w:hint="cs"/>
          <w:b/>
          <w:bCs/>
          <w:rtl/>
        </w:rPr>
        <w:t xml:space="preserve"> </w:t>
      </w:r>
      <w:r w:rsidR="006737F0" w:rsidRPr="006F4511">
        <w:rPr>
          <w:rFonts w:hint="cs"/>
          <w:b/>
          <w:bCs/>
          <w:rtl/>
        </w:rPr>
        <w:t xml:space="preserve">واستخدام أجهزة </w:t>
      </w:r>
      <w:r w:rsidR="008E55E7">
        <w:rPr>
          <w:rFonts w:hint="cs"/>
          <w:b/>
          <w:bCs/>
          <w:rtl/>
        </w:rPr>
        <w:t>الرقابة</w:t>
      </w:r>
      <w:r w:rsidR="006737F0" w:rsidRPr="006F4511">
        <w:rPr>
          <w:rFonts w:hint="cs"/>
          <w:b/>
          <w:bCs/>
          <w:rtl/>
        </w:rPr>
        <w:t xml:space="preserve"> </w:t>
      </w:r>
      <w:r w:rsidR="008E55E7">
        <w:rPr>
          <w:rFonts w:hint="cs"/>
          <w:b/>
          <w:bCs/>
          <w:rtl/>
        </w:rPr>
        <w:t>ال</w:t>
      </w:r>
      <w:r w:rsidR="006737F0" w:rsidRPr="006F4511">
        <w:rPr>
          <w:rFonts w:hint="cs"/>
          <w:b/>
          <w:bCs/>
          <w:rtl/>
        </w:rPr>
        <w:t>إلكترونية.</w:t>
      </w:r>
      <w:r w:rsidR="006F4511" w:rsidRPr="006F4511">
        <w:rPr>
          <w:rFonts w:hint="cs"/>
          <w:b/>
          <w:bCs/>
          <w:rtl/>
        </w:rPr>
        <w:t xml:space="preserve"> </w:t>
      </w:r>
    </w:p>
    <w:p w:rsidR="006737F0" w:rsidRPr="006F4511" w:rsidRDefault="006737F0" w:rsidP="008615DC">
      <w:pPr>
        <w:pStyle w:val="SingleTxtGA"/>
        <w:rPr>
          <w:rFonts w:hint="cs"/>
          <w:rtl/>
        </w:rPr>
      </w:pPr>
      <w:r w:rsidRPr="006F4511">
        <w:rPr>
          <w:rFonts w:hint="cs"/>
          <w:rtl/>
        </w:rPr>
        <w:t>14-</w:t>
      </w:r>
      <w:r w:rsidR="008615DC">
        <w:rPr>
          <w:rFonts w:hint="cs"/>
          <w:rtl/>
        </w:rPr>
        <w:tab/>
      </w:r>
      <w:r w:rsidRPr="006F4511">
        <w:rPr>
          <w:rFonts w:hint="cs"/>
          <w:rtl/>
        </w:rPr>
        <w:t>وتأسف اللجنة لعدم سحب الدولة الطرف تحفظها على الفقرة 1 من المادة 20 من العهد. كما تأسف لاستمرار خطاب الكراهية ضد الصاميين، والتصريحات الداعية إلى كره الأجانب ومعاداة السامية وكره الإسلام (المادة 20).</w:t>
      </w:r>
      <w:r w:rsidR="006F4511" w:rsidRPr="006F4511">
        <w:rPr>
          <w:rFonts w:hint="cs"/>
          <w:rtl/>
        </w:rPr>
        <w:t xml:space="preserve"> </w:t>
      </w:r>
    </w:p>
    <w:p w:rsidR="006737F0" w:rsidRPr="006F4511" w:rsidRDefault="008615DC" w:rsidP="004B1674">
      <w:pPr>
        <w:pStyle w:val="SingleTxtGA"/>
        <w:rPr>
          <w:rFonts w:hint="cs"/>
          <w:b/>
          <w:bCs/>
          <w:rtl/>
        </w:rPr>
      </w:pPr>
      <w:r>
        <w:rPr>
          <w:rFonts w:hint="cs"/>
          <w:rtl/>
        </w:rPr>
        <w:tab/>
      </w:r>
      <w:r w:rsidR="006737F0" w:rsidRPr="006F4511">
        <w:rPr>
          <w:rFonts w:hint="cs"/>
          <w:b/>
          <w:bCs/>
          <w:rtl/>
          <w:lang w:val="fr-CH"/>
        </w:rPr>
        <w:t>ينبغي للدولة الطرف</w:t>
      </w:r>
      <w:r w:rsidR="006737F0" w:rsidRPr="006F4511">
        <w:rPr>
          <w:rFonts w:hint="cs"/>
          <w:b/>
          <w:bCs/>
          <w:rtl/>
        </w:rPr>
        <w:t xml:space="preserve"> أن تنظر في </w:t>
      </w:r>
      <w:r w:rsidR="008E55E7">
        <w:rPr>
          <w:rFonts w:hint="cs"/>
          <w:b/>
          <w:bCs/>
          <w:rtl/>
        </w:rPr>
        <w:t xml:space="preserve">إمكانية </w:t>
      </w:r>
      <w:r w:rsidR="006737F0" w:rsidRPr="006F4511">
        <w:rPr>
          <w:rFonts w:hint="cs"/>
          <w:b/>
          <w:bCs/>
          <w:rtl/>
        </w:rPr>
        <w:t xml:space="preserve">سحب تحفظها على المادة 20. </w:t>
      </w:r>
      <w:r w:rsidR="008E55E7">
        <w:rPr>
          <w:rFonts w:hint="cs"/>
          <w:b/>
          <w:bCs/>
          <w:rtl/>
        </w:rPr>
        <w:t>و</w:t>
      </w:r>
      <w:r w:rsidR="006737F0" w:rsidRPr="006F4511">
        <w:rPr>
          <w:rFonts w:hint="cs"/>
          <w:b/>
          <w:bCs/>
          <w:rtl/>
        </w:rPr>
        <w:t xml:space="preserve">علاوةً على ذلك، </w:t>
      </w:r>
      <w:r w:rsidR="008E55E7">
        <w:rPr>
          <w:rFonts w:hint="cs"/>
          <w:b/>
          <w:bCs/>
          <w:rtl/>
        </w:rPr>
        <w:t xml:space="preserve">ينبغي </w:t>
      </w:r>
      <w:r w:rsidR="006737F0" w:rsidRPr="006F4511">
        <w:rPr>
          <w:rFonts w:hint="cs"/>
          <w:b/>
          <w:bCs/>
          <w:rtl/>
        </w:rPr>
        <w:t xml:space="preserve">للدولة الطرف أن تواصل وتكثف جهودها الرامية إلى إذكاء الوعي وتعزيز التسامح والتنوع في المجتمع. وينبغي تدريب موظفي إنفاذ القانون من أجل الكشف عن خطاب الكراهية الذي يشكّل جريمة ومقاضاة </w:t>
      </w:r>
      <w:r w:rsidR="008E55E7">
        <w:rPr>
          <w:rFonts w:hint="cs"/>
          <w:b/>
          <w:bCs/>
          <w:rtl/>
        </w:rPr>
        <w:t>أصحاب هذا الخطاب</w:t>
      </w:r>
      <w:r w:rsidR="006737F0" w:rsidRPr="006F4511">
        <w:rPr>
          <w:rFonts w:hint="cs"/>
          <w:b/>
          <w:bCs/>
          <w:rtl/>
        </w:rPr>
        <w:t>.</w:t>
      </w:r>
    </w:p>
    <w:p w:rsidR="006737F0" w:rsidRPr="006F4511" w:rsidRDefault="006737F0" w:rsidP="008E55E7">
      <w:pPr>
        <w:pStyle w:val="SingleTxtGA"/>
        <w:rPr>
          <w:rFonts w:hint="cs"/>
          <w:rtl/>
        </w:rPr>
      </w:pPr>
      <w:r w:rsidRPr="006F4511">
        <w:rPr>
          <w:rFonts w:hint="cs"/>
          <w:rtl/>
        </w:rPr>
        <w:t>15-</w:t>
      </w:r>
      <w:r w:rsidR="008615DC">
        <w:rPr>
          <w:rFonts w:hint="cs"/>
          <w:rtl/>
        </w:rPr>
        <w:tab/>
      </w:r>
      <w:r w:rsidRPr="006F4511">
        <w:rPr>
          <w:rFonts w:hint="cs"/>
          <w:rtl/>
        </w:rPr>
        <w:t xml:space="preserve">وبينما تلاحظ اللجنة أن شروط الحصول على تصريحات الإقامة وجمع شمل الأسرة تهدف إلى منع حالات الزواج القسري، يساورها </w:t>
      </w:r>
      <w:r w:rsidR="008E55E7">
        <w:rPr>
          <w:rFonts w:hint="cs"/>
          <w:rtl/>
        </w:rPr>
        <w:t>ال</w:t>
      </w:r>
      <w:r w:rsidRPr="006F4511">
        <w:rPr>
          <w:rFonts w:hint="cs"/>
          <w:rtl/>
        </w:rPr>
        <w:t xml:space="preserve">قلق </w:t>
      </w:r>
      <w:r w:rsidR="008E55E7">
        <w:rPr>
          <w:rFonts w:hint="cs"/>
          <w:rtl/>
        </w:rPr>
        <w:t xml:space="preserve">من </w:t>
      </w:r>
      <w:r w:rsidRPr="006F4511">
        <w:rPr>
          <w:rFonts w:hint="cs"/>
          <w:rtl/>
        </w:rPr>
        <w:t xml:space="preserve">أن </w:t>
      </w:r>
      <w:r w:rsidR="008E55E7">
        <w:rPr>
          <w:rFonts w:hint="cs"/>
          <w:rtl/>
        </w:rPr>
        <w:t>حجم</w:t>
      </w:r>
      <w:r w:rsidRPr="006F4511">
        <w:rPr>
          <w:rFonts w:hint="cs"/>
          <w:rtl/>
        </w:rPr>
        <w:t xml:space="preserve"> الشروط </w:t>
      </w:r>
      <w:r w:rsidR="008E55E7">
        <w:rPr>
          <w:rFonts w:hint="cs"/>
          <w:rtl/>
        </w:rPr>
        <w:t xml:space="preserve">المفرط </w:t>
      </w:r>
      <w:r w:rsidRPr="006F4511">
        <w:rPr>
          <w:rFonts w:hint="cs"/>
          <w:rtl/>
        </w:rPr>
        <w:t>قد يؤثر سلباً على التمتع بالحق في الحياة الأسرية والزواج واختيار الزوج (المواد 2 و23 و26).</w:t>
      </w:r>
    </w:p>
    <w:p w:rsidR="006737F0" w:rsidRPr="006F4511" w:rsidRDefault="008615DC" w:rsidP="008615DC">
      <w:pPr>
        <w:pStyle w:val="SingleTxtGA"/>
        <w:rPr>
          <w:rFonts w:hint="cs"/>
          <w:b/>
          <w:bCs/>
          <w:rtl/>
        </w:rPr>
      </w:pPr>
      <w:r>
        <w:rPr>
          <w:rFonts w:hint="cs"/>
          <w:rtl/>
        </w:rPr>
        <w:tab/>
      </w:r>
      <w:r w:rsidR="006737F0" w:rsidRPr="006F4511">
        <w:rPr>
          <w:rFonts w:hint="cs"/>
          <w:b/>
          <w:bCs/>
          <w:rtl/>
        </w:rPr>
        <w:t xml:space="preserve">تحث اللجنة الدولة الطرف على أن تقيِّم أثر الشروط الجديدة </w:t>
      </w:r>
      <w:r w:rsidR="008E55E7">
        <w:rPr>
          <w:rFonts w:hint="cs"/>
          <w:b/>
          <w:bCs/>
          <w:rtl/>
        </w:rPr>
        <w:t xml:space="preserve">المطلوبة </w:t>
      </w:r>
      <w:r w:rsidR="006737F0" w:rsidRPr="006F4511">
        <w:rPr>
          <w:rFonts w:hint="cs"/>
          <w:b/>
          <w:bCs/>
          <w:rtl/>
        </w:rPr>
        <w:t xml:space="preserve">للحصول على هذه التصاريح على التمتع بالحق في الحياة الأسرية والزواج واختيار الزوج. وينبغي أن تقيّم هذه الدراسة مسألة ما إذا كان ينبغي تعديل هذه الشروط من أجل تحسين مستوى احترام الحق في الحياة الأسرية. </w:t>
      </w:r>
    </w:p>
    <w:p w:rsidR="006737F0" w:rsidRPr="006F4511" w:rsidRDefault="006737F0" w:rsidP="008E55E7">
      <w:pPr>
        <w:pStyle w:val="SingleTxtGA"/>
        <w:rPr>
          <w:rFonts w:hint="cs"/>
          <w:rtl/>
        </w:rPr>
      </w:pPr>
      <w:r w:rsidRPr="006F4511">
        <w:rPr>
          <w:rFonts w:hint="cs"/>
          <w:rtl/>
        </w:rPr>
        <w:t>16-</w:t>
      </w:r>
      <w:r w:rsidR="008615DC">
        <w:rPr>
          <w:rFonts w:hint="cs"/>
          <w:rtl/>
        </w:rPr>
        <w:tab/>
      </w:r>
      <w:r w:rsidRPr="006F4511">
        <w:rPr>
          <w:rFonts w:hint="cs"/>
          <w:rtl/>
        </w:rPr>
        <w:t>ينبغي للدولة الطرف أن تنشر على نطاق واسع كلاًّ من العهد، والبروتوكولين الاختياريين الملحقْين به، ونص التقرير الدوري السادس، والردود الخطية التي قدمتها رداً على قائمة المسائل التي أعدّتها اللجنة، وهذه الملاحظات الختامية بغية زيادة مستوى الوعي في أوساط السلطات القضائية والتشريعية والإدارية ومنظمات المجتمع المدني والمنظمات غير الحكومية العاملة في البلد، وكذلك في ما بين عامة الجمهور. وتقترح اللجنة أيضاً أن يُترجم التقرير والملاحظات الختامية إلى اللغة الرسمية للدولة الطرف. كما تطلب اللجنة إلى الدولة الطرف</w:t>
      </w:r>
      <w:r w:rsidR="008E55E7" w:rsidRPr="008E55E7">
        <w:rPr>
          <w:rFonts w:hint="cs"/>
          <w:rtl/>
        </w:rPr>
        <w:t xml:space="preserve"> </w:t>
      </w:r>
      <w:r w:rsidR="008E55E7" w:rsidRPr="006F4511">
        <w:rPr>
          <w:rFonts w:hint="cs"/>
          <w:rtl/>
        </w:rPr>
        <w:t>أن تتشاور على نطاق واسع</w:t>
      </w:r>
      <w:r w:rsidRPr="006F4511">
        <w:rPr>
          <w:rFonts w:hint="cs"/>
          <w:rtl/>
        </w:rPr>
        <w:t>، عند إعداد تقريرها الدوري السابع، مع منظمات المجتمع المدني والمنظمات غير الحكومية.</w:t>
      </w:r>
    </w:p>
    <w:p w:rsidR="006737F0" w:rsidRPr="006F4511" w:rsidRDefault="006737F0" w:rsidP="00A05E72">
      <w:pPr>
        <w:pStyle w:val="SingleTxtGA"/>
        <w:rPr>
          <w:rFonts w:hint="cs"/>
          <w:rtl/>
        </w:rPr>
      </w:pPr>
      <w:r w:rsidRPr="006F4511">
        <w:rPr>
          <w:rFonts w:hint="cs"/>
          <w:rtl/>
        </w:rPr>
        <w:t>17-</w:t>
      </w:r>
      <w:r w:rsidR="008615DC">
        <w:rPr>
          <w:rFonts w:hint="cs"/>
          <w:rtl/>
        </w:rPr>
        <w:tab/>
      </w:r>
      <w:r w:rsidRPr="006F4511">
        <w:rPr>
          <w:rFonts w:hint="cs"/>
          <w:rtl/>
        </w:rPr>
        <w:t>ووفقاً للفقرة 5 من المادة 71 من نظام اللجنة الداخلي، ينبغي للدولة الطرف أن تقدم، في غضون سنة واحدة، معلومات ذات صلة بتنفيذ توصيات اللجنة المقدمة في الفقرات</w:t>
      </w:r>
      <w:r w:rsidR="00A05E72">
        <w:rPr>
          <w:rFonts w:hint="eastAsia"/>
          <w:rtl/>
        </w:rPr>
        <w:t> </w:t>
      </w:r>
      <w:r w:rsidRPr="006F4511">
        <w:rPr>
          <w:rFonts w:hint="cs"/>
          <w:rtl/>
        </w:rPr>
        <w:t>5 و10 و12 أعلاه.</w:t>
      </w:r>
    </w:p>
    <w:p w:rsidR="006737F0" w:rsidRPr="006F4511" w:rsidRDefault="006737F0" w:rsidP="008615DC">
      <w:pPr>
        <w:pStyle w:val="SingleTxtGA"/>
        <w:rPr>
          <w:rFonts w:hint="cs"/>
          <w:rtl/>
        </w:rPr>
      </w:pPr>
      <w:r w:rsidRPr="006F4511">
        <w:rPr>
          <w:rFonts w:hint="cs"/>
          <w:rtl/>
        </w:rPr>
        <w:t>18-</w:t>
      </w:r>
      <w:r w:rsidR="008615DC">
        <w:rPr>
          <w:rFonts w:hint="cs"/>
          <w:rtl/>
        </w:rPr>
        <w:tab/>
      </w:r>
      <w:r w:rsidRPr="006F4511">
        <w:rPr>
          <w:rFonts w:hint="cs"/>
          <w:rtl/>
        </w:rPr>
        <w:t xml:space="preserve">وتطلب اللجنة إلى الدولة الطرف أن تقدم، في تقريرها الدوري المقبل، الذي يحل موعد تقديمه في 2 تشرين الثاني/نوفمبر 2016، معلومات محددة </w:t>
      </w:r>
      <w:r w:rsidR="008E55E7">
        <w:rPr>
          <w:rFonts w:hint="cs"/>
          <w:rtl/>
        </w:rPr>
        <w:t>و</w:t>
      </w:r>
      <w:r w:rsidRPr="006F4511">
        <w:rPr>
          <w:rFonts w:hint="cs"/>
          <w:rtl/>
        </w:rPr>
        <w:t>محدثة عن تنفيذ جميع توصيات اللجنة وتنفيذ العهد ككل.</w:t>
      </w:r>
    </w:p>
    <w:p w:rsidR="006737F0" w:rsidRPr="006F4511" w:rsidRDefault="006737F0" w:rsidP="006737F0">
      <w:pPr>
        <w:spacing w:before="120"/>
        <w:jc w:val="center"/>
        <w:rPr>
          <w:rFonts w:hint="cs"/>
          <w:u w:val="single"/>
          <w:rtl/>
        </w:rPr>
      </w:pPr>
      <w:r w:rsidRPr="006F4511">
        <w:rPr>
          <w:u w:val="single"/>
          <w:rtl/>
        </w:rPr>
        <w:tab/>
      </w:r>
      <w:r w:rsidRPr="006F4511">
        <w:rPr>
          <w:u w:val="single"/>
          <w:rtl/>
        </w:rPr>
        <w:tab/>
      </w:r>
      <w:r w:rsidRPr="006F4511">
        <w:rPr>
          <w:u w:val="single"/>
          <w:rtl/>
        </w:rPr>
        <w:tab/>
      </w:r>
    </w:p>
    <w:p w:rsidR="006737F0" w:rsidRPr="006F4511" w:rsidRDefault="006737F0" w:rsidP="006737F0">
      <w:pPr>
        <w:pStyle w:val="SingleTxtGA"/>
        <w:rPr>
          <w:rFonts w:hint="cs"/>
          <w:rtl/>
        </w:rPr>
      </w:pPr>
    </w:p>
    <w:sectPr w:rsidR="006737F0" w:rsidRPr="006F4511"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306" w:rsidRPr="00FE6865" w:rsidRDefault="00D36306" w:rsidP="00FE6865">
      <w:pPr>
        <w:pStyle w:val="Footer"/>
      </w:pPr>
    </w:p>
  </w:endnote>
  <w:endnote w:type="continuationSeparator" w:id="0">
    <w:p w:rsidR="00D36306" w:rsidRDefault="00D3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F0" w:rsidRPr="006737F0" w:rsidRDefault="006737F0" w:rsidP="006737F0">
    <w:pPr>
      <w:pStyle w:val="Footer"/>
      <w:tabs>
        <w:tab w:val="right" w:pos="9598"/>
      </w:tabs>
    </w:pPr>
    <w:r>
      <w:t>GE.11-47121</w:t>
    </w:r>
    <w:r>
      <w:tab/>
    </w:r>
    <w:r w:rsidRPr="006737F0">
      <w:rPr>
        <w:b/>
        <w:sz w:val="18"/>
      </w:rPr>
      <w:fldChar w:fldCharType="begin"/>
    </w:r>
    <w:r w:rsidRPr="006737F0">
      <w:rPr>
        <w:b/>
        <w:sz w:val="18"/>
      </w:rPr>
      <w:instrText xml:space="preserve"> PAGE  \* MERGEFORMAT </w:instrText>
    </w:r>
    <w:r w:rsidRPr="006737F0">
      <w:rPr>
        <w:b/>
        <w:sz w:val="18"/>
      </w:rPr>
      <w:fldChar w:fldCharType="separate"/>
    </w:r>
    <w:r w:rsidR="00C05575">
      <w:rPr>
        <w:b/>
        <w:noProof/>
        <w:sz w:val="18"/>
      </w:rPr>
      <w:t>4</w:t>
    </w:r>
    <w:r w:rsidRPr="006737F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F0" w:rsidRPr="006737F0" w:rsidRDefault="006737F0" w:rsidP="006737F0">
    <w:pPr>
      <w:pStyle w:val="Footer"/>
      <w:tabs>
        <w:tab w:val="right" w:pos="9598"/>
      </w:tabs>
      <w:rPr>
        <w:b/>
        <w:sz w:val="18"/>
      </w:rPr>
    </w:pPr>
    <w:r w:rsidRPr="006737F0">
      <w:rPr>
        <w:b/>
        <w:sz w:val="18"/>
      </w:rPr>
      <w:fldChar w:fldCharType="begin"/>
    </w:r>
    <w:r w:rsidRPr="006737F0">
      <w:rPr>
        <w:b/>
        <w:sz w:val="18"/>
      </w:rPr>
      <w:instrText xml:space="preserve"> PAGE  \* MERGEFORMAT </w:instrText>
    </w:r>
    <w:r w:rsidRPr="006737F0">
      <w:rPr>
        <w:b/>
        <w:sz w:val="18"/>
      </w:rPr>
      <w:fldChar w:fldCharType="separate"/>
    </w:r>
    <w:r w:rsidR="00C05575">
      <w:rPr>
        <w:b/>
        <w:noProof/>
        <w:sz w:val="18"/>
      </w:rPr>
      <w:t>5</w:t>
    </w:r>
    <w:r w:rsidRPr="006737F0">
      <w:rPr>
        <w:b/>
        <w:sz w:val="18"/>
      </w:rPr>
      <w:fldChar w:fldCharType="end"/>
    </w:r>
    <w:r>
      <w:rPr>
        <w:b/>
        <w:sz w:val="18"/>
      </w:rPr>
      <w:tab/>
    </w:r>
    <w:r>
      <w:t>GE.11-47121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F8" w:rsidRDefault="006737F0" w:rsidP="004B1674">
    <w:pPr>
      <w:pStyle w:val="Footer"/>
      <w:jc w:val="right"/>
    </w:pPr>
    <w:r>
      <w:rPr>
        <w:sz w:val="20"/>
      </w:rPr>
      <w:t>(A)</w:t>
    </w:r>
    <w:r w:rsidR="00A05E72">
      <w:rPr>
        <w:sz w:val="20"/>
      </w:rPr>
      <w:t xml:space="preserve">   </w:t>
    </w:r>
    <w:r w:rsidR="006F4511">
      <w:rPr>
        <w:sz w:val="20"/>
      </w:rPr>
      <w:t xml:space="preserve"> </w:t>
    </w:r>
    <w:r>
      <w:rPr>
        <w:sz w:val="20"/>
      </w:rPr>
      <w:t>GE.11-47121</w:t>
    </w:r>
    <w:r w:rsidR="000E29F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A05E72">
      <w:rPr>
        <w:sz w:val="20"/>
      </w:rPr>
      <w:t xml:space="preserve">    141211    1</w:t>
    </w:r>
    <w:r w:rsidR="004B1674">
      <w:rPr>
        <w:sz w:val="20"/>
      </w:rPr>
      <w:t>6</w:t>
    </w:r>
    <w:r w:rsidR="00A05E72">
      <w:rPr>
        <w:sz w:val="20"/>
      </w:rPr>
      <w:t>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306" w:rsidRDefault="00D36306" w:rsidP="007E4686">
      <w:pPr>
        <w:pStyle w:val="Footer"/>
        <w:bidi/>
        <w:spacing w:after="80" w:line="200" w:lineRule="exact"/>
        <w:ind w:left="680"/>
      </w:pPr>
      <w:r>
        <w:rPr>
          <w:rFonts w:hint="cs"/>
          <w:rtl/>
        </w:rPr>
        <w:t>__________</w:t>
      </w:r>
    </w:p>
  </w:footnote>
  <w:footnote w:type="continuationSeparator" w:id="0">
    <w:p w:rsidR="00D36306" w:rsidRDefault="00D36306"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F0" w:rsidRPr="006737F0" w:rsidRDefault="006737F0" w:rsidP="006737F0">
    <w:pPr>
      <w:pStyle w:val="Header"/>
      <w:jc w:val="right"/>
    </w:pPr>
    <w:r w:rsidRPr="006737F0">
      <w:t>CCPR/C/NOR/CO/6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F8" w:rsidRPr="006737F0" w:rsidRDefault="006737F0" w:rsidP="006737F0">
    <w:pPr>
      <w:pStyle w:val="Header"/>
      <w:jc w:val="left"/>
    </w:pPr>
    <w:r w:rsidRPr="006737F0">
      <w:t>CCPR/C/NOR/CO/6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F8" w:rsidRDefault="000E29F8"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0E29F8" w:rsidRPr="008F6743" w:rsidRDefault="000E29F8"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8A20999"/>
    <w:multiLevelType w:val="hybridMultilevel"/>
    <w:tmpl w:val="B548371A"/>
    <w:lvl w:ilvl="0" w:tplc="6A62CE44">
      <w:start w:val="1"/>
      <w:numFmt w:val="decimal"/>
      <w:lvlText w:val="%1-"/>
      <w:lvlJc w:val="left"/>
      <w:pPr>
        <w:tabs>
          <w:tab w:val="num" w:pos="1359"/>
        </w:tabs>
        <w:ind w:left="1359" w:hanging="645"/>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64F0565"/>
    <w:multiLevelType w:val="hybridMultilevel"/>
    <w:tmpl w:val="67942B68"/>
    <w:lvl w:ilvl="0" w:tplc="8E502D84">
      <w:start w:val="27"/>
      <w:numFmt w:val="arabicAlpha"/>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2"/>
  </w:num>
  <w:num w:numId="7">
    <w:abstractNumId w:val="10"/>
  </w:num>
  <w:num w:numId="8">
    <w:abstractNumId w:val="9"/>
  </w:num>
  <w:num w:numId="9">
    <w:abstractNumId w:val="12"/>
  </w:num>
  <w:num w:numId="10">
    <w:abstractNumId w:val="21"/>
  </w:num>
  <w:num w:numId="11">
    <w:abstractNumId w:val="1"/>
  </w:num>
  <w:num w:numId="12">
    <w:abstractNumId w:val="13"/>
  </w:num>
  <w:num w:numId="13">
    <w:abstractNumId w:val="11"/>
  </w:num>
  <w:num w:numId="14">
    <w:abstractNumId w:val="8"/>
  </w:num>
  <w:num w:numId="15">
    <w:abstractNumId w:val="22"/>
  </w:num>
  <w:num w:numId="16">
    <w:abstractNumId w:val="1"/>
  </w:num>
  <w:num w:numId="17">
    <w:abstractNumId w:val="13"/>
  </w:num>
  <w:num w:numId="18">
    <w:abstractNumId w:val="11"/>
  </w:num>
  <w:num w:numId="19">
    <w:abstractNumId w:val="8"/>
  </w:num>
  <w:num w:numId="20">
    <w:abstractNumId w:val="22"/>
  </w:num>
  <w:num w:numId="21">
    <w:abstractNumId w:val="1"/>
  </w:num>
  <w:num w:numId="22">
    <w:abstractNumId w:val="13"/>
  </w:num>
  <w:num w:numId="23">
    <w:abstractNumId w:val="8"/>
  </w:num>
  <w:num w:numId="24">
    <w:abstractNumId w:val="22"/>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8"/>
  </w:num>
  <w:num w:numId="34">
    <w:abstractNumId w:val="23"/>
  </w:num>
  <w:num w:numId="35">
    <w:abstractNumId w:val="5"/>
  </w:num>
  <w:num w:numId="36">
    <w:abstractNumId w:val="17"/>
  </w:num>
  <w:num w:numId="37">
    <w:abstractNumId w:val="19"/>
  </w:num>
  <w:num w:numId="38">
    <w:abstractNumId w:val="0"/>
  </w:num>
  <w:num w:numId="39">
    <w:abstractNumId w:val="6"/>
  </w:num>
  <w:num w:numId="40">
    <w:abstractNumId w:val="2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9F8"/>
    <w:rsid w:val="00040E25"/>
    <w:rsid w:val="00042149"/>
    <w:rsid w:val="000648EA"/>
    <w:rsid w:val="000957C8"/>
    <w:rsid w:val="00097049"/>
    <w:rsid w:val="000A04D5"/>
    <w:rsid w:val="000B52F2"/>
    <w:rsid w:val="000D0EAE"/>
    <w:rsid w:val="000D5380"/>
    <w:rsid w:val="000D6654"/>
    <w:rsid w:val="000E103D"/>
    <w:rsid w:val="000E29F8"/>
    <w:rsid w:val="000F0264"/>
    <w:rsid w:val="000F2EBF"/>
    <w:rsid w:val="000F3A9F"/>
    <w:rsid w:val="000F5FF6"/>
    <w:rsid w:val="001022B5"/>
    <w:rsid w:val="00113FA5"/>
    <w:rsid w:val="001455A0"/>
    <w:rsid w:val="001602A3"/>
    <w:rsid w:val="001A5161"/>
    <w:rsid w:val="001A60BD"/>
    <w:rsid w:val="001C6D53"/>
    <w:rsid w:val="00232277"/>
    <w:rsid w:val="0023736D"/>
    <w:rsid w:val="00257225"/>
    <w:rsid w:val="00310160"/>
    <w:rsid w:val="00341A8C"/>
    <w:rsid w:val="003519E6"/>
    <w:rsid w:val="00355F81"/>
    <w:rsid w:val="003B4356"/>
    <w:rsid w:val="003F08A8"/>
    <w:rsid w:val="00420B58"/>
    <w:rsid w:val="004250E3"/>
    <w:rsid w:val="00426678"/>
    <w:rsid w:val="00472A81"/>
    <w:rsid w:val="004A20A6"/>
    <w:rsid w:val="004B1674"/>
    <w:rsid w:val="004B2C92"/>
    <w:rsid w:val="004D6A3A"/>
    <w:rsid w:val="004F4AD7"/>
    <w:rsid w:val="00557CD3"/>
    <w:rsid w:val="00571432"/>
    <w:rsid w:val="005732A2"/>
    <w:rsid w:val="005762A5"/>
    <w:rsid w:val="00590BA3"/>
    <w:rsid w:val="005B46D9"/>
    <w:rsid w:val="005B7AE0"/>
    <w:rsid w:val="005E23F5"/>
    <w:rsid w:val="005F146F"/>
    <w:rsid w:val="005F71B6"/>
    <w:rsid w:val="00654786"/>
    <w:rsid w:val="00660FD4"/>
    <w:rsid w:val="00665BE4"/>
    <w:rsid w:val="006737F0"/>
    <w:rsid w:val="00690E4C"/>
    <w:rsid w:val="006A4425"/>
    <w:rsid w:val="006B00A4"/>
    <w:rsid w:val="006B10FE"/>
    <w:rsid w:val="006B2686"/>
    <w:rsid w:val="006B4669"/>
    <w:rsid w:val="006D3CFA"/>
    <w:rsid w:val="006F4511"/>
    <w:rsid w:val="006F6BF8"/>
    <w:rsid w:val="00707BDF"/>
    <w:rsid w:val="00710727"/>
    <w:rsid w:val="00715F45"/>
    <w:rsid w:val="0072608F"/>
    <w:rsid w:val="00731815"/>
    <w:rsid w:val="00731B84"/>
    <w:rsid w:val="00734AE7"/>
    <w:rsid w:val="0079344E"/>
    <w:rsid w:val="007E197F"/>
    <w:rsid w:val="007E2786"/>
    <w:rsid w:val="007E4686"/>
    <w:rsid w:val="007F68C4"/>
    <w:rsid w:val="008153DE"/>
    <w:rsid w:val="00852A10"/>
    <w:rsid w:val="008615DC"/>
    <w:rsid w:val="00862634"/>
    <w:rsid w:val="00866C59"/>
    <w:rsid w:val="00877306"/>
    <w:rsid w:val="00885524"/>
    <w:rsid w:val="008A6242"/>
    <w:rsid w:val="008B4BC6"/>
    <w:rsid w:val="008E55E7"/>
    <w:rsid w:val="008F6743"/>
    <w:rsid w:val="00901E57"/>
    <w:rsid w:val="009070DF"/>
    <w:rsid w:val="00935F0E"/>
    <w:rsid w:val="0095208F"/>
    <w:rsid w:val="00977B3F"/>
    <w:rsid w:val="009814AE"/>
    <w:rsid w:val="009901D3"/>
    <w:rsid w:val="00996BBE"/>
    <w:rsid w:val="009B2C03"/>
    <w:rsid w:val="009D17B9"/>
    <w:rsid w:val="009D1DD5"/>
    <w:rsid w:val="009F722C"/>
    <w:rsid w:val="00A05E72"/>
    <w:rsid w:val="00A26157"/>
    <w:rsid w:val="00A265C3"/>
    <w:rsid w:val="00A43F9A"/>
    <w:rsid w:val="00A53F38"/>
    <w:rsid w:val="00A543D4"/>
    <w:rsid w:val="00AD0014"/>
    <w:rsid w:val="00AD4CF2"/>
    <w:rsid w:val="00AF0BBA"/>
    <w:rsid w:val="00B25159"/>
    <w:rsid w:val="00B30468"/>
    <w:rsid w:val="00B44E31"/>
    <w:rsid w:val="00BA4F7E"/>
    <w:rsid w:val="00BB2C41"/>
    <w:rsid w:val="00BC55C8"/>
    <w:rsid w:val="00BC5C10"/>
    <w:rsid w:val="00BE2964"/>
    <w:rsid w:val="00C05575"/>
    <w:rsid w:val="00C21623"/>
    <w:rsid w:val="00C24FBD"/>
    <w:rsid w:val="00C473BA"/>
    <w:rsid w:val="00C611ED"/>
    <w:rsid w:val="00C6490A"/>
    <w:rsid w:val="00C64FE1"/>
    <w:rsid w:val="00C726D2"/>
    <w:rsid w:val="00C74296"/>
    <w:rsid w:val="00C76FA5"/>
    <w:rsid w:val="00C8345E"/>
    <w:rsid w:val="00C966DF"/>
    <w:rsid w:val="00CA5F7C"/>
    <w:rsid w:val="00D36306"/>
    <w:rsid w:val="00D51067"/>
    <w:rsid w:val="00D75657"/>
    <w:rsid w:val="00D960AD"/>
    <w:rsid w:val="00DA0E0E"/>
    <w:rsid w:val="00DB0885"/>
    <w:rsid w:val="00DB0C39"/>
    <w:rsid w:val="00DB7679"/>
    <w:rsid w:val="00DE1FCB"/>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5</Pages>
  <Words>1245</Words>
  <Characters>7102</Characters>
  <Application>Microsoft Office Word</Application>
  <DocSecurity>4</DocSecurity>
  <Lines>59</Lines>
  <Paragraphs>16</Paragraphs>
  <ScaleCrop>false</ScaleCrop>
  <HeadingPairs>
    <vt:vector size="2" baseType="variant">
      <vt:variant>
        <vt:lpstr>العنوان</vt:lpstr>
      </vt:variant>
      <vt:variant>
        <vt:i4>1</vt:i4>
      </vt:variant>
    </vt:vector>
  </HeadingPairs>
  <TitlesOfParts>
    <vt:vector size="1" baseType="lpstr">
      <vt:lpstr>CCPR/C/NOR/CO/6</vt:lpstr>
    </vt:vector>
  </TitlesOfParts>
  <Company>CSD</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CCPR/C/NOR/CO/6</dc:title>
  <dc:subject/>
  <dc:creator>TPS</dc:creator>
  <cp:keywords/>
  <dc:description/>
  <cp:lastModifiedBy>Bishara</cp:lastModifiedBy>
  <cp:revision>2</cp:revision>
  <cp:lastPrinted>2011-12-15T10:55:00Z</cp:lastPrinted>
  <dcterms:created xsi:type="dcterms:W3CDTF">2011-12-16T07:38:00Z</dcterms:created>
  <dcterms:modified xsi:type="dcterms:W3CDTF">2011-12-16T07:38:00Z</dcterms:modified>
</cp:coreProperties>
</file>