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B" w:rsidRDefault="004C186B" w:rsidP="004C186B">
      <w:pPr>
        <w:spacing w:line="60" w:lineRule="exact"/>
        <w:rPr>
          <w:lang w:val="en-US"/>
        </w:rPr>
        <w:sectPr w:rsidR="004C186B" w:rsidSect="004C18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1pt;margin-top:682pt;width:57.9pt;height:57.9pt;z-index:1;mso-position-horizontal-relative:page;mso-position-vertical-relative:page" o:preferrelative="f">
            <v:imagedata r:id="rId13" o:title="Add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092C60" w:rsidRPr="00092C60" w:rsidRDefault="00092C60" w:rsidP="00092C6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92C60">
        <w:t>Комитет по ликвидации дискриминации</w:t>
      </w:r>
      <w:r w:rsidRPr="00092C60">
        <w:br/>
        <w:t>в отношении женщин</w:t>
      </w:r>
    </w:p>
    <w:p w:rsidR="00092C60" w:rsidRPr="00092C60" w:rsidRDefault="00092C60" w:rsidP="00092C60">
      <w:pPr>
        <w:pStyle w:val="SingleTxt"/>
        <w:spacing w:after="0" w:line="120" w:lineRule="exact"/>
        <w:rPr>
          <w:bCs/>
          <w:sz w:val="10"/>
        </w:rPr>
      </w:pPr>
    </w:p>
    <w:p w:rsidR="00092C60" w:rsidRPr="00092C60" w:rsidRDefault="00092C60" w:rsidP="00092C60">
      <w:pPr>
        <w:pStyle w:val="SingleTxt"/>
        <w:spacing w:after="0" w:line="120" w:lineRule="exact"/>
        <w:rPr>
          <w:bCs/>
          <w:sz w:val="10"/>
        </w:rPr>
      </w:pPr>
    </w:p>
    <w:p w:rsidR="00092C60" w:rsidRPr="00092C60" w:rsidRDefault="00092C60" w:rsidP="00092C60">
      <w:pPr>
        <w:pStyle w:val="SingleTxt"/>
        <w:spacing w:after="0" w:line="120" w:lineRule="exact"/>
        <w:rPr>
          <w:bCs/>
          <w:sz w:val="10"/>
        </w:rPr>
      </w:pPr>
    </w:p>
    <w:p w:rsidR="00092C60" w:rsidRPr="00092C60" w:rsidRDefault="00092C60" w:rsidP="00092C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092C60">
        <w:t xml:space="preserve">Рассмотрение докладов, представленных </w:t>
      </w:r>
      <w:r w:rsidRPr="00092C60">
        <w:br/>
        <w:t xml:space="preserve">государствами-участниками в соответствии </w:t>
      </w:r>
      <w:r w:rsidRPr="00092C60">
        <w:br/>
        <w:t>со статьей 18 Конвенции о ликвидации всех форм дискриминации в отношении женщин</w:t>
      </w:r>
    </w:p>
    <w:p w:rsidR="00092C60" w:rsidRPr="00092C60" w:rsidRDefault="00092C60" w:rsidP="00092C60">
      <w:pPr>
        <w:pStyle w:val="SingleTxt"/>
        <w:spacing w:after="0" w:line="120" w:lineRule="exact"/>
        <w:rPr>
          <w:b/>
          <w:sz w:val="10"/>
        </w:rPr>
      </w:pPr>
    </w:p>
    <w:p w:rsidR="00092C60" w:rsidRPr="00092C60" w:rsidRDefault="00092C60" w:rsidP="00092C60">
      <w:pPr>
        <w:pStyle w:val="SingleTxt"/>
        <w:spacing w:after="0" w:line="120" w:lineRule="exact"/>
        <w:rPr>
          <w:b/>
          <w:sz w:val="10"/>
        </w:rPr>
      </w:pPr>
    </w:p>
    <w:p w:rsidR="00092C60" w:rsidRPr="00092C60" w:rsidRDefault="00092C60" w:rsidP="00092C6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2C60">
        <w:tab/>
      </w:r>
      <w:r w:rsidRPr="00092C60">
        <w:tab/>
        <w:t>Седьмой периодический доклад государств-участников</w:t>
      </w:r>
    </w:p>
    <w:p w:rsidR="00092C60" w:rsidRPr="00092C60" w:rsidRDefault="00092C60" w:rsidP="00092C60">
      <w:pPr>
        <w:pStyle w:val="SingleTxt"/>
        <w:spacing w:after="0" w:line="120" w:lineRule="exact"/>
        <w:rPr>
          <w:b/>
          <w:sz w:val="10"/>
        </w:rPr>
      </w:pPr>
    </w:p>
    <w:p w:rsidR="00092C60" w:rsidRPr="00092C60" w:rsidRDefault="00092C60" w:rsidP="00092C60">
      <w:pPr>
        <w:pStyle w:val="SingleTxt"/>
        <w:spacing w:after="0" w:line="120" w:lineRule="exact"/>
        <w:rPr>
          <w:b/>
          <w:sz w:val="10"/>
        </w:rPr>
      </w:pPr>
    </w:p>
    <w:p w:rsidR="00092C60" w:rsidRPr="00092C60" w:rsidRDefault="00092C60" w:rsidP="00092C6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2C60">
        <w:tab/>
      </w:r>
      <w:r w:rsidRPr="00092C60">
        <w:tab/>
        <w:t>Добавление</w:t>
      </w:r>
    </w:p>
    <w:p w:rsidR="00092C60" w:rsidRPr="00092C60" w:rsidRDefault="00092C60" w:rsidP="00092C60">
      <w:pPr>
        <w:pStyle w:val="SingleTxt"/>
        <w:spacing w:after="0" w:line="120" w:lineRule="exact"/>
        <w:rPr>
          <w:sz w:val="10"/>
        </w:rPr>
      </w:pPr>
    </w:p>
    <w:p w:rsidR="00092C60" w:rsidRPr="00092C60" w:rsidRDefault="00092C60" w:rsidP="00092C60">
      <w:pPr>
        <w:pStyle w:val="SingleTxt"/>
        <w:spacing w:after="0" w:line="120" w:lineRule="exact"/>
        <w:rPr>
          <w:sz w:val="10"/>
        </w:rPr>
      </w:pPr>
    </w:p>
    <w:p w:rsidR="00B46D7A" w:rsidRDefault="00092C60" w:rsidP="00092C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en-US"/>
        </w:rPr>
      </w:pPr>
      <w:r>
        <w:rPr>
          <w:lang w:val="en-US"/>
        </w:rPr>
        <w:tab/>
      </w:r>
      <w:r w:rsidRPr="00092C60">
        <w:tab/>
        <w:t>Соединенное Королевство Великобритании и Северной Ирландии (остров Мэн)</w:t>
      </w:r>
      <w:r w:rsidRPr="00092C60">
        <w:rPr>
          <w:b w:val="0"/>
          <w:sz w:val="20"/>
          <w:vertAlign w:val="superscript"/>
        </w:rPr>
        <w:footnoteReference w:customMarkFollows="1" w:id="1"/>
        <w:t>*</w:t>
      </w:r>
      <w:r w:rsidRPr="00092C60">
        <w:t xml:space="preserve"> </w:t>
      </w:r>
      <w:r w:rsidRPr="00092C60">
        <w:rPr>
          <w:b w:val="0"/>
          <w:sz w:val="20"/>
          <w:vertAlign w:val="superscript"/>
        </w:rPr>
        <w:footnoteReference w:customMarkFollows="1" w:id="2"/>
        <w:t>**</w:t>
      </w:r>
    </w:p>
    <w:p w:rsidR="00092C60" w:rsidRPr="00092C60" w:rsidRDefault="00092C60" w:rsidP="00092C60">
      <w:pPr>
        <w:pStyle w:val="SingleTxt"/>
        <w:spacing w:after="0" w:line="120" w:lineRule="exact"/>
        <w:rPr>
          <w:sz w:val="10"/>
          <w:lang w:val="en-US"/>
        </w:rPr>
      </w:pPr>
    </w:p>
    <w:p w:rsidR="00092C60" w:rsidRPr="00092C60" w:rsidRDefault="00092C60" w:rsidP="00092C60">
      <w:pPr>
        <w:pStyle w:val="SingleTxt"/>
        <w:spacing w:after="0" w:line="120" w:lineRule="exact"/>
        <w:rPr>
          <w:sz w:val="10"/>
          <w:lang w:val="en-US"/>
        </w:rPr>
      </w:pPr>
    </w:p>
    <w:p w:rsidR="00092C60" w:rsidRPr="00092C60" w:rsidRDefault="00092C60" w:rsidP="00092C60">
      <w:pPr>
        <w:pStyle w:val="SingleTxt"/>
        <w:spacing w:after="0" w:line="120" w:lineRule="exact"/>
        <w:rPr>
          <w:sz w:val="10"/>
          <w:lang w:val="en-US"/>
        </w:rPr>
      </w:pPr>
    </w:p>
    <w:p w:rsidR="008E38CB" w:rsidRPr="008E38CB" w:rsidRDefault="008E38CB" w:rsidP="008E38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  <w:t>I.</w:t>
      </w:r>
      <w:r w:rsidRPr="008E38CB">
        <w:tab/>
        <w:t>Общие сведения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Введение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1.</w:t>
      </w:r>
      <w:r w:rsidRPr="008E38CB">
        <w:tab/>
        <w:t>Общее описание политического, законодательного, социального и экон</w:t>
      </w:r>
      <w:r w:rsidRPr="008E38CB">
        <w:t>о</w:t>
      </w:r>
      <w:r w:rsidRPr="008E38CB">
        <w:t xml:space="preserve">мического устройства острова Мэн приводится в приложении XII к </w:t>
      </w:r>
      <w:r>
        <w:t>«</w:t>
      </w:r>
      <w:r w:rsidRPr="008E38CB">
        <w:t>Базовому документу о заморских территориях и зависимых территориях Короны Соед</w:t>
      </w:r>
      <w:r w:rsidRPr="008E38CB">
        <w:t>и</w:t>
      </w:r>
      <w:r w:rsidRPr="008E38CB">
        <w:t>ненного Королевства</w:t>
      </w:r>
      <w:r>
        <w:t>»</w:t>
      </w:r>
      <w:r w:rsidRPr="008E38CB">
        <w:t xml:space="preserve"> (HRI/CORE/1/Add.62, январь 1996 года) и дополняется в части</w:t>
      </w:r>
      <w:r>
        <w:t> </w:t>
      </w:r>
      <w:r w:rsidRPr="008E38CB">
        <w:t>I первоначального доклада об острове Мэн (CEDAW/C/5/Add.52/</w:t>
      </w:r>
      <w:r w:rsidRPr="008E38CB">
        <w:br/>
        <w:t>Amend.3).</w:t>
      </w:r>
    </w:p>
    <w:p w:rsidR="008E38CB" w:rsidRPr="008E38CB" w:rsidRDefault="008E38CB" w:rsidP="008E38CB">
      <w:pPr>
        <w:pStyle w:val="SingleTxt"/>
      </w:pPr>
      <w:r w:rsidRPr="008E38CB">
        <w:t>2.</w:t>
      </w:r>
      <w:r w:rsidRPr="008E38CB">
        <w:tab/>
        <w:t>В настоящем докладе содержится информация о событиях, касающихся осуществления Конвенции после представления периодического доклада за 2007 год (CEDAW/C/UK/6/Add.1).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8E38CB">
        <w:tab/>
      </w:r>
      <w:r w:rsidRPr="008E38CB">
        <w:tab/>
        <w:t>Население и экономика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3.</w:t>
      </w:r>
      <w:r w:rsidRPr="008E38CB">
        <w:tab/>
        <w:t>На момент подготовки настоящего обновленного доклада новая статист</w:t>
      </w:r>
      <w:r w:rsidRPr="008E38CB">
        <w:t>и</w:t>
      </w:r>
      <w:r w:rsidRPr="008E38CB">
        <w:t>ческая информация отсутствует. Следующая перепись населения острова Мэн, которая будет полномасштабной перепись</w:t>
      </w:r>
      <w:r>
        <w:t>ю населения, будет проведена 27 </w:t>
      </w:r>
      <w:r w:rsidRPr="008E38CB">
        <w:t>марта 2011</w:t>
      </w:r>
      <w:r>
        <w:t> </w:t>
      </w:r>
      <w:r w:rsidRPr="008E38CB">
        <w:t>года, и предполагается, что ее полные результаты будут опубл</w:t>
      </w:r>
      <w:r w:rsidRPr="008E38CB">
        <w:t>и</w:t>
      </w:r>
      <w:r w:rsidRPr="008E38CB">
        <w:t>кованы в начале 2012 года.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Оговорки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4.</w:t>
      </w:r>
      <w:r w:rsidRPr="008E38CB">
        <w:tab/>
        <w:t>Правительство острова Мэн отмечает, что правительство Соединенного Королевства сняло ряд оговорок к Конвенции, которые в прошлом примен</w:t>
      </w:r>
      <w:r w:rsidRPr="008E38CB">
        <w:t>я</w:t>
      </w:r>
      <w:r w:rsidRPr="008E38CB">
        <w:t>лись к Соединенному Королевству и которые продолжают применяться в о</w:t>
      </w:r>
      <w:r w:rsidRPr="008E38CB">
        <w:t>т</w:t>
      </w:r>
      <w:r w:rsidRPr="008E38CB">
        <w:t>ношении острова Мэн. В настоящее время правительство острова Мэн ра</w:t>
      </w:r>
      <w:r w:rsidRPr="008E38CB">
        <w:t>с</w:t>
      </w:r>
      <w:r w:rsidRPr="008E38CB">
        <w:t>сматривает вопрос о том, какие из этих оговорок, которые были сняты в отн</w:t>
      </w:r>
      <w:r w:rsidRPr="008E38CB">
        <w:t>о</w:t>
      </w:r>
      <w:r w:rsidRPr="008E38CB">
        <w:t>шении Соединенного Королевства, могут быть сняты также в отношении ос</w:t>
      </w:r>
      <w:r w:rsidRPr="008E38CB">
        <w:t>т</w:t>
      </w:r>
      <w:r w:rsidRPr="008E38CB">
        <w:t>рова Мэн.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  <w:t>II.</w:t>
      </w:r>
      <w:r w:rsidRPr="008E38CB">
        <w:tab/>
        <w:t>Статьи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Статьи 2 и 3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5.</w:t>
      </w:r>
      <w:r w:rsidRPr="008E38CB">
        <w:tab/>
        <w:t>В Стратегическом плане правительства острова Мэн на 2007</w:t>
      </w:r>
      <w:r>
        <w:t>–</w:t>
      </w:r>
      <w:r w:rsidRPr="008E38CB">
        <w:t>2011</w:t>
      </w:r>
      <w:r>
        <w:t> </w:t>
      </w:r>
      <w:r w:rsidRPr="008E38CB">
        <w:t xml:space="preserve">годы поставлена общая цель правительства по </w:t>
      </w:r>
      <w:r>
        <w:t>«</w:t>
      </w:r>
      <w:r w:rsidRPr="008E38CB">
        <w:t>защите семьи, содействию ее благ</w:t>
      </w:r>
      <w:r w:rsidRPr="008E38CB">
        <w:t>о</w:t>
      </w:r>
      <w:r w:rsidRPr="008E38CB">
        <w:t>состоянию и обеспечению экономической и социальной интеграции всех слоев населения в наше сообщество".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4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6.</w:t>
      </w:r>
      <w:r w:rsidRPr="008E38CB">
        <w:tab/>
        <w:t>Новая информация для доклада отсутствует. В настоящее время на остр</w:t>
      </w:r>
      <w:r w:rsidRPr="008E38CB">
        <w:t>о</w:t>
      </w:r>
      <w:r w:rsidRPr="008E38CB">
        <w:t xml:space="preserve">ве Мэн не действуют какие-либо меры </w:t>
      </w:r>
      <w:r>
        <w:t>«</w:t>
      </w:r>
      <w:r w:rsidRPr="008E38CB">
        <w:t>позитивной дискриминации</w:t>
      </w:r>
      <w:r>
        <w:t>»</w:t>
      </w:r>
      <w:r w:rsidRPr="008E38CB">
        <w:t>. Однако, как сообщалось ранее, действуют меры по защите женщин от дискриминации в сфере занятости в период беременности и после родов.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5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7.</w:t>
      </w:r>
      <w:r w:rsidRPr="008E38CB">
        <w:tab/>
        <w:t>Новая информация для доклада отсутствует.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6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8.</w:t>
      </w:r>
      <w:r w:rsidRPr="008E38CB">
        <w:tab/>
        <w:t>Как сообщалось в предыдущем докладе, склонение какого-либо лица к занятию проституцией в любой стране мира или склонение какого-либо лица покинуть остров Мэн в целях занятия проституцией является преступлением, в соответствии с (принятым Тинвальдом) Законом о сексуальных преступлениях 1992 года.</w:t>
      </w:r>
    </w:p>
    <w:p w:rsidR="008E38CB" w:rsidRPr="008E38CB" w:rsidRDefault="008E38CB" w:rsidP="008E38CB">
      <w:pPr>
        <w:pStyle w:val="SingleTxt"/>
      </w:pPr>
      <w:r w:rsidRPr="008E38CB">
        <w:t>9.</w:t>
      </w:r>
      <w:r w:rsidRPr="008E38CB">
        <w:tab/>
        <w:t>Что касается незаконного ввоза людей (женщин или мужчин) на остров Мэн для целей эксплуатации и занятия проституцией, в 2008 году законод</w:t>
      </w:r>
      <w:r w:rsidRPr="008E38CB">
        <w:t>а</w:t>
      </w:r>
      <w:r w:rsidRPr="008E38CB">
        <w:t>тельство, действующее на острове, было обновлено. Законодательство острова Мэн по вопросам иммиграции и гражданства является законодательством С</w:t>
      </w:r>
      <w:r w:rsidRPr="008E38CB">
        <w:t>о</w:t>
      </w:r>
      <w:r w:rsidRPr="008E38CB">
        <w:t>единенного Королевства, распространенным на остров с соответствующими изменениями. В частности, в соответствии с Указом (острова Мэн) 2008 года об иммиграции, на остров было распространено действие положений Закона Соединенного Королевства 2002 года о гражданстве, иммиграции и предоста</w:t>
      </w:r>
      <w:r w:rsidRPr="008E38CB">
        <w:t>в</w:t>
      </w:r>
      <w:r w:rsidRPr="008E38CB">
        <w:t>лении убежища и Закона Соединенного Королевства 2004 года о предоставл</w:t>
      </w:r>
      <w:r w:rsidRPr="008E38CB">
        <w:t>е</w:t>
      </w:r>
      <w:r w:rsidRPr="008E38CB">
        <w:t>нии убежища и иммиграции (обращении с лицами, запрашивающими убежище, и т. п.). К числу таких действующих в настоящее время на острове Мэн пол</w:t>
      </w:r>
      <w:r w:rsidRPr="008E38CB">
        <w:t>о</w:t>
      </w:r>
      <w:r w:rsidRPr="008E38CB">
        <w:t>жений относятся положения соответствующих разделов, касающихся торговли людьми, занимающимися проституцией (раздел 145 Закона 2002 года), и то</w:t>
      </w:r>
      <w:r w:rsidRPr="008E38CB">
        <w:t>р</w:t>
      </w:r>
      <w:r w:rsidRPr="008E38CB">
        <w:t>говли людьми в целях эксплуатации (раздел 4 Закона 2004 года).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7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10.</w:t>
      </w:r>
      <w:r w:rsidRPr="008E38CB">
        <w:tab/>
        <w:t>Новая информация для доклада отсутствует. На острове Мэн не сущес</w:t>
      </w:r>
      <w:r w:rsidRPr="008E38CB">
        <w:t>т</w:t>
      </w:r>
      <w:r w:rsidRPr="008E38CB">
        <w:t>вует различий между мужчинами и женщинами в том, что касается участия в выборах должностных лиц органов государственной власти, выступления в к</w:t>
      </w:r>
      <w:r w:rsidRPr="008E38CB">
        <w:t>а</w:t>
      </w:r>
      <w:r w:rsidRPr="008E38CB">
        <w:t>честве кандидата на эти должности и занятия этих должностей, выполнения функций в правительственных органах, а также участия в деятельности непр</w:t>
      </w:r>
      <w:r w:rsidRPr="008E38CB">
        <w:t>а</w:t>
      </w:r>
      <w:r w:rsidRPr="008E38CB">
        <w:t>вительственных организаций.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8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11.</w:t>
      </w:r>
      <w:r w:rsidRPr="008E38CB">
        <w:tab/>
        <w:t>Новая информация для доклада отсутствует. Любое лицо, занимающее соответствующую должность в правительстве острова Мэн, может, находясь за пределами острова, представлять правительство, независимо от того, является ли это лицо мужчиной или женщиной.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9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12.</w:t>
      </w:r>
      <w:r w:rsidRPr="008E38CB">
        <w:tab/>
        <w:t>Действующее на острове Мэн законодательство по вопросам гражданства и иммиграции является законодательством Соединенного Королевства, распр</w:t>
      </w:r>
      <w:r w:rsidRPr="008E38CB">
        <w:t>о</w:t>
      </w:r>
      <w:r w:rsidRPr="008E38CB">
        <w:t>страненным на остров. В соответствии с Указом (острова Мэн) 2008 года об иммиграции, этот законодательный акт, действующий на острове Мэн, был о</w:t>
      </w:r>
      <w:r w:rsidRPr="008E38CB">
        <w:t>б</w:t>
      </w:r>
      <w:r w:rsidRPr="008E38CB">
        <w:t>новлен посредством распространения положений законов Соединенного Кор</w:t>
      </w:r>
      <w:r w:rsidRPr="008E38CB">
        <w:t>о</w:t>
      </w:r>
      <w:r w:rsidRPr="008E38CB">
        <w:t>левства, включая положения, содержащиеся в Законе 2006 года об иммиграции, предоставлении убежища и гражданстве.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10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13.</w:t>
      </w:r>
      <w:r w:rsidRPr="008E38CB">
        <w:tab/>
        <w:t>Как сообщалось в предыдущем докладе, предоставление начального, среднего и профессионального образования обеспечивается правительством острова Мэн в равной степени девочкам и мальчикам.</w:t>
      </w:r>
    </w:p>
    <w:p w:rsidR="008E38CB" w:rsidRPr="008E38CB" w:rsidRDefault="008E38CB" w:rsidP="008E38CB">
      <w:pPr>
        <w:pStyle w:val="SingleTxt"/>
      </w:pPr>
      <w:r w:rsidRPr="008E38CB">
        <w:t>14.</w:t>
      </w:r>
      <w:r w:rsidRPr="008E38CB">
        <w:tab/>
        <w:t>Служба профессиональной подготовки продолжает оказание консульт</w:t>
      </w:r>
      <w:r w:rsidRPr="008E38CB">
        <w:t>а</w:t>
      </w:r>
      <w:r w:rsidRPr="008E38CB">
        <w:t>ционных услуг по вопросам профессиональной ориентации и выбора профе</w:t>
      </w:r>
      <w:r w:rsidRPr="008E38CB">
        <w:t>с</w:t>
      </w:r>
      <w:r w:rsidRPr="008E38CB">
        <w:t>сии мальчикам и девочкам, мужчинам и женщинам, без какой-либо дискрим</w:t>
      </w:r>
      <w:r w:rsidRPr="008E38CB">
        <w:t>и</w:t>
      </w:r>
      <w:r w:rsidRPr="008E38CB">
        <w:t>нации по признаку пола. Бюро по трудоустройству, функции которого в н</w:t>
      </w:r>
      <w:r w:rsidRPr="008E38CB">
        <w:t>а</w:t>
      </w:r>
      <w:r w:rsidRPr="008E38CB">
        <w:t>стоящее время осуществляет Министерство экономического развития, также обеспечивает гарантии того, чтобы все вакансии, за исключением очень н</w:t>
      </w:r>
      <w:r w:rsidRPr="008E38CB">
        <w:t>е</w:t>
      </w:r>
      <w:r w:rsidRPr="008E38CB">
        <w:t>большого числа рабочих мест, для приема на которые реальным професси</w:t>
      </w:r>
      <w:r w:rsidRPr="008E38CB">
        <w:t>о</w:t>
      </w:r>
      <w:r w:rsidRPr="008E38CB">
        <w:t>нальным квалификационным требованием является половая принадлежность соискателя, были открыты для мужчин и женщин. В отчетный период Служба профессиональной подготовки была переведена из бывшего Министерства о</w:t>
      </w:r>
      <w:r w:rsidRPr="008E38CB">
        <w:t>б</w:t>
      </w:r>
      <w:r w:rsidRPr="008E38CB">
        <w:t>разования (в настоящее время Министерство по делам образования и детей) в Министерство экономического развития.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11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15.</w:t>
      </w:r>
      <w:r w:rsidRPr="008E38CB">
        <w:tab/>
        <w:t>Основным законодательным актом по предупреждению дискриминации в области занятости на острове по-прежнему является Закон о занятости (ди</w:t>
      </w:r>
      <w:r w:rsidRPr="008E38CB">
        <w:t>с</w:t>
      </w:r>
      <w:r w:rsidRPr="008E38CB">
        <w:t>криминации по половому признаку) 2000 года. Остаются в силе новые права, предусмотренные Законом о занятости 2006 года и подзаконными актами, пр</w:t>
      </w:r>
      <w:r w:rsidRPr="008E38CB">
        <w:t>и</w:t>
      </w:r>
      <w:r w:rsidRPr="008E38CB">
        <w:t>нятыми в соответствии с этим Законом, такие как значительно расширенные права матери и ребенка, которые были описаны в предыдущем докладе.</w:t>
      </w:r>
    </w:p>
    <w:p w:rsidR="008E38CB" w:rsidRPr="008E38CB" w:rsidRDefault="008E38CB" w:rsidP="008E38CB">
      <w:pPr>
        <w:pStyle w:val="SingleTxt"/>
      </w:pPr>
      <w:r w:rsidRPr="008E38CB">
        <w:t>16.</w:t>
      </w:r>
      <w:r w:rsidRPr="008E38CB">
        <w:tab/>
        <w:t>В 2010 году Министерство торговли и промышленности, которое, в час</w:t>
      </w:r>
      <w:r w:rsidRPr="008E38CB">
        <w:t>т</w:t>
      </w:r>
      <w:r w:rsidRPr="008E38CB">
        <w:t>ности, отвечает за исполнение Закона о занятости и за политику професси</w:t>
      </w:r>
      <w:r w:rsidRPr="008E38CB">
        <w:t>о</w:t>
      </w:r>
      <w:r w:rsidRPr="008E38CB">
        <w:t>нальной подготовки и ее финансирование, было включено в состав нового, б</w:t>
      </w:r>
      <w:r w:rsidRPr="008E38CB">
        <w:t>о</w:t>
      </w:r>
      <w:r w:rsidRPr="008E38CB">
        <w:t>лее крупного Министерства экономического развития, которое взяло на себя функции указанного бывшего Министерства.</w:t>
      </w:r>
    </w:p>
    <w:p w:rsidR="008E38CB" w:rsidRPr="008E38CB" w:rsidRDefault="008E38CB" w:rsidP="008E38CB">
      <w:pPr>
        <w:pStyle w:val="SingleTxt"/>
      </w:pPr>
      <w:r w:rsidRPr="008E38CB">
        <w:t>17.</w:t>
      </w:r>
      <w:r w:rsidRPr="008E38CB">
        <w:tab/>
        <w:t>Министерство экономического развития работает над подготовкой Закона о равенстве в области занятости, в соответствии с которым будет являться н</w:t>
      </w:r>
      <w:r w:rsidRPr="008E38CB">
        <w:t>е</w:t>
      </w:r>
      <w:r w:rsidRPr="008E38CB">
        <w:t>законной дискриминация в области занятости по другим признакам. Этот З</w:t>
      </w:r>
      <w:r w:rsidRPr="008E38CB">
        <w:t>а</w:t>
      </w:r>
      <w:r w:rsidRPr="008E38CB">
        <w:t>кон также может способствовать дальнейшему укреплению действующих п</w:t>
      </w:r>
      <w:r w:rsidRPr="008E38CB">
        <w:t>о</w:t>
      </w:r>
      <w:r w:rsidRPr="008E38CB">
        <w:t>ложений, касающихся отпуска по беременности и родам, и усилению защиты от дискриминации в отношении беременных женщин.</w:t>
      </w:r>
    </w:p>
    <w:p w:rsidR="008E38CB" w:rsidRPr="008E38CB" w:rsidRDefault="008E38CB" w:rsidP="008E38CB">
      <w:pPr>
        <w:pStyle w:val="SingleTxt"/>
      </w:pPr>
      <w:r w:rsidRPr="008E38CB">
        <w:t>18.</w:t>
      </w:r>
      <w:r w:rsidRPr="008E38CB">
        <w:tab/>
        <w:t>Что касается курсов профессиональной подготовки, организуемых при непосредственном участии Министерства экономического развития, текущая статистика показывает, что на курсах профессиональной подготовки по стро</w:t>
      </w:r>
      <w:r w:rsidRPr="008E38CB">
        <w:t>и</w:t>
      </w:r>
      <w:r w:rsidRPr="008E38CB">
        <w:t>тельным специальностям обучаются 240 мужчин и 4 женщины; на курсах пр</w:t>
      </w:r>
      <w:r w:rsidRPr="008E38CB">
        <w:t>о</w:t>
      </w:r>
      <w:r w:rsidRPr="008E38CB">
        <w:t>фессиональной подготовки по специальностям, не связанным со строительс</w:t>
      </w:r>
      <w:r w:rsidRPr="008E38CB">
        <w:t>т</w:t>
      </w:r>
      <w:r w:rsidRPr="008E38CB">
        <w:t>вом (например, инженерно-технические работы, парикмахерское дело, инфо</w:t>
      </w:r>
      <w:r w:rsidRPr="008E38CB">
        <w:t>р</w:t>
      </w:r>
      <w:r w:rsidRPr="008E38CB">
        <w:t>мационные технологии), обучаются 172 мужчины и 34 женщины.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12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19.</w:t>
      </w:r>
      <w:r w:rsidRPr="008E38CB">
        <w:tab/>
        <w:t>Правительство острова Мэн продолжает оказывать самый широкий спектр медицинских услуг на самом высоком техническом уровне всем пост</w:t>
      </w:r>
      <w:r w:rsidRPr="008E38CB">
        <w:t>о</w:t>
      </w:r>
      <w:r w:rsidRPr="008E38CB">
        <w:t>янным жителям острова, независимо от их пола. Больничные услуги предо</w:t>
      </w:r>
      <w:r w:rsidRPr="008E38CB">
        <w:t>с</w:t>
      </w:r>
      <w:r w:rsidRPr="008E38CB">
        <w:t>тавляются по большей части в новой клинике Ноубл, расположенной в приг</w:t>
      </w:r>
      <w:r w:rsidRPr="008E38CB">
        <w:t>о</w:t>
      </w:r>
      <w:r w:rsidRPr="008E38CB">
        <w:t>роде столицы острова Дуглас.</w:t>
      </w:r>
    </w:p>
    <w:p w:rsidR="008E38CB" w:rsidRPr="008E38CB" w:rsidRDefault="008E38CB" w:rsidP="008E38CB">
      <w:pPr>
        <w:pStyle w:val="SingleTxt"/>
      </w:pPr>
      <w:r w:rsidRPr="008E38CB">
        <w:t>20.</w:t>
      </w:r>
      <w:r w:rsidRPr="008E38CB">
        <w:tab/>
        <w:t>В 2007/08 году были введены услуги по обследованию молочных желез, успешно предоставляемые на основе обращений и повторных обращений, с двухгодичным циклом повторных обращений. Имеются планы расширения в ближайшие два года, при наличии ресурсов, существующей службы хирургии молочных желез, с тем чтобы включить в ее функции проведение биопсии си</w:t>
      </w:r>
      <w:r w:rsidRPr="008E38CB">
        <w:t>г</w:t>
      </w:r>
      <w:r w:rsidRPr="008E38CB">
        <w:t xml:space="preserve">нального лимфоузла. </w:t>
      </w:r>
    </w:p>
    <w:p w:rsidR="008E38CB" w:rsidRPr="008E38CB" w:rsidRDefault="008E38CB" w:rsidP="008E38CB">
      <w:pPr>
        <w:pStyle w:val="SingleTxt"/>
      </w:pPr>
      <w:r w:rsidRPr="008E38CB">
        <w:t>21.</w:t>
      </w:r>
      <w:r w:rsidRPr="008E38CB">
        <w:tab/>
        <w:t>Время работы службы планирования семьи установлено с учетом пожел</w:t>
      </w:r>
      <w:r w:rsidRPr="008E38CB">
        <w:t>а</w:t>
      </w:r>
      <w:r w:rsidRPr="008E38CB">
        <w:t>ний женщин, пользующихся данными услугами.</w:t>
      </w:r>
    </w:p>
    <w:p w:rsidR="008E38CB" w:rsidRPr="008E38CB" w:rsidRDefault="008E38CB" w:rsidP="008E38CB">
      <w:pPr>
        <w:pStyle w:val="SingleTxt"/>
      </w:pPr>
      <w:r w:rsidRPr="008E38CB">
        <w:t>22.</w:t>
      </w:r>
      <w:r w:rsidRPr="008E38CB">
        <w:tab/>
        <w:t>Программа оказания помощи престарелым, находящаяся в настоящее время на самых ранних стадиях разработки, будет непосредственно включать учет несоразмерно тяжелого бремени работы по уходу за престарелыми, кот</w:t>
      </w:r>
      <w:r w:rsidRPr="008E38CB">
        <w:t>о</w:t>
      </w:r>
      <w:r w:rsidRPr="008E38CB">
        <w:t>рое ложится на плечи женщин, а также поиск путей возможного сведения к минимуму или устранения негативных последствий этого бремени.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13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23.</w:t>
      </w:r>
      <w:r w:rsidRPr="008E38CB">
        <w:tab/>
        <w:t>Правительство острова Мэн (в настоящее время через Министерство с</w:t>
      </w:r>
      <w:r w:rsidRPr="008E38CB">
        <w:t>о</w:t>
      </w:r>
      <w:r w:rsidRPr="008E38CB">
        <w:t>циального обеспечения) продолжает предоставлять полный набор социальных льгот, в том числе выплату пособий семьям, имеющим малый доход, детских пособий и пособий по беременности и родам. Более подробную информацию о комплексе предоставляемых социальных льгот, а также о текущих ставках с</w:t>
      </w:r>
      <w:r w:rsidRPr="008E38CB">
        <w:t>о</w:t>
      </w:r>
      <w:r w:rsidRPr="008E38CB">
        <w:t>циальных выплат можно найти на сайте: http://www.gov.im/socialcare/security/.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14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24.</w:t>
      </w:r>
      <w:r w:rsidRPr="008E38CB">
        <w:tab/>
        <w:t>Новая информация для доклада отсутствует. Данная статья не имеет н</w:t>
      </w:r>
      <w:r w:rsidRPr="008E38CB">
        <w:t>е</w:t>
      </w:r>
      <w:r w:rsidRPr="008E38CB">
        <w:t>посредственного отношения к острову Мэн, поскольку его юрисдикция ра</w:t>
      </w:r>
      <w:r w:rsidRPr="008E38CB">
        <w:t>с</w:t>
      </w:r>
      <w:r w:rsidRPr="008E38CB">
        <w:t>пространяется на небольшую территорию с современной инфраструктурой, покрывающей остров.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15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25.</w:t>
      </w:r>
      <w:r w:rsidRPr="008E38CB">
        <w:tab/>
        <w:t>Новая информация для доклада отсутствует. На острове Мэн женщины и мужчины полностью равноправны перед законом.</w:t>
      </w: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b/>
          <w:bCs/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tab/>
      </w:r>
      <w:r w:rsidRPr="008E38CB">
        <w:tab/>
        <w:t>Статья 16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</w:pPr>
      <w:r w:rsidRPr="008E38CB">
        <w:t>26.</w:t>
      </w:r>
      <w:r w:rsidRPr="008E38CB">
        <w:tab/>
        <w:t>Со времени представления предыдущего доклада законодательная база в этой области не изменилась.</w:t>
      </w:r>
    </w:p>
    <w:p w:rsidR="008E38CB" w:rsidRPr="008E38CB" w:rsidRDefault="008E38CB" w:rsidP="008E38CB">
      <w:pPr>
        <w:pStyle w:val="SingleTxt"/>
      </w:pPr>
      <w:r w:rsidRPr="008E38CB">
        <w:t>27.</w:t>
      </w:r>
      <w:r w:rsidRPr="008E38CB">
        <w:tab/>
        <w:t>Министерство здравоохранения являлось ведущим учреждением по ос</w:t>
      </w:r>
      <w:r w:rsidRPr="008E38CB">
        <w:t>у</w:t>
      </w:r>
      <w:r w:rsidRPr="008E38CB">
        <w:t>ществлению принятой в 2010</w:t>
      </w:r>
      <w:r>
        <w:t> </w:t>
      </w:r>
      <w:r w:rsidRPr="008E38CB">
        <w:t>году Стратегии борьбы с насилием в семье, я</w:t>
      </w:r>
      <w:r w:rsidRPr="008E38CB">
        <w:t>в</w:t>
      </w:r>
      <w:r w:rsidRPr="008E38CB">
        <w:t>ляющейся комплексной стратегией, которая в настоящее время находится на утверждении учреждений, оказывающих содействие в ее реализации.</w:t>
      </w:r>
    </w:p>
    <w:p w:rsidR="008E38CB" w:rsidRDefault="008E38CB" w:rsidP="008E38CB">
      <w:pPr>
        <w:pStyle w:val="SingleTxt"/>
      </w:pPr>
      <w:r w:rsidRPr="008E38CB">
        <w:t>28.</w:t>
      </w:r>
      <w:r w:rsidRPr="008E38CB">
        <w:tab/>
        <w:t>В настоящее время случаи физического насилия, происходящие в дома</w:t>
      </w:r>
      <w:r w:rsidRPr="008E38CB">
        <w:t>ш</w:t>
      </w:r>
      <w:r w:rsidRPr="008E38CB">
        <w:t>ней обстановке, рассматриваются полицией острова Мэн как случаи, требу</w:t>
      </w:r>
      <w:r w:rsidRPr="008E38CB">
        <w:t>ю</w:t>
      </w:r>
      <w:r w:rsidRPr="008E38CB">
        <w:t>щие первоочередного внимания, и общий подход полицейских органов в этой области претерпел значительные изменения. Число этих преступлений, зарег</w:t>
      </w:r>
      <w:r w:rsidRPr="008E38CB">
        <w:t>и</w:t>
      </w:r>
      <w:r w:rsidRPr="008E38CB">
        <w:t>стрированных полицией за последние четыре года, показано в приводимой н</w:t>
      </w:r>
      <w:r w:rsidRPr="008E38CB">
        <w:t>и</w:t>
      </w:r>
      <w:r w:rsidRPr="008E38CB">
        <w:t>же таблице.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</w:tblGrid>
      <w:tr w:rsidR="008E38CB" w:rsidRPr="008E38CB" w:rsidTr="008E38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  <w:r w:rsidRPr="008E38CB">
              <w:rPr>
                <w:i/>
                <w:sz w:val="14"/>
              </w:rPr>
              <w:t>Год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8E38CB">
              <w:rPr>
                <w:i/>
                <w:sz w:val="14"/>
              </w:rPr>
              <w:t>2006/07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8E38CB">
              <w:rPr>
                <w:i/>
                <w:sz w:val="14"/>
              </w:rPr>
              <w:t>2007/08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8E38CB">
              <w:rPr>
                <w:i/>
                <w:sz w:val="14"/>
              </w:rPr>
              <w:t>2008/09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8E38CB">
              <w:rPr>
                <w:i/>
                <w:sz w:val="14"/>
              </w:rPr>
              <w:t>2009/10</w:t>
            </w:r>
          </w:p>
        </w:tc>
      </w:tr>
      <w:tr w:rsidR="008E38CB" w:rsidRPr="008E38CB" w:rsidTr="008E38CB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8E38CB" w:rsidRPr="008E38CB" w:rsidTr="008E3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8E38CB">
              <w:rPr>
                <w:sz w:val="17"/>
              </w:rPr>
              <w:t>Число зарегис</w:t>
            </w:r>
            <w:r w:rsidRPr="008E38CB">
              <w:rPr>
                <w:sz w:val="17"/>
              </w:rPr>
              <w:t>т</w:t>
            </w:r>
            <w:r w:rsidRPr="008E38CB">
              <w:rPr>
                <w:sz w:val="17"/>
              </w:rPr>
              <w:t>рированных сл</w:t>
            </w:r>
            <w:r w:rsidRPr="008E38CB">
              <w:rPr>
                <w:sz w:val="17"/>
              </w:rPr>
              <w:t>у</w:t>
            </w:r>
            <w:r w:rsidRPr="008E38CB">
              <w:rPr>
                <w:sz w:val="17"/>
              </w:rPr>
              <w:t>чаев домашнего насилия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8E38CB">
              <w:rPr>
                <w:sz w:val="17"/>
              </w:rPr>
              <w:t>168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8E38CB">
              <w:rPr>
                <w:sz w:val="17"/>
              </w:rPr>
              <w:t>111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8E38CB">
              <w:rPr>
                <w:sz w:val="17"/>
              </w:rPr>
              <w:t>124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38CB" w:rsidRPr="008E38CB" w:rsidRDefault="008E38CB" w:rsidP="008E38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8E38CB">
              <w:rPr>
                <w:sz w:val="17"/>
              </w:rPr>
              <w:t>103</w:t>
            </w:r>
          </w:p>
        </w:tc>
      </w:tr>
    </w:tbl>
    <w:p w:rsidR="008E38CB" w:rsidRDefault="008E38CB" w:rsidP="008E38CB">
      <w:pPr>
        <w:pStyle w:val="SingleTxt"/>
      </w:pPr>
    </w:p>
    <w:p w:rsidR="008E38CB" w:rsidRPr="008E38CB" w:rsidRDefault="008E38CB" w:rsidP="008E38CB">
      <w:pPr>
        <w:pStyle w:val="SingleTxt"/>
      </w:pPr>
    </w:p>
    <w:p w:rsidR="008E38CB" w:rsidRDefault="008E38CB" w:rsidP="008E38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E38CB">
        <w:br w:type="page"/>
        <w:t>Приложение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E38CB">
        <w:t>Документы, представляемые Комитету вместе с настоящим докладом</w:t>
      </w: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8E38CB" w:rsidRPr="008E38CB" w:rsidRDefault="008E38CB" w:rsidP="008E38CB">
      <w:pPr>
        <w:pStyle w:val="SingleTxt"/>
        <w:spacing w:after="0" w:line="120" w:lineRule="exact"/>
        <w:rPr>
          <w:sz w:val="10"/>
        </w:rPr>
      </w:pPr>
    </w:p>
    <w:p w:rsidR="00092C60" w:rsidRDefault="008E38CB" w:rsidP="008E38CB">
      <w:pPr>
        <w:pStyle w:val="SingleTxt"/>
      </w:pPr>
      <w:r w:rsidRPr="008E38CB">
        <w:t>Указ (острова Мэн) 2008 года об иммиграции (SI 2008/680)</w:t>
      </w:r>
    </w:p>
    <w:p w:rsidR="008E38CB" w:rsidRPr="006836A3" w:rsidRDefault="006836A3" w:rsidP="006836A3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8E38CB" w:rsidRPr="006836A3" w:rsidSect="004C186B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2-09-05T14:22:00Z" w:initials="Start">
    <w:p w:rsidR="006836A3" w:rsidRPr="00092C60" w:rsidRDefault="006836A3">
      <w:pPr>
        <w:pStyle w:val="CommentText"/>
        <w:rPr>
          <w:lang w:val="en-US"/>
        </w:rPr>
      </w:pPr>
      <w:r>
        <w:fldChar w:fldCharType="begin"/>
      </w:r>
      <w:r w:rsidRPr="00092C60">
        <w:rPr>
          <w:rStyle w:val="CommentReference"/>
          <w:lang w:val="en-US"/>
        </w:rPr>
        <w:instrText xml:space="preserve"> </w:instrText>
      </w:r>
      <w:r w:rsidRPr="00092C60">
        <w:rPr>
          <w:lang w:val="en-US"/>
        </w:rPr>
        <w:instrText>PAGE \# "'Page: '#'</w:instrText>
      </w:r>
      <w:r w:rsidRPr="00092C60">
        <w:rPr>
          <w:lang w:val="en-US"/>
        </w:rPr>
        <w:br/>
        <w:instrText>'"</w:instrText>
      </w:r>
      <w:r w:rsidRPr="00092C6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92C60">
        <w:rPr>
          <w:lang w:val="en-US"/>
        </w:rPr>
        <w:t>&lt;&lt;ODS JOB NO&gt;&gt;N1164911R&lt;&lt;ODS JOB NO&gt;&gt;</w:t>
      </w:r>
    </w:p>
    <w:p w:rsidR="006836A3" w:rsidRPr="00092C60" w:rsidRDefault="006836A3">
      <w:pPr>
        <w:pStyle w:val="CommentText"/>
        <w:rPr>
          <w:lang w:val="en-US"/>
        </w:rPr>
      </w:pPr>
      <w:r w:rsidRPr="00092C60">
        <w:rPr>
          <w:lang w:val="en-US"/>
        </w:rPr>
        <w:t>&lt;&lt;ODS DOC SYMBOL1&gt;&gt;CEDAW/C/GBR/7/Add.1&lt;&lt;ODS DOC SYMBOL1&gt;&gt;</w:t>
      </w:r>
    </w:p>
    <w:p w:rsidR="006836A3" w:rsidRPr="00092C60" w:rsidRDefault="006836A3">
      <w:pPr>
        <w:pStyle w:val="CommentText"/>
        <w:rPr>
          <w:lang w:val="en-US"/>
        </w:rPr>
      </w:pPr>
      <w:r w:rsidRPr="00092C6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76" w:rsidRDefault="001D2676">
      <w:r>
        <w:separator/>
      </w:r>
    </w:p>
  </w:endnote>
  <w:endnote w:type="continuationSeparator" w:id="0">
    <w:p w:rsidR="001D2676" w:rsidRDefault="001D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836A3" w:rsidTr="004C186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836A3" w:rsidRPr="004C186B" w:rsidRDefault="006836A3" w:rsidP="004C186B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D2C20">
            <w:t>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836A3" w:rsidRPr="004C186B" w:rsidRDefault="006836A3" w:rsidP="004C186B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t>11-64911X</w:t>
          </w:r>
        </w:p>
      </w:tc>
    </w:tr>
  </w:tbl>
  <w:p w:rsidR="006836A3" w:rsidRPr="004C186B" w:rsidRDefault="006836A3" w:rsidP="004C1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836A3" w:rsidTr="004C186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836A3" w:rsidRPr="004C186B" w:rsidRDefault="006836A3" w:rsidP="004C186B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t>11-64911X</w:t>
          </w:r>
        </w:p>
      </w:tc>
      <w:tc>
        <w:tcPr>
          <w:tcW w:w="5033" w:type="dxa"/>
          <w:shd w:val="clear" w:color="auto" w:fill="auto"/>
          <w:vAlign w:val="bottom"/>
        </w:tcPr>
        <w:p w:rsidR="006836A3" w:rsidRPr="004C186B" w:rsidRDefault="006836A3" w:rsidP="004C186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D2C20">
            <w:t>5</w:t>
          </w:r>
          <w:r>
            <w:fldChar w:fldCharType="end"/>
          </w:r>
        </w:p>
      </w:tc>
    </w:tr>
  </w:tbl>
  <w:p w:rsidR="006836A3" w:rsidRPr="004C186B" w:rsidRDefault="006836A3" w:rsidP="004C1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A3" w:rsidRDefault="006836A3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33"/>
    </w:tblGrid>
    <w:tr w:rsidR="006836A3" w:rsidTr="004C186B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6836A3" w:rsidRDefault="006836A3" w:rsidP="004C186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11-64911</w:t>
          </w:r>
          <w:r>
            <w:rPr>
              <w:b w:val="0"/>
              <w:sz w:val="20"/>
              <w:lang w:val="ru-RU"/>
            </w:rPr>
            <w:t>X</w:t>
          </w:r>
          <w:r w:rsidR="00497A3F">
            <w:rPr>
              <w:b w:val="0"/>
              <w:sz w:val="20"/>
            </w:rPr>
            <w:t xml:space="preserve"> (R)    1702</w:t>
          </w:r>
          <w:r>
            <w:rPr>
              <w:b w:val="0"/>
              <w:sz w:val="20"/>
            </w:rPr>
            <w:t>12    050912</w:t>
          </w:r>
        </w:p>
        <w:p w:rsidR="006836A3" w:rsidRPr="004C186B" w:rsidRDefault="006836A3" w:rsidP="004C186B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 w:rsidR="007D2C20">
            <w:rPr>
              <w:rFonts w:ascii="Barcode 3 of 9 by request" w:hAnsi="Barcode 3 of 9 by request"/>
              <w:b w:val="0"/>
              <w:sz w:val="24"/>
            </w:rPr>
            <w:t>*1164911*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6836A3" w:rsidRDefault="006836A3" w:rsidP="004C186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4C186B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6836A3" w:rsidRPr="004C186B" w:rsidRDefault="006836A3" w:rsidP="004C186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76" w:rsidRPr="00092C60" w:rsidRDefault="001D2676" w:rsidP="00092C60">
      <w:pPr>
        <w:pStyle w:val="Footer"/>
        <w:spacing w:after="80"/>
        <w:ind w:left="792"/>
        <w:rPr>
          <w:sz w:val="16"/>
        </w:rPr>
      </w:pPr>
      <w:r w:rsidRPr="00092C60">
        <w:rPr>
          <w:sz w:val="16"/>
        </w:rPr>
        <w:t>__________________</w:t>
      </w:r>
    </w:p>
  </w:footnote>
  <w:footnote w:type="continuationSeparator" w:id="0">
    <w:p w:rsidR="001D2676" w:rsidRPr="00092C60" w:rsidRDefault="001D2676" w:rsidP="00092C60">
      <w:pPr>
        <w:pStyle w:val="Footer"/>
        <w:spacing w:after="80"/>
        <w:ind w:left="792"/>
        <w:rPr>
          <w:sz w:val="16"/>
        </w:rPr>
      </w:pPr>
      <w:r w:rsidRPr="00092C60">
        <w:rPr>
          <w:sz w:val="16"/>
        </w:rPr>
        <w:t>__________________</w:t>
      </w:r>
    </w:p>
  </w:footnote>
  <w:footnote w:id="1">
    <w:p w:rsidR="006836A3" w:rsidRPr="00FF2F75" w:rsidRDefault="006836A3" w:rsidP="00092C6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A67B2">
        <w:rPr>
          <w:rStyle w:val="FootnoteReference"/>
        </w:rPr>
        <w:t>*</w:t>
      </w:r>
      <w:r w:rsidRPr="00092C60">
        <w:tab/>
      </w:r>
      <w:r w:rsidRPr="00C74747">
        <w:t>В</w:t>
      </w:r>
      <w:r w:rsidRPr="008A67B2">
        <w:t xml:space="preserve"> </w:t>
      </w:r>
      <w:r w:rsidRPr="00C74747">
        <w:t>соответствии</w:t>
      </w:r>
      <w:r w:rsidRPr="008A67B2">
        <w:t xml:space="preserve"> </w:t>
      </w:r>
      <w:r w:rsidRPr="00C74747">
        <w:t>с</w:t>
      </w:r>
      <w:r w:rsidRPr="008A67B2">
        <w:t xml:space="preserve"> </w:t>
      </w:r>
      <w:r>
        <w:t>направ</w:t>
      </w:r>
      <w:r w:rsidRPr="00C74747">
        <w:t>ленной</w:t>
      </w:r>
      <w:r w:rsidRPr="008A67B2">
        <w:t xml:space="preserve"> </w:t>
      </w:r>
      <w:r w:rsidRPr="00C74747">
        <w:t>государствам</w:t>
      </w:r>
      <w:r w:rsidRPr="008A67B2">
        <w:t>-</w:t>
      </w:r>
      <w:r w:rsidRPr="00C74747">
        <w:t>участникам</w:t>
      </w:r>
      <w:r w:rsidRPr="008A67B2">
        <w:t xml:space="preserve"> </w:t>
      </w:r>
      <w:r w:rsidRPr="00C74747">
        <w:t>информацией</w:t>
      </w:r>
      <w:r w:rsidRPr="008A67B2">
        <w:t xml:space="preserve"> </w:t>
      </w:r>
      <w:r w:rsidRPr="00C74747">
        <w:t>в</w:t>
      </w:r>
      <w:r w:rsidRPr="008A67B2">
        <w:t xml:space="preserve"> </w:t>
      </w:r>
      <w:r w:rsidRPr="00C74747">
        <w:t>отношении</w:t>
      </w:r>
      <w:r w:rsidRPr="008A67B2">
        <w:t xml:space="preserve"> </w:t>
      </w:r>
      <w:r w:rsidRPr="00C74747">
        <w:t>оформления</w:t>
      </w:r>
      <w:r w:rsidRPr="008A67B2">
        <w:t xml:space="preserve"> </w:t>
      </w:r>
      <w:r w:rsidRPr="00C74747">
        <w:t>их</w:t>
      </w:r>
      <w:r w:rsidRPr="008A67B2">
        <w:t xml:space="preserve"> </w:t>
      </w:r>
      <w:r w:rsidRPr="00C74747">
        <w:t>докладов</w:t>
      </w:r>
      <w:r w:rsidRPr="008A67B2">
        <w:t xml:space="preserve">, </w:t>
      </w:r>
      <w:r w:rsidRPr="00C74747">
        <w:t>настоящий</w:t>
      </w:r>
      <w:r w:rsidRPr="008A67B2">
        <w:t xml:space="preserve"> </w:t>
      </w:r>
      <w:r w:rsidRPr="00C74747">
        <w:t>документ</w:t>
      </w:r>
      <w:r w:rsidRPr="008A67B2">
        <w:t xml:space="preserve"> </w:t>
      </w:r>
      <w:r w:rsidRPr="00C74747">
        <w:t>до</w:t>
      </w:r>
      <w:r w:rsidRPr="008A67B2">
        <w:t xml:space="preserve"> </w:t>
      </w:r>
      <w:r w:rsidRPr="00C74747">
        <w:t>его</w:t>
      </w:r>
      <w:r w:rsidRPr="008A67B2">
        <w:t xml:space="preserve"> </w:t>
      </w:r>
      <w:r w:rsidRPr="00C74747">
        <w:t>передачи</w:t>
      </w:r>
      <w:r w:rsidRPr="008A67B2">
        <w:t xml:space="preserve"> </w:t>
      </w:r>
      <w:r w:rsidRPr="00C74747">
        <w:t>в</w:t>
      </w:r>
      <w:r w:rsidRPr="008A67B2">
        <w:t xml:space="preserve"> </w:t>
      </w:r>
      <w:r w:rsidRPr="00C74747">
        <w:t>переводческие</w:t>
      </w:r>
      <w:r w:rsidRPr="008A67B2">
        <w:t xml:space="preserve"> </w:t>
      </w:r>
      <w:r w:rsidRPr="00C74747">
        <w:t>службы</w:t>
      </w:r>
      <w:r w:rsidRPr="008A67B2">
        <w:t xml:space="preserve"> </w:t>
      </w:r>
      <w:r w:rsidRPr="00C74747">
        <w:t>Организации</w:t>
      </w:r>
      <w:r w:rsidRPr="008A67B2">
        <w:t xml:space="preserve"> </w:t>
      </w:r>
      <w:r w:rsidRPr="00C74747">
        <w:t>Объединенных</w:t>
      </w:r>
      <w:r w:rsidRPr="008A67B2">
        <w:t xml:space="preserve"> </w:t>
      </w:r>
      <w:r w:rsidRPr="00C74747">
        <w:t>Наций</w:t>
      </w:r>
      <w:r w:rsidRPr="008A67B2">
        <w:t xml:space="preserve"> </w:t>
      </w:r>
      <w:r w:rsidRPr="00C74747">
        <w:t>не</w:t>
      </w:r>
      <w:r w:rsidRPr="008A67B2">
        <w:t xml:space="preserve"> </w:t>
      </w:r>
      <w:r w:rsidRPr="00C74747">
        <w:t>был</w:t>
      </w:r>
      <w:r w:rsidRPr="008A67B2">
        <w:t xml:space="preserve"> </w:t>
      </w:r>
      <w:r w:rsidRPr="00C74747">
        <w:t>официально</w:t>
      </w:r>
      <w:r w:rsidRPr="008A67B2">
        <w:t xml:space="preserve"> </w:t>
      </w:r>
      <w:r w:rsidRPr="00C74747">
        <w:t>отредактирован</w:t>
      </w:r>
      <w:r w:rsidRPr="00FF2F75">
        <w:t>.</w:t>
      </w:r>
    </w:p>
  </w:footnote>
  <w:footnote w:id="2">
    <w:p w:rsidR="006836A3" w:rsidRPr="003E70B3" w:rsidRDefault="006836A3" w:rsidP="00092C6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A67B2">
        <w:rPr>
          <w:rStyle w:val="FootnoteReference"/>
        </w:rPr>
        <w:t>**</w:t>
      </w:r>
      <w:r w:rsidRPr="00092C60">
        <w:tab/>
      </w:r>
      <w:r>
        <w:t>С</w:t>
      </w:r>
      <w:r w:rsidRPr="00C74747">
        <w:t xml:space="preserve"> </w:t>
      </w:r>
      <w:r>
        <w:t>п</w:t>
      </w:r>
      <w:r w:rsidRPr="00C74747">
        <w:t>риложения</w:t>
      </w:r>
      <w:r>
        <w:t>ми</w:t>
      </w:r>
      <w:r w:rsidRPr="00C74747">
        <w:t xml:space="preserve"> можно ознакомиться в архиве </w:t>
      </w:r>
      <w:r>
        <w:t>С</w:t>
      </w:r>
      <w:r w:rsidRPr="00C74747">
        <w:t>екретариата</w:t>
      </w:r>
      <w:r w:rsidRPr="003E70B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836A3" w:rsidTr="004C186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836A3" w:rsidRPr="004C186B" w:rsidRDefault="006836A3" w:rsidP="004C186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D2C20">
            <w:rPr>
              <w:b/>
            </w:rPr>
            <w:t>CEDAW/C/GBR/7/Add.1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836A3" w:rsidRDefault="006836A3" w:rsidP="004C186B">
          <w:pPr>
            <w:pStyle w:val="Header"/>
          </w:pPr>
        </w:p>
      </w:tc>
    </w:tr>
  </w:tbl>
  <w:p w:rsidR="006836A3" w:rsidRPr="004C186B" w:rsidRDefault="006836A3" w:rsidP="004C1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836A3" w:rsidTr="004C186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836A3" w:rsidRDefault="006836A3" w:rsidP="004C186B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836A3" w:rsidRPr="004C186B" w:rsidRDefault="006836A3" w:rsidP="004C186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D2C20">
            <w:rPr>
              <w:b/>
            </w:rPr>
            <w:t>CEDAW/C/GBR/7/Add.1</w:t>
          </w:r>
          <w:r>
            <w:rPr>
              <w:b/>
            </w:rPr>
            <w:fldChar w:fldCharType="end"/>
          </w:r>
        </w:p>
      </w:tc>
    </w:tr>
  </w:tbl>
  <w:p w:rsidR="006836A3" w:rsidRPr="004C186B" w:rsidRDefault="006836A3" w:rsidP="004C1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6836A3" w:rsidTr="004C186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836A3" w:rsidRPr="004C186B" w:rsidRDefault="006836A3" w:rsidP="004C186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836A3" w:rsidRDefault="006836A3" w:rsidP="004C186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836A3" w:rsidRPr="004C186B" w:rsidRDefault="006836A3" w:rsidP="004C186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/C/GBR/7/Add.1</w:t>
          </w:r>
        </w:p>
      </w:tc>
    </w:tr>
    <w:tr w:rsidR="006836A3" w:rsidRPr="00092C60" w:rsidTr="004C186B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6A3" w:rsidRDefault="006836A3" w:rsidP="004C186B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6836A3" w:rsidRPr="004C186B" w:rsidRDefault="006836A3" w:rsidP="004C186B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6A3" w:rsidRPr="004C186B" w:rsidRDefault="006836A3" w:rsidP="004C186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6A3" w:rsidRPr="00092C60" w:rsidRDefault="006836A3" w:rsidP="004C186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6A3" w:rsidRDefault="006836A3" w:rsidP="00092C60">
          <w:pPr>
            <w:spacing w:before="240"/>
            <w:rPr>
              <w:spacing w:val="0"/>
              <w:w w:val="100"/>
              <w:kern w:val="0"/>
              <w:lang w:val="en-US"/>
            </w:rPr>
          </w:pPr>
          <w:r>
            <w:rPr>
              <w:spacing w:val="0"/>
              <w:w w:val="100"/>
              <w:kern w:val="0"/>
              <w:lang w:val="en-US"/>
            </w:rPr>
            <w:t>Distr.: General</w:t>
          </w:r>
        </w:p>
        <w:p w:rsidR="006836A3" w:rsidRPr="00092C60" w:rsidRDefault="006836A3" w:rsidP="00092C60">
          <w:pPr>
            <w:rPr>
              <w:lang w:val="en-US"/>
            </w:rPr>
          </w:pPr>
          <w:r w:rsidRPr="00092C60">
            <w:rPr>
              <w:lang w:val="en-US"/>
            </w:rPr>
            <w:t>21 December 2011</w:t>
          </w:r>
        </w:p>
        <w:p w:rsidR="006836A3" w:rsidRPr="00092C60" w:rsidRDefault="006836A3" w:rsidP="004C186B">
          <w:pPr>
            <w:rPr>
              <w:lang w:val="en-US"/>
            </w:rPr>
          </w:pPr>
          <w:r w:rsidRPr="00092C60">
            <w:rPr>
              <w:lang w:val="en-US"/>
            </w:rPr>
            <w:t>Russian</w:t>
          </w:r>
        </w:p>
        <w:p w:rsidR="006836A3" w:rsidRPr="00092C60" w:rsidRDefault="006836A3" w:rsidP="004C186B">
          <w:pPr>
            <w:rPr>
              <w:lang w:val="en-US"/>
            </w:rPr>
          </w:pPr>
          <w:r w:rsidRPr="00092C60">
            <w:rPr>
              <w:lang w:val="en-US"/>
            </w:rPr>
            <w:t>Original: English</w:t>
          </w:r>
        </w:p>
      </w:tc>
    </w:tr>
  </w:tbl>
  <w:p w:rsidR="006836A3" w:rsidRPr="004C186B" w:rsidRDefault="006836A3" w:rsidP="004C186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164911*"/>
    <w:docVar w:name="CreationDt" w:val="05/09/2012 14:22:28"/>
    <w:docVar w:name="DocCategory" w:val="Doc"/>
    <w:docVar w:name="DocType" w:val="Final"/>
    <w:docVar w:name="FooterJN" w:val="11-64911"/>
    <w:docVar w:name="jobn" w:val="11-64911 (R)"/>
    <w:docVar w:name="jobnDT" w:val="11-64911 (R)   050912"/>
    <w:docVar w:name="jobnDTDT" w:val="11-64911 (R)   050912   050912"/>
    <w:docVar w:name="JobNo" w:val="1164911R"/>
    <w:docVar w:name="OandT" w:val=" "/>
    <w:docVar w:name="sss1" w:val="CEDAW/C/GBR/7/Add.1"/>
    <w:docVar w:name="sss2" w:val="-"/>
    <w:docVar w:name="Symbol1" w:val="CEDAW/C/GBR/7/Add.1"/>
    <w:docVar w:name="Symbol2" w:val="-"/>
  </w:docVars>
  <w:rsids>
    <w:rsidRoot w:val="009B17D0"/>
    <w:rsid w:val="000121EB"/>
    <w:rsid w:val="00027C74"/>
    <w:rsid w:val="000453DA"/>
    <w:rsid w:val="000456EE"/>
    <w:rsid w:val="00051525"/>
    <w:rsid w:val="00060967"/>
    <w:rsid w:val="00067768"/>
    <w:rsid w:val="00086C68"/>
    <w:rsid w:val="00092C60"/>
    <w:rsid w:val="00094451"/>
    <w:rsid w:val="000A140F"/>
    <w:rsid w:val="000A257D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62122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2676"/>
    <w:rsid w:val="001E0D73"/>
    <w:rsid w:val="001E2245"/>
    <w:rsid w:val="001E2434"/>
    <w:rsid w:val="001E549D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6033B"/>
    <w:rsid w:val="00263747"/>
    <w:rsid w:val="0027035E"/>
    <w:rsid w:val="00273D16"/>
    <w:rsid w:val="00274115"/>
    <w:rsid w:val="00290971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23F9"/>
    <w:rsid w:val="003C543A"/>
    <w:rsid w:val="003C5DC2"/>
    <w:rsid w:val="003E5CCD"/>
    <w:rsid w:val="003E5D5E"/>
    <w:rsid w:val="003E5F2D"/>
    <w:rsid w:val="003E730F"/>
    <w:rsid w:val="003F2AAD"/>
    <w:rsid w:val="003F31EE"/>
    <w:rsid w:val="003F6585"/>
    <w:rsid w:val="0040710C"/>
    <w:rsid w:val="00407E18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76C43"/>
    <w:rsid w:val="0047733F"/>
    <w:rsid w:val="00480A82"/>
    <w:rsid w:val="0049561B"/>
    <w:rsid w:val="00497A3F"/>
    <w:rsid w:val="004A3A8A"/>
    <w:rsid w:val="004B2572"/>
    <w:rsid w:val="004B3EAA"/>
    <w:rsid w:val="004C186B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D2513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836A3"/>
    <w:rsid w:val="00684F20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211BA"/>
    <w:rsid w:val="007465AD"/>
    <w:rsid w:val="007529E4"/>
    <w:rsid w:val="0075643A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2C20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64B77"/>
    <w:rsid w:val="00871EEE"/>
    <w:rsid w:val="008809D0"/>
    <w:rsid w:val="00882568"/>
    <w:rsid w:val="00890728"/>
    <w:rsid w:val="008A267B"/>
    <w:rsid w:val="008A2A07"/>
    <w:rsid w:val="008B1543"/>
    <w:rsid w:val="008B2406"/>
    <w:rsid w:val="008B4830"/>
    <w:rsid w:val="008D20C2"/>
    <w:rsid w:val="008D2173"/>
    <w:rsid w:val="008D7EF0"/>
    <w:rsid w:val="008E38CB"/>
    <w:rsid w:val="008E463A"/>
    <w:rsid w:val="008F21B6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81D86"/>
    <w:rsid w:val="00990926"/>
    <w:rsid w:val="009A4712"/>
    <w:rsid w:val="009B17D0"/>
    <w:rsid w:val="009B1853"/>
    <w:rsid w:val="009B3F4B"/>
    <w:rsid w:val="009C1519"/>
    <w:rsid w:val="009C5D0D"/>
    <w:rsid w:val="009D18FE"/>
    <w:rsid w:val="009D5AA3"/>
    <w:rsid w:val="009D6E53"/>
    <w:rsid w:val="009D76A8"/>
    <w:rsid w:val="009E7068"/>
    <w:rsid w:val="009F64BE"/>
    <w:rsid w:val="00A25540"/>
    <w:rsid w:val="00A506DF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F1904"/>
    <w:rsid w:val="00C00F56"/>
    <w:rsid w:val="00C15911"/>
    <w:rsid w:val="00C22F31"/>
    <w:rsid w:val="00C323D9"/>
    <w:rsid w:val="00C3589B"/>
    <w:rsid w:val="00C35DAF"/>
    <w:rsid w:val="00C36C3D"/>
    <w:rsid w:val="00C4049B"/>
    <w:rsid w:val="00C44942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4DF3"/>
    <w:rsid w:val="00CB63B3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C7FEC"/>
    <w:rsid w:val="00DE2DB0"/>
    <w:rsid w:val="00DE5E5D"/>
    <w:rsid w:val="00DF1785"/>
    <w:rsid w:val="00DF7D80"/>
    <w:rsid w:val="00E05593"/>
    <w:rsid w:val="00E16068"/>
    <w:rsid w:val="00E17DE0"/>
    <w:rsid w:val="00E3468B"/>
    <w:rsid w:val="00E41818"/>
    <w:rsid w:val="00E45B2C"/>
    <w:rsid w:val="00E54D9D"/>
    <w:rsid w:val="00E55342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D6B18"/>
    <w:rsid w:val="00EE63BD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C186B"/>
  </w:style>
  <w:style w:type="paragraph" w:styleId="CommentSubject">
    <w:name w:val="annotation subject"/>
    <w:basedOn w:val="CommentText"/>
    <w:next w:val="CommentText"/>
    <w:semiHidden/>
    <w:rsid w:val="004C186B"/>
    <w:rPr>
      <w:b/>
      <w:bCs/>
    </w:rPr>
  </w:style>
  <w:style w:type="character" w:styleId="Hyperlink">
    <w:name w:val="Hyperlink"/>
    <w:rsid w:val="008E38C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1566</Words>
  <Characters>8927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6</cp:revision>
  <dcterms:created xsi:type="dcterms:W3CDTF">2012-09-05T13:35:00Z</dcterms:created>
  <dcterms:modified xsi:type="dcterms:W3CDTF">2012-09-05T13:39:00Z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1164911</vt:lpwstr>
  </property>
  <property fmtid="{D5CDD505-2E9C-101B-9397-08002B2CF9AE}" pid="3" name="Symbol1">
    <vt:lpwstr>CEDAW/C/GBR/7/Add.1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7</vt:lpwstr>
  </property>
  <property fmtid="{D5CDD505-2E9C-101B-9397-08002B2CF9AE}" pid="8" name="Operator">
    <vt:lpwstr>chistova</vt:lpwstr>
  </property>
</Properties>
</file>