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CE269" w14:textId="77777777" w:rsidR="00695382" w:rsidRPr="00A4617B" w:rsidRDefault="00695382" w:rsidP="00695382">
      <w:pPr>
        <w:spacing w:line="240" w:lineRule="auto"/>
        <w:rPr>
          <w:sz w:val="6"/>
          <w:lang w:eastAsia="zh-CN"/>
        </w:rPr>
        <w:sectPr w:rsidR="00695382" w:rsidRPr="00A4617B" w:rsidSect="00A4617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  <w:r w:rsidRPr="00A4617B">
        <w:rPr>
          <w:rStyle w:val="CommentReference"/>
          <w:szCs w:val="20"/>
        </w:rPr>
        <w:commentReference w:id="0"/>
      </w:r>
      <w:bookmarkStart w:id="1" w:name="_GoBack"/>
      <w:bookmarkEnd w:id="1"/>
    </w:p>
    <w:p w14:paraId="07AB3FEE" w14:textId="7E0FB6F5" w:rsidR="00A4617B" w:rsidRDefault="00A4617B" w:rsidP="00A16AE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 w:rsidRPr="00EC5BB4">
        <w:t>Comité para la Eliminación de la Discriminación</w:t>
      </w:r>
      <w:r w:rsidR="00A16AEA">
        <w:br/>
      </w:r>
      <w:r w:rsidRPr="00EC5BB4">
        <w:t>contra la Mujer</w:t>
      </w:r>
    </w:p>
    <w:p w14:paraId="1B1844ED" w14:textId="77777777" w:rsidR="00A4617B" w:rsidRPr="00A4617B" w:rsidRDefault="00A4617B" w:rsidP="00A4617B">
      <w:pPr>
        <w:pStyle w:val="SingleTxt"/>
        <w:spacing w:after="0" w:line="120" w:lineRule="exact"/>
        <w:rPr>
          <w:sz w:val="10"/>
        </w:rPr>
      </w:pPr>
    </w:p>
    <w:p w14:paraId="11CA044A" w14:textId="77777777" w:rsidR="00A4617B" w:rsidRPr="00A4617B" w:rsidRDefault="00A4617B" w:rsidP="00A4617B">
      <w:pPr>
        <w:pStyle w:val="SingleTxt"/>
        <w:spacing w:after="0" w:line="120" w:lineRule="exact"/>
        <w:rPr>
          <w:sz w:val="10"/>
        </w:rPr>
      </w:pPr>
    </w:p>
    <w:p w14:paraId="16799C7F" w14:textId="77777777" w:rsidR="00A4617B" w:rsidRPr="00A4617B" w:rsidRDefault="00A4617B" w:rsidP="00A4617B">
      <w:pPr>
        <w:pStyle w:val="SingleTxt"/>
        <w:spacing w:after="0" w:line="120" w:lineRule="exact"/>
        <w:rPr>
          <w:sz w:val="10"/>
        </w:rPr>
      </w:pPr>
    </w:p>
    <w:p w14:paraId="1F332F18" w14:textId="6800BA0E" w:rsidR="00A4617B" w:rsidRDefault="00A4617B" w:rsidP="0099160B">
      <w:pPr>
        <w:pStyle w:val="TitleHCH"/>
      </w:pPr>
      <w:r w:rsidRPr="00EC5BB4">
        <w:tab/>
      </w:r>
      <w:r w:rsidRPr="00EC5BB4">
        <w:tab/>
        <w:t>Observaciones finales sobre el sexto informe periódico del Gabón</w:t>
      </w:r>
    </w:p>
    <w:p w14:paraId="7EEEA763" w14:textId="24988E48" w:rsidR="00A4617B" w:rsidRPr="00A4617B" w:rsidRDefault="00A4617B" w:rsidP="00A4617B">
      <w:pPr>
        <w:pStyle w:val="SingleTxt"/>
        <w:spacing w:after="0" w:line="120" w:lineRule="exact"/>
        <w:rPr>
          <w:sz w:val="10"/>
        </w:rPr>
      </w:pPr>
    </w:p>
    <w:p w14:paraId="0B9729D0" w14:textId="412BD93E" w:rsidR="00A4617B" w:rsidRPr="00A4617B" w:rsidRDefault="00A4617B" w:rsidP="00A4617B">
      <w:pPr>
        <w:pStyle w:val="SingleTxt"/>
        <w:spacing w:after="0" w:line="120" w:lineRule="exact"/>
        <w:rPr>
          <w:sz w:val="10"/>
        </w:rPr>
      </w:pPr>
    </w:p>
    <w:p w14:paraId="09A27AEC" w14:textId="2E39E9C9" w:rsidR="00A4617B" w:rsidRDefault="00A4617B" w:rsidP="00A4617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hanging="1267"/>
      </w:pPr>
      <w:r w:rsidRPr="00EC5BB4">
        <w:tab/>
      </w:r>
      <w:r w:rsidRPr="00EC5BB4">
        <w:tab/>
        <w:t>Adición</w:t>
      </w:r>
    </w:p>
    <w:p w14:paraId="7ECA892D" w14:textId="3AFD764A" w:rsidR="00A4617B" w:rsidRPr="00A4617B" w:rsidRDefault="00A4617B" w:rsidP="00A4617B">
      <w:pPr>
        <w:pStyle w:val="SingleTxt"/>
        <w:spacing w:after="0" w:line="120" w:lineRule="exact"/>
        <w:rPr>
          <w:sz w:val="10"/>
        </w:rPr>
      </w:pPr>
    </w:p>
    <w:p w14:paraId="28AFC0F0" w14:textId="798978AC" w:rsidR="00A4617B" w:rsidRPr="00A4617B" w:rsidRDefault="00A4617B" w:rsidP="00A4617B">
      <w:pPr>
        <w:pStyle w:val="SingleTxt"/>
        <w:spacing w:after="0" w:line="120" w:lineRule="exact"/>
        <w:rPr>
          <w:sz w:val="10"/>
        </w:rPr>
      </w:pPr>
    </w:p>
    <w:p w14:paraId="395262FC" w14:textId="21119412" w:rsidR="00A4617B" w:rsidRDefault="00A4617B" w:rsidP="0099160B">
      <w:pPr>
        <w:pStyle w:val="TitleHCH"/>
        <w:rPr>
          <w:szCs w:val="20"/>
        </w:rPr>
      </w:pPr>
      <w:r w:rsidRPr="00EC5BB4">
        <w:tab/>
      </w:r>
      <w:r w:rsidRPr="00EC5BB4">
        <w:tab/>
        <w:t>Información suministrada por el Gabón sobre el seguimiento de las observaciones finales</w:t>
      </w:r>
      <w:r w:rsidRPr="00A4617B">
        <w:rPr>
          <w:rStyle w:val="FootnoteReference"/>
          <w:b w:val="0"/>
          <w:sz w:val="20"/>
          <w:szCs w:val="20"/>
        </w:rPr>
        <w:footnoteReference w:customMarkFollows="1" w:id="1"/>
        <w:t>*</w:t>
      </w:r>
    </w:p>
    <w:p w14:paraId="3A6A37A7" w14:textId="17E5D597" w:rsidR="00A4617B" w:rsidRPr="00A4617B" w:rsidRDefault="00A4617B" w:rsidP="00A4617B">
      <w:pPr>
        <w:pStyle w:val="SingleTxt"/>
        <w:spacing w:after="0" w:line="120" w:lineRule="exact"/>
        <w:rPr>
          <w:sz w:val="10"/>
        </w:rPr>
      </w:pPr>
    </w:p>
    <w:p w14:paraId="673FC61D" w14:textId="14A03296" w:rsidR="00A4617B" w:rsidRPr="00A4617B" w:rsidRDefault="00A4617B" w:rsidP="00A4617B">
      <w:pPr>
        <w:pStyle w:val="SingleTxt"/>
        <w:spacing w:after="0" w:line="120" w:lineRule="exact"/>
        <w:rPr>
          <w:sz w:val="10"/>
        </w:rPr>
      </w:pPr>
    </w:p>
    <w:p w14:paraId="28AC40AE" w14:textId="73EB5BAD" w:rsidR="00A4617B" w:rsidRDefault="00A4617B" w:rsidP="00A4617B">
      <w:pPr>
        <w:pStyle w:val="SingleTxt"/>
        <w:jc w:val="right"/>
      </w:pPr>
      <w:r w:rsidRPr="00EC5BB4">
        <w:t>[Fecha de recepción: 27 de julio de 2018]</w:t>
      </w:r>
    </w:p>
    <w:p w14:paraId="2728FEC0" w14:textId="77777777" w:rsidR="00A4617B" w:rsidRPr="00EC5BB4" w:rsidRDefault="00A4617B" w:rsidP="00A4617B">
      <w:pPr>
        <w:pStyle w:val="SingleTxt"/>
      </w:pPr>
    </w:p>
    <w:p w14:paraId="733A1299" w14:textId="77777777" w:rsidR="00A4617B" w:rsidRPr="00EC5BB4" w:rsidRDefault="00A4617B" w:rsidP="00A4617B">
      <w:pPr>
        <w:suppressAutoHyphens w:val="0"/>
        <w:spacing w:line="240" w:lineRule="auto"/>
      </w:pPr>
      <w:r w:rsidRPr="00EC5BB4">
        <w:br w:type="page"/>
      </w:r>
    </w:p>
    <w:p w14:paraId="15E86B0D" w14:textId="77777777" w:rsidR="00A4617B" w:rsidRPr="00D12F87" w:rsidRDefault="00A4617B" w:rsidP="00A4617B">
      <w:pPr>
        <w:ind w:right="200"/>
        <w:jc w:val="right"/>
      </w:pPr>
    </w:p>
    <w:p w14:paraId="105F81C1" w14:textId="48C130A8" w:rsidR="00A4617B" w:rsidRPr="00D12F87" w:rsidRDefault="00A4617B" w:rsidP="00A4617B">
      <w:pPr>
        <w:pStyle w:val="SingleTxt"/>
        <w:numPr>
          <w:ilvl w:val="0"/>
          <w:numId w:val="20"/>
        </w:numPr>
        <w:tabs>
          <w:tab w:val="num" w:pos="2804"/>
        </w:tabs>
        <w:ind w:left="1267"/>
      </w:pPr>
      <w:r w:rsidRPr="00EC5BB4">
        <w:t>El Gabón, Estado Miembro de las Naciones Unidas, ha ratificado varios instrumentos internacionales de derechos humanos, en particular la Convención sobre la Eliminación de Todas las Formas de</w:t>
      </w:r>
      <w:r>
        <w:t xml:space="preserve"> Discriminación contra la Mujer</w:t>
      </w:r>
      <w:r w:rsidRPr="00EC5BB4">
        <w:t>, lo que demuestra su compromiso con la comunidad internacional en este ámbito.</w:t>
      </w:r>
    </w:p>
    <w:p w14:paraId="3B018D26" w14:textId="77777777" w:rsidR="00A4617B" w:rsidRPr="00D12F87" w:rsidRDefault="00A4617B" w:rsidP="00A4617B">
      <w:pPr>
        <w:pStyle w:val="SingleTxt"/>
        <w:numPr>
          <w:ilvl w:val="0"/>
          <w:numId w:val="20"/>
        </w:numPr>
        <w:tabs>
          <w:tab w:val="num" w:pos="2804"/>
        </w:tabs>
        <w:ind w:left="1267"/>
      </w:pPr>
      <w:r w:rsidRPr="00EC5BB4">
        <w:t>Así, el Gabón presentó en marzo de 2015 su sexto informe periódico al Comité. Tras examinarlo, el Comité formuló recomendaciones</w:t>
      </w:r>
      <w:r>
        <w:t>,</w:t>
      </w:r>
      <w:r w:rsidRPr="00EC5BB4">
        <w:t xml:space="preserve"> </w:t>
      </w:r>
      <w:r>
        <w:t>d</w:t>
      </w:r>
      <w:r w:rsidRPr="00EC5BB4">
        <w:t xml:space="preserve">os de </w:t>
      </w:r>
      <w:r>
        <w:t xml:space="preserve">las cuales </w:t>
      </w:r>
      <w:r w:rsidRPr="00EC5BB4">
        <w:t>se consideraron prioritarias, por lo que requerían una respuesta urgente.</w:t>
      </w:r>
    </w:p>
    <w:p w14:paraId="4590C1F2" w14:textId="77777777" w:rsidR="00A4617B" w:rsidRPr="00D12F87" w:rsidRDefault="00A4617B" w:rsidP="00A4617B">
      <w:pPr>
        <w:pStyle w:val="SingleTxt"/>
        <w:numPr>
          <w:ilvl w:val="0"/>
          <w:numId w:val="20"/>
        </w:numPr>
        <w:tabs>
          <w:tab w:val="num" w:pos="2804"/>
        </w:tabs>
        <w:ind w:left="1267"/>
      </w:pPr>
      <w:r w:rsidRPr="00EC5BB4">
        <w:t>Se trata de las recomendaciones siguientes:</w:t>
      </w:r>
    </w:p>
    <w:p w14:paraId="5D6D4444" w14:textId="06DB451C" w:rsidR="00A4617B" w:rsidRPr="00EC5BB4" w:rsidRDefault="00A4617B" w:rsidP="00A4617B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EC5BB4">
        <w:t>Recomendación 11 a);</w:t>
      </w:r>
    </w:p>
    <w:p w14:paraId="43E0DF5C" w14:textId="63DC112A" w:rsidR="00A4617B" w:rsidRPr="00EC5BB4" w:rsidRDefault="00A4617B" w:rsidP="00A4617B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EC5BB4">
        <w:t>Recomendación 17 a) y 17 b).</w:t>
      </w:r>
    </w:p>
    <w:p w14:paraId="24E5B386" w14:textId="77777777" w:rsidR="00A4617B" w:rsidRPr="00D12F87" w:rsidRDefault="00A4617B" w:rsidP="00A4617B">
      <w:pPr>
        <w:pStyle w:val="SingleTxt"/>
        <w:numPr>
          <w:ilvl w:val="0"/>
          <w:numId w:val="20"/>
        </w:numPr>
        <w:tabs>
          <w:tab w:val="num" w:pos="2804"/>
        </w:tabs>
        <w:ind w:left="1267"/>
      </w:pPr>
      <w:r w:rsidRPr="00EC5BB4">
        <w:t xml:space="preserve">El presente documento </w:t>
      </w:r>
      <w:r>
        <w:t xml:space="preserve">tiene por objeto </w:t>
      </w:r>
      <w:r w:rsidRPr="00EC5BB4">
        <w:t>informar de los avances realizados desde la anterior presentación del Gabón ante el Comité para la Eliminación de la Discriminación contra la Mujer.</w:t>
      </w:r>
    </w:p>
    <w:p w14:paraId="582F96DF" w14:textId="77777777" w:rsidR="00A4617B" w:rsidRPr="00A4617B" w:rsidRDefault="00A4617B" w:rsidP="00A4617B">
      <w:pPr>
        <w:pStyle w:val="SingleTxt"/>
        <w:spacing w:after="0" w:line="120" w:lineRule="exact"/>
        <w:rPr>
          <w:sz w:val="10"/>
        </w:rPr>
      </w:pPr>
    </w:p>
    <w:p w14:paraId="1B24F320" w14:textId="34BBE039" w:rsidR="00A4617B" w:rsidRDefault="00A4617B" w:rsidP="00A4617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C5BB4">
        <w:tab/>
      </w:r>
      <w:r w:rsidRPr="00EC5BB4">
        <w:tab/>
        <w:t>Recomendación 11 a)</w:t>
      </w:r>
    </w:p>
    <w:p w14:paraId="2695C42C" w14:textId="5A93A12D" w:rsidR="00A4617B" w:rsidRPr="00A4617B" w:rsidRDefault="00A4617B" w:rsidP="00A4617B">
      <w:pPr>
        <w:pStyle w:val="SingleTxt"/>
        <w:spacing w:after="0" w:line="120" w:lineRule="exact"/>
        <w:rPr>
          <w:sz w:val="10"/>
        </w:rPr>
      </w:pPr>
    </w:p>
    <w:p w14:paraId="738FC520" w14:textId="0517B589" w:rsidR="00A4617B" w:rsidRPr="00A16AEA" w:rsidRDefault="00A4617B" w:rsidP="00A4617B">
      <w:pPr>
        <w:pStyle w:val="SingleTxt"/>
        <w:numPr>
          <w:ilvl w:val="0"/>
          <w:numId w:val="20"/>
        </w:numPr>
        <w:tabs>
          <w:tab w:val="num" w:pos="2804"/>
        </w:tabs>
        <w:ind w:left="1267"/>
        <w:rPr>
          <w:bCs/>
        </w:rPr>
      </w:pPr>
      <w:r w:rsidRPr="00EC5BB4">
        <w:t xml:space="preserve">El Comité recomienda al Estado parte que finalice, con carácter prioritario y en un plazo claramente definido, el proceso de reforma legislativa, incluida la revisión del Código Civil y el Código del Trabajo, y modifique otras leyes, incluido el Código Penal, con el fin de armonizar la legislación con la Convención y asegurar que todas las disposiciones discriminatorias queden derogadas (véase </w:t>
      </w:r>
      <w:hyperlink r:id="rId15" w:history="1">
        <w:r w:rsidRPr="00A17B73">
          <w:rPr>
            <w:rStyle w:val="Hyperlink"/>
          </w:rPr>
          <w:t>CEDAW/C/GAB/CO/6</w:t>
        </w:r>
      </w:hyperlink>
      <w:r w:rsidRPr="00EC5BB4">
        <w:t>, párr. 11 a.)).</w:t>
      </w:r>
    </w:p>
    <w:p w14:paraId="3909E43A" w14:textId="77777777" w:rsidR="00A4617B" w:rsidRPr="00A4617B" w:rsidRDefault="00A4617B" w:rsidP="00A4617B">
      <w:pPr>
        <w:pStyle w:val="SingleTxt"/>
        <w:spacing w:after="0" w:line="120" w:lineRule="exact"/>
        <w:rPr>
          <w:sz w:val="10"/>
        </w:rPr>
      </w:pPr>
    </w:p>
    <w:p w14:paraId="6D8A46CC" w14:textId="4B854BF4" w:rsidR="00A4617B" w:rsidRDefault="00A4617B" w:rsidP="00A4617B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C5BB4">
        <w:tab/>
      </w:r>
      <w:r w:rsidRPr="00EC5BB4">
        <w:tab/>
        <w:t>Respuesta</w:t>
      </w:r>
    </w:p>
    <w:p w14:paraId="53BFA309" w14:textId="79DE7079" w:rsidR="00A4617B" w:rsidRPr="00A4617B" w:rsidRDefault="00A4617B" w:rsidP="00A4617B">
      <w:pPr>
        <w:pStyle w:val="SingleTxt"/>
        <w:spacing w:after="0" w:line="120" w:lineRule="exact"/>
        <w:rPr>
          <w:sz w:val="10"/>
        </w:rPr>
      </w:pPr>
    </w:p>
    <w:p w14:paraId="6CCAE8C8" w14:textId="1B47D728" w:rsidR="00A4617B" w:rsidRPr="00D12F87" w:rsidRDefault="00A4617B" w:rsidP="00A4617B">
      <w:pPr>
        <w:pStyle w:val="SingleTxt"/>
        <w:numPr>
          <w:ilvl w:val="0"/>
          <w:numId w:val="20"/>
        </w:numPr>
        <w:tabs>
          <w:tab w:val="num" w:pos="2804"/>
        </w:tabs>
        <w:ind w:left="1267"/>
      </w:pPr>
      <w:r w:rsidRPr="00EC5BB4">
        <w:t xml:space="preserve">Se han realizado numerosos avances </w:t>
      </w:r>
      <w:r>
        <w:t xml:space="preserve">en el ámbito legislativo </w:t>
      </w:r>
      <w:r w:rsidRPr="00EC5BB4">
        <w:t xml:space="preserve">en lo que respecta a la eliminación de la discriminación contra la mujer desde que se </w:t>
      </w:r>
      <w:r w:rsidR="00A17B73">
        <w:t>presentó</w:t>
      </w:r>
      <w:r w:rsidRPr="00EC5BB4">
        <w:t xml:space="preserve"> el último informe, como se detalla a continuación.</w:t>
      </w:r>
    </w:p>
    <w:p w14:paraId="3F51376B" w14:textId="77777777" w:rsidR="00A4617B" w:rsidRPr="00D12F87" w:rsidRDefault="00A4617B" w:rsidP="00A4617B">
      <w:pPr>
        <w:pStyle w:val="SingleTxt"/>
        <w:numPr>
          <w:ilvl w:val="0"/>
          <w:numId w:val="20"/>
        </w:numPr>
        <w:tabs>
          <w:tab w:val="num" w:pos="2804"/>
        </w:tabs>
        <w:ind w:left="1267"/>
      </w:pPr>
      <w:r w:rsidRPr="00EC5BB4">
        <w:t>Con respecto al Código Civil:</w:t>
      </w:r>
    </w:p>
    <w:p w14:paraId="29C7D9F7" w14:textId="1BD6F3FC" w:rsidR="00A4617B" w:rsidRPr="00D12F87" w:rsidRDefault="00A4617B" w:rsidP="00A4617B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EC5BB4">
        <w:t xml:space="preserve">La revisión de la Ley núm. </w:t>
      </w:r>
      <w:r w:rsidRPr="005E38A5">
        <w:t>19/89</w:t>
      </w:r>
      <w:r>
        <w:t>.</w:t>
      </w:r>
      <w:r w:rsidRPr="00EC5BB4">
        <w:t xml:space="preserve"> de 30 de diciembre de 1989</w:t>
      </w:r>
      <w:r>
        <w:t>.</w:t>
      </w:r>
      <w:r w:rsidRPr="00EC5BB4">
        <w:t xml:space="preserve"> por la que el Parlamento aprobó la segunda parte del Código Civil permitió corregir todas las desigualdades que explotaban </w:t>
      </w:r>
      <w:r>
        <w:t xml:space="preserve">de forma irregular </w:t>
      </w:r>
      <w:r w:rsidRPr="00EC5BB4">
        <w:t xml:space="preserve">algunos familiares de personas difuntas. A este respecto, se modificaron y derogaron algunas disposiciones de esa ley en la Ley núm. 002/2015 de 25 de junio de 2015, lo que permitió </w:t>
      </w:r>
      <w:r>
        <w:t>mejorar</w:t>
      </w:r>
      <w:r w:rsidRPr="00EC5BB4">
        <w:t xml:space="preserve"> de forma significativa la situación del cónyuge supérstite y de los huérfanos;</w:t>
      </w:r>
    </w:p>
    <w:p w14:paraId="7301A741" w14:textId="3A883313" w:rsidR="00A4617B" w:rsidRPr="00D12F87" w:rsidRDefault="00A4617B" w:rsidP="00A4617B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EC5BB4">
        <w:t>En este sentido, se remplaz</w:t>
      </w:r>
      <w:r>
        <w:t>ó</w:t>
      </w:r>
      <w:r w:rsidRPr="00EC5BB4">
        <w:t xml:space="preserve"> el consejo familiar por un consejo de sucesión compuesto por el o los cónyuges supérstites o sus representantes, los ascendientes o sus representantes, los descendientes o sus representantes legales</w:t>
      </w:r>
      <w:r>
        <w:t>,</w:t>
      </w:r>
      <w:r w:rsidRPr="00EC5BB4">
        <w:t xml:space="preserve"> </w:t>
      </w:r>
      <w:r>
        <w:t xml:space="preserve">en caso de ser </w:t>
      </w:r>
      <w:r w:rsidRPr="00EC5BB4">
        <w:t>menores de edad, lo que otorg</w:t>
      </w:r>
      <w:r>
        <w:t>ó</w:t>
      </w:r>
      <w:r w:rsidRPr="00EC5BB4">
        <w:t xml:space="preserve"> una posición privilegiada a los herederos legales, a saber, los descendientes, el o los cónyuges supérstites, el padre y la madre de la persona difunta (artículo 683 enmendado y artículo 699 enmendado);</w:t>
      </w:r>
    </w:p>
    <w:p w14:paraId="217A503E" w14:textId="189ED7A5" w:rsidR="00A4617B" w:rsidRPr="00D12F87" w:rsidRDefault="00A4617B" w:rsidP="00A4617B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EC5BB4">
        <w:t xml:space="preserve">Del mismo modo, </w:t>
      </w:r>
      <w:r>
        <w:t xml:space="preserve">en </w:t>
      </w:r>
      <w:r w:rsidRPr="00EC5BB4">
        <w:t xml:space="preserve">el artículo 647 enmendado </w:t>
      </w:r>
      <w:r>
        <w:t>se introdujeron disposiciones</w:t>
      </w:r>
      <w:r w:rsidRPr="00EC5BB4">
        <w:t xml:space="preserve"> cautelares a partir del fallecimiento para evitar </w:t>
      </w:r>
      <w:r>
        <w:t xml:space="preserve">que se produjeran </w:t>
      </w:r>
      <w:r w:rsidRPr="00EC5BB4">
        <w:t xml:space="preserve">actuaciones violentas y crueles y </w:t>
      </w:r>
      <w:r>
        <w:t xml:space="preserve">luchar contra el </w:t>
      </w:r>
      <w:r w:rsidRPr="00EC5BB4">
        <w:t>e</w:t>
      </w:r>
      <w:r>
        <w:t xml:space="preserve">xpolio del o </w:t>
      </w:r>
      <w:r w:rsidRPr="00EC5BB4">
        <w:t xml:space="preserve">los cónyuges supérstites o los huérfanos, a saber, la prohibición de expulsar al o a los cónyuges supérstites y los huérfanos del domicilio familiar; la prohibición de oponerse a la presencia y a la participación del o de los cónyuges supérstites y los huérfanos en el funeral de la persona fallecida, en especial durante los trámites administrativos relacionados con el fallecimiento; </w:t>
      </w:r>
      <w:r>
        <w:t xml:space="preserve">y </w:t>
      </w:r>
      <w:r w:rsidRPr="00EC5BB4">
        <w:t xml:space="preserve">el precinto o el embargo de los bienes </w:t>
      </w:r>
      <w:r w:rsidRPr="00EC5BB4">
        <w:lastRenderedPageBreak/>
        <w:t>muebles, inmuebles y productos, de conformidad con lo dispuesto en el Código de Enjuiciamiento Civil;</w:t>
      </w:r>
    </w:p>
    <w:p w14:paraId="6C651617" w14:textId="792083CE" w:rsidR="00A4617B" w:rsidRPr="00D12F87" w:rsidRDefault="00A4617B" w:rsidP="00A4617B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EC5BB4">
        <w:t xml:space="preserve">Por último, en el Código Civil se prevé que el cónyuge supérstite, los huérfanos o sus representantes legales puedan </w:t>
      </w:r>
      <w:r>
        <w:t>ser asistidos por</w:t>
      </w:r>
      <w:r w:rsidRPr="00EC5BB4">
        <w:t xml:space="preserve"> una asociación de defensa de los derechos de la familia o una organización no gubernamental legalmente constituida.</w:t>
      </w:r>
    </w:p>
    <w:p w14:paraId="7D0D59B4" w14:textId="77777777" w:rsidR="00A4617B" w:rsidRPr="00D12F87" w:rsidRDefault="00A4617B" w:rsidP="00A4617B">
      <w:pPr>
        <w:pStyle w:val="SingleTxt"/>
        <w:numPr>
          <w:ilvl w:val="0"/>
          <w:numId w:val="20"/>
        </w:numPr>
        <w:tabs>
          <w:tab w:val="num" w:pos="2804"/>
        </w:tabs>
        <w:ind w:left="1267"/>
      </w:pPr>
      <w:r w:rsidRPr="00EC5BB4">
        <w:t>Con respecto al Código Penal:</w:t>
      </w:r>
    </w:p>
    <w:p w14:paraId="04373738" w14:textId="3F6D199B" w:rsidR="00A4617B" w:rsidRPr="00D12F87" w:rsidRDefault="00A4617B" w:rsidP="00A4617B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Entre</w:t>
      </w:r>
      <w:r w:rsidRPr="00EC5BB4">
        <w:t xml:space="preserve"> las modificaciones introducidas por la Ley núm. </w:t>
      </w:r>
      <w:r w:rsidRPr="005E38A5">
        <w:t>19/201</w:t>
      </w:r>
      <w:r w:rsidRPr="00EC5BB4">
        <w:t xml:space="preserve">3 por la que se modificaron ciertas disposiciones de la Ley núm. </w:t>
      </w:r>
      <w:r w:rsidRPr="005E38A5">
        <w:t>21/63</w:t>
      </w:r>
      <w:r>
        <w:t>,</w:t>
      </w:r>
      <w:r w:rsidRPr="00EC5BB4">
        <w:t xml:space="preserve"> de 31 de mayo de 1963</w:t>
      </w:r>
      <w:r>
        <w:t>,</w:t>
      </w:r>
      <w:r w:rsidRPr="00EC5BB4">
        <w:t xml:space="preserve"> del Código Penal, cabe destacar </w:t>
      </w:r>
      <w:r>
        <w:t>la armonización de</w:t>
      </w:r>
      <w:r w:rsidRPr="00EC5BB4">
        <w:t xml:space="preserve"> la calificación del adulterio entre esposos</w:t>
      </w:r>
      <w:r>
        <w:t xml:space="preserve">, la tipificación </w:t>
      </w:r>
      <w:r w:rsidRPr="00EC5BB4">
        <w:t xml:space="preserve">como delito </w:t>
      </w:r>
      <w:r>
        <w:t xml:space="preserve">de </w:t>
      </w:r>
      <w:r w:rsidRPr="00EC5BB4">
        <w:t xml:space="preserve">la violación y el incesto y </w:t>
      </w:r>
      <w:r>
        <w:t xml:space="preserve">el refuerzo de </w:t>
      </w:r>
      <w:r w:rsidRPr="00EC5BB4">
        <w:t>la lucha contra la violencia doméstica;</w:t>
      </w:r>
    </w:p>
    <w:p w14:paraId="554E1750" w14:textId="59CB53FE" w:rsidR="00A4617B" w:rsidRPr="00D12F87" w:rsidRDefault="00A4617B" w:rsidP="00A4617B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EC5BB4">
        <w:t xml:space="preserve">Además, se están revisando actualmente ciertas disposiciones del Título XVI del Código Penal, titulado </w:t>
      </w:r>
      <w:r w:rsidR="00A17B73">
        <w:t>“</w:t>
      </w:r>
      <w:r w:rsidRPr="00EC5BB4">
        <w:t>De los crímenes y delitos contra los niños y las niñas</w:t>
      </w:r>
      <w:r w:rsidR="00A17B73">
        <w:t>”</w:t>
      </w:r>
      <w:r w:rsidRPr="00EC5BB4">
        <w:t xml:space="preserve">. El proyecto de Código de la Infancia también se encuentra en fase de examen en el Parlamento (Senado). En él se </w:t>
      </w:r>
      <w:r>
        <w:t xml:space="preserve">alinea </w:t>
      </w:r>
      <w:r w:rsidRPr="00EC5BB4">
        <w:t xml:space="preserve">la legislación nacional con la Convención sobre los Derechos del Niño y </w:t>
      </w:r>
      <w:r>
        <w:t>se armoniza</w:t>
      </w:r>
      <w:r w:rsidRPr="00EC5BB4">
        <w:t xml:space="preserve"> y </w:t>
      </w:r>
      <w:r>
        <w:t xml:space="preserve">se fija </w:t>
      </w:r>
      <w:r w:rsidRPr="00EC5BB4">
        <w:t>en 18 años</w:t>
      </w:r>
      <w:r>
        <w:t xml:space="preserve"> para ambos sexos </w:t>
      </w:r>
      <w:r w:rsidRPr="00EC5BB4">
        <w:t xml:space="preserve">la edad legal para </w:t>
      </w:r>
      <w:r>
        <w:t>contraer matrimonio</w:t>
      </w:r>
      <w:r w:rsidRPr="00EC5BB4">
        <w:t>;</w:t>
      </w:r>
    </w:p>
    <w:p w14:paraId="2FE14C34" w14:textId="5303D44D" w:rsidR="00A4617B" w:rsidRPr="00D12F87" w:rsidRDefault="00A4617B" w:rsidP="00A4617B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Por último</w:t>
      </w:r>
      <w:r w:rsidRPr="00EC5BB4">
        <w:t xml:space="preserve">, la Ley núm. </w:t>
      </w:r>
      <w:r w:rsidRPr="005E38A5">
        <w:t>11/201</w:t>
      </w:r>
      <w:r w:rsidRPr="00EC5BB4">
        <w:t>6</w:t>
      </w:r>
      <w:r>
        <w:t>,</w:t>
      </w:r>
      <w:r w:rsidRPr="00EC5BB4">
        <w:t xml:space="preserve"> de 9 de agosto de 2016</w:t>
      </w:r>
      <w:r>
        <w:t>,</w:t>
      </w:r>
      <w:r w:rsidRPr="00EC5BB4">
        <w:t xml:space="preserve"> por la que se modificaron y completaron las disposiciones del artículo 229 del Código Penal reforzó la penalización de los delitos con fines fetichistas. En efecto, en el artículo 2 de la Ley se estipul</w:t>
      </w:r>
      <w:r>
        <w:t>ó</w:t>
      </w:r>
      <w:r w:rsidRPr="00EC5BB4">
        <w:t xml:space="preserve"> que se castigar</w:t>
      </w:r>
      <w:r>
        <w:t>ía</w:t>
      </w:r>
      <w:r w:rsidRPr="00EC5BB4">
        <w:t>n con penas de prisión a perpetuidad los asesinatos en los que se extra</w:t>
      </w:r>
      <w:r>
        <w:t>jese</w:t>
      </w:r>
      <w:r w:rsidRPr="00EC5BB4">
        <w:t>n órganos o elementos del cuerpo humano con fines fetichistas, de brujería o comerciales;</w:t>
      </w:r>
    </w:p>
    <w:p w14:paraId="71352F32" w14:textId="5065AB54" w:rsidR="00A4617B" w:rsidRPr="00D12F87" w:rsidRDefault="00A4617B" w:rsidP="00A4617B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EC5BB4">
        <w:t xml:space="preserve">Ninguna persona condenada por un delito de este tipo podrá ser indultada o amnistiada, </w:t>
      </w:r>
      <w:r>
        <w:t>solicitar l</w:t>
      </w:r>
      <w:r w:rsidRPr="00EC5BB4">
        <w:t xml:space="preserve">a libertad condicional </w:t>
      </w:r>
      <w:r>
        <w:t xml:space="preserve">o medidas de </w:t>
      </w:r>
      <w:r w:rsidRPr="00EC5BB4">
        <w:t xml:space="preserve">rehabilitación ni tener una rebaja de condena. </w:t>
      </w:r>
    </w:p>
    <w:p w14:paraId="206075DF" w14:textId="77777777" w:rsidR="00A4617B" w:rsidRPr="00D12F87" w:rsidRDefault="00A4617B" w:rsidP="00A4617B">
      <w:pPr>
        <w:pStyle w:val="SingleTxt"/>
        <w:numPr>
          <w:ilvl w:val="0"/>
          <w:numId w:val="20"/>
        </w:numPr>
        <w:tabs>
          <w:tab w:val="num" w:pos="2804"/>
        </w:tabs>
        <w:ind w:left="1267"/>
      </w:pPr>
      <w:r w:rsidRPr="00EC5BB4">
        <w:t>Con respecto al ámbito laboral y las instancias políticas y administrativas:</w:t>
      </w:r>
    </w:p>
    <w:p w14:paraId="2F96A449" w14:textId="68487C90" w:rsidR="00A4617B" w:rsidRPr="00D12F87" w:rsidRDefault="00A4617B" w:rsidP="00A4617B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EC5BB4">
        <w:t xml:space="preserve">Se promulgó la Ley núm. </w:t>
      </w:r>
      <w:r w:rsidRPr="00FC52CE">
        <w:t>10/201</w:t>
      </w:r>
      <w:r w:rsidRPr="00EC5BB4">
        <w:t>6</w:t>
      </w:r>
      <w:r>
        <w:t>,</w:t>
      </w:r>
      <w:r w:rsidRPr="00EC5BB4">
        <w:t xml:space="preserve"> de 16 de septiembre de 2016</w:t>
      </w:r>
      <w:r>
        <w:t>,</w:t>
      </w:r>
      <w:r w:rsidRPr="00EC5BB4">
        <w:t xml:space="preserve"> sobre lucha contra el acoso en entornos profesionales. En ella se define el acoso como cualquier comportamiento repetitivo que viol</w:t>
      </w:r>
      <w:r>
        <w:t>e</w:t>
      </w:r>
      <w:r w:rsidRPr="00EC5BB4">
        <w:t xml:space="preserve"> la dignidad de una persona y cre</w:t>
      </w:r>
      <w:r>
        <w:t xml:space="preserve">e </w:t>
      </w:r>
      <w:r w:rsidRPr="00EC5BB4">
        <w:t xml:space="preserve">un entorno intimidatorio, hostil, degradante, humillante u ofensivo en un entorno profesional. En la Ley se distinguen dos </w:t>
      </w:r>
      <w:r>
        <w:t xml:space="preserve">tipos de acoso, moral y sexual, y </w:t>
      </w:r>
      <w:r w:rsidRPr="00EC5BB4">
        <w:t xml:space="preserve">se prevén sanciones para </w:t>
      </w:r>
      <w:r>
        <w:t xml:space="preserve">los </w:t>
      </w:r>
      <w:r w:rsidRPr="00EC5BB4">
        <w:t xml:space="preserve">casos de acoso. </w:t>
      </w:r>
      <w:r>
        <w:t>También</w:t>
      </w:r>
      <w:r w:rsidRPr="00EC5BB4">
        <w:t xml:space="preserve"> </w:t>
      </w:r>
      <w:r>
        <w:t xml:space="preserve">se </w:t>
      </w:r>
      <w:r w:rsidRPr="00EC5BB4">
        <w:t>incluye</w:t>
      </w:r>
      <w:r>
        <w:t>n</w:t>
      </w:r>
      <w:r w:rsidRPr="00EC5BB4">
        <w:t xml:space="preserve"> disposiciones contra el despido y otras medidas discriminatorias directas o indirectas </w:t>
      </w:r>
      <w:r>
        <w:t>que se produzcan</w:t>
      </w:r>
      <w:r w:rsidRPr="00EC5BB4">
        <w:t xml:space="preserve"> en un contexto de acoso laboral;</w:t>
      </w:r>
    </w:p>
    <w:p w14:paraId="412947CE" w14:textId="7CF62979" w:rsidR="00A4617B" w:rsidRPr="00D12F87" w:rsidRDefault="00A4617B" w:rsidP="00A4617B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EC5BB4">
        <w:t xml:space="preserve">Por otra parte, la Ley núm. </w:t>
      </w:r>
      <w:r w:rsidRPr="00FC52CE">
        <w:t>09/201</w:t>
      </w:r>
      <w:r w:rsidRPr="00EC5BB4">
        <w:t>6</w:t>
      </w:r>
      <w:r>
        <w:t>,</w:t>
      </w:r>
      <w:r w:rsidRPr="00EC5BB4">
        <w:t xml:space="preserve"> de 5 de septiembre de 2016</w:t>
      </w:r>
      <w:r>
        <w:t>,</w:t>
      </w:r>
      <w:r w:rsidRPr="00EC5BB4">
        <w:t xml:space="preserve"> fij</w:t>
      </w:r>
      <w:r>
        <w:t>ó</w:t>
      </w:r>
      <w:r w:rsidRPr="00EC5BB4">
        <w:t xml:space="preserve"> cuotas de acceso a las elecciones políticas </w:t>
      </w:r>
      <w:r>
        <w:t xml:space="preserve">para las </w:t>
      </w:r>
      <w:r w:rsidRPr="00EC5BB4">
        <w:t xml:space="preserve">mujeres y </w:t>
      </w:r>
      <w:r>
        <w:t xml:space="preserve">los </w:t>
      </w:r>
      <w:r w:rsidRPr="00EC5BB4">
        <w:t xml:space="preserve">jóvenes y a empleos </w:t>
      </w:r>
      <w:r>
        <w:t xml:space="preserve">en </w:t>
      </w:r>
      <w:r w:rsidRPr="00EC5BB4">
        <w:t>la administración superior del Estado</w:t>
      </w:r>
      <w:r>
        <w:t xml:space="preserve"> para las mujeres</w:t>
      </w:r>
      <w:r w:rsidRPr="00EC5BB4">
        <w:t>. El principio de cuotas pretende aumentar la participación directa y activa de las mujeres y los jóvenes en la vida política y la administración del Estado;</w:t>
      </w:r>
    </w:p>
    <w:p w14:paraId="67B48805" w14:textId="3D030A05" w:rsidR="00A4617B" w:rsidRPr="00D12F87" w:rsidRDefault="00A4617B" w:rsidP="00A4617B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EC5BB4">
        <w:t>También garantiza que las mujeres y los jóvenes est</w:t>
      </w:r>
      <w:r>
        <w:t>é</w:t>
      </w:r>
      <w:r w:rsidRPr="00EC5BB4">
        <w:t>n representados en el Parlamento, los consejos l</w:t>
      </w:r>
      <w:r>
        <w:t>o</w:t>
      </w:r>
      <w:r w:rsidRPr="00EC5BB4">
        <w:t>cales, las mesas de las asambleas electorales y, en el caso de las mujeres, en la administración superior del Estado. Esta norma se enmarca en la consolidación del sistema democrático y la eliminación de todas las formas de discriminación contra la mujer.</w:t>
      </w:r>
    </w:p>
    <w:p w14:paraId="0D91C4BA" w14:textId="77777777" w:rsidR="00A4617B" w:rsidRPr="00A4617B" w:rsidRDefault="00A4617B" w:rsidP="00A4617B">
      <w:pPr>
        <w:pStyle w:val="SingleTxt"/>
        <w:spacing w:after="0" w:line="120" w:lineRule="exact"/>
        <w:rPr>
          <w:sz w:val="10"/>
        </w:rPr>
      </w:pPr>
    </w:p>
    <w:p w14:paraId="13D30E06" w14:textId="38A42E52" w:rsidR="00A4617B" w:rsidRPr="00EC5BB4" w:rsidRDefault="00A4617B" w:rsidP="00A4617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C5BB4">
        <w:lastRenderedPageBreak/>
        <w:tab/>
      </w:r>
      <w:r w:rsidRPr="00EC5BB4">
        <w:tab/>
        <w:t>Recomendación 17 a)</w:t>
      </w:r>
    </w:p>
    <w:p w14:paraId="0065E1CB" w14:textId="77777777" w:rsidR="00A4617B" w:rsidRPr="00A4617B" w:rsidRDefault="00A4617B" w:rsidP="00A4617B">
      <w:pPr>
        <w:pStyle w:val="SingleTxt"/>
        <w:keepNext/>
        <w:keepLines/>
        <w:spacing w:after="0" w:line="120" w:lineRule="exact"/>
        <w:rPr>
          <w:sz w:val="10"/>
        </w:rPr>
      </w:pPr>
    </w:p>
    <w:p w14:paraId="22CDA65E" w14:textId="6B4A9BB0" w:rsidR="00A4617B" w:rsidRPr="00EC5BB4" w:rsidRDefault="00A4617B" w:rsidP="00A4617B">
      <w:pPr>
        <w:pStyle w:val="SingleTxt"/>
        <w:keepNext/>
        <w:keepLines/>
        <w:numPr>
          <w:ilvl w:val="0"/>
          <w:numId w:val="20"/>
        </w:numPr>
        <w:tabs>
          <w:tab w:val="num" w:pos="2804"/>
        </w:tabs>
        <w:ind w:left="1267"/>
      </w:pPr>
      <w:r w:rsidRPr="00EC5BB4">
        <w:t xml:space="preserve">El Comité recomienda al Estado parte que revise la distribución de los ingresos del Estado para aumentar significativamente la proporción asignada a la promoción de la mujer, el desarrollo sostenible y la erradicación de la pobreza (véase </w:t>
      </w:r>
      <w:hyperlink r:id="rId16" w:history="1">
        <w:r w:rsidRPr="00A17B73">
          <w:rPr>
            <w:rStyle w:val="Hyperlink"/>
          </w:rPr>
          <w:t>CEDAW/C/GAB/CO/6</w:t>
        </w:r>
      </w:hyperlink>
      <w:r w:rsidRPr="00EC5BB4">
        <w:t>, párr. 17 a)).</w:t>
      </w:r>
    </w:p>
    <w:p w14:paraId="4EB516D0" w14:textId="77777777" w:rsidR="005B54EE" w:rsidRPr="005B54EE" w:rsidRDefault="005B54EE" w:rsidP="005B54EE">
      <w:pPr>
        <w:pStyle w:val="SingleTxt"/>
        <w:spacing w:after="0" w:line="120" w:lineRule="exact"/>
        <w:rPr>
          <w:sz w:val="10"/>
        </w:rPr>
      </w:pPr>
    </w:p>
    <w:p w14:paraId="467421BD" w14:textId="14391816" w:rsidR="00A4617B" w:rsidRDefault="00A4617B" w:rsidP="005B54EE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C5BB4">
        <w:tab/>
      </w:r>
      <w:r w:rsidRPr="00EC5BB4">
        <w:tab/>
        <w:t>Respuesta</w:t>
      </w:r>
    </w:p>
    <w:p w14:paraId="6D5DB465" w14:textId="3EDE6D91" w:rsidR="005B54EE" w:rsidRPr="005B54EE" w:rsidRDefault="005B54EE" w:rsidP="005B54EE">
      <w:pPr>
        <w:pStyle w:val="SingleTxt"/>
        <w:spacing w:after="0" w:line="120" w:lineRule="exact"/>
        <w:rPr>
          <w:sz w:val="10"/>
        </w:rPr>
      </w:pPr>
    </w:p>
    <w:p w14:paraId="703F3556" w14:textId="77777777" w:rsidR="00A4617B" w:rsidRPr="00D12F87" w:rsidRDefault="00A4617B" w:rsidP="005B54EE">
      <w:pPr>
        <w:pStyle w:val="SingleTxt"/>
        <w:numPr>
          <w:ilvl w:val="0"/>
          <w:numId w:val="20"/>
        </w:numPr>
        <w:tabs>
          <w:tab w:val="num" w:pos="2804"/>
        </w:tabs>
        <w:ind w:left="1267"/>
      </w:pPr>
      <w:r w:rsidRPr="00EC5BB4">
        <w:t>Las partidas presupuestarias siguientes no se corresponden con su ejecución real debido a restricciones y dificultades de aplicación.</w:t>
      </w:r>
    </w:p>
    <w:p w14:paraId="43EE10BD" w14:textId="77777777" w:rsidR="00A4617B" w:rsidRPr="00D12F87" w:rsidRDefault="00A4617B" w:rsidP="005B54EE">
      <w:pPr>
        <w:pStyle w:val="SingleTxt"/>
        <w:numPr>
          <w:ilvl w:val="0"/>
          <w:numId w:val="20"/>
        </w:numPr>
        <w:tabs>
          <w:tab w:val="num" w:pos="2804"/>
        </w:tabs>
        <w:ind w:left="1267"/>
      </w:pPr>
      <w:r w:rsidRPr="00EC5BB4">
        <w:t>Se detalla a continuación la partida presupuestaria estatal destinada a la Dirección General de Promoción de la Mujer de 2014 a 2017:</w:t>
      </w:r>
    </w:p>
    <w:p w14:paraId="1F04FD1A" w14:textId="29E7CA89" w:rsidR="00A4617B" w:rsidRPr="00EC5BB4" w:rsidRDefault="006F2BBE" w:rsidP="006F2BBE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4617B" w:rsidRPr="00EC5BB4">
        <w:t>2014: 53.293.784 FCFA;</w:t>
      </w:r>
    </w:p>
    <w:p w14:paraId="1D6E8B24" w14:textId="427E851D" w:rsidR="00A4617B" w:rsidRPr="00EC5BB4" w:rsidRDefault="006F2BBE" w:rsidP="006F2BBE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4617B" w:rsidRPr="00EC5BB4">
        <w:t>2015: 572.067.500 FCFA;</w:t>
      </w:r>
    </w:p>
    <w:p w14:paraId="34DC9C80" w14:textId="6FADE008" w:rsidR="00A4617B" w:rsidRPr="00EC5BB4" w:rsidRDefault="006F2BBE" w:rsidP="006F2BBE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4617B" w:rsidRPr="00EC5BB4">
        <w:t>2016: 148.842.767 FCFA;</w:t>
      </w:r>
    </w:p>
    <w:p w14:paraId="0E6CABBA" w14:textId="38541486" w:rsidR="00A4617B" w:rsidRPr="00EC5BB4" w:rsidRDefault="006F2BBE" w:rsidP="006F2BBE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4617B" w:rsidRPr="00EC5BB4">
        <w:t>2017: 129.464.776 FCFA.</w:t>
      </w:r>
    </w:p>
    <w:p w14:paraId="7A04AE26" w14:textId="77777777" w:rsidR="00A4617B" w:rsidRPr="00D12F87" w:rsidRDefault="00A4617B" w:rsidP="006F2BBE">
      <w:pPr>
        <w:pStyle w:val="SingleTxt"/>
        <w:numPr>
          <w:ilvl w:val="0"/>
          <w:numId w:val="20"/>
        </w:numPr>
        <w:tabs>
          <w:tab w:val="num" w:pos="2804"/>
        </w:tabs>
        <w:ind w:left="1267"/>
      </w:pPr>
      <w:r w:rsidRPr="00EC5BB4">
        <w:t>E</w:t>
      </w:r>
      <w:r>
        <w:t>n resumen, e</w:t>
      </w:r>
      <w:r w:rsidRPr="00EC5BB4">
        <w:t xml:space="preserve">l presupuesto destinado a la Dirección General de Promoción de la Mujer aumentó entre 2014 y 2015 y disminuyó en 2016 y 2017, por lo que no se pudieron llevar a cabo todas las actuaciones previstas. </w:t>
      </w:r>
    </w:p>
    <w:p w14:paraId="0E983381" w14:textId="77777777" w:rsidR="006F2BBE" w:rsidRPr="006F2BBE" w:rsidRDefault="006F2BBE" w:rsidP="006F2BBE">
      <w:pPr>
        <w:pStyle w:val="SingleTxt"/>
        <w:spacing w:after="0" w:line="120" w:lineRule="exact"/>
        <w:rPr>
          <w:sz w:val="10"/>
        </w:rPr>
      </w:pPr>
    </w:p>
    <w:p w14:paraId="2099CEC2" w14:textId="0CA41A78" w:rsidR="00A4617B" w:rsidRPr="00EC5BB4" w:rsidRDefault="00A4617B" w:rsidP="006F2BB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C5BB4">
        <w:tab/>
      </w:r>
      <w:r w:rsidRPr="00EC5BB4">
        <w:tab/>
        <w:t>Recomendación 17 b)</w:t>
      </w:r>
    </w:p>
    <w:p w14:paraId="19C88F1D" w14:textId="77777777" w:rsidR="006F2BBE" w:rsidRPr="006F2BBE" w:rsidRDefault="006F2BBE" w:rsidP="006F2BBE">
      <w:pPr>
        <w:pStyle w:val="SingleTxt"/>
        <w:spacing w:after="0" w:line="120" w:lineRule="exact"/>
        <w:rPr>
          <w:sz w:val="10"/>
        </w:rPr>
      </w:pPr>
    </w:p>
    <w:p w14:paraId="479DB222" w14:textId="09AB88FC" w:rsidR="00A4617B" w:rsidRPr="00EC5BB4" w:rsidRDefault="00A4617B" w:rsidP="006F2BBE">
      <w:pPr>
        <w:pStyle w:val="SingleTxt"/>
        <w:numPr>
          <w:ilvl w:val="0"/>
          <w:numId w:val="20"/>
        </w:numPr>
        <w:tabs>
          <w:tab w:val="num" w:pos="2804"/>
        </w:tabs>
        <w:ind w:left="1267"/>
      </w:pPr>
      <w:r w:rsidRPr="00EC5BB4">
        <w:t xml:space="preserve">El Comité recomienda al Estado parte que refuerce las medidas de lucha contra la corrupción (véase </w:t>
      </w:r>
      <w:hyperlink r:id="rId17" w:history="1">
        <w:r w:rsidRPr="00A17B73">
          <w:rPr>
            <w:rStyle w:val="Hyperlink"/>
          </w:rPr>
          <w:t>CEDAW/C/GAB/CO/6</w:t>
        </w:r>
      </w:hyperlink>
      <w:r w:rsidRPr="00EC5BB4">
        <w:t>, párr. 17 b)).</w:t>
      </w:r>
    </w:p>
    <w:p w14:paraId="07C78B09" w14:textId="3E2702E8" w:rsidR="00A4617B" w:rsidRDefault="00A4617B" w:rsidP="006F2BBE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C5BB4">
        <w:tab/>
      </w:r>
      <w:r w:rsidRPr="00EC5BB4">
        <w:tab/>
        <w:t>Respuesta</w:t>
      </w:r>
    </w:p>
    <w:p w14:paraId="79A76109" w14:textId="25427F8C" w:rsidR="006F2BBE" w:rsidRPr="006F2BBE" w:rsidRDefault="006F2BBE" w:rsidP="006F2BBE">
      <w:pPr>
        <w:pStyle w:val="SingleTxt"/>
        <w:spacing w:after="0" w:line="120" w:lineRule="exact"/>
        <w:rPr>
          <w:sz w:val="10"/>
        </w:rPr>
      </w:pPr>
    </w:p>
    <w:p w14:paraId="0D2D9317" w14:textId="77777777" w:rsidR="00A4617B" w:rsidRPr="00D12F87" w:rsidRDefault="00A4617B" w:rsidP="006F2BBE">
      <w:pPr>
        <w:pStyle w:val="SingleTxt"/>
        <w:numPr>
          <w:ilvl w:val="0"/>
          <w:numId w:val="20"/>
        </w:numPr>
        <w:tabs>
          <w:tab w:val="num" w:pos="2804"/>
        </w:tabs>
        <w:ind w:left="1267"/>
      </w:pPr>
      <w:r w:rsidRPr="00EC5BB4">
        <w:t xml:space="preserve">Desde 2009, las más altas autoridades del Gabón, con el </w:t>
      </w:r>
      <w:proofErr w:type="gramStart"/>
      <w:r w:rsidRPr="00EC5BB4">
        <w:t>Jefe</w:t>
      </w:r>
      <w:proofErr w:type="gramEnd"/>
      <w:r w:rsidRPr="00EC5BB4">
        <w:t xml:space="preserve"> del Estado, el Excmo. Sr. Ali Bongo </w:t>
      </w:r>
      <w:proofErr w:type="spellStart"/>
      <w:r w:rsidRPr="00EC5BB4">
        <w:t>Ondimba</w:t>
      </w:r>
      <w:proofErr w:type="spellEnd"/>
      <w:r w:rsidRPr="00EC5BB4">
        <w:t>, a la cabeza, han hecho de la lucha contra la corrupción una de sus grandes prioridades.</w:t>
      </w:r>
    </w:p>
    <w:p w14:paraId="2870A363" w14:textId="77777777" w:rsidR="00A4617B" w:rsidRPr="00EC5BB4" w:rsidRDefault="00A4617B" w:rsidP="006F2BBE">
      <w:pPr>
        <w:pStyle w:val="SingleTxt"/>
        <w:numPr>
          <w:ilvl w:val="0"/>
          <w:numId w:val="20"/>
        </w:numPr>
        <w:tabs>
          <w:tab w:val="num" w:pos="2804"/>
        </w:tabs>
        <w:ind w:left="1267"/>
      </w:pPr>
      <w:r w:rsidRPr="00EC5BB4">
        <w:t xml:space="preserve">Con ese fin, el Gabón elaboró en 2012 su Documento de Estrategia de Lucha contra la Corrupción y el Blanqueo de Dinero, cuyo objetivo principal es mejorar la gobernanza. El documento incluye varios ejes estratégicos, </w:t>
      </w:r>
      <w:r>
        <w:t>entre otros</w:t>
      </w:r>
      <w:r w:rsidRPr="00EC5BB4">
        <w:t>:</w:t>
      </w:r>
    </w:p>
    <w:p w14:paraId="0438D221" w14:textId="50E6CEC6" w:rsidR="00A4617B" w:rsidRPr="00D12F87" w:rsidRDefault="006F2BBE" w:rsidP="006F2BBE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4617B" w:rsidRPr="00EC5BB4">
        <w:t>La redistribución justa y equitativa de la riqueza nacional;</w:t>
      </w:r>
    </w:p>
    <w:p w14:paraId="12E1E234" w14:textId="49321844" w:rsidR="00A4617B" w:rsidRPr="00D12F87" w:rsidRDefault="006F2BBE" w:rsidP="006F2BBE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4617B" w:rsidRPr="00EC5BB4">
        <w:t>El refuerzo de la imagen y la credibilidad internacional del Gabón;</w:t>
      </w:r>
    </w:p>
    <w:p w14:paraId="7EAFB0CA" w14:textId="12FDB57C" w:rsidR="00A4617B" w:rsidRPr="00D12F87" w:rsidRDefault="006F2BBE" w:rsidP="006F2BBE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4617B" w:rsidRPr="00EC5BB4">
        <w:t>La mejora del entorno empresarial.</w:t>
      </w:r>
    </w:p>
    <w:p w14:paraId="351E35A9" w14:textId="77777777" w:rsidR="00A4617B" w:rsidRPr="00D12F87" w:rsidRDefault="00A4617B" w:rsidP="006F2BBE">
      <w:pPr>
        <w:pStyle w:val="SingleTxt"/>
        <w:numPr>
          <w:ilvl w:val="0"/>
          <w:numId w:val="20"/>
        </w:numPr>
        <w:tabs>
          <w:tab w:val="num" w:pos="2804"/>
        </w:tabs>
        <w:ind w:left="1267"/>
      </w:pPr>
      <w:r w:rsidRPr="00EC5BB4">
        <w:t xml:space="preserve">Para aplicar esa estrategia, la ONG </w:t>
      </w:r>
      <w:proofErr w:type="spellStart"/>
      <w:r w:rsidRPr="00EC5BB4">
        <w:t>Malachie</w:t>
      </w:r>
      <w:proofErr w:type="spellEnd"/>
      <w:r w:rsidRPr="00EC5BB4">
        <w:t>, en colaboración con el Programa de las Naciones Unidas para el Desarrollo (PNUD), la Comisión Nacional de Lucha contra el Enriquecimiento Ilícito y la Agencia Nacional de Investigación Financiera</w:t>
      </w:r>
      <w:r>
        <w:t>,</w:t>
      </w:r>
      <w:r w:rsidRPr="00EC5BB4">
        <w:t xml:space="preserve"> organiz</w:t>
      </w:r>
      <w:r>
        <w:t>ó</w:t>
      </w:r>
      <w:r w:rsidRPr="00EC5BB4">
        <w:t xml:space="preserve"> en diciembre de 2015 un taller de apoyo a la lucha contra la corrupción y el blanqueo de dinero en entornos profesionales.</w:t>
      </w:r>
    </w:p>
    <w:p w14:paraId="62FD6D08" w14:textId="77777777" w:rsidR="00A4617B" w:rsidRPr="00D12F87" w:rsidRDefault="00A4617B" w:rsidP="006F2BBE">
      <w:pPr>
        <w:pStyle w:val="SingleTxt"/>
        <w:numPr>
          <w:ilvl w:val="0"/>
          <w:numId w:val="20"/>
        </w:numPr>
        <w:tabs>
          <w:tab w:val="num" w:pos="2804"/>
        </w:tabs>
        <w:ind w:left="1267"/>
      </w:pPr>
      <w:r w:rsidRPr="00EC5BB4">
        <w:t>El taller tenía los objetivos siguientes:</w:t>
      </w:r>
    </w:p>
    <w:p w14:paraId="2F4CC78A" w14:textId="19E4CC62" w:rsidR="00A4617B" w:rsidRPr="00D12F87" w:rsidRDefault="006F2BBE" w:rsidP="006F2BBE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4617B" w:rsidRPr="00EC5BB4">
        <w:t xml:space="preserve">Concienciar e informar a las mujeres líderes; </w:t>
      </w:r>
    </w:p>
    <w:p w14:paraId="2F8FC7BC" w14:textId="408AF729" w:rsidR="00A4617B" w:rsidRPr="00D12F87" w:rsidRDefault="006F2BBE" w:rsidP="006F2BBE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4617B">
        <w:t>Impulsar</w:t>
      </w:r>
      <w:r w:rsidR="00A4617B" w:rsidRPr="00EC5BB4">
        <w:t xml:space="preserve"> el desarrollo ciudadano y la integridad en la gestión de los asuntos públicos;</w:t>
      </w:r>
    </w:p>
    <w:p w14:paraId="39EE3F87" w14:textId="20DE8F2E" w:rsidR="00A4617B" w:rsidRPr="00D12F87" w:rsidRDefault="006F2BBE" w:rsidP="006F2BBE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4617B" w:rsidRPr="00EC5BB4">
        <w:t xml:space="preserve">Familiarizar a las mujeres con los dispositivos jurídicos e institucionales de lucha contra la corrupción. </w:t>
      </w:r>
    </w:p>
    <w:p w14:paraId="0407FBC8" w14:textId="77777777" w:rsidR="00A4617B" w:rsidRPr="00D12F87" w:rsidRDefault="00A4617B" w:rsidP="006F2BBE">
      <w:pPr>
        <w:pStyle w:val="SingleTxt"/>
        <w:numPr>
          <w:ilvl w:val="0"/>
          <w:numId w:val="20"/>
        </w:numPr>
        <w:tabs>
          <w:tab w:val="num" w:pos="2804"/>
        </w:tabs>
        <w:ind w:left="1267"/>
      </w:pPr>
      <w:r w:rsidRPr="00EC5BB4">
        <w:lastRenderedPageBreak/>
        <w:t>Ya existe en el Gabón, en el plano institucional, un órgano encargado de la lucha contra la corrupción y el enriquecimiento ilícito.</w:t>
      </w:r>
    </w:p>
    <w:p w14:paraId="4152E40C" w14:textId="77777777" w:rsidR="00A4617B" w:rsidRPr="00D12F87" w:rsidRDefault="00A4617B" w:rsidP="006F2BBE">
      <w:pPr>
        <w:pStyle w:val="SingleTxt"/>
        <w:numPr>
          <w:ilvl w:val="0"/>
          <w:numId w:val="20"/>
        </w:numPr>
        <w:tabs>
          <w:tab w:val="num" w:pos="2804"/>
        </w:tabs>
        <w:ind w:left="1267"/>
      </w:pPr>
      <w:r w:rsidRPr="00EC5BB4">
        <w:t xml:space="preserve">En resumen, el Gobierno ha adoptado medidas para aplicar la Convención sobre la Eliminación de Todas las Formas de Discriminación contra la Mujer que </w:t>
      </w:r>
      <w:r>
        <w:t>impulsan</w:t>
      </w:r>
      <w:r w:rsidRPr="00EC5BB4">
        <w:t xml:space="preserve"> la protección social en general de la mujer. </w:t>
      </w:r>
      <w:proofErr w:type="spellStart"/>
      <w:r w:rsidRPr="00EC5BB4">
        <w:t>Aún</w:t>
      </w:r>
      <w:proofErr w:type="spellEnd"/>
      <w:r w:rsidRPr="00EC5BB4">
        <w:t xml:space="preserve"> así, el Gabón prosigue con sus esfuerzos para cumplir los objetivos de la Convención.</w:t>
      </w:r>
    </w:p>
    <w:p w14:paraId="591ECF8F" w14:textId="469D01D7" w:rsidR="00695382" w:rsidRPr="00A4617B" w:rsidRDefault="0099160B" w:rsidP="00A4617B">
      <w:pPr>
        <w:pStyle w:val="SingleTxt"/>
        <w:rPr>
          <w:lang w:eastAsia="zh-CN"/>
        </w:rPr>
      </w:pPr>
      <w:r>
        <w:rPr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C6CDA" wp14:editId="3D10CB27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AC260E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</w:p>
    <w:sectPr w:rsidR="00695382" w:rsidRPr="00A4617B" w:rsidSect="00A4617B"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rt" w:date="2018-09-07T12:52:00Z" w:initials="Start">
    <w:p w14:paraId="3407A000" w14:textId="77777777" w:rsidR="00695382" w:rsidRPr="00A4617B" w:rsidRDefault="00695382">
      <w:pPr>
        <w:pStyle w:val="CommentText"/>
        <w:rPr>
          <w:lang w:val="en-US"/>
        </w:rPr>
      </w:pPr>
      <w:r>
        <w:fldChar w:fldCharType="begin"/>
      </w:r>
      <w:r w:rsidRPr="00A4617B">
        <w:rPr>
          <w:rStyle w:val="CommentReference"/>
          <w:lang w:val="en-US"/>
        </w:rPr>
        <w:instrText xml:space="preserve"> </w:instrText>
      </w:r>
      <w:r w:rsidRPr="00A4617B">
        <w:rPr>
          <w:lang w:val="en-US"/>
        </w:rPr>
        <w:instrText>PAGE \# "'Page: '#'</w:instrText>
      </w:r>
      <w:r w:rsidRPr="00A4617B">
        <w:rPr>
          <w:lang w:val="en-US"/>
        </w:rPr>
        <w:br/>
        <w:instrText>'"</w:instrText>
      </w:r>
      <w:r w:rsidRPr="00A4617B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A4617B">
        <w:rPr>
          <w:lang w:val="en-US"/>
        </w:rPr>
        <w:t>&lt;&lt;ODS JOB NO&gt;&gt;N1825892S&lt;&lt;ODS JOB NO&gt;&gt;</w:t>
      </w:r>
    </w:p>
    <w:p w14:paraId="2391F3FF" w14:textId="77777777" w:rsidR="00695382" w:rsidRPr="00A4617B" w:rsidRDefault="00695382">
      <w:pPr>
        <w:pStyle w:val="CommentText"/>
        <w:rPr>
          <w:lang w:val="en-US"/>
        </w:rPr>
      </w:pPr>
      <w:r w:rsidRPr="00A4617B">
        <w:rPr>
          <w:lang w:val="en-US"/>
        </w:rPr>
        <w:t>&lt;&lt;ODS DOC SYMBOL1&gt;&gt;CEDAW/C/GAB/CO/6/Add.1&lt;&lt;ODS DOC SYMBOL1&gt;&gt;</w:t>
      </w:r>
    </w:p>
    <w:p w14:paraId="314A48DE" w14:textId="77777777" w:rsidR="00695382" w:rsidRDefault="00695382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14A48D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C550A" w14:textId="77777777" w:rsidR="005054DE" w:rsidRDefault="005054DE" w:rsidP="00556720">
      <w:r>
        <w:separator/>
      </w:r>
    </w:p>
  </w:endnote>
  <w:endnote w:type="continuationSeparator" w:id="0">
    <w:p w14:paraId="4841AD93" w14:textId="77777777" w:rsidR="005054DE" w:rsidRDefault="005054DE" w:rsidP="005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95382" w14:paraId="74402988" w14:textId="77777777" w:rsidTr="00695382">
      <w:tc>
        <w:tcPr>
          <w:tcW w:w="4920" w:type="dxa"/>
          <w:shd w:val="clear" w:color="auto" w:fill="auto"/>
        </w:tcPr>
        <w:p w14:paraId="1F8FA361" w14:textId="77777777" w:rsidR="00695382" w:rsidRPr="00695382" w:rsidRDefault="00695382" w:rsidP="00695382">
          <w:pPr>
            <w:pStyle w:val="Footer"/>
            <w:jc w:val="right"/>
            <w:rPr>
              <w:b w:val="0"/>
              <w:color w:val="000000"/>
              <w:w w:val="103"/>
              <w:sz w:val="14"/>
            </w:rPr>
          </w:pPr>
          <w:r>
            <w:rPr>
              <w:b w:val="0"/>
              <w:color w:val="000000"/>
              <w:w w:val="103"/>
              <w:sz w:val="14"/>
            </w:rPr>
            <w:fldChar w:fldCharType="begin"/>
          </w:r>
          <w:r>
            <w:rPr>
              <w:b w:val="0"/>
              <w:color w:val="00000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w w:val="103"/>
              <w:sz w:val="14"/>
            </w:rPr>
            <w:fldChar w:fldCharType="separate"/>
          </w:r>
          <w:r>
            <w:rPr>
              <w:b w:val="0"/>
              <w:color w:val="000000"/>
              <w:w w:val="103"/>
              <w:sz w:val="14"/>
            </w:rPr>
            <w:t>18-13397</w:t>
          </w:r>
          <w:r>
            <w:rPr>
              <w:b w:val="0"/>
              <w:color w:val="00000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647B9641" w14:textId="77777777" w:rsidR="00695382" w:rsidRPr="00695382" w:rsidRDefault="00695382" w:rsidP="00695382">
          <w:pPr>
            <w:pStyle w:val="Footer"/>
            <w:rPr>
              <w:color w:val="000000"/>
              <w:w w:val="103"/>
            </w:rPr>
          </w:pPr>
          <w:r>
            <w:rPr>
              <w:color w:val="000000"/>
              <w:w w:val="103"/>
            </w:rPr>
            <w:fldChar w:fldCharType="begin"/>
          </w:r>
          <w:r>
            <w:rPr>
              <w:color w:val="000000"/>
              <w:w w:val="103"/>
            </w:rPr>
            <w:instrText xml:space="preserve"> PAGE  \* Arabic  \* MERGEFORMAT </w:instrText>
          </w:r>
          <w:r>
            <w:rPr>
              <w:color w:val="000000"/>
              <w:w w:val="103"/>
            </w:rPr>
            <w:fldChar w:fldCharType="separate"/>
          </w:r>
          <w:r>
            <w:rPr>
              <w:color w:val="000000"/>
              <w:w w:val="103"/>
            </w:rPr>
            <w:t>3</w:t>
          </w:r>
          <w:r>
            <w:rPr>
              <w:color w:val="000000"/>
              <w:w w:val="103"/>
            </w:rPr>
            <w:fldChar w:fldCharType="end"/>
          </w:r>
          <w:r>
            <w:rPr>
              <w:color w:val="000000"/>
              <w:w w:val="103"/>
            </w:rPr>
            <w:t>/</w:t>
          </w:r>
          <w:r>
            <w:rPr>
              <w:color w:val="000000"/>
              <w:w w:val="103"/>
            </w:rPr>
            <w:fldChar w:fldCharType="begin"/>
          </w:r>
          <w:r>
            <w:rPr>
              <w:color w:val="000000"/>
              <w:w w:val="103"/>
            </w:rPr>
            <w:instrText xml:space="preserve"> NUMPAGES  \* Arabic  \* MERGEFORMAT </w:instrText>
          </w:r>
          <w:r>
            <w:rPr>
              <w:color w:val="000000"/>
              <w:w w:val="103"/>
            </w:rPr>
            <w:fldChar w:fldCharType="separate"/>
          </w:r>
          <w:r>
            <w:rPr>
              <w:color w:val="000000"/>
              <w:w w:val="103"/>
            </w:rPr>
            <w:t>4</w:t>
          </w:r>
          <w:r>
            <w:rPr>
              <w:color w:val="000000"/>
              <w:w w:val="103"/>
            </w:rPr>
            <w:fldChar w:fldCharType="end"/>
          </w:r>
        </w:p>
      </w:tc>
    </w:tr>
  </w:tbl>
  <w:p w14:paraId="5C863227" w14:textId="77777777" w:rsidR="00695382" w:rsidRPr="00695382" w:rsidRDefault="00695382" w:rsidP="006953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95382" w14:paraId="66EFACBA" w14:textId="77777777" w:rsidTr="00695382">
      <w:tc>
        <w:tcPr>
          <w:tcW w:w="4920" w:type="dxa"/>
          <w:shd w:val="clear" w:color="auto" w:fill="auto"/>
        </w:tcPr>
        <w:p w14:paraId="3EB5FCF3" w14:textId="77777777" w:rsidR="00695382" w:rsidRPr="00695382" w:rsidRDefault="00695382" w:rsidP="00695382">
          <w:pPr>
            <w:pStyle w:val="Footer"/>
            <w:jc w:val="right"/>
            <w:rPr>
              <w:color w:val="000000"/>
              <w:w w:val="103"/>
            </w:rPr>
          </w:pPr>
          <w:r>
            <w:rPr>
              <w:color w:val="000000"/>
              <w:w w:val="103"/>
            </w:rPr>
            <w:fldChar w:fldCharType="begin"/>
          </w:r>
          <w:r>
            <w:rPr>
              <w:color w:val="000000"/>
              <w:w w:val="103"/>
            </w:rPr>
            <w:instrText xml:space="preserve"> PAGE  \* Arabic  \* MERGEFORMAT </w:instrText>
          </w:r>
          <w:r>
            <w:rPr>
              <w:color w:val="000000"/>
              <w:w w:val="103"/>
            </w:rPr>
            <w:fldChar w:fldCharType="separate"/>
          </w:r>
          <w:r>
            <w:rPr>
              <w:color w:val="000000"/>
              <w:w w:val="103"/>
            </w:rPr>
            <w:t>2</w:t>
          </w:r>
          <w:r>
            <w:rPr>
              <w:color w:val="000000"/>
              <w:w w:val="103"/>
            </w:rPr>
            <w:fldChar w:fldCharType="end"/>
          </w:r>
          <w:r>
            <w:rPr>
              <w:color w:val="000000"/>
              <w:w w:val="103"/>
            </w:rPr>
            <w:t>/</w:t>
          </w:r>
          <w:r>
            <w:rPr>
              <w:color w:val="000000"/>
              <w:w w:val="103"/>
            </w:rPr>
            <w:fldChar w:fldCharType="begin"/>
          </w:r>
          <w:r>
            <w:rPr>
              <w:color w:val="000000"/>
              <w:w w:val="103"/>
            </w:rPr>
            <w:instrText xml:space="preserve"> NUMPAGES  \* Arabic  \* MERGEFORMAT </w:instrText>
          </w:r>
          <w:r>
            <w:rPr>
              <w:color w:val="000000"/>
              <w:w w:val="103"/>
            </w:rPr>
            <w:fldChar w:fldCharType="separate"/>
          </w:r>
          <w:r>
            <w:rPr>
              <w:color w:val="000000"/>
              <w:w w:val="103"/>
            </w:rPr>
            <w:t>3</w:t>
          </w:r>
          <w:r>
            <w:rPr>
              <w:color w:val="000000"/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66B5C912" w14:textId="77777777" w:rsidR="00695382" w:rsidRPr="00695382" w:rsidRDefault="00695382" w:rsidP="00695382">
          <w:pPr>
            <w:pStyle w:val="Footer"/>
            <w:rPr>
              <w:b w:val="0"/>
              <w:color w:val="000000"/>
              <w:w w:val="103"/>
              <w:sz w:val="14"/>
            </w:rPr>
          </w:pPr>
          <w:r>
            <w:rPr>
              <w:b w:val="0"/>
              <w:color w:val="000000"/>
              <w:w w:val="103"/>
              <w:sz w:val="14"/>
            </w:rPr>
            <w:fldChar w:fldCharType="begin"/>
          </w:r>
          <w:r>
            <w:rPr>
              <w:b w:val="0"/>
              <w:color w:val="00000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w w:val="103"/>
              <w:sz w:val="14"/>
            </w:rPr>
            <w:fldChar w:fldCharType="separate"/>
          </w:r>
          <w:r>
            <w:rPr>
              <w:b w:val="0"/>
              <w:color w:val="000000"/>
              <w:w w:val="103"/>
              <w:sz w:val="14"/>
            </w:rPr>
            <w:t>18-13397</w:t>
          </w:r>
          <w:r>
            <w:rPr>
              <w:b w:val="0"/>
              <w:color w:val="000000"/>
              <w:w w:val="103"/>
              <w:sz w:val="14"/>
            </w:rPr>
            <w:fldChar w:fldCharType="end"/>
          </w:r>
        </w:p>
      </w:tc>
    </w:tr>
  </w:tbl>
  <w:p w14:paraId="13C238B6" w14:textId="77777777" w:rsidR="00695382" w:rsidRPr="00695382" w:rsidRDefault="00695382" w:rsidP="006953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9167D" w14:textId="77777777" w:rsidR="00695382" w:rsidRPr="00695382" w:rsidRDefault="00695382" w:rsidP="00695382">
    <w:pPr>
      <w:pStyle w:val="Footer"/>
      <w:spacing w:line="120" w:lineRule="exact"/>
      <w:rPr>
        <w:b w:val="0"/>
        <w:sz w:val="10"/>
      </w:rPr>
    </w:pPr>
    <w:r>
      <w:rPr>
        <w:b w:val="0"/>
        <w:sz w:val="10"/>
      </w:rPr>
      <w:drawing>
        <wp:anchor distT="0" distB="0" distL="114300" distR="114300" simplePos="0" relativeHeight="251658240" behindDoc="0" locked="0" layoutInCell="1" allowOverlap="1" wp14:anchorId="5EB1B9AA" wp14:editId="632C963B">
          <wp:simplePos x="0" y="0"/>
          <wp:positionH relativeFrom="column">
            <wp:posOffset>5568315</wp:posOffset>
          </wp:positionH>
          <wp:positionV relativeFrom="paragraph">
            <wp:posOffset>-283210</wp:posOffset>
          </wp:positionV>
          <wp:extent cx="694690" cy="694690"/>
          <wp:effectExtent l="0" t="0" r="0" b="0"/>
          <wp:wrapNone/>
          <wp:docPr id="3" name="Picture 3" descr="https://undocs.org/m2/QRCode2.ashx?DS=CEDAW/C/GAB/CO/6/Add.1&amp;Size =1&amp;Lang =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CEDAW/C/GAB/CO/6/Add.1&amp;Size =1&amp;Lang = 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830"/>
      <w:gridCol w:w="4920"/>
    </w:tblGrid>
    <w:tr w:rsidR="00695382" w14:paraId="4426FE36" w14:textId="77777777" w:rsidTr="00695382">
      <w:tc>
        <w:tcPr>
          <w:tcW w:w="3830" w:type="dxa"/>
          <w:shd w:val="clear" w:color="auto" w:fill="auto"/>
        </w:tcPr>
        <w:p w14:paraId="7B30A5E7" w14:textId="6D7F53DD" w:rsidR="00695382" w:rsidRDefault="00695382" w:rsidP="00695382">
          <w:pPr>
            <w:pStyle w:val="ReleaseDate"/>
          </w:pPr>
          <w:r>
            <w:t>18-13397 (</w:t>
          </w:r>
          <w:proofErr w:type="gramStart"/>
          <w:r>
            <w:t xml:space="preserve">S)   </w:t>
          </w:r>
          <w:proofErr w:type="gramEnd"/>
          <w:r>
            <w:t xml:space="preserve"> 0</w:t>
          </w:r>
          <w:r w:rsidR="00A4617B">
            <w:t>6</w:t>
          </w:r>
          <w:r>
            <w:t xml:space="preserve">0918    </w:t>
          </w:r>
          <w:r w:rsidR="00A4617B">
            <w:t>10</w:t>
          </w:r>
          <w:r>
            <w:t>0918</w:t>
          </w:r>
        </w:p>
        <w:p w14:paraId="14598FB9" w14:textId="77777777" w:rsidR="00695382" w:rsidRPr="00695382" w:rsidRDefault="00695382" w:rsidP="00695382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  <w:lang w:val="es-ES"/>
            </w:rPr>
          </w:pPr>
          <w:r>
            <w:rPr>
              <w:rFonts w:ascii="Barcode 3 of 9 by request" w:hAnsi="Barcode 3 of 9 by request"/>
              <w:sz w:val="24"/>
              <w:lang w:val="es-ES"/>
            </w:rPr>
            <w:t>*1813397*</w:t>
          </w:r>
        </w:p>
      </w:tc>
      <w:tc>
        <w:tcPr>
          <w:tcW w:w="4920" w:type="dxa"/>
          <w:shd w:val="clear" w:color="auto" w:fill="auto"/>
        </w:tcPr>
        <w:p w14:paraId="4AEB68F9" w14:textId="77777777" w:rsidR="00695382" w:rsidRDefault="00695382" w:rsidP="00695382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</w:rPr>
            <w:drawing>
              <wp:inline distT="0" distB="0" distL="0" distR="0" wp14:anchorId="408C4FB8" wp14:editId="61DB0A1A">
                <wp:extent cx="10820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0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6F32AB8" w14:textId="77777777" w:rsidR="00695382" w:rsidRPr="00695382" w:rsidRDefault="00695382" w:rsidP="00695382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BA4FD" w14:textId="27B4D004" w:rsidR="005054DE" w:rsidRPr="00A4617B" w:rsidRDefault="00A4617B" w:rsidP="00A4617B">
      <w:pPr>
        <w:pStyle w:val="Footer"/>
        <w:spacing w:after="80"/>
        <w:ind w:left="792"/>
        <w:rPr>
          <w:sz w:val="16"/>
        </w:rPr>
      </w:pPr>
      <w:r w:rsidRPr="00A4617B">
        <w:rPr>
          <w:sz w:val="16"/>
        </w:rPr>
        <w:t>__________________</w:t>
      </w:r>
    </w:p>
  </w:footnote>
  <w:footnote w:type="continuationSeparator" w:id="0">
    <w:p w14:paraId="56F3C258" w14:textId="483DE9CC" w:rsidR="005054DE" w:rsidRPr="00A4617B" w:rsidRDefault="00A4617B" w:rsidP="00A4617B">
      <w:pPr>
        <w:pStyle w:val="Footer"/>
        <w:spacing w:after="80"/>
        <w:ind w:left="792"/>
        <w:rPr>
          <w:sz w:val="16"/>
        </w:rPr>
      </w:pPr>
      <w:r w:rsidRPr="00A4617B">
        <w:rPr>
          <w:sz w:val="16"/>
        </w:rPr>
        <w:t>__________________</w:t>
      </w:r>
    </w:p>
  </w:footnote>
  <w:footnote w:id="1">
    <w:p w14:paraId="240389A3" w14:textId="77777777" w:rsidR="00A4617B" w:rsidRPr="00312269" w:rsidRDefault="00A4617B" w:rsidP="00A4617B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7" w:hanging="432"/>
      </w:pPr>
      <w:r>
        <w:tab/>
        <w:t>*</w:t>
      </w:r>
      <w:r>
        <w:tab/>
        <w:t>El presente documento se publica sin haber sido objeto de revisión editorial oficial.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9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39"/>
      <w:gridCol w:w="4920"/>
    </w:tblGrid>
    <w:tr w:rsidR="00695382" w:rsidRPr="00A16AEA" w14:paraId="43588FB2" w14:textId="77777777" w:rsidTr="00695382">
      <w:trPr>
        <w:trHeight w:hRule="exact" w:val="864"/>
      </w:trPr>
      <w:tc>
        <w:tcPr>
          <w:tcW w:w="4939" w:type="dxa"/>
          <w:shd w:val="clear" w:color="auto" w:fill="auto"/>
          <w:vAlign w:val="bottom"/>
        </w:tcPr>
        <w:p w14:paraId="6F7D2DAD" w14:textId="77777777" w:rsidR="00695382" w:rsidRPr="00695382" w:rsidRDefault="00695382" w:rsidP="00695382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>
            <w:rPr>
              <w:b/>
              <w:color w:val="000000"/>
            </w:rPr>
            <w:t>CEDAW/C/GAB/CO/6/Add.1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304E351E" w14:textId="77777777" w:rsidR="00695382" w:rsidRDefault="00695382" w:rsidP="00695382">
          <w:pPr>
            <w:pStyle w:val="Header"/>
          </w:pPr>
        </w:p>
      </w:tc>
    </w:tr>
  </w:tbl>
  <w:p w14:paraId="378D8AAA" w14:textId="77777777" w:rsidR="00695382" w:rsidRPr="00695382" w:rsidRDefault="00695382" w:rsidP="00695382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9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39"/>
      <w:gridCol w:w="4920"/>
    </w:tblGrid>
    <w:tr w:rsidR="00695382" w:rsidRPr="00A16AEA" w14:paraId="5D380F83" w14:textId="77777777" w:rsidTr="00695382">
      <w:trPr>
        <w:trHeight w:hRule="exact" w:val="864"/>
      </w:trPr>
      <w:tc>
        <w:tcPr>
          <w:tcW w:w="4939" w:type="dxa"/>
          <w:shd w:val="clear" w:color="auto" w:fill="auto"/>
          <w:vAlign w:val="bottom"/>
        </w:tcPr>
        <w:p w14:paraId="37D8E91F" w14:textId="77777777" w:rsidR="00695382" w:rsidRDefault="00695382" w:rsidP="00695382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1774218E" w14:textId="77777777" w:rsidR="00695382" w:rsidRPr="00695382" w:rsidRDefault="00695382" w:rsidP="00695382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>
            <w:rPr>
              <w:b/>
              <w:color w:val="000000"/>
            </w:rPr>
            <w:t>CEDAW/C/GAB/CO/6/Add.1</w:t>
          </w:r>
          <w:r>
            <w:rPr>
              <w:b/>
              <w:color w:val="000000"/>
            </w:rPr>
            <w:fldChar w:fldCharType="end"/>
          </w:r>
        </w:p>
      </w:tc>
    </w:tr>
  </w:tbl>
  <w:p w14:paraId="4AB80701" w14:textId="77777777" w:rsidR="00695382" w:rsidRPr="00695382" w:rsidRDefault="00695382" w:rsidP="00695382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25"/>
      <w:gridCol w:w="15"/>
    </w:tblGrid>
    <w:tr w:rsidR="00695382" w:rsidRPr="00A16AEA" w14:paraId="7850762A" w14:textId="77777777" w:rsidTr="00695382">
      <w:trPr>
        <w:gridAfter w:val="1"/>
        <w:wAfter w:w="15" w:type="dxa"/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5303482" w14:textId="77777777" w:rsidR="00695382" w:rsidRDefault="00695382" w:rsidP="00695382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55B1792" w14:textId="77777777" w:rsidR="00695382" w:rsidRPr="00695382" w:rsidRDefault="00695382" w:rsidP="00695382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Naciones Unidas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42A42CA8" w14:textId="77777777" w:rsidR="00695382" w:rsidRDefault="00695382" w:rsidP="00695382">
          <w:pPr>
            <w:pStyle w:val="Header"/>
            <w:spacing w:after="120"/>
          </w:pPr>
        </w:p>
      </w:tc>
      <w:tc>
        <w:tcPr>
          <w:tcW w:w="6480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2F52032C" w14:textId="77777777" w:rsidR="00695382" w:rsidRPr="00A4617B" w:rsidRDefault="00695382" w:rsidP="00695382">
          <w:pPr>
            <w:spacing w:after="80" w:line="240" w:lineRule="auto"/>
            <w:jc w:val="right"/>
            <w:rPr>
              <w:position w:val="-4"/>
              <w:lang w:val="en-US"/>
            </w:rPr>
          </w:pPr>
          <w:r w:rsidRPr="00A4617B">
            <w:rPr>
              <w:position w:val="-4"/>
              <w:sz w:val="40"/>
              <w:lang w:val="en-US"/>
            </w:rPr>
            <w:t>CEDAW</w:t>
          </w:r>
          <w:r w:rsidRPr="00A4617B">
            <w:rPr>
              <w:position w:val="-4"/>
              <w:lang w:val="en-US"/>
            </w:rPr>
            <w:t>/C/GAB/CO/6/Add.1</w:t>
          </w:r>
        </w:p>
      </w:tc>
    </w:tr>
    <w:tr w:rsidR="00695382" w:rsidRPr="00695382" w14:paraId="23453640" w14:textId="77777777" w:rsidTr="00695382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1D21887" w14:textId="77777777" w:rsidR="00695382" w:rsidRPr="00695382" w:rsidRDefault="00695382" w:rsidP="00695382">
          <w:pPr>
            <w:pStyle w:val="Header"/>
            <w:spacing w:before="120"/>
            <w:jc w:val="center"/>
          </w:pPr>
          <w:r>
            <w:t xml:space="preserve"> </w:t>
          </w:r>
          <w:r>
            <w:drawing>
              <wp:inline distT="0" distB="0" distL="0" distR="0" wp14:anchorId="43659C1F" wp14:editId="2C233B96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403C2D8" w14:textId="77777777" w:rsidR="00695382" w:rsidRPr="00695382" w:rsidRDefault="00695382" w:rsidP="00695382">
          <w:pPr>
            <w:pStyle w:val="XLarge"/>
            <w:spacing w:before="160"/>
            <w:rPr>
              <w:w w:val="103"/>
            </w:rPr>
          </w:pPr>
          <w:r>
            <w:rPr>
              <w:w w:val="103"/>
            </w:rPr>
            <w:t>Convención sobre la</w:t>
          </w:r>
          <w:r>
            <w:rPr>
              <w:w w:val="103"/>
            </w:rPr>
            <w:br/>
            <w:t>Eliminación de Todas las</w:t>
          </w:r>
          <w:r>
            <w:rPr>
              <w:w w:val="103"/>
            </w:rPr>
            <w:br/>
            <w:t>Formas de Discriminación</w:t>
          </w:r>
          <w:r>
            <w:rPr>
              <w:w w:val="103"/>
            </w:rPr>
            <w:br/>
            <w:t>contra la Mujer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F569D1B" w14:textId="77777777" w:rsidR="00695382" w:rsidRPr="00A4617B" w:rsidRDefault="00695382" w:rsidP="00695382">
          <w:pPr>
            <w:pStyle w:val="Header"/>
            <w:spacing w:before="109"/>
            <w:rPr>
              <w:lang w:val="es-419"/>
            </w:rPr>
          </w:pPr>
        </w:p>
      </w:tc>
      <w:tc>
        <w:tcPr>
          <w:tcW w:w="314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8D5D6F9" w14:textId="77777777" w:rsidR="00695382" w:rsidRDefault="00695382" w:rsidP="00695382">
          <w:pPr>
            <w:pStyle w:val="Distribution"/>
            <w:spacing w:before="240"/>
          </w:pPr>
          <w:proofErr w:type="spellStart"/>
          <w:r>
            <w:t>Distr</w:t>
          </w:r>
          <w:proofErr w:type="spellEnd"/>
          <w:r>
            <w:t>. general</w:t>
          </w:r>
        </w:p>
        <w:p w14:paraId="0EA4D0D9" w14:textId="77777777" w:rsidR="00695382" w:rsidRDefault="00695382" w:rsidP="00695382">
          <w:pPr>
            <w:pStyle w:val="Publication"/>
          </w:pPr>
          <w:r>
            <w:t>14 de agosto de 2018</w:t>
          </w:r>
        </w:p>
        <w:p w14:paraId="63ECC5C2" w14:textId="77777777" w:rsidR="00695382" w:rsidRDefault="00695382" w:rsidP="00695382">
          <w:r>
            <w:t>Español</w:t>
          </w:r>
        </w:p>
        <w:p w14:paraId="127140AB" w14:textId="25FF1EB7" w:rsidR="00A17B73" w:rsidRDefault="00695382" w:rsidP="00A17B73">
          <w:pPr>
            <w:pStyle w:val="Original"/>
          </w:pPr>
          <w:r>
            <w:t>Original:</w:t>
          </w:r>
          <w:r w:rsidR="00A16AEA">
            <w:t xml:space="preserve"> </w:t>
          </w:r>
          <w:r w:rsidR="00A17B73">
            <w:t>francés</w:t>
          </w:r>
        </w:p>
        <w:p w14:paraId="0D6B94C6" w14:textId="33A74A2C" w:rsidR="00695382" w:rsidRDefault="00A17B73" w:rsidP="00A17B73">
          <w:pPr>
            <w:pStyle w:val="Original"/>
          </w:pPr>
          <w:r>
            <w:t>Español, francés e</w:t>
          </w:r>
          <w:r w:rsidR="00695382">
            <w:t xml:space="preserve"> inglés</w:t>
          </w:r>
          <w:r>
            <w:t xml:space="preserve"> únicamente</w:t>
          </w:r>
        </w:p>
        <w:p w14:paraId="7337159E" w14:textId="77777777" w:rsidR="00695382" w:rsidRPr="00695382" w:rsidRDefault="00695382" w:rsidP="00695382"/>
      </w:tc>
    </w:tr>
  </w:tbl>
  <w:p w14:paraId="313F05CD" w14:textId="77777777" w:rsidR="00695382" w:rsidRPr="00A17B73" w:rsidRDefault="00695382" w:rsidP="00695382">
    <w:pPr>
      <w:pStyle w:val="Header"/>
      <w:rPr>
        <w:sz w:val="2"/>
        <w:lang w:val="es-4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30AD0"/>
    <w:multiLevelType w:val="hybridMultilevel"/>
    <w:tmpl w:val="7676142C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3" w15:restartNumberingAfterBreak="0">
    <w:nsid w:val="36742EAF"/>
    <w:multiLevelType w:val="singleLevel"/>
    <w:tmpl w:val="7C5AED06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spacing w:val="0"/>
        <w:w w:val="100"/>
      </w:rPr>
    </w:lvl>
  </w:abstractNum>
  <w:abstractNum w:abstractNumId="4" w15:restartNumberingAfterBreak="0">
    <w:nsid w:val="4CE669A5"/>
    <w:multiLevelType w:val="multilevel"/>
    <w:tmpl w:val="869EC1EE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5" w15:restartNumberingAfterBreak="0">
    <w:nsid w:val="51376339"/>
    <w:multiLevelType w:val="hybridMultilevel"/>
    <w:tmpl w:val="547468EC"/>
    <w:lvl w:ilvl="0" w:tplc="967CBD4C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6" w15:restartNumberingAfterBreak="0">
    <w:nsid w:val="62022005"/>
    <w:multiLevelType w:val="hybridMultilevel"/>
    <w:tmpl w:val="357C2562"/>
    <w:lvl w:ilvl="0" w:tplc="0338D74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7" w15:restartNumberingAfterBreak="0">
    <w:nsid w:val="62E417AD"/>
    <w:multiLevelType w:val="hybridMultilevel"/>
    <w:tmpl w:val="76B80ED8"/>
    <w:lvl w:ilvl="0" w:tplc="E35E325E">
      <w:start w:val="1"/>
      <w:numFmt w:val="decimal"/>
      <w:lvlText w:val="%1."/>
      <w:lvlJc w:val="left"/>
      <w:pPr>
        <w:ind w:left="1134" w:firstLine="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  <w:num w:numId="13">
    <w:abstractNumId w:val="6"/>
  </w:num>
  <w:num w:numId="14">
    <w:abstractNumId w:val="2"/>
  </w:num>
  <w:num w:numId="15">
    <w:abstractNumId w:val="5"/>
  </w:num>
  <w:num w:numId="16">
    <w:abstractNumId w:val="4"/>
  </w:num>
  <w:num w:numId="17">
    <w:abstractNumId w:val="0"/>
  </w:num>
  <w:num w:numId="18">
    <w:abstractNumId w:val="1"/>
    <w:lvlOverride w:ilvl="0">
      <w:lvl w:ilvl="0" w:tplc="9008FA9E">
        <w:start w:val="1"/>
        <w:numFmt w:val="bullet"/>
        <w:pStyle w:val="Bullet1G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</w:rPr>
      </w:lvl>
    </w:lvlOverride>
  </w:num>
  <w:num w:numId="19">
    <w:abstractNumId w:val="7"/>
    <w:lvlOverride w:ilvl="0">
      <w:lvl w:ilvl="0" w:tplc="E35E325E">
        <w:start w:val="1"/>
        <w:numFmt w:val="decimal"/>
        <w:lvlText w:val="%1."/>
        <w:lvlJc w:val="left"/>
        <w:pPr>
          <w:ind w:left="1134" w:firstLine="0"/>
        </w:pPr>
        <w:rPr>
          <w:rFonts w:hint="default"/>
          <w:b w:val="0"/>
        </w:rPr>
      </w:lvl>
    </w:lvlOverride>
  </w:num>
  <w:num w:numId="2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revisionView w:markup="0"/>
  <w:defaultTabStop w:val="475"/>
  <w:autoHyphenation/>
  <w:hyphenationZone w:val="20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813397*"/>
    <w:docVar w:name="CreationDt" w:val="07/09/2018 12:52 PM"/>
    <w:docVar w:name="DocCategory" w:val="Doc"/>
    <w:docVar w:name="DocType" w:val="Final"/>
    <w:docVar w:name="DutyStation" w:val="New York"/>
    <w:docVar w:name="FooterJN" w:val="18-13397"/>
    <w:docVar w:name="jobn" w:val="18-13397 (S)"/>
    <w:docVar w:name="jobnDT" w:val="18-13397 (S)   070918"/>
    <w:docVar w:name="jobnDTDT" w:val="18-13397 (S)   070918   070918"/>
    <w:docVar w:name="JobNo" w:val="1813397S"/>
    <w:docVar w:name="JobNo2" w:val="182589212:52 PM"/>
    <w:docVar w:name="LocalDrive" w:val="0"/>
    <w:docVar w:name="OandT" w:val="M Guerrero/Jordina Guitart Utgé"/>
    <w:docVar w:name="sss1" w:val="CEDAW/C/GAB/CO/6/Add.1"/>
    <w:docVar w:name="sss2" w:val="-"/>
    <w:docVar w:name="Symbol1" w:val="CEDAW/C/GAB/CO/6/Add.1"/>
    <w:docVar w:name="Symbol2" w:val="-"/>
  </w:docVars>
  <w:rsids>
    <w:rsidRoot w:val="005054DE"/>
    <w:rsid w:val="00017FCF"/>
    <w:rsid w:val="00024D1E"/>
    <w:rsid w:val="00041FFE"/>
    <w:rsid w:val="00065018"/>
    <w:rsid w:val="000C4C9C"/>
    <w:rsid w:val="000F5173"/>
    <w:rsid w:val="0011115C"/>
    <w:rsid w:val="001263EE"/>
    <w:rsid w:val="001B2DD1"/>
    <w:rsid w:val="001F0FB0"/>
    <w:rsid w:val="00214645"/>
    <w:rsid w:val="002540F2"/>
    <w:rsid w:val="00262329"/>
    <w:rsid w:val="002706A2"/>
    <w:rsid w:val="00300BF5"/>
    <w:rsid w:val="003C5E36"/>
    <w:rsid w:val="003E3B08"/>
    <w:rsid w:val="003E723B"/>
    <w:rsid w:val="00420B10"/>
    <w:rsid w:val="00426D65"/>
    <w:rsid w:val="0044179B"/>
    <w:rsid w:val="004B4C46"/>
    <w:rsid w:val="004D17DB"/>
    <w:rsid w:val="004F463C"/>
    <w:rsid w:val="005054DE"/>
    <w:rsid w:val="0054233B"/>
    <w:rsid w:val="00556720"/>
    <w:rsid w:val="005832B1"/>
    <w:rsid w:val="00583D31"/>
    <w:rsid w:val="005B54EE"/>
    <w:rsid w:val="005B6F9A"/>
    <w:rsid w:val="005C49C8"/>
    <w:rsid w:val="005D089B"/>
    <w:rsid w:val="005E363E"/>
    <w:rsid w:val="005E38A5"/>
    <w:rsid w:val="00630929"/>
    <w:rsid w:val="00656562"/>
    <w:rsid w:val="00674235"/>
    <w:rsid w:val="00695382"/>
    <w:rsid w:val="006A5FFE"/>
    <w:rsid w:val="006B63BE"/>
    <w:rsid w:val="006F2BBE"/>
    <w:rsid w:val="007C5E21"/>
    <w:rsid w:val="008350F0"/>
    <w:rsid w:val="00855FFA"/>
    <w:rsid w:val="008723C3"/>
    <w:rsid w:val="008F3E1E"/>
    <w:rsid w:val="008F5C2D"/>
    <w:rsid w:val="00926813"/>
    <w:rsid w:val="009457D2"/>
    <w:rsid w:val="0099160B"/>
    <w:rsid w:val="009E1969"/>
    <w:rsid w:val="00A16AEA"/>
    <w:rsid w:val="00A17B73"/>
    <w:rsid w:val="00A20AC0"/>
    <w:rsid w:val="00A458DD"/>
    <w:rsid w:val="00A4617B"/>
    <w:rsid w:val="00A8524E"/>
    <w:rsid w:val="00A966CD"/>
    <w:rsid w:val="00AF38EB"/>
    <w:rsid w:val="00B40947"/>
    <w:rsid w:val="00B565FD"/>
    <w:rsid w:val="00B95B84"/>
    <w:rsid w:val="00B9620C"/>
    <w:rsid w:val="00BB778A"/>
    <w:rsid w:val="00BF5B27"/>
    <w:rsid w:val="00BF6BE0"/>
    <w:rsid w:val="00C02934"/>
    <w:rsid w:val="00C04769"/>
    <w:rsid w:val="00C05846"/>
    <w:rsid w:val="00C43AC7"/>
    <w:rsid w:val="00C779E4"/>
    <w:rsid w:val="00CA0E8B"/>
    <w:rsid w:val="00D15D85"/>
    <w:rsid w:val="00DA119C"/>
    <w:rsid w:val="00DC7B16"/>
    <w:rsid w:val="00DF34AE"/>
    <w:rsid w:val="00E33AEC"/>
    <w:rsid w:val="00E445F9"/>
    <w:rsid w:val="00E7541B"/>
    <w:rsid w:val="00EC6195"/>
    <w:rsid w:val="00F14004"/>
    <w:rsid w:val="00F27BF6"/>
    <w:rsid w:val="00F30184"/>
    <w:rsid w:val="00F31052"/>
    <w:rsid w:val="00F32866"/>
    <w:rsid w:val="00F41482"/>
    <w:rsid w:val="00F5593E"/>
    <w:rsid w:val="00F94BC6"/>
    <w:rsid w:val="00FA0EFB"/>
    <w:rsid w:val="00FC52CE"/>
    <w:rsid w:val="00FD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B1F737E"/>
  <w15:chartTrackingRefBased/>
  <w15:docId w15:val="{21A988E0-A0D4-4F12-9EDC-B101B5FD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AC7"/>
    <w:pPr>
      <w:suppressAutoHyphens/>
      <w:spacing w:after="0" w:line="240" w:lineRule="exact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AC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3AC7"/>
    <w:pPr>
      <w:keepNext/>
      <w:spacing w:before="240" w:after="60"/>
      <w:outlineLvl w:val="1"/>
    </w:pPr>
    <w:rPr>
      <w:rFonts w:ascii="Arial" w:eastAsia="Times New Roman" w:hAnsi="Arial"/>
      <w:b/>
      <w:bCs/>
      <w:i/>
      <w:kern w:val="14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43AC7"/>
    <w:pPr>
      <w:keepNext/>
      <w:spacing w:before="240" w:after="60"/>
      <w:outlineLvl w:val="2"/>
    </w:pPr>
    <w:rPr>
      <w:rFonts w:ascii="Arial" w:eastAsia="Times New Roman" w:hAnsi="Arial"/>
      <w:b/>
      <w:bCs/>
      <w:kern w:val="14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AC7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AC7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AC7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AC7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AC7"/>
    <w:pPr>
      <w:outlineLvl w:val="7"/>
    </w:pPr>
    <w:rPr>
      <w:rFonts w:ascii="Cambria" w:eastAsia="Times New Roman" w:hAnsi="Cambria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AC7"/>
    <w:pPr>
      <w:outlineLvl w:val="8"/>
    </w:pPr>
    <w:rPr>
      <w:rFonts w:ascii="Cambria" w:eastAsia="Times New Roman" w:hAnsi="Cambria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P">
    <w:name w:val="_ 7_ P"/>
    <w:basedOn w:val="Normal"/>
    <w:next w:val="Normal"/>
    <w:qFormat/>
    <w:rsid w:val="00C43AC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kern w:val="14"/>
      <w:sz w:val="14"/>
      <w:szCs w:val="24"/>
    </w:rPr>
  </w:style>
  <w:style w:type="paragraph" w:customStyle="1" w:styleId="H1">
    <w:name w:val="_ H_1"/>
    <w:basedOn w:val="Normal"/>
    <w:next w:val="SingleTxt"/>
    <w:qFormat/>
    <w:rsid w:val="00C43AC7"/>
    <w:pPr>
      <w:keepNext/>
      <w:keepLines/>
      <w:spacing w:line="270" w:lineRule="exact"/>
      <w:outlineLvl w:val="0"/>
    </w:pPr>
    <w:rPr>
      <w:b/>
      <w:kern w:val="14"/>
      <w:sz w:val="24"/>
    </w:rPr>
  </w:style>
  <w:style w:type="paragraph" w:customStyle="1" w:styleId="HCh">
    <w:name w:val="_ H _Ch"/>
    <w:basedOn w:val="H1"/>
    <w:next w:val="SingleTxt"/>
    <w:qFormat/>
    <w:rsid w:val="00C43AC7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C43AC7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C43AC7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C43AC7"/>
    <w:pPr>
      <w:keepNext/>
      <w:keepLines/>
      <w:tabs>
        <w:tab w:val="right" w:pos="360"/>
      </w:tabs>
      <w:outlineLvl w:val="3"/>
    </w:pPr>
    <w:rPr>
      <w:i/>
      <w:spacing w:val="3"/>
      <w:kern w:val="14"/>
    </w:rPr>
  </w:style>
  <w:style w:type="paragraph" w:customStyle="1" w:styleId="H56">
    <w:name w:val="_ H_5/6"/>
    <w:basedOn w:val="Normal"/>
    <w:next w:val="Normal"/>
    <w:qFormat/>
    <w:rsid w:val="00C43AC7"/>
    <w:pPr>
      <w:keepNext/>
      <w:keepLines/>
      <w:tabs>
        <w:tab w:val="right" w:pos="360"/>
      </w:tabs>
      <w:outlineLvl w:val="4"/>
    </w:pPr>
    <w:rPr>
      <w:kern w:val="14"/>
    </w:rPr>
  </w:style>
  <w:style w:type="paragraph" w:customStyle="1" w:styleId="DualTxt">
    <w:name w:val="__Dual Txt"/>
    <w:basedOn w:val="Normal"/>
    <w:qFormat/>
    <w:rsid w:val="00C43AC7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  <w:rPr>
      <w:kern w:val="14"/>
    </w:rPr>
  </w:style>
  <w:style w:type="paragraph" w:customStyle="1" w:styleId="SM">
    <w:name w:val="__S_M"/>
    <w:basedOn w:val="Normal"/>
    <w:next w:val="Normal"/>
    <w:qFormat/>
    <w:rsid w:val="00C43AC7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qFormat/>
    <w:rsid w:val="00C43AC7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C43AC7"/>
    <w:pPr>
      <w:ind w:left="1267" w:right="1267"/>
    </w:pPr>
  </w:style>
  <w:style w:type="paragraph" w:customStyle="1" w:styleId="SingleTxt">
    <w:name w:val="__Single Txt"/>
    <w:basedOn w:val="Normal"/>
    <w:qFormat/>
    <w:rsid w:val="00C43AC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  <w:rPr>
      <w:kern w:val="14"/>
    </w:rPr>
  </w:style>
  <w:style w:type="paragraph" w:customStyle="1" w:styleId="AgendaItemNormal">
    <w:name w:val="Agenda_Item_Normal"/>
    <w:next w:val="Normal"/>
    <w:qFormat/>
    <w:rsid w:val="00C43AC7"/>
    <w:pPr>
      <w:spacing w:after="0" w:line="240" w:lineRule="exact"/>
    </w:pPr>
    <w:rPr>
      <w:rFonts w:ascii="Times New Roman" w:eastAsiaTheme="minorHAnsi" w:hAnsi="Times New Roman" w:cs="Times New Roman"/>
      <w:snapToGrid w:val="0"/>
      <w:spacing w:val="4"/>
      <w:w w:val="103"/>
      <w:kern w:val="14"/>
      <w:sz w:val="20"/>
      <w:lang w:val="es-ES" w:eastAsia="en-US"/>
    </w:rPr>
  </w:style>
  <w:style w:type="paragraph" w:customStyle="1" w:styleId="TitleH1">
    <w:name w:val="Title_H1"/>
    <w:basedOn w:val="H1"/>
    <w:next w:val="SingleTxt"/>
    <w:qFormat/>
    <w:rsid w:val="00C43AC7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napToGrid w:val="0"/>
    </w:rPr>
  </w:style>
  <w:style w:type="paragraph" w:customStyle="1" w:styleId="AgendaTitleH2">
    <w:name w:val="Agenda_Title_H2"/>
    <w:basedOn w:val="TitleH1"/>
    <w:next w:val="Normal"/>
    <w:autoRedefine/>
    <w:qFormat/>
    <w:rsid w:val="00C43AC7"/>
    <w:pPr>
      <w:keepNext/>
      <w:keepLines/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C43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43AC7"/>
    <w:rPr>
      <w:rFonts w:ascii="Tahoma" w:eastAsiaTheme="minorHAnsi" w:hAnsi="Tahoma" w:cs="Tahoma"/>
      <w:spacing w:val="4"/>
      <w:w w:val="103"/>
      <w:sz w:val="16"/>
      <w:szCs w:val="16"/>
      <w:lang w:val="es-ES" w:eastAsia="en-US"/>
    </w:rPr>
  </w:style>
  <w:style w:type="paragraph" w:customStyle="1" w:styleId="Bullet1">
    <w:name w:val="Bullet 1"/>
    <w:basedOn w:val="Normal"/>
    <w:qFormat/>
    <w:rsid w:val="00C43AC7"/>
    <w:pPr>
      <w:numPr>
        <w:numId w:val="13"/>
      </w:numPr>
      <w:spacing w:after="120"/>
      <w:ind w:right="1264"/>
      <w:jc w:val="both"/>
    </w:pPr>
  </w:style>
  <w:style w:type="paragraph" w:customStyle="1" w:styleId="Bullet2">
    <w:name w:val="Bullet 2"/>
    <w:basedOn w:val="Normal"/>
    <w:qFormat/>
    <w:rsid w:val="00C43AC7"/>
    <w:pPr>
      <w:numPr>
        <w:numId w:val="14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C43AC7"/>
    <w:pPr>
      <w:numPr>
        <w:numId w:val="1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aption">
    <w:name w:val="caption"/>
    <w:basedOn w:val="Normal"/>
    <w:next w:val="Normal"/>
    <w:uiPriority w:val="35"/>
    <w:semiHidden/>
    <w:unhideWhenUsed/>
    <w:rsid w:val="00C43AC7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semiHidden/>
    <w:rsid w:val="00C43AC7"/>
    <w:rPr>
      <w:sz w:val="6"/>
    </w:rPr>
  </w:style>
  <w:style w:type="paragraph" w:customStyle="1" w:styleId="Distribution">
    <w:name w:val="Distribution"/>
    <w:next w:val="Normal"/>
    <w:autoRedefine/>
    <w:qFormat/>
    <w:rsid w:val="00C43AC7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character" w:styleId="EndnoteReference">
    <w:name w:val="endnote reference"/>
    <w:semiHidden/>
    <w:rsid w:val="00C43AC7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C43AC7"/>
    <w:pPr>
      <w:tabs>
        <w:tab w:val="right" w:pos="418"/>
      </w:tabs>
      <w:spacing w:line="210" w:lineRule="exact"/>
      <w:ind w:left="475" w:hanging="475"/>
    </w:pPr>
    <w:rPr>
      <w:spacing w:val="5"/>
      <w:w w:val="104"/>
      <w:sz w:val="17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C43AC7"/>
    <w:rPr>
      <w:rFonts w:ascii="Times New Roman" w:eastAsiaTheme="minorHAnsi" w:hAnsi="Times New Roman" w:cs="Times New Roman"/>
      <w:spacing w:val="5"/>
      <w:w w:val="104"/>
      <w:sz w:val="17"/>
      <w:lang w:val="es-ES" w:eastAsia="en-US"/>
    </w:rPr>
  </w:style>
  <w:style w:type="paragraph" w:styleId="EndnoteText">
    <w:name w:val="endnote text"/>
    <w:basedOn w:val="FootnoteText"/>
    <w:link w:val="EndnoteTextChar"/>
    <w:semiHidden/>
    <w:rsid w:val="00C43AC7"/>
    <w:pPr>
      <w:spacing w:after="80"/>
    </w:pPr>
  </w:style>
  <w:style w:type="character" w:customStyle="1" w:styleId="EndnoteTextChar">
    <w:name w:val="Endnote Text Char"/>
    <w:basedOn w:val="DefaultParagraphFont"/>
    <w:link w:val="EndnoteText"/>
    <w:semiHidden/>
    <w:rsid w:val="00C43AC7"/>
    <w:rPr>
      <w:rFonts w:ascii="Times New Roman" w:eastAsiaTheme="minorHAnsi" w:hAnsi="Times New Roman" w:cs="Times New Roman"/>
      <w:spacing w:val="5"/>
      <w:w w:val="104"/>
      <w:sz w:val="17"/>
      <w:lang w:val="es-ES" w:eastAsia="en-US"/>
    </w:rPr>
  </w:style>
  <w:style w:type="paragraph" w:styleId="Footer">
    <w:name w:val="footer"/>
    <w:link w:val="FooterChar"/>
    <w:qFormat/>
    <w:rsid w:val="00C43AC7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b/>
      <w:noProof/>
      <w:sz w:val="17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C43AC7"/>
    <w:rPr>
      <w:rFonts w:ascii="Times New Roman" w:eastAsiaTheme="minorHAnsi" w:hAnsi="Times New Roman" w:cs="Times New Roman"/>
      <w:b/>
      <w:noProof/>
      <w:sz w:val="17"/>
      <w:lang w:val="en-US" w:eastAsia="en-US"/>
    </w:rPr>
  </w:style>
  <w:style w:type="character" w:styleId="FootnoteReference">
    <w:name w:val="footnote reference"/>
    <w:aliases w:val="4_G"/>
    <w:uiPriority w:val="99"/>
    <w:qFormat/>
    <w:rsid w:val="00C43AC7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Banner">
    <w:name w:val="Hd Banner"/>
    <w:basedOn w:val="Normal"/>
    <w:next w:val="Normal"/>
    <w:qFormat/>
    <w:rsid w:val="00C43AC7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kern w:val="14"/>
      <w:position w:val="6"/>
      <w:sz w:val="24"/>
      <w:szCs w:val="24"/>
    </w:rPr>
  </w:style>
  <w:style w:type="paragraph" w:customStyle="1" w:styleId="HdChapterLt">
    <w:name w:val="Hd Chapter Lt"/>
    <w:basedOn w:val="Normal"/>
    <w:next w:val="Normal"/>
    <w:qFormat/>
    <w:rsid w:val="00C43AC7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C43AC7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C43AC7"/>
    <w:rPr>
      <w:spacing w:val="-3"/>
      <w:w w:val="99"/>
      <w:kern w:val="14"/>
      <w:sz w:val="34"/>
      <w:szCs w:val="34"/>
    </w:rPr>
  </w:style>
  <w:style w:type="paragraph" w:styleId="Header">
    <w:name w:val="header"/>
    <w:link w:val="HeaderChar"/>
    <w:qFormat/>
    <w:rsid w:val="00C43AC7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noProof/>
      <w:sz w:val="17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C43AC7"/>
    <w:rPr>
      <w:rFonts w:ascii="Times New Roman" w:eastAsiaTheme="minorHAnsi" w:hAnsi="Times New Roman" w:cs="Times New Roman"/>
      <w:noProof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C43AC7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val="es-ES" w:eastAsia="en-US"/>
    </w:rPr>
  </w:style>
  <w:style w:type="character" w:customStyle="1" w:styleId="Heading2Char">
    <w:name w:val="Heading 2 Char"/>
    <w:link w:val="Heading2"/>
    <w:uiPriority w:val="9"/>
    <w:rsid w:val="00C43AC7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val="es-ES" w:eastAsia="en-US"/>
    </w:rPr>
  </w:style>
  <w:style w:type="character" w:customStyle="1" w:styleId="Heading3Char">
    <w:name w:val="Heading 3 Char"/>
    <w:link w:val="Heading3"/>
    <w:uiPriority w:val="9"/>
    <w:rsid w:val="00C43AC7"/>
    <w:rPr>
      <w:rFonts w:ascii="Arial" w:eastAsia="Times New Roman" w:hAnsi="Arial" w:cs="Times New Roman"/>
      <w:b/>
      <w:bCs/>
      <w:spacing w:val="4"/>
      <w:w w:val="103"/>
      <w:kern w:val="14"/>
      <w:sz w:val="26"/>
      <w:lang w:val="es-ES" w:eastAsia="en-US"/>
    </w:rPr>
  </w:style>
  <w:style w:type="character" w:customStyle="1" w:styleId="Heading4Char">
    <w:name w:val="Heading 4 Char"/>
    <w:link w:val="Heading4"/>
    <w:uiPriority w:val="9"/>
    <w:semiHidden/>
    <w:rsid w:val="00C43AC7"/>
    <w:rPr>
      <w:rFonts w:ascii="Cambria" w:eastAsia="Times New Roman" w:hAnsi="Cambria" w:cs="Times New Roman"/>
      <w:b/>
      <w:bCs/>
      <w:i/>
      <w:iCs/>
      <w:spacing w:val="4"/>
      <w:w w:val="103"/>
      <w:sz w:val="20"/>
      <w:lang w:val="es-ES" w:eastAsia="en-US"/>
    </w:rPr>
  </w:style>
  <w:style w:type="character" w:customStyle="1" w:styleId="Heading5Char">
    <w:name w:val="Heading 5 Char"/>
    <w:link w:val="Heading5"/>
    <w:uiPriority w:val="9"/>
    <w:semiHidden/>
    <w:rsid w:val="00C43AC7"/>
    <w:rPr>
      <w:rFonts w:ascii="Cambria" w:eastAsia="Times New Roman" w:hAnsi="Cambria" w:cs="Times New Roman"/>
      <w:b/>
      <w:bCs/>
      <w:color w:val="7F7F7F"/>
      <w:spacing w:val="4"/>
      <w:w w:val="103"/>
      <w:sz w:val="20"/>
      <w:lang w:val="es-ES" w:eastAsia="en-US"/>
    </w:rPr>
  </w:style>
  <w:style w:type="character" w:customStyle="1" w:styleId="Heading6Char">
    <w:name w:val="Heading 6 Char"/>
    <w:link w:val="Heading6"/>
    <w:uiPriority w:val="9"/>
    <w:semiHidden/>
    <w:rsid w:val="00C43AC7"/>
    <w:rPr>
      <w:rFonts w:ascii="Cambria" w:eastAsia="Times New Roman" w:hAnsi="Cambria" w:cs="Times New Roman"/>
      <w:b/>
      <w:bCs/>
      <w:i/>
      <w:iCs/>
      <w:color w:val="7F7F7F"/>
      <w:spacing w:val="4"/>
      <w:w w:val="103"/>
      <w:sz w:val="20"/>
      <w:lang w:val="es-ES" w:eastAsia="en-US"/>
    </w:rPr>
  </w:style>
  <w:style w:type="character" w:customStyle="1" w:styleId="Heading7Char">
    <w:name w:val="Heading 7 Char"/>
    <w:link w:val="Heading7"/>
    <w:uiPriority w:val="9"/>
    <w:semiHidden/>
    <w:rsid w:val="00C43AC7"/>
    <w:rPr>
      <w:rFonts w:ascii="Cambria" w:eastAsia="Times New Roman" w:hAnsi="Cambria" w:cs="Times New Roman"/>
      <w:i/>
      <w:iCs/>
      <w:spacing w:val="4"/>
      <w:w w:val="103"/>
      <w:sz w:val="20"/>
      <w:lang w:val="es-ES" w:eastAsia="en-US"/>
    </w:rPr>
  </w:style>
  <w:style w:type="character" w:customStyle="1" w:styleId="Heading8Char">
    <w:name w:val="Heading 8 Char"/>
    <w:link w:val="Heading8"/>
    <w:uiPriority w:val="9"/>
    <w:semiHidden/>
    <w:rsid w:val="00C43AC7"/>
    <w:rPr>
      <w:rFonts w:ascii="Cambria" w:eastAsia="Times New Roman" w:hAnsi="Cambria" w:cs="Times New Roman"/>
      <w:spacing w:val="4"/>
      <w:w w:val="103"/>
      <w:sz w:val="20"/>
      <w:szCs w:val="20"/>
      <w:lang w:val="es-ES" w:eastAsia="en-US"/>
    </w:rPr>
  </w:style>
  <w:style w:type="character" w:customStyle="1" w:styleId="Heading9Char">
    <w:name w:val="Heading 9 Char"/>
    <w:link w:val="Heading9"/>
    <w:uiPriority w:val="9"/>
    <w:semiHidden/>
    <w:rsid w:val="00C43AC7"/>
    <w:rPr>
      <w:rFonts w:ascii="Cambria" w:eastAsia="Times New Roman" w:hAnsi="Cambria" w:cs="Times New Roman"/>
      <w:i/>
      <w:iCs/>
      <w:spacing w:val="5"/>
      <w:w w:val="103"/>
      <w:sz w:val="20"/>
      <w:szCs w:val="20"/>
      <w:lang w:val="es-ES" w:eastAsia="en-US"/>
    </w:rPr>
  </w:style>
  <w:style w:type="paragraph" w:customStyle="1" w:styleId="JournalHeading1">
    <w:name w:val="Journal_Heading1"/>
    <w:basedOn w:val="Normal"/>
    <w:next w:val="Normal"/>
    <w:qFormat/>
    <w:rsid w:val="00C43AC7"/>
    <w:pPr>
      <w:keepNext/>
      <w:spacing w:before="190" w:line="270" w:lineRule="exact"/>
    </w:pPr>
    <w:rPr>
      <w:b/>
      <w:kern w:val="14"/>
      <w:sz w:val="24"/>
    </w:rPr>
  </w:style>
  <w:style w:type="paragraph" w:customStyle="1" w:styleId="JournalHeading2">
    <w:name w:val="Journal_Heading2"/>
    <w:basedOn w:val="Normal"/>
    <w:next w:val="Normal"/>
    <w:qFormat/>
    <w:rsid w:val="00C43AC7"/>
    <w:pPr>
      <w:keepNext/>
      <w:keepLines/>
      <w:spacing w:before="240"/>
      <w:outlineLvl w:val="1"/>
    </w:pPr>
    <w:rPr>
      <w:b/>
      <w:spacing w:val="2"/>
      <w:kern w:val="14"/>
    </w:rPr>
  </w:style>
  <w:style w:type="paragraph" w:customStyle="1" w:styleId="JournalHeading4">
    <w:name w:val="Journal_Heading4"/>
    <w:basedOn w:val="Normal"/>
    <w:next w:val="Normal"/>
    <w:qFormat/>
    <w:rsid w:val="00C43AC7"/>
    <w:pPr>
      <w:keepNext/>
      <w:keepLines/>
      <w:spacing w:before="240"/>
      <w:outlineLvl w:val="3"/>
    </w:pPr>
    <w:rPr>
      <w:i/>
      <w:kern w:val="14"/>
    </w:rPr>
  </w:style>
  <w:style w:type="character" w:styleId="LineNumber">
    <w:name w:val="line number"/>
    <w:qFormat/>
    <w:rsid w:val="00C43AC7"/>
    <w:rPr>
      <w:sz w:val="14"/>
    </w:rPr>
  </w:style>
  <w:style w:type="paragraph" w:styleId="NoSpacing">
    <w:name w:val="No Spacing"/>
    <w:basedOn w:val="Normal"/>
    <w:uiPriority w:val="1"/>
    <w:rsid w:val="00C43AC7"/>
    <w:pPr>
      <w:spacing w:line="240" w:lineRule="auto"/>
    </w:pPr>
  </w:style>
  <w:style w:type="paragraph" w:customStyle="1" w:styleId="NormalBullet">
    <w:name w:val="Normal Bullet"/>
    <w:basedOn w:val="Normal"/>
    <w:next w:val="Normal"/>
    <w:qFormat/>
    <w:rsid w:val="00C43AC7"/>
    <w:pPr>
      <w:keepLines/>
      <w:numPr>
        <w:numId w:val="16"/>
      </w:numPr>
      <w:tabs>
        <w:tab w:val="left" w:pos="2218"/>
      </w:tabs>
      <w:spacing w:before="40" w:after="80"/>
      <w:ind w:right="302"/>
    </w:pPr>
    <w:rPr>
      <w:kern w:val="14"/>
    </w:rPr>
  </w:style>
  <w:style w:type="paragraph" w:customStyle="1" w:styleId="NormalSchedule">
    <w:name w:val="Normal Schedule"/>
    <w:basedOn w:val="Normal"/>
    <w:next w:val="Normal"/>
    <w:qFormat/>
    <w:rsid w:val="00C43AC7"/>
    <w:pPr>
      <w:tabs>
        <w:tab w:val="left" w:leader="dot" w:pos="2218"/>
        <w:tab w:val="left" w:pos="2707"/>
        <w:tab w:val="right" w:leader="dot" w:pos="9835"/>
      </w:tabs>
    </w:pPr>
    <w:rPr>
      <w:kern w:val="14"/>
    </w:rPr>
  </w:style>
  <w:style w:type="paragraph" w:customStyle="1" w:styleId="Original">
    <w:name w:val="Original"/>
    <w:next w:val="Normal"/>
    <w:autoRedefine/>
    <w:qFormat/>
    <w:rsid w:val="00A17B73"/>
    <w:pPr>
      <w:suppressAutoHyphens/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Publication">
    <w:name w:val="Publication"/>
    <w:next w:val="Normal"/>
    <w:autoRedefine/>
    <w:qFormat/>
    <w:rsid w:val="00C43AC7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ReleaseDate">
    <w:name w:val="ReleaseDate"/>
    <w:next w:val="Footer"/>
    <w:autoRedefine/>
    <w:qFormat/>
    <w:rsid w:val="00C43AC7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Small">
    <w:name w:val="Small"/>
    <w:basedOn w:val="Normal"/>
    <w:next w:val="Normal"/>
    <w:qFormat/>
    <w:rsid w:val="00C43AC7"/>
    <w:pPr>
      <w:tabs>
        <w:tab w:val="right" w:pos="9965"/>
      </w:tabs>
      <w:spacing w:line="210" w:lineRule="exact"/>
    </w:pPr>
    <w:rPr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qFormat/>
    <w:rsid w:val="00C43AC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Ch"/>
    <w:next w:val="SingleTxt"/>
    <w:qFormat/>
    <w:rsid w:val="00C43AC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C43AC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AC7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qFormat/>
    <w:rsid w:val="00C43AC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300BF5"/>
  </w:style>
  <w:style w:type="paragraph" w:customStyle="1" w:styleId="Sponsors">
    <w:name w:val="Sponsors"/>
    <w:basedOn w:val="H1"/>
    <w:next w:val="Normal"/>
    <w:qFormat/>
    <w:rsid w:val="00A966CD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ind w:left="1267" w:right="1267" w:hanging="1267"/>
      <w:outlineLvl w:val="1"/>
    </w:pPr>
    <w:rPr>
      <w:sz w:val="20"/>
    </w:rPr>
  </w:style>
  <w:style w:type="paragraph" w:customStyle="1" w:styleId="STitleM">
    <w:name w:val="S_Title_M"/>
    <w:basedOn w:val="Normal"/>
    <w:next w:val="Normal"/>
    <w:qFormat/>
    <w:rsid w:val="0054233B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kern w:val="14"/>
      <w:sz w:val="40"/>
      <w:lang w:val="en-US"/>
    </w:rPr>
  </w:style>
  <w:style w:type="paragraph" w:customStyle="1" w:styleId="STitleS">
    <w:name w:val="S_Title_S"/>
    <w:basedOn w:val="HCh"/>
    <w:next w:val="Normal"/>
    <w:qFormat/>
    <w:rsid w:val="00F41482"/>
    <w:pPr>
      <w:ind w:left="1267" w:right="1267"/>
    </w:pPr>
  </w:style>
  <w:style w:type="paragraph" w:customStyle="1" w:styleId="STitleL">
    <w:name w:val="S_Title_L"/>
    <w:basedOn w:val="SM"/>
    <w:next w:val="Normal"/>
    <w:qFormat/>
    <w:rsid w:val="00583D31"/>
    <w:pPr>
      <w:spacing w:line="540" w:lineRule="exact"/>
    </w:pPr>
    <w:rPr>
      <w:spacing w:val="-8"/>
      <w:w w:val="96"/>
      <w:sz w:val="57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38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382"/>
    <w:rPr>
      <w:rFonts w:ascii="Times New Roman" w:eastAsiaTheme="minorHAnsi" w:hAnsi="Times New Roman" w:cs="Times New Roman"/>
      <w:spacing w:val="4"/>
      <w:w w:val="103"/>
      <w:sz w:val="20"/>
      <w:szCs w:val="20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382"/>
    <w:rPr>
      <w:rFonts w:ascii="Times New Roman" w:eastAsiaTheme="minorHAnsi" w:hAnsi="Times New Roman" w:cs="Times New Roman"/>
      <w:b/>
      <w:bCs/>
      <w:spacing w:val="4"/>
      <w:w w:val="103"/>
      <w:sz w:val="20"/>
      <w:szCs w:val="20"/>
      <w:lang w:val="es-ES" w:eastAsia="en-US"/>
    </w:rPr>
  </w:style>
  <w:style w:type="paragraph" w:customStyle="1" w:styleId="SingleTxtG">
    <w:name w:val="_ Single Txt_G"/>
    <w:basedOn w:val="Normal"/>
    <w:qFormat/>
    <w:rsid w:val="00A4617B"/>
    <w:pPr>
      <w:spacing w:after="120" w:line="240" w:lineRule="atLeast"/>
      <w:ind w:left="1134" w:right="1134"/>
      <w:jc w:val="both"/>
    </w:pPr>
    <w:rPr>
      <w:rFonts w:eastAsia="Times New Roman"/>
      <w:spacing w:val="0"/>
      <w:w w:val="100"/>
      <w:szCs w:val="20"/>
      <w:lang w:val="fr-CH"/>
    </w:rPr>
  </w:style>
  <w:style w:type="paragraph" w:customStyle="1" w:styleId="HChG">
    <w:name w:val="_ H _Ch_G"/>
    <w:basedOn w:val="Normal"/>
    <w:next w:val="Normal"/>
    <w:qFormat/>
    <w:rsid w:val="00A4617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sz w:val="28"/>
      <w:szCs w:val="20"/>
      <w:lang w:val="fr-CH"/>
    </w:rPr>
  </w:style>
  <w:style w:type="paragraph" w:customStyle="1" w:styleId="H23G">
    <w:name w:val="_ H_2/3_G"/>
    <w:basedOn w:val="Normal"/>
    <w:next w:val="Normal"/>
    <w:qFormat/>
    <w:rsid w:val="00A4617B"/>
    <w:pPr>
      <w:keepNext/>
      <w:keepLines/>
      <w:tabs>
        <w:tab w:val="right" w:pos="851"/>
      </w:tabs>
      <w:spacing w:before="240" w:after="120"/>
      <w:ind w:left="1134" w:right="1134" w:hanging="1134"/>
    </w:pPr>
    <w:rPr>
      <w:rFonts w:eastAsia="Times New Roman"/>
      <w:b/>
      <w:spacing w:val="0"/>
      <w:w w:val="100"/>
      <w:szCs w:val="20"/>
      <w:lang w:val="fr-CH"/>
    </w:rPr>
  </w:style>
  <w:style w:type="paragraph" w:customStyle="1" w:styleId="H4G">
    <w:name w:val="_ H_4_G"/>
    <w:basedOn w:val="Normal"/>
    <w:next w:val="Normal"/>
    <w:qFormat/>
    <w:rsid w:val="00A4617B"/>
    <w:pPr>
      <w:keepNext/>
      <w:keepLines/>
      <w:tabs>
        <w:tab w:val="right" w:pos="851"/>
      </w:tabs>
      <w:spacing w:before="240" w:after="120"/>
      <w:ind w:left="1134" w:right="1134" w:hanging="1134"/>
    </w:pPr>
    <w:rPr>
      <w:rFonts w:eastAsia="Times New Roman"/>
      <w:i/>
      <w:spacing w:val="0"/>
      <w:w w:val="100"/>
      <w:szCs w:val="20"/>
      <w:lang w:val="fr-CH"/>
    </w:rPr>
  </w:style>
  <w:style w:type="paragraph" w:customStyle="1" w:styleId="Bullet1G">
    <w:name w:val="_Bullet 1_G"/>
    <w:basedOn w:val="Normal"/>
    <w:qFormat/>
    <w:rsid w:val="00A4617B"/>
    <w:pPr>
      <w:numPr>
        <w:numId w:val="18"/>
      </w:numPr>
      <w:spacing w:after="120" w:line="240" w:lineRule="atLeast"/>
      <w:ind w:right="1134"/>
      <w:jc w:val="both"/>
    </w:pPr>
    <w:rPr>
      <w:rFonts w:eastAsia="Times New Roman"/>
      <w:spacing w:val="0"/>
      <w:w w:val="100"/>
      <w:szCs w:val="20"/>
      <w:lang w:val="fr-CH"/>
    </w:rPr>
  </w:style>
  <w:style w:type="character" w:styleId="Hyperlink">
    <w:name w:val="Hyperlink"/>
    <w:basedOn w:val="DefaultParagraphFont"/>
    <w:uiPriority w:val="99"/>
    <w:unhideWhenUsed/>
    <w:rsid w:val="00A17B7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17B73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17B7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41FFE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undocs.org/sp/CEDAW/C/GAB/CO/6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docs.org/sp/CEDAW/C/GAB/CO/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undocs.org/sp/CEDAW/C/GAB/CO/6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Miryam Guerrero Bernal</dc:creator>
  <cp:keywords/>
  <dc:description/>
  <cp:lastModifiedBy>Spanish_text_processing</cp:lastModifiedBy>
  <cp:revision>2</cp:revision>
  <dcterms:created xsi:type="dcterms:W3CDTF">2018-09-10T19:51:00Z</dcterms:created>
  <dcterms:modified xsi:type="dcterms:W3CDTF">2018-09-10T19:51:00Z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1813397</vt:lpwstr>
  </property>
  <property fmtid="{D5CDD505-2E9C-101B-9397-08002B2CF9AE}" pid="3" name="ODSRefJobNo">
    <vt:lpwstr>1825892</vt:lpwstr>
  </property>
  <property fmtid="{D5CDD505-2E9C-101B-9397-08002B2CF9AE}" pid="4" name="Symbol1">
    <vt:lpwstr>CEDAW/C/GAB/CO/6/Add.1</vt:lpwstr>
  </property>
  <property fmtid="{D5CDD505-2E9C-101B-9397-08002B2CF9AE}" pid="5" name="Symbol2">
    <vt:lpwstr/>
  </property>
  <property fmtid="{D5CDD505-2E9C-101B-9397-08002B2CF9AE}" pid="6" name="Category">
    <vt:lpwstr>Document</vt:lpwstr>
  </property>
  <property fmtid="{D5CDD505-2E9C-101B-9397-08002B2CF9AE}" pid="7" name="Language">
    <vt:lpwstr>Spanish</vt:lpwstr>
  </property>
  <property fmtid="{D5CDD505-2E9C-101B-9397-08002B2CF9AE}" pid="8" name="Original">
    <vt:lpwstr>Español, francés e inglés únicamente</vt:lpwstr>
  </property>
  <property fmtid="{D5CDD505-2E9C-101B-9397-08002B2CF9AE}" pid="9" name="Release Date">
    <vt:lpwstr>060918</vt:lpwstr>
  </property>
  <property fmtid="{D5CDD505-2E9C-101B-9397-08002B2CF9AE}" pid="10" name="Title1">
    <vt:lpwstr>		Observaciones finales sobre el sexto informe periódico del Gabón_x000d_</vt:lpwstr>
  </property>
  <property fmtid="{D5CDD505-2E9C-101B-9397-08002B2CF9AE}" pid="11" name="Title2">
    <vt:lpwstr>		Información suministrada por el Gabón sobre el seguimiento de las observaciones finales*_x000d_</vt:lpwstr>
  </property>
  <property fmtid="{D5CDD505-2E9C-101B-9397-08002B2CF9AE}" pid="12" name="Comment">
    <vt:lpwstr>1813397.JMC.EDT.JGU.docx</vt:lpwstr>
  </property>
  <property fmtid="{D5CDD505-2E9C-101B-9397-08002B2CF9AE}" pid="13" name="DraftPages">
    <vt:lpwstr> 5</vt:lpwstr>
  </property>
  <property fmtid="{D5CDD505-2E9C-101B-9397-08002B2CF9AE}" pid="14" name="Operator">
    <vt:lpwstr>M Guerrero</vt:lpwstr>
  </property>
  <property fmtid="{D5CDD505-2E9C-101B-9397-08002B2CF9AE}" pid="15" name="Translator">
    <vt:lpwstr>Jordina Guitart Utgé</vt:lpwstr>
  </property>
</Properties>
</file>