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37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374B" w:rsidP="0013374B">
            <w:pPr>
              <w:jc w:val="right"/>
            </w:pPr>
            <w:r w:rsidRPr="0013374B">
              <w:rPr>
                <w:sz w:val="40"/>
              </w:rPr>
              <w:t>CED</w:t>
            </w:r>
            <w:r>
              <w:t>/C/ALB/CO/1</w:t>
            </w:r>
          </w:p>
        </w:tc>
      </w:tr>
      <w:tr w:rsidR="002D5AAC" w:rsidRPr="0013374B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3374B" w:rsidRDefault="0013374B" w:rsidP="00877609">
            <w:pPr>
              <w:spacing w:before="240"/>
              <w:rPr>
                <w:lang w:val="en-US"/>
              </w:rPr>
            </w:pPr>
            <w:r w:rsidRPr="0013374B">
              <w:rPr>
                <w:lang w:val="en-US"/>
              </w:rPr>
              <w:t>Distr.: General</w:t>
            </w:r>
          </w:p>
          <w:p w:rsidR="0013374B" w:rsidRPr="0013374B" w:rsidRDefault="00CD4FE1" w:rsidP="001337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3374B" w:rsidRPr="0013374B">
              <w:rPr>
                <w:lang w:val="en-US"/>
              </w:rPr>
              <w:t xml:space="preserve"> July 2018</w:t>
            </w:r>
          </w:p>
          <w:p w:rsidR="0013374B" w:rsidRPr="0013374B" w:rsidRDefault="0013374B" w:rsidP="0013374B">
            <w:pPr>
              <w:spacing w:line="240" w:lineRule="exact"/>
              <w:rPr>
                <w:lang w:val="en-US"/>
              </w:rPr>
            </w:pPr>
            <w:r w:rsidRPr="0013374B">
              <w:rPr>
                <w:lang w:val="en-US"/>
              </w:rPr>
              <w:t>Russian</w:t>
            </w:r>
          </w:p>
          <w:p w:rsidR="0013374B" w:rsidRPr="0013374B" w:rsidRDefault="0013374B" w:rsidP="0013374B">
            <w:pPr>
              <w:spacing w:line="240" w:lineRule="exact"/>
              <w:rPr>
                <w:lang w:val="en-US"/>
              </w:rPr>
            </w:pPr>
            <w:r w:rsidRPr="0013374B">
              <w:rPr>
                <w:lang w:val="en-US"/>
              </w:rPr>
              <w:t>Original: English</w:t>
            </w:r>
          </w:p>
        </w:tc>
      </w:tr>
    </w:tbl>
    <w:p w:rsidR="00C33831" w:rsidRPr="00C33831" w:rsidRDefault="00C33831" w:rsidP="00C33831">
      <w:pPr>
        <w:spacing w:before="120"/>
        <w:rPr>
          <w:b/>
          <w:bCs/>
          <w:sz w:val="24"/>
          <w:szCs w:val="24"/>
        </w:rPr>
      </w:pPr>
      <w:r w:rsidRPr="00C33831">
        <w:rPr>
          <w:b/>
          <w:sz w:val="24"/>
          <w:szCs w:val="24"/>
        </w:rPr>
        <w:t>Комитет по насильственным исчезновениям</w:t>
      </w:r>
    </w:p>
    <w:p w:rsidR="00C33831" w:rsidRPr="00AD57BB" w:rsidRDefault="00C33831" w:rsidP="00C3383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Заключительные замечания по докладу, представленному Албанией в соответствии с пунктом 1 статьи 29 Конвенции</w:t>
      </w:r>
      <w:r w:rsidRPr="00CD4FE1">
        <w:rPr>
          <w:rStyle w:val="aa"/>
          <w:b w:val="0"/>
          <w:sz w:val="20"/>
          <w:vertAlign w:val="baseline"/>
          <w:lang w:val="ru-RU" w:eastAsia="ru-RU"/>
        </w:rPr>
        <w:footnoteReference w:customMarkFollows="1" w:id="1"/>
        <w:t>*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Комитет по насильственным исчезновениям рассмотрел доклад, представленный Албанией в соответствии с пунктом 1 статьи 29 Конвенции (CED/C/ALB/1) на своих 243-м и 244-м заседаниях (см. CED/C/SR.243 и 244), состоявшихся 24 и 25 мая 2018 года. На своем 253-м заседании, состоявшемся 31 мая 2018 года, он принял настоящие заключительные замечания. </w:t>
      </w:r>
    </w:p>
    <w:p w:rsidR="00C33831" w:rsidRPr="00AD57BB" w:rsidRDefault="00C33831" w:rsidP="00C33831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A.</w:t>
      </w:r>
      <w:r>
        <w:rPr>
          <w:lang w:val="ru-RU"/>
        </w:rPr>
        <w:tab/>
        <w:t>Введение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доклад Албании, представленный в соответствии с пунктом 1 статьи 29 Конвенции, и содержащуюся в нем информацию, но выражает сожаление по поводу того, что доклад не был подготовлен с учетом руководящих п</w:t>
      </w:r>
      <w:r w:rsidR="00350C86">
        <w:rPr>
          <w:lang w:val="ru-RU"/>
        </w:rPr>
        <w:t>ринципов представления докладов</w:t>
      </w:r>
      <w:r>
        <w:rPr>
          <w:lang w:val="ru-RU"/>
        </w:rPr>
        <w:t xml:space="preserve"> и что письменные ответы на вопросы, поставленные в перечне Комитета, не являются полным и удовлетворительными. Комитет выражает признательность за открытый и конструктивный диалог, который состоялся с делегацией государства-участника и был посвящен мерам, принятым в целях осуществления положений Конвенции, благодаря чему удалось снять некоторые вопросы, вызывавшие у него обеспокоенность. Комитет также благодарит государство-участник за его письменные ответы на перечень вопросов (CED/C/ALB/Q/1/Add.1) и за дополнительную информацию, представленную в письменном виде.</w:t>
      </w:r>
    </w:p>
    <w:p w:rsidR="00C33831" w:rsidRPr="00AD57BB" w:rsidRDefault="00C33831" w:rsidP="00C33831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B.</w:t>
      </w:r>
      <w:r>
        <w:rPr>
          <w:lang w:val="ru-RU"/>
        </w:rPr>
        <w:tab/>
        <w:t>Позитивные аспекты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приветствует ратификацию государством-участником всех основных договоров Организации Объединенных Наций по правам человека и факультативных протоколов к ним, а также Римского статута Международного уголовного суда.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с удовлетворением отмечает, что государство-участник признало компетенцию Комитета получать и рассматривать индивидуальные и межгосударственные сообщения в соответствии со статьями 31 и 32 Конвенции.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5</w:t>
      </w:r>
      <w:r w:rsidR="00344437">
        <w:rPr>
          <w:lang w:val="ru-RU"/>
        </w:rPr>
        <w:t>.</w:t>
      </w:r>
      <w:r>
        <w:rPr>
          <w:lang w:val="ru-RU"/>
        </w:rPr>
        <w:tab/>
        <w:t>Комитет приветствует меры, принятые государством-участником в областях, имеющих отношение к Конвенции, в том числе:</w:t>
      </w:r>
    </w:p>
    <w:p w:rsidR="00C33831" w:rsidRPr="00AD57BB" w:rsidRDefault="00602144" w:rsidP="00C33831">
      <w:pPr>
        <w:pStyle w:val="SingleTxt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ab/>
        <w:t>а)</w:t>
      </w:r>
      <w:r w:rsidR="00C33831">
        <w:rPr>
          <w:lang w:val="ru-RU"/>
        </w:rPr>
        <w:tab/>
        <w:t>тот факт, что преступление насильственного исчезновения, будучи преступлением против человечности, не имеет срока давности в соответствии со статьей 67 Уголовного кодекса;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lastRenderedPageBreak/>
        <w:tab/>
      </w:r>
      <w:r w:rsidR="00602144">
        <w:rPr>
          <w:lang w:val="ru-RU"/>
        </w:rPr>
        <w:tab/>
      </w:r>
      <w:r>
        <w:rPr>
          <w:lang w:val="ru-RU"/>
        </w:rPr>
        <w:t>b)</w:t>
      </w:r>
      <w:r>
        <w:rPr>
          <w:lang w:val="ru-RU"/>
        </w:rPr>
        <w:tab/>
        <w:t>принятие в 2018 году Кодекса ювенальной юстиции.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Комитет приветствует создание межучрежденческой рабочей группы по подготовке докладов об осуществлении международных конвенций по правам человека. 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Комитет с удовлетворением отмечает, что государство-участник создало в структуре Управления Народного защитника национальный механизм по предупреждению пыток. 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Комитет приветствует поездку Рабочей группы по насильственным или недобровольным исчезновениям в государство-участник в 2016 году (A/HRC/36/</w:t>
      </w:r>
      <w:r w:rsidR="00F12979">
        <w:rPr>
          <w:lang w:val="ru-RU"/>
        </w:rPr>
        <w:br/>
      </w:r>
      <w:bookmarkStart w:id="0" w:name="_GoBack"/>
      <w:bookmarkEnd w:id="0"/>
      <w:r>
        <w:rPr>
          <w:lang w:val="ru-RU"/>
        </w:rPr>
        <w:t xml:space="preserve">39/Add.1). </w:t>
      </w:r>
    </w:p>
    <w:p w:rsidR="00C33831" w:rsidRPr="00AD57BB" w:rsidRDefault="00602144" w:rsidP="00C33831">
      <w:pPr>
        <w:pStyle w:val="H1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>C.</w:t>
      </w:r>
      <w:r w:rsidR="00C33831">
        <w:rPr>
          <w:lang w:val="ru-RU"/>
        </w:rPr>
        <w:tab/>
        <w:t>Основные вопросы</w:t>
      </w:r>
      <w:r>
        <w:rPr>
          <w:lang w:val="ru-RU"/>
        </w:rPr>
        <w:t>, вызывающие обеспокоенность, и </w:t>
      </w:r>
      <w:r w:rsidR="00C33831">
        <w:rPr>
          <w:lang w:val="ru-RU"/>
        </w:rPr>
        <w:t>рекомендации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Комитет считает, что на момент принятия настоящих заключительных замечаний действующее в государстве-участнике законодательство, направленное на недопущение насильственных исчезновений и наказание за них, не в полной мере соответствовало некоторым обязательствам, которые Конвенция налагает на ратифицировавшие ее государства. Комитет призывает государство-участник осуществить его рекомендации, которые были вынесены в конструктивном духе и в стремлении оказать помощь, для обеспечения того, чтобы существующие нормативные рамки и действия по их соблюдению, предпринимаемые органами власти государства-участника, в полной мере соответствовали правам и обязательствам, предусмотренным Конвенцией.</w:t>
      </w:r>
    </w:p>
    <w:p w:rsidR="00C33831" w:rsidRPr="00AD57BB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Консультации с неправительственными организациями (НПО) и другими субъектами гражданского общества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Комитет отмечает, что процесс подготовки докладов для представления Комитету является по своему характеру преимущественно межведомственным, и в нем не участвуют в полной мере НПО и другие субъекты гражданского общества. Комитет считает, что государству-участнику было бы полезно запрашивать мнения НПО и других субъектов гражданского общества на этапе, когда существует возможность принять их взгляды во внимание.</w:t>
      </w:r>
    </w:p>
    <w:p w:rsidR="00C33831" w:rsidRPr="00070200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070200">
        <w:rPr>
          <w:b/>
          <w:lang w:val="ru-RU"/>
        </w:rPr>
        <w:t xml:space="preserve">Комитет настоятельно призывает государство-участник поощрять НПО и других субъектов гражданского общества, в частности тех, кто осуществляет деятельность, связанную с Конвенцией, или в схожих областях, высказывать свои предложения и замечания на наиболее подходящем этапе подготовки докладов для Комитета. Комитет рекомендует государству-участнику также привлекать таких субъектов к последующей деятельности в связи с заключительными замечаниями. </w:t>
      </w:r>
    </w:p>
    <w:p w:rsidR="00C33831" w:rsidRPr="00AD57BB" w:rsidRDefault="00602144" w:rsidP="00C33831">
      <w:pPr>
        <w:pStyle w:val="H23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>1.</w:t>
      </w:r>
      <w:r w:rsidR="00C33831">
        <w:rPr>
          <w:lang w:val="ru-RU"/>
        </w:rPr>
        <w:tab/>
        <w:t>Определение насильственного исчезновения и его квалификация в качестве уголовно наказуемого деяния (статьи 1</w:t>
      </w:r>
      <w:r w:rsidR="004A53D7">
        <w:rPr>
          <w:lang w:val="ru-RU"/>
        </w:rPr>
        <w:t>–</w:t>
      </w:r>
      <w:r w:rsidR="00C33831">
        <w:rPr>
          <w:lang w:val="ru-RU"/>
        </w:rPr>
        <w:t>7)</w:t>
      </w:r>
    </w:p>
    <w:p w:rsidR="00C33831" w:rsidRPr="00C33831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Определение насильственного исчезновения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Комитет отмечает, что первый пункт статьи 109 (c) Уголовного кодекса содержит элементы определения насильственного исчезновения и криминализирует его в соответствии со статьями 2 и 4 Конвенции. Однако Комитет выражает сожаление по поводу того, что, хотя статья 109 (с) содержит положения, касающиеся мер наказания, элементов ответственности начальника и некоторых отягчающих обстоятельств, связанных с преступлением насильственного исчезновения, она не распространяется на приказ, подстрекательство или побуждение совершить преступление насильственного исчезновения, покушение на его совершение, пособничество или участие в нем, как это предусмотрено в статье 6 (1) Конвенции. Напротив, такие элементы, как представляется, подпадают под действие общег</w:t>
      </w:r>
      <w:r w:rsidR="004A53D7">
        <w:rPr>
          <w:lang w:val="ru-RU"/>
        </w:rPr>
        <w:t>о режима статей 22–</w:t>
      </w:r>
      <w:r>
        <w:rPr>
          <w:lang w:val="ru-RU"/>
        </w:rPr>
        <w:t>27 Уголовного коде</w:t>
      </w:r>
      <w:r w:rsidR="004A53D7">
        <w:rPr>
          <w:lang w:val="ru-RU"/>
        </w:rPr>
        <w:t>кса. Он считает, что статья 109 </w:t>
      </w:r>
      <w:r>
        <w:rPr>
          <w:lang w:val="ru-RU"/>
        </w:rPr>
        <w:t>(с) сформулирована нечетко и не дает полного представления о правовом режиме Уголовного кодекса, касающегося преступления насильственного исчезновения. Комитет считает, что четкое определение насильственного исчезновения в качестве самостоятельного преступления позволило бы государству-участнику выполнить в полном объеме его обязательство по статье 4 Конвенции, которое тесно связано с другими договорными обязательствами в отношении законодательства, например с обязатель</w:t>
      </w:r>
      <w:r w:rsidR="00070200">
        <w:rPr>
          <w:lang w:val="ru-RU"/>
        </w:rPr>
        <w:t>ствами по статьям 6 (1) (a) и 7–</w:t>
      </w:r>
      <w:r>
        <w:rPr>
          <w:lang w:val="ru-RU"/>
        </w:rPr>
        <w:t>8 (статьи 2, 4 и 6</w:t>
      </w:r>
      <w:r w:rsidR="00070200">
        <w:rPr>
          <w:lang w:val="ru-RU"/>
        </w:rPr>
        <w:t>–</w:t>
      </w:r>
      <w:r>
        <w:rPr>
          <w:lang w:val="ru-RU"/>
        </w:rPr>
        <w:t>8).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Pr="00070200">
        <w:rPr>
          <w:b/>
          <w:lang w:val="ru-RU"/>
        </w:rPr>
        <w:t>Комитет рекомендует государству-участнику рассмотреть вопрос об изменении формулировки статьи 109 (c) Уголовного кодекса для обеспечения ясности и четкости определения насильственного исчезновения и установить меры наказания, применимые к нему в соответствии со статьями 2 и 4 Конвенции. Такое изменение формулировки должно также уточнить внутренний правовой режим в отношении как насильственных исчезновений, так и связанных с ними обязательств, подобных тем,</w:t>
      </w:r>
      <w:r w:rsidR="001C3FA3">
        <w:rPr>
          <w:b/>
          <w:lang w:val="ru-RU"/>
        </w:rPr>
        <w:t xml:space="preserve"> которые содержатся в статьях </w:t>
      </w:r>
      <w:r w:rsidR="00070200">
        <w:rPr>
          <w:b/>
          <w:lang w:val="ru-RU"/>
        </w:rPr>
        <w:t>6 </w:t>
      </w:r>
      <w:r w:rsidRPr="00070200">
        <w:rPr>
          <w:b/>
          <w:lang w:val="ru-RU"/>
        </w:rPr>
        <w:t xml:space="preserve">(1) (а) и 7. 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Лица или группы лиц, действующие без разрешения, поддержки или согласия государства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Комитет отмечает, что в национальном уголовном законодательстве существует некоторая неопределенность в отношении применения Конвенции к действиям лиц или групп лиц, действующим без разрешения, поддержки или согласия государства, в том числе в части других смежных преступлений, та</w:t>
      </w:r>
      <w:r w:rsidR="00D21AEE">
        <w:rPr>
          <w:lang w:val="ru-RU"/>
        </w:rPr>
        <w:t>ких как торговля людьми (статья </w:t>
      </w:r>
      <w:r>
        <w:rPr>
          <w:lang w:val="ru-RU"/>
        </w:rPr>
        <w:t>3).</w:t>
      </w:r>
    </w:p>
    <w:p w:rsidR="00C33831" w:rsidRPr="00D21AEE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Pr="00D21AEE">
        <w:rPr>
          <w:b/>
          <w:lang w:val="ru-RU"/>
        </w:rPr>
        <w:t>Комитет призывает государство-участник эксплицитно указать в своем внутреннем законодательстве меры, предусмотренные в статье 3 Конвенции в связи с определенными в статье 2 Конвенции действиями, которые совершаются лицами или группами лиц, действующими без разрешения, поддержки или согласия государства.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Определение преступления насильственного исчезновения в качестве преступления против человечности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Комитет отмечает, что в статье 74 Уголовного кодекса насильственное исчезновение упоминается в качестве одного из деяний, представляющих собой преступления против человечности. Однако, статья 74 не содержит определения насильственного исчезновения, которое бы в полной</w:t>
      </w:r>
      <w:r w:rsidR="00D21AEE">
        <w:rPr>
          <w:lang w:val="ru-RU"/>
        </w:rPr>
        <w:t xml:space="preserve"> мере отражало положения статьи </w:t>
      </w:r>
      <w:r>
        <w:rPr>
          <w:lang w:val="ru-RU"/>
        </w:rPr>
        <w:t xml:space="preserve">5 Конвенции. Комитет выражает сожаление по поводу того, что в Уголовном кодексе отсутствует полное определение насильственного исчезновения как преступления против человечности (статья 5). </w:t>
      </w:r>
    </w:p>
    <w:p w:rsidR="00C33831" w:rsidRPr="005E1914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Pr="005E1914">
        <w:rPr>
          <w:b/>
          <w:lang w:val="ru-RU"/>
        </w:rPr>
        <w:t>Комитет настоятельно призывает государство-участник принять необходимые меры для включения в свой Уголовный кодекс, в соответствии со статьей 5 Конвенции, определения насильственного исчезновения в качестве преступления против человечности.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Приказ начальника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Комитет принимает к сведению представленную государством-участником информацию о том, что Административно-процессуальный кодекс, Закон № 108/2015 о государственной полиции и Закон № 10032 от 11 декабря 2008 года о тюремной полиции, с внесенными в него поправками, содержат гарантии для подчиненных, не желающих выполнять приказ совершить акт насильственного исчезновения, и обеспечивают возможность применения дисциплинарных мер в отношении соответствующего начальника в случае исполнения такого приказа. Комитет отмечает, что эти положения являются неясными и недостаточно конкретными и не охватывают все категории лиц, предусмотренные в статье 6 (2) Конвенции. Таким образом, они обеспечивают недостаточную защиту любому подчиненному, не желающему выполнять приказ начальника совершить акт насильственного исчезновения. Поэтому Комитет считает, что эти положения, как представляется, не обеспечивают гарантий, требуемых в соответствии со статьей 6 (2) Конвенции (статья 6).</w:t>
      </w:r>
    </w:p>
    <w:p w:rsidR="00C33831" w:rsidRPr="00E45388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Pr="00E45388">
        <w:rPr>
          <w:b/>
          <w:lang w:val="ru-RU"/>
        </w:rPr>
        <w:t>Комитет рекомендует государству-участнику пересмотреть положения вышеупомянутых законодательных актов и четко указать, что никакие приказ или распоряжение, исходящие от государственного, гражданского, военного или иного органа, не могут служить оправданием преступлен</w:t>
      </w:r>
      <w:r w:rsidR="00D152D1">
        <w:rPr>
          <w:b/>
          <w:lang w:val="ru-RU"/>
        </w:rPr>
        <w:t>ия насильственного исчезновения</w:t>
      </w:r>
      <w:r w:rsidRPr="00E45388">
        <w:rPr>
          <w:b/>
          <w:lang w:val="ru-RU"/>
        </w:rPr>
        <w:t xml:space="preserve"> в соответствии со статьей 6 (2) Конвенции. Комитет также рекомендует государству-участнику укрепить защиту и правовые гарантии защиты подчиненных, не желающих выполнять приказ начальника о совершении акта насильственного исчезновения. 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Отягчающие и смягчающие ответственность обстоятельства 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>Комитет отмечает, что статья 109 (с) Уголовного кодекса предусматривает применение более строгих мер наказания в тех случаях, когда преступление насильственного исчезновения совершается в особенных обстоятельствах, в частности в случае смерти исчезнувшего лица или в случае совершения акта насильственного исчезновения в отношении беременных женщин, несовершеннолетних, инвалидов или других особо уязвимых лиц. Однако в статье 109 (c) ничего не говорится о смягчающих ответственность обстоятельствах, которые могут возникать в случае преступления насильственного исчезновения, как это предусмотрено в статье 7 (2) (а) Конвенции. Комитет также отмечает, что Уголовный кодекс устанавливает общий режим смягчающих и отягчающих ответственность обстоятельств (статьи 48 и 50). Тем не менее Комитет считает, что такие положения Уголовного кодекса не охватывают надлежащим образом и в полном объеме все элементы, изложенные в статье 7 Конвенции (статья 7).</w:t>
      </w:r>
    </w:p>
    <w:p w:rsidR="00C33831" w:rsidRPr="003753E1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Pr="003753E1">
        <w:rPr>
          <w:b/>
          <w:lang w:val="ru-RU"/>
        </w:rPr>
        <w:t>Комитет призывает государство-участник включить в свой Уголовный кодекс четкие положения о смягчающих и отягчающих ответственность обстоятельствах в случае совершения акта насильственного исчезновения, которые бы охватывали все элементы, указанн</w:t>
      </w:r>
      <w:r w:rsidR="001C3FA3">
        <w:rPr>
          <w:b/>
          <w:lang w:val="ru-RU"/>
        </w:rPr>
        <w:t>ые в статье 7 (2) Конвенции. Он </w:t>
      </w:r>
      <w:r w:rsidRPr="003753E1">
        <w:rPr>
          <w:b/>
          <w:lang w:val="ru-RU"/>
        </w:rPr>
        <w:t xml:space="preserve">также рекомендует государству-участнику обеспечить, чтобы смягчающие ответственность обстоятельства никоим образом не вели бы к освобождению от надлежащего наказания. </w:t>
      </w:r>
    </w:p>
    <w:p w:rsidR="00C33831" w:rsidRPr="00EE753A" w:rsidRDefault="00150894" w:rsidP="00C33831">
      <w:pPr>
        <w:pStyle w:val="H23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>2.</w:t>
      </w:r>
      <w:r w:rsidR="00C33831">
        <w:rPr>
          <w:lang w:val="ru-RU"/>
        </w:rPr>
        <w:tab/>
        <w:t>Уголовная ответственность и сотрудниче</w:t>
      </w:r>
      <w:r w:rsidR="003753E1">
        <w:rPr>
          <w:lang w:val="ru-RU"/>
        </w:rPr>
        <w:t>ство судебных органов в связи с </w:t>
      </w:r>
      <w:r w:rsidR="00C33831">
        <w:rPr>
          <w:lang w:val="ru-RU"/>
        </w:rPr>
        <w:t>насильственными исчезновениями (статьи 8–15)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Длящийся характер преступления насильственного исчезновения и срок давности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>Принимая к сведению заявление делегации государства-участника о том, что в национальном уголовном законодательстве признается длящийся характер преступления насильственного исчезновения, Комитет отмечает, что статья 109 (с) Уголовного кодекса, определяя и криминализируя насильственное исчезновение в качестве преступного деяния, не признает длящийся характер этого преступления. Комитет принимает к сведению информацию государства-участника о том, что в отношении преступления насильственного исчезновения действуют общие положения о сроке давности привлечения к уголовной ответственности, содержащиеся в статье 66 Уголовного кодекса. Согласно статье 66, срок давности в отношении актов насильственного исчезновения начинает исчисляться с момента совершения преступления, а не с момента, когда преступление становится оконченным, как это предусмотрено в статье 8 (1) (b) Конвенции (статья 8).</w:t>
      </w:r>
    </w:p>
    <w:p w:rsidR="00C33831" w:rsidRPr="003753E1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Pr="003753E1">
        <w:rPr>
          <w:b/>
          <w:lang w:val="ru-RU"/>
        </w:rPr>
        <w:t xml:space="preserve">Комитет рекомендует государству-участнику пересмотреть свой Уголовный кодекс с целью конкретного признания длящегося характера преступления насильственного исчезновения и обеспечить, чтобы в положениях о сроке давности привлечения к уголовной ответственности учитывался чрезвычайно серьезный характер преступления насильственного исчезновения и чтобы он начинал исчисляться только с того момента, когда это преступление становится оконченным. 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Юрисдикция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24.</w:t>
      </w:r>
      <w:r w:rsidR="001C3FA3">
        <w:rPr>
          <w:lang w:val="ru-RU"/>
        </w:rPr>
        <w:tab/>
        <w:t>Комитет отмечает, что статья 7 </w:t>
      </w:r>
      <w:r>
        <w:rPr>
          <w:lang w:val="ru-RU"/>
        </w:rPr>
        <w:t>(а) Уголовного кодекса устанавливает юрисдикцию над иностранными гражданами, совершившими уголовные преступления за пределами территории государства-участника, в отношении которых, согласно конкретным законам или международным соглашениям, участником которых является Албания, применяется уголовное законодательство Албании. Комитет отмечает информацию, представленную государством-участником в его ответах на перечень вопросов (CED/C/ALB/Q/1/Add.1, см. пункт 40), но ему неясно, устанавливается ли юрисдикция в тех случаях, когда преступление насильственного исчезновения совершается иностранным гражданином против другого иностранного гражданина за пределами территории какого-либо государства-участника (статья 9).</w:t>
      </w:r>
    </w:p>
    <w:p w:rsidR="00C33831" w:rsidRPr="0073078A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Pr="0073078A">
        <w:rPr>
          <w:b/>
          <w:lang w:val="ru-RU"/>
        </w:rPr>
        <w:t>Комитет призывает государство-участник принять необходимые меры для обеспечения того, чтобы его уголовное законодательство в полной мере соответствовало положениям статьи 9 (2) Конвенции.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Военные суды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>Комитет принимает к сведению пояснения, представленные государством-участником в его ответах на перечень вопросов относительно того, что, когда преступление насильственного исчезновения совершается военнослужащими, юрисдикцией рассматривать соответствующее дело о</w:t>
      </w:r>
      <w:r w:rsidR="00D4158F">
        <w:rPr>
          <w:lang w:val="ru-RU"/>
        </w:rPr>
        <w:t>бладают обычные суды (см. </w:t>
      </w:r>
      <w:r>
        <w:rPr>
          <w:lang w:val="ru-RU"/>
        </w:rPr>
        <w:t>CED/C/ALB/Q/1/Add.1, пункт 44), и что ни в законодательстве, ни в Конституции нет положений, которые бы наделяли какое-либо военное учреждение такими полномочиями при каких бы то ни было обстоятельствах, в том числе в случае войны или чрезвычайного положения (там же, пункт 57). Однако Комитет отмечает, что информация, содержащаяся в докладе государс</w:t>
      </w:r>
      <w:r w:rsidR="00D4158F">
        <w:rPr>
          <w:lang w:val="ru-RU"/>
        </w:rPr>
        <w:t>тва-участника (CED/C/ALB/1, см. пункты 31–</w:t>
      </w:r>
      <w:r>
        <w:rPr>
          <w:lang w:val="ru-RU"/>
        </w:rPr>
        <w:t>32) и в его ответах на перечень вопросов (см. CED/C/ALB/Q/1/Add.1, пункт 44), свидетельствует о том, что военные власти на деле могут обладать компетенцией расследовать преступление насильственного исчезновения и преследовать виновных в его совершении, что противоречит вышеупомянутой информации. Комитет напоминает о своей позиции, согласно которой военные суды в принципе не способны обеспечить независимость и беспристрастность, требуемые Конвенцией для рассмотрения таких нарушений прав человека, как насильственные исчезновения (статья 11).</w:t>
      </w:r>
    </w:p>
    <w:p w:rsidR="00C33831" w:rsidRPr="00FB1692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FB1692">
        <w:rPr>
          <w:b/>
          <w:lang w:val="ru-RU"/>
        </w:rPr>
        <w:t>Комитет, ссылаясь на свое заявление о насильственных исчезновениях и военной юрисдикции (А/70/56, приложение III</w:t>
      </w:r>
      <w:r w:rsidR="00FB1692" w:rsidRPr="00FB1692">
        <w:rPr>
          <w:b/>
          <w:lang w:val="ru-RU"/>
        </w:rPr>
        <w:t>, пункт 5</w:t>
      </w:r>
      <w:r w:rsidRPr="00FB1692">
        <w:rPr>
          <w:b/>
          <w:lang w:val="ru-RU"/>
        </w:rPr>
        <w:t>), рекомендует государству-участнику принять необходимые меры для внесения ясности в свое законодательство с целью обеспечения того, чтобы акты насильственного исчезновения во всех случаях однозначно оставались за пределами компетенции военных судов и могли расследоваться и рассматриваться только судами общей юрисдикции.</w:t>
      </w:r>
    </w:p>
    <w:p w:rsidR="00C33831" w:rsidRPr="00EE753A" w:rsidRDefault="00150894" w:rsidP="00C33831">
      <w:pPr>
        <w:pStyle w:val="H23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>3.</w:t>
      </w:r>
      <w:r w:rsidR="00C33831">
        <w:rPr>
          <w:lang w:val="ru-RU"/>
        </w:rPr>
        <w:tab/>
        <w:t>Меры по предупреждению насильственных исчезновений (статьи 16−23)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Недопустимость принудительного возвращения 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>Комитет отмечает, что, согласно Закону № 121/</w:t>
      </w:r>
      <w:r w:rsidR="00FB1692">
        <w:rPr>
          <w:lang w:val="ru-RU"/>
        </w:rPr>
        <w:t>2014 о праве на убежище (статья </w:t>
      </w:r>
      <w:r>
        <w:rPr>
          <w:lang w:val="ru-RU"/>
        </w:rPr>
        <w:t>6), существование для просителя убежища угрозы подвергнуться насильственному исчезновению является основанием для недопущения его принудительного возвращения, однако этот Закон не предусматривает применения принципа недопустимость принудительного возвращения в других ситуациях, перечисленных в статье 16 (1) Конвенции. Комитет также отмечает отсутствие отдельного упоминания насильственного исчезновения в статье 11 Уголовного кодекса, касающейся экстрадиции. Комитет далее отмечает, что государство-участник не представило информации о наличии четких и конкретных механизмов и/или процедур для оценки и проверки опасности того, что лицо может стать жертвой насильственного исчезновения в стране назначения (статья 16).</w:t>
      </w:r>
    </w:p>
    <w:p w:rsidR="00C33831" w:rsidRPr="009A168D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Pr="009A168D">
        <w:rPr>
          <w:b/>
          <w:lang w:val="ru-RU"/>
        </w:rPr>
        <w:t>Комитет рекомендует государству-участнику рассмотреть возможность включения в свое внутреннее законодательство положений, эксплицитно запрещающих высылку, возвращение, передачу или выдачу какого-либо лица, если существуют веские основания полагать, что ему может угрожать опасность стать жертвой насильственного исчезновения, к</w:t>
      </w:r>
      <w:r w:rsidR="009A168D">
        <w:rPr>
          <w:b/>
          <w:lang w:val="ru-RU"/>
        </w:rPr>
        <w:t>ак это предусмотрено статьей 16 </w:t>
      </w:r>
      <w:r w:rsidRPr="009A168D">
        <w:rPr>
          <w:b/>
          <w:lang w:val="ru-RU"/>
        </w:rPr>
        <w:t>(1) Конвенции. Комитет призывает государство-участник принять все необходимые меры для обеспечения наличия четких и конкретных механизмов и/или процедур для оценки и проверки опасности того, что лицо может стать жертвой насильственного исчезновения в стране назначения.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Подготовка по положениям Конвенции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  <w:t>Комитет принимает к сведению информацию о существующих для сотрудников полиции и пенитенциарных учреждений многочисленных программах подготовки по правам человека, включая стандарты, регулирующие процедуры лишения человека свободы. Вместе с тем Комитет отмечает, что такая подготовка проводится очень редко не имеет прямого отношения к положениям Конвенции (статья 23).</w:t>
      </w:r>
    </w:p>
    <w:p w:rsidR="00C33831" w:rsidRPr="00CD7E41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 w:rsidRPr="00CD7E41">
        <w:rPr>
          <w:b/>
          <w:lang w:val="ru-RU"/>
        </w:rPr>
        <w:t>Комитет рекомендует государству-участнику обеспечить, чтобы все сотрудники правоохранительных органов (как гражданские, так и военные), медицинские работники, государственные должностные лица, а также другие лица, которые могут иметь отношение к содержанию под стражей или обращению с лицами, лишенными свободы, включая судей, прокуроров и других судебных работников, проходили надлежащую и регулярную подготовку по положениям Конвенции как это предусмотрено статьей 23 Конвенции.</w:t>
      </w:r>
    </w:p>
    <w:p w:rsidR="00C33831" w:rsidRPr="00EE753A" w:rsidRDefault="00150894" w:rsidP="00C33831">
      <w:pPr>
        <w:pStyle w:val="H23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>4.</w:t>
      </w:r>
      <w:r w:rsidR="00C33831">
        <w:rPr>
          <w:lang w:val="ru-RU"/>
        </w:rPr>
        <w:tab/>
        <w:t>Меры по возмещению ущерба и защите детей от насильственных исчезновений (статьи 24 и 25)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Определение жертвы 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  <w:t>Комитет принимает к сведению положения статьи 58 Уголовно-процессуального кодекса, которая расширяет права жертв в уголовных делах. Однако Комитет обеспокоен отсутствием в этом Кодексе определения жертвы, содержащегося в статье 24 (1) Конвенции. Принимая к сведению пояснения, представленные делегацией государства-учас</w:t>
      </w:r>
      <w:r w:rsidR="00E5474D">
        <w:rPr>
          <w:lang w:val="ru-RU"/>
        </w:rPr>
        <w:t>тника относительного того, что «жертвы»</w:t>
      </w:r>
      <w:r>
        <w:rPr>
          <w:lang w:val="ru-RU"/>
        </w:rPr>
        <w:t xml:space="preserve"> определяются в привязке к каждому конкретному случаю, Комитет напоминает, что стат</w:t>
      </w:r>
      <w:r w:rsidR="00E5474D">
        <w:rPr>
          <w:lang w:val="ru-RU"/>
        </w:rPr>
        <w:t>ья 24 (1) содержит определение «жертвы»</w:t>
      </w:r>
      <w:r>
        <w:rPr>
          <w:lang w:val="ru-RU"/>
        </w:rPr>
        <w:t xml:space="preserve"> более широкого характера, согласно которому жертвой считается не только любое исчезнувшее лицо, но и любое физическое лицо, которому причинен непосредственный вред в результате насильственного исчезновения. Комитет также отмечает, что статья 58 не содержит эксплицитного упоминания права жертвы знать правду об обстоятельствах насильственного исчезновения. Поэтому Комитет считает, что определение жертвы в законодательстве государства-участника не в полной мере соответствует более широкому определению, содержащемуся в статье 24 (1) Конвенции.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Pr="00E5474D">
        <w:rPr>
          <w:b/>
          <w:lang w:val="ru-RU"/>
        </w:rPr>
        <w:t>Комитет рекомендует государству-участнику включить в свое уголовное законодательство определение жертвы, соответству</w:t>
      </w:r>
      <w:r w:rsidR="00E5474D">
        <w:rPr>
          <w:b/>
          <w:lang w:val="ru-RU"/>
        </w:rPr>
        <w:t>ющее статье 24 </w:t>
      </w:r>
      <w:r w:rsidRPr="00E5474D">
        <w:rPr>
          <w:b/>
          <w:lang w:val="ru-RU"/>
        </w:rPr>
        <w:t xml:space="preserve">(1) Конвенции, с тем чтобы любое лицо, которому причинен непосредственный вред в результате насильственного исчезновения, могло в полном объеме пользоваться правами, закрепленными в Конвенции. Государству-участнику следует также обеспечить, чтобы статья 58 Уголовного кодекса предусматривала право жертв знать правду об обстоятельствах насильственного исчезновения, как это закреплено в статье 24 (2) Конвенции. 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Право на получение быстрого, справедливого и адекватного возмещения</w:t>
      </w:r>
      <w:r w:rsidRPr="00AD57BB">
        <w:rPr>
          <w:lang w:val="ru-RU"/>
        </w:rPr>
        <w:t xml:space="preserve"> </w:t>
      </w:r>
      <w:r>
        <w:rPr>
          <w:lang w:val="ru-RU"/>
        </w:rPr>
        <w:t xml:space="preserve">ущерба и компенсации 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  <w:t>Комитет отмечает, что статья 58 Уголовно-процессуального кодекса закрепляет право жертвы уголовного преступления требовать компенсации за причиненный ущерб, однако не гарантирует других форм возмещ</w:t>
      </w:r>
      <w:r w:rsidR="004E44E8">
        <w:rPr>
          <w:lang w:val="ru-RU"/>
        </w:rPr>
        <w:t>ения, предусмотренных в статьях </w:t>
      </w:r>
      <w:r>
        <w:rPr>
          <w:lang w:val="ru-RU"/>
        </w:rPr>
        <w:t>24 (4) и (5) Конвенции, таких как реституция, реабилитация, сатисфакция, включая восстановление чести и доброго имени, и гарантии неповторения (статья 24).</w:t>
      </w:r>
    </w:p>
    <w:p w:rsidR="00C33831" w:rsidRPr="004E44E8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Pr="004E44E8">
        <w:rPr>
          <w:b/>
          <w:lang w:val="ru-RU"/>
        </w:rPr>
        <w:t xml:space="preserve">Комитет рекомендует государству-участнику принять меры по расширению форм возмещения, с тем чтобы они включали реституцию, реабилитацию, сатисфакцию и гарантии неповторения, как это предусмотрено статьей 24 (5) Конвенции. </w:t>
      </w:r>
    </w:p>
    <w:p w:rsidR="00C33831" w:rsidRPr="00EE753A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Насильственные исчезновения в период коммунистического режима </w:t>
      </w:r>
    </w:p>
    <w:p w:rsidR="00C33831" w:rsidRPr="00EE753A" w:rsidRDefault="00C33831" w:rsidP="00C33831">
      <w:pPr>
        <w:pStyle w:val="SingleTxtG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  <w:t>Комитет приветствует различные инициативы государства-участника по ликвидации последствий нарушений прав человека, в частности насильственных исчезновений, совершенных в период коммунистичес</w:t>
      </w:r>
      <w:r w:rsidR="004E44E8">
        <w:rPr>
          <w:lang w:val="ru-RU"/>
        </w:rPr>
        <w:t>кого режима с 1944 года по 1991 </w:t>
      </w:r>
      <w:r>
        <w:rPr>
          <w:lang w:val="ru-RU"/>
        </w:rPr>
        <w:t xml:space="preserve">год. Комитет отмечает, что государство-участник приняло меры по предоставлению компенсации жертвам и их семьям, а также создало специальные учреждения для изучения и выявления случаев политического преследования со стороны коммунистического режима и повышения уровня информированности общественности по этим вопросам. Комитет отмечает, что государство-участник создало в структуре Института по проблемам интеграции лиц, подвергшихся в прошлом политическим гонениям, Отдел по делам исчезнувших лиц, основная задача которого состоит в поиске лиц, ставших жертвами насильственных исчезновений в период коммунистического режима, в частности путем сбора доказательств и информации о жертвах и эксгумации останков. Комитет приветствует переговоры о заключении соглашения с Международной комиссией по пропавшим без вести лицам. Однако он выражает сожаление по поводу того, что государство-участник до сих пор не провело расследований с целью выявления и судебного преследования виновных и предоставления всех видов возмещения жертвам и их семьям в соответствии со статьей 24 Конвенции. </w:t>
      </w:r>
    </w:p>
    <w:p w:rsidR="00C33831" w:rsidRPr="002709F9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37.</w:t>
      </w:r>
      <w:r>
        <w:rPr>
          <w:lang w:val="ru-RU"/>
        </w:rPr>
        <w:tab/>
      </w:r>
      <w:r w:rsidRPr="002709F9">
        <w:rPr>
          <w:b/>
          <w:lang w:val="ru-RU"/>
        </w:rPr>
        <w:t xml:space="preserve">Комитет призывает государство-участник активизировать усилия с целью действенного раскрытия случаев насильственных исчезновений, которые имели место в период коммунистического режима, в частности выяснения судьбы и местонахождения исчезнувших лиц, и рассмотреть возможность расследования таких преступлений, преследования виновных и предоставления всех видов возмещения жертвам и их семьям в соответствии со статьей 24 Конвенции. </w:t>
      </w:r>
    </w:p>
    <w:p w:rsidR="00C33831" w:rsidRPr="00AD57BB" w:rsidRDefault="00C33831" w:rsidP="00C33831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Законодательство в отношении неправомерного изъятия детей</w:t>
      </w:r>
    </w:p>
    <w:p w:rsidR="00C33831" w:rsidRPr="00AD57BB" w:rsidRDefault="00C33831" w:rsidP="00C33831">
      <w:pPr>
        <w:pStyle w:val="SingleTxtG"/>
        <w:rPr>
          <w:lang w:val="ru-RU"/>
        </w:rPr>
      </w:pPr>
      <w:r>
        <w:rPr>
          <w:lang w:val="ru-RU"/>
        </w:rPr>
        <w:t>38.</w:t>
      </w:r>
      <w:r>
        <w:rPr>
          <w:lang w:val="ru-RU"/>
        </w:rPr>
        <w:tab/>
        <w:t>Комитет принимает к сведению положения статьи 109 (с) Уголовного кодекса, которые содержат все элементы статьи 25 (1) (а) Конвенции. Внутреннее законодательство обеспечивает общую защиту детей от насилия, эксплуатации, отсутствия заботы и жестокого обращения, но не предусматривает особую защиту детей, подвергшихся насильственному исчезновению. Комитет также отмечает, что государство-участник не представило надлежащей информ</w:t>
      </w:r>
      <w:r w:rsidR="00367AC4">
        <w:rPr>
          <w:lang w:val="ru-RU"/>
        </w:rPr>
        <w:t>ации о процедурах восстановления</w:t>
      </w:r>
      <w:r>
        <w:rPr>
          <w:lang w:val="ru-RU"/>
        </w:rPr>
        <w:t xml:space="preserve"> подлинной личности детей, подвергшихся насильственному исчезновению, и не проинформировало Комитет о правовых процедурах пересмотра и, при необходимости, признания недействительным любого акта усыновления/удочерения или передачи под опеку детей, имевшего место в результате насильственного исчезновения, или соответствующем законодательстве, которые должны полностью соответствовать статье 25 (1) (b), (2) и (4) (статья 25). </w:t>
      </w:r>
    </w:p>
    <w:p w:rsidR="00C33831" w:rsidRPr="009F1A92" w:rsidRDefault="00C33831" w:rsidP="00C33831">
      <w:pPr>
        <w:pStyle w:val="SingleTxtG"/>
        <w:rPr>
          <w:b/>
          <w:lang w:val="ru-RU"/>
        </w:rPr>
      </w:pPr>
      <w:r>
        <w:rPr>
          <w:lang w:val="ru-RU"/>
        </w:rPr>
        <w:t>39.</w:t>
      </w:r>
      <w:r>
        <w:rPr>
          <w:lang w:val="ru-RU"/>
        </w:rPr>
        <w:tab/>
      </w:r>
      <w:r w:rsidRPr="009F1A92">
        <w:rPr>
          <w:b/>
          <w:lang w:val="ru-RU"/>
        </w:rPr>
        <w:t>Комитет настоятельно призывает государство-участник принять необходимые и конкретные меры для обеспечения эффективной защиты детей от насильственных ис</w:t>
      </w:r>
      <w:r w:rsidR="009F1A92">
        <w:rPr>
          <w:b/>
          <w:lang w:val="ru-RU"/>
        </w:rPr>
        <w:t xml:space="preserve">чезновений, в частности путем: </w:t>
      </w:r>
      <w:r w:rsidRPr="009F1A92">
        <w:rPr>
          <w:b/>
          <w:lang w:val="ru-RU"/>
        </w:rPr>
        <w:t>а) создания процедур с целью восстановления подлинной личности детей в случае фальсификации, сокрытия или уничтожения удостоверяющих ее документов, b) принятия законодательства и установления процедур для пересмотра и, при необходимости, признания недействительным любого акта усыновления/удочерения или передачи под опеку детей, имевшего место в результате нас</w:t>
      </w:r>
      <w:r w:rsidR="009F1A92">
        <w:rPr>
          <w:b/>
          <w:lang w:val="ru-RU"/>
        </w:rPr>
        <w:t>ильственного исчезновения, и c) </w:t>
      </w:r>
      <w:r w:rsidRPr="009F1A92">
        <w:rPr>
          <w:b/>
          <w:lang w:val="ru-RU"/>
        </w:rPr>
        <w:t>заключения соглашений о взаимопомощи с другими государствами для поиска и установления личности и местонахождения детей, подвергшихся насильственному исчезновению.</w:t>
      </w:r>
    </w:p>
    <w:p w:rsidR="00C33831" w:rsidRPr="00AD57BB" w:rsidRDefault="00150894" w:rsidP="00C33831">
      <w:pPr>
        <w:pStyle w:val="H1G"/>
        <w:rPr>
          <w:lang w:val="ru-RU"/>
        </w:rPr>
      </w:pPr>
      <w:r>
        <w:rPr>
          <w:lang w:val="ru-RU"/>
        </w:rPr>
        <w:tab/>
      </w:r>
      <w:r w:rsidR="00C33831">
        <w:rPr>
          <w:lang w:val="ru-RU"/>
        </w:rPr>
        <w:t>D.</w:t>
      </w:r>
      <w:r w:rsidR="00C33831">
        <w:rPr>
          <w:lang w:val="ru-RU"/>
        </w:rPr>
        <w:tab/>
        <w:t>Распространение информации и последующие меры</w:t>
      </w:r>
    </w:p>
    <w:p w:rsidR="00C33831" w:rsidRPr="009F1A92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</w:r>
      <w:r w:rsidRPr="009F1A92">
        <w:rPr>
          <w:b/>
          <w:lang w:val="ru-RU"/>
        </w:rPr>
        <w:t>Комитет хотел бы напомнить об обязательствах, взятых на себя государствами при присоединении к Конвенции, и в этой связи настоятельно призывает государство-участник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которые взяло на себя государство при ратификации Конвенции и других соответствующих международных договоров. Комитет, в частности, настоятельно призывает государство-участник обеспечить эффективное расследование всех случаев насильственных исчезновений и полное соблюдение прав жертв, как это предусмотрено в Конвенции.</w:t>
      </w:r>
    </w:p>
    <w:p w:rsidR="00C33831" w:rsidRPr="00313678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</w:r>
      <w:r w:rsidRPr="00313678">
        <w:rPr>
          <w:b/>
          <w:lang w:val="ru-RU"/>
        </w:rPr>
        <w:t>Помимо этого, Комитет хотел бы подчеркнуть особо пагубные последствия насильственных исчезновений для прав человека женщин и детей. Женщины, ставшие жертвами насильственных исчезновений, в наибольшей степени подвержены сексуальному и другим видам гендерного насилия. В качестве же членов семьи исчезнувшего лица женщины наиболее подвержены риску столкнуться с неблагоприятными социально-экономическими последствиями, а также с насилием, преследованиями и притеснениями при попытках найти своих близких. В свою очередь, дети, ставшие жертвами насильственного исчезновения, будь то в личном качестве или в результате исчезновения их родственников, особо подвержены риску многочисленных нарушений прав человека, в том числе риску подмены их подлинной личности. В этой связи Комитет особо подчеркивает необходимость учета государством-участником гендерной проблематики и интересов детей при осуществлении прав и обязательств, закрепленных в Конвенции.</w:t>
      </w:r>
    </w:p>
    <w:p w:rsidR="00C33831" w:rsidRPr="001D6176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 w:rsidRPr="001D6176">
        <w:rPr>
          <w:b/>
          <w:lang w:val="ru-RU"/>
        </w:rPr>
        <w:t>Государству-участнику предлагается обеспечить широкое распространение текста Конвенции, текста 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населения в целом. Комитет также призывает государство-участник поощрять участие гражданского общества, в частности организаций, представляющих интересы родственников жертв, в процессе осуществления настоящих заключительных замечаний.</w:t>
      </w:r>
    </w:p>
    <w:p w:rsidR="00C33831" w:rsidRPr="001D6176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</w:r>
      <w:r w:rsidRPr="001D6176">
        <w:rPr>
          <w:b/>
          <w:lang w:val="ru-RU"/>
        </w:rPr>
        <w:t>Отмечая, что государство-участник представило с</w:t>
      </w:r>
      <w:r w:rsidR="0062522D">
        <w:rPr>
          <w:b/>
          <w:lang w:val="ru-RU"/>
        </w:rPr>
        <w:t>вой базовый документ в 2012 год</w:t>
      </w:r>
      <w:r w:rsidRPr="001D6176">
        <w:rPr>
          <w:b/>
          <w:lang w:val="ru-RU"/>
        </w:rPr>
        <w:t>у (HRI/CORE/ALB/2012), Комитет предлагает государству-участнику обновить включенную в него информацию в соответствии с требованиями к общим базовым документам, содержащимися в согласованных руководящих принципах представления докладов согласно международным договорам о правах человека (см. HRI/GEN.2/Rev.6, глава I).</w:t>
      </w:r>
    </w:p>
    <w:p w:rsidR="00C33831" w:rsidRPr="001D6176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44.</w:t>
      </w:r>
      <w:r>
        <w:rPr>
          <w:lang w:val="ru-RU"/>
        </w:rPr>
        <w:tab/>
      </w:r>
      <w:r w:rsidRPr="001D6176">
        <w:rPr>
          <w:b/>
          <w:lang w:val="ru-RU"/>
        </w:rPr>
        <w:t>Согласно правилам процедуры Комитета, государству-участнику следует не позднее 1 июня 2019 года представить информацию об осуществлении им рекомендаций, содержащихся в пунктах 31, 33 и 39 настоящего документа.</w:t>
      </w:r>
    </w:p>
    <w:p w:rsidR="00C33831" w:rsidRPr="0062522D" w:rsidRDefault="00C33831" w:rsidP="00C33831">
      <w:pPr>
        <w:pStyle w:val="SingleTxtG"/>
        <w:rPr>
          <w:b/>
          <w:bCs/>
          <w:lang w:val="ru-RU"/>
        </w:rPr>
      </w:pPr>
      <w:r>
        <w:rPr>
          <w:lang w:val="ru-RU"/>
        </w:rPr>
        <w:t>45.</w:t>
      </w:r>
      <w:r>
        <w:rPr>
          <w:lang w:val="ru-RU"/>
        </w:rPr>
        <w:tab/>
      </w:r>
      <w:r w:rsidRPr="0062522D">
        <w:rPr>
          <w:b/>
          <w:lang w:val="ru-RU"/>
        </w:rPr>
        <w:t>В соответствии с пунктом 4 статьи 29 Конвенции Комитет просит государство-участник представить не позднее 1 июня 2024 года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Руководящим принципам относительно формы и содержания докладов, которые должны быть представлены государствами – участниками Конвенции в соответствии со статьей 29 (CED/C/2, пункт 39). Комитет призывает государство-участник в процессе подготовки этой информации продолжать проводить консультации с гражданским обществом, в том числе с организациями, представляющими интересы родственников жертв.</w:t>
      </w:r>
    </w:p>
    <w:p w:rsidR="000D41FA" w:rsidRDefault="00C33831" w:rsidP="00C3383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C33831" w:rsidRDefault="00381C24" w:rsidP="00C33831">
      <w:pPr>
        <w:pStyle w:val="SingleTxtGR"/>
        <w:jc w:val="center"/>
        <w:rPr>
          <w:u w:val="single"/>
        </w:rPr>
      </w:pPr>
    </w:p>
    <w:sectPr w:rsidR="00381C24" w:rsidRPr="00C33831" w:rsidSect="00133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0F" w:rsidRPr="00A312BC" w:rsidRDefault="0057470F" w:rsidP="00A312BC"/>
  </w:endnote>
  <w:endnote w:type="continuationSeparator" w:id="0">
    <w:p w:rsidR="0057470F" w:rsidRPr="00A312BC" w:rsidRDefault="005747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4B" w:rsidRPr="0013374B" w:rsidRDefault="0013374B">
    <w:pPr>
      <w:pStyle w:val="a8"/>
    </w:pPr>
    <w:r w:rsidRPr="0013374B">
      <w:rPr>
        <w:b/>
        <w:sz w:val="18"/>
      </w:rPr>
      <w:fldChar w:fldCharType="begin"/>
    </w:r>
    <w:r w:rsidRPr="0013374B">
      <w:rPr>
        <w:b/>
        <w:sz w:val="18"/>
      </w:rPr>
      <w:instrText xml:space="preserve"> PAGE  \* MERGEFORMAT </w:instrText>
    </w:r>
    <w:r w:rsidRPr="0013374B">
      <w:rPr>
        <w:b/>
        <w:sz w:val="18"/>
      </w:rPr>
      <w:fldChar w:fldCharType="separate"/>
    </w:r>
    <w:r w:rsidR="00F12979">
      <w:rPr>
        <w:b/>
        <w:noProof/>
        <w:sz w:val="18"/>
      </w:rPr>
      <w:t>8</w:t>
    </w:r>
    <w:r w:rsidRPr="0013374B">
      <w:rPr>
        <w:b/>
        <w:sz w:val="18"/>
      </w:rPr>
      <w:fldChar w:fldCharType="end"/>
    </w:r>
    <w:r>
      <w:rPr>
        <w:b/>
        <w:sz w:val="18"/>
      </w:rPr>
      <w:tab/>
    </w:r>
    <w:r>
      <w:t>GE.18-10886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4B" w:rsidRPr="0013374B" w:rsidRDefault="0013374B" w:rsidP="0013374B">
    <w:pPr>
      <w:pStyle w:val="a8"/>
      <w:tabs>
        <w:tab w:val="clear" w:pos="9639"/>
        <w:tab w:val="right" w:pos="9638"/>
      </w:tabs>
      <w:rPr>
        <w:b/>
        <w:sz w:val="18"/>
      </w:rPr>
    </w:pPr>
    <w:r>
      <w:t>GE.18-10886</w:t>
    </w:r>
    <w:r>
      <w:tab/>
    </w:r>
    <w:r w:rsidRPr="0013374B">
      <w:rPr>
        <w:b/>
        <w:sz w:val="18"/>
      </w:rPr>
      <w:fldChar w:fldCharType="begin"/>
    </w:r>
    <w:r w:rsidRPr="0013374B">
      <w:rPr>
        <w:b/>
        <w:sz w:val="18"/>
      </w:rPr>
      <w:instrText xml:space="preserve"> PAGE  \* MERGEFORMAT </w:instrText>
    </w:r>
    <w:r w:rsidRPr="0013374B">
      <w:rPr>
        <w:b/>
        <w:sz w:val="18"/>
      </w:rPr>
      <w:fldChar w:fldCharType="separate"/>
    </w:r>
    <w:r w:rsidR="00F12979">
      <w:rPr>
        <w:b/>
        <w:noProof/>
        <w:sz w:val="18"/>
      </w:rPr>
      <w:t>9</w:t>
    </w:r>
    <w:r w:rsidRPr="001337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3374B" w:rsidRDefault="0013374B" w:rsidP="0013374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18-10886  (R)</w:t>
    </w:r>
    <w:r>
      <w:rPr>
        <w:lang w:val="en-US"/>
      </w:rPr>
      <w:t xml:space="preserve">  120718  160718</w:t>
    </w:r>
    <w:r>
      <w:br/>
    </w:r>
    <w:r w:rsidRPr="0013374B">
      <w:rPr>
        <w:rFonts w:ascii="C39T30Lfz" w:hAnsi="C39T30Lfz"/>
        <w:kern w:val="14"/>
        <w:sz w:val="56"/>
      </w:rPr>
      <w:t></w:t>
    </w:r>
    <w:r w:rsidRPr="0013374B">
      <w:rPr>
        <w:rFonts w:ascii="C39T30Lfz" w:hAnsi="C39T30Lfz"/>
        <w:kern w:val="14"/>
        <w:sz w:val="56"/>
      </w:rPr>
      <w:t></w:t>
    </w:r>
    <w:r w:rsidRPr="0013374B">
      <w:rPr>
        <w:rFonts w:ascii="C39T30Lfz" w:hAnsi="C39T30Lfz"/>
        <w:kern w:val="14"/>
        <w:sz w:val="56"/>
      </w:rPr>
      <w:t></w:t>
    </w:r>
    <w:r w:rsidRPr="0013374B">
      <w:rPr>
        <w:rFonts w:ascii="C39T30Lfz" w:hAnsi="C39T30Lfz"/>
        <w:kern w:val="14"/>
        <w:sz w:val="56"/>
      </w:rPr>
      <w:t></w:t>
    </w:r>
    <w:r w:rsidRPr="0013374B">
      <w:rPr>
        <w:rFonts w:ascii="C39T30Lfz" w:hAnsi="C39T30Lfz"/>
        <w:kern w:val="14"/>
        <w:sz w:val="56"/>
      </w:rPr>
      <w:t></w:t>
    </w:r>
    <w:r w:rsidRPr="0013374B">
      <w:rPr>
        <w:rFonts w:ascii="C39T30Lfz" w:hAnsi="C39T30Lfz"/>
        <w:kern w:val="14"/>
        <w:sz w:val="56"/>
      </w:rPr>
      <w:t></w:t>
    </w:r>
    <w:r w:rsidRPr="0013374B">
      <w:rPr>
        <w:rFonts w:ascii="C39T30Lfz" w:hAnsi="C39T30Lfz"/>
        <w:kern w:val="14"/>
        <w:sz w:val="56"/>
      </w:rPr>
      <w:t></w:t>
    </w:r>
    <w:r w:rsidRPr="0013374B">
      <w:rPr>
        <w:rFonts w:ascii="C39T30Lfz" w:hAnsi="C39T30Lfz"/>
        <w:kern w:val="14"/>
        <w:sz w:val="56"/>
      </w:rPr>
      <w:t></w:t>
    </w:r>
    <w:r w:rsidRPr="0013374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ALB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ALB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0F" w:rsidRPr="001075E9" w:rsidRDefault="005747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470F" w:rsidRDefault="005747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3831" w:rsidRPr="00AD57BB" w:rsidRDefault="00C33831" w:rsidP="00C33831">
      <w:pPr>
        <w:pStyle w:val="ad"/>
      </w:pPr>
      <w:r>
        <w:tab/>
      </w:r>
      <w:r w:rsidRPr="00CD4FE1">
        <w:rPr>
          <w:rStyle w:val="aa"/>
          <w:sz w:val="20"/>
          <w:vertAlign w:val="baseline"/>
        </w:rPr>
        <w:t>*</w:t>
      </w:r>
      <w:r>
        <w:tab/>
        <w:t>Приняты Комитетом на его четырнадцатой сессии (22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4B" w:rsidRPr="0013374B" w:rsidRDefault="0013374B">
    <w:pPr>
      <w:pStyle w:val="a5"/>
    </w:pPr>
    <w:fldSimple w:instr=" TITLE  \* MERGEFORMAT ">
      <w:r w:rsidR="004D79C7">
        <w:t>CED/C/ALB/CO/1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4B" w:rsidRPr="0013374B" w:rsidRDefault="0013374B" w:rsidP="0013374B">
    <w:pPr>
      <w:pStyle w:val="a5"/>
      <w:jc w:val="right"/>
    </w:pPr>
    <w:fldSimple w:instr=" TITLE  \* MERGEFORMAT ">
      <w:r w:rsidR="004D79C7">
        <w:t>CED/C/ALB/CO/1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4B" w:rsidRDefault="0013374B" w:rsidP="0013374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F"/>
    <w:rsid w:val="00033EE1"/>
    <w:rsid w:val="00042B72"/>
    <w:rsid w:val="00046E2F"/>
    <w:rsid w:val="00052360"/>
    <w:rsid w:val="000558BD"/>
    <w:rsid w:val="00070200"/>
    <w:rsid w:val="000B57E7"/>
    <w:rsid w:val="000B6373"/>
    <w:rsid w:val="000D41FA"/>
    <w:rsid w:val="000F09DF"/>
    <w:rsid w:val="000F61B2"/>
    <w:rsid w:val="001075E9"/>
    <w:rsid w:val="0013374B"/>
    <w:rsid w:val="00150894"/>
    <w:rsid w:val="00180183"/>
    <w:rsid w:val="0018024D"/>
    <w:rsid w:val="0018649F"/>
    <w:rsid w:val="00196389"/>
    <w:rsid w:val="001B3EF6"/>
    <w:rsid w:val="001C3FA3"/>
    <w:rsid w:val="001C7A89"/>
    <w:rsid w:val="001D6176"/>
    <w:rsid w:val="00206F9C"/>
    <w:rsid w:val="00215F21"/>
    <w:rsid w:val="002709F9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3678"/>
    <w:rsid w:val="003167DF"/>
    <w:rsid w:val="00317339"/>
    <w:rsid w:val="00322004"/>
    <w:rsid w:val="003402C2"/>
    <w:rsid w:val="00344437"/>
    <w:rsid w:val="00350C86"/>
    <w:rsid w:val="00367AC4"/>
    <w:rsid w:val="003753E1"/>
    <w:rsid w:val="00381C24"/>
    <w:rsid w:val="003958D0"/>
    <w:rsid w:val="003B00E5"/>
    <w:rsid w:val="00407B78"/>
    <w:rsid w:val="00424203"/>
    <w:rsid w:val="00452493"/>
    <w:rsid w:val="00454E07"/>
    <w:rsid w:val="00472C5C"/>
    <w:rsid w:val="00475A37"/>
    <w:rsid w:val="004A53D7"/>
    <w:rsid w:val="004D79C7"/>
    <w:rsid w:val="004E44E8"/>
    <w:rsid w:val="004E4CB3"/>
    <w:rsid w:val="004F21B5"/>
    <w:rsid w:val="0050108D"/>
    <w:rsid w:val="00513081"/>
    <w:rsid w:val="00517901"/>
    <w:rsid w:val="00521A6B"/>
    <w:rsid w:val="00526683"/>
    <w:rsid w:val="00536A7D"/>
    <w:rsid w:val="005709E0"/>
    <w:rsid w:val="00572E19"/>
    <w:rsid w:val="0057470F"/>
    <w:rsid w:val="005961C8"/>
    <w:rsid w:val="005D7914"/>
    <w:rsid w:val="005E1914"/>
    <w:rsid w:val="005E2B41"/>
    <w:rsid w:val="005F0B42"/>
    <w:rsid w:val="00602144"/>
    <w:rsid w:val="0062522D"/>
    <w:rsid w:val="00681A10"/>
    <w:rsid w:val="006A1ED8"/>
    <w:rsid w:val="006C2031"/>
    <w:rsid w:val="006D09F5"/>
    <w:rsid w:val="006D461A"/>
    <w:rsid w:val="006F35EE"/>
    <w:rsid w:val="007021FF"/>
    <w:rsid w:val="00712895"/>
    <w:rsid w:val="0073078A"/>
    <w:rsid w:val="00757357"/>
    <w:rsid w:val="008227B1"/>
    <w:rsid w:val="00825F8D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A168D"/>
    <w:rsid w:val="009A24AC"/>
    <w:rsid w:val="009F1A92"/>
    <w:rsid w:val="00A14DA8"/>
    <w:rsid w:val="00A312BC"/>
    <w:rsid w:val="00A84021"/>
    <w:rsid w:val="00A84D35"/>
    <w:rsid w:val="00A917B3"/>
    <w:rsid w:val="00AB4B51"/>
    <w:rsid w:val="00B10CC7"/>
    <w:rsid w:val="00B215E6"/>
    <w:rsid w:val="00B36DF7"/>
    <w:rsid w:val="00B539E7"/>
    <w:rsid w:val="00B54E04"/>
    <w:rsid w:val="00B62458"/>
    <w:rsid w:val="00BC18B2"/>
    <w:rsid w:val="00BD33EE"/>
    <w:rsid w:val="00C106D6"/>
    <w:rsid w:val="00C33831"/>
    <w:rsid w:val="00C60F0C"/>
    <w:rsid w:val="00C805C9"/>
    <w:rsid w:val="00C92939"/>
    <w:rsid w:val="00CA1679"/>
    <w:rsid w:val="00CB151C"/>
    <w:rsid w:val="00CD4FE1"/>
    <w:rsid w:val="00CD7E41"/>
    <w:rsid w:val="00CE5A1A"/>
    <w:rsid w:val="00CF55F6"/>
    <w:rsid w:val="00D152D1"/>
    <w:rsid w:val="00D21AEE"/>
    <w:rsid w:val="00D33D63"/>
    <w:rsid w:val="00D36B65"/>
    <w:rsid w:val="00D4158F"/>
    <w:rsid w:val="00D55C9D"/>
    <w:rsid w:val="00D90028"/>
    <w:rsid w:val="00D90138"/>
    <w:rsid w:val="00DB0902"/>
    <w:rsid w:val="00DD78D1"/>
    <w:rsid w:val="00DE32CD"/>
    <w:rsid w:val="00DF71B9"/>
    <w:rsid w:val="00E45388"/>
    <w:rsid w:val="00E5474D"/>
    <w:rsid w:val="00E61978"/>
    <w:rsid w:val="00E73F76"/>
    <w:rsid w:val="00EA2C9F"/>
    <w:rsid w:val="00EA420E"/>
    <w:rsid w:val="00ED0BDA"/>
    <w:rsid w:val="00EF1360"/>
    <w:rsid w:val="00EF3220"/>
    <w:rsid w:val="00F12979"/>
    <w:rsid w:val="00F41C74"/>
    <w:rsid w:val="00F43903"/>
    <w:rsid w:val="00F94155"/>
    <w:rsid w:val="00F9777C"/>
    <w:rsid w:val="00F9783F"/>
    <w:rsid w:val="00FB1692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531ADB"/>
  <w15:docId w15:val="{6765693A-30EE-425A-A04F-99FF6E50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6197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61978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619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R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61978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61978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C3383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C3383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C3383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C33831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rsid w:val="00C33831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2</TotalTime>
  <Pages>9</Pages>
  <Words>3313</Words>
  <Characters>24054</Characters>
  <Application>Microsoft Office Word</Application>
  <DocSecurity>0</DocSecurity>
  <Lines>414</Lines>
  <Paragraphs>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CED/C/ALB/CO/1</vt:lpstr>
      <vt:lpstr>A/</vt:lpstr>
      <vt:lpstr>A/</vt:lpstr>
    </vt:vector>
  </TitlesOfParts>
  <Company>DCM</Company>
  <LinksUpToDate>false</LinksUpToDate>
  <CharactersWithSpaces>27277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CED/C/ALB/CO/1</dc:title>
  <dc:subject/>
  <dc:creator>Nina STEPANOVA</dc:creator>
  <cp:keywords/>
  <cp:lastModifiedBy>Nina Stepanova</cp:lastModifiedBy>
  <cp:revision>3</cp:revision>
  <cp:lastPrinted>2018-07-16T09:39:00Z</cp:lastPrinted>
  <dcterms:created xsi:type="dcterms:W3CDTF">2018-07-16T09:39:00Z</dcterms:created>
  <dcterms:modified xsi:type="dcterms:W3CDTF">2018-07-16T09:41:00Z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