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7CE3" w:rsidRPr="00DB58B5" w:rsidTr="008777F8">
        <w:trPr>
          <w:trHeight w:hRule="exact" w:val="851"/>
        </w:trPr>
        <w:tc>
          <w:tcPr>
            <w:tcW w:w="1276" w:type="dxa"/>
            <w:tcBorders>
              <w:bottom w:val="single" w:sz="4" w:space="0" w:color="auto"/>
            </w:tcBorders>
          </w:tcPr>
          <w:p w:rsidR="00167CE3" w:rsidRPr="00DB58B5" w:rsidRDefault="00167CE3" w:rsidP="008777F8"/>
        </w:tc>
        <w:tc>
          <w:tcPr>
            <w:tcW w:w="2268" w:type="dxa"/>
            <w:tcBorders>
              <w:bottom w:val="single" w:sz="4" w:space="0" w:color="auto"/>
            </w:tcBorders>
            <w:vAlign w:val="bottom"/>
          </w:tcPr>
          <w:p w:rsidR="00167CE3" w:rsidRPr="00DB58B5" w:rsidRDefault="00167CE3" w:rsidP="008777F8">
            <w:pPr>
              <w:spacing w:after="80" w:line="300" w:lineRule="exact"/>
              <w:rPr>
                <w:sz w:val="28"/>
              </w:rPr>
            </w:pPr>
            <w:r w:rsidRPr="0055332C">
              <w:rPr>
                <w:sz w:val="28"/>
                <w:szCs w:val="28"/>
              </w:rPr>
              <w:t>Nations</w:t>
            </w:r>
            <w:r>
              <w:rPr>
                <w:sz w:val="28"/>
                <w:szCs w:val="28"/>
              </w:rPr>
              <w:t xml:space="preserve"> Unies</w:t>
            </w:r>
          </w:p>
        </w:tc>
        <w:tc>
          <w:tcPr>
            <w:tcW w:w="6095" w:type="dxa"/>
            <w:gridSpan w:val="2"/>
            <w:tcBorders>
              <w:bottom w:val="single" w:sz="4" w:space="0" w:color="auto"/>
            </w:tcBorders>
            <w:vAlign w:val="bottom"/>
          </w:tcPr>
          <w:p w:rsidR="00167CE3" w:rsidRPr="00DB58B5" w:rsidRDefault="00167CE3" w:rsidP="008777F8">
            <w:pPr>
              <w:jc w:val="right"/>
            </w:pPr>
            <w:r w:rsidRPr="006A7C68">
              <w:rPr>
                <w:sz w:val="40"/>
              </w:rPr>
              <w:t>CAT</w:t>
            </w:r>
            <w:r w:rsidR="00714CE3">
              <w:t>/C/TGO</w:t>
            </w:r>
            <w:r>
              <w:t>/Q/</w:t>
            </w:r>
            <w:r w:rsidR="008E6308">
              <w:t>2</w:t>
            </w:r>
          </w:p>
        </w:tc>
      </w:tr>
      <w:tr w:rsidR="00167CE3" w:rsidRPr="00DB58B5" w:rsidTr="008777F8">
        <w:trPr>
          <w:trHeight w:hRule="exact" w:val="2835"/>
        </w:trPr>
        <w:tc>
          <w:tcPr>
            <w:tcW w:w="1276" w:type="dxa"/>
            <w:tcBorders>
              <w:top w:val="single" w:sz="4" w:space="0" w:color="auto"/>
              <w:bottom w:val="single" w:sz="12" w:space="0" w:color="auto"/>
            </w:tcBorders>
          </w:tcPr>
          <w:p w:rsidR="00167CE3" w:rsidRPr="00577A5C" w:rsidRDefault="00167CE3" w:rsidP="008777F8">
            <w:pPr>
              <w:spacing w:before="120"/>
              <w:jc w:val="center"/>
            </w:pPr>
            <w:r w:rsidRPr="00577A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67CE3" w:rsidRPr="00B77173" w:rsidRDefault="00167CE3" w:rsidP="008777F8">
            <w:pPr>
              <w:spacing w:before="120" w:line="380" w:lineRule="exact"/>
              <w:rPr>
                <w:lang w:val="fr-FR"/>
              </w:rPr>
            </w:pPr>
            <w:r w:rsidRPr="00B77173">
              <w:rPr>
                <w:b/>
                <w:sz w:val="34"/>
                <w:szCs w:val="34"/>
                <w:lang w:val="fr-FR"/>
              </w:rPr>
              <w:t>Convention contre</w:t>
            </w:r>
            <w:r w:rsidRPr="00B77173">
              <w:rPr>
                <w:b/>
                <w:sz w:val="34"/>
                <w:szCs w:val="34"/>
                <w:lang w:val="fr-FR"/>
              </w:rPr>
              <w:br/>
              <w:t>la torture et autres peines</w:t>
            </w:r>
            <w:r w:rsidRPr="00B77173">
              <w:rPr>
                <w:b/>
                <w:sz w:val="34"/>
                <w:szCs w:val="34"/>
                <w:lang w:val="fr-FR"/>
              </w:rPr>
              <w:br/>
              <w:t>ou traitements cruels,</w:t>
            </w:r>
            <w:r w:rsidRPr="00B77173">
              <w:rPr>
                <w:b/>
                <w:sz w:val="34"/>
                <w:szCs w:val="34"/>
                <w:lang w:val="fr-FR"/>
              </w:rPr>
              <w:br/>
              <w:t>inhumains ou dégradants</w:t>
            </w:r>
          </w:p>
        </w:tc>
        <w:tc>
          <w:tcPr>
            <w:tcW w:w="2835" w:type="dxa"/>
            <w:tcBorders>
              <w:top w:val="single" w:sz="4" w:space="0" w:color="auto"/>
              <w:bottom w:val="single" w:sz="12" w:space="0" w:color="auto"/>
            </w:tcBorders>
          </w:tcPr>
          <w:p w:rsidR="00167CE3" w:rsidRDefault="00167CE3" w:rsidP="008777F8">
            <w:pPr>
              <w:spacing w:before="240"/>
            </w:pPr>
            <w:r>
              <w:t>Distr</w:t>
            </w:r>
            <w:r w:rsidR="006F33E0">
              <w:t>:</w:t>
            </w:r>
            <w:r>
              <w:t xml:space="preserve"> général</w:t>
            </w:r>
            <w:r w:rsidR="006F33E0">
              <w:t>e</w:t>
            </w:r>
          </w:p>
          <w:p w:rsidR="00167CE3" w:rsidRDefault="00B94D68" w:rsidP="008777F8">
            <w:pPr>
              <w:spacing w:line="240" w:lineRule="exact"/>
            </w:pPr>
            <w:r>
              <w:t>16</w:t>
            </w:r>
            <w:r w:rsidR="008E6308">
              <w:t xml:space="preserve"> fév</w:t>
            </w:r>
            <w:r w:rsidR="006F33E0">
              <w:t>r</w:t>
            </w:r>
            <w:r w:rsidR="008E6308">
              <w:t>ier</w:t>
            </w:r>
            <w:r w:rsidR="00167CE3">
              <w:t xml:space="preserve"> 2011</w:t>
            </w:r>
          </w:p>
          <w:p w:rsidR="00167CE3" w:rsidRDefault="00167CE3" w:rsidP="008777F8">
            <w:pPr>
              <w:spacing w:line="240" w:lineRule="exact"/>
            </w:pPr>
          </w:p>
          <w:p w:rsidR="00167CE3" w:rsidRPr="00DB58B5" w:rsidRDefault="00167CE3" w:rsidP="008777F8">
            <w:pPr>
              <w:spacing w:line="240" w:lineRule="exact"/>
            </w:pPr>
            <w:r>
              <w:t xml:space="preserve">Original: français </w:t>
            </w:r>
          </w:p>
        </w:tc>
      </w:tr>
    </w:tbl>
    <w:p w:rsidR="006A7C68" w:rsidRPr="006A7C68" w:rsidRDefault="006A7C68" w:rsidP="006F33E0">
      <w:pPr>
        <w:spacing w:line="200" w:lineRule="atLeast"/>
      </w:pPr>
      <w:r w:rsidRPr="006F33E0">
        <w:rPr>
          <w:b/>
          <w:sz w:val="24"/>
          <w:szCs w:val="24"/>
        </w:rPr>
        <w:t>Comité contre la torture</w:t>
      </w:r>
      <w:r w:rsidRPr="006F33E0">
        <w:rPr>
          <w:b/>
          <w:sz w:val="24"/>
          <w:szCs w:val="24"/>
        </w:rPr>
        <w:br/>
      </w:r>
      <w:r w:rsidRPr="004456EA">
        <w:rPr>
          <w:b/>
        </w:rPr>
        <w:t>Quarante</w:t>
      </w:r>
      <w:r w:rsidRPr="004456EA">
        <w:rPr>
          <w:b/>
        </w:rPr>
        <w:noBreakHyphen/>
        <w:t>cinquième session</w:t>
      </w:r>
      <w:r w:rsidRPr="004456EA">
        <w:rPr>
          <w:b/>
        </w:rPr>
        <w:br/>
      </w:r>
      <w:r w:rsidRPr="004456EA">
        <w:t>1</w:t>
      </w:r>
      <w:r w:rsidRPr="004456EA">
        <w:noBreakHyphen/>
        <w:t>19 novembre 2010</w:t>
      </w:r>
    </w:p>
    <w:p w:rsidR="00714CE3" w:rsidRPr="002F0F8F" w:rsidRDefault="005648F0" w:rsidP="00F51221">
      <w:pPr>
        <w:pStyle w:val="H1G"/>
        <w:rPr>
          <w:bCs/>
          <w:szCs w:val="24"/>
          <w:lang w:val="fr-FR"/>
        </w:rPr>
      </w:pPr>
      <w:r>
        <w:tab/>
      </w:r>
      <w:r w:rsidR="009C22C6">
        <w:tab/>
      </w:r>
      <w:r w:rsidR="00714CE3" w:rsidRPr="002F0F8F">
        <w:rPr>
          <w:lang w:val="fr-FR"/>
        </w:rPr>
        <w:t>Liste des points à traiter établie avant la soumission du deuxième rapport périodique du Togo (CAT/C/TGO/2)</w:t>
      </w:r>
      <w:r w:rsidR="00714CE3" w:rsidRPr="002F0F8F">
        <w:rPr>
          <w:rStyle w:val="FootnoteReference"/>
          <w:b w:val="0"/>
          <w:bCs/>
          <w:sz w:val="24"/>
          <w:szCs w:val="24"/>
          <w:vertAlign w:val="baseline"/>
          <w:lang w:val="fr-FR"/>
        </w:rPr>
        <w:footnoteReference w:customMarkFollows="1" w:id="2"/>
        <w:t>*</w:t>
      </w:r>
    </w:p>
    <w:p w:rsidR="00714CE3" w:rsidRPr="002F0F8F" w:rsidRDefault="00714CE3" w:rsidP="002F0F8F">
      <w:pPr>
        <w:pStyle w:val="H1G"/>
      </w:pPr>
      <w:r w:rsidRPr="002F0F8F">
        <w:tab/>
      </w:r>
      <w:r w:rsidRPr="002F0F8F">
        <w:tab/>
        <w:t>Renseignements concernant spécifiquement la mise en œuvre des articles 1 à 16 de la Convention, y compris au regard des précédentes recommandations du Comité</w:t>
      </w:r>
    </w:p>
    <w:p w:rsidR="00714CE3" w:rsidRPr="00266F4C" w:rsidRDefault="00714CE3" w:rsidP="00714CE3">
      <w:pPr>
        <w:pStyle w:val="H1G"/>
        <w:rPr>
          <w:lang w:val="fr-FR"/>
        </w:rPr>
      </w:pPr>
      <w:r>
        <w:rPr>
          <w:lang w:val="fr-FR"/>
        </w:rPr>
        <w:tab/>
      </w:r>
      <w:r>
        <w:rPr>
          <w:lang w:val="fr-FR"/>
        </w:rPr>
        <w:tab/>
      </w:r>
      <w:r w:rsidRPr="00266F4C">
        <w:rPr>
          <w:lang w:val="fr-FR"/>
        </w:rPr>
        <w:t>Article</w:t>
      </w:r>
      <w:r>
        <w:rPr>
          <w:lang w:val="fr-FR"/>
        </w:rPr>
        <w:t>s</w:t>
      </w:r>
      <w:r w:rsidRPr="00266F4C">
        <w:rPr>
          <w:lang w:val="fr-FR"/>
        </w:rPr>
        <w:t xml:space="preserve"> 1 et 4</w:t>
      </w:r>
    </w:p>
    <w:p w:rsidR="00714CE3" w:rsidRPr="00266F4C" w:rsidRDefault="00714CE3" w:rsidP="00714CE3">
      <w:pPr>
        <w:pStyle w:val="SingleTxtG"/>
        <w:rPr>
          <w:lang w:val="fr-FR"/>
        </w:rPr>
      </w:pPr>
      <w:r>
        <w:rPr>
          <w:lang w:val="fr-FR"/>
        </w:rPr>
        <w:t>1.</w:t>
      </w:r>
      <w:r>
        <w:rPr>
          <w:lang w:val="fr-FR"/>
        </w:rPr>
        <w:tab/>
      </w:r>
      <w:r w:rsidRPr="00266F4C">
        <w:rPr>
          <w:lang w:val="fr-FR"/>
        </w:rPr>
        <w:t xml:space="preserve">Compte tenu des </w:t>
      </w:r>
      <w:r>
        <w:rPr>
          <w:rFonts w:eastAsia="SimSun"/>
          <w:lang w:val="fr-FR" w:eastAsia="zh-CN"/>
        </w:rPr>
        <w:t xml:space="preserve">observations finales </w:t>
      </w:r>
      <w:r w:rsidR="002F0F8F" w:rsidRPr="00266F4C">
        <w:rPr>
          <w:lang w:val="fr-FR"/>
        </w:rPr>
        <w:t>précéde</w:t>
      </w:r>
      <w:r w:rsidR="00F6368B">
        <w:rPr>
          <w:lang w:val="fr-FR"/>
        </w:rPr>
        <w:t xml:space="preserve">mment formulées par le </w:t>
      </w:r>
      <w:r w:rsidRPr="00266F4C">
        <w:rPr>
          <w:lang w:val="fr-FR"/>
        </w:rPr>
        <w:t xml:space="preserve">Comité </w:t>
      </w:r>
      <w:r w:rsidR="002F0F8F">
        <w:rPr>
          <w:lang w:val="fr-FR"/>
        </w:rPr>
        <w:t xml:space="preserve">contre la torture </w:t>
      </w:r>
      <w:r w:rsidRPr="00266F4C">
        <w:rPr>
          <w:lang w:val="fr-FR"/>
        </w:rPr>
        <w:t>(par. 10)</w:t>
      </w:r>
      <w:r>
        <w:rPr>
          <w:rStyle w:val="FootnoteReference"/>
        </w:rPr>
        <w:footnoteReference w:id="3"/>
      </w:r>
      <w:r w:rsidRPr="00266F4C">
        <w:rPr>
          <w:lang w:val="fr-FR"/>
        </w:rPr>
        <w:t xml:space="preserve">, veuillez donner des renseignements sur les mesures prises </w:t>
      </w:r>
      <w:r w:rsidR="00F6368B">
        <w:rPr>
          <w:lang w:val="fr-FR"/>
        </w:rPr>
        <w:t xml:space="preserve">pour </w:t>
      </w:r>
      <w:r w:rsidRPr="00266F4C">
        <w:rPr>
          <w:lang w:val="fr-FR"/>
        </w:rPr>
        <w:t>que, dans la révision de sa législation pénale, l’État partie prévoi</w:t>
      </w:r>
      <w:r w:rsidR="00F6368B">
        <w:rPr>
          <w:lang w:val="fr-FR"/>
        </w:rPr>
        <w:t>e</w:t>
      </w:r>
      <w:r w:rsidRPr="00266F4C">
        <w:rPr>
          <w:lang w:val="fr-FR"/>
        </w:rPr>
        <w:t xml:space="preserve"> une définition de la torture comprenant tous les éléments énoncés à l’article premier de la Convention</w:t>
      </w:r>
      <w:r w:rsidR="00666ECF">
        <w:rPr>
          <w:lang w:val="fr-FR"/>
        </w:rPr>
        <w:t>;</w:t>
      </w:r>
      <w:r w:rsidRPr="00266F4C">
        <w:rPr>
          <w:lang w:val="fr-FR"/>
        </w:rPr>
        <w:t xml:space="preserve"> </w:t>
      </w:r>
      <w:r w:rsidR="00666ECF">
        <w:rPr>
          <w:lang w:val="fr-FR"/>
        </w:rPr>
        <w:t xml:space="preserve">qu’ il prenne </w:t>
      </w:r>
      <w:r w:rsidRPr="00266F4C">
        <w:rPr>
          <w:lang w:val="fr-FR"/>
        </w:rPr>
        <w:t xml:space="preserve">des dispositions érigeant en </w:t>
      </w:r>
      <w:r w:rsidRPr="00C261AB">
        <w:rPr>
          <w:lang w:val="fr-FR"/>
        </w:rPr>
        <w:t>infraction</w:t>
      </w:r>
      <w:r w:rsidRPr="00266F4C">
        <w:rPr>
          <w:lang w:val="fr-FR"/>
        </w:rPr>
        <w:t xml:space="preserve"> les actes de torture</w:t>
      </w:r>
      <w:r w:rsidR="00666ECF">
        <w:rPr>
          <w:lang w:val="fr-FR"/>
        </w:rPr>
        <w:t xml:space="preserve"> et qu’il assortisse celles-ci</w:t>
      </w:r>
      <w:r w:rsidR="00666ECF" w:rsidRPr="00266F4C">
        <w:rPr>
          <w:lang w:val="fr-FR"/>
        </w:rPr>
        <w:t xml:space="preserve"> </w:t>
      </w:r>
      <w:r w:rsidRPr="00266F4C">
        <w:rPr>
          <w:lang w:val="fr-FR"/>
        </w:rPr>
        <w:t>des sanctions appropriées tenant compte de la gravité des actes commis. Si ces mesures n’ont pas encore été adoptées, expliquer pourquoi.</w:t>
      </w:r>
      <w:r w:rsidRPr="00266F4C">
        <w:rPr>
          <w:rStyle w:val="FootnoteReference"/>
          <w:lang w:val="fr-FR"/>
        </w:rPr>
        <w:footnoteReference w:id="4"/>
      </w:r>
    </w:p>
    <w:p w:rsidR="00714CE3" w:rsidRPr="00266F4C" w:rsidRDefault="00714CE3" w:rsidP="00714CE3">
      <w:pPr>
        <w:pStyle w:val="H1G"/>
        <w:rPr>
          <w:lang w:val="fr-FR"/>
        </w:rPr>
      </w:pPr>
      <w:r>
        <w:rPr>
          <w:lang w:val="fr-FR"/>
        </w:rPr>
        <w:tab/>
      </w:r>
      <w:r>
        <w:rPr>
          <w:lang w:val="fr-FR"/>
        </w:rPr>
        <w:tab/>
      </w:r>
      <w:r w:rsidRPr="00266F4C">
        <w:rPr>
          <w:lang w:val="fr-FR"/>
        </w:rPr>
        <w:t>Article 2</w:t>
      </w:r>
      <w:r w:rsidRPr="00266F4C">
        <w:rPr>
          <w:rStyle w:val="FootnoteReference"/>
          <w:b w:val="0"/>
          <w:bCs/>
          <w:szCs w:val="24"/>
          <w:lang w:val="fr-FR"/>
        </w:rPr>
        <w:footnoteReference w:id="5"/>
      </w:r>
    </w:p>
    <w:p w:rsidR="00714CE3" w:rsidRDefault="00714CE3" w:rsidP="00714CE3">
      <w:pPr>
        <w:pStyle w:val="SingleTxtG"/>
        <w:rPr>
          <w:lang w:val="fr-FR"/>
        </w:rPr>
      </w:pPr>
      <w:r>
        <w:rPr>
          <w:lang w:val="fr-FR"/>
        </w:rPr>
        <w:t>2.</w:t>
      </w:r>
      <w:r>
        <w:rPr>
          <w:lang w:val="fr-FR"/>
        </w:rPr>
        <w:tab/>
        <w:t xml:space="preserve">Le Comité prend note des allégations reçues par le Rapporteur spécial sur la torture </w:t>
      </w:r>
      <w:r w:rsidR="002F4961">
        <w:rPr>
          <w:lang w:val="fr-FR"/>
        </w:rPr>
        <w:t xml:space="preserve">et autres peines ou traitements cruels, inhumains ou dégradants </w:t>
      </w:r>
      <w:r w:rsidR="00577CFF">
        <w:rPr>
          <w:lang w:val="fr-FR"/>
        </w:rPr>
        <w:t xml:space="preserve">selon lesquelles des agents de la force publique </w:t>
      </w:r>
      <w:r w:rsidR="00B81136">
        <w:rPr>
          <w:lang w:val="fr-FR"/>
        </w:rPr>
        <w:t>auraient infligé</w:t>
      </w:r>
      <w:r w:rsidR="00577CFF">
        <w:rPr>
          <w:lang w:val="fr-FR"/>
        </w:rPr>
        <w:t xml:space="preserve"> </w:t>
      </w:r>
      <w:r>
        <w:rPr>
          <w:lang w:val="fr-FR"/>
        </w:rPr>
        <w:t>de</w:t>
      </w:r>
      <w:r w:rsidR="004B34B5">
        <w:rPr>
          <w:lang w:val="fr-FR"/>
        </w:rPr>
        <w:t>s</w:t>
      </w:r>
      <w:r>
        <w:rPr>
          <w:lang w:val="fr-FR"/>
        </w:rPr>
        <w:t xml:space="preserve"> mauvais traitements,</w:t>
      </w:r>
      <w:r w:rsidR="00842050">
        <w:rPr>
          <w:lang w:val="fr-FR"/>
        </w:rPr>
        <w:t xml:space="preserve"> </w:t>
      </w:r>
      <w:r w:rsidRPr="0066765A">
        <w:rPr>
          <w:lang w:val="fr-FR"/>
        </w:rPr>
        <w:t>dans la plupart des cas</w:t>
      </w:r>
      <w:r w:rsidR="00F54311">
        <w:rPr>
          <w:lang w:val="fr-FR"/>
        </w:rPr>
        <w:t xml:space="preserve"> </w:t>
      </w:r>
      <w:r>
        <w:rPr>
          <w:lang w:val="fr-FR"/>
        </w:rPr>
        <w:t xml:space="preserve">au cours </w:t>
      </w:r>
      <w:r w:rsidRPr="00F554EB">
        <w:rPr>
          <w:lang w:val="fr-FR"/>
        </w:rPr>
        <w:t>d’interrogatoires</w:t>
      </w:r>
      <w:r w:rsidR="009F2712">
        <w:rPr>
          <w:lang w:val="fr-FR"/>
        </w:rPr>
        <w:t>,</w:t>
      </w:r>
      <w:r>
        <w:rPr>
          <w:lang w:val="fr-FR"/>
        </w:rPr>
        <w:t xml:space="preserve"> pour obtenir des aveux</w:t>
      </w:r>
      <w:r w:rsidR="0082381F">
        <w:rPr>
          <w:lang w:val="fr-FR"/>
        </w:rPr>
        <w:t xml:space="preserve">. Il note également </w:t>
      </w:r>
      <w:r w:rsidR="00AB1461">
        <w:rPr>
          <w:lang w:val="fr-FR"/>
        </w:rPr>
        <w:t>l</w:t>
      </w:r>
      <w:r w:rsidR="00577CFF">
        <w:rPr>
          <w:lang w:val="fr-FR"/>
        </w:rPr>
        <w:t>e</w:t>
      </w:r>
      <w:r w:rsidR="0066765A">
        <w:rPr>
          <w:lang w:val="fr-FR"/>
        </w:rPr>
        <w:t>s</w:t>
      </w:r>
      <w:r w:rsidR="00577CFF">
        <w:rPr>
          <w:lang w:val="fr-FR"/>
        </w:rPr>
        <w:t xml:space="preserve"> </w:t>
      </w:r>
      <w:r w:rsidR="0066765A">
        <w:rPr>
          <w:lang w:val="fr-FR"/>
        </w:rPr>
        <w:t>nombreuses</w:t>
      </w:r>
      <w:r w:rsidR="00374EDB">
        <w:rPr>
          <w:lang w:val="fr-FR"/>
        </w:rPr>
        <w:t xml:space="preserve"> </w:t>
      </w:r>
      <w:r>
        <w:rPr>
          <w:lang w:val="fr-FR"/>
        </w:rPr>
        <w:t xml:space="preserve">allégations de </w:t>
      </w:r>
      <w:r w:rsidR="0066765A">
        <w:rPr>
          <w:lang w:val="fr-FR"/>
        </w:rPr>
        <w:t>«</w:t>
      </w:r>
      <w:r>
        <w:rPr>
          <w:lang w:val="fr-FR"/>
        </w:rPr>
        <w:t>passage</w:t>
      </w:r>
      <w:r w:rsidR="0066765A">
        <w:rPr>
          <w:lang w:val="fr-FR"/>
        </w:rPr>
        <w:t>s</w:t>
      </w:r>
      <w:r>
        <w:rPr>
          <w:lang w:val="fr-FR"/>
        </w:rPr>
        <w:t xml:space="preserve"> à </w:t>
      </w:r>
      <w:r w:rsidRPr="0066765A">
        <w:rPr>
          <w:lang w:val="fr-FR"/>
        </w:rPr>
        <w:t>tabac</w:t>
      </w:r>
      <w:r w:rsidR="0066765A">
        <w:rPr>
          <w:lang w:val="fr-FR"/>
        </w:rPr>
        <w:t>»</w:t>
      </w:r>
      <w:r w:rsidRPr="0066765A">
        <w:rPr>
          <w:lang w:val="fr-FR"/>
        </w:rPr>
        <w:t xml:space="preserve"> </w:t>
      </w:r>
      <w:r w:rsidR="0066765A">
        <w:rPr>
          <w:lang w:val="fr-FR"/>
        </w:rPr>
        <w:t xml:space="preserve">commis </w:t>
      </w:r>
      <w:r w:rsidR="00577CFF" w:rsidRPr="0066765A">
        <w:rPr>
          <w:lang w:val="fr-FR"/>
        </w:rPr>
        <w:t xml:space="preserve">par </w:t>
      </w:r>
      <w:r w:rsidRPr="0066765A">
        <w:rPr>
          <w:lang w:val="fr-FR"/>
        </w:rPr>
        <w:t>des</w:t>
      </w:r>
      <w:r>
        <w:rPr>
          <w:lang w:val="fr-FR"/>
        </w:rPr>
        <w:t xml:space="preserve"> gardiens de prison ou d’autres détenus à titre de punition.</w:t>
      </w:r>
      <w:r>
        <w:rPr>
          <w:rStyle w:val="FootnoteReference"/>
        </w:rPr>
        <w:footnoteReference w:id="6"/>
      </w:r>
      <w:r>
        <w:rPr>
          <w:lang w:val="fr-FR"/>
        </w:rPr>
        <w:t xml:space="preserve"> Veuillez </w:t>
      </w:r>
      <w:r w:rsidR="00577CFF">
        <w:rPr>
          <w:lang w:val="fr-FR"/>
        </w:rPr>
        <w:t xml:space="preserve">fournir </w:t>
      </w:r>
      <w:r>
        <w:rPr>
          <w:lang w:val="fr-FR"/>
        </w:rPr>
        <w:t xml:space="preserve">des informations à jour </w:t>
      </w:r>
      <w:r w:rsidR="00577CFF">
        <w:rPr>
          <w:lang w:val="fr-FR"/>
        </w:rPr>
        <w:t>sur les</w:t>
      </w:r>
      <w:r>
        <w:rPr>
          <w:lang w:val="fr-FR"/>
        </w:rPr>
        <w:t xml:space="preserve"> enquêtes </w:t>
      </w:r>
      <w:r w:rsidR="00550017">
        <w:rPr>
          <w:lang w:val="fr-FR"/>
        </w:rPr>
        <w:t>ouvertes</w:t>
      </w:r>
      <w:r w:rsidR="00374EDB">
        <w:rPr>
          <w:lang w:val="fr-FR"/>
        </w:rPr>
        <w:t xml:space="preserve"> </w:t>
      </w:r>
      <w:r>
        <w:rPr>
          <w:lang w:val="fr-FR"/>
        </w:rPr>
        <w:t xml:space="preserve">sur </w:t>
      </w:r>
      <w:r w:rsidRPr="00262DA7">
        <w:rPr>
          <w:lang w:val="fr-FR"/>
        </w:rPr>
        <w:t xml:space="preserve">ces allégations, </w:t>
      </w:r>
      <w:r w:rsidR="00577CFF" w:rsidRPr="00262DA7">
        <w:rPr>
          <w:lang w:val="fr-FR"/>
        </w:rPr>
        <w:t>mais aussi</w:t>
      </w:r>
      <w:r w:rsidRPr="00262DA7">
        <w:rPr>
          <w:lang w:val="fr-FR"/>
        </w:rPr>
        <w:t xml:space="preserve"> sur les poursuites</w:t>
      </w:r>
      <w:r w:rsidR="00387C6E" w:rsidRPr="00262DA7">
        <w:rPr>
          <w:lang w:val="fr-FR"/>
        </w:rPr>
        <w:t xml:space="preserve"> </w:t>
      </w:r>
      <w:r w:rsidRPr="00262DA7">
        <w:rPr>
          <w:lang w:val="fr-FR"/>
        </w:rPr>
        <w:t xml:space="preserve">engagées </w:t>
      </w:r>
      <w:r w:rsidR="009D7B5D">
        <w:rPr>
          <w:lang w:val="fr-FR"/>
        </w:rPr>
        <w:t xml:space="preserve">à la suite de celles-ci </w:t>
      </w:r>
      <w:r w:rsidRPr="00262DA7">
        <w:rPr>
          <w:lang w:val="fr-FR"/>
        </w:rPr>
        <w:t xml:space="preserve">et </w:t>
      </w:r>
      <w:r w:rsidR="00387C6E" w:rsidRPr="00262DA7">
        <w:rPr>
          <w:lang w:val="fr-FR"/>
        </w:rPr>
        <w:t xml:space="preserve">sur </w:t>
      </w:r>
      <w:r w:rsidRPr="00262DA7">
        <w:rPr>
          <w:lang w:val="fr-FR"/>
        </w:rPr>
        <w:t>les condamnations</w:t>
      </w:r>
      <w:r w:rsidR="00387C6E" w:rsidRPr="00262DA7">
        <w:rPr>
          <w:lang w:val="fr-FR"/>
        </w:rPr>
        <w:t xml:space="preserve"> </w:t>
      </w:r>
      <w:r w:rsidR="008108AF">
        <w:rPr>
          <w:lang w:val="fr-FR"/>
        </w:rPr>
        <w:t>auxquelles elles ont abouti</w:t>
      </w:r>
      <w:r w:rsidRPr="00262DA7">
        <w:rPr>
          <w:lang w:val="fr-FR"/>
        </w:rPr>
        <w:t xml:space="preserve">. </w:t>
      </w:r>
      <w:r w:rsidR="00AB1461">
        <w:rPr>
          <w:lang w:val="fr-FR"/>
        </w:rPr>
        <w:t>I</w:t>
      </w:r>
      <w:r w:rsidRPr="00262DA7">
        <w:rPr>
          <w:lang w:val="fr-FR"/>
        </w:rPr>
        <w:t>ndiquer si des dispositions ont été prises pour faciliter</w:t>
      </w:r>
      <w:r>
        <w:rPr>
          <w:lang w:val="fr-FR"/>
        </w:rPr>
        <w:t xml:space="preserve"> l’accès à certains lieux de détention, notamment </w:t>
      </w:r>
      <w:r w:rsidR="00577CFF">
        <w:rPr>
          <w:lang w:val="fr-FR"/>
        </w:rPr>
        <w:t xml:space="preserve">aux </w:t>
      </w:r>
      <w:r>
        <w:rPr>
          <w:lang w:val="fr-FR"/>
        </w:rPr>
        <w:t xml:space="preserve">cellules de l’Agence </w:t>
      </w:r>
      <w:r w:rsidR="00550017">
        <w:rPr>
          <w:lang w:val="fr-FR"/>
        </w:rPr>
        <w:t>n</w:t>
      </w:r>
      <w:r>
        <w:rPr>
          <w:lang w:val="fr-FR"/>
        </w:rPr>
        <w:t xml:space="preserve">ationale de </w:t>
      </w:r>
      <w:r w:rsidR="00550017">
        <w:rPr>
          <w:lang w:val="fr-FR"/>
        </w:rPr>
        <w:t>r</w:t>
      </w:r>
      <w:r>
        <w:rPr>
          <w:lang w:val="fr-FR"/>
        </w:rPr>
        <w:t>enseignement (ANR).</w:t>
      </w:r>
      <w:r w:rsidRPr="00203479">
        <w:rPr>
          <w:lang w:val="fr-FR"/>
        </w:rPr>
        <w:t xml:space="preserve">Veuillez aussi commenter les informations </w:t>
      </w:r>
      <w:r w:rsidR="00262DA7" w:rsidRPr="00203479">
        <w:rPr>
          <w:lang w:val="fr-FR"/>
        </w:rPr>
        <w:t>faisant état d’</w:t>
      </w:r>
      <w:r w:rsidRPr="00203479">
        <w:rPr>
          <w:lang w:val="fr-FR"/>
        </w:rPr>
        <w:t xml:space="preserve">arrestations arbitraires </w:t>
      </w:r>
      <w:r w:rsidR="00262DA7" w:rsidRPr="00203479">
        <w:rPr>
          <w:lang w:val="fr-FR"/>
        </w:rPr>
        <w:t>de</w:t>
      </w:r>
      <w:r w:rsidR="00374EDB">
        <w:rPr>
          <w:lang w:val="fr-FR"/>
        </w:rPr>
        <w:t xml:space="preserve"> </w:t>
      </w:r>
      <w:r w:rsidRPr="00203479">
        <w:rPr>
          <w:lang w:val="fr-FR"/>
        </w:rPr>
        <w:t xml:space="preserve">militants et </w:t>
      </w:r>
      <w:r w:rsidR="00262DA7" w:rsidRPr="00203479">
        <w:rPr>
          <w:lang w:val="fr-FR"/>
        </w:rPr>
        <w:t xml:space="preserve">de </w:t>
      </w:r>
      <w:r w:rsidRPr="00203479">
        <w:rPr>
          <w:lang w:val="fr-FR"/>
        </w:rPr>
        <w:t>sympathisants de l’opposition dans le cadre des élections présidentielles du</w:t>
      </w:r>
      <w:r w:rsidR="00374EDB">
        <w:rPr>
          <w:lang w:val="fr-FR"/>
        </w:rPr>
        <w:t xml:space="preserve"> </w:t>
      </w:r>
      <w:r w:rsidRPr="00203479">
        <w:rPr>
          <w:lang w:val="fr-FR"/>
        </w:rPr>
        <w:t>4 mars 2010 et d</w:t>
      </w:r>
      <w:r w:rsidR="00262DA7" w:rsidRPr="00203479">
        <w:rPr>
          <w:lang w:val="fr-FR"/>
        </w:rPr>
        <w:t>’un</w:t>
      </w:r>
      <w:r w:rsidRPr="00203479">
        <w:rPr>
          <w:lang w:val="fr-FR"/>
        </w:rPr>
        <w:t xml:space="preserve"> harcèlement des représentants de</w:t>
      </w:r>
      <w:r w:rsidR="00AB1461" w:rsidRPr="00203479">
        <w:rPr>
          <w:lang w:val="fr-FR"/>
        </w:rPr>
        <w:t>s</w:t>
      </w:r>
      <w:r w:rsidRPr="00203479">
        <w:rPr>
          <w:lang w:val="fr-FR"/>
        </w:rPr>
        <w:t xml:space="preserve"> médias indépendants et </w:t>
      </w:r>
      <w:r w:rsidR="00262DA7" w:rsidRPr="00203479">
        <w:rPr>
          <w:lang w:val="fr-FR"/>
        </w:rPr>
        <w:t>de</w:t>
      </w:r>
      <w:r w:rsidR="00AB1461" w:rsidRPr="00203479">
        <w:rPr>
          <w:lang w:val="fr-FR"/>
        </w:rPr>
        <w:t>s</w:t>
      </w:r>
      <w:r w:rsidR="00262DA7" w:rsidRPr="00203479">
        <w:rPr>
          <w:lang w:val="fr-FR"/>
        </w:rPr>
        <w:t xml:space="preserve"> </w:t>
      </w:r>
      <w:r w:rsidRPr="00203479">
        <w:rPr>
          <w:lang w:val="fr-FR"/>
        </w:rPr>
        <w:t>défenseurs des droits de l’homme.</w:t>
      </w:r>
    </w:p>
    <w:p w:rsidR="00714CE3" w:rsidRDefault="00714CE3" w:rsidP="00714CE3">
      <w:pPr>
        <w:pStyle w:val="SingleTxtG"/>
        <w:rPr>
          <w:lang w:val="fr-FR"/>
        </w:rPr>
      </w:pPr>
      <w:r>
        <w:rPr>
          <w:lang w:val="fr-FR"/>
        </w:rPr>
        <w:t>3.</w:t>
      </w:r>
      <w:r>
        <w:rPr>
          <w:lang w:val="fr-FR"/>
        </w:rPr>
        <w:tab/>
      </w:r>
      <w:r w:rsidRPr="0043543F">
        <w:rPr>
          <w:lang w:val="fr-FR"/>
        </w:rPr>
        <w:t>Eu égard</w:t>
      </w:r>
      <w:r w:rsidRPr="00266F4C">
        <w:rPr>
          <w:lang w:val="fr-FR"/>
        </w:rPr>
        <w:t xml:space="preserve"> aux </w:t>
      </w:r>
      <w:r>
        <w:rPr>
          <w:rFonts w:eastAsia="SimSun"/>
          <w:lang w:val="fr-FR" w:eastAsia="zh-CN"/>
        </w:rPr>
        <w:t>observations finales</w:t>
      </w:r>
      <w:r w:rsidRPr="00266F4C">
        <w:rPr>
          <w:lang w:val="fr-FR"/>
        </w:rPr>
        <w:t xml:space="preserve"> du Comité (par. 11), donner des </w:t>
      </w:r>
      <w:r w:rsidR="00A36AA2">
        <w:rPr>
          <w:lang w:val="fr-FR"/>
        </w:rPr>
        <w:t>précisions</w:t>
      </w:r>
      <w:r w:rsidRPr="00266F4C">
        <w:rPr>
          <w:lang w:val="fr-FR"/>
        </w:rPr>
        <w:t xml:space="preserve"> sur les mesures prises par l’État partie en vue de réviser les dispositions de son Code de procédure pénal</w:t>
      </w:r>
      <w:r w:rsidR="00277AA7">
        <w:rPr>
          <w:lang w:val="fr-FR"/>
        </w:rPr>
        <w:t>e</w:t>
      </w:r>
      <w:r w:rsidRPr="00266F4C">
        <w:rPr>
          <w:lang w:val="fr-FR"/>
        </w:rPr>
        <w:t xml:space="preserve"> relatives à la garde à vue </w:t>
      </w:r>
      <w:r w:rsidR="00A36AA2" w:rsidRPr="000B2373">
        <w:rPr>
          <w:lang w:val="fr-FR"/>
        </w:rPr>
        <w:t>pour</w:t>
      </w:r>
      <w:r w:rsidRPr="000B2373">
        <w:rPr>
          <w:lang w:val="fr-FR"/>
        </w:rPr>
        <w:t xml:space="preserve"> assurer</w:t>
      </w:r>
      <w:r w:rsidRPr="00266F4C">
        <w:rPr>
          <w:lang w:val="fr-FR"/>
        </w:rPr>
        <w:t xml:space="preserve"> </w:t>
      </w:r>
      <w:r>
        <w:rPr>
          <w:lang w:val="fr-FR"/>
        </w:rPr>
        <w:t xml:space="preserve">et </w:t>
      </w:r>
      <w:r w:rsidRPr="00266F4C">
        <w:rPr>
          <w:lang w:val="fr-FR"/>
        </w:rPr>
        <w:t>garantir</w:t>
      </w:r>
      <w:r w:rsidR="00CB248B">
        <w:rPr>
          <w:lang w:val="fr-FR"/>
        </w:rPr>
        <w:t xml:space="preserve"> </w:t>
      </w:r>
      <w:r w:rsidRPr="00266F4C">
        <w:rPr>
          <w:lang w:val="fr-FR"/>
        </w:rPr>
        <w:t>le</w:t>
      </w:r>
      <w:r>
        <w:rPr>
          <w:lang w:val="fr-FR"/>
        </w:rPr>
        <w:t>s droits des personnes détenues</w:t>
      </w:r>
      <w:r w:rsidRPr="00266F4C">
        <w:rPr>
          <w:lang w:val="fr-FR"/>
        </w:rPr>
        <w:t xml:space="preserve"> d</w:t>
      </w:r>
      <w:r>
        <w:rPr>
          <w:lang w:val="fr-FR"/>
        </w:rPr>
        <w:t>è</w:t>
      </w:r>
      <w:r w:rsidRPr="00266F4C">
        <w:rPr>
          <w:lang w:val="fr-FR"/>
        </w:rPr>
        <w:t xml:space="preserve">s le début de la garde à vue, notamment </w:t>
      </w:r>
      <w:r w:rsidR="00A36AA2" w:rsidRPr="000B2373">
        <w:rPr>
          <w:lang w:val="fr-FR"/>
        </w:rPr>
        <w:t>la</w:t>
      </w:r>
      <w:r w:rsidR="00A36AA2">
        <w:rPr>
          <w:lang w:val="fr-FR"/>
        </w:rPr>
        <w:t xml:space="preserve"> règle de</w:t>
      </w:r>
      <w:r w:rsidRPr="00266F4C">
        <w:rPr>
          <w:lang w:val="fr-FR"/>
        </w:rPr>
        <w:t xml:space="preserve"> l’</w:t>
      </w:r>
      <w:r w:rsidRPr="00707F3E">
        <w:rPr>
          <w:i/>
          <w:iCs/>
          <w:lang w:val="fr-FR"/>
        </w:rPr>
        <w:t>habeas corpus</w:t>
      </w:r>
      <w:r w:rsidR="000B1D59">
        <w:rPr>
          <w:lang w:val="fr-FR"/>
        </w:rPr>
        <w:t xml:space="preserve"> </w:t>
      </w:r>
      <w:r w:rsidR="000B1D59" w:rsidRPr="002520EA">
        <w:rPr>
          <w:lang w:val="fr-FR"/>
        </w:rPr>
        <w:t xml:space="preserve">et </w:t>
      </w:r>
      <w:r w:rsidR="00A36AA2">
        <w:rPr>
          <w:lang w:val="fr-FR"/>
        </w:rPr>
        <w:t>leur droit</w:t>
      </w:r>
      <w:r w:rsidR="000B1D59">
        <w:rPr>
          <w:lang w:val="fr-FR"/>
        </w:rPr>
        <w:t xml:space="preserve"> </w:t>
      </w:r>
      <w:r w:rsidRPr="00266F4C">
        <w:rPr>
          <w:lang w:val="fr-FR"/>
        </w:rPr>
        <w:t xml:space="preserve">d’informer un proche </w:t>
      </w:r>
      <w:r w:rsidR="00A36AA2">
        <w:rPr>
          <w:lang w:val="fr-FR"/>
        </w:rPr>
        <w:t xml:space="preserve">de leur détention tout comme </w:t>
      </w:r>
      <w:r w:rsidR="002520EA">
        <w:rPr>
          <w:lang w:val="fr-FR"/>
        </w:rPr>
        <w:t xml:space="preserve">celui </w:t>
      </w:r>
      <w:r w:rsidRPr="00266F4C">
        <w:rPr>
          <w:lang w:val="fr-FR"/>
        </w:rPr>
        <w:t>de consulter un avocat et un médecin de leur choix ou un médecin indépendant.</w:t>
      </w:r>
      <w:r>
        <w:rPr>
          <w:rStyle w:val="FootnoteReference"/>
        </w:rPr>
        <w:footnoteReference w:id="7"/>
      </w:r>
      <w:r>
        <w:rPr>
          <w:lang w:val="fr-FR"/>
        </w:rPr>
        <w:t xml:space="preserve"> Veuillez préciser si une aide judiciaire gratuite est assurée aux personnes </w:t>
      </w:r>
      <w:r w:rsidR="00277AA7">
        <w:rPr>
          <w:lang w:val="fr-FR"/>
        </w:rPr>
        <w:t xml:space="preserve">disposant de </w:t>
      </w:r>
      <w:r>
        <w:rPr>
          <w:lang w:val="fr-FR"/>
        </w:rPr>
        <w:t>ressources financières limitées.</w:t>
      </w:r>
    </w:p>
    <w:p w:rsidR="00714CE3" w:rsidRPr="005B7606" w:rsidRDefault="00714CE3" w:rsidP="00714CE3">
      <w:pPr>
        <w:pStyle w:val="SingleTxtG"/>
        <w:rPr>
          <w:rFonts w:eastAsia="SimSun"/>
          <w:lang w:val="fr-FR" w:eastAsia="zh-CN"/>
        </w:rPr>
      </w:pPr>
      <w:r>
        <w:rPr>
          <w:lang w:val="fr-FR"/>
        </w:rPr>
        <w:t>4.</w:t>
      </w:r>
      <w:r>
        <w:rPr>
          <w:lang w:val="fr-FR"/>
        </w:rPr>
        <w:tab/>
      </w:r>
      <w:r w:rsidR="00B87928">
        <w:rPr>
          <w:lang w:val="fr-FR"/>
        </w:rPr>
        <w:t>À la lumière des</w:t>
      </w:r>
      <w:r>
        <w:rPr>
          <w:lang w:val="fr-FR"/>
        </w:rPr>
        <w:t xml:space="preserve"> observations finales du Comité (par. 23), </w:t>
      </w:r>
      <w:r w:rsidR="00B87928" w:rsidRPr="009E75DA">
        <w:rPr>
          <w:lang w:val="fr-FR"/>
        </w:rPr>
        <w:t>énumérer</w:t>
      </w:r>
      <w:r w:rsidR="000B1D59">
        <w:rPr>
          <w:lang w:val="fr-FR"/>
        </w:rPr>
        <w:t xml:space="preserve"> </w:t>
      </w:r>
      <w:r>
        <w:rPr>
          <w:lang w:val="fr-FR"/>
        </w:rPr>
        <w:t xml:space="preserve">les mesures prises pour garantir l’indépendance totale de la </w:t>
      </w:r>
      <w:r>
        <w:rPr>
          <w:rFonts w:eastAsia="SimSun"/>
          <w:lang w:val="fr-FR" w:eastAsia="zh-CN"/>
        </w:rPr>
        <w:t xml:space="preserve">Commission nationale des droits de l’homme (CNDH) par rapport au pouvoir exécutif, </w:t>
      </w:r>
      <w:r w:rsidR="000B1D59">
        <w:rPr>
          <w:rFonts w:eastAsia="SimSun"/>
          <w:lang w:val="fr-FR" w:eastAsia="zh-CN"/>
        </w:rPr>
        <w:t xml:space="preserve">notamment </w:t>
      </w:r>
      <w:r>
        <w:rPr>
          <w:rFonts w:eastAsia="SimSun"/>
          <w:lang w:val="fr-FR" w:eastAsia="zh-CN"/>
        </w:rPr>
        <w:t>en dotant</w:t>
      </w:r>
      <w:r w:rsidR="000B1D59">
        <w:rPr>
          <w:rFonts w:eastAsia="SimSun"/>
          <w:lang w:val="fr-FR" w:eastAsia="zh-CN"/>
        </w:rPr>
        <w:t xml:space="preserve"> celle-ci </w:t>
      </w:r>
      <w:r>
        <w:rPr>
          <w:rFonts w:eastAsia="SimSun"/>
          <w:lang w:val="fr-FR" w:eastAsia="zh-CN"/>
        </w:rPr>
        <w:t xml:space="preserve">d’un budget </w:t>
      </w:r>
      <w:r w:rsidR="00B87928">
        <w:rPr>
          <w:rFonts w:eastAsia="SimSun"/>
          <w:lang w:val="fr-FR" w:eastAsia="zh-CN"/>
        </w:rPr>
        <w:t xml:space="preserve">de fonctionnement </w:t>
      </w:r>
      <w:r w:rsidR="003838EE">
        <w:rPr>
          <w:rFonts w:eastAsia="SimSun"/>
          <w:lang w:val="fr-FR" w:eastAsia="zh-CN"/>
        </w:rPr>
        <w:t>suffisant</w:t>
      </w:r>
      <w:r>
        <w:rPr>
          <w:rFonts w:eastAsia="SimSun"/>
          <w:lang w:val="fr-FR" w:eastAsia="zh-CN"/>
        </w:rPr>
        <w:t xml:space="preserve">. </w:t>
      </w:r>
      <w:r w:rsidR="000B1D59">
        <w:rPr>
          <w:rFonts w:eastAsia="SimSun"/>
          <w:lang w:val="fr-FR" w:eastAsia="zh-CN"/>
        </w:rPr>
        <w:t xml:space="preserve">Par ailleurs, </w:t>
      </w:r>
      <w:r w:rsidR="00A36AA2">
        <w:rPr>
          <w:rFonts w:eastAsia="SimSun"/>
          <w:lang w:val="fr-FR" w:eastAsia="zh-CN"/>
        </w:rPr>
        <w:t>veuillez donner</w:t>
      </w:r>
      <w:r>
        <w:rPr>
          <w:rFonts w:eastAsia="SimSun"/>
          <w:lang w:val="fr-FR" w:eastAsia="zh-CN"/>
        </w:rPr>
        <w:t xml:space="preserve"> des informations détaillées et actualisées sur les activités et les réalisations de la CNDH. Préciser si la Commission a pour mandat de recevoir et d’examiner les plaintes de</w:t>
      </w:r>
      <w:r w:rsidR="00201D13">
        <w:rPr>
          <w:rFonts w:eastAsia="SimSun"/>
          <w:lang w:val="fr-FR" w:eastAsia="zh-CN"/>
        </w:rPr>
        <w:t>s</w:t>
      </w:r>
      <w:r>
        <w:rPr>
          <w:rFonts w:eastAsia="SimSun"/>
          <w:lang w:val="fr-FR" w:eastAsia="zh-CN"/>
        </w:rPr>
        <w:t xml:space="preserve"> particuliers. Dans l’affirmative, </w:t>
      </w:r>
      <w:r w:rsidR="00201D13">
        <w:rPr>
          <w:rFonts w:eastAsia="SimSun"/>
          <w:lang w:val="fr-FR" w:eastAsia="zh-CN"/>
        </w:rPr>
        <w:t xml:space="preserve">fournir </w:t>
      </w:r>
      <w:r>
        <w:rPr>
          <w:rFonts w:eastAsia="SimSun"/>
          <w:lang w:val="fr-FR" w:eastAsia="zh-CN"/>
        </w:rPr>
        <w:t>des statistiques sur le nombre et le type de</w:t>
      </w:r>
      <w:r w:rsidR="00C10204">
        <w:rPr>
          <w:rFonts w:eastAsia="SimSun"/>
          <w:lang w:val="fr-FR" w:eastAsia="zh-CN"/>
        </w:rPr>
        <w:t>s</w:t>
      </w:r>
      <w:r>
        <w:rPr>
          <w:rFonts w:eastAsia="SimSun"/>
          <w:lang w:val="fr-FR" w:eastAsia="zh-CN"/>
        </w:rPr>
        <w:t xml:space="preserve"> plaintes reçues </w:t>
      </w:r>
      <w:r w:rsidR="00201D13">
        <w:rPr>
          <w:rFonts w:eastAsia="SimSun"/>
          <w:lang w:val="fr-FR" w:eastAsia="zh-CN"/>
        </w:rPr>
        <w:t xml:space="preserve">entre </w:t>
      </w:r>
      <w:r>
        <w:rPr>
          <w:rFonts w:eastAsia="SimSun"/>
          <w:lang w:val="fr-FR" w:eastAsia="zh-CN"/>
        </w:rPr>
        <w:t>2007</w:t>
      </w:r>
      <w:r w:rsidR="00201D13">
        <w:rPr>
          <w:rFonts w:eastAsia="SimSun"/>
          <w:lang w:val="fr-FR" w:eastAsia="zh-CN"/>
        </w:rPr>
        <w:t xml:space="preserve"> et </w:t>
      </w:r>
      <w:r>
        <w:rPr>
          <w:rFonts w:eastAsia="SimSun"/>
          <w:lang w:val="fr-FR" w:eastAsia="zh-CN"/>
        </w:rPr>
        <w:t>2012</w:t>
      </w:r>
      <w:r w:rsidR="00201D13">
        <w:rPr>
          <w:rFonts w:eastAsia="SimSun"/>
          <w:lang w:val="fr-FR" w:eastAsia="zh-CN"/>
        </w:rPr>
        <w:t xml:space="preserve"> </w:t>
      </w:r>
      <w:r>
        <w:rPr>
          <w:rFonts w:eastAsia="SimSun"/>
          <w:lang w:val="fr-FR" w:eastAsia="zh-CN"/>
        </w:rPr>
        <w:t xml:space="preserve">ainsi que sur la suite donnée aux éventuelles plaintes </w:t>
      </w:r>
      <w:r w:rsidR="006E3E91">
        <w:rPr>
          <w:rFonts w:eastAsia="SimSun"/>
          <w:lang w:val="fr-FR" w:eastAsia="zh-CN"/>
        </w:rPr>
        <w:t xml:space="preserve">alléguant d’actes de </w:t>
      </w:r>
      <w:r>
        <w:rPr>
          <w:rFonts w:eastAsia="SimSun"/>
          <w:lang w:val="fr-FR" w:eastAsia="zh-CN"/>
        </w:rPr>
        <w:t xml:space="preserve">torture et </w:t>
      </w:r>
      <w:r w:rsidR="006E3E91">
        <w:rPr>
          <w:rFonts w:eastAsia="SimSun"/>
          <w:lang w:val="fr-FR" w:eastAsia="zh-CN"/>
        </w:rPr>
        <w:t xml:space="preserve">de </w:t>
      </w:r>
      <w:r>
        <w:rPr>
          <w:rFonts w:eastAsia="SimSun"/>
          <w:lang w:val="fr-FR" w:eastAsia="zh-CN"/>
        </w:rPr>
        <w:t>mauvais traitements.</w:t>
      </w:r>
    </w:p>
    <w:p w:rsidR="00714CE3" w:rsidRPr="00564AB6" w:rsidRDefault="00714CE3" w:rsidP="00714CE3">
      <w:pPr>
        <w:pStyle w:val="SingleTxtG"/>
        <w:rPr>
          <w:lang w:val="fr-FR"/>
        </w:rPr>
      </w:pPr>
      <w:r>
        <w:rPr>
          <w:rFonts w:eastAsia="SimSun"/>
          <w:lang w:val="fr-FR" w:eastAsia="zh-CN"/>
        </w:rPr>
        <w:t>5.</w:t>
      </w:r>
      <w:r>
        <w:rPr>
          <w:rFonts w:eastAsia="SimSun"/>
          <w:lang w:val="fr-FR" w:eastAsia="zh-CN"/>
        </w:rPr>
        <w:tab/>
        <w:t xml:space="preserve">Compte tenu des observations finales </w:t>
      </w:r>
      <w:r w:rsidR="00A64D5A">
        <w:rPr>
          <w:rFonts w:eastAsia="SimSun"/>
          <w:lang w:val="fr-FR" w:eastAsia="zh-CN"/>
        </w:rPr>
        <w:t xml:space="preserve">du Comité </w:t>
      </w:r>
      <w:r>
        <w:rPr>
          <w:rFonts w:eastAsia="SimSun"/>
          <w:lang w:val="fr-FR" w:eastAsia="zh-CN"/>
        </w:rPr>
        <w:t>(par. 18 et 20), veuillez fournir des données statistiques sur le nombre de</w:t>
      </w:r>
      <w:r w:rsidR="002B768D">
        <w:rPr>
          <w:rFonts w:eastAsia="SimSun"/>
          <w:lang w:val="fr-FR" w:eastAsia="zh-CN"/>
        </w:rPr>
        <w:t>s</w:t>
      </w:r>
      <w:r>
        <w:rPr>
          <w:rFonts w:eastAsia="SimSun"/>
          <w:lang w:val="fr-FR" w:eastAsia="zh-CN"/>
        </w:rPr>
        <w:t xml:space="preserve"> plaintes déposées relatives aux différentes formes de violence à l’égard des femmes et </w:t>
      </w:r>
      <w:r w:rsidR="00A64D5A" w:rsidRPr="000D1FFC">
        <w:rPr>
          <w:rFonts w:eastAsia="SimSun"/>
          <w:lang w:val="fr-FR" w:eastAsia="zh-CN"/>
        </w:rPr>
        <w:t>sur</w:t>
      </w:r>
      <w:r w:rsidR="00A64D5A">
        <w:rPr>
          <w:rFonts w:eastAsia="SimSun"/>
          <w:lang w:val="fr-FR" w:eastAsia="zh-CN"/>
        </w:rPr>
        <w:t xml:space="preserve"> </w:t>
      </w:r>
      <w:r>
        <w:rPr>
          <w:rFonts w:eastAsia="SimSun"/>
          <w:lang w:val="fr-FR" w:eastAsia="zh-CN"/>
        </w:rPr>
        <w:t>le nombre de</w:t>
      </w:r>
      <w:r w:rsidR="002B768D">
        <w:rPr>
          <w:rFonts w:eastAsia="SimSun"/>
          <w:lang w:val="fr-FR" w:eastAsia="zh-CN"/>
        </w:rPr>
        <w:t>s</w:t>
      </w:r>
      <w:r>
        <w:rPr>
          <w:rFonts w:eastAsia="SimSun"/>
          <w:lang w:val="fr-FR" w:eastAsia="zh-CN"/>
        </w:rPr>
        <w:t xml:space="preserve"> décisions rendues par les tribunaux dans ce domaine, y compris le nombre de</w:t>
      </w:r>
      <w:r w:rsidR="00A64D5A">
        <w:rPr>
          <w:rFonts w:eastAsia="SimSun"/>
          <w:lang w:val="fr-FR" w:eastAsia="zh-CN"/>
        </w:rPr>
        <w:t>s</w:t>
      </w:r>
      <w:r>
        <w:rPr>
          <w:rFonts w:eastAsia="SimSun"/>
          <w:lang w:val="fr-FR" w:eastAsia="zh-CN"/>
        </w:rPr>
        <w:t xml:space="preserve"> condamnations prononcées et les peines correspondantes.</w:t>
      </w:r>
      <w:r>
        <w:rPr>
          <w:rStyle w:val="FootnoteReference"/>
          <w:rFonts w:eastAsia="SimSun"/>
          <w:lang w:eastAsia="zh-CN"/>
        </w:rPr>
        <w:footnoteReference w:id="8"/>
      </w:r>
      <w:r>
        <w:rPr>
          <w:rFonts w:eastAsia="SimSun"/>
          <w:lang w:val="fr-FR" w:eastAsia="zh-CN"/>
        </w:rPr>
        <w:t xml:space="preserve"> Par ailleurs, indiquer le nombre de</w:t>
      </w:r>
      <w:r w:rsidR="000D1FFC">
        <w:rPr>
          <w:rFonts w:eastAsia="SimSun"/>
          <w:lang w:val="fr-FR" w:eastAsia="zh-CN"/>
        </w:rPr>
        <w:t>s</w:t>
      </w:r>
      <w:r>
        <w:rPr>
          <w:rFonts w:eastAsia="SimSun"/>
          <w:lang w:val="fr-FR" w:eastAsia="zh-CN"/>
        </w:rPr>
        <w:t xml:space="preserve"> plaintes enregistrées</w:t>
      </w:r>
      <w:r w:rsidR="00CB248B">
        <w:rPr>
          <w:rFonts w:eastAsia="SimSun"/>
          <w:lang w:val="fr-FR" w:eastAsia="zh-CN"/>
        </w:rPr>
        <w:t xml:space="preserve"> </w:t>
      </w:r>
      <w:r>
        <w:rPr>
          <w:rFonts w:eastAsia="SimSun"/>
          <w:lang w:val="fr-FR" w:eastAsia="zh-CN"/>
        </w:rPr>
        <w:t xml:space="preserve">concernant </w:t>
      </w:r>
      <w:r w:rsidR="000D1FFC">
        <w:rPr>
          <w:rFonts w:eastAsia="SimSun"/>
          <w:lang w:val="fr-FR" w:eastAsia="zh-CN"/>
        </w:rPr>
        <w:t>l</w:t>
      </w:r>
      <w:r w:rsidR="00A64D5A">
        <w:rPr>
          <w:rFonts w:eastAsia="SimSun"/>
          <w:lang w:val="fr-FR" w:eastAsia="zh-CN"/>
        </w:rPr>
        <w:t xml:space="preserve">es </w:t>
      </w:r>
      <w:r>
        <w:rPr>
          <w:rFonts w:eastAsia="SimSun"/>
          <w:lang w:val="fr-FR" w:eastAsia="zh-CN"/>
        </w:rPr>
        <w:t xml:space="preserve">violences sexuelles </w:t>
      </w:r>
      <w:r w:rsidR="00A64D5A">
        <w:rPr>
          <w:rFonts w:eastAsia="SimSun"/>
          <w:lang w:val="fr-FR" w:eastAsia="zh-CN"/>
        </w:rPr>
        <w:t xml:space="preserve">commises </w:t>
      </w:r>
      <w:r>
        <w:rPr>
          <w:rFonts w:eastAsia="SimSun"/>
          <w:lang w:val="fr-FR" w:eastAsia="zh-CN"/>
        </w:rPr>
        <w:t xml:space="preserve">à l’égard des femmes dans les centres de détention, ainsi que la suite donnée à ces plaintes. Veuillez décrire </w:t>
      </w:r>
      <w:r w:rsidR="00E04ABE">
        <w:rPr>
          <w:rFonts w:eastAsia="SimSun"/>
          <w:lang w:val="fr-FR" w:eastAsia="zh-CN"/>
        </w:rPr>
        <w:t xml:space="preserve">les démarches </w:t>
      </w:r>
      <w:r w:rsidR="000D1FFC">
        <w:rPr>
          <w:rFonts w:eastAsia="SimSun"/>
          <w:lang w:val="fr-FR" w:eastAsia="zh-CN"/>
        </w:rPr>
        <w:t>entreprises</w:t>
      </w:r>
      <w:r>
        <w:rPr>
          <w:rFonts w:eastAsia="SimSun"/>
          <w:lang w:val="fr-FR" w:eastAsia="zh-CN"/>
        </w:rPr>
        <w:t xml:space="preserve"> </w:t>
      </w:r>
      <w:r w:rsidR="00E04ABE">
        <w:rPr>
          <w:rFonts w:eastAsia="SimSun"/>
          <w:lang w:val="fr-FR" w:eastAsia="zh-CN"/>
        </w:rPr>
        <w:t xml:space="preserve">en vue </w:t>
      </w:r>
      <w:r>
        <w:rPr>
          <w:rFonts w:eastAsia="SimSun"/>
          <w:lang w:val="fr-FR" w:eastAsia="zh-CN"/>
        </w:rPr>
        <w:t>d</w:t>
      </w:r>
      <w:r w:rsidR="00E04ABE">
        <w:rPr>
          <w:rFonts w:eastAsia="SimSun"/>
          <w:lang w:val="fr-FR" w:eastAsia="zh-CN"/>
        </w:rPr>
        <w:t xml:space="preserve">e </w:t>
      </w:r>
      <w:r>
        <w:rPr>
          <w:rFonts w:eastAsia="SimSun"/>
          <w:lang w:val="fr-FR" w:eastAsia="zh-CN"/>
        </w:rPr>
        <w:t xml:space="preserve">prévenir la violence </w:t>
      </w:r>
      <w:r w:rsidR="003E6597">
        <w:rPr>
          <w:rFonts w:eastAsia="SimSun"/>
          <w:lang w:val="fr-FR" w:eastAsia="zh-CN"/>
        </w:rPr>
        <w:t xml:space="preserve">exercée au sein de </w:t>
      </w:r>
      <w:r>
        <w:rPr>
          <w:rFonts w:eastAsia="SimSun"/>
          <w:lang w:val="fr-FR" w:eastAsia="zh-CN"/>
        </w:rPr>
        <w:t xml:space="preserve">la famille à l’égard des femmes </w:t>
      </w:r>
      <w:r w:rsidR="008B5FB8">
        <w:rPr>
          <w:rFonts w:eastAsia="SimSun"/>
          <w:lang w:val="fr-FR" w:eastAsia="zh-CN"/>
        </w:rPr>
        <w:t>par des mesures appropriées</w:t>
      </w:r>
      <w:r w:rsidR="002B768D">
        <w:rPr>
          <w:rFonts w:eastAsia="SimSun"/>
          <w:lang w:val="fr-FR" w:eastAsia="zh-CN"/>
        </w:rPr>
        <w:t>,</w:t>
      </w:r>
      <w:r w:rsidR="008B5FB8">
        <w:rPr>
          <w:rFonts w:eastAsia="SimSun"/>
          <w:lang w:val="fr-FR" w:eastAsia="zh-CN"/>
        </w:rPr>
        <w:t xml:space="preserve"> </w:t>
      </w:r>
      <w:r>
        <w:rPr>
          <w:rFonts w:eastAsia="SimSun"/>
          <w:lang w:val="fr-FR" w:eastAsia="zh-CN"/>
        </w:rPr>
        <w:t xml:space="preserve">et </w:t>
      </w:r>
      <w:r w:rsidR="000D1FFC">
        <w:rPr>
          <w:rFonts w:eastAsia="SimSun"/>
          <w:lang w:val="fr-FR" w:eastAsia="zh-CN"/>
        </w:rPr>
        <w:t>d’</w:t>
      </w:r>
      <w:r w:rsidR="00E04ABE">
        <w:rPr>
          <w:rFonts w:eastAsia="SimSun"/>
          <w:lang w:val="fr-FR" w:eastAsia="zh-CN"/>
        </w:rPr>
        <w:t xml:space="preserve">enquêter sur </w:t>
      </w:r>
      <w:r>
        <w:rPr>
          <w:rFonts w:eastAsia="SimSun"/>
          <w:lang w:val="fr-FR" w:eastAsia="zh-CN"/>
        </w:rPr>
        <w:t xml:space="preserve">les cas signalés. </w:t>
      </w:r>
      <w:r>
        <w:t xml:space="preserve">Préciser si le droit pénal de l’État partie reconnaît </w:t>
      </w:r>
      <w:r w:rsidR="00E04ABE">
        <w:t xml:space="preserve">désormais </w:t>
      </w:r>
      <w:r w:rsidR="004C5684">
        <w:t xml:space="preserve">comme des </w:t>
      </w:r>
      <w:r w:rsidR="004C5684" w:rsidRPr="00305520">
        <w:t>infractions</w:t>
      </w:r>
      <w:r w:rsidR="004C5684">
        <w:t xml:space="preserve"> </w:t>
      </w:r>
      <w:r>
        <w:t>la violence intrafamiliale et le viol conjugal.</w:t>
      </w:r>
    </w:p>
    <w:p w:rsidR="00714CE3" w:rsidRPr="008B258B" w:rsidRDefault="00714CE3" w:rsidP="00714CE3">
      <w:pPr>
        <w:pStyle w:val="SingleTxtG"/>
      </w:pPr>
      <w:r>
        <w:rPr>
          <w:rFonts w:eastAsia="SimSun"/>
          <w:lang w:val="fr-FR" w:eastAsia="zh-CN"/>
        </w:rPr>
        <w:t>6.</w:t>
      </w:r>
      <w:r>
        <w:rPr>
          <w:rFonts w:eastAsia="SimSun"/>
          <w:lang w:val="fr-FR" w:eastAsia="zh-CN"/>
        </w:rPr>
        <w:tab/>
      </w:r>
      <w:r w:rsidR="007B011E">
        <w:rPr>
          <w:rFonts w:eastAsia="SimSun"/>
          <w:lang w:val="fr-FR" w:eastAsia="zh-CN"/>
        </w:rPr>
        <w:t>Compte tenu des</w:t>
      </w:r>
      <w:r>
        <w:rPr>
          <w:rFonts w:eastAsia="SimSun"/>
          <w:lang w:val="fr-FR" w:eastAsia="zh-CN"/>
        </w:rPr>
        <w:t xml:space="preserve"> observations finales du Comité (par. 27), veuillez également détail</w:t>
      </w:r>
      <w:r w:rsidR="00574A4C">
        <w:rPr>
          <w:rFonts w:eastAsia="SimSun"/>
          <w:lang w:val="fr-FR" w:eastAsia="zh-CN"/>
        </w:rPr>
        <w:t>ler</w:t>
      </w:r>
      <w:r>
        <w:rPr>
          <w:rFonts w:eastAsia="SimSun"/>
          <w:lang w:val="fr-FR" w:eastAsia="zh-CN"/>
        </w:rPr>
        <w:t xml:space="preserve"> l’impact de la loi prohibant les mutilations génitales féminines (MGF) sur la réduction d</w:t>
      </w:r>
      <w:r w:rsidR="007B011E">
        <w:rPr>
          <w:rFonts w:eastAsia="SimSun"/>
          <w:lang w:val="fr-FR" w:eastAsia="zh-CN"/>
        </w:rPr>
        <w:t>u</w:t>
      </w:r>
      <w:r>
        <w:rPr>
          <w:rFonts w:eastAsia="SimSun"/>
          <w:lang w:val="fr-FR" w:eastAsia="zh-CN"/>
        </w:rPr>
        <w:t xml:space="preserve"> nombre de</w:t>
      </w:r>
      <w:r w:rsidR="00D6697C">
        <w:rPr>
          <w:rFonts w:eastAsia="SimSun"/>
          <w:lang w:val="fr-FR" w:eastAsia="zh-CN"/>
        </w:rPr>
        <w:t xml:space="preserve"> ces </w:t>
      </w:r>
      <w:r>
        <w:rPr>
          <w:rFonts w:eastAsia="SimSun"/>
          <w:lang w:val="fr-FR" w:eastAsia="zh-CN"/>
        </w:rPr>
        <w:t xml:space="preserve">cas et décrire les mesures concrètes prises pour </w:t>
      </w:r>
      <w:r w:rsidR="00D6697C">
        <w:rPr>
          <w:rFonts w:eastAsia="SimSun"/>
          <w:lang w:val="fr-FR" w:eastAsia="zh-CN"/>
        </w:rPr>
        <w:t>mettre</w:t>
      </w:r>
      <w:r>
        <w:rPr>
          <w:rFonts w:eastAsia="SimSun"/>
          <w:lang w:val="fr-FR" w:eastAsia="zh-CN"/>
        </w:rPr>
        <w:t xml:space="preserve"> en œuvre </w:t>
      </w:r>
      <w:r w:rsidR="00D6697C">
        <w:rPr>
          <w:rFonts w:eastAsia="SimSun"/>
          <w:lang w:val="fr-FR" w:eastAsia="zh-CN"/>
        </w:rPr>
        <w:t xml:space="preserve">la </w:t>
      </w:r>
      <w:r>
        <w:rPr>
          <w:rFonts w:eastAsia="SimSun"/>
          <w:lang w:val="fr-FR" w:eastAsia="zh-CN"/>
        </w:rPr>
        <w:t>loi (par. 27).</w:t>
      </w:r>
      <w:r>
        <w:rPr>
          <w:rStyle w:val="FootnoteReference"/>
          <w:rFonts w:eastAsia="SimSun"/>
          <w:lang w:eastAsia="zh-CN"/>
        </w:rPr>
        <w:footnoteReference w:id="9"/>
      </w:r>
      <w:r>
        <w:rPr>
          <w:rFonts w:eastAsia="SimSun"/>
          <w:lang w:val="fr-FR" w:eastAsia="zh-CN"/>
        </w:rPr>
        <w:t xml:space="preserve"> En particulier, indiquer les mesures </w:t>
      </w:r>
      <w:r w:rsidR="007B011E">
        <w:rPr>
          <w:rFonts w:eastAsia="SimSun"/>
          <w:lang w:val="fr-FR" w:eastAsia="zh-CN"/>
        </w:rPr>
        <w:t>visant à</w:t>
      </w:r>
      <w:r w:rsidR="00CB248B">
        <w:rPr>
          <w:rFonts w:eastAsia="SimSun"/>
          <w:lang w:val="fr-FR" w:eastAsia="zh-CN"/>
        </w:rPr>
        <w:t>:</w:t>
      </w:r>
    </w:p>
    <w:p w:rsidR="00714CE3" w:rsidRDefault="00714CE3" w:rsidP="00714CE3">
      <w:pPr>
        <w:pStyle w:val="SingleTxtG"/>
        <w:rPr>
          <w:rFonts w:eastAsia="SimSun"/>
          <w:lang w:val="fr-FR" w:eastAsia="zh-CN"/>
        </w:rPr>
      </w:pPr>
      <w:r>
        <w:rPr>
          <w:rFonts w:eastAsia="SimSun"/>
          <w:lang w:val="fr-FR" w:eastAsia="zh-CN"/>
        </w:rPr>
        <w:tab/>
        <w:t>a)</w:t>
      </w:r>
      <w:r>
        <w:rPr>
          <w:rFonts w:eastAsia="SimSun"/>
          <w:lang w:val="fr-FR" w:eastAsia="zh-CN"/>
        </w:rPr>
        <w:tab/>
      </w:r>
      <w:r w:rsidR="00465273">
        <w:rPr>
          <w:rFonts w:eastAsia="SimSun"/>
          <w:lang w:val="fr-FR" w:eastAsia="zh-CN"/>
        </w:rPr>
        <w:t>Former les</w:t>
      </w:r>
      <w:r>
        <w:rPr>
          <w:rFonts w:eastAsia="SimSun"/>
          <w:lang w:val="fr-FR" w:eastAsia="zh-CN"/>
        </w:rPr>
        <w:t xml:space="preserve"> juges, </w:t>
      </w:r>
      <w:r w:rsidR="00465273">
        <w:rPr>
          <w:rFonts w:eastAsia="SimSun"/>
          <w:lang w:val="fr-FR" w:eastAsia="zh-CN"/>
        </w:rPr>
        <w:t xml:space="preserve">les </w:t>
      </w:r>
      <w:r>
        <w:rPr>
          <w:rFonts w:eastAsia="SimSun"/>
          <w:lang w:val="fr-FR" w:eastAsia="zh-CN"/>
        </w:rPr>
        <w:t xml:space="preserve">procureurs et </w:t>
      </w:r>
      <w:r w:rsidR="00465273">
        <w:rPr>
          <w:rFonts w:eastAsia="SimSun"/>
          <w:lang w:val="fr-FR" w:eastAsia="zh-CN"/>
        </w:rPr>
        <w:t xml:space="preserve">les </w:t>
      </w:r>
      <w:r>
        <w:rPr>
          <w:rFonts w:eastAsia="SimSun"/>
          <w:lang w:val="fr-FR" w:eastAsia="zh-CN"/>
        </w:rPr>
        <w:t xml:space="preserve">membres de la police </w:t>
      </w:r>
      <w:r w:rsidR="002C11FC">
        <w:rPr>
          <w:rFonts w:eastAsia="SimSun"/>
          <w:lang w:val="fr-FR" w:eastAsia="zh-CN"/>
        </w:rPr>
        <w:t>pour q</w:t>
      </w:r>
      <w:r w:rsidR="00646EE0">
        <w:rPr>
          <w:rFonts w:eastAsia="SimSun"/>
          <w:lang w:val="fr-FR" w:eastAsia="zh-CN"/>
        </w:rPr>
        <w:t>u</w:t>
      </w:r>
      <w:r w:rsidR="002C11FC">
        <w:rPr>
          <w:rFonts w:eastAsia="SimSun"/>
          <w:lang w:val="fr-FR" w:eastAsia="zh-CN"/>
        </w:rPr>
        <w:t>’ils</w:t>
      </w:r>
      <w:r w:rsidR="00374EDB">
        <w:rPr>
          <w:rFonts w:eastAsia="SimSun"/>
          <w:lang w:val="fr-FR" w:eastAsia="zh-CN"/>
        </w:rPr>
        <w:t xml:space="preserve"> </w:t>
      </w:r>
      <w:r w:rsidR="00465273">
        <w:rPr>
          <w:rFonts w:eastAsia="SimSun"/>
          <w:lang w:val="fr-FR" w:eastAsia="zh-CN"/>
        </w:rPr>
        <w:t>applique</w:t>
      </w:r>
      <w:r w:rsidR="002C11FC">
        <w:rPr>
          <w:rFonts w:eastAsia="SimSun"/>
          <w:lang w:val="fr-FR" w:eastAsia="zh-CN"/>
        </w:rPr>
        <w:t>nt</w:t>
      </w:r>
      <w:r w:rsidR="00374EDB">
        <w:rPr>
          <w:rFonts w:eastAsia="SimSun"/>
          <w:lang w:val="fr-FR" w:eastAsia="zh-CN"/>
        </w:rPr>
        <w:t xml:space="preserve"> </w:t>
      </w:r>
      <w:r>
        <w:rPr>
          <w:rFonts w:eastAsia="SimSun"/>
          <w:lang w:val="fr-FR" w:eastAsia="zh-CN"/>
        </w:rPr>
        <w:t>rigoureuse</w:t>
      </w:r>
      <w:r w:rsidR="00465273">
        <w:rPr>
          <w:rFonts w:eastAsia="SimSun"/>
          <w:lang w:val="fr-FR" w:eastAsia="zh-CN"/>
        </w:rPr>
        <w:t xml:space="preserve">ment </w:t>
      </w:r>
      <w:r>
        <w:rPr>
          <w:rFonts w:eastAsia="SimSun"/>
          <w:lang w:val="fr-FR" w:eastAsia="zh-CN"/>
        </w:rPr>
        <w:t xml:space="preserve">la loi </w:t>
      </w:r>
      <w:r w:rsidR="00465273">
        <w:rPr>
          <w:rFonts w:eastAsia="SimSun"/>
          <w:lang w:val="fr-FR" w:eastAsia="zh-CN"/>
        </w:rPr>
        <w:t>prohibant l</w:t>
      </w:r>
      <w:r>
        <w:rPr>
          <w:rFonts w:eastAsia="SimSun"/>
          <w:lang w:val="fr-FR" w:eastAsia="zh-CN"/>
        </w:rPr>
        <w:t>es mutilations génitales féminines; veuillez donner</w:t>
      </w:r>
      <w:r w:rsidR="00D6697C" w:rsidRPr="00D6697C">
        <w:rPr>
          <w:rFonts w:eastAsia="SimSun"/>
          <w:lang w:val="fr-FR" w:eastAsia="zh-CN"/>
        </w:rPr>
        <w:t xml:space="preserve"> </w:t>
      </w:r>
      <w:r w:rsidR="00D6697C">
        <w:rPr>
          <w:rFonts w:eastAsia="SimSun"/>
          <w:lang w:val="fr-FR" w:eastAsia="zh-CN"/>
        </w:rPr>
        <w:t>des informations</w:t>
      </w:r>
      <w:r>
        <w:rPr>
          <w:rFonts w:eastAsia="SimSun"/>
          <w:lang w:val="fr-FR" w:eastAsia="zh-CN"/>
        </w:rPr>
        <w:t>, en</w:t>
      </w:r>
      <w:r w:rsidR="00465273">
        <w:rPr>
          <w:rFonts w:eastAsia="SimSun"/>
          <w:lang w:val="fr-FR" w:eastAsia="zh-CN"/>
        </w:rPr>
        <w:t xml:space="preserve">tre </w:t>
      </w:r>
      <w:r>
        <w:rPr>
          <w:rFonts w:eastAsia="SimSun"/>
          <w:lang w:val="fr-FR" w:eastAsia="zh-CN"/>
        </w:rPr>
        <w:t>autre</w:t>
      </w:r>
      <w:r w:rsidR="00465273">
        <w:rPr>
          <w:rFonts w:eastAsia="SimSun"/>
          <w:lang w:val="fr-FR" w:eastAsia="zh-CN"/>
        </w:rPr>
        <w:t>s</w:t>
      </w:r>
      <w:r>
        <w:rPr>
          <w:rFonts w:eastAsia="SimSun"/>
          <w:lang w:val="fr-FR" w:eastAsia="zh-CN"/>
        </w:rPr>
        <w:t xml:space="preserve">, sur </w:t>
      </w:r>
      <w:r w:rsidR="00465273">
        <w:rPr>
          <w:rFonts w:eastAsia="SimSun"/>
          <w:lang w:val="fr-FR" w:eastAsia="zh-CN"/>
        </w:rPr>
        <w:t>l</w:t>
      </w:r>
      <w:r>
        <w:rPr>
          <w:rFonts w:eastAsia="SimSun"/>
          <w:lang w:val="fr-FR" w:eastAsia="zh-CN"/>
        </w:rPr>
        <w:t xml:space="preserve">es poursuites </w:t>
      </w:r>
      <w:r w:rsidR="00646EE0">
        <w:rPr>
          <w:rFonts w:eastAsia="SimSun"/>
          <w:lang w:val="fr-FR" w:eastAsia="zh-CN"/>
        </w:rPr>
        <w:t xml:space="preserve">qui ont été </w:t>
      </w:r>
      <w:r w:rsidRPr="002C11FC">
        <w:rPr>
          <w:rFonts w:eastAsia="SimSun"/>
          <w:lang w:val="fr-FR" w:eastAsia="zh-CN"/>
        </w:rPr>
        <w:t>engagées</w:t>
      </w:r>
      <w:r>
        <w:rPr>
          <w:rFonts w:eastAsia="SimSun"/>
          <w:lang w:val="fr-FR" w:eastAsia="zh-CN"/>
        </w:rPr>
        <w:t xml:space="preserve"> dans </w:t>
      </w:r>
      <w:r w:rsidR="00465273">
        <w:rPr>
          <w:rFonts w:eastAsia="SimSun"/>
          <w:lang w:val="fr-FR" w:eastAsia="zh-CN"/>
        </w:rPr>
        <w:t>l</w:t>
      </w:r>
      <w:r>
        <w:rPr>
          <w:rFonts w:eastAsia="SimSun"/>
          <w:lang w:val="fr-FR" w:eastAsia="zh-CN"/>
        </w:rPr>
        <w:t xml:space="preserve">es affaires de mutilations génitales féminines, </w:t>
      </w:r>
      <w:r w:rsidR="00D6697C">
        <w:rPr>
          <w:rFonts w:eastAsia="SimSun"/>
          <w:lang w:val="fr-FR" w:eastAsia="zh-CN"/>
        </w:rPr>
        <w:t>et</w:t>
      </w:r>
      <w:r>
        <w:rPr>
          <w:rFonts w:eastAsia="SimSun"/>
          <w:lang w:val="fr-FR" w:eastAsia="zh-CN"/>
        </w:rPr>
        <w:t xml:space="preserve"> les peines prononcées;</w:t>
      </w:r>
    </w:p>
    <w:p w:rsidR="00714CE3" w:rsidRDefault="00714CE3" w:rsidP="00714CE3">
      <w:pPr>
        <w:pStyle w:val="SingleTxtG"/>
        <w:rPr>
          <w:rFonts w:eastAsia="SimSun"/>
          <w:lang w:val="fr-FR" w:eastAsia="zh-CN"/>
        </w:rPr>
      </w:pPr>
      <w:r>
        <w:rPr>
          <w:rFonts w:eastAsia="SimSun"/>
          <w:lang w:val="fr-FR" w:eastAsia="zh-CN"/>
        </w:rPr>
        <w:tab/>
      </w:r>
      <w:r w:rsidRPr="00B72043">
        <w:rPr>
          <w:rFonts w:eastAsia="SimSun"/>
          <w:lang w:val="fr-FR" w:eastAsia="zh-CN"/>
        </w:rPr>
        <w:t>b)</w:t>
      </w:r>
      <w:r w:rsidRPr="00B72043">
        <w:rPr>
          <w:rFonts w:eastAsia="SimSun"/>
          <w:lang w:val="fr-FR" w:eastAsia="zh-CN"/>
        </w:rPr>
        <w:tab/>
      </w:r>
      <w:r w:rsidR="00646EE0" w:rsidRPr="00B72043">
        <w:rPr>
          <w:rFonts w:eastAsia="SimSun"/>
          <w:lang w:val="fr-FR" w:eastAsia="zh-CN"/>
        </w:rPr>
        <w:t>C</w:t>
      </w:r>
      <w:r w:rsidRPr="00B72043">
        <w:rPr>
          <w:rFonts w:eastAsia="SimSun"/>
          <w:lang w:val="fr-FR" w:eastAsia="zh-CN"/>
        </w:rPr>
        <w:t>ombattre et éradiquer cette pratique</w:t>
      </w:r>
      <w:r w:rsidR="00646EE0" w:rsidRPr="00B72043">
        <w:rPr>
          <w:rFonts w:eastAsia="SimSun"/>
          <w:lang w:val="fr-FR" w:eastAsia="zh-CN"/>
        </w:rPr>
        <w:t xml:space="preserve"> </w:t>
      </w:r>
      <w:r w:rsidR="00B72043">
        <w:rPr>
          <w:rFonts w:eastAsia="SimSun"/>
          <w:lang w:val="fr-FR" w:eastAsia="zh-CN"/>
        </w:rPr>
        <w:t>par</w:t>
      </w:r>
      <w:r w:rsidR="00646EE0" w:rsidRPr="00B72043">
        <w:rPr>
          <w:rFonts w:eastAsia="SimSun"/>
          <w:lang w:val="fr-FR" w:eastAsia="zh-CN"/>
        </w:rPr>
        <w:t xml:space="preserve"> de</w:t>
      </w:r>
      <w:r w:rsidR="00B72043">
        <w:rPr>
          <w:rFonts w:eastAsia="SimSun"/>
          <w:lang w:val="fr-FR" w:eastAsia="zh-CN"/>
        </w:rPr>
        <w:t>s</w:t>
      </w:r>
      <w:r w:rsidR="00646EE0" w:rsidRPr="00B72043">
        <w:rPr>
          <w:rFonts w:eastAsia="SimSun"/>
          <w:lang w:val="fr-FR" w:eastAsia="zh-CN"/>
        </w:rPr>
        <w:t xml:space="preserve"> campagnes de sensibilisation</w:t>
      </w:r>
      <w:r w:rsidRPr="00B72043">
        <w:rPr>
          <w:rFonts w:eastAsia="SimSun"/>
          <w:lang w:val="fr-FR" w:eastAsia="zh-CN"/>
        </w:rPr>
        <w:t>;</w:t>
      </w:r>
    </w:p>
    <w:p w:rsidR="00714CE3" w:rsidRDefault="00714CE3" w:rsidP="00714CE3">
      <w:pPr>
        <w:pStyle w:val="SingleTxtG"/>
        <w:rPr>
          <w:rFonts w:eastAsia="SimSun"/>
          <w:lang w:val="fr-FR" w:eastAsia="zh-CN"/>
        </w:rPr>
      </w:pPr>
      <w:r>
        <w:rPr>
          <w:rFonts w:eastAsia="SimSun"/>
          <w:lang w:val="fr-FR" w:eastAsia="zh-CN"/>
        </w:rPr>
        <w:tab/>
        <w:t>c)</w:t>
      </w:r>
      <w:r>
        <w:rPr>
          <w:rFonts w:eastAsia="SimSun"/>
          <w:lang w:val="fr-FR" w:eastAsia="zh-CN"/>
        </w:rPr>
        <w:tab/>
        <w:t>Renforcer les programmes d’assistance aux victimes</w:t>
      </w:r>
      <w:r w:rsidR="00F539A8">
        <w:rPr>
          <w:rFonts w:eastAsia="SimSun"/>
          <w:lang w:val="fr-FR" w:eastAsia="zh-CN"/>
        </w:rPr>
        <w:t>;</w:t>
      </w:r>
    </w:p>
    <w:p w:rsidR="00714CE3" w:rsidRDefault="00714CE3" w:rsidP="00714CE3">
      <w:pPr>
        <w:pStyle w:val="SingleTxtG"/>
        <w:rPr>
          <w:rFonts w:eastAsia="SimSun"/>
          <w:lang w:val="fr-FR" w:eastAsia="zh-CN"/>
        </w:rPr>
      </w:pPr>
      <w:r>
        <w:rPr>
          <w:rFonts w:eastAsia="SimSun"/>
          <w:lang w:val="fr-FR" w:eastAsia="zh-CN"/>
        </w:rPr>
        <w:tab/>
        <w:t>d)</w:t>
      </w:r>
      <w:r>
        <w:rPr>
          <w:rFonts w:eastAsia="SimSun"/>
          <w:lang w:val="fr-FR" w:eastAsia="zh-CN"/>
        </w:rPr>
        <w:tab/>
        <w:t>Assurer l’accès des victimes à la justice en les informant de leurs droits et des voies de recours existantes.</w:t>
      </w:r>
    </w:p>
    <w:p w:rsidR="00714CE3" w:rsidRDefault="00714CE3" w:rsidP="00714CE3">
      <w:pPr>
        <w:pStyle w:val="SingleTxtG"/>
        <w:rPr>
          <w:rFonts w:eastAsia="SimSun"/>
          <w:lang w:val="fr-FR" w:eastAsia="zh-CN"/>
        </w:rPr>
      </w:pPr>
      <w:r>
        <w:rPr>
          <w:rFonts w:eastAsia="SimSun"/>
          <w:lang w:val="fr-FR" w:eastAsia="zh-CN"/>
        </w:rPr>
        <w:t>7.</w:t>
      </w:r>
      <w:r>
        <w:rPr>
          <w:rFonts w:eastAsia="SimSun"/>
          <w:lang w:val="fr-FR" w:eastAsia="zh-CN"/>
        </w:rPr>
        <w:tab/>
        <w:t xml:space="preserve">Veuillez fournir des informations détaillées et actualisées sur les mesures </w:t>
      </w:r>
      <w:r w:rsidR="00571C3F">
        <w:rPr>
          <w:rFonts w:eastAsia="SimSun"/>
          <w:lang w:val="fr-FR" w:eastAsia="zh-CN"/>
        </w:rPr>
        <w:t xml:space="preserve">en vue de </w:t>
      </w:r>
      <w:r>
        <w:rPr>
          <w:rFonts w:eastAsia="SimSun"/>
          <w:lang w:val="fr-FR" w:eastAsia="zh-CN"/>
        </w:rPr>
        <w:t xml:space="preserve">prévenir, combattre et sanctionner la traite d’êtres humains </w:t>
      </w:r>
      <w:r w:rsidR="00571C3F">
        <w:rPr>
          <w:rFonts w:eastAsia="SimSun"/>
          <w:lang w:val="fr-FR" w:eastAsia="zh-CN"/>
        </w:rPr>
        <w:t>aux fins d</w:t>
      </w:r>
      <w:r>
        <w:rPr>
          <w:rFonts w:eastAsia="SimSun"/>
          <w:lang w:val="fr-FR" w:eastAsia="zh-CN"/>
        </w:rPr>
        <w:t xml:space="preserve">e travail forcé et </w:t>
      </w:r>
      <w:r w:rsidR="00571C3F">
        <w:rPr>
          <w:rFonts w:eastAsia="SimSun"/>
          <w:lang w:val="fr-FR" w:eastAsia="zh-CN"/>
        </w:rPr>
        <w:t>d</w:t>
      </w:r>
      <w:r>
        <w:rPr>
          <w:rFonts w:eastAsia="SimSun"/>
          <w:lang w:val="fr-FR" w:eastAsia="zh-CN"/>
        </w:rPr>
        <w:t>’exploitation sexuelle.</w:t>
      </w:r>
      <w:r>
        <w:rPr>
          <w:rStyle w:val="FootnoteReference"/>
          <w:rFonts w:eastAsia="SimSun"/>
          <w:lang w:eastAsia="zh-CN"/>
        </w:rPr>
        <w:footnoteReference w:id="10"/>
      </w:r>
      <w:r>
        <w:rPr>
          <w:rFonts w:eastAsia="SimSun"/>
          <w:lang w:val="fr-FR" w:eastAsia="zh-CN"/>
        </w:rPr>
        <w:t xml:space="preserve"> </w:t>
      </w:r>
      <w:r w:rsidR="00C13FA8">
        <w:rPr>
          <w:rFonts w:eastAsia="SimSun"/>
          <w:lang w:val="fr-FR" w:eastAsia="zh-CN"/>
        </w:rPr>
        <w:t xml:space="preserve">En ce qui concerne </w:t>
      </w:r>
      <w:r>
        <w:rPr>
          <w:rFonts w:eastAsia="SimSun"/>
          <w:lang w:val="fr-FR" w:eastAsia="zh-CN"/>
        </w:rPr>
        <w:t xml:space="preserve">la loi </w:t>
      </w:r>
      <w:r w:rsidR="00D15CEF">
        <w:rPr>
          <w:rFonts w:eastAsia="SimSun"/>
          <w:lang w:val="fr-FR" w:eastAsia="zh-CN"/>
        </w:rPr>
        <w:t>relative au</w:t>
      </w:r>
      <w:r>
        <w:rPr>
          <w:rFonts w:eastAsia="SimSun"/>
          <w:lang w:val="fr-FR" w:eastAsia="zh-CN"/>
        </w:rPr>
        <w:t xml:space="preserve"> trafic d</w:t>
      </w:r>
      <w:r w:rsidR="00D15CEF">
        <w:rPr>
          <w:rFonts w:eastAsia="SimSun"/>
          <w:lang w:val="fr-FR" w:eastAsia="zh-CN"/>
        </w:rPr>
        <w:t>’</w:t>
      </w:r>
      <w:r>
        <w:rPr>
          <w:rFonts w:eastAsia="SimSun"/>
          <w:lang w:val="fr-FR" w:eastAsia="zh-CN"/>
        </w:rPr>
        <w:t>enfants</w:t>
      </w:r>
      <w:r w:rsidR="00D15CEF">
        <w:rPr>
          <w:rFonts w:eastAsia="SimSun"/>
          <w:lang w:val="fr-FR" w:eastAsia="zh-CN"/>
        </w:rPr>
        <w:t xml:space="preserve"> au Togo</w:t>
      </w:r>
      <w:r w:rsidR="00C13FA8">
        <w:rPr>
          <w:rFonts w:eastAsia="SimSun"/>
          <w:lang w:val="fr-FR" w:eastAsia="zh-CN"/>
        </w:rPr>
        <w:t>,</w:t>
      </w:r>
      <w:r>
        <w:rPr>
          <w:rFonts w:eastAsia="SimSun"/>
          <w:lang w:val="fr-FR" w:eastAsia="zh-CN"/>
        </w:rPr>
        <w:t xml:space="preserve"> adoptée en 2005</w:t>
      </w:r>
      <w:r w:rsidR="00C13FA8">
        <w:rPr>
          <w:rFonts w:eastAsia="SimSun"/>
          <w:lang w:val="fr-FR" w:eastAsia="zh-CN"/>
        </w:rPr>
        <w:t>, préciser son impact</w:t>
      </w:r>
      <w:r w:rsidR="004C26F1">
        <w:rPr>
          <w:rFonts w:eastAsia="SimSun"/>
          <w:lang w:val="fr-FR" w:eastAsia="zh-CN"/>
        </w:rPr>
        <w:t>,</w:t>
      </w:r>
      <w:r>
        <w:rPr>
          <w:rFonts w:eastAsia="SimSun"/>
          <w:lang w:val="fr-FR" w:eastAsia="zh-CN"/>
        </w:rPr>
        <w:t xml:space="preserve"> </w:t>
      </w:r>
      <w:r w:rsidR="00B72043">
        <w:rPr>
          <w:rFonts w:eastAsia="SimSun"/>
          <w:lang w:val="fr-FR" w:eastAsia="zh-CN"/>
        </w:rPr>
        <w:t>ainsi que</w:t>
      </w:r>
      <w:r>
        <w:rPr>
          <w:rFonts w:eastAsia="SimSun"/>
          <w:lang w:val="fr-FR" w:eastAsia="zh-CN"/>
        </w:rPr>
        <w:t xml:space="preserve"> les mesures concrètes </w:t>
      </w:r>
      <w:r w:rsidR="00C13FA8">
        <w:rPr>
          <w:rFonts w:eastAsia="SimSun"/>
          <w:lang w:val="fr-FR" w:eastAsia="zh-CN"/>
        </w:rPr>
        <w:t xml:space="preserve">qui </w:t>
      </w:r>
      <w:r w:rsidR="00B72043">
        <w:rPr>
          <w:rFonts w:eastAsia="SimSun"/>
          <w:lang w:val="fr-FR" w:eastAsia="zh-CN"/>
        </w:rPr>
        <w:t>ont été</w:t>
      </w:r>
      <w:r w:rsidR="00C13FA8">
        <w:rPr>
          <w:rFonts w:eastAsia="SimSun"/>
          <w:lang w:val="fr-FR" w:eastAsia="zh-CN"/>
        </w:rPr>
        <w:t xml:space="preserve"> </w:t>
      </w:r>
      <w:r>
        <w:rPr>
          <w:rFonts w:eastAsia="SimSun"/>
          <w:lang w:val="fr-FR" w:eastAsia="zh-CN"/>
        </w:rPr>
        <w:t xml:space="preserve">prises pour </w:t>
      </w:r>
      <w:r w:rsidR="00C13FA8">
        <w:rPr>
          <w:rFonts w:eastAsia="SimSun"/>
          <w:lang w:val="fr-FR" w:eastAsia="zh-CN"/>
        </w:rPr>
        <w:t>la mettre</w:t>
      </w:r>
      <w:r>
        <w:rPr>
          <w:rFonts w:eastAsia="SimSun"/>
          <w:lang w:val="fr-FR" w:eastAsia="zh-CN"/>
        </w:rPr>
        <w:t xml:space="preserve"> en œuvre</w:t>
      </w:r>
      <w:r w:rsidR="001A4622">
        <w:rPr>
          <w:rFonts w:eastAsia="SimSun"/>
          <w:lang w:val="fr-FR" w:eastAsia="zh-CN"/>
        </w:rPr>
        <w:t xml:space="preserve">. Indiquer </w:t>
      </w:r>
      <w:r w:rsidR="00C13FA8">
        <w:rPr>
          <w:rFonts w:eastAsia="SimSun"/>
          <w:lang w:val="fr-FR" w:eastAsia="zh-CN"/>
        </w:rPr>
        <w:t xml:space="preserve">aussi </w:t>
      </w:r>
      <w:r>
        <w:rPr>
          <w:rFonts w:eastAsia="SimSun"/>
          <w:lang w:val="fr-FR" w:eastAsia="zh-CN"/>
        </w:rPr>
        <w:t>le nombre de</w:t>
      </w:r>
      <w:r w:rsidR="00C13FA8">
        <w:rPr>
          <w:rFonts w:eastAsia="SimSun"/>
          <w:lang w:val="fr-FR" w:eastAsia="zh-CN"/>
        </w:rPr>
        <w:t>s</w:t>
      </w:r>
      <w:r>
        <w:rPr>
          <w:rFonts w:eastAsia="SimSun"/>
          <w:lang w:val="fr-FR" w:eastAsia="zh-CN"/>
        </w:rPr>
        <w:t xml:space="preserve"> plaintes</w:t>
      </w:r>
      <w:r w:rsidR="001A4622">
        <w:rPr>
          <w:rFonts w:eastAsia="SimSun"/>
          <w:lang w:val="fr-FR" w:eastAsia="zh-CN"/>
        </w:rPr>
        <w:t xml:space="preserve"> enregistrées</w:t>
      </w:r>
      <w:r>
        <w:rPr>
          <w:rFonts w:eastAsia="SimSun"/>
          <w:lang w:val="fr-FR" w:eastAsia="zh-CN"/>
        </w:rPr>
        <w:t xml:space="preserve">, </w:t>
      </w:r>
      <w:r w:rsidR="001A4622">
        <w:rPr>
          <w:rFonts w:eastAsia="SimSun"/>
          <w:lang w:val="fr-FR" w:eastAsia="zh-CN"/>
        </w:rPr>
        <w:t xml:space="preserve">des </w:t>
      </w:r>
      <w:r>
        <w:rPr>
          <w:rFonts w:eastAsia="SimSun"/>
          <w:lang w:val="fr-FR" w:eastAsia="zh-CN"/>
        </w:rPr>
        <w:t>enquêtes</w:t>
      </w:r>
      <w:r w:rsidR="001A4622">
        <w:rPr>
          <w:rFonts w:eastAsia="SimSun"/>
          <w:lang w:val="fr-FR" w:eastAsia="zh-CN"/>
        </w:rPr>
        <w:t xml:space="preserve"> et des</w:t>
      </w:r>
      <w:r>
        <w:rPr>
          <w:rFonts w:eastAsia="SimSun"/>
          <w:lang w:val="fr-FR" w:eastAsia="zh-CN"/>
        </w:rPr>
        <w:t xml:space="preserve"> poursuites</w:t>
      </w:r>
      <w:r w:rsidR="001A4622">
        <w:rPr>
          <w:rFonts w:eastAsia="SimSun"/>
          <w:lang w:val="fr-FR" w:eastAsia="zh-CN"/>
        </w:rPr>
        <w:t xml:space="preserve"> engagées, de même que des </w:t>
      </w:r>
      <w:r>
        <w:rPr>
          <w:rFonts w:eastAsia="SimSun"/>
          <w:lang w:val="fr-FR" w:eastAsia="zh-CN"/>
        </w:rPr>
        <w:t>condamnations</w:t>
      </w:r>
      <w:r w:rsidR="001A4622">
        <w:rPr>
          <w:rFonts w:eastAsia="SimSun"/>
          <w:lang w:val="fr-FR" w:eastAsia="zh-CN"/>
        </w:rPr>
        <w:t xml:space="preserve"> et d</w:t>
      </w:r>
      <w:r>
        <w:rPr>
          <w:rFonts w:eastAsia="SimSun"/>
          <w:lang w:val="fr-FR" w:eastAsia="zh-CN"/>
        </w:rPr>
        <w:t>es peines prononcées.</w:t>
      </w:r>
    </w:p>
    <w:p w:rsidR="00714CE3" w:rsidRPr="00266F4C" w:rsidRDefault="00714CE3" w:rsidP="00714CE3">
      <w:pPr>
        <w:pStyle w:val="H1G"/>
        <w:rPr>
          <w:lang w:val="fr-FR"/>
        </w:rPr>
      </w:pPr>
      <w:r>
        <w:rPr>
          <w:lang w:val="fr-FR"/>
        </w:rPr>
        <w:tab/>
      </w:r>
      <w:r>
        <w:rPr>
          <w:lang w:val="fr-FR"/>
        </w:rPr>
        <w:tab/>
      </w:r>
      <w:r w:rsidRPr="00266F4C">
        <w:rPr>
          <w:lang w:val="fr-FR"/>
        </w:rPr>
        <w:t>Article 3</w:t>
      </w:r>
    </w:p>
    <w:p w:rsidR="00714CE3" w:rsidRDefault="00714CE3" w:rsidP="00714CE3">
      <w:pPr>
        <w:pStyle w:val="SingleTxtG"/>
        <w:rPr>
          <w:rFonts w:eastAsia="SimSun"/>
          <w:lang w:val="fr-FR" w:eastAsia="zh-CN"/>
        </w:rPr>
      </w:pPr>
      <w:r>
        <w:rPr>
          <w:rFonts w:eastAsia="SimSun"/>
          <w:lang w:val="fr-FR" w:eastAsia="zh-CN"/>
        </w:rPr>
        <w:t>8.</w:t>
      </w:r>
      <w:r>
        <w:rPr>
          <w:rFonts w:eastAsia="SimSun"/>
          <w:lang w:val="fr-FR" w:eastAsia="zh-CN"/>
        </w:rPr>
        <w:tab/>
      </w:r>
      <w:r w:rsidRPr="001D015F">
        <w:rPr>
          <w:rFonts w:eastAsia="SimSun"/>
          <w:lang w:val="fr-FR" w:eastAsia="zh-CN"/>
        </w:rPr>
        <w:t xml:space="preserve">Dans ses </w:t>
      </w:r>
      <w:r>
        <w:rPr>
          <w:rFonts w:eastAsia="SimSun"/>
          <w:lang w:val="fr-FR" w:eastAsia="zh-CN"/>
        </w:rPr>
        <w:t xml:space="preserve">observations finales </w:t>
      </w:r>
      <w:r w:rsidR="00A26BE2" w:rsidRPr="001D015F">
        <w:rPr>
          <w:rFonts w:eastAsia="SimSun"/>
          <w:lang w:val="fr-FR" w:eastAsia="zh-CN"/>
        </w:rPr>
        <w:t xml:space="preserve">précédentes </w:t>
      </w:r>
      <w:r>
        <w:rPr>
          <w:rFonts w:eastAsia="SimSun"/>
          <w:lang w:val="fr-FR" w:eastAsia="zh-CN"/>
        </w:rPr>
        <w:t>(</w:t>
      </w:r>
      <w:r w:rsidRPr="001D015F">
        <w:rPr>
          <w:rFonts w:eastAsia="SimSun"/>
          <w:lang w:val="fr-FR" w:eastAsia="zh-CN"/>
        </w:rPr>
        <w:t>par. 13), le Comité s’est déclaré préoccupé par l’absence de disposition</w:t>
      </w:r>
      <w:r w:rsidR="004C26F1">
        <w:rPr>
          <w:rFonts w:eastAsia="SimSun"/>
          <w:lang w:val="fr-FR" w:eastAsia="zh-CN"/>
        </w:rPr>
        <w:t>,</w:t>
      </w:r>
      <w:r w:rsidRPr="001D015F">
        <w:rPr>
          <w:rFonts w:eastAsia="SimSun"/>
          <w:lang w:val="fr-FR" w:eastAsia="zh-CN"/>
        </w:rPr>
        <w:t xml:space="preserve"> dans la législation togolaise</w:t>
      </w:r>
      <w:r w:rsidR="004C26F1">
        <w:rPr>
          <w:rFonts w:eastAsia="SimSun"/>
          <w:lang w:val="fr-FR" w:eastAsia="zh-CN"/>
        </w:rPr>
        <w:t>,</w:t>
      </w:r>
      <w:r w:rsidRPr="001D015F">
        <w:rPr>
          <w:rFonts w:eastAsia="SimSun"/>
          <w:lang w:val="fr-FR" w:eastAsia="zh-CN"/>
        </w:rPr>
        <w:t xml:space="preserve"> interdisant l’expulsion, le refoulement ou l’extradition d’une personne vers un autre État </w:t>
      </w:r>
      <w:r w:rsidRPr="00A26BE2">
        <w:rPr>
          <w:rFonts w:eastAsia="SimSun"/>
          <w:lang w:val="fr-FR" w:eastAsia="zh-CN"/>
        </w:rPr>
        <w:t>où</w:t>
      </w:r>
      <w:r w:rsidRPr="001D015F">
        <w:rPr>
          <w:rFonts w:eastAsia="SimSun"/>
          <w:lang w:val="fr-FR" w:eastAsia="zh-CN"/>
        </w:rPr>
        <w:t xml:space="preserve"> il y a des motifs de croire qu’elle risqu</w:t>
      </w:r>
      <w:r>
        <w:rPr>
          <w:rFonts w:eastAsia="SimSun"/>
          <w:lang w:val="fr-FR" w:eastAsia="zh-CN"/>
        </w:rPr>
        <w:t>e d’être soumise à la torture. Veuillez d</w:t>
      </w:r>
      <w:r w:rsidRPr="001D015F">
        <w:rPr>
          <w:rFonts w:eastAsia="SimSun"/>
          <w:lang w:val="fr-FR" w:eastAsia="zh-CN"/>
        </w:rPr>
        <w:t>onner des informations sur les mesures prises pour mettre la législation nationale en conformité avec</w:t>
      </w:r>
      <w:r>
        <w:rPr>
          <w:rFonts w:eastAsia="SimSun"/>
          <w:lang w:val="fr-FR" w:eastAsia="zh-CN"/>
        </w:rPr>
        <w:t xml:space="preserve"> la Convention et</w:t>
      </w:r>
      <w:r w:rsidRPr="001D015F">
        <w:rPr>
          <w:rFonts w:eastAsia="SimSun"/>
          <w:lang w:val="fr-FR" w:eastAsia="zh-CN"/>
        </w:rPr>
        <w:t xml:space="preserve"> le droit international </w:t>
      </w:r>
      <w:r w:rsidR="00A26BE2">
        <w:rPr>
          <w:rFonts w:eastAsia="SimSun"/>
          <w:lang w:val="fr-FR" w:eastAsia="zh-CN"/>
        </w:rPr>
        <w:t>relatif aux</w:t>
      </w:r>
      <w:r w:rsidR="00A26BE2" w:rsidRPr="001D015F">
        <w:rPr>
          <w:rFonts w:eastAsia="SimSun"/>
          <w:lang w:val="fr-FR" w:eastAsia="zh-CN"/>
        </w:rPr>
        <w:t xml:space="preserve"> </w:t>
      </w:r>
      <w:r w:rsidRPr="001D015F">
        <w:rPr>
          <w:rFonts w:eastAsia="SimSun"/>
          <w:lang w:val="fr-FR" w:eastAsia="zh-CN"/>
        </w:rPr>
        <w:t xml:space="preserve">réfugiés. </w:t>
      </w:r>
      <w:r w:rsidR="00A26BE2">
        <w:rPr>
          <w:rFonts w:eastAsia="SimSun"/>
          <w:lang w:val="fr-FR" w:eastAsia="zh-CN"/>
        </w:rPr>
        <w:t>Fournir,</w:t>
      </w:r>
      <w:r w:rsidR="00A26BE2" w:rsidRPr="001D015F">
        <w:rPr>
          <w:rFonts w:eastAsia="SimSun"/>
          <w:lang w:val="fr-FR" w:eastAsia="zh-CN"/>
        </w:rPr>
        <w:t xml:space="preserve"> </w:t>
      </w:r>
      <w:r w:rsidRPr="001D015F">
        <w:rPr>
          <w:rFonts w:eastAsia="SimSun"/>
          <w:lang w:val="fr-FR" w:eastAsia="zh-CN"/>
        </w:rPr>
        <w:t>en outre</w:t>
      </w:r>
      <w:r w:rsidR="00A26BE2">
        <w:rPr>
          <w:rFonts w:eastAsia="SimSun"/>
          <w:lang w:val="fr-FR" w:eastAsia="zh-CN"/>
        </w:rPr>
        <w:t>,</w:t>
      </w:r>
      <w:r w:rsidRPr="001D015F">
        <w:rPr>
          <w:rFonts w:eastAsia="SimSun"/>
          <w:lang w:val="fr-FR" w:eastAsia="zh-CN"/>
        </w:rPr>
        <w:t xml:space="preserve"> des renseignements détaillés sur les autorités et </w:t>
      </w:r>
      <w:r w:rsidR="00A26BE2">
        <w:rPr>
          <w:rFonts w:eastAsia="SimSun"/>
          <w:lang w:val="fr-FR" w:eastAsia="zh-CN"/>
        </w:rPr>
        <w:t xml:space="preserve">les </w:t>
      </w:r>
      <w:r w:rsidRPr="001D015F">
        <w:rPr>
          <w:rFonts w:eastAsia="SimSun"/>
          <w:lang w:val="fr-FR" w:eastAsia="zh-CN"/>
        </w:rPr>
        <w:t xml:space="preserve">organes compétents </w:t>
      </w:r>
      <w:r w:rsidR="00C90E98">
        <w:rPr>
          <w:rFonts w:eastAsia="SimSun"/>
          <w:lang w:val="fr-FR" w:eastAsia="zh-CN"/>
        </w:rPr>
        <w:t>en matière</w:t>
      </w:r>
      <w:r w:rsidRPr="001D015F">
        <w:rPr>
          <w:rFonts w:eastAsia="SimSun"/>
          <w:lang w:val="fr-FR" w:eastAsia="zh-CN"/>
        </w:rPr>
        <w:t xml:space="preserve"> d’extradition, d’expulsion et de refoulement compte tenu des dispositions de l’article 3 de la Convention, y compris des informations sur les procédures d’appel</w:t>
      </w:r>
      <w:r>
        <w:rPr>
          <w:rFonts w:eastAsia="SimSun"/>
          <w:lang w:val="fr-FR" w:eastAsia="zh-CN"/>
        </w:rPr>
        <w:t xml:space="preserve"> </w:t>
      </w:r>
      <w:r w:rsidRPr="001D015F">
        <w:rPr>
          <w:rFonts w:eastAsia="SimSun"/>
          <w:lang w:val="fr-FR" w:eastAsia="zh-CN"/>
        </w:rPr>
        <w:t>permettant de contester les décisions d’extradition</w:t>
      </w:r>
      <w:r>
        <w:rPr>
          <w:rFonts w:eastAsia="SimSun"/>
          <w:lang w:val="fr-FR" w:eastAsia="zh-CN"/>
        </w:rPr>
        <w:t xml:space="preserve">, </w:t>
      </w:r>
      <w:r w:rsidRPr="007E6808">
        <w:rPr>
          <w:rFonts w:eastAsia="SimSun"/>
          <w:lang w:val="fr-FR" w:eastAsia="zh-CN"/>
        </w:rPr>
        <w:t>de refoulement</w:t>
      </w:r>
      <w:r>
        <w:rPr>
          <w:rFonts w:eastAsia="SimSun"/>
          <w:lang w:val="fr-FR" w:eastAsia="zh-CN"/>
        </w:rPr>
        <w:t xml:space="preserve"> ou d'expulsion</w:t>
      </w:r>
      <w:r w:rsidRPr="007E6808">
        <w:rPr>
          <w:rFonts w:eastAsia="SimSun"/>
          <w:lang w:val="fr-FR" w:eastAsia="zh-CN"/>
        </w:rPr>
        <w:t xml:space="preserve"> (</w:t>
      </w:r>
      <w:r>
        <w:rPr>
          <w:rFonts w:eastAsia="SimSun"/>
          <w:lang w:val="fr-FR" w:eastAsia="zh-CN"/>
        </w:rPr>
        <w:t>et</w:t>
      </w:r>
      <w:r w:rsidR="004C26F1">
        <w:rPr>
          <w:rFonts w:eastAsia="SimSun"/>
          <w:lang w:val="fr-FR" w:eastAsia="zh-CN"/>
        </w:rPr>
        <w:t>, de manière</w:t>
      </w:r>
      <w:r>
        <w:rPr>
          <w:rFonts w:eastAsia="SimSun"/>
          <w:lang w:val="fr-FR" w:eastAsia="zh-CN"/>
        </w:rPr>
        <w:t xml:space="preserve"> général</w:t>
      </w:r>
      <w:r w:rsidR="004C26F1">
        <w:rPr>
          <w:rFonts w:eastAsia="SimSun"/>
          <w:lang w:val="fr-FR" w:eastAsia="zh-CN"/>
        </w:rPr>
        <w:t>e,</w:t>
      </w:r>
      <w:r>
        <w:rPr>
          <w:rFonts w:eastAsia="SimSun"/>
          <w:lang w:val="fr-FR" w:eastAsia="zh-CN"/>
        </w:rPr>
        <w:t xml:space="preserve"> </w:t>
      </w:r>
      <w:r w:rsidR="00C90E98">
        <w:rPr>
          <w:rFonts w:eastAsia="SimSun"/>
          <w:lang w:val="fr-FR" w:eastAsia="zh-CN"/>
        </w:rPr>
        <w:t>les</w:t>
      </w:r>
      <w:r w:rsidR="00374EDB">
        <w:rPr>
          <w:rFonts w:eastAsia="SimSun"/>
          <w:lang w:val="fr-FR" w:eastAsia="zh-CN"/>
        </w:rPr>
        <w:t xml:space="preserve"> </w:t>
      </w:r>
      <w:r w:rsidRPr="00C90E98">
        <w:rPr>
          <w:rFonts w:eastAsia="SimSun"/>
          <w:lang w:val="fr-FR" w:eastAsia="zh-CN"/>
        </w:rPr>
        <w:t>refus</w:t>
      </w:r>
      <w:r>
        <w:rPr>
          <w:rFonts w:eastAsia="SimSun"/>
          <w:lang w:val="fr-FR" w:eastAsia="zh-CN"/>
        </w:rPr>
        <w:t xml:space="preserve"> </w:t>
      </w:r>
      <w:r w:rsidR="00C90E98">
        <w:rPr>
          <w:rFonts w:eastAsia="SimSun"/>
          <w:lang w:val="fr-FR" w:eastAsia="zh-CN"/>
        </w:rPr>
        <w:t xml:space="preserve">opposés </w:t>
      </w:r>
      <w:r w:rsidR="00E060BA">
        <w:rPr>
          <w:rFonts w:eastAsia="SimSun"/>
          <w:lang w:val="fr-FR" w:eastAsia="zh-CN"/>
        </w:rPr>
        <w:t>aux</w:t>
      </w:r>
      <w:r w:rsidR="00374EDB">
        <w:rPr>
          <w:rFonts w:eastAsia="SimSun"/>
          <w:lang w:val="fr-FR" w:eastAsia="zh-CN"/>
        </w:rPr>
        <w:t xml:space="preserve"> </w:t>
      </w:r>
      <w:r>
        <w:rPr>
          <w:rFonts w:eastAsia="SimSun"/>
          <w:lang w:val="fr-FR" w:eastAsia="zh-CN"/>
        </w:rPr>
        <w:t xml:space="preserve">requêtes d’asile ou </w:t>
      </w:r>
      <w:r w:rsidR="00C90E98">
        <w:rPr>
          <w:rFonts w:eastAsia="SimSun"/>
          <w:lang w:val="fr-FR" w:eastAsia="zh-CN"/>
        </w:rPr>
        <w:t xml:space="preserve">d’accueil de </w:t>
      </w:r>
      <w:r>
        <w:rPr>
          <w:rFonts w:eastAsia="SimSun"/>
          <w:lang w:val="fr-FR" w:eastAsia="zh-CN"/>
        </w:rPr>
        <w:t>réfugiés)</w:t>
      </w:r>
      <w:r w:rsidRPr="00DE490B">
        <w:rPr>
          <w:rFonts w:eastAsia="SimSun"/>
          <w:lang w:val="fr-FR" w:eastAsia="zh-CN"/>
        </w:rPr>
        <w:t>.</w:t>
      </w:r>
      <w:r>
        <w:rPr>
          <w:rFonts w:eastAsia="SimSun"/>
          <w:lang w:val="fr-FR" w:eastAsia="zh-CN"/>
        </w:rPr>
        <w:t xml:space="preserve"> </w:t>
      </w:r>
      <w:r w:rsidR="006E7EB0" w:rsidRPr="002449CD">
        <w:rPr>
          <w:rFonts w:eastAsia="SimSun"/>
          <w:lang w:val="fr-FR" w:eastAsia="zh-CN"/>
        </w:rPr>
        <w:t>Communiquer</w:t>
      </w:r>
      <w:r w:rsidR="00E060BA" w:rsidRPr="001D015F">
        <w:rPr>
          <w:rFonts w:eastAsia="SimSun"/>
          <w:lang w:val="fr-FR" w:eastAsia="zh-CN"/>
        </w:rPr>
        <w:t xml:space="preserve"> </w:t>
      </w:r>
      <w:r w:rsidRPr="001D015F">
        <w:rPr>
          <w:rFonts w:eastAsia="SimSun"/>
          <w:lang w:val="fr-FR" w:eastAsia="zh-CN"/>
        </w:rPr>
        <w:t xml:space="preserve">également des exemples de </w:t>
      </w:r>
      <w:r w:rsidRPr="00C90E98">
        <w:rPr>
          <w:rFonts w:eastAsia="SimSun"/>
          <w:lang w:val="fr-FR" w:eastAsia="zh-CN"/>
        </w:rPr>
        <w:t>décisions</w:t>
      </w:r>
      <w:r w:rsidR="00E060BA">
        <w:rPr>
          <w:rFonts w:eastAsia="SimSun"/>
          <w:lang w:val="fr-FR" w:eastAsia="zh-CN"/>
        </w:rPr>
        <w:t xml:space="preserve"> </w:t>
      </w:r>
      <w:r w:rsidRPr="001D015F">
        <w:rPr>
          <w:rFonts w:eastAsia="SimSun"/>
          <w:lang w:val="fr-FR" w:eastAsia="zh-CN"/>
        </w:rPr>
        <w:t xml:space="preserve">relevant de l’article 3 de la Convention. </w:t>
      </w:r>
    </w:p>
    <w:p w:rsidR="00714CE3" w:rsidRDefault="00714CE3" w:rsidP="00714CE3">
      <w:pPr>
        <w:pStyle w:val="SingleTxtG"/>
        <w:rPr>
          <w:rFonts w:eastAsia="SimSun"/>
          <w:lang w:val="fr-FR" w:eastAsia="zh-CN"/>
        </w:rPr>
      </w:pPr>
      <w:r w:rsidRPr="00C926F4">
        <w:rPr>
          <w:rFonts w:eastAsia="SimSun"/>
          <w:lang w:val="fr-FR" w:eastAsia="zh-CN"/>
        </w:rPr>
        <w:t>9.</w:t>
      </w:r>
      <w:r w:rsidRPr="00C926F4">
        <w:rPr>
          <w:rFonts w:eastAsia="SimSun"/>
          <w:lang w:val="fr-FR" w:eastAsia="zh-CN"/>
        </w:rPr>
        <w:tab/>
      </w:r>
      <w:r w:rsidR="00C117F2" w:rsidRPr="00C926F4">
        <w:rPr>
          <w:rFonts w:eastAsia="SimSun"/>
          <w:lang w:val="fr-FR" w:eastAsia="zh-CN"/>
        </w:rPr>
        <w:t>À la lumière des</w:t>
      </w:r>
      <w:r w:rsidRPr="00C926F4">
        <w:rPr>
          <w:rFonts w:eastAsia="SimSun"/>
          <w:lang w:val="fr-FR" w:eastAsia="zh-CN"/>
        </w:rPr>
        <w:t xml:space="preserve"> observations finales du Comité (par. 14), veuillez détaill</w:t>
      </w:r>
      <w:r w:rsidR="00B75A0C" w:rsidRPr="00C926F4">
        <w:rPr>
          <w:rFonts w:eastAsia="SimSun"/>
          <w:lang w:val="fr-FR" w:eastAsia="zh-CN"/>
        </w:rPr>
        <w:t xml:space="preserve">er </w:t>
      </w:r>
      <w:r w:rsidRPr="00C926F4">
        <w:rPr>
          <w:rFonts w:eastAsia="SimSun"/>
          <w:lang w:val="fr-FR" w:eastAsia="zh-CN"/>
        </w:rPr>
        <w:t xml:space="preserve">les mesures prises pour réviser les termes des accords sous-régionaux signés par le Togo et les États avoisinants le 10 décembre 1984 </w:t>
      </w:r>
      <w:r w:rsidR="00C926F4" w:rsidRPr="002449CD">
        <w:rPr>
          <w:rFonts w:eastAsia="SimSun"/>
          <w:lang w:val="fr-FR" w:eastAsia="zh-CN"/>
        </w:rPr>
        <w:t>et</w:t>
      </w:r>
      <w:r w:rsidRPr="00C926F4">
        <w:rPr>
          <w:rFonts w:eastAsia="SimSun"/>
          <w:lang w:val="fr-FR" w:eastAsia="zh-CN"/>
        </w:rPr>
        <w:t xml:space="preserve"> garantir que le renvoi d’une personne condamnée vers un des États signataires se fasse dans le cadre d’une procédure judiciaire, conformément à l’article 3 de la Convention.</w:t>
      </w:r>
    </w:p>
    <w:p w:rsidR="00714CE3" w:rsidRDefault="00714CE3" w:rsidP="00714CE3">
      <w:pPr>
        <w:pStyle w:val="H1G"/>
        <w:rPr>
          <w:lang w:val="fr-FR"/>
        </w:rPr>
      </w:pPr>
      <w:r>
        <w:rPr>
          <w:lang w:val="fr-FR"/>
        </w:rPr>
        <w:tab/>
      </w:r>
      <w:r>
        <w:rPr>
          <w:lang w:val="fr-FR"/>
        </w:rPr>
        <w:tab/>
      </w:r>
      <w:r w:rsidRPr="00266F4C">
        <w:rPr>
          <w:lang w:val="fr-FR"/>
        </w:rPr>
        <w:t>Article</w:t>
      </w:r>
      <w:r>
        <w:rPr>
          <w:lang w:val="fr-FR"/>
        </w:rPr>
        <w:t>s</w:t>
      </w:r>
      <w:r w:rsidRPr="00266F4C">
        <w:rPr>
          <w:lang w:val="fr-FR"/>
        </w:rPr>
        <w:t xml:space="preserve"> </w:t>
      </w:r>
      <w:r>
        <w:rPr>
          <w:lang w:val="fr-FR"/>
        </w:rPr>
        <w:t>5, 6, 8 et 9</w:t>
      </w:r>
    </w:p>
    <w:p w:rsidR="00714CE3" w:rsidRDefault="00714CE3" w:rsidP="00714CE3">
      <w:pPr>
        <w:pStyle w:val="SingleTxtG"/>
        <w:rPr>
          <w:lang w:val="fr-FR"/>
        </w:rPr>
      </w:pPr>
      <w:r>
        <w:rPr>
          <w:lang w:val="fr-FR"/>
        </w:rPr>
        <w:t>10.</w:t>
      </w:r>
      <w:r>
        <w:rPr>
          <w:lang w:val="fr-FR"/>
        </w:rPr>
        <w:tab/>
        <w:t xml:space="preserve">Compte tenu des </w:t>
      </w:r>
      <w:r>
        <w:rPr>
          <w:rFonts w:eastAsia="SimSun"/>
          <w:lang w:val="fr-FR" w:eastAsia="zh-CN"/>
        </w:rPr>
        <w:t xml:space="preserve">observations finales </w:t>
      </w:r>
      <w:r>
        <w:rPr>
          <w:lang w:val="fr-FR"/>
        </w:rPr>
        <w:t xml:space="preserve">(par. 15), veuillez donner des renseignements sur les mesures prises par le Togo pour établir et exercer sa compétence aux fins de connaître des actes de torture quand l’auteur présumé de l’infraction se trouve sur le territoire togolais, que ce soit aux fins de son extradition ou de l’exercice de l’action pénale, et ce conformément aux dispositions de la Convention. </w:t>
      </w:r>
      <w:r w:rsidR="006C66DD">
        <w:rPr>
          <w:lang w:val="fr-FR"/>
        </w:rPr>
        <w:t>I</w:t>
      </w:r>
      <w:r>
        <w:rPr>
          <w:lang w:val="fr-FR"/>
        </w:rPr>
        <w:t>ndiquer aussi les mesures prises pour réviser les termes des accords empêchant le transfert de</w:t>
      </w:r>
      <w:r w:rsidR="00F84141">
        <w:rPr>
          <w:lang w:val="fr-FR"/>
        </w:rPr>
        <w:t>s</w:t>
      </w:r>
      <w:r>
        <w:rPr>
          <w:lang w:val="fr-FR"/>
        </w:rPr>
        <w:t xml:space="preserve"> ressortissants de certains États se trouvant sur le territoire togolais devant la Cour pénale internationale</w:t>
      </w:r>
      <w:r w:rsidR="00CB248B">
        <w:rPr>
          <w:lang w:val="fr-FR"/>
        </w:rPr>
        <w:t xml:space="preserve"> </w:t>
      </w:r>
      <w:r>
        <w:rPr>
          <w:lang w:val="fr-FR"/>
        </w:rPr>
        <w:t xml:space="preserve">en vue d’être jugés pour crimes de guerre ou crimes contre l’humanité (par. 16). </w:t>
      </w:r>
    </w:p>
    <w:p w:rsidR="00714CE3" w:rsidRDefault="00714CE3" w:rsidP="00714CE3">
      <w:pPr>
        <w:pStyle w:val="H1G"/>
        <w:rPr>
          <w:lang w:val="fr-FR"/>
        </w:rPr>
      </w:pPr>
      <w:r>
        <w:rPr>
          <w:lang w:val="fr-FR"/>
        </w:rPr>
        <w:tab/>
      </w:r>
      <w:r>
        <w:rPr>
          <w:lang w:val="fr-FR"/>
        </w:rPr>
        <w:tab/>
        <w:t>Article 10</w:t>
      </w:r>
    </w:p>
    <w:p w:rsidR="00714CE3" w:rsidRDefault="00714CE3" w:rsidP="00714CE3">
      <w:pPr>
        <w:pStyle w:val="SingleTxtG"/>
        <w:rPr>
          <w:lang w:val="fr-FR"/>
        </w:rPr>
      </w:pPr>
      <w:r>
        <w:rPr>
          <w:lang w:val="fr-FR"/>
        </w:rPr>
        <w:t>11.</w:t>
      </w:r>
      <w:r>
        <w:rPr>
          <w:lang w:val="fr-FR"/>
        </w:rPr>
        <w:tab/>
        <w:t>Compte tenu des observations finales du Comité (par. 18), veuillez donner des renseignements sur les programmes de formation mis en place par l’État partie pour veiller à ce que le personnel chargé de l’application des lois, y compris les membres de la police et les fonctionnaires de l’administration pénitentiaire, connaissent bien les dispositions de la Convention, qu’aucun manquement ne soit toléré</w:t>
      </w:r>
      <w:r w:rsidR="004A4951">
        <w:rPr>
          <w:lang w:val="fr-FR"/>
        </w:rPr>
        <w:t>,</w:t>
      </w:r>
      <w:r>
        <w:rPr>
          <w:lang w:val="fr-FR"/>
        </w:rPr>
        <w:t xml:space="preserve"> que </w:t>
      </w:r>
      <w:r w:rsidR="004A4951">
        <w:rPr>
          <w:lang w:val="fr-FR"/>
        </w:rPr>
        <w:t xml:space="preserve">la moindre </w:t>
      </w:r>
      <w:r>
        <w:rPr>
          <w:lang w:val="fr-FR"/>
        </w:rPr>
        <w:t xml:space="preserve">violation donne lieu à une enquête et que les </w:t>
      </w:r>
      <w:r w:rsidR="00F925AE">
        <w:rPr>
          <w:lang w:val="fr-FR"/>
        </w:rPr>
        <w:t>personnes qui enfreignent la loi</w:t>
      </w:r>
      <w:r>
        <w:rPr>
          <w:lang w:val="fr-FR"/>
        </w:rPr>
        <w:t xml:space="preserve"> soient poursuivi</w:t>
      </w:r>
      <w:r w:rsidR="00F925AE">
        <w:rPr>
          <w:lang w:val="fr-FR"/>
        </w:rPr>
        <w:t>e</w:t>
      </w:r>
      <w:r>
        <w:rPr>
          <w:lang w:val="fr-FR"/>
        </w:rPr>
        <w:t xml:space="preserve">s. Indiquer également si l’État partie a élaboré un manuel </w:t>
      </w:r>
      <w:r w:rsidR="00AF7B67">
        <w:rPr>
          <w:lang w:val="fr-FR"/>
        </w:rPr>
        <w:t xml:space="preserve">dans lequel il </w:t>
      </w:r>
      <w:r>
        <w:rPr>
          <w:lang w:val="fr-FR"/>
        </w:rPr>
        <w:t xml:space="preserve">décrit les techniques d’interrogation conformes à l’Ensemble de règles minima pour le traitement des détenus et </w:t>
      </w:r>
      <w:r w:rsidR="00BA2387">
        <w:rPr>
          <w:lang w:val="fr-FR"/>
        </w:rPr>
        <w:t xml:space="preserve">celles </w:t>
      </w:r>
      <w:r>
        <w:rPr>
          <w:lang w:val="fr-FR"/>
        </w:rPr>
        <w:t>prohib</w:t>
      </w:r>
      <w:r w:rsidR="00BA2387">
        <w:rPr>
          <w:lang w:val="fr-FR"/>
        </w:rPr>
        <w:t>ées parce que</w:t>
      </w:r>
      <w:r>
        <w:rPr>
          <w:lang w:val="fr-FR"/>
        </w:rPr>
        <w:t xml:space="preserve"> </w:t>
      </w:r>
      <w:r w:rsidRPr="00810E36">
        <w:rPr>
          <w:lang w:val="fr-FR"/>
        </w:rPr>
        <w:t>contraires</w:t>
      </w:r>
      <w:r w:rsidR="00BA2387">
        <w:rPr>
          <w:lang w:val="fr-FR"/>
        </w:rPr>
        <w:t xml:space="preserve"> à ces règles</w:t>
      </w:r>
      <w:r>
        <w:rPr>
          <w:lang w:val="fr-FR"/>
        </w:rPr>
        <w:t>.</w:t>
      </w:r>
    </w:p>
    <w:p w:rsidR="00714CE3" w:rsidRPr="00266F4C" w:rsidRDefault="00714CE3" w:rsidP="00714CE3">
      <w:pPr>
        <w:pStyle w:val="SingleTxtG"/>
        <w:rPr>
          <w:b/>
          <w:bCs/>
          <w:sz w:val="24"/>
          <w:szCs w:val="24"/>
          <w:lang w:val="fr-FR"/>
        </w:rPr>
      </w:pPr>
      <w:r>
        <w:rPr>
          <w:lang w:val="fr-FR"/>
        </w:rPr>
        <w:t>12.</w:t>
      </w:r>
      <w:r>
        <w:rPr>
          <w:lang w:val="fr-FR"/>
        </w:rPr>
        <w:tab/>
        <w:t xml:space="preserve">Veuillez donner des informations détaillées sur les programmes </w:t>
      </w:r>
      <w:r w:rsidR="00542F73">
        <w:rPr>
          <w:lang w:val="fr-FR"/>
        </w:rPr>
        <w:t>de formation d</w:t>
      </w:r>
      <w:r>
        <w:rPr>
          <w:lang w:val="fr-FR"/>
        </w:rPr>
        <w:t xml:space="preserve">es juges, </w:t>
      </w:r>
      <w:r w:rsidR="00542F73">
        <w:rPr>
          <w:lang w:val="fr-FR"/>
        </w:rPr>
        <w:t>d</w:t>
      </w:r>
      <w:r>
        <w:rPr>
          <w:lang w:val="fr-FR"/>
        </w:rPr>
        <w:t xml:space="preserve">es procureurs, </w:t>
      </w:r>
      <w:r w:rsidR="00542F73">
        <w:rPr>
          <w:lang w:val="fr-FR"/>
        </w:rPr>
        <w:t>d</w:t>
      </w:r>
      <w:r>
        <w:rPr>
          <w:lang w:val="fr-FR"/>
        </w:rPr>
        <w:t xml:space="preserve">es médecins légistes et </w:t>
      </w:r>
      <w:r w:rsidR="00542F73">
        <w:rPr>
          <w:lang w:val="fr-FR"/>
        </w:rPr>
        <w:t xml:space="preserve">du </w:t>
      </w:r>
      <w:r>
        <w:rPr>
          <w:lang w:val="fr-FR"/>
        </w:rPr>
        <w:t xml:space="preserve">personnel médical qui s’occupe des détenus </w:t>
      </w:r>
      <w:r w:rsidR="00542F73">
        <w:rPr>
          <w:lang w:val="fr-FR"/>
        </w:rPr>
        <w:t xml:space="preserve">à la </w:t>
      </w:r>
      <w:r>
        <w:rPr>
          <w:lang w:val="fr-FR"/>
        </w:rPr>
        <w:t>détect</w:t>
      </w:r>
      <w:r w:rsidR="00542F73">
        <w:rPr>
          <w:lang w:val="fr-FR"/>
        </w:rPr>
        <w:t>ion d</w:t>
      </w:r>
      <w:r>
        <w:rPr>
          <w:lang w:val="fr-FR"/>
        </w:rPr>
        <w:t xml:space="preserve">es séquelles physiques et psychologiques de la torture et </w:t>
      </w:r>
      <w:r w:rsidR="00542F73">
        <w:rPr>
          <w:lang w:val="fr-FR"/>
        </w:rPr>
        <w:t>à l</w:t>
      </w:r>
      <w:r>
        <w:rPr>
          <w:lang w:val="fr-FR"/>
        </w:rPr>
        <w:t>’établi</w:t>
      </w:r>
      <w:r w:rsidR="00542F73">
        <w:rPr>
          <w:lang w:val="fr-FR"/>
        </w:rPr>
        <w:t>ssement de</w:t>
      </w:r>
      <w:r>
        <w:rPr>
          <w:lang w:val="fr-FR"/>
        </w:rPr>
        <w:t xml:space="preserve"> la réalité des faits de torture. Ces programmes prévoient-ils une formation spécifique </w:t>
      </w:r>
      <w:r w:rsidR="00542F73">
        <w:rPr>
          <w:lang w:val="fr-FR"/>
        </w:rPr>
        <w:t xml:space="preserve">sur </w:t>
      </w:r>
      <w:r>
        <w:rPr>
          <w:lang w:val="fr-FR"/>
        </w:rPr>
        <w:t>le Manuel pour enquêter efficacement sur la torture et autres peines ou traitements cruels, inhumains ou dégradants (Protocole d’Istanbul)?</w:t>
      </w:r>
    </w:p>
    <w:p w:rsidR="00714CE3" w:rsidRPr="00266F4C" w:rsidRDefault="00714CE3" w:rsidP="00714CE3">
      <w:pPr>
        <w:pStyle w:val="H1G"/>
        <w:rPr>
          <w:lang w:val="fr-FR"/>
        </w:rPr>
      </w:pPr>
      <w:r>
        <w:rPr>
          <w:lang w:val="fr-FR"/>
        </w:rPr>
        <w:tab/>
      </w:r>
      <w:r>
        <w:rPr>
          <w:lang w:val="fr-FR"/>
        </w:rPr>
        <w:tab/>
      </w:r>
      <w:r w:rsidRPr="00266F4C">
        <w:rPr>
          <w:lang w:val="fr-FR"/>
        </w:rPr>
        <w:t>Article 11</w:t>
      </w:r>
    </w:p>
    <w:p w:rsidR="00714CE3" w:rsidRDefault="00714CE3" w:rsidP="00714CE3">
      <w:pPr>
        <w:pStyle w:val="SingleTxtG"/>
        <w:rPr>
          <w:rFonts w:eastAsia="SimSun"/>
          <w:lang w:val="fr-FR" w:eastAsia="zh-CN"/>
        </w:rPr>
      </w:pPr>
      <w:r>
        <w:rPr>
          <w:rFonts w:eastAsia="SimSun"/>
          <w:lang w:val="fr-FR" w:eastAsia="zh-CN"/>
        </w:rPr>
        <w:t>13.</w:t>
      </w:r>
      <w:r>
        <w:rPr>
          <w:rFonts w:eastAsia="SimSun"/>
          <w:lang w:val="fr-FR" w:eastAsia="zh-CN"/>
        </w:rPr>
        <w:tab/>
        <w:t>Veuillez d</w:t>
      </w:r>
      <w:r w:rsidRPr="00266F4C">
        <w:rPr>
          <w:rFonts w:eastAsia="SimSun"/>
          <w:lang w:val="fr-FR" w:eastAsia="zh-CN"/>
        </w:rPr>
        <w:t xml:space="preserve">écrire les procédures mises en place pour garantir le respect de l’article 11 de la Convention et donner des renseignements sur les nouvelles règles, directives, méthodes et pratiques ou dispositions qui peuvent avoir été adoptées depuis l’examen du précédent rapport périodique en 2006 en ce qui concerne la garde à vue. Indiquer la fréquence à laquelle elles sont révisées. Décrire les nouvelles mesures prises par l’État partie pour garantir une surveillance efficace et indépendante des lieux de détention et indiquer toutes </w:t>
      </w:r>
      <w:r>
        <w:rPr>
          <w:rFonts w:eastAsia="SimSun"/>
          <w:lang w:val="fr-FR" w:eastAsia="zh-CN"/>
        </w:rPr>
        <w:t xml:space="preserve">les </w:t>
      </w:r>
      <w:r w:rsidRPr="00266F4C">
        <w:rPr>
          <w:rFonts w:eastAsia="SimSun"/>
          <w:lang w:val="fr-FR" w:eastAsia="zh-CN"/>
        </w:rPr>
        <w:t>règles qui interdiraient les investigations, les visites d’organismes ou de mécanismes internationaux ou toute autre forme de surveillance des droits de l’homme.</w:t>
      </w:r>
    </w:p>
    <w:p w:rsidR="00714CE3" w:rsidRDefault="00714CE3" w:rsidP="00714CE3">
      <w:pPr>
        <w:pStyle w:val="SingleTxtG"/>
        <w:rPr>
          <w:rFonts w:eastAsia="SimSun"/>
          <w:lang w:val="fr-FR" w:eastAsia="zh-CN"/>
        </w:rPr>
      </w:pPr>
      <w:r>
        <w:rPr>
          <w:rFonts w:eastAsia="SimSun"/>
          <w:lang w:val="fr-FR" w:eastAsia="zh-CN"/>
        </w:rPr>
        <w:t>14.</w:t>
      </w:r>
      <w:r>
        <w:rPr>
          <w:rFonts w:eastAsia="SimSun"/>
          <w:lang w:val="fr-FR" w:eastAsia="zh-CN"/>
        </w:rPr>
        <w:tab/>
        <w:t xml:space="preserve">Quelles </w:t>
      </w:r>
      <w:r w:rsidR="00A81D9A">
        <w:rPr>
          <w:rFonts w:eastAsia="SimSun"/>
          <w:lang w:val="fr-FR" w:eastAsia="zh-CN"/>
        </w:rPr>
        <w:t xml:space="preserve">ont été les </w:t>
      </w:r>
      <w:r>
        <w:rPr>
          <w:rFonts w:eastAsia="SimSun"/>
          <w:lang w:val="fr-FR" w:eastAsia="zh-CN"/>
        </w:rPr>
        <w:t>mesures prises pour donner suite à la recommandation du Comité (par. 19) exhortant</w:t>
      </w:r>
      <w:r w:rsidR="00CB248B">
        <w:rPr>
          <w:rFonts w:eastAsia="SimSun"/>
          <w:lang w:val="fr-FR" w:eastAsia="zh-CN"/>
        </w:rPr>
        <w:t xml:space="preserve"> </w:t>
      </w:r>
      <w:r>
        <w:rPr>
          <w:rFonts w:eastAsia="SimSun"/>
          <w:lang w:val="fr-FR" w:eastAsia="zh-CN"/>
        </w:rPr>
        <w:t>l’État partie</w:t>
      </w:r>
      <w:r w:rsidR="00CB248B">
        <w:rPr>
          <w:rFonts w:eastAsia="SimSun"/>
          <w:lang w:val="fr-FR" w:eastAsia="zh-CN"/>
        </w:rPr>
        <w:t xml:space="preserve"> </w:t>
      </w:r>
      <w:r>
        <w:rPr>
          <w:rFonts w:eastAsia="SimSun"/>
          <w:lang w:val="fr-FR" w:eastAsia="zh-CN"/>
        </w:rPr>
        <w:t xml:space="preserve">à mettre fin aux pratiques contraires à l’Ensemble de règles minima pour le traitement des détenus? Veuillez commenter les informations </w:t>
      </w:r>
      <w:r w:rsidR="00173442">
        <w:rPr>
          <w:rFonts w:eastAsia="SimSun"/>
          <w:lang w:val="fr-FR" w:eastAsia="zh-CN"/>
        </w:rPr>
        <w:t xml:space="preserve">selon lesquelles </w:t>
      </w:r>
      <w:r>
        <w:rPr>
          <w:rFonts w:eastAsia="SimSun"/>
          <w:lang w:val="fr-FR" w:eastAsia="zh-CN"/>
        </w:rPr>
        <w:t xml:space="preserve">la situation dans les centres de détention togolais est alarmante </w:t>
      </w:r>
      <w:r w:rsidR="00173442">
        <w:rPr>
          <w:rFonts w:eastAsia="SimSun"/>
          <w:lang w:val="fr-FR" w:eastAsia="zh-CN"/>
        </w:rPr>
        <w:t>sur le plan</w:t>
      </w:r>
      <w:r>
        <w:rPr>
          <w:rFonts w:eastAsia="SimSun"/>
          <w:lang w:val="fr-FR" w:eastAsia="zh-CN"/>
        </w:rPr>
        <w:t xml:space="preserve"> des conditions d’hygiène, de l’accès aux soins de santé, de l’alimentation et du surpeuplement.</w:t>
      </w:r>
      <w:r>
        <w:rPr>
          <w:rStyle w:val="FootnoteReference"/>
          <w:rFonts w:eastAsia="SimSun"/>
          <w:lang w:eastAsia="zh-CN"/>
        </w:rPr>
        <w:footnoteReference w:id="11"/>
      </w:r>
      <w:r>
        <w:rPr>
          <w:rFonts w:eastAsia="SimSun"/>
          <w:lang w:val="fr-FR" w:eastAsia="zh-CN"/>
        </w:rPr>
        <w:t xml:space="preserve"> </w:t>
      </w:r>
      <w:r w:rsidR="006C66DD">
        <w:rPr>
          <w:rFonts w:eastAsia="SimSun"/>
          <w:lang w:val="fr-FR" w:eastAsia="zh-CN"/>
        </w:rPr>
        <w:t>F</w:t>
      </w:r>
      <w:r>
        <w:rPr>
          <w:rFonts w:eastAsia="SimSun"/>
          <w:lang w:val="fr-FR" w:eastAsia="zh-CN"/>
        </w:rPr>
        <w:t xml:space="preserve">ournir des données statistiques </w:t>
      </w:r>
      <w:r w:rsidR="00173442">
        <w:rPr>
          <w:rFonts w:eastAsia="SimSun"/>
          <w:lang w:val="fr-FR" w:eastAsia="zh-CN"/>
        </w:rPr>
        <w:t xml:space="preserve">mises à jour et </w:t>
      </w:r>
      <w:r>
        <w:rPr>
          <w:rFonts w:eastAsia="SimSun"/>
          <w:lang w:val="fr-FR" w:eastAsia="zh-CN"/>
        </w:rPr>
        <w:t xml:space="preserve">ventilées par établissement pénitentiaire sur la population carcérale </w:t>
      </w:r>
      <w:r>
        <w:t xml:space="preserve">− condamnés et prévenus − en précisant le sexe, l’âge et l’origine ethnique ou nationale des détenus. </w:t>
      </w:r>
      <w:r w:rsidR="007554D6">
        <w:t>I</w:t>
      </w:r>
      <w:r>
        <w:t xml:space="preserve">ndiquer également le taux d’occupation des centres de détention </w:t>
      </w:r>
      <w:r w:rsidR="00FC41B9">
        <w:t xml:space="preserve">au cours de </w:t>
      </w:r>
      <w:r>
        <w:t>la période</w:t>
      </w:r>
      <w:r w:rsidR="00FC41B9">
        <w:t xml:space="preserve"> comprise entre</w:t>
      </w:r>
      <w:r>
        <w:t xml:space="preserve"> 2007</w:t>
      </w:r>
      <w:r w:rsidR="00FC41B9">
        <w:t xml:space="preserve"> et </w:t>
      </w:r>
      <w:r>
        <w:t xml:space="preserve">2012, ainsi que les niveaux </w:t>
      </w:r>
      <w:r w:rsidRPr="000B2339">
        <w:t>de</w:t>
      </w:r>
      <w:r>
        <w:t xml:space="preserve"> </w:t>
      </w:r>
      <w:r w:rsidR="000B2339">
        <w:t xml:space="preserve">la </w:t>
      </w:r>
      <w:r>
        <w:t>surpopulation carcérale.</w:t>
      </w:r>
    </w:p>
    <w:p w:rsidR="00714CE3" w:rsidRDefault="00714CE3" w:rsidP="00714CE3">
      <w:pPr>
        <w:pStyle w:val="SingleTxtG"/>
        <w:rPr>
          <w:rFonts w:eastAsia="SimSun"/>
          <w:lang w:val="fr-FR" w:eastAsia="zh-CN"/>
        </w:rPr>
      </w:pPr>
      <w:r>
        <w:rPr>
          <w:rFonts w:eastAsia="SimSun"/>
          <w:lang w:val="fr-FR" w:eastAsia="zh-CN"/>
        </w:rPr>
        <w:t>15.</w:t>
      </w:r>
      <w:r>
        <w:rPr>
          <w:rFonts w:eastAsia="SimSun"/>
          <w:lang w:val="fr-FR" w:eastAsia="zh-CN"/>
        </w:rPr>
        <w:tab/>
      </w:r>
      <w:r w:rsidR="001C74ED" w:rsidRPr="000B2339">
        <w:rPr>
          <w:rFonts w:eastAsia="SimSun"/>
          <w:lang w:val="fr-FR" w:eastAsia="zh-CN"/>
        </w:rPr>
        <w:t>Pour donner effet</w:t>
      </w:r>
      <w:r w:rsidR="001C74ED">
        <w:rPr>
          <w:rFonts w:eastAsia="SimSun"/>
          <w:lang w:val="fr-FR" w:eastAsia="zh-CN"/>
        </w:rPr>
        <w:t xml:space="preserve"> </w:t>
      </w:r>
      <w:r>
        <w:rPr>
          <w:rFonts w:eastAsia="SimSun"/>
          <w:lang w:val="fr-FR" w:eastAsia="zh-CN"/>
        </w:rPr>
        <w:t>aux observations finales du Comité, veuillez:</w:t>
      </w:r>
    </w:p>
    <w:p w:rsidR="00714CE3" w:rsidRDefault="00714CE3" w:rsidP="00714CE3">
      <w:pPr>
        <w:pStyle w:val="SingleTxtG"/>
        <w:rPr>
          <w:rFonts w:eastAsia="SimSun"/>
          <w:lang w:val="fr-FR" w:eastAsia="zh-CN"/>
        </w:rPr>
      </w:pPr>
      <w:r>
        <w:rPr>
          <w:rFonts w:eastAsia="SimSun"/>
          <w:lang w:val="fr-FR" w:eastAsia="zh-CN"/>
        </w:rPr>
        <w:tab/>
        <w:t>a)</w:t>
      </w:r>
      <w:r>
        <w:rPr>
          <w:rFonts w:eastAsia="SimSun"/>
          <w:lang w:val="fr-FR" w:eastAsia="zh-CN"/>
        </w:rPr>
        <w:tab/>
        <w:t>Indiquer les mesures prises par l’État partie pour garantir que les prévenus soient séparés des personnes condamnées, les enfants</w:t>
      </w:r>
      <w:r w:rsidR="00923E03">
        <w:rPr>
          <w:rFonts w:eastAsia="SimSun"/>
          <w:lang w:val="fr-FR" w:eastAsia="zh-CN"/>
        </w:rPr>
        <w:t xml:space="preserve"> des adultes</w:t>
      </w:r>
      <w:r>
        <w:rPr>
          <w:rFonts w:eastAsia="SimSun"/>
          <w:lang w:val="fr-FR" w:eastAsia="zh-CN"/>
        </w:rPr>
        <w:t xml:space="preserve"> et les femmes des hommes (par. 19);</w:t>
      </w:r>
    </w:p>
    <w:p w:rsidR="00714CE3" w:rsidRDefault="00714CE3" w:rsidP="00714CE3">
      <w:pPr>
        <w:pStyle w:val="SingleTxtG"/>
        <w:rPr>
          <w:rFonts w:eastAsia="SimSun"/>
          <w:lang w:val="fr-FR" w:eastAsia="zh-CN"/>
        </w:rPr>
      </w:pPr>
      <w:r>
        <w:rPr>
          <w:rFonts w:eastAsia="SimSun"/>
          <w:lang w:val="fr-FR" w:eastAsia="zh-CN"/>
        </w:rPr>
        <w:tab/>
        <w:t>b)</w:t>
      </w:r>
      <w:r>
        <w:rPr>
          <w:rFonts w:eastAsia="SimSun"/>
          <w:lang w:val="fr-FR" w:eastAsia="zh-CN"/>
        </w:rPr>
        <w:tab/>
      </w:r>
      <w:r w:rsidR="00923E03">
        <w:rPr>
          <w:rFonts w:eastAsia="SimSun"/>
          <w:lang w:val="fr-FR" w:eastAsia="zh-CN"/>
        </w:rPr>
        <w:t>Détailler</w:t>
      </w:r>
      <w:r>
        <w:rPr>
          <w:rFonts w:eastAsia="SimSun"/>
          <w:lang w:val="fr-FR" w:eastAsia="zh-CN"/>
        </w:rPr>
        <w:t xml:space="preserve"> </w:t>
      </w:r>
      <w:r w:rsidR="001C74ED">
        <w:rPr>
          <w:rFonts w:eastAsia="SimSun"/>
          <w:lang w:val="fr-FR" w:eastAsia="zh-CN"/>
        </w:rPr>
        <w:t xml:space="preserve">les mesures </w:t>
      </w:r>
      <w:r>
        <w:rPr>
          <w:rFonts w:eastAsia="SimSun"/>
          <w:lang w:val="fr-FR" w:eastAsia="zh-CN"/>
        </w:rPr>
        <w:t xml:space="preserve">prises par l’État partie pour </w:t>
      </w:r>
      <w:r w:rsidR="001C74ED" w:rsidRPr="005D0428">
        <w:rPr>
          <w:rFonts w:eastAsia="SimSun"/>
          <w:lang w:val="fr-FR" w:eastAsia="zh-CN"/>
        </w:rPr>
        <w:t>tenir</w:t>
      </w:r>
      <w:r w:rsidR="001C74ED">
        <w:rPr>
          <w:rFonts w:eastAsia="SimSun"/>
          <w:lang w:val="fr-FR" w:eastAsia="zh-CN"/>
        </w:rPr>
        <w:t xml:space="preserve"> compte des </w:t>
      </w:r>
      <w:r>
        <w:rPr>
          <w:rFonts w:eastAsia="SimSun"/>
          <w:lang w:val="fr-FR" w:eastAsia="zh-CN"/>
        </w:rPr>
        <w:t xml:space="preserve">préoccupations </w:t>
      </w:r>
      <w:r w:rsidR="001C74ED">
        <w:rPr>
          <w:rFonts w:eastAsia="SimSun"/>
          <w:lang w:val="fr-FR" w:eastAsia="zh-CN"/>
        </w:rPr>
        <w:t xml:space="preserve">exprimées par le Comité face aux </w:t>
      </w:r>
      <w:r>
        <w:rPr>
          <w:rFonts w:eastAsia="SimSun"/>
          <w:lang w:val="fr-FR" w:eastAsia="zh-CN"/>
        </w:rPr>
        <w:t xml:space="preserve">allégations </w:t>
      </w:r>
      <w:r w:rsidR="008F53EB">
        <w:rPr>
          <w:rFonts w:eastAsia="SimSun"/>
          <w:lang w:val="fr-FR" w:eastAsia="zh-CN"/>
        </w:rPr>
        <w:t xml:space="preserve">selon lesquelles </w:t>
      </w:r>
      <w:r>
        <w:rPr>
          <w:rFonts w:eastAsia="SimSun"/>
          <w:lang w:val="fr-FR" w:eastAsia="zh-CN"/>
        </w:rPr>
        <w:t>d</w:t>
      </w:r>
      <w:r w:rsidR="008F53EB">
        <w:rPr>
          <w:rFonts w:eastAsia="SimSun"/>
          <w:lang w:val="fr-FR" w:eastAsia="zh-CN"/>
        </w:rPr>
        <w:t xml:space="preserve">es </w:t>
      </w:r>
      <w:r>
        <w:rPr>
          <w:rFonts w:eastAsia="SimSun"/>
          <w:lang w:val="fr-FR" w:eastAsia="zh-CN"/>
        </w:rPr>
        <w:t xml:space="preserve">actes de violence sexuelle </w:t>
      </w:r>
      <w:r w:rsidR="00923E03">
        <w:rPr>
          <w:rFonts w:eastAsia="SimSun"/>
          <w:lang w:val="fr-FR" w:eastAsia="zh-CN"/>
        </w:rPr>
        <w:t>seraient</w:t>
      </w:r>
      <w:r w:rsidR="008F53EB">
        <w:rPr>
          <w:rFonts w:eastAsia="SimSun"/>
          <w:lang w:val="fr-FR" w:eastAsia="zh-CN"/>
        </w:rPr>
        <w:t xml:space="preserve"> commis </w:t>
      </w:r>
      <w:r>
        <w:rPr>
          <w:rFonts w:eastAsia="SimSun"/>
          <w:lang w:val="fr-FR" w:eastAsia="zh-CN"/>
        </w:rPr>
        <w:t xml:space="preserve">contre </w:t>
      </w:r>
      <w:r w:rsidR="00923E03">
        <w:rPr>
          <w:rFonts w:eastAsia="SimSun"/>
          <w:lang w:val="fr-FR" w:eastAsia="zh-CN"/>
        </w:rPr>
        <w:t>l</w:t>
      </w:r>
      <w:r>
        <w:rPr>
          <w:rFonts w:eastAsia="SimSun"/>
          <w:lang w:val="fr-FR" w:eastAsia="zh-CN"/>
        </w:rPr>
        <w:t>es femmes placées en détention (par. 20);</w:t>
      </w:r>
    </w:p>
    <w:p w:rsidR="00714CE3" w:rsidRDefault="00714CE3" w:rsidP="00714CE3">
      <w:pPr>
        <w:pStyle w:val="SingleTxtG"/>
        <w:rPr>
          <w:rFonts w:eastAsia="SimSun"/>
          <w:lang w:val="fr-FR" w:eastAsia="zh-CN"/>
        </w:rPr>
      </w:pPr>
      <w:r>
        <w:rPr>
          <w:rFonts w:eastAsia="SimSun"/>
          <w:lang w:val="fr-FR" w:eastAsia="zh-CN"/>
        </w:rPr>
        <w:tab/>
        <w:t>c)</w:t>
      </w:r>
      <w:r>
        <w:rPr>
          <w:rFonts w:eastAsia="SimSun"/>
          <w:lang w:val="fr-FR" w:eastAsia="zh-CN"/>
        </w:rPr>
        <w:tab/>
        <w:t xml:space="preserve">Donner des informations sur l’organisme public </w:t>
      </w:r>
      <w:r w:rsidR="00923E03">
        <w:rPr>
          <w:rFonts w:eastAsia="SimSun"/>
          <w:lang w:val="fr-FR" w:eastAsia="zh-CN"/>
        </w:rPr>
        <w:t xml:space="preserve">qui est </w:t>
      </w:r>
      <w:r>
        <w:rPr>
          <w:rFonts w:eastAsia="SimSun"/>
          <w:lang w:val="fr-FR" w:eastAsia="zh-CN"/>
        </w:rPr>
        <w:t xml:space="preserve">chargé de contrôler les lieux de détention et de veiller à </w:t>
      </w:r>
      <w:r w:rsidR="00923E03">
        <w:rPr>
          <w:rFonts w:eastAsia="SimSun"/>
          <w:lang w:val="fr-FR" w:eastAsia="zh-CN"/>
        </w:rPr>
        <w:t>empêcher la pratique de</w:t>
      </w:r>
      <w:r>
        <w:rPr>
          <w:rFonts w:eastAsia="SimSun"/>
          <w:lang w:val="fr-FR" w:eastAsia="zh-CN"/>
        </w:rPr>
        <w:t xml:space="preserve"> la torture et d’autres formes de mauvais traitements contraires à la Convention. Veuillez </w:t>
      </w:r>
      <w:r w:rsidR="003816B4">
        <w:rPr>
          <w:rFonts w:eastAsia="SimSun"/>
          <w:lang w:val="fr-FR" w:eastAsia="zh-CN"/>
        </w:rPr>
        <w:t xml:space="preserve">fournir </w:t>
      </w:r>
      <w:r>
        <w:rPr>
          <w:rFonts w:eastAsia="SimSun"/>
          <w:lang w:val="fr-FR" w:eastAsia="zh-CN"/>
        </w:rPr>
        <w:t>aussi des précisions quant à sa composition, son mandat et ses pouvoirs (par. 21).</w:t>
      </w:r>
    </w:p>
    <w:p w:rsidR="00714CE3" w:rsidRPr="00266F4C" w:rsidRDefault="00714CE3" w:rsidP="00714CE3">
      <w:pPr>
        <w:pStyle w:val="H1G"/>
        <w:rPr>
          <w:lang w:val="fr-FR"/>
        </w:rPr>
      </w:pPr>
      <w:r>
        <w:rPr>
          <w:lang w:val="fr-FR"/>
        </w:rPr>
        <w:tab/>
      </w:r>
      <w:r>
        <w:rPr>
          <w:lang w:val="fr-FR"/>
        </w:rPr>
        <w:tab/>
      </w:r>
      <w:r w:rsidRPr="00266F4C">
        <w:rPr>
          <w:lang w:val="fr-FR"/>
        </w:rPr>
        <w:t>Article</w:t>
      </w:r>
      <w:r>
        <w:rPr>
          <w:lang w:val="fr-FR"/>
        </w:rPr>
        <w:t>s</w:t>
      </w:r>
      <w:r w:rsidRPr="00266F4C">
        <w:rPr>
          <w:lang w:val="fr-FR"/>
        </w:rPr>
        <w:t xml:space="preserve"> 12 et 13</w:t>
      </w:r>
    </w:p>
    <w:p w:rsidR="00714CE3" w:rsidRPr="00266F4C" w:rsidRDefault="00714CE3" w:rsidP="00714CE3">
      <w:pPr>
        <w:pStyle w:val="SingleTxtG"/>
        <w:rPr>
          <w:lang w:val="fr-FR"/>
        </w:rPr>
      </w:pPr>
      <w:r>
        <w:rPr>
          <w:lang w:val="fr-FR"/>
        </w:rPr>
        <w:t>16.</w:t>
      </w:r>
      <w:r>
        <w:rPr>
          <w:lang w:val="fr-FR"/>
        </w:rPr>
        <w:tab/>
      </w:r>
      <w:r w:rsidRPr="00266F4C">
        <w:rPr>
          <w:lang w:val="fr-FR"/>
        </w:rPr>
        <w:t xml:space="preserve">Dans ses précédentes </w:t>
      </w:r>
      <w:r>
        <w:rPr>
          <w:rFonts w:eastAsia="SimSun"/>
          <w:lang w:val="fr-FR" w:eastAsia="zh-CN"/>
        </w:rPr>
        <w:t>observations finales</w:t>
      </w:r>
      <w:r w:rsidRPr="00266F4C">
        <w:rPr>
          <w:lang w:val="fr-FR"/>
        </w:rPr>
        <w:t xml:space="preserve"> (par. 12), le Comité s’est déclaré préoccupé par des allégations faisant état de graves violations des droits de l’homme commises pendant et après l’élection présidentielle du 24 avril 2005. Veuillez fournir des informations détaillées sur les enquêtes et les poursuites diligentées, </w:t>
      </w:r>
      <w:r w:rsidR="0041051F">
        <w:rPr>
          <w:lang w:val="fr-FR"/>
        </w:rPr>
        <w:t xml:space="preserve">de même que </w:t>
      </w:r>
      <w:r w:rsidR="008C7C46">
        <w:rPr>
          <w:lang w:val="fr-FR"/>
        </w:rPr>
        <w:t xml:space="preserve">sur </w:t>
      </w:r>
      <w:r w:rsidRPr="00266F4C">
        <w:rPr>
          <w:lang w:val="fr-FR"/>
        </w:rPr>
        <w:t>le type de sanctions prononcées à l’encontre des auteurs de ces violations et d’indemnisations octroyées aux victimes ou</w:t>
      </w:r>
      <w:r w:rsidR="0041051F">
        <w:rPr>
          <w:lang w:val="fr-FR"/>
        </w:rPr>
        <w:t xml:space="preserve"> à</w:t>
      </w:r>
      <w:r w:rsidRPr="00266F4C">
        <w:rPr>
          <w:lang w:val="fr-FR"/>
        </w:rPr>
        <w:t xml:space="preserve"> leurs proches.</w:t>
      </w:r>
    </w:p>
    <w:p w:rsidR="00714CE3" w:rsidRDefault="00714CE3" w:rsidP="00714CE3">
      <w:pPr>
        <w:pStyle w:val="SingleTxtG"/>
        <w:rPr>
          <w:lang w:val="fr-FR"/>
        </w:rPr>
      </w:pPr>
      <w:r>
        <w:rPr>
          <w:lang w:val="fr-FR"/>
        </w:rPr>
        <w:t>17.</w:t>
      </w:r>
      <w:r>
        <w:rPr>
          <w:lang w:val="fr-FR"/>
        </w:rPr>
        <w:tab/>
        <w:t>Compte tenu des allégations selon lesquelles</w:t>
      </w:r>
      <w:r w:rsidR="008C7C46">
        <w:rPr>
          <w:lang w:val="fr-FR"/>
        </w:rPr>
        <w:t>,</w:t>
      </w:r>
      <w:r>
        <w:rPr>
          <w:lang w:val="fr-FR"/>
        </w:rPr>
        <w:t xml:space="preserve"> dans la pratique</w:t>
      </w:r>
      <w:r w:rsidR="008C7C46">
        <w:rPr>
          <w:lang w:val="fr-FR"/>
        </w:rPr>
        <w:t>,</w:t>
      </w:r>
      <w:r>
        <w:rPr>
          <w:lang w:val="fr-FR"/>
        </w:rPr>
        <w:t xml:space="preserve"> </w:t>
      </w:r>
      <w:r w:rsidR="008C7C46" w:rsidRPr="00C93047">
        <w:rPr>
          <w:lang w:val="fr-FR"/>
        </w:rPr>
        <w:t>rares</w:t>
      </w:r>
      <w:r w:rsidR="008C7C46">
        <w:rPr>
          <w:lang w:val="fr-FR"/>
        </w:rPr>
        <w:t xml:space="preserve"> </w:t>
      </w:r>
      <w:r w:rsidR="00374EDB">
        <w:rPr>
          <w:lang w:val="fr-FR"/>
        </w:rPr>
        <w:t xml:space="preserve">sont </w:t>
      </w:r>
      <w:r w:rsidR="008C7C46">
        <w:rPr>
          <w:lang w:val="fr-FR"/>
        </w:rPr>
        <w:t>les</w:t>
      </w:r>
      <w:r w:rsidR="00374EDB">
        <w:rPr>
          <w:lang w:val="fr-FR"/>
        </w:rPr>
        <w:t xml:space="preserve"> </w:t>
      </w:r>
      <w:r>
        <w:rPr>
          <w:lang w:val="fr-FR"/>
        </w:rPr>
        <w:t xml:space="preserve">manquements ou </w:t>
      </w:r>
      <w:r w:rsidR="008C7C46">
        <w:rPr>
          <w:lang w:val="fr-FR"/>
        </w:rPr>
        <w:t>l</w:t>
      </w:r>
      <w:r>
        <w:rPr>
          <w:lang w:val="fr-FR"/>
        </w:rPr>
        <w:t>es abus donnant lieu à des enquêtes,</w:t>
      </w:r>
      <w:r w:rsidR="00CB248B">
        <w:rPr>
          <w:lang w:val="fr-FR"/>
        </w:rPr>
        <w:t xml:space="preserve"> </w:t>
      </w:r>
      <w:r>
        <w:rPr>
          <w:lang w:val="fr-FR"/>
        </w:rPr>
        <w:t>veuillez fournir</w:t>
      </w:r>
      <w:r w:rsidR="001F6C1D">
        <w:rPr>
          <w:lang w:val="fr-FR"/>
        </w:rPr>
        <w:t xml:space="preserve"> pour</w:t>
      </w:r>
      <w:r w:rsidR="00F77C14">
        <w:rPr>
          <w:lang w:val="fr-FR"/>
        </w:rPr>
        <w:t xml:space="preserve"> la période s’étendant de</w:t>
      </w:r>
      <w:r w:rsidR="001F6C1D">
        <w:rPr>
          <w:lang w:val="fr-FR"/>
        </w:rPr>
        <w:t xml:space="preserve"> </w:t>
      </w:r>
      <w:r w:rsidRPr="00C93047">
        <w:rPr>
          <w:lang w:val="fr-FR"/>
        </w:rPr>
        <w:t>2007</w:t>
      </w:r>
      <w:r w:rsidR="001D5C9F" w:rsidRPr="00C93047">
        <w:rPr>
          <w:lang w:val="fr-FR"/>
        </w:rPr>
        <w:t xml:space="preserve"> à </w:t>
      </w:r>
      <w:r w:rsidRPr="00C93047">
        <w:rPr>
          <w:lang w:val="fr-FR"/>
        </w:rPr>
        <w:t>2012</w:t>
      </w:r>
      <w:r>
        <w:rPr>
          <w:lang w:val="fr-FR"/>
        </w:rPr>
        <w:t xml:space="preserve"> </w:t>
      </w:r>
      <w:r w:rsidR="001F6C1D">
        <w:rPr>
          <w:lang w:val="fr-FR"/>
        </w:rPr>
        <w:t xml:space="preserve">les renseignements suivants </w:t>
      </w:r>
      <w:r>
        <w:rPr>
          <w:lang w:val="fr-FR"/>
        </w:rPr>
        <w:t>(par. 31)</w:t>
      </w:r>
      <w:r w:rsidR="001F6C1D">
        <w:rPr>
          <w:lang w:val="fr-FR"/>
        </w:rPr>
        <w:t xml:space="preserve"> sur</w:t>
      </w:r>
      <w:r>
        <w:rPr>
          <w:lang w:val="fr-FR"/>
        </w:rPr>
        <w:t>:</w:t>
      </w:r>
      <w:r w:rsidR="001F6C1D" w:rsidRPr="001F6C1D">
        <w:rPr>
          <w:lang w:val="fr-FR"/>
        </w:rPr>
        <w:t xml:space="preserve"> </w:t>
      </w:r>
    </w:p>
    <w:p w:rsidR="00714CE3" w:rsidRDefault="00714CE3" w:rsidP="00714CE3">
      <w:pPr>
        <w:pStyle w:val="SingleTxtG"/>
        <w:rPr>
          <w:lang w:val="fr-FR"/>
        </w:rPr>
      </w:pPr>
      <w:r>
        <w:rPr>
          <w:lang w:val="fr-FR"/>
        </w:rPr>
        <w:tab/>
        <w:t>a)</w:t>
      </w:r>
      <w:r>
        <w:rPr>
          <w:lang w:val="fr-FR"/>
        </w:rPr>
        <w:tab/>
        <w:t>Le nombre de</w:t>
      </w:r>
      <w:r w:rsidR="00CF7BFE">
        <w:rPr>
          <w:lang w:val="fr-FR"/>
        </w:rPr>
        <w:t>s</w:t>
      </w:r>
      <w:r>
        <w:rPr>
          <w:lang w:val="fr-FR"/>
        </w:rPr>
        <w:t xml:space="preserve"> cas allégués de torture ou autres traitements cruels, inhumains ou dégradants en précisant le nombre de cas dans lesquels </w:t>
      </w:r>
      <w:r w:rsidR="00C65ABA">
        <w:rPr>
          <w:lang w:val="fr-FR"/>
        </w:rPr>
        <w:t xml:space="preserve">sont </w:t>
      </w:r>
      <w:r>
        <w:rPr>
          <w:lang w:val="fr-FR"/>
        </w:rPr>
        <w:t>impliqués</w:t>
      </w:r>
      <w:r w:rsidR="00CF7BFE">
        <w:rPr>
          <w:lang w:val="fr-FR"/>
        </w:rPr>
        <w:t xml:space="preserve"> </w:t>
      </w:r>
      <w:r>
        <w:rPr>
          <w:lang w:val="fr-FR"/>
        </w:rPr>
        <w:t xml:space="preserve"> respectivement la police, l’armée et le système pénitentiaire. Veuillez fournir des statistiques </w:t>
      </w:r>
      <w:r w:rsidR="00CF7BFE">
        <w:rPr>
          <w:lang w:val="fr-FR"/>
        </w:rPr>
        <w:t xml:space="preserve">sur </w:t>
      </w:r>
      <w:r>
        <w:rPr>
          <w:lang w:val="fr-FR"/>
        </w:rPr>
        <w:t>les institutions en cause, l’endroit où les faits ont été commis et le sexe, l’âge et l’origine ethnique ou nationale des victimes;</w:t>
      </w:r>
    </w:p>
    <w:p w:rsidR="00714CE3" w:rsidRDefault="00714CE3" w:rsidP="00714CE3">
      <w:pPr>
        <w:pStyle w:val="SingleTxtG"/>
        <w:rPr>
          <w:lang w:val="fr-FR"/>
        </w:rPr>
      </w:pPr>
      <w:r>
        <w:rPr>
          <w:lang w:val="fr-FR"/>
        </w:rPr>
        <w:tab/>
      </w:r>
      <w:r w:rsidRPr="00547035">
        <w:rPr>
          <w:lang w:val="fr-FR"/>
        </w:rPr>
        <w:t>b)</w:t>
      </w:r>
      <w:r w:rsidRPr="00547035">
        <w:rPr>
          <w:lang w:val="fr-FR"/>
        </w:rPr>
        <w:tab/>
        <w:t xml:space="preserve">L’état d’avancement et les résultats de chaque enquête menée sur </w:t>
      </w:r>
      <w:r w:rsidR="00CF7BFE" w:rsidRPr="00547035">
        <w:rPr>
          <w:lang w:val="fr-FR"/>
        </w:rPr>
        <w:t>d</w:t>
      </w:r>
      <w:r w:rsidRPr="00547035">
        <w:rPr>
          <w:lang w:val="fr-FR"/>
        </w:rPr>
        <w:t>es actes de torture ou autres traitements cruels, inhumains ou dégradants ayant fait l’objet d’une plainte, et les condamnations éventuellement prononcées;</w:t>
      </w:r>
    </w:p>
    <w:p w:rsidR="00714CE3" w:rsidRDefault="00714CE3" w:rsidP="00714CE3">
      <w:pPr>
        <w:pStyle w:val="SingleTxtG"/>
        <w:rPr>
          <w:lang w:val="fr-FR"/>
        </w:rPr>
      </w:pPr>
      <w:r>
        <w:rPr>
          <w:lang w:val="fr-FR"/>
        </w:rPr>
        <w:tab/>
        <w:t>c)</w:t>
      </w:r>
      <w:r>
        <w:rPr>
          <w:lang w:val="fr-FR"/>
        </w:rPr>
        <w:tab/>
        <w:t>Le nombre de</w:t>
      </w:r>
      <w:r w:rsidR="00547035">
        <w:rPr>
          <w:lang w:val="fr-FR"/>
        </w:rPr>
        <w:t>s</w:t>
      </w:r>
      <w:r>
        <w:rPr>
          <w:lang w:val="fr-FR"/>
        </w:rPr>
        <w:t xml:space="preserve"> policiers, militaires ou agents des services pénitentiaires suspendus de leur</w:t>
      </w:r>
      <w:r w:rsidR="00547035">
        <w:rPr>
          <w:lang w:val="fr-FR"/>
        </w:rPr>
        <w:t>s</w:t>
      </w:r>
      <w:r>
        <w:rPr>
          <w:lang w:val="fr-FR"/>
        </w:rPr>
        <w:t xml:space="preserve"> fonctions </w:t>
      </w:r>
      <w:r w:rsidR="00C72970">
        <w:rPr>
          <w:lang w:val="fr-FR"/>
        </w:rPr>
        <w:t xml:space="preserve">par </w:t>
      </w:r>
      <w:r>
        <w:rPr>
          <w:lang w:val="fr-FR"/>
        </w:rPr>
        <w:t xml:space="preserve">mesure </w:t>
      </w:r>
      <w:r w:rsidR="00C72970">
        <w:rPr>
          <w:lang w:val="fr-FR"/>
        </w:rPr>
        <w:t xml:space="preserve">de </w:t>
      </w:r>
      <w:r>
        <w:rPr>
          <w:lang w:val="fr-FR"/>
        </w:rPr>
        <w:t>préventi</w:t>
      </w:r>
      <w:r w:rsidR="00547035">
        <w:rPr>
          <w:lang w:val="fr-FR"/>
        </w:rPr>
        <w:t>on</w:t>
      </w:r>
      <w:r>
        <w:rPr>
          <w:lang w:val="fr-FR"/>
        </w:rPr>
        <w:t xml:space="preserve"> ou de sanction, ou ultérieurement démis de leurs fonctions pour s’être livrés à des actes de torture ou autres traitements cruels, inhumains ou dégradants;</w:t>
      </w:r>
    </w:p>
    <w:p w:rsidR="00714CE3" w:rsidRDefault="00714CE3" w:rsidP="00714CE3">
      <w:pPr>
        <w:pStyle w:val="SingleTxtG"/>
        <w:rPr>
          <w:lang w:val="fr-FR"/>
        </w:rPr>
      </w:pPr>
      <w:r>
        <w:rPr>
          <w:lang w:val="fr-FR"/>
        </w:rPr>
        <w:tab/>
        <w:t>d)</w:t>
      </w:r>
      <w:r>
        <w:rPr>
          <w:lang w:val="fr-FR"/>
        </w:rPr>
        <w:tab/>
        <w:t xml:space="preserve">La juridiction (ordinaire ou militaire) qui a </w:t>
      </w:r>
      <w:r w:rsidRPr="00C93047">
        <w:rPr>
          <w:lang w:val="fr-FR"/>
        </w:rPr>
        <w:t>procédé</w:t>
      </w:r>
      <w:r>
        <w:rPr>
          <w:lang w:val="fr-FR"/>
        </w:rPr>
        <w:t xml:space="preserve"> aux enquêtes;</w:t>
      </w:r>
    </w:p>
    <w:p w:rsidR="00714CE3" w:rsidRDefault="00714CE3" w:rsidP="00714CE3">
      <w:pPr>
        <w:pStyle w:val="SingleTxtG"/>
        <w:rPr>
          <w:lang w:val="fr-FR"/>
        </w:rPr>
      </w:pPr>
      <w:r>
        <w:rPr>
          <w:lang w:val="fr-FR"/>
        </w:rPr>
        <w:tab/>
        <w:t>e)</w:t>
      </w:r>
      <w:r>
        <w:rPr>
          <w:lang w:val="fr-FR"/>
        </w:rPr>
        <w:tab/>
        <w:t>Les allégations d</w:t>
      </w:r>
      <w:r w:rsidR="003D5DC6">
        <w:rPr>
          <w:lang w:val="fr-FR"/>
        </w:rPr>
        <w:t>’</w:t>
      </w:r>
      <w:r>
        <w:rPr>
          <w:lang w:val="fr-FR"/>
        </w:rPr>
        <w:t xml:space="preserve">actes de torture ou </w:t>
      </w:r>
      <w:r w:rsidR="003D5DC6">
        <w:rPr>
          <w:lang w:val="fr-FR"/>
        </w:rPr>
        <w:t>d’</w:t>
      </w:r>
      <w:r>
        <w:rPr>
          <w:lang w:val="fr-FR"/>
        </w:rPr>
        <w:t>autres traitements cruels, inhumains ou dégradants qui ont donné lieu à un acquittement;</w:t>
      </w:r>
    </w:p>
    <w:p w:rsidR="00714CE3" w:rsidRPr="00266F4C" w:rsidRDefault="00714CE3" w:rsidP="00714CE3">
      <w:pPr>
        <w:pStyle w:val="SingleTxtG"/>
        <w:rPr>
          <w:lang w:val="fr-FR"/>
        </w:rPr>
      </w:pPr>
      <w:r>
        <w:rPr>
          <w:lang w:val="fr-FR"/>
        </w:rPr>
        <w:tab/>
      </w:r>
      <w:r w:rsidRPr="00266F4C">
        <w:rPr>
          <w:lang w:val="fr-FR"/>
        </w:rPr>
        <w:t>f)</w:t>
      </w:r>
      <w:r w:rsidRPr="00266F4C">
        <w:rPr>
          <w:lang w:val="fr-FR"/>
        </w:rPr>
        <w:tab/>
      </w:r>
      <w:r>
        <w:rPr>
          <w:lang w:val="fr-FR"/>
        </w:rPr>
        <w:t>Les indemnisation</w:t>
      </w:r>
      <w:r w:rsidR="003D5DC6">
        <w:rPr>
          <w:lang w:val="fr-FR"/>
        </w:rPr>
        <w:t>s</w:t>
      </w:r>
      <w:r>
        <w:rPr>
          <w:lang w:val="fr-FR"/>
        </w:rPr>
        <w:t xml:space="preserve"> et les services de réadaptation offerts aux victimes.</w:t>
      </w:r>
    </w:p>
    <w:p w:rsidR="00714CE3" w:rsidRDefault="00714CE3" w:rsidP="00714CE3">
      <w:pPr>
        <w:pStyle w:val="SingleTxtG"/>
        <w:rPr>
          <w:rFonts w:eastAsia="SimSun"/>
          <w:lang w:val="fr-FR" w:eastAsia="zh-CN"/>
        </w:rPr>
      </w:pPr>
      <w:r>
        <w:rPr>
          <w:rFonts w:eastAsia="SimSun"/>
          <w:lang w:val="fr-FR" w:eastAsia="zh-CN"/>
        </w:rPr>
        <w:t>18.</w:t>
      </w:r>
      <w:r>
        <w:rPr>
          <w:rFonts w:eastAsia="SimSun"/>
          <w:lang w:val="fr-FR" w:eastAsia="zh-CN"/>
        </w:rPr>
        <w:tab/>
        <w:t xml:space="preserve">Veuillez fournir aussi des données statistiques sur les décès en détention </w:t>
      </w:r>
      <w:r w:rsidR="003D5DC6">
        <w:rPr>
          <w:rFonts w:eastAsia="SimSun"/>
          <w:lang w:val="fr-FR" w:eastAsia="zh-CN"/>
        </w:rPr>
        <w:t>rapportés</w:t>
      </w:r>
      <w:r w:rsidR="00374EDB">
        <w:rPr>
          <w:rFonts w:eastAsia="SimSun"/>
          <w:lang w:val="fr-FR" w:eastAsia="zh-CN"/>
        </w:rPr>
        <w:t xml:space="preserve"> </w:t>
      </w:r>
      <w:r>
        <w:rPr>
          <w:rFonts w:eastAsia="SimSun"/>
          <w:lang w:val="fr-FR" w:eastAsia="zh-CN"/>
        </w:rPr>
        <w:t xml:space="preserve">entre 2007 et 2012, en les ventilant par lieu de détention, sexe, âge, origine ethnique ou nationale et cause du décès. </w:t>
      </w:r>
      <w:r w:rsidR="006C66DD">
        <w:rPr>
          <w:rFonts w:eastAsia="SimSun"/>
          <w:lang w:val="fr-FR" w:eastAsia="zh-CN"/>
        </w:rPr>
        <w:t>D</w:t>
      </w:r>
      <w:r>
        <w:rPr>
          <w:rFonts w:eastAsia="SimSun"/>
          <w:lang w:val="fr-FR" w:eastAsia="zh-CN"/>
        </w:rPr>
        <w:t>onner des informations détaillées sur le résultat des enquêtes sur ces décès ainsi que sur les mesures appliquées pour empêcher que des situations de ce type ne se reproduisent.</w:t>
      </w:r>
    </w:p>
    <w:p w:rsidR="00714CE3" w:rsidRPr="00266F4C" w:rsidRDefault="00714CE3" w:rsidP="00714CE3">
      <w:pPr>
        <w:pStyle w:val="H1G"/>
        <w:rPr>
          <w:lang w:val="fr-FR"/>
        </w:rPr>
      </w:pPr>
      <w:r>
        <w:rPr>
          <w:lang w:val="fr-FR"/>
        </w:rPr>
        <w:tab/>
      </w:r>
      <w:r>
        <w:rPr>
          <w:lang w:val="fr-FR"/>
        </w:rPr>
        <w:tab/>
      </w:r>
      <w:r w:rsidRPr="00266F4C">
        <w:rPr>
          <w:lang w:val="fr-FR"/>
        </w:rPr>
        <w:t>Article 14</w:t>
      </w:r>
    </w:p>
    <w:p w:rsidR="00714CE3" w:rsidRPr="00266F4C" w:rsidRDefault="00714CE3" w:rsidP="00714CE3">
      <w:pPr>
        <w:pStyle w:val="SingleTxtG"/>
        <w:rPr>
          <w:rFonts w:eastAsia="SimSun"/>
          <w:lang w:val="fr-FR" w:eastAsia="zh-CN"/>
        </w:rPr>
      </w:pPr>
      <w:r>
        <w:rPr>
          <w:rFonts w:eastAsia="SimSun"/>
          <w:lang w:val="fr-FR" w:eastAsia="zh-CN"/>
        </w:rPr>
        <w:t>19.</w:t>
      </w:r>
      <w:r>
        <w:rPr>
          <w:rFonts w:eastAsia="SimSun"/>
          <w:lang w:val="fr-FR" w:eastAsia="zh-CN"/>
        </w:rPr>
        <w:tab/>
        <w:t>Veuillez d</w:t>
      </w:r>
      <w:r w:rsidRPr="00266F4C">
        <w:rPr>
          <w:rFonts w:eastAsia="SimSun"/>
          <w:lang w:val="fr-FR" w:eastAsia="zh-CN"/>
        </w:rPr>
        <w:t>onner des renseignements sur les mesures de réparation et d’indemnisation ordonnées par les tribunaux dont ont effectivement bénéficié les victimes d’actes de torture ou leur famille depuis l’examen du précéde</w:t>
      </w:r>
      <w:r>
        <w:rPr>
          <w:rFonts w:eastAsia="SimSun"/>
          <w:lang w:val="fr-FR" w:eastAsia="zh-CN"/>
        </w:rPr>
        <w:t xml:space="preserve">nt rapport périodique en 2006. </w:t>
      </w:r>
      <w:r w:rsidR="003F3D93">
        <w:rPr>
          <w:rFonts w:eastAsia="SimSun"/>
          <w:lang w:val="fr-FR" w:eastAsia="zh-CN"/>
        </w:rPr>
        <w:t>I</w:t>
      </w:r>
      <w:r w:rsidRPr="00266F4C">
        <w:rPr>
          <w:rFonts w:eastAsia="SimSun"/>
          <w:lang w:val="fr-FR" w:eastAsia="zh-CN"/>
        </w:rPr>
        <w:t>ndiquer</w:t>
      </w:r>
      <w:r w:rsidR="003F3D93">
        <w:rPr>
          <w:rFonts w:eastAsia="SimSun"/>
          <w:lang w:val="fr-FR" w:eastAsia="zh-CN"/>
        </w:rPr>
        <w:t>,</w:t>
      </w:r>
      <w:r w:rsidRPr="00266F4C">
        <w:rPr>
          <w:rFonts w:eastAsia="SimSun"/>
          <w:lang w:val="fr-FR" w:eastAsia="zh-CN"/>
        </w:rPr>
        <w:t xml:space="preserve"> notamment</w:t>
      </w:r>
      <w:r w:rsidR="003F3D93">
        <w:rPr>
          <w:rFonts w:eastAsia="SimSun"/>
          <w:lang w:val="fr-FR" w:eastAsia="zh-CN"/>
        </w:rPr>
        <w:t>,</w:t>
      </w:r>
      <w:r w:rsidRPr="00266F4C">
        <w:rPr>
          <w:rFonts w:eastAsia="SimSun"/>
          <w:lang w:val="fr-FR" w:eastAsia="zh-CN"/>
        </w:rPr>
        <w:t xml:space="preserve"> combien de </w:t>
      </w:r>
      <w:r w:rsidR="003F3D93">
        <w:rPr>
          <w:rFonts w:eastAsia="SimSun"/>
          <w:lang w:val="fr-FR" w:eastAsia="zh-CN"/>
        </w:rPr>
        <w:t>requêtes</w:t>
      </w:r>
      <w:r w:rsidR="003F3D93" w:rsidRPr="00266F4C">
        <w:rPr>
          <w:rFonts w:eastAsia="SimSun"/>
          <w:lang w:val="fr-FR" w:eastAsia="zh-CN"/>
        </w:rPr>
        <w:t xml:space="preserve"> </w:t>
      </w:r>
      <w:r w:rsidRPr="00266F4C">
        <w:rPr>
          <w:rFonts w:eastAsia="SimSun"/>
          <w:lang w:val="fr-FR" w:eastAsia="zh-CN"/>
        </w:rPr>
        <w:t xml:space="preserve">ont été présentées, combien </w:t>
      </w:r>
      <w:r w:rsidR="003F3D93">
        <w:rPr>
          <w:rFonts w:eastAsia="SimSun"/>
          <w:lang w:val="fr-FR" w:eastAsia="zh-CN"/>
        </w:rPr>
        <w:t xml:space="preserve">d’entre elles </w:t>
      </w:r>
      <w:r w:rsidRPr="00266F4C">
        <w:rPr>
          <w:rFonts w:eastAsia="SimSun"/>
          <w:lang w:val="fr-FR" w:eastAsia="zh-CN"/>
        </w:rPr>
        <w:t>ont abouti et quel a été le montant de l’indemnité accordée et effectivement versée dans chaque cas.</w:t>
      </w:r>
    </w:p>
    <w:p w:rsidR="00714CE3" w:rsidRDefault="00714CE3" w:rsidP="00714CE3">
      <w:pPr>
        <w:pStyle w:val="H1G"/>
        <w:rPr>
          <w:lang w:val="fr-FR"/>
        </w:rPr>
      </w:pPr>
      <w:r>
        <w:rPr>
          <w:lang w:val="fr-FR"/>
        </w:rPr>
        <w:tab/>
      </w:r>
      <w:r>
        <w:rPr>
          <w:lang w:val="fr-FR"/>
        </w:rPr>
        <w:tab/>
        <w:t>Article 15</w:t>
      </w:r>
    </w:p>
    <w:p w:rsidR="00714CE3" w:rsidRDefault="00714CE3" w:rsidP="00714CE3">
      <w:pPr>
        <w:pStyle w:val="SingleTxtG"/>
        <w:rPr>
          <w:rFonts w:eastAsia="SimSun"/>
          <w:lang w:val="fr-FR" w:eastAsia="zh-CN"/>
        </w:rPr>
      </w:pPr>
      <w:r>
        <w:rPr>
          <w:rFonts w:eastAsia="SimSun"/>
          <w:lang w:val="fr-FR" w:eastAsia="zh-CN"/>
        </w:rPr>
        <w:t>20.</w:t>
      </w:r>
      <w:r>
        <w:rPr>
          <w:rFonts w:eastAsia="SimSun"/>
          <w:lang w:val="fr-FR" w:eastAsia="zh-CN"/>
        </w:rPr>
        <w:tab/>
      </w:r>
      <w:r w:rsidR="00F50359">
        <w:rPr>
          <w:rFonts w:eastAsia="SimSun"/>
          <w:lang w:val="fr-FR" w:eastAsia="zh-CN"/>
        </w:rPr>
        <w:t>Pour donner effet</w:t>
      </w:r>
      <w:r>
        <w:rPr>
          <w:rFonts w:eastAsia="SimSun"/>
          <w:lang w:val="fr-FR" w:eastAsia="zh-CN"/>
        </w:rPr>
        <w:t xml:space="preserve"> aux observations finales du Comité (par. 24), veuillez </w:t>
      </w:r>
      <w:r w:rsidR="00F50359">
        <w:rPr>
          <w:rFonts w:eastAsia="SimSun"/>
          <w:lang w:val="fr-FR" w:eastAsia="zh-CN"/>
        </w:rPr>
        <w:t xml:space="preserve">indiquer </w:t>
      </w:r>
      <w:r>
        <w:rPr>
          <w:rFonts w:eastAsia="SimSun"/>
          <w:lang w:val="fr-FR" w:eastAsia="zh-CN"/>
        </w:rPr>
        <w:t xml:space="preserve">les mesures prises </w:t>
      </w:r>
      <w:r w:rsidR="00F50359">
        <w:rPr>
          <w:rFonts w:eastAsia="SimSun"/>
          <w:lang w:val="fr-FR" w:eastAsia="zh-CN"/>
        </w:rPr>
        <w:t xml:space="preserve">par l’État partie pour </w:t>
      </w:r>
      <w:r>
        <w:rPr>
          <w:rFonts w:eastAsia="SimSun"/>
          <w:lang w:val="fr-FR" w:eastAsia="zh-CN"/>
        </w:rPr>
        <w:t>in</w:t>
      </w:r>
      <w:r w:rsidR="00F50359">
        <w:rPr>
          <w:rFonts w:eastAsia="SimSun"/>
          <w:lang w:val="fr-FR" w:eastAsia="zh-CN"/>
        </w:rPr>
        <w:t>s</w:t>
      </w:r>
      <w:r>
        <w:rPr>
          <w:rFonts w:eastAsia="SimSun"/>
          <w:lang w:val="fr-FR" w:eastAsia="zh-CN"/>
        </w:rPr>
        <w:t xml:space="preserve">érer dans son Code de procédure pénale des dispositions spécifiques </w:t>
      </w:r>
      <w:r w:rsidR="00F50359">
        <w:rPr>
          <w:rFonts w:eastAsia="SimSun"/>
          <w:lang w:val="fr-FR" w:eastAsia="zh-CN"/>
        </w:rPr>
        <w:t xml:space="preserve">sur </w:t>
      </w:r>
      <w:r>
        <w:rPr>
          <w:rFonts w:eastAsia="SimSun"/>
          <w:lang w:val="fr-FR" w:eastAsia="zh-CN"/>
        </w:rPr>
        <w:t>l’irrecevabilité des éléments de preuve obtenus par la torture.</w:t>
      </w:r>
    </w:p>
    <w:p w:rsidR="00714CE3" w:rsidRPr="00266F4C" w:rsidRDefault="00714CE3" w:rsidP="00714CE3">
      <w:pPr>
        <w:pStyle w:val="H1G"/>
        <w:rPr>
          <w:lang w:val="fr-FR"/>
        </w:rPr>
      </w:pPr>
      <w:r>
        <w:rPr>
          <w:lang w:val="fr-FR"/>
        </w:rPr>
        <w:tab/>
      </w:r>
      <w:r>
        <w:rPr>
          <w:lang w:val="fr-FR"/>
        </w:rPr>
        <w:tab/>
      </w:r>
      <w:r w:rsidRPr="00266F4C">
        <w:rPr>
          <w:lang w:val="fr-FR"/>
        </w:rPr>
        <w:t>Article 16</w:t>
      </w:r>
    </w:p>
    <w:p w:rsidR="00714CE3" w:rsidRDefault="00714CE3" w:rsidP="00714CE3">
      <w:pPr>
        <w:pStyle w:val="SingleTxtG"/>
        <w:rPr>
          <w:rFonts w:eastAsia="SimSun"/>
          <w:lang w:val="fr-FR" w:eastAsia="zh-CN"/>
        </w:rPr>
      </w:pPr>
      <w:r>
        <w:rPr>
          <w:rFonts w:eastAsia="SimSun"/>
          <w:lang w:val="fr-FR" w:eastAsia="zh-CN"/>
        </w:rPr>
        <w:t>21.</w:t>
      </w:r>
      <w:r>
        <w:rPr>
          <w:rFonts w:eastAsia="SimSun"/>
          <w:lang w:val="fr-FR" w:eastAsia="zh-CN"/>
        </w:rPr>
        <w:tab/>
      </w:r>
      <w:r w:rsidRPr="001D015F">
        <w:rPr>
          <w:rFonts w:eastAsia="SimSun"/>
          <w:lang w:val="fr-FR" w:eastAsia="zh-CN"/>
        </w:rPr>
        <w:t xml:space="preserve">Dans ses précédentes </w:t>
      </w:r>
      <w:r>
        <w:rPr>
          <w:rFonts w:eastAsia="SimSun"/>
          <w:lang w:val="fr-FR" w:eastAsia="zh-CN"/>
        </w:rPr>
        <w:t xml:space="preserve">observations finales (par. 25), le Comité s’est déclaré </w:t>
      </w:r>
      <w:r w:rsidRPr="001D015F">
        <w:rPr>
          <w:rFonts w:eastAsia="SimSun"/>
          <w:lang w:val="fr-FR" w:eastAsia="zh-CN"/>
        </w:rPr>
        <w:t>préoccupé</w:t>
      </w:r>
      <w:r>
        <w:rPr>
          <w:rFonts w:eastAsia="SimSun"/>
          <w:lang w:val="fr-FR" w:eastAsia="zh-CN"/>
        </w:rPr>
        <w:t xml:space="preserve"> par les informations faisant état de représailles, actes graves d’intimidation et menaces contre les défenseurs des droits de l’homme, en particulier les personnes dénonçant des actes de torture et de</w:t>
      </w:r>
      <w:r w:rsidR="00F6301A">
        <w:rPr>
          <w:rFonts w:eastAsia="SimSun"/>
          <w:lang w:val="fr-FR" w:eastAsia="zh-CN"/>
        </w:rPr>
        <w:t>s</w:t>
      </w:r>
      <w:r>
        <w:rPr>
          <w:rFonts w:eastAsia="SimSun"/>
          <w:lang w:val="fr-FR" w:eastAsia="zh-CN"/>
        </w:rPr>
        <w:t xml:space="preserve"> mauvais traitements. Veuillez décrire les mesures prises pour reconnaître la légitimité des défenseurs des droits de l’homme et leur action et pour garantir </w:t>
      </w:r>
      <w:r w:rsidR="00F6301A">
        <w:rPr>
          <w:rFonts w:eastAsia="SimSun"/>
          <w:lang w:val="fr-FR" w:eastAsia="zh-CN"/>
        </w:rPr>
        <w:t xml:space="preserve">leur </w:t>
      </w:r>
      <w:r>
        <w:rPr>
          <w:rFonts w:eastAsia="SimSun"/>
          <w:lang w:val="fr-FR" w:eastAsia="zh-CN"/>
        </w:rPr>
        <w:t>sécurité.</w:t>
      </w:r>
      <w:r>
        <w:rPr>
          <w:rStyle w:val="FootnoteReference"/>
          <w:rFonts w:eastAsia="SimSun"/>
          <w:lang w:eastAsia="zh-CN"/>
        </w:rPr>
        <w:footnoteReference w:id="12"/>
      </w:r>
      <w:r>
        <w:rPr>
          <w:rFonts w:eastAsia="SimSun"/>
          <w:lang w:val="fr-FR" w:eastAsia="zh-CN"/>
        </w:rPr>
        <w:t xml:space="preserve"> </w:t>
      </w:r>
    </w:p>
    <w:p w:rsidR="00714CE3" w:rsidRDefault="00714CE3" w:rsidP="00714CE3">
      <w:pPr>
        <w:pStyle w:val="SingleTxtG"/>
        <w:rPr>
          <w:rFonts w:eastAsia="SimSun"/>
          <w:lang w:val="fr-FR" w:eastAsia="zh-CN"/>
        </w:rPr>
      </w:pPr>
      <w:r>
        <w:rPr>
          <w:rFonts w:eastAsia="SimSun"/>
          <w:lang w:val="fr-FR" w:eastAsia="zh-CN"/>
        </w:rPr>
        <w:t>22.</w:t>
      </w:r>
      <w:r>
        <w:rPr>
          <w:rFonts w:eastAsia="SimSun"/>
          <w:lang w:val="fr-FR" w:eastAsia="zh-CN"/>
        </w:rPr>
        <w:tab/>
        <w:t xml:space="preserve">Veuillez décrire les mesures prises par l’État partie pour interdire les châtiments corporels et faire respecter cette interdiction </w:t>
      </w:r>
      <w:r w:rsidR="00F6301A">
        <w:rPr>
          <w:rFonts w:eastAsia="SimSun"/>
          <w:lang w:val="fr-FR" w:eastAsia="zh-CN"/>
        </w:rPr>
        <w:t xml:space="preserve">quel que soit </w:t>
      </w:r>
      <w:r>
        <w:rPr>
          <w:rFonts w:eastAsia="SimSun"/>
          <w:lang w:val="fr-FR" w:eastAsia="zh-CN"/>
        </w:rPr>
        <w:t>le contexte, notamment dans les centres de détention pour mineurs.</w:t>
      </w:r>
      <w:r>
        <w:rPr>
          <w:rStyle w:val="FootnoteReference"/>
          <w:rFonts w:eastAsia="SimSun"/>
          <w:lang w:eastAsia="zh-CN"/>
        </w:rPr>
        <w:footnoteReference w:id="13"/>
      </w:r>
      <w:r>
        <w:rPr>
          <w:rFonts w:eastAsia="SimSun"/>
          <w:lang w:val="fr-FR" w:eastAsia="zh-CN"/>
        </w:rPr>
        <w:t xml:space="preserve"> </w:t>
      </w:r>
      <w:r w:rsidR="00F6301A">
        <w:rPr>
          <w:rFonts w:eastAsia="SimSun"/>
          <w:lang w:val="fr-FR" w:eastAsia="zh-CN"/>
        </w:rPr>
        <w:t>D</w:t>
      </w:r>
      <w:r>
        <w:rPr>
          <w:rFonts w:eastAsia="SimSun"/>
          <w:lang w:val="fr-FR" w:eastAsia="zh-CN"/>
        </w:rPr>
        <w:t xml:space="preserve">onner aussi des informations sur les mesures </w:t>
      </w:r>
      <w:r w:rsidR="00F6301A">
        <w:rPr>
          <w:rFonts w:eastAsia="SimSun"/>
          <w:lang w:val="fr-FR" w:eastAsia="zh-CN"/>
        </w:rPr>
        <w:t xml:space="preserve">mises en place </w:t>
      </w:r>
      <w:r>
        <w:rPr>
          <w:rFonts w:eastAsia="SimSun"/>
          <w:lang w:val="fr-FR" w:eastAsia="zh-CN"/>
        </w:rPr>
        <w:t>pour veiller à la pleine application des normes relatives à la justice pour mineurs, y compris l’Ensemble de règles minima des Nations Unies concernant l’administration de la justice pour mineurs (Règles de Beijing).</w:t>
      </w:r>
      <w:r>
        <w:rPr>
          <w:rStyle w:val="FootnoteReference"/>
          <w:rFonts w:eastAsia="SimSun"/>
          <w:lang w:eastAsia="zh-CN"/>
        </w:rPr>
        <w:footnoteReference w:id="14"/>
      </w:r>
    </w:p>
    <w:p w:rsidR="00714CE3" w:rsidRPr="00266F4C" w:rsidRDefault="00714CE3" w:rsidP="00714CE3">
      <w:pPr>
        <w:pStyle w:val="H1G"/>
        <w:rPr>
          <w:lang w:val="fr-FR"/>
        </w:rPr>
      </w:pPr>
      <w:r>
        <w:rPr>
          <w:lang w:val="fr-FR"/>
        </w:rPr>
        <w:tab/>
      </w:r>
      <w:r>
        <w:rPr>
          <w:lang w:val="fr-FR"/>
        </w:rPr>
        <w:tab/>
      </w:r>
      <w:r w:rsidRPr="00C93047">
        <w:rPr>
          <w:lang w:val="fr-FR"/>
        </w:rPr>
        <w:t>Autres questions</w:t>
      </w:r>
    </w:p>
    <w:p w:rsidR="00714CE3" w:rsidRPr="00266F4C" w:rsidRDefault="00714CE3" w:rsidP="00714CE3">
      <w:pPr>
        <w:pStyle w:val="SingleTxtG"/>
        <w:rPr>
          <w:rFonts w:eastAsia="SimSun"/>
          <w:lang w:val="fr-FR" w:eastAsia="zh-CN"/>
        </w:rPr>
      </w:pPr>
      <w:r>
        <w:rPr>
          <w:rFonts w:eastAsia="SimSun"/>
          <w:lang w:val="fr-FR" w:eastAsia="zh-CN"/>
        </w:rPr>
        <w:t>23.</w:t>
      </w:r>
      <w:r>
        <w:rPr>
          <w:rFonts w:eastAsia="SimSun"/>
          <w:lang w:val="fr-FR" w:eastAsia="zh-CN"/>
        </w:rPr>
        <w:tab/>
      </w:r>
      <w:r w:rsidR="00E00420">
        <w:rPr>
          <w:rFonts w:eastAsia="SimSun"/>
          <w:lang w:val="fr-FR" w:eastAsia="zh-CN"/>
        </w:rPr>
        <w:t>Compte tenu que</w:t>
      </w:r>
      <w:r w:rsidRPr="00266F4C">
        <w:rPr>
          <w:rFonts w:eastAsia="SimSun"/>
          <w:lang w:val="fr-FR" w:eastAsia="zh-CN"/>
        </w:rPr>
        <w:t xml:space="preserve"> l’État partie </w:t>
      </w:r>
      <w:r w:rsidR="00E00420">
        <w:rPr>
          <w:rFonts w:eastAsia="SimSun"/>
          <w:lang w:val="fr-FR" w:eastAsia="zh-CN"/>
        </w:rPr>
        <w:t>a ratifié le</w:t>
      </w:r>
      <w:r w:rsidRPr="00266F4C">
        <w:rPr>
          <w:rFonts w:eastAsia="SimSun"/>
          <w:lang w:val="fr-FR" w:eastAsia="zh-CN"/>
        </w:rPr>
        <w:t xml:space="preserve"> Protocole facultatif se rapportant à la Convention </w:t>
      </w:r>
      <w:r w:rsidR="00E00420">
        <w:rPr>
          <w:rFonts w:eastAsia="SimSun"/>
          <w:lang w:val="fr-FR" w:eastAsia="zh-CN"/>
        </w:rPr>
        <w:t xml:space="preserve">contre la torture et autres peines ou traitements cruels, inhumains ou dégradants </w:t>
      </w:r>
      <w:r w:rsidRPr="00266F4C">
        <w:rPr>
          <w:rFonts w:eastAsia="SimSun"/>
          <w:lang w:val="fr-FR" w:eastAsia="zh-CN"/>
        </w:rPr>
        <w:t xml:space="preserve">en </w:t>
      </w:r>
      <w:r>
        <w:rPr>
          <w:rFonts w:eastAsia="SimSun"/>
          <w:lang w:val="fr-FR" w:eastAsia="zh-CN"/>
        </w:rPr>
        <w:t xml:space="preserve">juillet </w:t>
      </w:r>
      <w:r w:rsidRPr="00266F4C">
        <w:rPr>
          <w:rFonts w:eastAsia="SimSun"/>
          <w:lang w:val="fr-FR" w:eastAsia="zh-CN"/>
        </w:rPr>
        <w:t xml:space="preserve">2010, </w:t>
      </w:r>
      <w:r>
        <w:rPr>
          <w:rFonts w:eastAsia="SimSun"/>
          <w:lang w:val="fr-FR" w:eastAsia="zh-CN"/>
        </w:rPr>
        <w:t xml:space="preserve">veuillez </w:t>
      </w:r>
      <w:r w:rsidRPr="00266F4C">
        <w:rPr>
          <w:rFonts w:eastAsia="SimSun"/>
          <w:lang w:val="fr-FR" w:eastAsia="zh-CN"/>
        </w:rPr>
        <w:t>décrir</w:t>
      </w:r>
      <w:r w:rsidR="00330E69">
        <w:rPr>
          <w:rFonts w:eastAsia="SimSun"/>
          <w:lang w:val="fr-FR" w:eastAsia="zh-CN"/>
        </w:rPr>
        <w:t>e</w:t>
      </w:r>
      <w:r w:rsidRPr="00266F4C">
        <w:rPr>
          <w:rFonts w:eastAsia="SimSun"/>
          <w:lang w:val="fr-FR" w:eastAsia="zh-CN"/>
        </w:rPr>
        <w:t xml:space="preserve"> les mesures prises pour mettre en place ou désigner un mécanisme national </w:t>
      </w:r>
      <w:r w:rsidRPr="00374EDB">
        <w:rPr>
          <w:rFonts w:eastAsia="SimSun"/>
          <w:lang w:val="fr-FR" w:eastAsia="zh-CN"/>
        </w:rPr>
        <w:t xml:space="preserve">chargé </w:t>
      </w:r>
      <w:r w:rsidR="00E00420">
        <w:rPr>
          <w:rFonts w:eastAsia="SimSun"/>
          <w:lang w:val="fr-FR" w:eastAsia="zh-CN"/>
        </w:rPr>
        <w:t>de procéder à</w:t>
      </w:r>
      <w:r w:rsidR="00E00420" w:rsidRPr="00266F4C">
        <w:rPr>
          <w:rFonts w:eastAsia="SimSun"/>
          <w:lang w:val="fr-FR" w:eastAsia="zh-CN"/>
        </w:rPr>
        <w:t xml:space="preserve"> </w:t>
      </w:r>
      <w:r w:rsidRPr="00266F4C">
        <w:rPr>
          <w:rFonts w:eastAsia="SimSun"/>
          <w:lang w:val="fr-FR" w:eastAsia="zh-CN"/>
        </w:rPr>
        <w:t xml:space="preserve">des visites </w:t>
      </w:r>
      <w:r w:rsidR="00E00420" w:rsidRPr="00266F4C">
        <w:rPr>
          <w:rFonts w:eastAsia="SimSun"/>
          <w:lang w:val="fr-FR" w:eastAsia="zh-CN"/>
        </w:rPr>
        <w:t xml:space="preserve">périodiques </w:t>
      </w:r>
      <w:r w:rsidRPr="00266F4C">
        <w:rPr>
          <w:rFonts w:eastAsia="SimSun"/>
          <w:lang w:val="fr-FR" w:eastAsia="zh-CN"/>
        </w:rPr>
        <w:t>d’inspection dans les lieux de détention afin de prévenir la torture et autres peines ou traitements cruels, inhumains ou dégradants.</w:t>
      </w:r>
    </w:p>
    <w:p w:rsidR="00714CE3" w:rsidRPr="00266F4C" w:rsidRDefault="00714CE3" w:rsidP="00714CE3">
      <w:pPr>
        <w:pStyle w:val="SingleTxtG"/>
        <w:rPr>
          <w:lang w:val="fr-FR"/>
        </w:rPr>
      </w:pPr>
      <w:r>
        <w:rPr>
          <w:lang w:val="fr-FR"/>
        </w:rPr>
        <w:t>24.</w:t>
      </w:r>
      <w:r>
        <w:rPr>
          <w:lang w:val="fr-FR"/>
        </w:rPr>
        <w:tab/>
        <w:t>Veuillez d</w:t>
      </w:r>
      <w:r w:rsidRPr="00266F4C">
        <w:rPr>
          <w:lang w:val="fr-FR"/>
        </w:rPr>
        <w:t>onner des renseignements sur les dispositions que l’État partie a prises en vue de reconnaître la compétence du Comité au titre des articles 21 et 22 de la Convention.</w:t>
      </w:r>
    </w:p>
    <w:p w:rsidR="00714CE3" w:rsidRDefault="00714CE3" w:rsidP="00714CE3">
      <w:pPr>
        <w:pStyle w:val="SingleTxtG"/>
        <w:rPr>
          <w:lang w:val="fr-FR"/>
        </w:rPr>
      </w:pPr>
      <w:r>
        <w:rPr>
          <w:lang w:val="fr-FR"/>
        </w:rPr>
        <w:t>25.</w:t>
      </w:r>
      <w:r>
        <w:rPr>
          <w:lang w:val="fr-FR"/>
        </w:rPr>
        <w:tab/>
        <w:t xml:space="preserve">Veuillez </w:t>
      </w:r>
      <w:r w:rsidR="003816B4">
        <w:rPr>
          <w:lang w:val="fr-FR"/>
        </w:rPr>
        <w:t>fournir</w:t>
      </w:r>
      <w:r w:rsidR="003816B4" w:rsidRPr="00266F4C">
        <w:rPr>
          <w:lang w:val="fr-FR"/>
        </w:rPr>
        <w:t xml:space="preserve"> </w:t>
      </w:r>
      <w:r w:rsidRPr="00266F4C">
        <w:rPr>
          <w:lang w:val="fr-FR"/>
        </w:rPr>
        <w:t xml:space="preserve">des informations à jour sur les mesures </w:t>
      </w:r>
      <w:r w:rsidR="00E00420">
        <w:rPr>
          <w:lang w:val="fr-FR"/>
        </w:rPr>
        <w:t>mises en place</w:t>
      </w:r>
      <w:r w:rsidR="00E00420" w:rsidRPr="00266F4C">
        <w:rPr>
          <w:lang w:val="fr-FR"/>
        </w:rPr>
        <w:t xml:space="preserve"> </w:t>
      </w:r>
      <w:r w:rsidRPr="00266F4C">
        <w:rPr>
          <w:lang w:val="fr-FR"/>
        </w:rPr>
        <w:t>par l’État partie pour répondre à la menace d’actes terroristes et indiquer si elles ont porté atteinte aux garanties concernant les droits de l’homme</w:t>
      </w:r>
      <w:r w:rsidR="004304AA">
        <w:rPr>
          <w:lang w:val="fr-FR"/>
        </w:rPr>
        <w:t>,</w:t>
      </w:r>
      <w:r w:rsidRPr="00266F4C">
        <w:rPr>
          <w:lang w:val="fr-FR"/>
        </w:rPr>
        <w:t xml:space="preserve"> en droit et dans la pratique, et de quelle manière. Décrire la formation dispensée aux agents de la force publique dans ce domaine et indiquer le nombre et le type de condamnations prononcées en application de la législation antiterroriste </w:t>
      </w:r>
      <w:r w:rsidR="004304AA">
        <w:rPr>
          <w:lang w:val="fr-FR"/>
        </w:rPr>
        <w:t>ainsi que</w:t>
      </w:r>
      <w:r w:rsidR="004304AA" w:rsidRPr="00266F4C">
        <w:rPr>
          <w:lang w:val="fr-FR"/>
        </w:rPr>
        <w:t xml:space="preserve"> </w:t>
      </w:r>
      <w:r w:rsidRPr="00266F4C">
        <w:rPr>
          <w:lang w:val="fr-FR"/>
        </w:rPr>
        <w:t>les garanties et les voies de recours ouvertes en droit et dans la pratique aux personnes visées par des mesures antiterroristes, et préciser si des plaintes pour non-respect des règles internationales ont été déposées et quelle en a été l’issue.</w:t>
      </w:r>
    </w:p>
    <w:p w:rsidR="0054334B" w:rsidRPr="00DE490B" w:rsidRDefault="0054334B" w:rsidP="0054334B">
      <w:pPr>
        <w:pStyle w:val="SingleTxtG"/>
        <w:rPr>
          <w:rFonts w:eastAsia="SimSun"/>
          <w:lang w:val="fr-FR" w:eastAsia="zh-CN"/>
        </w:rPr>
      </w:pPr>
      <w:r w:rsidRPr="00F73392">
        <w:rPr>
          <w:lang w:val="fr-FR"/>
        </w:rPr>
        <w:t xml:space="preserve">26. </w:t>
      </w:r>
      <w:r w:rsidRPr="00F73392">
        <w:rPr>
          <w:rFonts w:eastAsia="SimSun"/>
          <w:lang w:val="fr-FR" w:eastAsia="zh-CN"/>
        </w:rPr>
        <w:t xml:space="preserve">Donner des informations sur les mesures adoptées pour protéger les personnes apatrides, </w:t>
      </w:r>
      <w:r w:rsidR="000D2DD2" w:rsidRPr="00F73392">
        <w:rPr>
          <w:rFonts w:eastAsia="SimSun"/>
          <w:lang w:val="fr-FR" w:eastAsia="zh-CN"/>
        </w:rPr>
        <w:t xml:space="preserve">en </w:t>
      </w:r>
      <w:r w:rsidRPr="00F73392">
        <w:rPr>
          <w:rFonts w:eastAsia="SimSun"/>
          <w:lang w:val="fr-FR" w:eastAsia="zh-CN"/>
        </w:rPr>
        <w:t>particuli</w:t>
      </w:r>
      <w:r w:rsidR="000D2DD2" w:rsidRPr="00F73392">
        <w:rPr>
          <w:rFonts w:eastAsia="SimSun"/>
          <w:lang w:val="fr-FR" w:eastAsia="zh-CN"/>
        </w:rPr>
        <w:t xml:space="preserve">er </w:t>
      </w:r>
      <w:r w:rsidRPr="00F73392">
        <w:rPr>
          <w:rFonts w:eastAsia="SimSun"/>
          <w:lang w:val="fr-FR" w:eastAsia="zh-CN"/>
        </w:rPr>
        <w:t xml:space="preserve">les enfants, </w:t>
      </w:r>
      <w:r w:rsidR="00F15AB4">
        <w:rPr>
          <w:rFonts w:eastAsia="SimSun"/>
          <w:lang w:val="fr-FR" w:eastAsia="zh-CN"/>
        </w:rPr>
        <w:t>et</w:t>
      </w:r>
      <w:r w:rsidR="000D2DD2" w:rsidRPr="00F73392">
        <w:rPr>
          <w:rFonts w:eastAsia="SimSun"/>
          <w:lang w:val="fr-FR" w:eastAsia="zh-CN"/>
        </w:rPr>
        <w:t xml:space="preserve"> sur celles visant à</w:t>
      </w:r>
      <w:r w:rsidRPr="00F73392">
        <w:rPr>
          <w:rFonts w:eastAsia="SimSun"/>
          <w:lang w:val="fr-FR" w:eastAsia="zh-CN"/>
        </w:rPr>
        <w:t xml:space="preserve"> </w:t>
      </w:r>
      <w:r w:rsidR="000D2DD2" w:rsidRPr="00F73392">
        <w:rPr>
          <w:rFonts w:eastAsia="SimSun"/>
          <w:lang w:val="fr-FR" w:eastAsia="zh-CN"/>
        </w:rPr>
        <w:t xml:space="preserve">permettre </w:t>
      </w:r>
      <w:r w:rsidRPr="00F73392">
        <w:rPr>
          <w:rFonts w:eastAsia="SimSun"/>
          <w:lang w:val="fr-FR" w:eastAsia="zh-CN"/>
        </w:rPr>
        <w:t xml:space="preserve">la ratification </w:t>
      </w:r>
      <w:r w:rsidR="000D2DD2" w:rsidRPr="00F73392">
        <w:rPr>
          <w:rFonts w:eastAsia="SimSun"/>
          <w:lang w:val="fr-FR" w:eastAsia="zh-CN"/>
        </w:rPr>
        <w:t xml:space="preserve">par l’État partie </w:t>
      </w:r>
      <w:r w:rsidRPr="00F73392">
        <w:rPr>
          <w:rFonts w:eastAsia="SimSun"/>
          <w:lang w:val="fr-FR" w:eastAsia="zh-CN"/>
        </w:rPr>
        <w:t>de la Convention sur la réduction des cas d'apatridie</w:t>
      </w:r>
      <w:r w:rsidR="00374EDB">
        <w:rPr>
          <w:rFonts w:eastAsia="SimSun"/>
          <w:lang w:val="fr-FR" w:eastAsia="zh-CN"/>
        </w:rPr>
        <w:t xml:space="preserve"> (</w:t>
      </w:r>
      <w:r w:rsidRPr="00F73392">
        <w:rPr>
          <w:rFonts w:eastAsia="SimSun"/>
          <w:lang w:val="fr-FR" w:eastAsia="zh-CN"/>
        </w:rPr>
        <w:t>1961</w:t>
      </w:r>
      <w:r w:rsidR="00374EDB">
        <w:rPr>
          <w:rFonts w:eastAsia="SimSun"/>
          <w:lang w:val="fr-FR" w:eastAsia="zh-CN"/>
        </w:rPr>
        <w:t xml:space="preserve">) </w:t>
      </w:r>
      <w:r w:rsidRPr="00F73392">
        <w:rPr>
          <w:rFonts w:eastAsia="SimSun"/>
          <w:lang w:val="fr-FR" w:eastAsia="zh-CN"/>
        </w:rPr>
        <w:t>et de la Convention relative au statut des apatrides</w:t>
      </w:r>
      <w:r w:rsidR="00374EDB">
        <w:rPr>
          <w:rFonts w:eastAsia="SimSun"/>
          <w:lang w:val="fr-FR" w:eastAsia="zh-CN"/>
        </w:rPr>
        <w:t xml:space="preserve"> (</w:t>
      </w:r>
      <w:r w:rsidRPr="00F73392">
        <w:rPr>
          <w:rFonts w:eastAsia="SimSun"/>
          <w:lang w:val="fr-FR" w:eastAsia="zh-CN"/>
        </w:rPr>
        <w:t>1954</w:t>
      </w:r>
      <w:r w:rsidR="00374EDB">
        <w:rPr>
          <w:rFonts w:eastAsia="SimSun"/>
          <w:lang w:val="fr-FR" w:eastAsia="zh-CN"/>
        </w:rPr>
        <w:t>)</w:t>
      </w:r>
      <w:r w:rsidRPr="00F73392">
        <w:rPr>
          <w:rFonts w:eastAsia="SimSun"/>
          <w:lang w:val="fr-FR" w:eastAsia="zh-CN"/>
        </w:rPr>
        <w:t>.</w:t>
      </w:r>
    </w:p>
    <w:p w:rsidR="00714CE3" w:rsidRPr="00266F4C" w:rsidRDefault="00714CE3" w:rsidP="00714CE3">
      <w:pPr>
        <w:pStyle w:val="H1G"/>
        <w:rPr>
          <w:lang w:val="fr-FR"/>
        </w:rPr>
      </w:pPr>
      <w:r>
        <w:rPr>
          <w:lang w:val="fr-FR"/>
        </w:rPr>
        <w:tab/>
      </w:r>
      <w:r>
        <w:rPr>
          <w:lang w:val="fr-FR"/>
        </w:rPr>
        <w:tab/>
      </w:r>
      <w:r w:rsidRPr="00266F4C">
        <w:rPr>
          <w:lang w:val="fr-FR"/>
        </w:rPr>
        <w:t xml:space="preserve">Renseignements d’ordre général sur la situation des droits de l’homme dans </w:t>
      </w:r>
      <w:r w:rsidR="004A7CD2">
        <w:rPr>
          <w:lang w:val="fr-FR"/>
        </w:rPr>
        <w:t>l’État partie</w:t>
      </w:r>
      <w:r w:rsidRPr="00266F4C">
        <w:rPr>
          <w:lang w:val="fr-FR"/>
        </w:rPr>
        <w:t>, y compris sur les nouvelles mesures et les faits nouveaux concernant la mise en œuvre de la Convention</w:t>
      </w:r>
    </w:p>
    <w:p w:rsidR="00714CE3" w:rsidRPr="00266F4C" w:rsidRDefault="00714CE3" w:rsidP="00714CE3">
      <w:pPr>
        <w:pStyle w:val="SingleTxtG"/>
        <w:rPr>
          <w:rFonts w:eastAsia="SimSun"/>
          <w:lang w:val="fr-FR" w:eastAsia="zh-CN"/>
        </w:rPr>
      </w:pPr>
      <w:r>
        <w:rPr>
          <w:rFonts w:eastAsia="SimSun"/>
          <w:lang w:val="fr-FR" w:eastAsia="zh-CN"/>
        </w:rPr>
        <w:t>2</w:t>
      </w:r>
      <w:r w:rsidR="0054334B">
        <w:rPr>
          <w:rFonts w:eastAsia="SimSun"/>
          <w:lang w:val="fr-FR" w:eastAsia="zh-CN"/>
        </w:rPr>
        <w:t>7</w:t>
      </w:r>
      <w:r>
        <w:rPr>
          <w:rFonts w:eastAsia="SimSun"/>
          <w:lang w:val="fr-FR" w:eastAsia="zh-CN"/>
        </w:rPr>
        <w:t>.</w:t>
      </w:r>
      <w:r>
        <w:rPr>
          <w:rFonts w:eastAsia="SimSun"/>
          <w:lang w:val="fr-FR" w:eastAsia="zh-CN"/>
        </w:rPr>
        <w:tab/>
        <w:t>Veuillez d</w:t>
      </w:r>
      <w:r w:rsidRPr="00266F4C">
        <w:rPr>
          <w:rFonts w:eastAsia="SimSun"/>
          <w:lang w:val="fr-FR" w:eastAsia="zh-CN"/>
        </w:rPr>
        <w:t xml:space="preserve">onner des renseignements détaillés sur les faits nouveaux survenus depuis le rapport </w:t>
      </w:r>
      <w:r>
        <w:rPr>
          <w:rFonts w:eastAsia="SimSun"/>
          <w:lang w:val="fr-FR" w:eastAsia="zh-CN"/>
        </w:rPr>
        <w:t>initial</w:t>
      </w:r>
      <w:r w:rsidRPr="00266F4C">
        <w:rPr>
          <w:rFonts w:eastAsia="SimSun"/>
          <w:lang w:val="fr-FR" w:eastAsia="zh-CN"/>
        </w:rPr>
        <w:t xml:space="preserve"> en ce qui concerne le cadre juridique et institutionnel de la promotion et </w:t>
      </w:r>
      <w:r w:rsidR="00A30AB4">
        <w:rPr>
          <w:rFonts w:eastAsia="SimSun"/>
          <w:lang w:val="fr-FR" w:eastAsia="zh-CN"/>
        </w:rPr>
        <w:t xml:space="preserve">de </w:t>
      </w:r>
      <w:r w:rsidRPr="00266F4C">
        <w:rPr>
          <w:rFonts w:eastAsia="SimSun"/>
          <w:lang w:val="fr-FR" w:eastAsia="zh-CN"/>
        </w:rPr>
        <w:t>la protection des droits de l’homme au niveau national, y compris toute décision de justice en rapport avec ces questions.</w:t>
      </w:r>
    </w:p>
    <w:p w:rsidR="0054334B" w:rsidRDefault="00714CE3" w:rsidP="00714CE3">
      <w:pPr>
        <w:pStyle w:val="SingleTxtG"/>
      </w:pPr>
      <w:r>
        <w:rPr>
          <w:rFonts w:eastAsia="SimSun"/>
          <w:lang w:val="fr-FR" w:eastAsia="zh-CN"/>
        </w:rPr>
        <w:t>2</w:t>
      </w:r>
      <w:r w:rsidR="0054334B">
        <w:rPr>
          <w:rFonts w:eastAsia="SimSun"/>
          <w:lang w:val="fr-FR" w:eastAsia="zh-CN"/>
        </w:rPr>
        <w:t>8</w:t>
      </w:r>
      <w:r>
        <w:rPr>
          <w:rFonts w:eastAsia="SimSun"/>
          <w:lang w:val="fr-FR" w:eastAsia="zh-CN"/>
        </w:rPr>
        <w:t>.</w:t>
      </w:r>
      <w:r>
        <w:rPr>
          <w:rFonts w:eastAsia="SimSun"/>
          <w:lang w:val="fr-FR" w:eastAsia="zh-CN"/>
        </w:rPr>
        <w:tab/>
        <w:t xml:space="preserve">Veuillez </w:t>
      </w:r>
      <w:r w:rsidR="003816B4">
        <w:rPr>
          <w:rFonts w:eastAsia="SimSun"/>
          <w:lang w:val="fr-FR" w:eastAsia="zh-CN"/>
        </w:rPr>
        <w:t>fournir</w:t>
      </w:r>
      <w:r w:rsidR="003816B4" w:rsidRPr="00266F4C">
        <w:rPr>
          <w:rFonts w:eastAsia="SimSun"/>
          <w:lang w:val="fr-FR" w:eastAsia="zh-CN"/>
        </w:rPr>
        <w:t xml:space="preserve"> </w:t>
      </w:r>
      <w:r w:rsidRPr="00266F4C">
        <w:rPr>
          <w:rFonts w:eastAsia="SimSun"/>
          <w:lang w:val="fr-FR" w:eastAsia="zh-CN"/>
        </w:rPr>
        <w:t xml:space="preserve">des informations détaillées sur les nouvelles mesures d’ordre politique, administratif et autre prises depuis la soumission du rapport </w:t>
      </w:r>
      <w:r>
        <w:rPr>
          <w:rFonts w:eastAsia="SimSun"/>
          <w:lang w:val="fr-FR" w:eastAsia="zh-CN"/>
        </w:rPr>
        <w:t>initial</w:t>
      </w:r>
      <w:r w:rsidRPr="00266F4C">
        <w:rPr>
          <w:rFonts w:eastAsia="SimSun"/>
          <w:lang w:val="fr-FR" w:eastAsia="zh-CN"/>
        </w:rPr>
        <w:t>, afin de promouvoir et de protéger les droits de l’homme au niveau national, notamment sur les plans ou programmes nationaux en matière de droits de l’homme qui ont été adoptés, en précisant les ressources allouées, les moyens mis à disposition, les objectifs et</w:t>
      </w:r>
      <w:r w:rsidR="00384BFC">
        <w:rPr>
          <w:rFonts w:eastAsia="SimSun"/>
          <w:lang w:val="fr-FR" w:eastAsia="zh-CN"/>
        </w:rPr>
        <w:t xml:space="preserve"> les</w:t>
      </w:r>
      <w:r w:rsidRPr="00266F4C">
        <w:rPr>
          <w:rFonts w:eastAsia="SimSun"/>
          <w:lang w:val="fr-FR" w:eastAsia="zh-CN"/>
        </w:rPr>
        <w:t xml:space="preserve"> résultats.</w:t>
      </w:r>
      <w:r w:rsidRPr="00DE490B">
        <w:t xml:space="preserve"> </w:t>
      </w:r>
    </w:p>
    <w:p w:rsidR="00714CE3" w:rsidRDefault="00714CE3" w:rsidP="00714CE3">
      <w:pPr>
        <w:pStyle w:val="SingleTxtG"/>
        <w:rPr>
          <w:rFonts w:eastAsia="SimSun"/>
          <w:lang w:val="fr-FR" w:eastAsia="zh-CN"/>
        </w:rPr>
      </w:pPr>
      <w:r>
        <w:rPr>
          <w:rFonts w:eastAsia="SimSun"/>
          <w:lang w:val="fr-FR" w:eastAsia="zh-CN"/>
        </w:rPr>
        <w:t>2</w:t>
      </w:r>
      <w:r w:rsidR="0054334B">
        <w:rPr>
          <w:rFonts w:eastAsia="SimSun"/>
          <w:lang w:val="fr-FR" w:eastAsia="zh-CN"/>
        </w:rPr>
        <w:t>9</w:t>
      </w:r>
      <w:r>
        <w:rPr>
          <w:rFonts w:eastAsia="SimSun"/>
          <w:lang w:val="fr-FR" w:eastAsia="zh-CN"/>
        </w:rPr>
        <w:t>.</w:t>
      </w:r>
      <w:r>
        <w:rPr>
          <w:rFonts w:eastAsia="SimSun"/>
          <w:lang w:val="fr-FR" w:eastAsia="zh-CN"/>
        </w:rPr>
        <w:tab/>
        <w:t>Veuillez a</w:t>
      </w:r>
      <w:r w:rsidRPr="00266F4C">
        <w:rPr>
          <w:rFonts w:eastAsia="SimSun"/>
          <w:lang w:val="fr-FR" w:eastAsia="zh-CN"/>
        </w:rPr>
        <w:t xml:space="preserve">pporter toute autre information sur les nouvelles mesures et initiatives prises pour assurer la mise en œuvre de la Convention et donner suite aux recommandations du Comité depuis l’examen en 2006 du rapport </w:t>
      </w:r>
      <w:r>
        <w:rPr>
          <w:rFonts w:eastAsia="SimSun"/>
          <w:lang w:val="fr-FR" w:eastAsia="zh-CN"/>
        </w:rPr>
        <w:t>initial</w:t>
      </w:r>
      <w:r w:rsidRPr="00266F4C">
        <w:rPr>
          <w:rFonts w:eastAsia="SimSun"/>
          <w:lang w:val="fr-FR" w:eastAsia="zh-CN"/>
        </w:rPr>
        <w:t>, y compris les statistiques utiles, ainsi que sur tout fait qui a pu survenir dans l’État partie et qui revêt un intérêt au titre de la Convention.</w:t>
      </w:r>
    </w:p>
    <w:p w:rsidR="00714CE3" w:rsidRPr="006F33E0" w:rsidRDefault="00714CE3" w:rsidP="00714CE3">
      <w:pPr>
        <w:pStyle w:val="SingleTxtG"/>
        <w:spacing w:before="240" w:after="0"/>
        <w:jc w:val="center"/>
        <w:rPr>
          <w:sz w:val="24"/>
          <w:szCs w:val="24"/>
          <w:u w:val="single"/>
          <w:lang w:val="fr-FR"/>
        </w:rPr>
      </w:pPr>
      <w:r w:rsidRPr="006F33E0">
        <w:rPr>
          <w:sz w:val="24"/>
          <w:szCs w:val="24"/>
          <w:u w:val="single"/>
          <w:lang w:val="fr-FR"/>
        </w:rPr>
        <w:tab/>
      </w:r>
      <w:r w:rsidRPr="006F33E0">
        <w:rPr>
          <w:sz w:val="24"/>
          <w:szCs w:val="24"/>
          <w:u w:val="single"/>
          <w:lang w:val="fr-FR"/>
        </w:rPr>
        <w:tab/>
      </w:r>
      <w:r w:rsidRPr="006F33E0">
        <w:rPr>
          <w:sz w:val="24"/>
          <w:szCs w:val="24"/>
          <w:u w:val="single"/>
          <w:lang w:val="fr-FR"/>
        </w:rPr>
        <w:tab/>
      </w:r>
    </w:p>
    <w:sectPr w:rsidR="00714CE3" w:rsidRPr="006F33E0" w:rsidSect="006A7C6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47" w:rsidRDefault="00A34E47"/>
  </w:endnote>
  <w:endnote w:type="continuationSeparator" w:id="0">
    <w:p w:rsidR="00A34E47" w:rsidRDefault="00A34E47"/>
  </w:endnote>
  <w:endnote w:type="continuationNotice" w:id="1">
    <w:p w:rsidR="00A34E47" w:rsidRDefault="00A34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65" w:rsidRPr="006A7C68" w:rsidRDefault="002F3B65" w:rsidP="006A7C68">
    <w:pPr>
      <w:pStyle w:val="Footer"/>
      <w:tabs>
        <w:tab w:val="right" w:pos="9638"/>
      </w:tabs>
    </w:pPr>
    <w:r w:rsidRPr="006A7C68">
      <w:rPr>
        <w:b/>
        <w:sz w:val="18"/>
      </w:rPr>
      <w:fldChar w:fldCharType="begin"/>
    </w:r>
    <w:r w:rsidRPr="006A7C68">
      <w:rPr>
        <w:b/>
        <w:sz w:val="18"/>
      </w:rPr>
      <w:instrText xml:space="preserve"> PAGE  \* MERGEFORMAT </w:instrText>
    </w:r>
    <w:r w:rsidRPr="006A7C68">
      <w:rPr>
        <w:b/>
        <w:sz w:val="18"/>
      </w:rPr>
      <w:fldChar w:fldCharType="separate"/>
    </w:r>
    <w:r w:rsidR="00142192">
      <w:rPr>
        <w:b/>
        <w:noProof/>
        <w:sz w:val="18"/>
      </w:rPr>
      <w:t>6</w:t>
    </w:r>
    <w:r w:rsidRPr="006A7C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65" w:rsidRPr="006A7C68" w:rsidRDefault="002F3B65" w:rsidP="006A7C68">
    <w:pPr>
      <w:pStyle w:val="Footer"/>
      <w:tabs>
        <w:tab w:val="right" w:pos="9638"/>
      </w:tabs>
      <w:rPr>
        <w:b/>
        <w:sz w:val="18"/>
      </w:rPr>
    </w:pPr>
    <w:r>
      <w:tab/>
    </w:r>
    <w:r w:rsidRPr="006A7C68">
      <w:rPr>
        <w:b/>
        <w:sz w:val="18"/>
      </w:rPr>
      <w:fldChar w:fldCharType="begin"/>
    </w:r>
    <w:r w:rsidRPr="006A7C68">
      <w:rPr>
        <w:b/>
        <w:sz w:val="18"/>
      </w:rPr>
      <w:instrText xml:space="preserve"> PAGE  \* MERGEFORMAT </w:instrText>
    </w:r>
    <w:r w:rsidRPr="006A7C68">
      <w:rPr>
        <w:b/>
        <w:sz w:val="18"/>
      </w:rPr>
      <w:fldChar w:fldCharType="separate"/>
    </w:r>
    <w:r w:rsidR="00142192">
      <w:rPr>
        <w:b/>
        <w:noProof/>
        <w:sz w:val="18"/>
      </w:rPr>
      <w:t>7</w:t>
    </w:r>
    <w:r w:rsidRPr="006A7C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65" w:rsidRPr="006A7C68" w:rsidRDefault="002F3B6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GE.11-</w:t>
    </w:r>
    <w:r w:rsidR="00142192">
      <w:rPr>
        <w:sz w:val="20"/>
      </w:rPr>
      <w:t>40872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47" w:rsidRPr="00D27D5E" w:rsidRDefault="00A34E47" w:rsidP="00D27D5E">
      <w:pPr>
        <w:tabs>
          <w:tab w:val="right" w:pos="2155"/>
        </w:tabs>
        <w:spacing w:after="80"/>
        <w:ind w:left="680"/>
        <w:rPr>
          <w:u w:val="single"/>
        </w:rPr>
      </w:pPr>
      <w:r>
        <w:rPr>
          <w:u w:val="single"/>
        </w:rPr>
        <w:tab/>
      </w:r>
    </w:p>
  </w:footnote>
  <w:footnote w:type="continuationSeparator" w:id="0">
    <w:p w:rsidR="00A34E47" w:rsidRPr="00A103C4" w:rsidRDefault="00A34E47" w:rsidP="00A103C4">
      <w:pPr>
        <w:tabs>
          <w:tab w:val="right" w:pos="2155"/>
        </w:tabs>
        <w:spacing w:after="80"/>
        <w:ind w:left="680"/>
        <w:rPr>
          <w:u w:val="single"/>
        </w:rPr>
      </w:pPr>
      <w:r w:rsidRPr="00A103C4">
        <w:rPr>
          <w:u w:val="single"/>
        </w:rPr>
        <w:tab/>
      </w:r>
    </w:p>
  </w:footnote>
  <w:footnote w:type="continuationNotice" w:id="1">
    <w:p w:rsidR="00A34E47" w:rsidRDefault="00A34E47"/>
  </w:footnote>
  <w:footnote w:id="2">
    <w:p w:rsidR="002F3B65" w:rsidRPr="00462924" w:rsidRDefault="002F3B65" w:rsidP="00714CE3">
      <w:pPr>
        <w:pStyle w:val="FootnoteText"/>
      </w:pPr>
      <w:r w:rsidRPr="00660786">
        <w:rPr>
          <w:lang w:val="fr-FR"/>
        </w:rPr>
        <w:tab/>
      </w:r>
      <w:r w:rsidRPr="00660786">
        <w:rPr>
          <w:rStyle w:val="FootnoteReference"/>
          <w:sz w:val="20"/>
          <w:vertAlign w:val="baseline"/>
          <w:lang w:val="fr-FR"/>
        </w:rPr>
        <w:t>*</w:t>
      </w:r>
      <w:r>
        <w:rPr>
          <w:sz w:val="20"/>
          <w:lang w:val="fr-FR"/>
        </w:rPr>
        <w:tab/>
      </w:r>
      <w:r w:rsidRPr="00660786">
        <w:rPr>
          <w:lang w:val="fr-FR"/>
        </w:rPr>
        <w:t xml:space="preserve">La présente liste des points à traiter a été adoptée par le Comité à sa quarante-cinquième session, conformément à la </w:t>
      </w:r>
      <w:r w:rsidRPr="00462924">
        <w:t>nouvelle procédure facultative mise en place à sa trente-huitième session, qui consiste à établir et adopter des listes de points et à les transmettre aux États parties avant que ceux-ci ne soumettent le</w:t>
      </w:r>
      <w:r>
        <w:t>ur</w:t>
      </w:r>
      <w:r w:rsidRPr="00462924">
        <w:t xml:space="preserve"> rapport périodique. Les réponses à cette liste constitueront le rapport de l’État partie au titre de l’article 19 de la Convention.</w:t>
      </w:r>
    </w:p>
  </w:footnote>
  <w:footnote w:id="3">
    <w:p w:rsidR="002F3B65" w:rsidRPr="00462924" w:rsidRDefault="002F3B65" w:rsidP="00714CE3">
      <w:pPr>
        <w:pStyle w:val="FootnoteText"/>
      </w:pPr>
      <w:r>
        <w:tab/>
      </w:r>
      <w:r w:rsidRPr="002C24F9">
        <w:rPr>
          <w:rStyle w:val="FootnoteReference"/>
          <w:sz w:val="16"/>
          <w:szCs w:val="16"/>
          <w:vertAlign w:val="baseline"/>
        </w:rPr>
        <w:footnoteRef/>
      </w:r>
      <w:r>
        <w:tab/>
      </w:r>
      <w:r w:rsidRPr="00462924">
        <w:rPr>
          <w:rFonts w:eastAsia="SimSun"/>
        </w:rPr>
        <w:t xml:space="preserve">Les numéros de paragraphe </w:t>
      </w:r>
      <w:r>
        <w:rPr>
          <w:rFonts w:eastAsia="SimSun"/>
        </w:rPr>
        <w:t>figurant</w:t>
      </w:r>
      <w:r w:rsidRPr="00462924">
        <w:rPr>
          <w:rFonts w:eastAsia="SimSun"/>
        </w:rPr>
        <w:t xml:space="preserve"> entre parenthèses renvoient aux observations finales</w:t>
      </w:r>
      <w:r>
        <w:rPr>
          <w:rFonts w:eastAsia="SimSun"/>
        </w:rPr>
        <w:t xml:space="preserve"> précédentes </w:t>
      </w:r>
      <w:r w:rsidRPr="00462924">
        <w:rPr>
          <w:rFonts w:eastAsia="SimSun"/>
        </w:rPr>
        <w:t>du Comité publiées sous la cote CAT/C/TGO/CO/1.</w:t>
      </w:r>
    </w:p>
  </w:footnote>
  <w:footnote w:id="4">
    <w:p w:rsidR="002F3B65" w:rsidRPr="00462924" w:rsidRDefault="002F3B65" w:rsidP="00714CE3">
      <w:pPr>
        <w:pStyle w:val="FootnoteText"/>
      </w:pPr>
      <w:r>
        <w:tab/>
      </w:r>
      <w:r w:rsidRPr="002C24F9">
        <w:rPr>
          <w:rStyle w:val="FootnoteReference"/>
          <w:sz w:val="16"/>
          <w:szCs w:val="16"/>
          <w:vertAlign w:val="baseline"/>
        </w:rPr>
        <w:footnoteRef/>
      </w:r>
      <w:r w:rsidRPr="00462924">
        <w:t xml:space="preserve"> </w:t>
      </w:r>
      <w:r>
        <w:tab/>
      </w:r>
      <w:r w:rsidRPr="00462924">
        <w:t>CCPR/C/TGO/Q/4, par. 98, A/HRC/7/3/Add.5, par. 93 et A/HCR/13/39/Add. 6.</w:t>
      </w:r>
    </w:p>
  </w:footnote>
  <w:footnote w:id="5">
    <w:p w:rsidR="002F3B65" w:rsidRPr="00E172D4" w:rsidRDefault="002F3B65" w:rsidP="00714CE3">
      <w:pPr>
        <w:pStyle w:val="FootnoteText"/>
        <w:rPr>
          <w:rFonts w:eastAsia="MS Mincho"/>
          <w:lang w:val="fr-FR"/>
        </w:rPr>
      </w:pPr>
      <w:r w:rsidRPr="00E172D4">
        <w:rPr>
          <w:lang w:val="fr-FR"/>
        </w:rPr>
        <w:tab/>
      </w:r>
      <w:r w:rsidRPr="00E172D4">
        <w:rPr>
          <w:rStyle w:val="FootnoteReference"/>
          <w:szCs w:val="18"/>
          <w:lang w:val="fr-FR"/>
        </w:rPr>
        <w:footnoteRef/>
      </w:r>
      <w:r w:rsidRPr="00E172D4">
        <w:rPr>
          <w:lang w:val="fr-FR"/>
        </w:rPr>
        <w:tab/>
        <w:t xml:space="preserve"> </w:t>
      </w:r>
      <w:r w:rsidRPr="00E172D4">
        <w:t>Les points soulevés au titre de l’article 2 peuvent également l’être au titre d’autres articles de la Convention, notamment, mais pas exclusivement, de l’article 16. Comme il est indiqué au paragraphe 3 de l’observation générale n</w:t>
      </w:r>
      <w:r w:rsidRPr="00E172D4">
        <w:rPr>
          <w:iCs/>
          <w:color w:val="000000"/>
          <w:lang w:val="fr-FR"/>
        </w:rPr>
        <w:t xml:space="preserve">° </w:t>
      </w:r>
      <w:r w:rsidRPr="00E172D4">
        <w:t>2, «</w:t>
      </w:r>
      <w:r w:rsidRPr="00E172D4">
        <w:rPr>
          <w:rFonts w:eastAsia="MS Mincho"/>
          <w:iCs/>
          <w:lang w:val="fr-FR"/>
        </w:rPr>
        <w:t>l’obligation de prévenir la torture consacrée à l’article 2 est de portée large. Cette obligation et celle de prévenir les peines ou traitements cruels, inhumains ou dégradants (ci</w:t>
      </w:r>
      <w:r w:rsidRPr="00E172D4">
        <w:rPr>
          <w:rFonts w:eastAsia="MS Mincho"/>
          <w:iCs/>
          <w:lang w:val="fr-FR"/>
        </w:rPr>
        <w:noBreakHyphen/>
        <w:t>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w:t>
      </w:r>
      <w:r w:rsidRPr="00E172D4">
        <w:rPr>
          <w:rFonts w:eastAsia="MS Mincho"/>
          <w:lang w:val="fr-FR"/>
        </w:rPr>
        <w:t>»</w:t>
      </w:r>
      <w:r w:rsidRPr="00E172D4">
        <w:rPr>
          <w:rFonts w:eastAsia="SimSun"/>
          <w:color w:val="000000"/>
          <w:lang w:val="fr-FR" w:eastAsia="zh-CN"/>
        </w:rPr>
        <w:t xml:space="preserve"> Voir également la partie V de cette même observation générale.</w:t>
      </w:r>
      <w:r w:rsidRPr="00E172D4">
        <w:rPr>
          <w:rFonts w:eastAsia="MS Mincho"/>
          <w:lang w:val="fr-FR"/>
        </w:rPr>
        <w:t xml:space="preserve"> </w:t>
      </w:r>
    </w:p>
  </w:footnote>
  <w:footnote w:id="6">
    <w:p w:rsidR="002F3B65" w:rsidRPr="00D12B36" w:rsidRDefault="002F3B65" w:rsidP="00714CE3">
      <w:pPr>
        <w:pStyle w:val="FootnoteText"/>
        <w:rPr>
          <w:lang w:val="fr-FR"/>
        </w:rPr>
      </w:pPr>
      <w:r>
        <w:rPr>
          <w:lang w:val="fr-FR"/>
        </w:rPr>
        <w:tab/>
      </w:r>
      <w:r w:rsidRPr="00D12B36">
        <w:rPr>
          <w:rStyle w:val="FootnoteReference"/>
          <w:szCs w:val="18"/>
          <w:lang w:val="fr-FR"/>
        </w:rPr>
        <w:footnoteRef/>
      </w:r>
      <w:r w:rsidRPr="00D12B36">
        <w:rPr>
          <w:lang w:val="fr-FR"/>
        </w:rPr>
        <w:t xml:space="preserve"> </w:t>
      </w:r>
      <w:r>
        <w:rPr>
          <w:lang w:val="fr-FR"/>
        </w:rPr>
        <w:tab/>
      </w:r>
      <w:r w:rsidRPr="00D12B36">
        <w:rPr>
          <w:lang w:val="fr-FR"/>
        </w:rPr>
        <w:t>A/HCR/7/3/Add.5, par. 46</w:t>
      </w:r>
      <w:r>
        <w:rPr>
          <w:lang w:val="fr-FR"/>
        </w:rPr>
        <w:t xml:space="preserve"> à </w:t>
      </w:r>
      <w:r w:rsidRPr="00D12B36">
        <w:rPr>
          <w:lang w:val="fr-FR"/>
        </w:rPr>
        <w:t>59, 82</w:t>
      </w:r>
      <w:r>
        <w:rPr>
          <w:lang w:val="fr-FR"/>
        </w:rPr>
        <w:t xml:space="preserve"> et</w:t>
      </w:r>
      <w:r w:rsidRPr="00D12B36">
        <w:rPr>
          <w:lang w:val="fr-FR"/>
        </w:rPr>
        <w:t xml:space="preserve"> 94 et Appendice, par. 24</w:t>
      </w:r>
      <w:r>
        <w:rPr>
          <w:lang w:val="fr-FR"/>
        </w:rPr>
        <w:t>, 44, 49, 57, 61, 63, 65 et 66.</w:t>
      </w:r>
    </w:p>
  </w:footnote>
  <w:footnote w:id="7">
    <w:p w:rsidR="002F3B65" w:rsidRPr="00660786" w:rsidRDefault="002F3B65" w:rsidP="00714CE3">
      <w:pPr>
        <w:pStyle w:val="FootnoteText"/>
        <w:rPr>
          <w:lang w:val="fr-FR"/>
        </w:rPr>
      </w:pPr>
      <w:r>
        <w:rPr>
          <w:lang w:val="fr-FR"/>
        </w:rPr>
        <w:tab/>
      </w:r>
      <w:r w:rsidRPr="00660786">
        <w:rPr>
          <w:rStyle w:val="FootnoteReference"/>
          <w:lang w:val="fr-FR"/>
        </w:rPr>
        <w:footnoteRef/>
      </w:r>
      <w:r w:rsidRPr="00660786">
        <w:rPr>
          <w:lang w:val="fr-FR"/>
        </w:rPr>
        <w:t xml:space="preserve"> </w:t>
      </w:r>
      <w:r>
        <w:rPr>
          <w:lang w:val="fr-FR"/>
        </w:rPr>
        <w:tab/>
      </w:r>
      <w:r w:rsidRPr="00660786">
        <w:rPr>
          <w:lang w:val="fr-FR"/>
        </w:rPr>
        <w:t>A/HCR/13/39/Add.6, par. 99</w:t>
      </w:r>
      <w:r>
        <w:rPr>
          <w:lang w:val="fr-FR"/>
        </w:rPr>
        <w:t xml:space="preserve"> à </w:t>
      </w:r>
      <w:r w:rsidRPr="00660786">
        <w:rPr>
          <w:lang w:val="fr-FR"/>
        </w:rPr>
        <w:t>101.</w:t>
      </w:r>
    </w:p>
  </w:footnote>
  <w:footnote w:id="8">
    <w:p w:rsidR="002F3B65" w:rsidRPr="003A394F" w:rsidRDefault="002F3B65" w:rsidP="00714CE3">
      <w:pPr>
        <w:pStyle w:val="FootnoteText"/>
      </w:pPr>
      <w:r>
        <w:tab/>
      </w:r>
      <w:r w:rsidRPr="003A394F">
        <w:rPr>
          <w:rStyle w:val="FootnoteReference"/>
        </w:rPr>
        <w:footnoteRef/>
      </w:r>
      <w:r w:rsidRPr="003A394F">
        <w:rPr>
          <w:rStyle w:val="FootnoteReference"/>
        </w:rPr>
        <w:t xml:space="preserve"> </w:t>
      </w:r>
      <w:r>
        <w:tab/>
        <w:t>CEDAW/C/TGO/CO/5, par</w:t>
      </w:r>
      <w:r w:rsidRPr="003A394F">
        <w:t>. 18</w:t>
      </w:r>
      <w:r>
        <w:t xml:space="preserve"> et</w:t>
      </w:r>
      <w:r w:rsidRPr="003A394F">
        <w:t>19 et E/C.12/1/Add.61, par. 14.</w:t>
      </w:r>
    </w:p>
  </w:footnote>
  <w:footnote w:id="9">
    <w:p w:rsidR="002F3B65" w:rsidRPr="003A394F" w:rsidRDefault="002F3B65" w:rsidP="00714CE3">
      <w:pPr>
        <w:pStyle w:val="FootnoteText"/>
      </w:pPr>
      <w:r>
        <w:tab/>
      </w:r>
      <w:r w:rsidRPr="003A394F">
        <w:rPr>
          <w:rStyle w:val="FootnoteReference"/>
        </w:rPr>
        <w:footnoteRef/>
      </w:r>
      <w:r>
        <w:tab/>
      </w:r>
      <w:r>
        <w:rPr>
          <w:rFonts w:eastAsia="MS Gothic"/>
        </w:rPr>
        <w:t>A/HCR/13/39/Add.6, par. 97;</w:t>
      </w:r>
      <w:r>
        <w:t xml:space="preserve"> </w:t>
      </w:r>
      <w:r w:rsidRPr="003A394F">
        <w:t>CCPR/C/TGO/4, par. 62 et CRC/C/15Add.255, par. 56</w:t>
      </w:r>
      <w:r>
        <w:t xml:space="preserve"> à </w:t>
      </w:r>
      <w:r w:rsidRPr="003A394F">
        <w:t>57.</w:t>
      </w:r>
    </w:p>
  </w:footnote>
  <w:footnote w:id="10">
    <w:p w:rsidR="002F3B65" w:rsidRPr="00714CE3" w:rsidRDefault="002F3B65" w:rsidP="00714CE3">
      <w:pPr>
        <w:pStyle w:val="FootnoteText"/>
        <w:rPr>
          <w:lang w:val="fr-FR"/>
        </w:rPr>
      </w:pPr>
      <w:r>
        <w:tab/>
      </w:r>
      <w:r w:rsidRPr="003A394F">
        <w:rPr>
          <w:rStyle w:val="FootnoteReference"/>
        </w:rPr>
        <w:footnoteRef/>
      </w:r>
      <w:r w:rsidRPr="00714CE3">
        <w:rPr>
          <w:lang w:val="fr-FR"/>
        </w:rPr>
        <w:tab/>
        <w:t>CRC/C/15/Add.255, par. 72</w:t>
      </w:r>
      <w:r>
        <w:rPr>
          <w:lang w:val="fr-FR"/>
        </w:rPr>
        <w:t xml:space="preserve"> et</w:t>
      </w:r>
      <w:r w:rsidRPr="00714CE3">
        <w:rPr>
          <w:lang w:val="fr-FR"/>
        </w:rPr>
        <w:t xml:space="preserve"> CAT/C/TGO/CO/1, par. 26.</w:t>
      </w:r>
    </w:p>
  </w:footnote>
  <w:footnote w:id="11">
    <w:p w:rsidR="002F3B65" w:rsidRPr="00660786" w:rsidRDefault="002F3B65" w:rsidP="00714CE3">
      <w:pPr>
        <w:pStyle w:val="FootnoteText"/>
        <w:ind w:left="0" w:firstLine="0"/>
        <w:rPr>
          <w:lang w:val="fr-FR"/>
        </w:rPr>
      </w:pPr>
      <w:r w:rsidRPr="00714CE3">
        <w:rPr>
          <w:lang w:val="fr-FR"/>
        </w:rPr>
        <w:tab/>
      </w:r>
      <w:r w:rsidRPr="00660786">
        <w:rPr>
          <w:rStyle w:val="FootnoteReference"/>
          <w:lang w:val="fr-FR"/>
        </w:rPr>
        <w:footnoteRef/>
      </w:r>
      <w:r w:rsidRPr="00660786">
        <w:rPr>
          <w:lang w:val="fr-FR"/>
        </w:rPr>
        <w:t xml:space="preserve"> </w:t>
      </w:r>
      <w:r>
        <w:rPr>
          <w:lang w:val="fr-FR"/>
        </w:rPr>
        <w:tab/>
      </w:r>
      <w:r w:rsidRPr="003A394F">
        <w:t>A/HRC/7/3/Add.5, par. 85 et 103</w:t>
      </w:r>
      <w:r>
        <w:t>.</w:t>
      </w:r>
    </w:p>
  </w:footnote>
  <w:footnote w:id="12">
    <w:p w:rsidR="002F3B65" w:rsidRPr="00660786" w:rsidRDefault="002F3B65" w:rsidP="00714CE3">
      <w:pPr>
        <w:pStyle w:val="FootnoteText"/>
        <w:ind w:left="0" w:firstLine="0"/>
        <w:rPr>
          <w:lang w:val="fr-FR"/>
        </w:rPr>
      </w:pPr>
      <w:r>
        <w:rPr>
          <w:lang w:val="fr-FR"/>
        </w:rPr>
        <w:tab/>
      </w:r>
      <w:r w:rsidRPr="00660786">
        <w:rPr>
          <w:rStyle w:val="FootnoteReference"/>
          <w:lang w:val="fr-FR"/>
        </w:rPr>
        <w:footnoteRef/>
      </w:r>
      <w:r w:rsidRPr="00660786">
        <w:rPr>
          <w:lang w:val="fr-FR"/>
        </w:rPr>
        <w:t xml:space="preserve"> </w:t>
      </w:r>
      <w:r>
        <w:rPr>
          <w:lang w:val="fr-FR"/>
        </w:rPr>
        <w:tab/>
      </w:r>
      <w:r w:rsidRPr="00660786">
        <w:rPr>
          <w:lang w:val="fr-FR"/>
        </w:rPr>
        <w:t xml:space="preserve">Rapport de la Rapporteuse spéciale sur la situation des défenseurs des droits de l’homme. </w:t>
      </w:r>
      <w:r>
        <w:rPr>
          <w:lang w:val="fr-FR"/>
        </w:rPr>
        <w:tab/>
      </w:r>
      <w:r>
        <w:rPr>
          <w:lang w:val="fr-FR"/>
        </w:rPr>
        <w:tab/>
      </w:r>
      <w:r>
        <w:rPr>
          <w:lang w:val="fr-FR"/>
        </w:rPr>
        <w:tab/>
      </w:r>
      <w:r w:rsidRPr="00660786">
        <w:rPr>
          <w:lang w:val="fr-FR"/>
        </w:rPr>
        <w:t>Mission au Togo, 28 juillet-</w:t>
      </w:r>
      <w:r>
        <w:rPr>
          <w:lang w:val="fr-FR"/>
        </w:rPr>
        <w:t xml:space="preserve"> </w:t>
      </w:r>
      <w:r w:rsidRPr="00660786">
        <w:rPr>
          <w:lang w:val="fr-FR"/>
        </w:rPr>
        <w:t>4 aoû</w:t>
      </w:r>
      <w:r>
        <w:rPr>
          <w:lang w:val="fr-FR"/>
        </w:rPr>
        <w:t>t</w:t>
      </w:r>
      <w:r w:rsidRPr="00660786">
        <w:rPr>
          <w:lang w:val="fr-FR"/>
        </w:rPr>
        <w:t xml:space="preserve"> 2008</w:t>
      </w:r>
      <w:r>
        <w:rPr>
          <w:lang w:val="fr-FR"/>
        </w:rPr>
        <w:t xml:space="preserve"> et A/HRC/10/125/Add.2, par. 96 à 119.</w:t>
      </w:r>
    </w:p>
  </w:footnote>
  <w:footnote w:id="13">
    <w:p w:rsidR="002F3B65" w:rsidRPr="00660786" w:rsidRDefault="002F3B65" w:rsidP="00714CE3">
      <w:pPr>
        <w:pStyle w:val="FootnoteText"/>
        <w:ind w:left="0" w:firstLine="0"/>
        <w:rPr>
          <w:lang w:val="fr-FR"/>
        </w:rPr>
      </w:pPr>
      <w:r>
        <w:rPr>
          <w:lang w:val="fr-FR"/>
        </w:rPr>
        <w:tab/>
      </w:r>
      <w:r w:rsidRPr="00660786">
        <w:rPr>
          <w:rStyle w:val="FootnoteReference"/>
          <w:lang w:val="fr-FR"/>
        </w:rPr>
        <w:footnoteRef/>
      </w:r>
      <w:r w:rsidRPr="00660786">
        <w:rPr>
          <w:lang w:val="fr-FR"/>
        </w:rPr>
        <w:t xml:space="preserve"> </w:t>
      </w:r>
      <w:r>
        <w:rPr>
          <w:lang w:val="fr-FR"/>
        </w:rPr>
        <w:tab/>
      </w:r>
      <w:r w:rsidRPr="00660786">
        <w:rPr>
          <w:lang w:val="fr-FR"/>
        </w:rPr>
        <w:t xml:space="preserve">A/HRC/7/3/Add.5, par. 59 et </w:t>
      </w:r>
      <w:r w:rsidRPr="00660786">
        <w:rPr>
          <w:rFonts w:eastAsia="MS Gothic"/>
          <w:lang w:val="fr-FR" w:eastAsia="zh-CN"/>
        </w:rPr>
        <w:t>A/HCR/13/39/Add.6, par. 95</w:t>
      </w:r>
      <w:r>
        <w:rPr>
          <w:rFonts w:eastAsia="MS Gothic"/>
          <w:lang w:val="fr-FR" w:eastAsia="zh-CN"/>
        </w:rPr>
        <w:t xml:space="preserve"> à </w:t>
      </w:r>
      <w:r w:rsidRPr="00660786">
        <w:rPr>
          <w:rFonts w:eastAsia="MS Gothic"/>
          <w:lang w:val="fr-FR" w:eastAsia="zh-CN"/>
        </w:rPr>
        <w:t>96.</w:t>
      </w:r>
    </w:p>
  </w:footnote>
  <w:footnote w:id="14">
    <w:p w:rsidR="002F3B65" w:rsidRPr="00660786" w:rsidRDefault="002F3B65" w:rsidP="00714CE3">
      <w:pPr>
        <w:pStyle w:val="FootnoteText"/>
        <w:rPr>
          <w:lang w:val="fr-FR"/>
        </w:rPr>
      </w:pPr>
      <w:r>
        <w:rPr>
          <w:lang w:val="fr-FR"/>
        </w:rPr>
        <w:tab/>
      </w:r>
      <w:r w:rsidRPr="00660786">
        <w:rPr>
          <w:rStyle w:val="FootnoteReference"/>
          <w:lang w:val="fr-FR"/>
        </w:rPr>
        <w:footnoteRef/>
      </w:r>
      <w:r>
        <w:rPr>
          <w:lang w:val="fr-FR"/>
        </w:rPr>
        <w:tab/>
        <w:t>CRC/C/15/Add.255, par. 75, 110 et 111; A/HRC/7/3/Add. 5, par</w:t>
      </w:r>
      <w:r w:rsidRPr="00660786">
        <w:rPr>
          <w:lang w:val="fr-FR"/>
        </w:rPr>
        <w:t>. 55 à 59, 87</w:t>
      </w:r>
      <w:r>
        <w:rPr>
          <w:lang w:val="fr-FR"/>
        </w:rPr>
        <w:t xml:space="preserve"> et</w:t>
      </w:r>
      <w:r w:rsidRPr="00660786">
        <w:rPr>
          <w:lang w:val="fr-FR"/>
        </w:rPr>
        <w:t xml:space="preserve"> 111</w:t>
      </w:r>
      <w:r>
        <w:rPr>
          <w:lang w:val="fr-FR"/>
        </w:rPr>
        <w:t>,</w:t>
      </w:r>
      <w:r w:rsidRPr="00660786">
        <w:rPr>
          <w:lang w:val="fr-FR"/>
        </w:rPr>
        <w:t xml:space="preserve"> appendice </w:t>
      </w:r>
      <w:r>
        <w:rPr>
          <w:lang w:val="fr-FR"/>
        </w:rPr>
        <w:t>par. 27 à 36 et A/HCR/13/39/Add.6, par. 95 à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65" w:rsidRPr="001E1984" w:rsidRDefault="002F3B65">
    <w:pPr>
      <w:pStyle w:val="Header"/>
      <w:rPr>
        <w:lang w:val="en-GB"/>
      </w:rPr>
    </w:pPr>
    <w:r>
      <w:rPr>
        <w:lang w:val="en-GB"/>
      </w:rPr>
      <w:t>CAT/C/TGO/Q/2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65" w:rsidRPr="001E1984" w:rsidRDefault="002F3B65" w:rsidP="00FB44B8">
    <w:pPr>
      <w:pStyle w:val="Header"/>
      <w:jc w:val="right"/>
      <w:rPr>
        <w:lang w:val="en-GB"/>
      </w:rPr>
    </w:pPr>
    <w:r>
      <w:rPr>
        <w:lang w:val="en-GB"/>
      </w:rPr>
      <w:t>CAT/C/TGO/Q/2</w:t>
    </w:r>
  </w:p>
  <w:p w:rsidR="002F3B65" w:rsidRPr="001E1984" w:rsidRDefault="002F3B65" w:rsidP="001E1984">
    <w:pPr>
      <w:pStyle w:val="Header"/>
      <w:jc w:val="right"/>
      <w:rPr>
        <w:lang w:val="en-GB"/>
      </w:rPr>
    </w:pPr>
  </w:p>
  <w:p w:rsidR="002F3B65" w:rsidRDefault="002F3B65" w:rsidP="001E1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3BD16DED"/>
    <w:multiLevelType w:val="hybridMultilevel"/>
    <w:tmpl w:val="3B9EAAC0"/>
    <w:lvl w:ilvl="0" w:tplc="4D7033BA">
      <w:start w:val="1"/>
      <w:numFmt w:val="lowerLetter"/>
      <w:pStyle w:val="LOInumberinga"/>
      <w:lvlText w:val="%1)"/>
      <w:lvlJc w:val="left"/>
      <w:pPr>
        <w:tabs>
          <w:tab w:val="num" w:pos="1418"/>
        </w:tabs>
        <w:ind w:left="85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9D6099"/>
    <w:multiLevelType w:val="hybridMultilevel"/>
    <w:tmpl w:val="61624B3A"/>
    <w:lvl w:ilvl="0" w:tplc="9424B03C">
      <w:start w:val="1"/>
      <w:numFmt w:val="decimal"/>
      <w:pStyle w:val="LOInumbering1"/>
      <w:lvlText w:val="%1."/>
      <w:lvlJc w:val="left"/>
      <w:pPr>
        <w:tabs>
          <w:tab w:val="num" w:pos="747"/>
        </w:tabs>
        <w:ind w:left="18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C68"/>
    <w:rsid w:val="00016AC5"/>
    <w:rsid w:val="0002076D"/>
    <w:rsid w:val="000231D6"/>
    <w:rsid w:val="00040FCD"/>
    <w:rsid w:val="000416DC"/>
    <w:rsid w:val="00056554"/>
    <w:rsid w:val="000906EF"/>
    <w:rsid w:val="00096391"/>
    <w:rsid w:val="000B1D59"/>
    <w:rsid w:val="000B2339"/>
    <w:rsid w:val="000B2373"/>
    <w:rsid w:val="000B719D"/>
    <w:rsid w:val="000C3CDC"/>
    <w:rsid w:val="000D1FFC"/>
    <w:rsid w:val="000D2DD2"/>
    <w:rsid w:val="000D6D50"/>
    <w:rsid w:val="000F41F2"/>
    <w:rsid w:val="000F4710"/>
    <w:rsid w:val="000F4B2E"/>
    <w:rsid w:val="00107E41"/>
    <w:rsid w:val="00140F2C"/>
    <w:rsid w:val="00142192"/>
    <w:rsid w:val="001436A5"/>
    <w:rsid w:val="00160540"/>
    <w:rsid w:val="00167CE3"/>
    <w:rsid w:val="00173442"/>
    <w:rsid w:val="001760AD"/>
    <w:rsid w:val="0017627F"/>
    <w:rsid w:val="00192EEB"/>
    <w:rsid w:val="00194D85"/>
    <w:rsid w:val="001A20FB"/>
    <w:rsid w:val="001A4622"/>
    <w:rsid w:val="001C5394"/>
    <w:rsid w:val="001C74ED"/>
    <w:rsid w:val="001D5C9F"/>
    <w:rsid w:val="001D7F8A"/>
    <w:rsid w:val="001E1984"/>
    <w:rsid w:val="001E3FEB"/>
    <w:rsid w:val="001E4A02"/>
    <w:rsid w:val="001F6C1D"/>
    <w:rsid w:val="00201D13"/>
    <w:rsid w:val="00203479"/>
    <w:rsid w:val="00205295"/>
    <w:rsid w:val="00225A8C"/>
    <w:rsid w:val="00234574"/>
    <w:rsid w:val="002367C0"/>
    <w:rsid w:val="002449CD"/>
    <w:rsid w:val="002520EA"/>
    <w:rsid w:val="00262DA7"/>
    <w:rsid w:val="002659F1"/>
    <w:rsid w:val="00277AA7"/>
    <w:rsid w:val="00287E79"/>
    <w:rsid w:val="00290BF7"/>
    <w:rsid w:val="002928F9"/>
    <w:rsid w:val="00297B00"/>
    <w:rsid w:val="002A5D07"/>
    <w:rsid w:val="002B768D"/>
    <w:rsid w:val="002C11FC"/>
    <w:rsid w:val="002C4ECF"/>
    <w:rsid w:val="002E0C1D"/>
    <w:rsid w:val="002E15D5"/>
    <w:rsid w:val="002F0F8F"/>
    <w:rsid w:val="002F3B65"/>
    <w:rsid w:val="002F4961"/>
    <w:rsid w:val="003016B7"/>
    <w:rsid w:val="00305520"/>
    <w:rsid w:val="00311ADA"/>
    <w:rsid w:val="00314D50"/>
    <w:rsid w:val="00325DD3"/>
    <w:rsid w:val="00330E69"/>
    <w:rsid w:val="00350FAB"/>
    <w:rsid w:val="003515AA"/>
    <w:rsid w:val="0035178F"/>
    <w:rsid w:val="00374106"/>
    <w:rsid w:val="00374EDB"/>
    <w:rsid w:val="00380EA0"/>
    <w:rsid w:val="003816B4"/>
    <w:rsid w:val="003829CA"/>
    <w:rsid w:val="003838EE"/>
    <w:rsid w:val="00384BFC"/>
    <w:rsid w:val="00387C6E"/>
    <w:rsid w:val="003976D5"/>
    <w:rsid w:val="003C3EEB"/>
    <w:rsid w:val="003D2769"/>
    <w:rsid w:val="003D38F6"/>
    <w:rsid w:val="003D3F06"/>
    <w:rsid w:val="003D4E3D"/>
    <w:rsid w:val="003D5DC6"/>
    <w:rsid w:val="003D6C68"/>
    <w:rsid w:val="003E5024"/>
    <w:rsid w:val="003E6597"/>
    <w:rsid w:val="003F3D93"/>
    <w:rsid w:val="003F4CC0"/>
    <w:rsid w:val="004054C7"/>
    <w:rsid w:val="0041051F"/>
    <w:rsid w:val="004159D0"/>
    <w:rsid w:val="00417E89"/>
    <w:rsid w:val="004240FD"/>
    <w:rsid w:val="004304AA"/>
    <w:rsid w:val="0043543F"/>
    <w:rsid w:val="00442718"/>
    <w:rsid w:val="00444BA1"/>
    <w:rsid w:val="004456EA"/>
    <w:rsid w:val="004539EE"/>
    <w:rsid w:val="00455D94"/>
    <w:rsid w:val="004644FD"/>
    <w:rsid w:val="00465273"/>
    <w:rsid w:val="004A4951"/>
    <w:rsid w:val="004A51A8"/>
    <w:rsid w:val="004A7CD2"/>
    <w:rsid w:val="004B34B5"/>
    <w:rsid w:val="004C26F1"/>
    <w:rsid w:val="004C5684"/>
    <w:rsid w:val="004E7F57"/>
    <w:rsid w:val="00514E29"/>
    <w:rsid w:val="00520355"/>
    <w:rsid w:val="00525DBB"/>
    <w:rsid w:val="00542F73"/>
    <w:rsid w:val="0054334B"/>
    <w:rsid w:val="00543D5E"/>
    <w:rsid w:val="00547035"/>
    <w:rsid w:val="00550017"/>
    <w:rsid w:val="00556027"/>
    <w:rsid w:val="005610B3"/>
    <w:rsid w:val="005648F0"/>
    <w:rsid w:val="00571C3F"/>
    <w:rsid w:val="00571F41"/>
    <w:rsid w:val="005728F8"/>
    <w:rsid w:val="00574A4C"/>
    <w:rsid w:val="00577CFF"/>
    <w:rsid w:val="00581C64"/>
    <w:rsid w:val="005D02AE"/>
    <w:rsid w:val="005D0428"/>
    <w:rsid w:val="005D0661"/>
    <w:rsid w:val="005D5E49"/>
    <w:rsid w:val="005E0932"/>
    <w:rsid w:val="005E216E"/>
    <w:rsid w:val="005E5D1F"/>
    <w:rsid w:val="00611D43"/>
    <w:rsid w:val="00612D48"/>
    <w:rsid w:val="00616B45"/>
    <w:rsid w:val="00630D9B"/>
    <w:rsid w:val="00631953"/>
    <w:rsid w:val="006439EC"/>
    <w:rsid w:val="00646EE0"/>
    <w:rsid w:val="006647E0"/>
    <w:rsid w:val="00666ECF"/>
    <w:rsid w:val="0066765A"/>
    <w:rsid w:val="0067587B"/>
    <w:rsid w:val="00691749"/>
    <w:rsid w:val="006A7C68"/>
    <w:rsid w:val="006B132B"/>
    <w:rsid w:val="006B3CC1"/>
    <w:rsid w:val="006B4590"/>
    <w:rsid w:val="006B51A0"/>
    <w:rsid w:val="006C340C"/>
    <w:rsid w:val="006C66DD"/>
    <w:rsid w:val="006E3E91"/>
    <w:rsid w:val="006E7EB0"/>
    <w:rsid w:val="006F33E0"/>
    <w:rsid w:val="006F6BB3"/>
    <w:rsid w:val="0070347C"/>
    <w:rsid w:val="00714CE3"/>
    <w:rsid w:val="007176C1"/>
    <w:rsid w:val="00746C28"/>
    <w:rsid w:val="007554D6"/>
    <w:rsid w:val="00763CF8"/>
    <w:rsid w:val="00767071"/>
    <w:rsid w:val="007B011E"/>
    <w:rsid w:val="007B0499"/>
    <w:rsid w:val="007B5495"/>
    <w:rsid w:val="007B7B8E"/>
    <w:rsid w:val="007D5FFA"/>
    <w:rsid w:val="007F3FA0"/>
    <w:rsid w:val="007F55CB"/>
    <w:rsid w:val="008108AF"/>
    <w:rsid w:val="00810E36"/>
    <w:rsid w:val="0082381F"/>
    <w:rsid w:val="00826835"/>
    <w:rsid w:val="00841DC3"/>
    <w:rsid w:val="00842050"/>
    <w:rsid w:val="00844750"/>
    <w:rsid w:val="008464C8"/>
    <w:rsid w:val="008465EC"/>
    <w:rsid w:val="00850F91"/>
    <w:rsid w:val="008613CB"/>
    <w:rsid w:val="008777F8"/>
    <w:rsid w:val="008920E7"/>
    <w:rsid w:val="008B44C4"/>
    <w:rsid w:val="008B4FBC"/>
    <w:rsid w:val="008B5FB8"/>
    <w:rsid w:val="008C0AF2"/>
    <w:rsid w:val="008C7C46"/>
    <w:rsid w:val="008C7C8A"/>
    <w:rsid w:val="008E6308"/>
    <w:rsid w:val="008E675E"/>
    <w:rsid w:val="008E7FAE"/>
    <w:rsid w:val="008F53EB"/>
    <w:rsid w:val="00911BF7"/>
    <w:rsid w:val="00923E03"/>
    <w:rsid w:val="00947445"/>
    <w:rsid w:val="009610CB"/>
    <w:rsid w:val="00962F5F"/>
    <w:rsid w:val="00966B2D"/>
    <w:rsid w:val="00970C41"/>
    <w:rsid w:val="009768B4"/>
    <w:rsid w:val="00977EC8"/>
    <w:rsid w:val="00991B42"/>
    <w:rsid w:val="0099253D"/>
    <w:rsid w:val="00996A28"/>
    <w:rsid w:val="009B2724"/>
    <w:rsid w:val="009C22C6"/>
    <w:rsid w:val="009D3A8C"/>
    <w:rsid w:val="009D7B5D"/>
    <w:rsid w:val="009E6F6D"/>
    <w:rsid w:val="009E75DA"/>
    <w:rsid w:val="009E7956"/>
    <w:rsid w:val="009F2712"/>
    <w:rsid w:val="009F5091"/>
    <w:rsid w:val="00A103C4"/>
    <w:rsid w:val="00A148F9"/>
    <w:rsid w:val="00A23E0C"/>
    <w:rsid w:val="00A2492E"/>
    <w:rsid w:val="00A269B6"/>
    <w:rsid w:val="00A26BE2"/>
    <w:rsid w:val="00A30AB4"/>
    <w:rsid w:val="00A34E47"/>
    <w:rsid w:val="00A36AA2"/>
    <w:rsid w:val="00A50390"/>
    <w:rsid w:val="00A56EA8"/>
    <w:rsid w:val="00A64D5A"/>
    <w:rsid w:val="00A81D9A"/>
    <w:rsid w:val="00AA17A7"/>
    <w:rsid w:val="00AA2D57"/>
    <w:rsid w:val="00AA41D1"/>
    <w:rsid w:val="00AA567A"/>
    <w:rsid w:val="00AB1461"/>
    <w:rsid w:val="00AC67A1"/>
    <w:rsid w:val="00AC7977"/>
    <w:rsid w:val="00AE352C"/>
    <w:rsid w:val="00AE43D8"/>
    <w:rsid w:val="00AF3745"/>
    <w:rsid w:val="00AF7B67"/>
    <w:rsid w:val="00B015C9"/>
    <w:rsid w:val="00B07780"/>
    <w:rsid w:val="00B32E2D"/>
    <w:rsid w:val="00B37AAC"/>
    <w:rsid w:val="00B45A5B"/>
    <w:rsid w:val="00B50201"/>
    <w:rsid w:val="00B61990"/>
    <w:rsid w:val="00B63A55"/>
    <w:rsid w:val="00B679BE"/>
    <w:rsid w:val="00B72043"/>
    <w:rsid w:val="00B75A0C"/>
    <w:rsid w:val="00B77C99"/>
    <w:rsid w:val="00B81136"/>
    <w:rsid w:val="00B87928"/>
    <w:rsid w:val="00B94BE2"/>
    <w:rsid w:val="00B94D68"/>
    <w:rsid w:val="00BA2387"/>
    <w:rsid w:val="00BA31B5"/>
    <w:rsid w:val="00BA5563"/>
    <w:rsid w:val="00BC4C9F"/>
    <w:rsid w:val="00BC554A"/>
    <w:rsid w:val="00BD107F"/>
    <w:rsid w:val="00BD48BB"/>
    <w:rsid w:val="00BE3084"/>
    <w:rsid w:val="00BF0556"/>
    <w:rsid w:val="00C005F9"/>
    <w:rsid w:val="00C10204"/>
    <w:rsid w:val="00C117F2"/>
    <w:rsid w:val="00C13FA8"/>
    <w:rsid w:val="00C1562D"/>
    <w:rsid w:val="00C25F84"/>
    <w:rsid w:val="00C261AB"/>
    <w:rsid w:val="00C261F8"/>
    <w:rsid w:val="00C33100"/>
    <w:rsid w:val="00C33253"/>
    <w:rsid w:val="00C423CE"/>
    <w:rsid w:val="00C42566"/>
    <w:rsid w:val="00C65ABA"/>
    <w:rsid w:val="00C72970"/>
    <w:rsid w:val="00C8412B"/>
    <w:rsid w:val="00C87140"/>
    <w:rsid w:val="00C90E98"/>
    <w:rsid w:val="00C926F4"/>
    <w:rsid w:val="00C93047"/>
    <w:rsid w:val="00CA65CF"/>
    <w:rsid w:val="00CA7CAA"/>
    <w:rsid w:val="00CB248B"/>
    <w:rsid w:val="00CC6CD2"/>
    <w:rsid w:val="00CD1A71"/>
    <w:rsid w:val="00CD1FBB"/>
    <w:rsid w:val="00CF0EEB"/>
    <w:rsid w:val="00CF7BFE"/>
    <w:rsid w:val="00D00FB9"/>
    <w:rsid w:val="00D016B5"/>
    <w:rsid w:val="00D034F1"/>
    <w:rsid w:val="00D13D38"/>
    <w:rsid w:val="00D15CEF"/>
    <w:rsid w:val="00D263B0"/>
    <w:rsid w:val="00D27D5E"/>
    <w:rsid w:val="00D34557"/>
    <w:rsid w:val="00D46E68"/>
    <w:rsid w:val="00D6697C"/>
    <w:rsid w:val="00D77DA4"/>
    <w:rsid w:val="00D83A25"/>
    <w:rsid w:val="00D857CD"/>
    <w:rsid w:val="00DA0A89"/>
    <w:rsid w:val="00DB4FBC"/>
    <w:rsid w:val="00DB620D"/>
    <w:rsid w:val="00DE6D90"/>
    <w:rsid w:val="00DF002F"/>
    <w:rsid w:val="00E00420"/>
    <w:rsid w:val="00E01507"/>
    <w:rsid w:val="00E0244D"/>
    <w:rsid w:val="00E04ABE"/>
    <w:rsid w:val="00E060BA"/>
    <w:rsid w:val="00E172D4"/>
    <w:rsid w:val="00E728BE"/>
    <w:rsid w:val="00E75CE0"/>
    <w:rsid w:val="00E81E94"/>
    <w:rsid w:val="00E82607"/>
    <w:rsid w:val="00EA0D43"/>
    <w:rsid w:val="00EE1A0D"/>
    <w:rsid w:val="00F15AB4"/>
    <w:rsid w:val="00F367BC"/>
    <w:rsid w:val="00F50359"/>
    <w:rsid w:val="00F51221"/>
    <w:rsid w:val="00F51E3D"/>
    <w:rsid w:val="00F539A8"/>
    <w:rsid w:val="00F54311"/>
    <w:rsid w:val="00F554EB"/>
    <w:rsid w:val="00F6301A"/>
    <w:rsid w:val="00F6368B"/>
    <w:rsid w:val="00F73392"/>
    <w:rsid w:val="00F77C14"/>
    <w:rsid w:val="00F84141"/>
    <w:rsid w:val="00F925AE"/>
    <w:rsid w:val="00F95A12"/>
    <w:rsid w:val="00FA5A79"/>
    <w:rsid w:val="00FB0BFE"/>
    <w:rsid w:val="00FB3091"/>
    <w:rsid w:val="00FB3BDF"/>
    <w:rsid w:val="00FB44B8"/>
    <w:rsid w:val="00FB4C51"/>
    <w:rsid w:val="00FC41B9"/>
    <w:rsid w:val="00FC6713"/>
    <w:rsid w:val="00FD2E94"/>
    <w:rsid w:val="00FD3C34"/>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MaintextLOI">
    <w:name w:val="Main text_LOI"/>
    <w:rsid w:val="00970C41"/>
    <w:rPr>
      <w:sz w:val="24"/>
      <w:szCs w:val="24"/>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LOInumbering1">
    <w:name w:val="LOI_numbering 1."/>
    <w:basedOn w:val="Normal"/>
    <w:link w:val="LOInumbering1Char"/>
    <w:rsid w:val="00970C41"/>
    <w:pPr>
      <w:numPr>
        <w:numId w:val="3"/>
      </w:numPr>
      <w:suppressAutoHyphens w:val="0"/>
      <w:autoSpaceDE w:val="0"/>
      <w:autoSpaceDN w:val="0"/>
      <w:adjustRightInd w:val="0"/>
      <w:spacing w:beforeLines="120" w:before="120" w:afterLines="120" w:after="120" w:line="240" w:lineRule="auto"/>
    </w:pPr>
    <w:rPr>
      <w:sz w:val="24"/>
    </w:rPr>
  </w:style>
  <w:style w:type="paragraph" w:customStyle="1" w:styleId="LOInumberinga">
    <w:name w:val="LOI_numbering a)"/>
    <w:basedOn w:val="Normal"/>
    <w:link w:val="LOInumberingaCharChar"/>
    <w:rsid w:val="00970C41"/>
    <w:pPr>
      <w:numPr>
        <w:numId w:val="4"/>
      </w:numPr>
      <w:suppressAutoHyphens w:val="0"/>
      <w:autoSpaceDE w:val="0"/>
      <w:autoSpaceDN w:val="0"/>
      <w:adjustRightInd w:val="0"/>
      <w:spacing w:after="200" w:line="240" w:lineRule="auto"/>
    </w:pPr>
    <w:rPr>
      <w:rFonts w:eastAsia="SimSun"/>
      <w:sz w:val="24"/>
      <w:szCs w:val="23"/>
      <w:lang w:val="fr-FR" w:eastAsia="zh-CN"/>
    </w:rPr>
  </w:style>
  <w:style w:type="paragraph" w:customStyle="1" w:styleId="StyleLOInumberingaComplex12pt">
    <w:name w:val="Style LOI_numbering a) + (Complex) 12 pt"/>
    <w:basedOn w:val="LOInumberinga"/>
    <w:link w:val="StyleLOInumberingaComplex12ptCharChar"/>
    <w:rsid w:val="00970C41"/>
    <w:rPr>
      <w:szCs w:val="24"/>
    </w:rPr>
  </w:style>
  <w:style w:type="character" w:customStyle="1" w:styleId="LOInumberingaCharChar">
    <w:name w:val="LOI_numbering a) Char Char"/>
    <w:link w:val="LOInumberinga"/>
    <w:rsid w:val="00970C41"/>
    <w:rPr>
      <w:rFonts w:eastAsia="SimSun"/>
      <w:sz w:val="24"/>
      <w:szCs w:val="23"/>
      <w:lang w:val="fr-FR" w:eastAsia="zh-CN" w:bidi="ar-SA"/>
    </w:rPr>
  </w:style>
  <w:style w:type="character" w:customStyle="1" w:styleId="StyleLOInumberingaComplex12ptCharChar">
    <w:name w:val="Style LOI_numbering a) + (Complex) 12 pt Char Char"/>
    <w:link w:val="StyleLOInumberingaComplex12pt"/>
    <w:rsid w:val="00970C41"/>
    <w:rPr>
      <w:rFonts w:eastAsia="SimSun"/>
      <w:sz w:val="24"/>
      <w:szCs w:val="24"/>
      <w:lang w:val="fr-FR" w:eastAsia="zh-CN" w:bidi="ar-SA"/>
    </w:rPr>
  </w:style>
  <w:style w:type="character" w:customStyle="1" w:styleId="LOInumbering1Char">
    <w:name w:val="LOI_numbering 1. Char"/>
    <w:link w:val="LOInumbering1"/>
    <w:rsid w:val="00970C41"/>
    <w:rPr>
      <w:sz w:val="24"/>
      <w:lang w:val="fr-CH" w:eastAsia="en-US" w:bidi="ar-SA"/>
    </w:rPr>
  </w:style>
  <w:style w:type="paragraph" w:styleId="NormalWeb">
    <w:name w:val="Normal (Web)"/>
    <w:basedOn w:val="Normal"/>
    <w:rsid w:val="00970C41"/>
    <w:pPr>
      <w:suppressAutoHyphens w:val="0"/>
      <w:spacing w:before="100" w:beforeAutospacing="1" w:after="100" w:afterAutospacing="1" w:line="240" w:lineRule="auto"/>
    </w:pPr>
    <w:rPr>
      <w:rFonts w:ascii="Verdana" w:eastAsia="SimSun" w:hAnsi="Verdana"/>
      <w:color w:val="555555"/>
      <w:sz w:val="12"/>
      <w:szCs w:val="12"/>
      <w:lang w:val="en-US" w:eastAsia="zh-CN"/>
    </w:rPr>
  </w:style>
  <w:style w:type="character" w:customStyle="1" w:styleId="SingleTxtGChar">
    <w:name w:val="_ Single Txt_G Char"/>
    <w:link w:val="SingleTxtG"/>
    <w:rsid w:val="00970C41"/>
    <w:rPr>
      <w:lang w:val="fr-CH" w:eastAsia="en-US" w:bidi="ar-SA"/>
    </w:rPr>
  </w:style>
  <w:style w:type="paragraph" w:styleId="BalloonText">
    <w:name w:val="Balloon Text"/>
    <w:basedOn w:val="Normal"/>
    <w:semiHidden/>
    <w:rsid w:val="008920E7"/>
    <w:rPr>
      <w:rFonts w:ascii="Tahoma" w:hAnsi="Tahoma" w:cs="Tahoma"/>
      <w:sz w:val="16"/>
      <w:szCs w:val="16"/>
    </w:rPr>
  </w:style>
  <w:style w:type="character" w:customStyle="1" w:styleId="FootnoteTextChar">
    <w:name w:val="Footnote Text Char"/>
    <w:aliases w:val="5_G Char"/>
    <w:link w:val="FootnoteText"/>
    <w:rsid w:val="00714CE3"/>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2894</Words>
  <Characters>15892</Characters>
  <Application>Microsoft Office Word</Application>
  <DocSecurity>4</DocSecurity>
  <Lines>256</Lines>
  <Paragraphs>74</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DCM</cp:lastModifiedBy>
  <cp:revision>2</cp:revision>
  <cp:lastPrinted>2011-02-17T08:35:00Z</cp:lastPrinted>
  <dcterms:created xsi:type="dcterms:W3CDTF">2011-02-17T08:39:00Z</dcterms:created>
  <dcterms:modified xsi:type="dcterms:W3CDTF">2011-02-17T08:39:00Z</dcterms:modified>
</cp:coreProperties>
</file>