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D35F19" w:rsidP="00D35F19">
            <w:pPr>
              <w:suppressAutoHyphens w:val="0"/>
              <w:spacing w:after="20"/>
              <w:jc w:val="right"/>
            </w:pPr>
            <w:r w:rsidRPr="00D35F19">
              <w:rPr>
                <w:sz w:val="40"/>
              </w:rPr>
              <w:t>CERD</w:t>
            </w:r>
            <w:r>
              <w:t>/C/LVA/CO/6-12/Add.1</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val="en-US"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D35F19" w:rsidP="00D35F19">
            <w:pPr>
              <w:spacing w:before="240"/>
            </w:pPr>
            <w:r>
              <w:t>Distr.: General</w:t>
            </w:r>
          </w:p>
          <w:p w:rsidR="00D35F19" w:rsidRDefault="00F44E39" w:rsidP="00D35F19">
            <w:pPr>
              <w:suppressAutoHyphens w:val="0"/>
            </w:pPr>
            <w:r>
              <w:t>28</w:t>
            </w:r>
            <w:r w:rsidR="00D35F19">
              <w:t xml:space="preserve"> August 2019</w:t>
            </w:r>
          </w:p>
          <w:p w:rsidR="00D35F19" w:rsidRDefault="00D35F19" w:rsidP="00D35F19">
            <w:pPr>
              <w:suppressAutoHyphens w:val="0"/>
            </w:pPr>
          </w:p>
          <w:p w:rsidR="00D35F19" w:rsidRDefault="00D35F19" w:rsidP="00D35F19">
            <w:pPr>
              <w:suppressAutoHyphens w:val="0"/>
            </w:pPr>
            <w:r>
              <w:t>Original: English</w:t>
            </w:r>
          </w:p>
          <w:p w:rsidR="00D35F19" w:rsidRDefault="00D35F19" w:rsidP="00D35F19">
            <w:pPr>
              <w:suppressAutoHyphens w:val="0"/>
            </w:pPr>
            <w:r>
              <w:t>English, French and Spanish only</w:t>
            </w:r>
          </w:p>
        </w:tc>
      </w:tr>
    </w:tbl>
    <w:p w:rsidR="00D35F19" w:rsidRPr="005429F0" w:rsidRDefault="00D35F19">
      <w:pPr>
        <w:spacing w:before="120"/>
        <w:rPr>
          <w:b/>
          <w:sz w:val="24"/>
          <w:szCs w:val="24"/>
        </w:rPr>
      </w:pPr>
      <w:r w:rsidRPr="005429F0">
        <w:rPr>
          <w:b/>
          <w:sz w:val="24"/>
          <w:szCs w:val="24"/>
        </w:rPr>
        <w:t>Committee on the Elimination of Racial Discrimination</w:t>
      </w:r>
    </w:p>
    <w:p w:rsidR="00644309" w:rsidRPr="005429F0" w:rsidRDefault="00644309" w:rsidP="00644309">
      <w:pPr>
        <w:pStyle w:val="HChG"/>
      </w:pPr>
      <w:r w:rsidRPr="005429F0">
        <w:tab/>
      </w:r>
      <w:r w:rsidRPr="005429F0">
        <w:tab/>
        <w:t>Concl</w:t>
      </w:r>
      <w:bookmarkStart w:id="0" w:name="_GoBack"/>
      <w:bookmarkEnd w:id="0"/>
      <w:r w:rsidRPr="005429F0">
        <w:t>uding observations on the sixth to twelfth periodic reports of Latvia</w:t>
      </w:r>
    </w:p>
    <w:p w:rsidR="00644309" w:rsidRPr="005429F0" w:rsidRDefault="00644309" w:rsidP="00644309">
      <w:pPr>
        <w:pStyle w:val="H23G"/>
      </w:pPr>
      <w:r w:rsidRPr="005429F0">
        <w:tab/>
      </w:r>
      <w:r w:rsidRPr="005429F0">
        <w:tab/>
        <w:t>Addendum</w:t>
      </w:r>
    </w:p>
    <w:p w:rsidR="00644309" w:rsidRPr="005429F0" w:rsidRDefault="00644309" w:rsidP="00644309">
      <w:pPr>
        <w:pStyle w:val="HChG"/>
      </w:pPr>
      <w:r w:rsidRPr="005429F0">
        <w:tab/>
      </w:r>
      <w:r w:rsidRPr="005429F0">
        <w:tab/>
        <w:t>Information received from Latvia on follow-up to the concluding observations</w:t>
      </w:r>
      <w:r w:rsidRPr="005429F0">
        <w:rPr>
          <w:b w:val="0"/>
          <w:bCs/>
          <w:sz w:val="20"/>
        </w:rPr>
        <w:footnoteReference w:customMarkFollows="1" w:id="1"/>
        <w:t>*</w:t>
      </w:r>
    </w:p>
    <w:p w:rsidR="00644309" w:rsidRPr="005429F0" w:rsidRDefault="00644309" w:rsidP="00644309">
      <w:pPr>
        <w:pStyle w:val="SingleTxtG"/>
        <w:jc w:val="right"/>
      </w:pPr>
      <w:r w:rsidRPr="005429F0">
        <w:t xml:space="preserve">[Date </w:t>
      </w:r>
      <w:proofErr w:type="gramStart"/>
      <w:r w:rsidRPr="005429F0">
        <w:t>received:</w:t>
      </w:r>
      <w:proofErr w:type="gramEnd"/>
      <w:r w:rsidRPr="005429F0">
        <w:t xml:space="preserve"> 26 August 2019]</w:t>
      </w:r>
    </w:p>
    <w:p w:rsidR="00644309" w:rsidRPr="005429F0" w:rsidRDefault="00644309" w:rsidP="009A7F08">
      <w:pPr>
        <w:pStyle w:val="HChG"/>
      </w:pPr>
      <w:r w:rsidRPr="005429F0">
        <w:br w:type="page"/>
      </w:r>
      <w:r w:rsidRPr="005429F0">
        <w:lastRenderedPageBreak/>
        <w:tab/>
      </w:r>
      <w:r w:rsidRPr="005429F0">
        <w:tab/>
        <w:t>Follow-up information submitted by the Republic of Latvia in response to the recommendations provided in paragraphs 21 (a) and (b), and 23 (d) of the Concluding observations on the combined sixth to twelfth periodic reports of Latvia</w:t>
      </w:r>
    </w:p>
    <w:p w:rsidR="00644309" w:rsidRPr="005429F0" w:rsidRDefault="00644309" w:rsidP="00644309">
      <w:pPr>
        <w:pStyle w:val="SingleTxtG"/>
      </w:pPr>
      <w:r w:rsidRPr="005429F0">
        <w:t>1.</w:t>
      </w:r>
      <w:r w:rsidRPr="005429F0">
        <w:tab/>
        <w:t>On 23 August 2018, the United Nations Committee on the Elimination of Racial Discrimination (Committee) adopted the Concluding observations on the combined sixth to twelfth periodic reports of Latvia (Concluding observations) (CERD/C/LVA/CO/6-12).</w:t>
      </w:r>
    </w:p>
    <w:p w:rsidR="00644309" w:rsidRPr="005429F0" w:rsidRDefault="00644309" w:rsidP="00644309">
      <w:pPr>
        <w:pStyle w:val="SingleTxtG"/>
      </w:pPr>
      <w:r w:rsidRPr="005429F0">
        <w:t>2.</w:t>
      </w:r>
      <w:r w:rsidRPr="005429F0">
        <w:tab/>
        <w:t>The present document contains the follow-up information in response to the recommendations contained in paragraphs 21</w:t>
      </w:r>
      <w:r w:rsidR="001F0325">
        <w:t xml:space="preserve"> </w:t>
      </w:r>
      <w:r w:rsidRPr="005429F0">
        <w:t>(a) and (b), and 23 (d) of the Concluding observations.</w:t>
      </w:r>
    </w:p>
    <w:p w:rsidR="00644309" w:rsidRPr="005429F0" w:rsidRDefault="00644309" w:rsidP="009A7F08">
      <w:pPr>
        <w:pStyle w:val="HChG"/>
      </w:pPr>
      <w:r w:rsidRPr="005429F0">
        <w:tab/>
        <w:t>I.</w:t>
      </w:r>
      <w:r w:rsidRPr="005429F0">
        <w:tab/>
        <w:t>As to the recommendation contained in p</w:t>
      </w:r>
      <w:r w:rsidR="002F2126">
        <w:t>aragraph 21 (a) and (b) of the c</w:t>
      </w:r>
      <w:r w:rsidRPr="005429F0">
        <w:t>oncluding observations</w:t>
      </w:r>
    </w:p>
    <w:p w:rsidR="00644309" w:rsidRPr="005429F0" w:rsidRDefault="00644309" w:rsidP="00644309">
      <w:pPr>
        <w:pStyle w:val="SingleTxtG"/>
      </w:pPr>
      <w:r w:rsidRPr="005429F0">
        <w:t>3.</w:t>
      </w:r>
      <w:r w:rsidRPr="005429F0">
        <w:tab/>
        <w:t>Paragraph 21 (a) and (b) of the Concluding observations contain the following recommendations:</w:t>
      </w:r>
    </w:p>
    <w:p w:rsidR="00644309" w:rsidRPr="005429F0" w:rsidRDefault="005429F0" w:rsidP="009A7F08">
      <w:pPr>
        <w:pStyle w:val="SingleTxtG"/>
        <w:ind w:left="1701"/>
      </w:pPr>
      <w:r>
        <w:t>“</w:t>
      </w:r>
      <w:r w:rsidR="00644309" w:rsidRPr="005429F0">
        <w:t>(</w:t>
      </w:r>
      <w:proofErr w:type="gramStart"/>
      <w:r w:rsidR="00644309" w:rsidRPr="005429F0">
        <w:t>a</w:t>
      </w:r>
      <w:proofErr w:type="gramEnd"/>
      <w:r w:rsidR="00644309" w:rsidRPr="005429F0">
        <w:t>) Step up measures to decrease the number of persons without nationality by continuing to facilitate access to naturalization;</w:t>
      </w:r>
    </w:p>
    <w:p w:rsidR="00644309" w:rsidRPr="005429F0" w:rsidRDefault="00644309" w:rsidP="009A7F08">
      <w:pPr>
        <w:pStyle w:val="SingleTxtG"/>
        <w:ind w:left="1701"/>
      </w:pPr>
      <w:r w:rsidRPr="005429F0">
        <w:t>(b) Find ways and means to phase out the separate legal category of non-citizen</w:t>
      </w:r>
      <w:r w:rsidR="005429F0">
        <w:t>”</w:t>
      </w:r>
      <w:r w:rsidRPr="005429F0">
        <w:t>.</w:t>
      </w:r>
    </w:p>
    <w:p w:rsidR="00644309" w:rsidRPr="005429F0" w:rsidRDefault="00644309" w:rsidP="002F2126">
      <w:pPr>
        <w:pStyle w:val="SingleTxtG"/>
      </w:pPr>
      <w:r w:rsidRPr="005429F0">
        <w:t>4.</w:t>
      </w:r>
      <w:r w:rsidRPr="005429F0">
        <w:tab/>
        <w:t>The number of non-citizens of the Republic of Latvia continues to decrease every year. On 1 January 2018, 233</w:t>
      </w:r>
      <w:r w:rsidR="001F0325">
        <w:t>,</w:t>
      </w:r>
      <w:r w:rsidRPr="005429F0">
        <w:t>393 non-citizens were registered in the Population Register of Latvia; on 1 January 2019 the number had dropped to 224</w:t>
      </w:r>
      <w:r w:rsidR="001F0325">
        <w:t>,</w:t>
      </w:r>
      <w:r w:rsidRPr="005429F0">
        <w:t xml:space="preserve">670, while on 1 July 2019, 220 491 non-citizens were registered in the Population Register. It </w:t>
      </w:r>
      <w:proofErr w:type="gramStart"/>
      <w:r w:rsidRPr="005429F0">
        <w:t>can be concluded</w:t>
      </w:r>
      <w:proofErr w:type="gramEnd"/>
      <w:r w:rsidRPr="005429F0">
        <w:t xml:space="preserve"> that each year the number of non-citizens decreases by approximately 10</w:t>
      </w:r>
      <w:r w:rsidR="002F2126">
        <w:t>,</w:t>
      </w:r>
      <w:r w:rsidRPr="005429F0">
        <w:t>000 persons.</w:t>
      </w:r>
      <w:r w:rsidRPr="005429F0">
        <w:rPr>
          <w:rStyle w:val="FootnoteReference"/>
        </w:rPr>
        <w:footnoteReference w:id="2"/>
      </w:r>
    </w:p>
    <w:p w:rsidR="00644309" w:rsidRPr="005429F0" w:rsidRDefault="00644309" w:rsidP="00644309">
      <w:pPr>
        <w:pStyle w:val="SingleTxtG"/>
      </w:pPr>
      <w:r w:rsidRPr="005429F0">
        <w:t>5.</w:t>
      </w:r>
      <w:r w:rsidRPr="005429F0">
        <w:tab/>
        <w:t>There are several reasons for the decrease of registered non-citizens. The most significant decrease of the number of non-citizens comes from the stable numbers of those non-citizens who apply for and pass the naturalization exams either in the Republic of Latvia or in other countries. Around 1</w:t>
      </w:r>
      <w:r w:rsidR="002F2126">
        <w:t>,</w:t>
      </w:r>
      <w:r w:rsidRPr="005429F0">
        <w:t>500 non-citizens annually receive citizenship of Latvia or another country.</w:t>
      </w:r>
    </w:p>
    <w:p w:rsidR="00644309" w:rsidRPr="005429F0" w:rsidRDefault="00644309" w:rsidP="00644309">
      <w:pPr>
        <w:pStyle w:val="SingleTxtG"/>
      </w:pPr>
      <w:r w:rsidRPr="005429F0">
        <w:t>6.</w:t>
      </w:r>
      <w:r w:rsidRPr="005429F0">
        <w:tab/>
        <w:t xml:space="preserve">In assessing the number of applications for naturalization, it </w:t>
      </w:r>
      <w:proofErr w:type="gramStart"/>
      <w:r w:rsidRPr="005429F0">
        <w:t>should be noted</w:t>
      </w:r>
      <w:proofErr w:type="gramEnd"/>
      <w:r w:rsidRPr="005429F0">
        <w:t xml:space="preserve"> that there have been no significant increase or decrease in the last four years, and the number of applications remains relatively stable. On average, 1</w:t>
      </w:r>
      <w:r w:rsidR="002F2126">
        <w:t>,</w:t>
      </w:r>
      <w:r w:rsidRPr="005429F0">
        <w:t xml:space="preserve">000 persons per year wish to naturalize. </w:t>
      </w:r>
    </w:p>
    <w:p w:rsidR="00644309" w:rsidRPr="005429F0" w:rsidRDefault="00644309" w:rsidP="005429F0">
      <w:pPr>
        <w:pStyle w:val="H23G"/>
        <w:spacing w:after="240"/>
      </w:pPr>
      <w:r w:rsidRPr="005429F0">
        <w:tab/>
      </w:r>
      <w:r w:rsidRPr="005429F0">
        <w:tab/>
        <w:t>Number of submission for naturalisation, 2015</w:t>
      </w:r>
      <w:r w:rsidR="005429F0">
        <w:t>–</w:t>
      </w:r>
      <w:r w:rsidRPr="005429F0">
        <w:t>June 2019</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13"/>
        <w:gridCol w:w="1589"/>
        <w:gridCol w:w="1589"/>
        <w:gridCol w:w="1589"/>
        <w:gridCol w:w="1590"/>
      </w:tblGrid>
      <w:tr w:rsidR="00644309" w:rsidRPr="005429F0" w:rsidTr="00175E30">
        <w:trPr>
          <w:tblHeader/>
        </w:trPr>
        <w:tc>
          <w:tcPr>
            <w:tcW w:w="1013" w:type="dxa"/>
            <w:tcBorders>
              <w:top w:val="single" w:sz="4" w:space="0" w:color="auto"/>
              <w:bottom w:val="single" w:sz="12" w:space="0" w:color="auto"/>
            </w:tcBorders>
            <w:shd w:val="clear" w:color="auto" w:fill="auto"/>
            <w:vAlign w:val="bottom"/>
            <w:hideMark/>
          </w:tcPr>
          <w:p w:rsidR="00644309" w:rsidRPr="005429F0" w:rsidRDefault="00644309" w:rsidP="00B25A2F">
            <w:pPr>
              <w:suppressAutoHyphens w:val="0"/>
              <w:spacing w:before="80" w:after="80" w:line="200" w:lineRule="exact"/>
              <w:ind w:right="113"/>
              <w:rPr>
                <w:i/>
                <w:sz w:val="16"/>
              </w:rPr>
            </w:pPr>
            <w:r w:rsidRPr="005429F0">
              <w:rPr>
                <w:i/>
                <w:sz w:val="16"/>
              </w:rPr>
              <w:t>Year</w:t>
            </w:r>
          </w:p>
        </w:tc>
        <w:tc>
          <w:tcPr>
            <w:tcW w:w="1589" w:type="dxa"/>
            <w:tcBorders>
              <w:top w:val="single" w:sz="4" w:space="0" w:color="auto"/>
              <w:bottom w:val="single" w:sz="12" w:space="0" w:color="auto"/>
            </w:tcBorders>
            <w:shd w:val="clear" w:color="auto" w:fill="auto"/>
            <w:vAlign w:val="bottom"/>
            <w:hideMark/>
          </w:tcPr>
          <w:p w:rsidR="00644309" w:rsidRPr="005429F0" w:rsidRDefault="00644309" w:rsidP="00BC0246">
            <w:pPr>
              <w:suppressAutoHyphens w:val="0"/>
              <w:spacing w:before="80" w:after="80" w:line="200" w:lineRule="exact"/>
              <w:ind w:right="113"/>
              <w:jc w:val="right"/>
              <w:rPr>
                <w:i/>
                <w:sz w:val="16"/>
              </w:rPr>
            </w:pPr>
            <w:r w:rsidRPr="005429F0">
              <w:rPr>
                <w:i/>
                <w:sz w:val="16"/>
              </w:rPr>
              <w:t>Applications for naturali</w:t>
            </w:r>
            <w:r w:rsidR="00BC0246" w:rsidRPr="005429F0">
              <w:rPr>
                <w:i/>
                <w:sz w:val="16"/>
              </w:rPr>
              <w:t>z</w:t>
            </w:r>
            <w:r w:rsidRPr="005429F0">
              <w:rPr>
                <w:i/>
                <w:sz w:val="16"/>
              </w:rPr>
              <w:t>ation</w:t>
            </w:r>
          </w:p>
        </w:tc>
        <w:tc>
          <w:tcPr>
            <w:tcW w:w="1589" w:type="dxa"/>
            <w:tcBorders>
              <w:top w:val="single" w:sz="4" w:space="0" w:color="auto"/>
              <w:bottom w:val="single" w:sz="12" w:space="0" w:color="auto"/>
            </w:tcBorders>
            <w:shd w:val="clear" w:color="auto" w:fill="auto"/>
            <w:vAlign w:val="bottom"/>
            <w:hideMark/>
          </w:tcPr>
          <w:p w:rsidR="00644309" w:rsidRPr="005429F0" w:rsidRDefault="00644309" w:rsidP="00B25A2F">
            <w:pPr>
              <w:suppressAutoHyphens w:val="0"/>
              <w:spacing w:before="80" w:after="80" w:line="200" w:lineRule="exact"/>
              <w:ind w:right="113"/>
              <w:jc w:val="right"/>
              <w:rPr>
                <w:i/>
                <w:sz w:val="16"/>
              </w:rPr>
            </w:pPr>
            <w:r w:rsidRPr="005429F0">
              <w:rPr>
                <w:i/>
                <w:sz w:val="16"/>
              </w:rPr>
              <w:t>Admitted to Latvian citizenship</w:t>
            </w:r>
          </w:p>
        </w:tc>
        <w:tc>
          <w:tcPr>
            <w:tcW w:w="1589" w:type="dxa"/>
            <w:tcBorders>
              <w:top w:val="single" w:sz="4" w:space="0" w:color="auto"/>
              <w:bottom w:val="single" w:sz="12" w:space="0" w:color="auto"/>
            </w:tcBorders>
            <w:shd w:val="clear" w:color="auto" w:fill="auto"/>
            <w:vAlign w:val="bottom"/>
            <w:hideMark/>
          </w:tcPr>
          <w:p w:rsidR="00644309" w:rsidRPr="005429F0" w:rsidRDefault="00BC0246" w:rsidP="00B25A2F">
            <w:pPr>
              <w:suppressAutoHyphens w:val="0"/>
              <w:spacing w:before="80" w:after="80" w:line="200" w:lineRule="exact"/>
              <w:ind w:right="113"/>
              <w:jc w:val="right"/>
              <w:rPr>
                <w:i/>
                <w:sz w:val="16"/>
              </w:rPr>
            </w:pPr>
            <w:r w:rsidRPr="005429F0">
              <w:rPr>
                <w:i/>
                <w:sz w:val="16"/>
              </w:rPr>
              <w:t>I</w:t>
            </w:r>
            <w:r w:rsidR="00644309" w:rsidRPr="005429F0">
              <w:rPr>
                <w:i/>
                <w:sz w:val="16"/>
              </w:rPr>
              <w:t>ncluding their minor children (up to 15 years)</w:t>
            </w:r>
          </w:p>
        </w:tc>
        <w:tc>
          <w:tcPr>
            <w:tcW w:w="1590" w:type="dxa"/>
            <w:tcBorders>
              <w:top w:val="single" w:sz="4" w:space="0" w:color="auto"/>
              <w:bottom w:val="single" w:sz="12" w:space="0" w:color="auto"/>
            </w:tcBorders>
            <w:shd w:val="clear" w:color="auto" w:fill="auto"/>
            <w:vAlign w:val="bottom"/>
            <w:hideMark/>
          </w:tcPr>
          <w:p w:rsidR="00644309" w:rsidRPr="005429F0" w:rsidRDefault="00644309" w:rsidP="00B25A2F">
            <w:pPr>
              <w:suppressAutoHyphens w:val="0"/>
              <w:spacing w:before="80" w:after="80" w:line="200" w:lineRule="exact"/>
              <w:ind w:right="113"/>
              <w:jc w:val="right"/>
              <w:rPr>
                <w:i/>
                <w:sz w:val="16"/>
              </w:rPr>
            </w:pPr>
            <w:r w:rsidRPr="005429F0">
              <w:rPr>
                <w:i/>
                <w:sz w:val="16"/>
              </w:rPr>
              <w:t>Non-EU country nationals admitted to citizenship</w:t>
            </w:r>
          </w:p>
        </w:tc>
      </w:tr>
      <w:tr w:rsidR="00644309" w:rsidRPr="005429F0" w:rsidTr="00175E30">
        <w:tc>
          <w:tcPr>
            <w:tcW w:w="1013" w:type="dxa"/>
            <w:tcBorders>
              <w:top w:val="single" w:sz="12" w:space="0" w:color="auto"/>
            </w:tcBorders>
            <w:shd w:val="clear" w:color="auto" w:fill="auto"/>
            <w:hideMark/>
          </w:tcPr>
          <w:p w:rsidR="00644309" w:rsidRPr="005429F0" w:rsidRDefault="00644309" w:rsidP="00B25A2F">
            <w:pPr>
              <w:suppressAutoHyphens w:val="0"/>
              <w:spacing w:before="40" w:after="40" w:line="220" w:lineRule="exact"/>
              <w:ind w:right="113"/>
              <w:rPr>
                <w:sz w:val="18"/>
              </w:rPr>
            </w:pPr>
            <w:r w:rsidRPr="005429F0">
              <w:rPr>
                <w:sz w:val="18"/>
              </w:rPr>
              <w:t>2015</w:t>
            </w:r>
          </w:p>
        </w:tc>
        <w:tc>
          <w:tcPr>
            <w:tcW w:w="1589" w:type="dxa"/>
            <w:tcBorders>
              <w:top w:val="single" w:sz="12" w:space="0" w:color="auto"/>
            </w:tcBorders>
            <w:shd w:val="clear" w:color="auto" w:fill="auto"/>
            <w:vAlign w:val="bottom"/>
            <w:hideMark/>
          </w:tcPr>
          <w:p w:rsidR="00644309" w:rsidRPr="005429F0" w:rsidRDefault="00644309" w:rsidP="00B25A2F">
            <w:pPr>
              <w:suppressAutoHyphens w:val="0"/>
              <w:spacing w:before="40" w:after="40" w:line="220" w:lineRule="exact"/>
              <w:ind w:right="113"/>
              <w:jc w:val="right"/>
              <w:rPr>
                <w:sz w:val="18"/>
              </w:rPr>
            </w:pPr>
            <w:r w:rsidRPr="005429F0">
              <w:rPr>
                <w:sz w:val="18"/>
              </w:rPr>
              <w:t>1</w:t>
            </w:r>
            <w:r w:rsidR="00BC0246" w:rsidRPr="005429F0">
              <w:rPr>
                <w:sz w:val="18"/>
              </w:rPr>
              <w:t xml:space="preserve"> </w:t>
            </w:r>
            <w:r w:rsidRPr="005429F0">
              <w:rPr>
                <w:sz w:val="18"/>
              </w:rPr>
              <w:t>257</w:t>
            </w:r>
          </w:p>
        </w:tc>
        <w:tc>
          <w:tcPr>
            <w:tcW w:w="1589" w:type="dxa"/>
            <w:tcBorders>
              <w:top w:val="single" w:sz="12" w:space="0" w:color="auto"/>
            </w:tcBorders>
            <w:shd w:val="clear" w:color="auto" w:fill="auto"/>
            <w:vAlign w:val="bottom"/>
            <w:hideMark/>
          </w:tcPr>
          <w:p w:rsidR="00644309" w:rsidRPr="005429F0" w:rsidRDefault="00644309" w:rsidP="00B25A2F">
            <w:pPr>
              <w:suppressAutoHyphens w:val="0"/>
              <w:spacing w:before="40" w:after="40" w:line="220" w:lineRule="exact"/>
              <w:ind w:right="113"/>
              <w:jc w:val="right"/>
              <w:rPr>
                <w:sz w:val="18"/>
              </w:rPr>
            </w:pPr>
            <w:r w:rsidRPr="005429F0">
              <w:rPr>
                <w:sz w:val="18"/>
              </w:rPr>
              <w:t>971</w:t>
            </w:r>
          </w:p>
        </w:tc>
        <w:tc>
          <w:tcPr>
            <w:tcW w:w="1589" w:type="dxa"/>
            <w:tcBorders>
              <w:top w:val="single" w:sz="12" w:space="0" w:color="auto"/>
            </w:tcBorders>
            <w:shd w:val="clear" w:color="auto" w:fill="auto"/>
            <w:vAlign w:val="bottom"/>
            <w:hideMark/>
          </w:tcPr>
          <w:p w:rsidR="00644309" w:rsidRPr="005429F0" w:rsidRDefault="00644309" w:rsidP="00B25A2F">
            <w:pPr>
              <w:suppressAutoHyphens w:val="0"/>
              <w:spacing w:before="40" w:after="40" w:line="220" w:lineRule="exact"/>
              <w:ind w:right="113"/>
              <w:jc w:val="right"/>
              <w:rPr>
                <w:sz w:val="18"/>
              </w:rPr>
            </w:pPr>
            <w:r w:rsidRPr="005429F0">
              <w:rPr>
                <w:sz w:val="18"/>
              </w:rPr>
              <w:t>51</w:t>
            </w:r>
          </w:p>
        </w:tc>
        <w:tc>
          <w:tcPr>
            <w:tcW w:w="1590" w:type="dxa"/>
            <w:tcBorders>
              <w:top w:val="single" w:sz="12" w:space="0" w:color="auto"/>
            </w:tcBorders>
            <w:shd w:val="clear" w:color="auto" w:fill="auto"/>
            <w:vAlign w:val="bottom"/>
            <w:hideMark/>
          </w:tcPr>
          <w:p w:rsidR="00644309" w:rsidRPr="005429F0" w:rsidRDefault="00644309" w:rsidP="00B25A2F">
            <w:pPr>
              <w:suppressAutoHyphens w:val="0"/>
              <w:spacing w:before="40" w:after="40" w:line="220" w:lineRule="exact"/>
              <w:ind w:right="113"/>
              <w:jc w:val="right"/>
              <w:rPr>
                <w:sz w:val="18"/>
              </w:rPr>
            </w:pPr>
            <w:r w:rsidRPr="005429F0">
              <w:rPr>
                <w:sz w:val="18"/>
              </w:rPr>
              <w:t>82</w:t>
            </w:r>
          </w:p>
        </w:tc>
      </w:tr>
      <w:tr w:rsidR="00644309" w:rsidRPr="005429F0" w:rsidTr="00175E30">
        <w:tc>
          <w:tcPr>
            <w:tcW w:w="1013" w:type="dxa"/>
            <w:shd w:val="clear" w:color="auto" w:fill="auto"/>
            <w:hideMark/>
          </w:tcPr>
          <w:p w:rsidR="00644309" w:rsidRPr="005429F0" w:rsidRDefault="00644309" w:rsidP="00B25A2F">
            <w:pPr>
              <w:suppressAutoHyphens w:val="0"/>
              <w:spacing w:before="40" w:after="40" w:line="220" w:lineRule="exact"/>
              <w:ind w:right="113"/>
              <w:rPr>
                <w:sz w:val="18"/>
              </w:rPr>
            </w:pPr>
            <w:r w:rsidRPr="005429F0">
              <w:rPr>
                <w:sz w:val="18"/>
              </w:rPr>
              <w:t>2016</w:t>
            </w:r>
          </w:p>
        </w:tc>
        <w:tc>
          <w:tcPr>
            <w:tcW w:w="1589" w:type="dxa"/>
            <w:shd w:val="clear" w:color="auto" w:fill="auto"/>
            <w:vAlign w:val="bottom"/>
            <w:hideMark/>
          </w:tcPr>
          <w:p w:rsidR="00644309" w:rsidRPr="005429F0" w:rsidRDefault="00644309" w:rsidP="00B25A2F">
            <w:pPr>
              <w:suppressAutoHyphens w:val="0"/>
              <w:spacing w:before="40" w:after="40" w:line="220" w:lineRule="exact"/>
              <w:ind w:right="113"/>
              <w:jc w:val="right"/>
              <w:rPr>
                <w:sz w:val="18"/>
              </w:rPr>
            </w:pPr>
            <w:r w:rsidRPr="005429F0">
              <w:rPr>
                <w:sz w:val="18"/>
              </w:rPr>
              <w:t>1</w:t>
            </w:r>
            <w:r w:rsidR="00BC0246" w:rsidRPr="005429F0">
              <w:rPr>
                <w:sz w:val="18"/>
              </w:rPr>
              <w:t xml:space="preserve"> </w:t>
            </w:r>
            <w:r w:rsidRPr="005429F0">
              <w:rPr>
                <w:sz w:val="18"/>
              </w:rPr>
              <w:t>001</w:t>
            </w:r>
          </w:p>
        </w:tc>
        <w:tc>
          <w:tcPr>
            <w:tcW w:w="1589" w:type="dxa"/>
            <w:shd w:val="clear" w:color="auto" w:fill="auto"/>
            <w:vAlign w:val="bottom"/>
            <w:hideMark/>
          </w:tcPr>
          <w:p w:rsidR="00644309" w:rsidRPr="005429F0" w:rsidRDefault="00644309" w:rsidP="00B25A2F">
            <w:pPr>
              <w:suppressAutoHyphens w:val="0"/>
              <w:spacing w:before="40" w:after="40" w:line="220" w:lineRule="exact"/>
              <w:ind w:right="113"/>
              <w:jc w:val="right"/>
              <w:rPr>
                <w:sz w:val="18"/>
              </w:rPr>
            </w:pPr>
            <w:r w:rsidRPr="005429F0">
              <w:rPr>
                <w:sz w:val="18"/>
              </w:rPr>
              <w:t>987</w:t>
            </w:r>
          </w:p>
        </w:tc>
        <w:tc>
          <w:tcPr>
            <w:tcW w:w="1589" w:type="dxa"/>
            <w:shd w:val="clear" w:color="auto" w:fill="auto"/>
            <w:vAlign w:val="bottom"/>
            <w:hideMark/>
          </w:tcPr>
          <w:p w:rsidR="00644309" w:rsidRPr="005429F0" w:rsidRDefault="00644309" w:rsidP="00B25A2F">
            <w:pPr>
              <w:suppressAutoHyphens w:val="0"/>
              <w:spacing w:before="40" w:after="40" w:line="220" w:lineRule="exact"/>
              <w:ind w:right="113"/>
              <w:jc w:val="right"/>
              <w:rPr>
                <w:sz w:val="18"/>
              </w:rPr>
            </w:pPr>
            <w:r w:rsidRPr="005429F0">
              <w:rPr>
                <w:sz w:val="18"/>
              </w:rPr>
              <w:t>52</w:t>
            </w:r>
          </w:p>
        </w:tc>
        <w:tc>
          <w:tcPr>
            <w:tcW w:w="1590" w:type="dxa"/>
            <w:shd w:val="clear" w:color="auto" w:fill="auto"/>
            <w:vAlign w:val="bottom"/>
            <w:hideMark/>
          </w:tcPr>
          <w:p w:rsidR="00644309" w:rsidRPr="005429F0" w:rsidRDefault="00644309" w:rsidP="00B25A2F">
            <w:pPr>
              <w:suppressAutoHyphens w:val="0"/>
              <w:spacing w:before="40" w:after="40" w:line="220" w:lineRule="exact"/>
              <w:ind w:right="113"/>
              <w:jc w:val="right"/>
              <w:rPr>
                <w:sz w:val="18"/>
              </w:rPr>
            </w:pPr>
            <w:r w:rsidRPr="005429F0">
              <w:rPr>
                <w:sz w:val="18"/>
              </w:rPr>
              <w:t>106</w:t>
            </w:r>
          </w:p>
        </w:tc>
      </w:tr>
      <w:tr w:rsidR="00644309" w:rsidRPr="005429F0" w:rsidTr="00175E30">
        <w:tc>
          <w:tcPr>
            <w:tcW w:w="1013" w:type="dxa"/>
            <w:shd w:val="clear" w:color="auto" w:fill="auto"/>
          </w:tcPr>
          <w:p w:rsidR="00644309" w:rsidRPr="005429F0" w:rsidRDefault="00644309" w:rsidP="00B25A2F">
            <w:pPr>
              <w:suppressAutoHyphens w:val="0"/>
              <w:spacing w:before="40" w:after="40" w:line="220" w:lineRule="exact"/>
              <w:ind w:right="113"/>
              <w:rPr>
                <w:sz w:val="18"/>
              </w:rPr>
            </w:pPr>
            <w:r w:rsidRPr="005429F0">
              <w:rPr>
                <w:sz w:val="18"/>
              </w:rPr>
              <w:t>2017</w:t>
            </w:r>
          </w:p>
        </w:tc>
        <w:tc>
          <w:tcPr>
            <w:tcW w:w="1589" w:type="dxa"/>
            <w:shd w:val="clear" w:color="auto" w:fill="auto"/>
            <w:vAlign w:val="bottom"/>
          </w:tcPr>
          <w:p w:rsidR="00644309" w:rsidRPr="005429F0" w:rsidRDefault="00644309" w:rsidP="00B25A2F">
            <w:pPr>
              <w:suppressAutoHyphens w:val="0"/>
              <w:spacing w:before="40" w:after="40" w:line="220" w:lineRule="exact"/>
              <w:ind w:right="113"/>
              <w:jc w:val="right"/>
              <w:rPr>
                <w:sz w:val="18"/>
              </w:rPr>
            </w:pPr>
            <w:r w:rsidRPr="005429F0">
              <w:rPr>
                <w:sz w:val="18"/>
              </w:rPr>
              <w:t>1</w:t>
            </w:r>
            <w:r w:rsidR="00BC0246" w:rsidRPr="005429F0">
              <w:rPr>
                <w:sz w:val="18"/>
              </w:rPr>
              <w:t xml:space="preserve"> </w:t>
            </w:r>
            <w:r w:rsidRPr="005429F0">
              <w:rPr>
                <w:sz w:val="18"/>
              </w:rPr>
              <w:t>085</w:t>
            </w:r>
          </w:p>
        </w:tc>
        <w:tc>
          <w:tcPr>
            <w:tcW w:w="1589" w:type="dxa"/>
            <w:shd w:val="clear" w:color="auto" w:fill="auto"/>
            <w:vAlign w:val="bottom"/>
          </w:tcPr>
          <w:p w:rsidR="00644309" w:rsidRPr="005429F0" w:rsidRDefault="00644309" w:rsidP="00B25A2F">
            <w:pPr>
              <w:suppressAutoHyphens w:val="0"/>
              <w:spacing w:before="40" w:after="40" w:line="220" w:lineRule="exact"/>
              <w:ind w:right="113"/>
              <w:jc w:val="right"/>
              <w:rPr>
                <w:sz w:val="18"/>
              </w:rPr>
            </w:pPr>
            <w:r w:rsidRPr="005429F0">
              <w:rPr>
                <w:sz w:val="18"/>
              </w:rPr>
              <w:t>915</w:t>
            </w:r>
          </w:p>
        </w:tc>
        <w:tc>
          <w:tcPr>
            <w:tcW w:w="1589" w:type="dxa"/>
            <w:shd w:val="clear" w:color="auto" w:fill="auto"/>
            <w:vAlign w:val="bottom"/>
          </w:tcPr>
          <w:p w:rsidR="00644309" w:rsidRPr="005429F0" w:rsidRDefault="00644309" w:rsidP="00B25A2F">
            <w:pPr>
              <w:suppressAutoHyphens w:val="0"/>
              <w:spacing w:before="40" w:after="40" w:line="220" w:lineRule="exact"/>
              <w:ind w:right="113"/>
              <w:jc w:val="right"/>
              <w:rPr>
                <w:sz w:val="18"/>
              </w:rPr>
            </w:pPr>
            <w:r w:rsidRPr="005429F0">
              <w:rPr>
                <w:sz w:val="18"/>
              </w:rPr>
              <w:t>47</w:t>
            </w:r>
          </w:p>
        </w:tc>
        <w:tc>
          <w:tcPr>
            <w:tcW w:w="1590" w:type="dxa"/>
            <w:shd w:val="clear" w:color="auto" w:fill="auto"/>
            <w:vAlign w:val="bottom"/>
          </w:tcPr>
          <w:p w:rsidR="00644309" w:rsidRPr="005429F0" w:rsidRDefault="00644309" w:rsidP="00B25A2F">
            <w:pPr>
              <w:suppressAutoHyphens w:val="0"/>
              <w:spacing w:before="40" w:after="40" w:line="220" w:lineRule="exact"/>
              <w:ind w:right="113"/>
              <w:jc w:val="right"/>
              <w:rPr>
                <w:sz w:val="18"/>
              </w:rPr>
            </w:pPr>
            <w:r w:rsidRPr="005429F0">
              <w:rPr>
                <w:sz w:val="18"/>
              </w:rPr>
              <w:t>103</w:t>
            </w:r>
          </w:p>
        </w:tc>
      </w:tr>
      <w:tr w:rsidR="00644309" w:rsidRPr="005429F0" w:rsidTr="00175E30">
        <w:tc>
          <w:tcPr>
            <w:tcW w:w="1013" w:type="dxa"/>
            <w:shd w:val="clear" w:color="auto" w:fill="auto"/>
          </w:tcPr>
          <w:p w:rsidR="00644309" w:rsidRPr="005429F0" w:rsidRDefault="00644309" w:rsidP="00B25A2F">
            <w:pPr>
              <w:suppressAutoHyphens w:val="0"/>
              <w:spacing w:before="40" w:after="40" w:line="220" w:lineRule="exact"/>
              <w:ind w:right="113"/>
              <w:rPr>
                <w:sz w:val="18"/>
              </w:rPr>
            </w:pPr>
            <w:r w:rsidRPr="005429F0">
              <w:rPr>
                <w:sz w:val="18"/>
              </w:rPr>
              <w:t>2018</w:t>
            </w:r>
          </w:p>
        </w:tc>
        <w:tc>
          <w:tcPr>
            <w:tcW w:w="1589" w:type="dxa"/>
            <w:shd w:val="clear" w:color="auto" w:fill="auto"/>
            <w:vAlign w:val="bottom"/>
          </w:tcPr>
          <w:p w:rsidR="00644309" w:rsidRPr="005429F0" w:rsidRDefault="00644309" w:rsidP="00B25A2F">
            <w:pPr>
              <w:suppressAutoHyphens w:val="0"/>
              <w:spacing w:before="40" w:after="40" w:line="220" w:lineRule="exact"/>
              <w:ind w:right="113"/>
              <w:jc w:val="right"/>
              <w:rPr>
                <w:sz w:val="18"/>
              </w:rPr>
            </w:pPr>
            <w:r w:rsidRPr="005429F0">
              <w:rPr>
                <w:sz w:val="18"/>
              </w:rPr>
              <w:t>1</w:t>
            </w:r>
            <w:r w:rsidR="00BC0246" w:rsidRPr="005429F0">
              <w:rPr>
                <w:sz w:val="18"/>
              </w:rPr>
              <w:t xml:space="preserve"> </w:t>
            </w:r>
            <w:r w:rsidRPr="005429F0">
              <w:rPr>
                <w:sz w:val="18"/>
              </w:rPr>
              <w:t>137</w:t>
            </w:r>
          </w:p>
        </w:tc>
        <w:tc>
          <w:tcPr>
            <w:tcW w:w="1589" w:type="dxa"/>
            <w:shd w:val="clear" w:color="auto" w:fill="auto"/>
            <w:vAlign w:val="bottom"/>
          </w:tcPr>
          <w:p w:rsidR="00644309" w:rsidRPr="005429F0" w:rsidRDefault="00644309" w:rsidP="00B25A2F">
            <w:pPr>
              <w:suppressAutoHyphens w:val="0"/>
              <w:spacing w:before="40" w:after="40" w:line="220" w:lineRule="exact"/>
              <w:ind w:right="113"/>
              <w:jc w:val="right"/>
              <w:rPr>
                <w:sz w:val="18"/>
              </w:rPr>
            </w:pPr>
            <w:r w:rsidRPr="005429F0">
              <w:rPr>
                <w:sz w:val="18"/>
              </w:rPr>
              <w:t>930</w:t>
            </w:r>
          </w:p>
        </w:tc>
        <w:tc>
          <w:tcPr>
            <w:tcW w:w="1589" w:type="dxa"/>
            <w:shd w:val="clear" w:color="auto" w:fill="auto"/>
            <w:vAlign w:val="bottom"/>
          </w:tcPr>
          <w:p w:rsidR="00644309" w:rsidRPr="005429F0" w:rsidRDefault="00644309" w:rsidP="00B25A2F">
            <w:pPr>
              <w:suppressAutoHyphens w:val="0"/>
              <w:spacing w:before="40" w:after="40" w:line="220" w:lineRule="exact"/>
              <w:ind w:right="113"/>
              <w:jc w:val="right"/>
              <w:rPr>
                <w:sz w:val="18"/>
              </w:rPr>
            </w:pPr>
            <w:r w:rsidRPr="005429F0">
              <w:rPr>
                <w:sz w:val="18"/>
              </w:rPr>
              <w:t>38</w:t>
            </w:r>
          </w:p>
        </w:tc>
        <w:tc>
          <w:tcPr>
            <w:tcW w:w="1590" w:type="dxa"/>
            <w:shd w:val="clear" w:color="auto" w:fill="auto"/>
            <w:vAlign w:val="bottom"/>
          </w:tcPr>
          <w:p w:rsidR="00644309" w:rsidRPr="005429F0" w:rsidRDefault="00644309" w:rsidP="00B25A2F">
            <w:pPr>
              <w:suppressAutoHyphens w:val="0"/>
              <w:spacing w:before="40" w:after="40" w:line="220" w:lineRule="exact"/>
              <w:ind w:right="113"/>
              <w:jc w:val="right"/>
              <w:rPr>
                <w:sz w:val="18"/>
              </w:rPr>
            </w:pPr>
            <w:r w:rsidRPr="005429F0">
              <w:rPr>
                <w:sz w:val="18"/>
              </w:rPr>
              <w:t>104</w:t>
            </w:r>
          </w:p>
        </w:tc>
      </w:tr>
      <w:tr w:rsidR="00644309" w:rsidRPr="005429F0" w:rsidTr="00175E30">
        <w:tc>
          <w:tcPr>
            <w:tcW w:w="1013" w:type="dxa"/>
            <w:shd w:val="clear" w:color="auto" w:fill="auto"/>
          </w:tcPr>
          <w:p w:rsidR="00644309" w:rsidRPr="005429F0" w:rsidRDefault="00175E30" w:rsidP="00B25A2F">
            <w:pPr>
              <w:suppressAutoHyphens w:val="0"/>
              <w:spacing w:before="40" w:after="40" w:line="220" w:lineRule="exact"/>
              <w:ind w:right="113"/>
              <w:rPr>
                <w:sz w:val="18"/>
              </w:rPr>
            </w:pPr>
            <w:r w:rsidRPr="005429F0">
              <w:rPr>
                <w:sz w:val="18"/>
              </w:rPr>
              <w:t>2019 I–</w:t>
            </w:r>
            <w:r w:rsidR="00644309" w:rsidRPr="005429F0">
              <w:rPr>
                <w:sz w:val="18"/>
              </w:rPr>
              <w:t>VI</w:t>
            </w:r>
          </w:p>
        </w:tc>
        <w:tc>
          <w:tcPr>
            <w:tcW w:w="1589" w:type="dxa"/>
            <w:shd w:val="clear" w:color="auto" w:fill="auto"/>
            <w:vAlign w:val="bottom"/>
          </w:tcPr>
          <w:p w:rsidR="00644309" w:rsidRPr="005429F0" w:rsidRDefault="00644309" w:rsidP="00B25A2F">
            <w:pPr>
              <w:suppressAutoHyphens w:val="0"/>
              <w:spacing w:before="40" w:after="40" w:line="220" w:lineRule="exact"/>
              <w:ind w:right="113"/>
              <w:jc w:val="right"/>
              <w:rPr>
                <w:sz w:val="18"/>
              </w:rPr>
            </w:pPr>
            <w:r w:rsidRPr="005429F0">
              <w:rPr>
                <w:sz w:val="18"/>
              </w:rPr>
              <w:t>535</w:t>
            </w:r>
          </w:p>
        </w:tc>
        <w:tc>
          <w:tcPr>
            <w:tcW w:w="1589" w:type="dxa"/>
            <w:shd w:val="clear" w:color="auto" w:fill="auto"/>
            <w:vAlign w:val="bottom"/>
          </w:tcPr>
          <w:p w:rsidR="00644309" w:rsidRPr="005429F0" w:rsidRDefault="00644309" w:rsidP="00B25A2F">
            <w:pPr>
              <w:suppressAutoHyphens w:val="0"/>
              <w:spacing w:before="40" w:after="40" w:line="220" w:lineRule="exact"/>
              <w:ind w:right="113"/>
              <w:jc w:val="right"/>
              <w:rPr>
                <w:sz w:val="18"/>
              </w:rPr>
            </w:pPr>
            <w:r w:rsidRPr="005429F0">
              <w:rPr>
                <w:sz w:val="18"/>
              </w:rPr>
              <w:t>472</w:t>
            </w:r>
          </w:p>
        </w:tc>
        <w:tc>
          <w:tcPr>
            <w:tcW w:w="1589" w:type="dxa"/>
            <w:shd w:val="clear" w:color="auto" w:fill="auto"/>
            <w:vAlign w:val="bottom"/>
          </w:tcPr>
          <w:p w:rsidR="00644309" w:rsidRPr="005429F0" w:rsidRDefault="00644309" w:rsidP="00B25A2F">
            <w:pPr>
              <w:suppressAutoHyphens w:val="0"/>
              <w:spacing w:before="40" w:after="40" w:line="220" w:lineRule="exact"/>
              <w:ind w:right="113"/>
              <w:jc w:val="right"/>
              <w:rPr>
                <w:sz w:val="18"/>
              </w:rPr>
            </w:pPr>
            <w:r w:rsidRPr="005429F0">
              <w:rPr>
                <w:sz w:val="18"/>
              </w:rPr>
              <w:t>16</w:t>
            </w:r>
          </w:p>
        </w:tc>
        <w:tc>
          <w:tcPr>
            <w:tcW w:w="1590" w:type="dxa"/>
            <w:shd w:val="clear" w:color="auto" w:fill="auto"/>
            <w:vAlign w:val="bottom"/>
          </w:tcPr>
          <w:p w:rsidR="00644309" w:rsidRPr="005429F0" w:rsidRDefault="00644309" w:rsidP="00B25A2F">
            <w:pPr>
              <w:suppressAutoHyphens w:val="0"/>
              <w:spacing w:before="40" w:after="40" w:line="220" w:lineRule="exact"/>
              <w:ind w:right="113"/>
              <w:jc w:val="right"/>
              <w:rPr>
                <w:sz w:val="18"/>
              </w:rPr>
            </w:pPr>
            <w:r w:rsidRPr="005429F0">
              <w:rPr>
                <w:sz w:val="18"/>
              </w:rPr>
              <w:t>70</w:t>
            </w:r>
          </w:p>
        </w:tc>
      </w:tr>
    </w:tbl>
    <w:p w:rsidR="00644309" w:rsidRPr="005429F0" w:rsidRDefault="00644309" w:rsidP="00175E30">
      <w:pPr>
        <w:spacing w:before="120" w:after="240"/>
        <w:ind w:left="1134" w:right="1134" w:firstLine="170"/>
        <w:rPr>
          <w:sz w:val="18"/>
        </w:rPr>
      </w:pPr>
      <w:r w:rsidRPr="005429F0">
        <w:rPr>
          <w:i/>
          <w:iCs/>
          <w:sz w:val="18"/>
        </w:rPr>
        <w:t>Source</w:t>
      </w:r>
      <w:r w:rsidRPr="005429F0">
        <w:rPr>
          <w:sz w:val="18"/>
        </w:rPr>
        <w:t>:</w:t>
      </w:r>
      <w:r w:rsidR="00175E30" w:rsidRPr="005429F0">
        <w:rPr>
          <w:sz w:val="18"/>
        </w:rPr>
        <w:t xml:space="preserve"> </w:t>
      </w:r>
      <w:r w:rsidRPr="005429F0">
        <w:rPr>
          <w:sz w:val="18"/>
        </w:rPr>
        <w:t xml:space="preserve"> Office of Citizenship and Migration Affairs.</w:t>
      </w:r>
    </w:p>
    <w:p w:rsidR="00644309" w:rsidRPr="005429F0" w:rsidRDefault="00644309" w:rsidP="00644309">
      <w:pPr>
        <w:pStyle w:val="SingleTxtG"/>
      </w:pPr>
      <w:r w:rsidRPr="005429F0">
        <w:t>7.</w:t>
      </w:r>
      <w:r w:rsidRPr="005429F0">
        <w:tab/>
        <w:t>According to the statistics of the Office of Citizenship and Migration Affairs (the OCMA), in the last 4 years</w:t>
      </w:r>
      <w:r w:rsidR="005429F0">
        <w:t>’</w:t>
      </w:r>
      <w:r w:rsidRPr="005429F0">
        <w:t xml:space="preserve"> citizenship of Latvia </w:t>
      </w:r>
      <w:proofErr w:type="gramStart"/>
      <w:r w:rsidRPr="005429F0">
        <w:t>was granted</w:t>
      </w:r>
      <w:proofErr w:type="gramEnd"/>
      <w:r w:rsidRPr="005429F0">
        <w:t xml:space="preserve"> to:</w:t>
      </w:r>
    </w:p>
    <w:p w:rsidR="00644309" w:rsidRPr="005429F0" w:rsidRDefault="00106906" w:rsidP="00644309">
      <w:pPr>
        <w:pStyle w:val="SingleTxtG"/>
      </w:pPr>
      <w:r w:rsidRPr="005429F0">
        <w:lastRenderedPageBreak/>
        <w:tab/>
      </w:r>
      <w:r w:rsidR="00644309" w:rsidRPr="005429F0">
        <w:t>(a)</w:t>
      </w:r>
      <w:r w:rsidR="00644309" w:rsidRPr="005429F0">
        <w:tab/>
        <w:t>In 2016 – to 987 persons, including 52 children (7 EU citizens, 97 third country nationals, 2 stateless persons, and 881 Latvian non-citizens);</w:t>
      </w:r>
    </w:p>
    <w:p w:rsidR="00644309" w:rsidRPr="005429F0" w:rsidRDefault="00106906" w:rsidP="00644309">
      <w:pPr>
        <w:pStyle w:val="SingleTxtG"/>
      </w:pPr>
      <w:r w:rsidRPr="005429F0">
        <w:tab/>
      </w:r>
      <w:r w:rsidR="00644309" w:rsidRPr="005429F0">
        <w:t>(b)</w:t>
      </w:r>
      <w:r w:rsidR="00644309" w:rsidRPr="005429F0">
        <w:tab/>
        <w:t>In 2017 – to 915 persons, including 47 children (13 EU citizens, 89 third country nationals, 1 stateless person, and 812 Latvian non-citizens);</w:t>
      </w:r>
    </w:p>
    <w:p w:rsidR="00644309" w:rsidRPr="005429F0" w:rsidRDefault="00106906" w:rsidP="00644309">
      <w:pPr>
        <w:pStyle w:val="SingleTxtG"/>
      </w:pPr>
      <w:r w:rsidRPr="005429F0">
        <w:tab/>
      </w:r>
      <w:r w:rsidR="00644309" w:rsidRPr="005429F0">
        <w:t>(c)</w:t>
      </w:r>
      <w:r w:rsidR="00644309" w:rsidRPr="005429F0">
        <w:tab/>
        <w:t>In 2018 – to 930 persons, including 38 children (7 EU citizens, 93 third country nationals, 5 stateless persons, 825 Latvian non-citizens);</w:t>
      </w:r>
    </w:p>
    <w:p w:rsidR="00644309" w:rsidRPr="005429F0" w:rsidRDefault="00106906" w:rsidP="00644309">
      <w:pPr>
        <w:pStyle w:val="SingleTxtG"/>
      </w:pPr>
      <w:r w:rsidRPr="005429F0">
        <w:tab/>
      </w:r>
      <w:r w:rsidR="00644309" w:rsidRPr="005429F0">
        <w:t>(d)</w:t>
      </w:r>
      <w:r w:rsidR="00644309" w:rsidRPr="005429F0">
        <w:tab/>
        <w:t xml:space="preserve">In first 6 months of 2019 – to 472 persons, including 16 children (3 EU citizens, 66 third country nationals, 1 stateless person, 402 Latvian non-citizens). </w:t>
      </w:r>
    </w:p>
    <w:p w:rsidR="00644309" w:rsidRPr="005429F0" w:rsidRDefault="00644309" w:rsidP="00106906">
      <w:pPr>
        <w:pStyle w:val="SingleTxtG"/>
      </w:pPr>
      <w:r w:rsidRPr="005429F0">
        <w:t>8.</w:t>
      </w:r>
      <w:r w:rsidRPr="005429F0">
        <w:tab/>
        <w:t xml:space="preserve">The government authorities regularly conduct surveys to establish the attitude towards naturalization, inter alia by analysing changes in the interest regarding the procedure. Such surveys, covering all regions of the country, </w:t>
      </w:r>
      <w:proofErr w:type="gramStart"/>
      <w:r w:rsidRPr="005429F0">
        <w:t>are conducted</w:t>
      </w:r>
      <w:proofErr w:type="gramEnd"/>
      <w:r w:rsidRPr="005429F0">
        <w:t xml:space="preserve"> since 2010, and over 1000 non-citizens participate in each survey. The most recent survey, conducted in 2018, established that the main causes for the lack of motivation to naturalize, namely, the emotional opinion that the citizenship had to be granted automatically (17</w:t>
      </w:r>
      <w:r w:rsidR="00106906" w:rsidRPr="005429F0">
        <w:t xml:space="preserve"> per cent</w:t>
      </w:r>
      <w:r w:rsidRPr="005429F0">
        <w:t>) and that the naturalization process should be further facilitated (15</w:t>
      </w:r>
      <w:r w:rsidR="00106906" w:rsidRPr="005429F0">
        <w:t xml:space="preserve"> per cent</w:t>
      </w:r>
      <w:r w:rsidRPr="005429F0">
        <w:t xml:space="preserve">), have not changed. However, in comparison to identical survey conducted in 2016, the change of opinion </w:t>
      </w:r>
      <w:proofErr w:type="gramStart"/>
      <w:r w:rsidRPr="005429F0">
        <w:t>was recorded</w:t>
      </w:r>
      <w:proofErr w:type="gramEnd"/>
      <w:r w:rsidRPr="005429F0">
        <w:t xml:space="preserve"> – 19</w:t>
      </w:r>
      <w:r w:rsidR="00106906" w:rsidRPr="005429F0">
        <w:t xml:space="preserve"> per cent</w:t>
      </w:r>
      <w:r w:rsidRPr="005429F0">
        <w:t xml:space="preserve"> of the respondents answered that the citizenship has to be granted automatically and 18</w:t>
      </w:r>
      <w:r w:rsidR="00106906" w:rsidRPr="005429F0">
        <w:t xml:space="preserve"> per cent</w:t>
      </w:r>
      <w:r w:rsidRPr="005429F0">
        <w:t xml:space="preserve"> expressed the view that naturalization process should be further facilitated.</w:t>
      </w:r>
    </w:p>
    <w:p w:rsidR="00644309" w:rsidRPr="005429F0" w:rsidRDefault="00644309" w:rsidP="00106906">
      <w:pPr>
        <w:pStyle w:val="SingleTxtG"/>
      </w:pPr>
      <w:r w:rsidRPr="005429F0">
        <w:t>9.</w:t>
      </w:r>
      <w:r w:rsidRPr="005429F0">
        <w:tab/>
        <w:t xml:space="preserve">Latvia continues to grant reduced naturalization fee or exemption from the fee to low-income, unemployed, retired and other socially vulnerable categories. The fee </w:t>
      </w:r>
      <w:proofErr w:type="gramStart"/>
      <w:r w:rsidRPr="005429F0">
        <w:t>has been abolished</w:t>
      </w:r>
      <w:proofErr w:type="gramEnd"/>
      <w:r w:rsidRPr="005429F0">
        <w:t xml:space="preserve"> for politically repressed and disabled persons, orphans and persons from social care institutions. In 2019, 41</w:t>
      </w:r>
      <w:r w:rsidR="00106906" w:rsidRPr="005429F0">
        <w:t xml:space="preserve"> per cent</w:t>
      </w:r>
      <w:r w:rsidRPr="005429F0">
        <w:t xml:space="preserve"> of the applicants payed reduced fee or were exempt from paying naturalization fee. </w:t>
      </w:r>
    </w:p>
    <w:p w:rsidR="00644309" w:rsidRPr="005429F0" w:rsidRDefault="00644309" w:rsidP="00644309">
      <w:pPr>
        <w:pStyle w:val="SingleTxtG"/>
      </w:pPr>
      <w:r w:rsidRPr="005429F0">
        <w:t>10.</w:t>
      </w:r>
      <w:r w:rsidRPr="005429F0">
        <w:tab/>
        <w:t>The OCMA continues to organize citizenship information days in various regions and cities of Latvia informing about the procedures to acquire citizenship and offering consultations. In 2017 – 105, in 2018 – 109 such activities took place; and up until 30 June 20</w:t>
      </w:r>
      <w:r w:rsidR="00DA443C" w:rsidRPr="005429F0">
        <w:t>19, 61 activities were organiz</w:t>
      </w:r>
      <w:r w:rsidRPr="005429F0">
        <w:t xml:space="preserve">ed. In April 2019, OCMA launched a project </w:t>
      </w:r>
      <w:r w:rsidR="005429F0">
        <w:t>“</w:t>
      </w:r>
      <w:r w:rsidRPr="005429F0">
        <w:t>Improvement and Development of Supporting Information Systems of Naturalization and Related Processes</w:t>
      </w:r>
      <w:r w:rsidR="005429F0">
        <w:t>”</w:t>
      </w:r>
      <w:r w:rsidRPr="005429F0">
        <w:t xml:space="preserve">. To promote naturalization, information campaigns </w:t>
      </w:r>
      <w:proofErr w:type="gramStart"/>
      <w:r w:rsidRPr="005429F0">
        <w:t>will be organized</w:t>
      </w:r>
      <w:proofErr w:type="gramEnd"/>
      <w:r w:rsidRPr="005429F0">
        <w:t xml:space="preserve"> in the framework of the project. One of the aims of the campaigns is to increase awareness of the targeted audience about the possibility of obtaining Latvian citizenship through naturalization and naturalization tests, as well as about the possibility of self-testing with the help of an electronic tool. The information days are now one of the main ways to provide information about naturalization process. In the framework of the project, an electronic tool </w:t>
      </w:r>
      <w:proofErr w:type="gramStart"/>
      <w:r w:rsidRPr="005429F0">
        <w:t>will be developed</w:t>
      </w:r>
      <w:proofErr w:type="gramEnd"/>
      <w:r w:rsidRPr="005429F0">
        <w:t xml:space="preserve"> on the OCMA website through which it will be possible to attempt the naturalization test on a trial basis. This will allow persons to overcome their fears and anxiety about the level of their skills and knowledge necessary to pass the naturalization exams. </w:t>
      </w:r>
    </w:p>
    <w:p w:rsidR="00644309" w:rsidRPr="005429F0" w:rsidRDefault="00644309" w:rsidP="00644309">
      <w:pPr>
        <w:pStyle w:val="SingleTxtG"/>
      </w:pPr>
      <w:r w:rsidRPr="005429F0">
        <w:t>11.</w:t>
      </w:r>
      <w:r w:rsidRPr="005429F0">
        <w:tab/>
        <w:t xml:space="preserve">With the increased mobility of the nationals of Latvia, including non-citizens, many non-citizens seek study and employment opportunities in other EU or third countries. Thus, during the last decade a number increases also with regard to the number of </w:t>
      </w:r>
      <w:proofErr w:type="gramStart"/>
      <w:r w:rsidRPr="005429F0">
        <w:t>non-citizens</w:t>
      </w:r>
      <w:proofErr w:type="gramEnd"/>
      <w:r w:rsidRPr="005429F0">
        <w:t xml:space="preserve"> eligible to apply for citizenship in other countries has risen, given the sufficiently long residence or family ties in the respective country. The OCMA registers information on those non-citizens who received citizenship of another country, thereby losing non-citizen status in Latvia:</w:t>
      </w:r>
    </w:p>
    <w:p w:rsidR="00644309" w:rsidRPr="005429F0" w:rsidRDefault="00DA443C" w:rsidP="00644309">
      <w:pPr>
        <w:pStyle w:val="SingleTxtG"/>
      </w:pPr>
      <w:r w:rsidRPr="005429F0">
        <w:tab/>
      </w:r>
      <w:r w:rsidR="00644309" w:rsidRPr="005429F0">
        <w:t>(a)</w:t>
      </w:r>
      <w:r w:rsidR="00644309" w:rsidRPr="005429F0">
        <w:tab/>
        <w:t>In 2015, 1</w:t>
      </w:r>
      <w:r w:rsidR="002F2126">
        <w:t>,</w:t>
      </w:r>
      <w:r w:rsidR="00644309" w:rsidRPr="005429F0">
        <w:t xml:space="preserve">761 persons renounced the status of non-citizen; for 61 persons the status </w:t>
      </w:r>
      <w:proofErr w:type="gramStart"/>
      <w:r w:rsidR="00644309" w:rsidRPr="005429F0">
        <w:t>was revoked</w:t>
      </w:r>
      <w:proofErr w:type="gramEnd"/>
      <w:r w:rsidR="00644309" w:rsidRPr="005429F0">
        <w:t>;</w:t>
      </w:r>
    </w:p>
    <w:p w:rsidR="00644309" w:rsidRPr="005429F0" w:rsidRDefault="00DA443C" w:rsidP="00644309">
      <w:pPr>
        <w:pStyle w:val="SingleTxtG"/>
      </w:pPr>
      <w:r w:rsidRPr="005429F0">
        <w:tab/>
      </w:r>
      <w:r w:rsidR="00644309" w:rsidRPr="005429F0">
        <w:t>(b)</w:t>
      </w:r>
      <w:r w:rsidR="00644309" w:rsidRPr="005429F0">
        <w:tab/>
        <w:t xml:space="preserve">In 2016, 972 persons renounced the status of non-citizen; for 71 persons the status </w:t>
      </w:r>
      <w:proofErr w:type="gramStart"/>
      <w:r w:rsidR="00644309" w:rsidRPr="005429F0">
        <w:t>was revoked</w:t>
      </w:r>
      <w:proofErr w:type="gramEnd"/>
      <w:r w:rsidR="00644309" w:rsidRPr="005429F0">
        <w:t>;</w:t>
      </w:r>
    </w:p>
    <w:p w:rsidR="00644309" w:rsidRPr="005429F0" w:rsidRDefault="00DA443C" w:rsidP="00644309">
      <w:pPr>
        <w:pStyle w:val="SingleTxtG"/>
      </w:pPr>
      <w:r w:rsidRPr="005429F0">
        <w:tab/>
      </w:r>
      <w:r w:rsidR="00644309" w:rsidRPr="005429F0">
        <w:t>(c)</w:t>
      </w:r>
      <w:r w:rsidR="00644309" w:rsidRPr="005429F0">
        <w:tab/>
        <w:t xml:space="preserve">In 2017, 703 persons renounced the status of non-citizen; for 153 persons the status </w:t>
      </w:r>
      <w:proofErr w:type="gramStart"/>
      <w:r w:rsidR="00644309" w:rsidRPr="005429F0">
        <w:t>was revoked</w:t>
      </w:r>
      <w:proofErr w:type="gramEnd"/>
      <w:r w:rsidR="00644309" w:rsidRPr="005429F0">
        <w:t>;</w:t>
      </w:r>
    </w:p>
    <w:p w:rsidR="00644309" w:rsidRPr="005429F0" w:rsidRDefault="00DA443C" w:rsidP="00644309">
      <w:pPr>
        <w:pStyle w:val="SingleTxtG"/>
      </w:pPr>
      <w:r w:rsidRPr="005429F0">
        <w:tab/>
      </w:r>
      <w:r w:rsidR="00644309" w:rsidRPr="005429F0">
        <w:t>(d)</w:t>
      </w:r>
      <w:r w:rsidR="00644309" w:rsidRPr="005429F0">
        <w:tab/>
        <w:t xml:space="preserve">In 2018, 556 persons renounced the status of non-citizen, for 129 the status </w:t>
      </w:r>
      <w:proofErr w:type="gramStart"/>
      <w:r w:rsidR="00644309" w:rsidRPr="005429F0">
        <w:t>was revoked</w:t>
      </w:r>
      <w:proofErr w:type="gramEnd"/>
      <w:r w:rsidR="00644309" w:rsidRPr="005429F0">
        <w:t>.</w:t>
      </w:r>
    </w:p>
    <w:p w:rsidR="00644309" w:rsidRPr="005429F0" w:rsidRDefault="00644309" w:rsidP="005429F0">
      <w:pPr>
        <w:pStyle w:val="SingleTxtG"/>
      </w:pPr>
      <w:r w:rsidRPr="005429F0">
        <w:lastRenderedPageBreak/>
        <w:t>12.</w:t>
      </w:r>
      <w:r w:rsidRPr="005429F0">
        <w:tab/>
        <w:t>The other important target group addressed by the Latvian authorities in efforts to decrease the number of non-</w:t>
      </w:r>
      <w:proofErr w:type="gramStart"/>
      <w:r w:rsidRPr="005429F0">
        <w:t>citizen,</w:t>
      </w:r>
      <w:proofErr w:type="gramEnd"/>
      <w:r w:rsidRPr="005429F0">
        <w:t xml:space="preserve"> are children of non-citizen parents. In this </w:t>
      </w:r>
      <w:proofErr w:type="gramStart"/>
      <w:r w:rsidRPr="005429F0">
        <w:t>regard</w:t>
      </w:r>
      <w:proofErr w:type="gramEnd"/>
      <w:r w:rsidRPr="005429F0">
        <w:t xml:space="preserve"> the authorities explain to non-citizen parents that the Citizenship Law provides for a possibility to register the new-born babies as citizens of Latvia. The number of registered </w:t>
      </w:r>
      <w:proofErr w:type="spellStart"/>
      <w:r w:rsidRPr="005429F0">
        <w:t>newborn</w:t>
      </w:r>
      <w:proofErr w:type="spellEnd"/>
      <w:r w:rsidRPr="005429F0">
        <w:t xml:space="preserve"> non-citizen babies in Latvia decreases every year, in 2018 reaching the new lowest number – 33, which is 0.17</w:t>
      </w:r>
      <w:r w:rsidR="00DA443C" w:rsidRPr="005429F0">
        <w:t xml:space="preserve"> per cent</w:t>
      </w:r>
      <w:r w:rsidRPr="005429F0">
        <w:t xml:space="preserve"> of the total number of registered </w:t>
      </w:r>
      <w:proofErr w:type="spellStart"/>
      <w:r w:rsidRPr="005429F0">
        <w:t>newborns</w:t>
      </w:r>
      <w:proofErr w:type="spellEnd"/>
      <w:r w:rsidRPr="005429F0">
        <w:t xml:space="preserve"> in Latvia. </w:t>
      </w:r>
    </w:p>
    <w:p w:rsidR="00644309" w:rsidRPr="005429F0" w:rsidRDefault="00644309" w:rsidP="00DA443C">
      <w:pPr>
        <w:pStyle w:val="H23G"/>
        <w:spacing w:after="240"/>
      </w:pPr>
      <w:r w:rsidRPr="005429F0">
        <w:tab/>
      </w:r>
      <w:r w:rsidRPr="005429F0">
        <w:tab/>
        <w:t>Number and proportion of children of citizens</w:t>
      </w:r>
      <w:r w:rsidR="005429F0">
        <w:t xml:space="preserve"> and non-citizens, born in 2015–</w:t>
      </w:r>
      <w:r w:rsidRPr="005429F0">
        <w:t>2018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02"/>
        <w:gridCol w:w="1344"/>
        <w:gridCol w:w="1565"/>
        <w:gridCol w:w="1647"/>
        <w:gridCol w:w="1612"/>
      </w:tblGrid>
      <w:tr w:rsidR="00644309" w:rsidRPr="005429F0" w:rsidTr="00004EE4">
        <w:trPr>
          <w:tblHeader/>
        </w:trPr>
        <w:tc>
          <w:tcPr>
            <w:tcW w:w="1202" w:type="dxa"/>
            <w:tcBorders>
              <w:top w:val="single" w:sz="4" w:space="0" w:color="auto"/>
              <w:bottom w:val="single" w:sz="12" w:space="0" w:color="auto"/>
            </w:tcBorders>
            <w:shd w:val="clear" w:color="auto" w:fill="auto"/>
            <w:vAlign w:val="bottom"/>
            <w:hideMark/>
          </w:tcPr>
          <w:p w:rsidR="00644309" w:rsidRPr="005429F0" w:rsidRDefault="00644309" w:rsidP="00DA443C">
            <w:pPr>
              <w:suppressAutoHyphens w:val="0"/>
              <w:spacing w:before="80" w:after="80" w:line="200" w:lineRule="exact"/>
              <w:ind w:right="113"/>
              <w:rPr>
                <w:i/>
                <w:sz w:val="16"/>
              </w:rPr>
            </w:pPr>
            <w:r w:rsidRPr="005429F0">
              <w:rPr>
                <w:i/>
                <w:sz w:val="16"/>
              </w:rPr>
              <w:t>Year of birth</w:t>
            </w:r>
          </w:p>
        </w:tc>
        <w:tc>
          <w:tcPr>
            <w:tcW w:w="1344" w:type="dxa"/>
            <w:tcBorders>
              <w:top w:val="single" w:sz="4" w:space="0" w:color="auto"/>
              <w:bottom w:val="single" w:sz="12" w:space="0" w:color="auto"/>
            </w:tcBorders>
            <w:shd w:val="clear" w:color="auto" w:fill="auto"/>
            <w:vAlign w:val="bottom"/>
            <w:hideMark/>
          </w:tcPr>
          <w:p w:rsidR="00644309" w:rsidRPr="005429F0" w:rsidRDefault="00644309" w:rsidP="00DA443C">
            <w:pPr>
              <w:suppressAutoHyphens w:val="0"/>
              <w:spacing w:before="80" w:after="80" w:line="200" w:lineRule="exact"/>
              <w:ind w:right="113"/>
              <w:jc w:val="right"/>
              <w:rPr>
                <w:i/>
                <w:sz w:val="16"/>
              </w:rPr>
            </w:pPr>
            <w:r w:rsidRPr="005429F0">
              <w:rPr>
                <w:i/>
                <w:sz w:val="16"/>
              </w:rPr>
              <w:t>Number of citizens</w:t>
            </w:r>
          </w:p>
        </w:tc>
        <w:tc>
          <w:tcPr>
            <w:tcW w:w="1565" w:type="dxa"/>
            <w:tcBorders>
              <w:top w:val="single" w:sz="4" w:space="0" w:color="auto"/>
              <w:bottom w:val="single" w:sz="12" w:space="0" w:color="auto"/>
            </w:tcBorders>
            <w:shd w:val="clear" w:color="auto" w:fill="auto"/>
            <w:vAlign w:val="bottom"/>
            <w:hideMark/>
          </w:tcPr>
          <w:p w:rsidR="00644309" w:rsidRPr="005429F0" w:rsidRDefault="00644309" w:rsidP="00DA443C">
            <w:pPr>
              <w:suppressAutoHyphens w:val="0"/>
              <w:spacing w:before="80" w:after="80" w:line="200" w:lineRule="exact"/>
              <w:ind w:right="113"/>
              <w:jc w:val="right"/>
              <w:rPr>
                <w:i/>
                <w:sz w:val="16"/>
              </w:rPr>
            </w:pPr>
            <w:r w:rsidRPr="005429F0">
              <w:rPr>
                <w:i/>
                <w:sz w:val="16"/>
              </w:rPr>
              <w:t>Citizens (%)</w:t>
            </w:r>
          </w:p>
        </w:tc>
        <w:tc>
          <w:tcPr>
            <w:tcW w:w="1647" w:type="dxa"/>
            <w:tcBorders>
              <w:top w:val="single" w:sz="4" w:space="0" w:color="auto"/>
              <w:bottom w:val="single" w:sz="12" w:space="0" w:color="auto"/>
            </w:tcBorders>
            <w:shd w:val="clear" w:color="auto" w:fill="auto"/>
            <w:vAlign w:val="bottom"/>
            <w:hideMark/>
          </w:tcPr>
          <w:p w:rsidR="00644309" w:rsidRPr="005429F0" w:rsidRDefault="00644309" w:rsidP="00DA443C">
            <w:pPr>
              <w:suppressAutoHyphens w:val="0"/>
              <w:spacing w:before="80" w:after="80" w:line="200" w:lineRule="exact"/>
              <w:ind w:right="113"/>
              <w:jc w:val="right"/>
              <w:rPr>
                <w:i/>
                <w:sz w:val="16"/>
              </w:rPr>
            </w:pPr>
            <w:r w:rsidRPr="005429F0">
              <w:rPr>
                <w:i/>
                <w:sz w:val="16"/>
              </w:rPr>
              <w:t>Number of non-citizens</w:t>
            </w:r>
          </w:p>
        </w:tc>
        <w:tc>
          <w:tcPr>
            <w:tcW w:w="1612" w:type="dxa"/>
            <w:tcBorders>
              <w:top w:val="single" w:sz="4" w:space="0" w:color="auto"/>
              <w:bottom w:val="single" w:sz="12" w:space="0" w:color="auto"/>
            </w:tcBorders>
            <w:shd w:val="clear" w:color="auto" w:fill="auto"/>
            <w:vAlign w:val="bottom"/>
            <w:hideMark/>
          </w:tcPr>
          <w:p w:rsidR="00644309" w:rsidRPr="005429F0" w:rsidRDefault="00644309" w:rsidP="00DA443C">
            <w:pPr>
              <w:suppressAutoHyphens w:val="0"/>
              <w:spacing w:before="80" w:after="80" w:line="200" w:lineRule="exact"/>
              <w:ind w:right="113"/>
              <w:jc w:val="right"/>
              <w:rPr>
                <w:i/>
                <w:sz w:val="16"/>
              </w:rPr>
            </w:pPr>
            <w:r w:rsidRPr="005429F0">
              <w:rPr>
                <w:i/>
                <w:sz w:val="16"/>
              </w:rPr>
              <w:t>Non-citizens (%)</w:t>
            </w:r>
          </w:p>
        </w:tc>
      </w:tr>
      <w:tr w:rsidR="00644309" w:rsidRPr="005429F0" w:rsidTr="00004EE4">
        <w:tc>
          <w:tcPr>
            <w:tcW w:w="1202" w:type="dxa"/>
            <w:tcBorders>
              <w:top w:val="single" w:sz="12" w:space="0" w:color="auto"/>
            </w:tcBorders>
            <w:shd w:val="clear" w:color="auto" w:fill="auto"/>
            <w:hideMark/>
          </w:tcPr>
          <w:p w:rsidR="00644309" w:rsidRPr="005429F0" w:rsidRDefault="00644309" w:rsidP="00DA443C">
            <w:pPr>
              <w:suppressAutoHyphens w:val="0"/>
              <w:spacing w:before="40" w:after="40" w:line="220" w:lineRule="exact"/>
              <w:ind w:right="113"/>
              <w:rPr>
                <w:sz w:val="18"/>
              </w:rPr>
            </w:pPr>
            <w:r w:rsidRPr="005429F0">
              <w:rPr>
                <w:sz w:val="18"/>
              </w:rPr>
              <w:t>2015</w:t>
            </w:r>
          </w:p>
        </w:tc>
        <w:tc>
          <w:tcPr>
            <w:tcW w:w="1344" w:type="dxa"/>
            <w:tcBorders>
              <w:top w:val="single" w:sz="12" w:space="0" w:color="auto"/>
            </w:tcBorders>
            <w:shd w:val="clear" w:color="auto" w:fill="auto"/>
            <w:vAlign w:val="bottom"/>
            <w:hideMark/>
          </w:tcPr>
          <w:p w:rsidR="00644309" w:rsidRPr="005429F0" w:rsidRDefault="00644309" w:rsidP="00DA443C">
            <w:pPr>
              <w:suppressAutoHyphens w:val="0"/>
              <w:spacing w:before="40" w:after="40" w:line="220" w:lineRule="exact"/>
              <w:ind w:right="113"/>
              <w:jc w:val="right"/>
              <w:rPr>
                <w:sz w:val="18"/>
              </w:rPr>
            </w:pPr>
            <w:r w:rsidRPr="005429F0">
              <w:rPr>
                <w:sz w:val="18"/>
              </w:rPr>
              <w:t>22</w:t>
            </w:r>
            <w:r w:rsidR="00DA443C" w:rsidRPr="005429F0">
              <w:rPr>
                <w:sz w:val="18"/>
              </w:rPr>
              <w:t xml:space="preserve"> </w:t>
            </w:r>
            <w:r w:rsidRPr="005429F0">
              <w:rPr>
                <w:sz w:val="18"/>
              </w:rPr>
              <w:t>440</w:t>
            </w:r>
          </w:p>
        </w:tc>
        <w:tc>
          <w:tcPr>
            <w:tcW w:w="1565" w:type="dxa"/>
            <w:tcBorders>
              <w:top w:val="single" w:sz="12" w:space="0" w:color="auto"/>
            </w:tcBorders>
            <w:shd w:val="clear" w:color="auto" w:fill="auto"/>
            <w:vAlign w:val="bottom"/>
            <w:hideMark/>
          </w:tcPr>
          <w:p w:rsidR="00644309" w:rsidRPr="005429F0" w:rsidRDefault="00644309" w:rsidP="00DA443C">
            <w:pPr>
              <w:suppressAutoHyphens w:val="0"/>
              <w:spacing w:before="40" w:after="40" w:line="220" w:lineRule="exact"/>
              <w:ind w:right="113"/>
              <w:jc w:val="right"/>
              <w:rPr>
                <w:sz w:val="18"/>
              </w:rPr>
            </w:pPr>
            <w:r w:rsidRPr="005429F0">
              <w:rPr>
                <w:sz w:val="18"/>
              </w:rPr>
              <w:t>99.63</w:t>
            </w:r>
          </w:p>
        </w:tc>
        <w:tc>
          <w:tcPr>
            <w:tcW w:w="1647" w:type="dxa"/>
            <w:tcBorders>
              <w:top w:val="single" w:sz="12" w:space="0" w:color="auto"/>
            </w:tcBorders>
            <w:shd w:val="clear" w:color="auto" w:fill="auto"/>
            <w:vAlign w:val="bottom"/>
            <w:hideMark/>
          </w:tcPr>
          <w:p w:rsidR="00644309" w:rsidRPr="005429F0" w:rsidRDefault="00644309" w:rsidP="00DA443C">
            <w:pPr>
              <w:suppressAutoHyphens w:val="0"/>
              <w:spacing w:before="40" w:after="40" w:line="220" w:lineRule="exact"/>
              <w:ind w:right="113"/>
              <w:jc w:val="right"/>
              <w:rPr>
                <w:sz w:val="18"/>
              </w:rPr>
            </w:pPr>
            <w:r w:rsidRPr="005429F0">
              <w:rPr>
                <w:sz w:val="18"/>
              </w:rPr>
              <w:t>83</w:t>
            </w:r>
          </w:p>
        </w:tc>
        <w:tc>
          <w:tcPr>
            <w:tcW w:w="1612" w:type="dxa"/>
            <w:tcBorders>
              <w:top w:val="single" w:sz="12" w:space="0" w:color="auto"/>
            </w:tcBorders>
            <w:shd w:val="clear" w:color="auto" w:fill="auto"/>
            <w:vAlign w:val="bottom"/>
            <w:hideMark/>
          </w:tcPr>
          <w:p w:rsidR="00644309" w:rsidRPr="005429F0" w:rsidRDefault="00644309" w:rsidP="00DA443C">
            <w:pPr>
              <w:suppressAutoHyphens w:val="0"/>
              <w:spacing w:before="40" w:after="40" w:line="220" w:lineRule="exact"/>
              <w:ind w:right="113"/>
              <w:jc w:val="right"/>
              <w:rPr>
                <w:sz w:val="18"/>
              </w:rPr>
            </w:pPr>
            <w:r w:rsidRPr="005429F0">
              <w:rPr>
                <w:sz w:val="18"/>
              </w:rPr>
              <w:t>0.37</w:t>
            </w:r>
          </w:p>
        </w:tc>
      </w:tr>
      <w:tr w:rsidR="00644309" w:rsidRPr="005429F0" w:rsidTr="00004EE4">
        <w:tc>
          <w:tcPr>
            <w:tcW w:w="1202" w:type="dxa"/>
            <w:shd w:val="clear" w:color="auto" w:fill="auto"/>
            <w:hideMark/>
          </w:tcPr>
          <w:p w:rsidR="00644309" w:rsidRPr="005429F0" w:rsidRDefault="00644309" w:rsidP="00DA443C">
            <w:pPr>
              <w:suppressAutoHyphens w:val="0"/>
              <w:spacing w:before="40" w:after="40" w:line="220" w:lineRule="exact"/>
              <w:ind w:right="113"/>
              <w:rPr>
                <w:sz w:val="18"/>
              </w:rPr>
            </w:pPr>
            <w:r w:rsidRPr="005429F0">
              <w:rPr>
                <w:sz w:val="18"/>
              </w:rPr>
              <w:t>2016</w:t>
            </w:r>
          </w:p>
        </w:tc>
        <w:tc>
          <w:tcPr>
            <w:tcW w:w="1344" w:type="dxa"/>
            <w:shd w:val="clear" w:color="auto" w:fill="auto"/>
            <w:vAlign w:val="bottom"/>
            <w:hideMark/>
          </w:tcPr>
          <w:p w:rsidR="00644309" w:rsidRPr="005429F0" w:rsidRDefault="00644309" w:rsidP="00DA443C">
            <w:pPr>
              <w:suppressAutoHyphens w:val="0"/>
              <w:spacing w:before="40" w:after="40" w:line="220" w:lineRule="exact"/>
              <w:ind w:right="113"/>
              <w:jc w:val="right"/>
              <w:rPr>
                <w:sz w:val="18"/>
              </w:rPr>
            </w:pPr>
            <w:r w:rsidRPr="005429F0">
              <w:rPr>
                <w:sz w:val="18"/>
              </w:rPr>
              <w:t>21</w:t>
            </w:r>
            <w:r w:rsidR="00DA443C" w:rsidRPr="005429F0">
              <w:rPr>
                <w:sz w:val="18"/>
              </w:rPr>
              <w:t xml:space="preserve"> </w:t>
            </w:r>
            <w:r w:rsidRPr="005429F0">
              <w:rPr>
                <w:sz w:val="18"/>
              </w:rPr>
              <w:t>545</w:t>
            </w:r>
          </w:p>
        </w:tc>
        <w:tc>
          <w:tcPr>
            <w:tcW w:w="1565" w:type="dxa"/>
            <w:shd w:val="clear" w:color="auto" w:fill="auto"/>
            <w:vAlign w:val="bottom"/>
            <w:hideMark/>
          </w:tcPr>
          <w:p w:rsidR="00644309" w:rsidRPr="005429F0" w:rsidRDefault="00644309" w:rsidP="00DA443C">
            <w:pPr>
              <w:suppressAutoHyphens w:val="0"/>
              <w:spacing w:before="40" w:after="40" w:line="220" w:lineRule="exact"/>
              <w:ind w:right="113"/>
              <w:jc w:val="right"/>
              <w:rPr>
                <w:sz w:val="18"/>
              </w:rPr>
            </w:pPr>
            <w:r w:rsidRPr="005429F0">
              <w:rPr>
                <w:sz w:val="18"/>
              </w:rPr>
              <w:t>99.75</w:t>
            </w:r>
          </w:p>
        </w:tc>
        <w:tc>
          <w:tcPr>
            <w:tcW w:w="1647" w:type="dxa"/>
            <w:shd w:val="clear" w:color="auto" w:fill="auto"/>
            <w:vAlign w:val="bottom"/>
            <w:hideMark/>
          </w:tcPr>
          <w:p w:rsidR="00644309" w:rsidRPr="005429F0" w:rsidRDefault="00644309" w:rsidP="00DA443C">
            <w:pPr>
              <w:suppressAutoHyphens w:val="0"/>
              <w:spacing w:before="40" w:after="40" w:line="220" w:lineRule="exact"/>
              <w:ind w:right="113"/>
              <w:jc w:val="right"/>
              <w:rPr>
                <w:sz w:val="18"/>
              </w:rPr>
            </w:pPr>
            <w:r w:rsidRPr="005429F0">
              <w:rPr>
                <w:sz w:val="18"/>
              </w:rPr>
              <w:t>52</w:t>
            </w:r>
          </w:p>
        </w:tc>
        <w:tc>
          <w:tcPr>
            <w:tcW w:w="1612" w:type="dxa"/>
            <w:shd w:val="clear" w:color="auto" w:fill="auto"/>
            <w:vAlign w:val="bottom"/>
            <w:hideMark/>
          </w:tcPr>
          <w:p w:rsidR="00644309" w:rsidRPr="005429F0" w:rsidRDefault="00644309" w:rsidP="00DA443C">
            <w:pPr>
              <w:suppressAutoHyphens w:val="0"/>
              <w:spacing w:before="40" w:after="40" w:line="220" w:lineRule="exact"/>
              <w:ind w:right="113"/>
              <w:jc w:val="right"/>
              <w:rPr>
                <w:sz w:val="18"/>
              </w:rPr>
            </w:pPr>
            <w:r w:rsidRPr="005429F0">
              <w:rPr>
                <w:sz w:val="18"/>
              </w:rPr>
              <w:t>0.25</w:t>
            </w:r>
          </w:p>
        </w:tc>
      </w:tr>
      <w:tr w:rsidR="00644309" w:rsidRPr="005429F0" w:rsidTr="00004EE4">
        <w:tc>
          <w:tcPr>
            <w:tcW w:w="1202" w:type="dxa"/>
            <w:shd w:val="clear" w:color="auto" w:fill="auto"/>
          </w:tcPr>
          <w:p w:rsidR="00644309" w:rsidRPr="005429F0" w:rsidRDefault="00644309" w:rsidP="00DA443C">
            <w:pPr>
              <w:suppressAutoHyphens w:val="0"/>
              <w:spacing w:before="40" w:after="40" w:line="220" w:lineRule="exact"/>
              <w:ind w:right="113"/>
              <w:rPr>
                <w:sz w:val="18"/>
              </w:rPr>
            </w:pPr>
            <w:r w:rsidRPr="005429F0">
              <w:rPr>
                <w:sz w:val="18"/>
              </w:rPr>
              <w:t>2017</w:t>
            </w:r>
          </w:p>
        </w:tc>
        <w:tc>
          <w:tcPr>
            <w:tcW w:w="1344" w:type="dxa"/>
            <w:shd w:val="clear" w:color="auto" w:fill="auto"/>
            <w:vAlign w:val="bottom"/>
          </w:tcPr>
          <w:p w:rsidR="00644309" w:rsidRPr="005429F0" w:rsidRDefault="00644309" w:rsidP="00DA443C">
            <w:pPr>
              <w:suppressAutoHyphens w:val="0"/>
              <w:spacing w:before="40" w:after="40" w:line="220" w:lineRule="exact"/>
              <w:ind w:right="113"/>
              <w:jc w:val="right"/>
              <w:rPr>
                <w:sz w:val="18"/>
              </w:rPr>
            </w:pPr>
            <w:r w:rsidRPr="005429F0">
              <w:rPr>
                <w:sz w:val="18"/>
              </w:rPr>
              <w:t>20</w:t>
            </w:r>
            <w:r w:rsidR="00DA443C" w:rsidRPr="005429F0">
              <w:rPr>
                <w:sz w:val="18"/>
              </w:rPr>
              <w:t xml:space="preserve"> </w:t>
            </w:r>
            <w:r w:rsidRPr="005429F0">
              <w:rPr>
                <w:sz w:val="18"/>
              </w:rPr>
              <w:t>374</w:t>
            </w:r>
          </w:p>
        </w:tc>
        <w:tc>
          <w:tcPr>
            <w:tcW w:w="1565" w:type="dxa"/>
            <w:shd w:val="clear" w:color="auto" w:fill="auto"/>
            <w:vAlign w:val="bottom"/>
          </w:tcPr>
          <w:p w:rsidR="00644309" w:rsidRPr="005429F0" w:rsidRDefault="00644309" w:rsidP="00DA443C">
            <w:pPr>
              <w:suppressAutoHyphens w:val="0"/>
              <w:spacing w:before="40" w:after="40" w:line="220" w:lineRule="exact"/>
              <w:ind w:right="113"/>
              <w:jc w:val="right"/>
              <w:rPr>
                <w:sz w:val="18"/>
              </w:rPr>
            </w:pPr>
            <w:r w:rsidRPr="005429F0">
              <w:rPr>
                <w:sz w:val="18"/>
              </w:rPr>
              <w:t>99.74</w:t>
            </w:r>
          </w:p>
        </w:tc>
        <w:tc>
          <w:tcPr>
            <w:tcW w:w="1647" w:type="dxa"/>
            <w:shd w:val="clear" w:color="auto" w:fill="auto"/>
            <w:vAlign w:val="bottom"/>
          </w:tcPr>
          <w:p w:rsidR="00644309" w:rsidRPr="005429F0" w:rsidRDefault="00644309" w:rsidP="00DA443C">
            <w:pPr>
              <w:suppressAutoHyphens w:val="0"/>
              <w:spacing w:before="40" w:after="40" w:line="220" w:lineRule="exact"/>
              <w:ind w:right="113"/>
              <w:jc w:val="right"/>
              <w:rPr>
                <w:sz w:val="18"/>
              </w:rPr>
            </w:pPr>
            <w:r w:rsidRPr="005429F0">
              <w:rPr>
                <w:sz w:val="18"/>
              </w:rPr>
              <w:t>53</w:t>
            </w:r>
          </w:p>
        </w:tc>
        <w:tc>
          <w:tcPr>
            <w:tcW w:w="1612" w:type="dxa"/>
            <w:shd w:val="clear" w:color="auto" w:fill="auto"/>
            <w:vAlign w:val="bottom"/>
          </w:tcPr>
          <w:p w:rsidR="00644309" w:rsidRPr="005429F0" w:rsidRDefault="00644309" w:rsidP="00DA443C">
            <w:pPr>
              <w:suppressAutoHyphens w:val="0"/>
              <w:spacing w:before="40" w:after="40" w:line="220" w:lineRule="exact"/>
              <w:ind w:right="113"/>
              <w:jc w:val="right"/>
              <w:rPr>
                <w:sz w:val="18"/>
              </w:rPr>
            </w:pPr>
            <w:r w:rsidRPr="005429F0">
              <w:rPr>
                <w:sz w:val="18"/>
              </w:rPr>
              <w:t>0.26</w:t>
            </w:r>
          </w:p>
        </w:tc>
      </w:tr>
      <w:tr w:rsidR="00644309" w:rsidRPr="005429F0" w:rsidTr="00004EE4">
        <w:tc>
          <w:tcPr>
            <w:tcW w:w="1202" w:type="dxa"/>
            <w:shd w:val="clear" w:color="auto" w:fill="auto"/>
          </w:tcPr>
          <w:p w:rsidR="00644309" w:rsidRPr="005429F0" w:rsidRDefault="00644309" w:rsidP="00DA443C">
            <w:pPr>
              <w:suppressAutoHyphens w:val="0"/>
              <w:spacing w:before="40" w:after="40" w:line="220" w:lineRule="exact"/>
              <w:ind w:right="113"/>
              <w:rPr>
                <w:sz w:val="18"/>
              </w:rPr>
            </w:pPr>
            <w:r w:rsidRPr="005429F0">
              <w:rPr>
                <w:sz w:val="18"/>
              </w:rPr>
              <w:t>2018</w:t>
            </w:r>
          </w:p>
        </w:tc>
        <w:tc>
          <w:tcPr>
            <w:tcW w:w="1344" w:type="dxa"/>
            <w:shd w:val="clear" w:color="auto" w:fill="auto"/>
            <w:vAlign w:val="bottom"/>
          </w:tcPr>
          <w:p w:rsidR="00644309" w:rsidRPr="005429F0" w:rsidRDefault="00644309" w:rsidP="00DA443C">
            <w:pPr>
              <w:suppressAutoHyphens w:val="0"/>
              <w:spacing w:before="40" w:after="40" w:line="220" w:lineRule="exact"/>
              <w:ind w:right="113"/>
              <w:jc w:val="right"/>
              <w:rPr>
                <w:sz w:val="18"/>
              </w:rPr>
            </w:pPr>
            <w:r w:rsidRPr="005429F0">
              <w:rPr>
                <w:sz w:val="18"/>
              </w:rPr>
              <w:t>18</w:t>
            </w:r>
            <w:r w:rsidR="00DA443C" w:rsidRPr="005429F0">
              <w:rPr>
                <w:sz w:val="18"/>
              </w:rPr>
              <w:t xml:space="preserve"> </w:t>
            </w:r>
            <w:r w:rsidRPr="005429F0">
              <w:rPr>
                <w:sz w:val="18"/>
              </w:rPr>
              <w:t>846</w:t>
            </w:r>
          </w:p>
        </w:tc>
        <w:tc>
          <w:tcPr>
            <w:tcW w:w="1565" w:type="dxa"/>
            <w:shd w:val="clear" w:color="auto" w:fill="auto"/>
            <w:vAlign w:val="bottom"/>
          </w:tcPr>
          <w:p w:rsidR="00644309" w:rsidRPr="005429F0" w:rsidRDefault="00644309" w:rsidP="00DA443C">
            <w:pPr>
              <w:suppressAutoHyphens w:val="0"/>
              <w:spacing w:before="40" w:after="40" w:line="220" w:lineRule="exact"/>
              <w:ind w:right="113"/>
              <w:jc w:val="right"/>
              <w:rPr>
                <w:sz w:val="18"/>
              </w:rPr>
            </w:pPr>
            <w:r w:rsidRPr="005429F0">
              <w:rPr>
                <w:sz w:val="18"/>
              </w:rPr>
              <w:t>99.83</w:t>
            </w:r>
          </w:p>
        </w:tc>
        <w:tc>
          <w:tcPr>
            <w:tcW w:w="1647" w:type="dxa"/>
            <w:shd w:val="clear" w:color="auto" w:fill="auto"/>
            <w:vAlign w:val="bottom"/>
          </w:tcPr>
          <w:p w:rsidR="00644309" w:rsidRPr="005429F0" w:rsidRDefault="00644309" w:rsidP="00DA443C">
            <w:pPr>
              <w:suppressAutoHyphens w:val="0"/>
              <w:spacing w:before="40" w:after="40" w:line="220" w:lineRule="exact"/>
              <w:ind w:right="113"/>
              <w:jc w:val="right"/>
              <w:rPr>
                <w:sz w:val="18"/>
              </w:rPr>
            </w:pPr>
            <w:r w:rsidRPr="005429F0">
              <w:rPr>
                <w:sz w:val="18"/>
              </w:rPr>
              <w:t>33</w:t>
            </w:r>
          </w:p>
        </w:tc>
        <w:tc>
          <w:tcPr>
            <w:tcW w:w="1612" w:type="dxa"/>
            <w:shd w:val="clear" w:color="auto" w:fill="auto"/>
            <w:vAlign w:val="bottom"/>
          </w:tcPr>
          <w:p w:rsidR="00644309" w:rsidRPr="005429F0" w:rsidRDefault="00644309" w:rsidP="00DA443C">
            <w:pPr>
              <w:suppressAutoHyphens w:val="0"/>
              <w:spacing w:before="40" w:after="40" w:line="220" w:lineRule="exact"/>
              <w:ind w:right="113"/>
              <w:jc w:val="right"/>
              <w:rPr>
                <w:sz w:val="18"/>
              </w:rPr>
            </w:pPr>
            <w:r w:rsidRPr="005429F0">
              <w:rPr>
                <w:sz w:val="18"/>
              </w:rPr>
              <w:t>0.17</w:t>
            </w:r>
          </w:p>
        </w:tc>
      </w:tr>
    </w:tbl>
    <w:p w:rsidR="00644309" w:rsidRPr="005429F0" w:rsidRDefault="00644309" w:rsidP="00004EE4">
      <w:pPr>
        <w:spacing w:before="120"/>
        <w:ind w:left="1134" w:right="1134" w:firstLine="170"/>
        <w:rPr>
          <w:sz w:val="18"/>
        </w:rPr>
      </w:pPr>
      <w:r w:rsidRPr="005429F0">
        <w:rPr>
          <w:i/>
          <w:iCs/>
          <w:sz w:val="18"/>
        </w:rPr>
        <w:t>Source</w:t>
      </w:r>
      <w:r w:rsidRPr="005429F0">
        <w:rPr>
          <w:sz w:val="18"/>
        </w:rPr>
        <w:t xml:space="preserve">: </w:t>
      </w:r>
      <w:r w:rsidR="00004EE4" w:rsidRPr="005429F0">
        <w:rPr>
          <w:sz w:val="18"/>
        </w:rPr>
        <w:t xml:space="preserve"> </w:t>
      </w:r>
      <w:r w:rsidRPr="005429F0">
        <w:rPr>
          <w:sz w:val="18"/>
        </w:rPr>
        <w:t>Office of Citizenship and Migration Affairs.</w:t>
      </w:r>
    </w:p>
    <w:p w:rsidR="00644309" w:rsidRPr="005429F0" w:rsidRDefault="00644309" w:rsidP="00004EE4">
      <w:pPr>
        <w:pStyle w:val="H23G"/>
        <w:spacing w:after="240"/>
      </w:pPr>
      <w:r w:rsidRPr="005429F0">
        <w:tab/>
      </w:r>
      <w:r w:rsidRPr="005429F0">
        <w:tab/>
        <w:t>Recognition of a child as a Latvian citizen, 2015</w:t>
      </w:r>
      <w:r w:rsidR="00004EE4" w:rsidRPr="005429F0">
        <w:t>–</w:t>
      </w:r>
      <w:r w:rsidRPr="005429F0">
        <w:t>2018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402"/>
        <w:gridCol w:w="992"/>
        <w:gridCol w:w="992"/>
        <w:gridCol w:w="992"/>
        <w:gridCol w:w="992"/>
      </w:tblGrid>
      <w:tr w:rsidR="00644309" w:rsidRPr="005429F0" w:rsidTr="00CE5E37">
        <w:trPr>
          <w:tblHeader/>
        </w:trPr>
        <w:tc>
          <w:tcPr>
            <w:tcW w:w="3402" w:type="dxa"/>
            <w:tcBorders>
              <w:top w:val="single" w:sz="4" w:space="0" w:color="auto"/>
              <w:bottom w:val="single" w:sz="12" w:space="0" w:color="auto"/>
            </w:tcBorders>
            <w:shd w:val="clear" w:color="auto" w:fill="auto"/>
            <w:vAlign w:val="bottom"/>
          </w:tcPr>
          <w:p w:rsidR="00644309" w:rsidRPr="005429F0" w:rsidRDefault="00644309" w:rsidP="00004EE4">
            <w:pPr>
              <w:suppressAutoHyphens w:val="0"/>
              <w:spacing w:before="80" w:after="80" w:line="200" w:lineRule="exact"/>
              <w:ind w:right="113"/>
              <w:rPr>
                <w:i/>
                <w:sz w:val="16"/>
              </w:rPr>
            </w:pPr>
          </w:p>
        </w:tc>
        <w:tc>
          <w:tcPr>
            <w:tcW w:w="992" w:type="dxa"/>
            <w:tcBorders>
              <w:top w:val="single" w:sz="4" w:space="0" w:color="auto"/>
              <w:bottom w:val="single" w:sz="12" w:space="0" w:color="auto"/>
            </w:tcBorders>
            <w:shd w:val="clear" w:color="auto" w:fill="auto"/>
            <w:vAlign w:val="bottom"/>
            <w:hideMark/>
          </w:tcPr>
          <w:p w:rsidR="00644309" w:rsidRPr="005429F0" w:rsidRDefault="00644309" w:rsidP="00004EE4">
            <w:pPr>
              <w:suppressAutoHyphens w:val="0"/>
              <w:spacing w:before="80" w:after="80" w:line="200" w:lineRule="exact"/>
              <w:ind w:right="113"/>
              <w:jc w:val="right"/>
              <w:rPr>
                <w:i/>
                <w:sz w:val="16"/>
              </w:rPr>
            </w:pPr>
            <w:r w:rsidRPr="005429F0">
              <w:rPr>
                <w:i/>
                <w:sz w:val="16"/>
              </w:rPr>
              <w:t>2015</w:t>
            </w:r>
          </w:p>
        </w:tc>
        <w:tc>
          <w:tcPr>
            <w:tcW w:w="992" w:type="dxa"/>
            <w:tcBorders>
              <w:top w:val="single" w:sz="4" w:space="0" w:color="auto"/>
              <w:bottom w:val="single" w:sz="12" w:space="0" w:color="auto"/>
            </w:tcBorders>
            <w:shd w:val="clear" w:color="auto" w:fill="auto"/>
            <w:vAlign w:val="bottom"/>
            <w:hideMark/>
          </w:tcPr>
          <w:p w:rsidR="00644309" w:rsidRPr="005429F0" w:rsidRDefault="00644309" w:rsidP="00004EE4">
            <w:pPr>
              <w:suppressAutoHyphens w:val="0"/>
              <w:spacing w:before="80" w:after="80" w:line="200" w:lineRule="exact"/>
              <w:ind w:right="113"/>
              <w:jc w:val="right"/>
              <w:rPr>
                <w:i/>
                <w:sz w:val="16"/>
              </w:rPr>
            </w:pPr>
            <w:r w:rsidRPr="005429F0">
              <w:rPr>
                <w:i/>
                <w:sz w:val="16"/>
              </w:rPr>
              <w:t>2016</w:t>
            </w:r>
          </w:p>
        </w:tc>
        <w:tc>
          <w:tcPr>
            <w:tcW w:w="992" w:type="dxa"/>
            <w:tcBorders>
              <w:top w:val="single" w:sz="4" w:space="0" w:color="auto"/>
              <w:bottom w:val="single" w:sz="12" w:space="0" w:color="auto"/>
            </w:tcBorders>
            <w:shd w:val="clear" w:color="auto" w:fill="auto"/>
            <w:vAlign w:val="bottom"/>
          </w:tcPr>
          <w:p w:rsidR="00644309" w:rsidRPr="005429F0" w:rsidRDefault="00644309" w:rsidP="00004EE4">
            <w:pPr>
              <w:suppressAutoHyphens w:val="0"/>
              <w:spacing w:before="80" w:after="80" w:line="200" w:lineRule="exact"/>
              <w:ind w:right="113"/>
              <w:jc w:val="right"/>
              <w:rPr>
                <w:i/>
                <w:sz w:val="16"/>
              </w:rPr>
            </w:pPr>
            <w:r w:rsidRPr="005429F0">
              <w:rPr>
                <w:i/>
                <w:sz w:val="16"/>
              </w:rPr>
              <w:t>2017</w:t>
            </w:r>
          </w:p>
        </w:tc>
        <w:tc>
          <w:tcPr>
            <w:tcW w:w="992" w:type="dxa"/>
            <w:tcBorders>
              <w:top w:val="single" w:sz="4" w:space="0" w:color="auto"/>
              <w:bottom w:val="single" w:sz="12" w:space="0" w:color="auto"/>
            </w:tcBorders>
            <w:shd w:val="clear" w:color="auto" w:fill="auto"/>
            <w:vAlign w:val="bottom"/>
          </w:tcPr>
          <w:p w:rsidR="00644309" w:rsidRPr="005429F0" w:rsidRDefault="00644309" w:rsidP="00004EE4">
            <w:pPr>
              <w:suppressAutoHyphens w:val="0"/>
              <w:spacing w:before="80" w:after="80" w:line="200" w:lineRule="exact"/>
              <w:ind w:right="113"/>
              <w:jc w:val="right"/>
              <w:rPr>
                <w:i/>
                <w:sz w:val="16"/>
              </w:rPr>
            </w:pPr>
            <w:r w:rsidRPr="005429F0">
              <w:rPr>
                <w:i/>
                <w:sz w:val="16"/>
              </w:rPr>
              <w:t>2018</w:t>
            </w:r>
          </w:p>
        </w:tc>
      </w:tr>
      <w:tr w:rsidR="00644309" w:rsidRPr="005429F0" w:rsidTr="002F2126">
        <w:tc>
          <w:tcPr>
            <w:tcW w:w="3402" w:type="dxa"/>
            <w:tcBorders>
              <w:top w:val="single" w:sz="12" w:space="0" w:color="auto"/>
            </w:tcBorders>
            <w:shd w:val="clear" w:color="auto" w:fill="auto"/>
            <w:hideMark/>
          </w:tcPr>
          <w:p w:rsidR="00644309" w:rsidRPr="005429F0" w:rsidRDefault="00644309" w:rsidP="00004EE4">
            <w:pPr>
              <w:suppressAutoHyphens w:val="0"/>
              <w:spacing w:before="40" w:after="40" w:line="220" w:lineRule="exact"/>
              <w:ind w:right="113"/>
              <w:rPr>
                <w:sz w:val="18"/>
              </w:rPr>
            </w:pPr>
            <w:r w:rsidRPr="005429F0">
              <w:rPr>
                <w:sz w:val="18"/>
              </w:rPr>
              <w:t>Number of children admitted as Latvian citizens</w:t>
            </w:r>
          </w:p>
        </w:tc>
        <w:tc>
          <w:tcPr>
            <w:tcW w:w="992" w:type="dxa"/>
            <w:tcBorders>
              <w:top w:val="single" w:sz="12" w:space="0" w:color="auto"/>
            </w:tcBorders>
            <w:shd w:val="clear" w:color="auto" w:fill="auto"/>
            <w:hideMark/>
          </w:tcPr>
          <w:p w:rsidR="00644309" w:rsidRPr="005429F0" w:rsidRDefault="00644309" w:rsidP="00004EE4">
            <w:pPr>
              <w:suppressAutoHyphens w:val="0"/>
              <w:spacing w:before="40" w:after="40" w:line="220" w:lineRule="exact"/>
              <w:ind w:right="113"/>
              <w:jc w:val="right"/>
              <w:rPr>
                <w:sz w:val="18"/>
              </w:rPr>
            </w:pPr>
            <w:r w:rsidRPr="005429F0">
              <w:rPr>
                <w:sz w:val="18"/>
              </w:rPr>
              <w:t>322</w:t>
            </w:r>
          </w:p>
        </w:tc>
        <w:tc>
          <w:tcPr>
            <w:tcW w:w="992" w:type="dxa"/>
            <w:tcBorders>
              <w:top w:val="single" w:sz="12" w:space="0" w:color="auto"/>
            </w:tcBorders>
            <w:shd w:val="clear" w:color="auto" w:fill="auto"/>
            <w:hideMark/>
          </w:tcPr>
          <w:p w:rsidR="00644309" w:rsidRPr="005429F0" w:rsidRDefault="00644309" w:rsidP="00004EE4">
            <w:pPr>
              <w:suppressAutoHyphens w:val="0"/>
              <w:spacing w:before="40" w:after="40" w:line="220" w:lineRule="exact"/>
              <w:ind w:right="113"/>
              <w:jc w:val="right"/>
              <w:rPr>
                <w:sz w:val="18"/>
              </w:rPr>
            </w:pPr>
            <w:r w:rsidRPr="005429F0">
              <w:rPr>
                <w:sz w:val="18"/>
              </w:rPr>
              <w:t>256</w:t>
            </w:r>
          </w:p>
        </w:tc>
        <w:tc>
          <w:tcPr>
            <w:tcW w:w="992" w:type="dxa"/>
            <w:tcBorders>
              <w:top w:val="single" w:sz="12" w:space="0" w:color="auto"/>
            </w:tcBorders>
            <w:shd w:val="clear" w:color="auto" w:fill="auto"/>
          </w:tcPr>
          <w:p w:rsidR="00644309" w:rsidRPr="005429F0" w:rsidRDefault="00644309" w:rsidP="00004EE4">
            <w:pPr>
              <w:suppressAutoHyphens w:val="0"/>
              <w:spacing w:before="40" w:after="40" w:line="220" w:lineRule="exact"/>
              <w:ind w:right="113"/>
              <w:jc w:val="right"/>
              <w:rPr>
                <w:sz w:val="18"/>
              </w:rPr>
            </w:pPr>
            <w:r w:rsidRPr="005429F0">
              <w:rPr>
                <w:sz w:val="18"/>
              </w:rPr>
              <w:t>300</w:t>
            </w:r>
          </w:p>
        </w:tc>
        <w:tc>
          <w:tcPr>
            <w:tcW w:w="992" w:type="dxa"/>
            <w:tcBorders>
              <w:top w:val="single" w:sz="12" w:space="0" w:color="auto"/>
            </w:tcBorders>
            <w:shd w:val="clear" w:color="auto" w:fill="auto"/>
          </w:tcPr>
          <w:p w:rsidR="00644309" w:rsidRPr="005429F0" w:rsidRDefault="00644309" w:rsidP="00004EE4">
            <w:pPr>
              <w:suppressAutoHyphens w:val="0"/>
              <w:spacing w:before="40" w:after="40" w:line="220" w:lineRule="exact"/>
              <w:ind w:right="113"/>
              <w:jc w:val="right"/>
              <w:rPr>
                <w:sz w:val="18"/>
              </w:rPr>
            </w:pPr>
            <w:r w:rsidRPr="005429F0">
              <w:rPr>
                <w:sz w:val="18"/>
              </w:rPr>
              <w:t>313</w:t>
            </w:r>
          </w:p>
        </w:tc>
      </w:tr>
      <w:tr w:rsidR="00644309" w:rsidRPr="005429F0" w:rsidTr="002F2126">
        <w:tc>
          <w:tcPr>
            <w:tcW w:w="3402" w:type="dxa"/>
            <w:shd w:val="clear" w:color="auto" w:fill="auto"/>
          </w:tcPr>
          <w:p w:rsidR="00644309" w:rsidRPr="005429F0" w:rsidRDefault="00644309" w:rsidP="00004EE4">
            <w:pPr>
              <w:suppressAutoHyphens w:val="0"/>
              <w:spacing w:before="40" w:after="40" w:line="220" w:lineRule="exact"/>
              <w:ind w:right="113"/>
              <w:rPr>
                <w:sz w:val="18"/>
              </w:rPr>
            </w:pPr>
            <w:r w:rsidRPr="005429F0">
              <w:rPr>
                <w:sz w:val="18"/>
              </w:rPr>
              <w:t>Number of children of non-citizens and stateless persons recognized as Latvian citizens at the time of registration of the child</w:t>
            </w:r>
            <w:r w:rsidR="005429F0">
              <w:rPr>
                <w:sz w:val="18"/>
              </w:rPr>
              <w:t>’</w:t>
            </w:r>
            <w:r w:rsidRPr="005429F0">
              <w:rPr>
                <w:sz w:val="18"/>
              </w:rPr>
              <w:t>s birth</w:t>
            </w:r>
          </w:p>
        </w:tc>
        <w:tc>
          <w:tcPr>
            <w:tcW w:w="992" w:type="dxa"/>
            <w:shd w:val="clear" w:color="auto" w:fill="auto"/>
          </w:tcPr>
          <w:p w:rsidR="00644309" w:rsidRPr="005429F0" w:rsidRDefault="00644309" w:rsidP="00004EE4">
            <w:pPr>
              <w:suppressAutoHyphens w:val="0"/>
              <w:spacing w:before="40" w:after="40" w:line="220" w:lineRule="exact"/>
              <w:ind w:right="113"/>
              <w:jc w:val="right"/>
              <w:rPr>
                <w:sz w:val="18"/>
              </w:rPr>
            </w:pPr>
            <w:r w:rsidRPr="005429F0">
              <w:rPr>
                <w:sz w:val="18"/>
              </w:rPr>
              <w:t>235</w:t>
            </w:r>
          </w:p>
        </w:tc>
        <w:tc>
          <w:tcPr>
            <w:tcW w:w="992" w:type="dxa"/>
            <w:shd w:val="clear" w:color="auto" w:fill="auto"/>
          </w:tcPr>
          <w:p w:rsidR="00644309" w:rsidRPr="005429F0" w:rsidRDefault="00644309" w:rsidP="00004EE4">
            <w:pPr>
              <w:suppressAutoHyphens w:val="0"/>
              <w:spacing w:before="40" w:after="40" w:line="220" w:lineRule="exact"/>
              <w:ind w:right="113"/>
              <w:jc w:val="right"/>
              <w:rPr>
                <w:sz w:val="18"/>
              </w:rPr>
            </w:pPr>
            <w:r w:rsidRPr="005429F0">
              <w:rPr>
                <w:sz w:val="18"/>
              </w:rPr>
              <w:t>204</w:t>
            </w:r>
          </w:p>
        </w:tc>
        <w:tc>
          <w:tcPr>
            <w:tcW w:w="992" w:type="dxa"/>
            <w:shd w:val="clear" w:color="auto" w:fill="auto"/>
          </w:tcPr>
          <w:p w:rsidR="00644309" w:rsidRPr="005429F0" w:rsidRDefault="00644309" w:rsidP="00004EE4">
            <w:pPr>
              <w:suppressAutoHyphens w:val="0"/>
              <w:spacing w:before="40" w:after="40" w:line="220" w:lineRule="exact"/>
              <w:ind w:right="113"/>
              <w:jc w:val="right"/>
              <w:rPr>
                <w:sz w:val="18"/>
              </w:rPr>
            </w:pPr>
            <w:r w:rsidRPr="005429F0">
              <w:rPr>
                <w:sz w:val="18"/>
              </w:rPr>
              <w:t>177</w:t>
            </w:r>
          </w:p>
        </w:tc>
        <w:tc>
          <w:tcPr>
            <w:tcW w:w="992" w:type="dxa"/>
            <w:shd w:val="clear" w:color="auto" w:fill="auto"/>
          </w:tcPr>
          <w:p w:rsidR="00644309" w:rsidRPr="005429F0" w:rsidRDefault="00644309" w:rsidP="00004EE4">
            <w:pPr>
              <w:suppressAutoHyphens w:val="0"/>
              <w:spacing w:before="40" w:after="40" w:line="220" w:lineRule="exact"/>
              <w:ind w:right="113"/>
              <w:jc w:val="right"/>
              <w:rPr>
                <w:sz w:val="18"/>
              </w:rPr>
            </w:pPr>
            <w:r w:rsidRPr="005429F0">
              <w:rPr>
                <w:sz w:val="18"/>
              </w:rPr>
              <w:t>164</w:t>
            </w:r>
          </w:p>
        </w:tc>
      </w:tr>
    </w:tbl>
    <w:p w:rsidR="00644309" w:rsidRPr="005429F0" w:rsidRDefault="00644309" w:rsidP="00CE5E37">
      <w:pPr>
        <w:spacing w:before="120" w:after="240"/>
        <w:ind w:left="1134" w:right="1134" w:firstLine="170"/>
        <w:rPr>
          <w:sz w:val="18"/>
        </w:rPr>
      </w:pPr>
      <w:r w:rsidRPr="005429F0">
        <w:rPr>
          <w:i/>
          <w:iCs/>
          <w:sz w:val="18"/>
        </w:rPr>
        <w:t>Source</w:t>
      </w:r>
      <w:r w:rsidRPr="005429F0">
        <w:rPr>
          <w:sz w:val="18"/>
        </w:rPr>
        <w:t>:</w:t>
      </w:r>
      <w:r w:rsidR="00CE5E37" w:rsidRPr="005429F0">
        <w:rPr>
          <w:sz w:val="18"/>
        </w:rPr>
        <w:t xml:space="preserve"> </w:t>
      </w:r>
      <w:r w:rsidRPr="005429F0">
        <w:rPr>
          <w:sz w:val="18"/>
        </w:rPr>
        <w:t xml:space="preserve"> Office of Citizenship and Migration Affairs.</w:t>
      </w:r>
    </w:p>
    <w:p w:rsidR="00644309" w:rsidRPr="005429F0" w:rsidRDefault="00644309" w:rsidP="00CE5E37">
      <w:pPr>
        <w:pStyle w:val="SingleTxtG"/>
      </w:pPr>
      <w:r w:rsidRPr="005429F0">
        <w:t>13.</w:t>
      </w:r>
      <w:r w:rsidRPr="005429F0">
        <w:tab/>
        <w:t xml:space="preserve">The Latvian authorities continue their efforts to decrease also the number of older non-citizen children. Among the largest campaigns carried out in the last two years was sending personal written invitations to parents of non-citizen children to register citizenship. From 1 January 2018, to 30 June 2019, invitations </w:t>
      </w:r>
      <w:proofErr w:type="gramStart"/>
      <w:r w:rsidRPr="005429F0">
        <w:t>were sent</w:t>
      </w:r>
      <w:proofErr w:type="gramEnd"/>
      <w:r w:rsidRPr="005429F0">
        <w:t xml:space="preserve"> regarding 1913 children. </w:t>
      </w:r>
    </w:p>
    <w:p w:rsidR="00644309" w:rsidRPr="005429F0" w:rsidRDefault="00644309" w:rsidP="00CE5E37">
      <w:pPr>
        <w:pStyle w:val="H23G"/>
        <w:spacing w:after="240"/>
      </w:pPr>
      <w:r w:rsidRPr="005429F0">
        <w:tab/>
      </w:r>
      <w:r w:rsidRPr="005429F0">
        <w:tab/>
        <w:t>Number of children born after 21 August 1991, who are entitled to ac</w:t>
      </w:r>
      <w:r w:rsidR="00CE5E37" w:rsidRPr="005429F0">
        <w:t>quire Latvian citizenship, 2015–</w:t>
      </w:r>
      <w:r w:rsidRPr="005429F0">
        <w:t>2018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727"/>
        <w:gridCol w:w="4643"/>
      </w:tblGrid>
      <w:tr w:rsidR="00644309" w:rsidRPr="005429F0" w:rsidTr="00CB1C90">
        <w:trPr>
          <w:tblHeader/>
        </w:trPr>
        <w:tc>
          <w:tcPr>
            <w:tcW w:w="2830" w:type="dxa"/>
            <w:tcBorders>
              <w:top w:val="single" w:sz="4" w:space="0" w:color="auto"/>
              <w:bottom w:val="single" w:sz="12" w:space="0" w:color="auto"/>
            </w:tcBorders>
            <w:shd w:val="clear" w:color="auto" w:fill="auto"/>
            <w:vAlign w:val="bottom"/>
            <w:hideMark/>
          </w:tcPr>
          <w:p w:rsidR="00644309" w:rsidRPr="005429F0" w:rsidRDefault="00644309" w:rsidP="00CB1C90">
            <w:pPr>
              <w:suppressAutoHyphens w:val="0"/>
              <w:spacing w:before="80" w:after="80" w:line="200" w:lineRule="exact"/>
              <w:ind w:right="113"/>
              <w:rPr>
                <w:i/>
                <w:sz w:val="16"/>
              </w:rPr>
            </w:pPr>
            <w:r w:rsidRPr="005429F0">
              <w:rPr>
                <w:i/>
                <w:sz w:val="16"/>
              </w:rPr>
              <w:t>Year</w:t>
            </w:r>
          </w:p>
        </w:tc>
        <w:tc>
          <w:tcPr>
            <w:tcW w:w="4820" w:type="dxa"/>
            <w:tcBorders>
              <w:top w:val="single" w:sz="4" w:space="0" w:color="auto"/>
              <w:bottom w:val="single" w:sz="12" w:space="0" w:color="auto"/>
            </w:tcBorders>
            <w:shd w:val="clear" w:color="auto" w:fill="auto"/>
            <w:vAlign w:val="bottom"/>
            <w:hideMark/>
          </w:tcPr>
          <w:p w:rsidR="00644309" w:rsidRPr="005429F0" w:rsidRDefault="00644309" w:rsidP="00CB1C90">
            <w:pPr>
              <w:suppressAutoHyphens w:val="0"/>
              <w:spacing w:before="80" w:after="80" w:line="200" w:lineRule="exact"/>
              <w:ind w:right="113"/>
              <w:jc w:val="right"/>
              <w:rPr>
                <w:i/>
                <w:sz w:val="16"/>
              </w:rPr>
            </w:pPr>
            <w:r w:rsidRPr="005429F0">
              <w:rPr>
                <w:i/>
                <w:sz w:val="16"/>
              </w:rPr>
              <w:t>Number of children of non-citizens</w:t>
            </w:r>
          </w:p>
        </w:tc>
      </w:tr>
      <w:tr w:rsidR="00644309" w:rsidRPr="005429F0" w:rsidTr="00CB1C90">
        <w:tc>
          <w:tcPr>
            <w:tcW w:w="2830" w:type="dxa"/>
            <w:tcBorders>
              <w:top w:val="single" w:sz="12" w:space="0" w:color="auto"/>
            </w:tcBorders>
            <w:shd w:val="clear" w:color="auto" w:fill="auto"/>
            <w:hideMark/>
          </w:tcPr>
          <w:p w:rsidR="00644309" w:rsidRPr="005429F0" w:rsidRDefault="00644309" w:rsidP="00CB1C90">
            <w:pPr>
              <w:suppressAutoHyphens w:val="0"/>
              <w:spacing w:before="40" w:after="40" w:line="220" w:lineRule="exact"/>
              <w:ind w:right="113"/>
              <w:rPr>
                <w:sz w:val="18"/>
              </w:rPr>
            </w:pPr>
            <w:r w:rsidRPr="005429F0">
              <w:rPr>
                <w:sz w:val="18"/>
              </w:rPr>
              <w:t>2015</w:t>
            </w:r>
          </w:p>
        </w:tc>
        <w:tc>
          <w:tcPr>
            <w:tcW w:w="4820" w:type="dxa"/>
            <w:tcBorders>
              <w:top w:val="single" w:sz="12" w:space="0" w:color="auto"/>
            </w:tcBorders>
            <w:shd w:val="clear" w:color="auto" w:fill="auto"/>
            <w:vAlign w:val="bottom"/>
            <w:hideMark/>
          </w:tcPr>
          <w:p w:rsidR="00644309" w:rsidRPr="005429F0" w:rsidRDefault="00644309" w:rsidP="00CB1C90">
            <w:pPr>
              <w:suppressAutoHyphens w:val="0"/>
              <w:spacing w:before="40" w:after="40" w:line="220" w:lineRule="exact"/>
              <w:ind w:right="113"/>
              <w:jc w:val="right"/>
              <w:rPr>
                <w:sz w:val="18"/>
              </w:rPr>
            </w:pPr>
            <w:r w:rsidRPr="005429F0">
              <w:rPr>
                <w:sz w:val="18"/>
              </w:rPr>
              <w:t>6</w:t>
            </w:r>
            <w:r w:rsidR="00CB1C90" w:rsidRPr="005429F0">
              <w:rPr>
                <w:sz w:val="18"/>
              </w:rPr>
              <w:t xml:space="preserve"> </w:t>
            </w:r>
            <w:r w:rsidRPr="005429F0">
              <w:rPr>
                <w:sz w:val="18"/>
              </w:rPr>
              <w:t>914</w:t>
            </w:r>
          </w:p>
        </w:tc>
      </w:tr>
      <w:tr w:rsidR="00644309" w:rsidRPr="005429F0" w:rsidTr="00CB1C90">
        <w:tc>
          <w:tcPr>
            <w:tcW w:w="2830" w:type="dxa"/>
            <w:shd w:val="clear" w:color="auto" w:fill="auto"/>
            <w:hideMark/>
          </w:tcPr>
          <w:p w:rsidR="00644309" w:rsidRPr="005429F0" w:rsidRDefault="00644309" w:rsidP="00CB1C90">
            <w:pPr>
              <w:suppressAutoHyphens w:val="0"/>
              <w:spacing w:before="40" w:after="40" w:line="220" w:lineRule="exact"/>
              <w:ind w:right="113"/>
              <w:rPr>
                <w:sz w:val="18"/>
              </w:rPr>
            </w:pPr>
            <w:r w:rsidRPr="005429F0">
              <w:rPr>
                <w:sz w:val="18"/>
              </w:rPr>
              <w:t>2016</w:t>
            </w:r>
          </w:p>
        </w:tc>
        <w:tc>
          <w:tcPr>
            <w:tcW w:w="4820" w:type="dxa"/>
            <w:shd w:val="clear" w:color="auto" w:fill="auto"/>
            <w:vAlign w:val="bottom"/>
            <w:hideMark/>
          </w:tcPr>
          <w:p w:rsidR="00644309" w:rsidRPr="005429F0" w:rsidRDefault="00644309" w:rsidP="00CB1C90">
            <w:pPr>
              <w:suppressAutoHyphens w:val="0"/>
              <w:spacing w:before="40" w:after="40" w:line="220" w:lineRule="exact"/>
              <w:ind w:right="113"/>
              <w:jc w:val="right"/>
              <w:rPr>
                <w:sz w:val="18"/>
              </w:rPr>
            </w:pPr>
            <w:r w:rsidRPr="005429F0">
              <w:rPr>
                <w:sz w:val="18"/>
              </w:rPr>
              <w:t>6</w:t>
            </w:r>
            <w:r w:rsidR="00CB1C90" w:rsidRPr="005429F0">
              <w:rPr>
                <w:sz w:val="18"/>
              </w:rPr>
              <w:t xml:space="preserve"> </w:t>
            </w:r>
            <w:r w:rsidRPr="005429F0">
              <w:rPr>
                <w:sz w:val="18"/>
              </w:rPr>
              <w:t>107</w:t>
            </w:r>
          </w:p>
        </w:tc>
      </w:tr>
      <w:tr w:rsidR="00644309" w:rsidRPr="005429F0" w:rsidTr="00CB1C90">
        <w:tc>
          <w:tcPr>
            <w:tcW w:w="2830" w:type="dxa"/>
            <w:shd w:val="clear" w:color="auto" w:fill="auto"/>
          </w:tcPr>
          <w:p w:rsidR="00644309" w:rsidRPr="005429F0" w:rsidRDefault="00644309" w:rsidP="00CB1C90">
            <w:pPr>
              <w:suppressAutoHyphens w:val="0"/>
              <w:spacing w:before="40" w:after="40" w:line="220" w:lineRule="exact"/>
              <w:ind w:right="113"/>
              <w:rPr>
                <w:sz w:val="18"/>
              </w:rPr>
            </w:pPr>
            <w:r w:rsidRPr="005429F0">
              <w:rPr>
                <w:sz w:val="18"/>
              </w:rPr>
              <w:t>2017</w:t>
            </w:r>
          </w:p>
        </w:tc>
        <w:tc>
          <w:tcPr>
            <w:tcW w:w="4820" w:type="dxa"/>
            <w:shd w:val="clear" w:color="auto" w:fill="auto"/>
            <w:vAlign w:val="bottom"/>
          </w:tcPr>
          <w:p w:rsidR="00644309" w:rsidRPr="005429F0" w:rsidRDefault="00644309" w:rsidP="00CB1C90">
            <w:pPr>
              <w:suppressAutoHyphens w:val="0"/>
              <w:spacing w:before="40" w:after="40" w:line="220" w:lineRule="exact"/>
              <w:ind w:right="113"/>
              <w:jc w:val="right"/>
              <w:rPr>
                <w:sz w:val="18"/>
              </w:rPr>
            </w:pPr>
            <w:r w:rsidRPr="005429F0">
              <w:rPr>
                <w:sz w:val="18"/>
              </w:rPr>
              <w:t>5</w:t>
            </w:r>
            <w:r w:rsidR="00CB1C90" w:rsidRPr="005429F0">
              <w:rPr>
                <w:sz w:val="18"/>
              </w:rPr>
              <w:t xml:space="preserve"> </w:t>
            </w:r>
            <w:r w:rsidRPr="005429F0">
              <w:rPr>
                <w:sz w:val="18"/>
              </w:rPr>
              <w:t>260</w:t>
            </w:r>
          </w:p>
        </w:tc>
      </w:tr>
      <w:tr w:rsidR="00644309" w:rsidRPr="005429F0" w:rsidTr="00CB1C90">
        <w:tc>
          <w:tcPr>
            <w:tcW w:w="2830" w:type="dxa"/>
            <w:shd w:val="clear" w:color="auto" w:fill="auto"/>
          </w:tcPr>
          <w:p w:rsidR="00644309" w:rsidRPr="005429F0" w:rsidRDefault="00644309" w:rsidP="00CB1C90">
            <w:pPr>
              <w:suppressAutoHyphens w:val="0"/>
              <w:spacing w:before="40" w:after="40" w:line="220" w:lineRule="exact"/>
              <w:ind w:right="113"/>
              <w:rPr>
                <w:sz w:val="18"/>
              </w:rPr>
            </w:pPr>
            <w:r w:rsidRPr="005429F0">
              <w:rPr>
                <w:sz w:val="18"/>
              </w:rPr>
              <w:t>2018</w:t>
            </w:r>
          </w:p>
        </w:tc>
        <w:tc>
          <w:tcPr>
            <w:tcW w:w="4820" w:type="dxa"/>
            <w:shd w:val="clear" w:color="auto" w:fill="auto"/>
            <w:vAlign w:val="bottom"/>
          </w:tcPr>
          <w:p w:rsidR="00644309" w:rsidRPr="005429F0" w:rsidRDefault="00644309" w:rsidP="00CB1C90">
            <w:pPr>
              <w:suppressAutoHyphens w:val="0"/>
              <w:spacing w:before="40" w:after="40" w:line="220" w:lineRule="exact"/>
              <w:ind w:right="113"/>
              <w:jc w:val="right"/>
              <w:rPr>
                <w:sz w:val="18"/>
              </w:rPr>
            </w:pPr>
            <w:r w:rsidRPr="005429F0">
              <w:rPr>
                <w:sz w:val="18"/>
              </w:rPr>
              <w:t>4 383</w:t>
            </w:r>
          </w:p>
        </w:tc>
      </w:tr>
    </w:tbl>
    <w:p w:rsidR="00644309" w:rsidRPr="005429F0" w:rsidRDefault="00644309" w:rsidP="00CB1C90">
      <w:pPr>
        <w:spacing w:before="120"/>
        <w:ind w:left="1134" w:right="1134" w:firstLine="170"/>
        <w:rPr>
          <w:sz w:val="18"/>
        </w:rPr>
      </w:pPr>
      <w:r w:rsidRPr="005429F0">
        <w:rPr>
          <w:i/>
          <w:iCs/>
          <w:sz w:val="18"/>
        </w:rPr>
        <w:t>Source</w:t>
      </w:r>
      <w:r w:rsidRPr="005429F0">
        <w:rPr>
          <w:sz w:val="18"/>
        </w:rPr>
        <w:t xml:space="preserve">: </w:t>
      </w:r>
      <w:r w:rsidR="00CB1C90" w:rsidRPr="005429F0">
        <w:rPr>
          <w:sz w:val="18"/>
        </w:rPr>
        <w:t xml:space="preserve"> </w:t>
      </w:r>
      <w:r w:rsidRPr="005429F0">
        <w:rPr>
          <w:sz w:val="18"/>
        </w:rPr>
        <w:t>Office of Citizenship and Migration Affairs.</w:t>
      </w:r>
    </w:p>
    <w:p w:rsidR="00644309" w:rsidRPr="005429F0" w:rsidRDefault="00644309" w:rsidP="005429F0">
      <w:pPr>
        <w:pStyle w:val="H23G"/>
        <w:spacing w:after="240"/>
      </w:pPr>
      <w:r w:rsidRPr="005429F0">
        <w:tab/>
      </w:r>
      <w:r w:rsidRPr="005429F0">
        <w:tab/>
        <w:t xml:space="preserve">Number of children of non-citizens, to whom Latvian citizenship </w:t>
      </w:r>
      <w:proofErr w:type="gramStart"/>
      <w:r w:rsidRPr="005429F0">
        <w:t>has been granted</w:t>
      </w:r>
      <w:proofErr w:type="gramEnd"/>
      <w:r w:rsidRPr="005429F0">
        <w:t>, 2010</w:t>
      </w:r>
      <w:r w:rsidR="005429F0">
        <w:t>–</w:t>
      </w:r>
      <w:r w:rsidRPr="005429F0">
        <w:t>2018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903"/>
        <w:gridCol w:w="1133"/>
        <w:gridCol w:w="1792"/>
        <w:gridCol w:w="1172"/>
        <w:gridCol w:w="1236"/>
      </w:tblGrid>
      <w:tr w:rsidR="00644309" w:rsidRPr="005429F0" w:rsidTr="002F2126">
        <w:trPr>
          <w:tblHeader/>
        </w:trPr>
        <w:tc>
          <w:tcPr>
            <w:tcW w:w="1134" w:type="dxa"/>
            <w:vMerge w:val="restart"/>
            <w:tcBorders>
              <w:top w:val="single" w:sz="4" w:space="0" w:color="auto"/>
              <w:bottom w:val="single" w:sz="12" w:space="0" w:color="auto"/>
            </w:tcBorders>
            <w:shd w:val="clear" w:color="auto" w:fill="auto"/>
            <w:vAlign w:val="bottom"/>
          </w:tcPr>
          <w:p w:rsidR="00644309" w:rsidRPr="005429F0" w:rsidRDefault="00644309" w:rsidP="00B01FA4">
            <w:pPr>
              <w:suppressAutoHyphens w:val="0"/>
              <w:spacing w:before="80" w:after="80" w:line="200" w:lineRule="exact"/>
              <w:ind w:right="113"/>
              <w:rPr>
                <w:i/>
                <w:sz w:val="16"/>
              </w:rPr>
            </w:pPr>
            <w:r w:rsidRPr="005429F0">
              <w:rPr>
                <w:i/>
                <w:sz w:val="16"/>
              </w:rPr>
              <w:t>Year</w:t>
            </w:r>
          </w:p>
        </w:tc>
        <w:tc>
          <w:tcPr>
            <w:tcW w:w="3828" w:type="dxa"/>
            <w:gridSpan w:val="3"/>
            <w:tcBorders>
              <w:top w:val="single" w:sz="4" w:space="0" w:color="auto"/>
              <w:bottom w:val="single" w:sz="4" w:space="0" w:color="auto"/>
              <w:right w:val="single" w:sz="24" w:space="0" w:color="FFFFFF" w:themeColor="background1"/>
            </w:tcBorders>
            <w:shd w:val="clear" w:color="auto" w:fill="auto"/>
            <w:vAlign w:val="bottom"/>
            <w:hideMark/>
          </w:tcPr>
          <w:p w:rsidR="00644309" w:rsidRPr="005429F0" w:rsidRDefault="00644309" w:rsidP="002F2126">
            <w:pPr>
              <w:suppressAutoHyphens w:val="0"/>
              <w:spacing w:before="80" w:after="80" w:line="200" w:lineRule="exact"/>
              <w:ind w:right="113"/>
              <w:jc w:val="center"/>
              <w:rPr>
                <w:i/>
                <w:sz w:val="16"/>
              </w:rPr>
            </w:pPr>
            <w:r w:rsidRPr="005429F0">
              <w:rPr>
                <w:i/>
                <w:sz w:val="16"/>
              </w:rPr>
              <w:t>Number of children to 15 years of age</w:t>
            </w:r>
          </w:p>
        </w:tc>
        <w:tc>
          <w:tcPr>
            <w:tcW w:w="2408" w:type="dxa"/>
            <w:gridSpan w:val="2"/>
            <w:tcBorders>
              <w:top w:val="single" w:sz="4" w:space="0" w:color="auto"/>
              <w:left w:val="single" w:sz="24" w:space="0" w:color="FFFFFF" w:themeColor="background1"/>
              <w:bottom w:val="single" w:sz="4" w:space="0" w:color="auto"/>
            </w:tcBorders>
            <w:shd w:val="clear" w:color="auto" w:fill="auto"/>
            <w:vAlign w:val="bottom"/>
            <w:hideMark/>
          </w:tcPr>
          <w:p w:rsidR="00644309" w:rsidRPr="005429F0" w:rsidRDefault="00644309" w:rsidP="002F2126">
            <w:pPr>
              <w:suppressAutoHyphens w:val="0"/>
              <w:spacing w:before="80" w:after="80" w:line="200" w:lineRule="exact"/>
              <w:ind w:right="113"/>
              <w:jc w:val="center"/>
              <w:rPr>
                <w:i/>
                <w:sz w:val="16"/>
              </w:rPr>
            </w:pPr>
            <w:r w:rsidRPr="005429F0">
              <w:rPr>
                <w:i/>
                <w:sz w:val="16"/>
              </w:rPr>
              <w:t>Number of children 15 to 18 years of age</w:t>
            </w:r>
          </w:p>
        </w:tc>
      </w:tr>
      <w:tr w:rsidR="00644309" w:rsidRPr="005429F0" w:rsidTr="002F2126">
        <w:trPr>
          <w:tblHeader/>
        </w:trPr>
        <w:tc>
          <w:tcPr>
            <w:tcW w:w="1134" w:type="dxa"/>
            <w:vMerge/>
            <w:tcBorders>
              <w:bottom w:val="nil"/>
            </w:tcBorders>
            <w:shd w:val="clear" w:color="auto" w:fill="auto"/>
            <w:vAlign w:val="bottom"/>
            <w:hideMark/>
          </w:tcPr>
          <w:p w:rsidR="00644309" w:rsidRPr="005429F0" w:rsidRDefault="00644309" w:rsidP="003E0A4F">
            <w:pPr>
              <w:suppressAutoHyphens w:val="0"/>
              <w:spacing w:before="40" w:after="40" w:line="220" w:lineRule="exact"/>
              <w:ind w:right="113"/>
              <w:rPr>
                <w:sz w:val="18"/>
              </w:rPr>
            </w:pPr>
          </w:p>
        </w:tc>
        <w:tc>
          <w:tcPr>
            <w:tcW w:w="903" w:type="dxa"/>
            <w:tcBorders>
              <w:top w:val="single" w:sz="4" w:space="0" w:color="auto"/>
              <w:bottom w:val="single" w:sz="12" w:space="0" w:color="auto"/>
            </w:tcBorders>
            <w:shd w:val="clear" w:color="auto" w:fill="auto"/>
            <w:vAlign w:val="bottom"/>
            <w:hideMark/>
          </w:tcPr>
          <w:p w:rsidR="00644309" w:rsidRPr="005429F0" w:rsidRDefault="00644309" w:rsidP="000D4746">
            <w:pPr>
              <w:suppressAutoHyphens w:val="0"/>
              <w:spacing w:before="80" w:after="80" w:line="200" w:lineRule="exact"/>
              <w:ind w:right="113"/>
              <w:jc w:val="right"/>
              <w:rPr>
                <w:i/>
                <w:iCs/>
                <w:sz w:val="16"/>
                <w:szCs w:val="16"/>
              </w:rPr>
            </w:pPr>
            <w:r w:rsidRPr="005429F0">
              <w:rPr>
                <w:i/>
                <w:iCs/>
                <w:sz w:val="16"/>
                <w:szCs w:val="16"/>
              </w:rPr>
              <w:t xml:space="preserve">Recognized as Latvian citizens </w:t>
            </w:r>
          </w:p>
        </w:tc>
        <w:tc>
          <w:tcPr>
            <w:tcW w:w="1133" w:type="dxa"/>
            <w:tcBorders>
              <w:top w:val="single" w:sz="4" w:space="0" w:color="auto"/>
              <w:bottom w:val="single" w:sz="12" w:space="0" w:color="auto"/>
            </w:tcBorders>
            <w:shd w:val="clear" w:color="auto" w:fill="auto"/>
            <w:vAlign w:val="bottom"/>
            <w:hideMark/>
          </w:tcPr>
          <w:p w:rsidR="00644309" w:rsidRPr="005429F0" w:rsidRDefault="00644309" w:rsidP="0048070D">
            <w:pPr>
              <w:suppressAutoHyphens w:val="0"/>
              <w:spacing w:before="80" w:after="80" w:line="200" w:lineRule="exact"/>
              <w:ind w:right="113"/>
              <w:jc w:val="right"/>
              <w:rPr>
                <w:i/>
                <w:iCs/>
                <w:sz w:val="16"/>
                <w:szCs w:val="16"/>
              </w:rPr>
            </w:pPr>
            <w:r w:rsidRPr="005429F0">
              <w:rPr>
                <w:i/>
                <w:iCs/>
                <w:sz w:val="16"/>
                <w:szCs w:val="16"/>
              </w:rPr>
              <w:t>Citizenship acquired when one of parents naturali</w:t>
            </w:r>
            <w:r w:rsidR="0048070D" w:rsidRPr="005429F0">
              <w:rPr>
                <w:i/>
                <w:iCs/>
                <w:sz w:val="16"/>
                <w:szCs w:val="16"/>
              </w:rPr>
              <w:t>z</w:t>
            </w:r>
            <w:r w:rsidRPr="005429F0">
              <w:rPr>
                <w:i/>
                <w:iCs/>
                <w:sz w:val="16"/>
                <w:szCs w:val="16"/>
              </w:rPr>
              <w:t>ed</w:t>
            </w:r>
          </w:p>
        </w:tc>
        <w:tc>
          <w:tcPr>
            <w:tcW w:w="1792" w:type="dxa"/>
            <w:tcBorders>
              <w:top w:val="single" w:sz="4" w:space="0" w:color="auto"/>
              <w:bottom w:val="single" w:sz="12" w:space="0" w:color="auto"/>
              <w:right w:val="single" w:sz="24" w:space="0" w:color="FFFFFF" w:themeColor="background1"/>
            </w:tcBorders>
            <w:shd w:val="clear" w:color="auto" w:fill="auto"/>
            <w:vAlign w:val="bottom"/>
            <w:hideMark/>
          </w:tcPr>
          <w:p w:rsidR="00644309" w:rsidRPr="005429F0" w:rsidRDefault="00644309" w:rsidP="000D4746">
            <w:pPr>
              <w:suppressAutoHyphens w:val="0"/>
              <w:spacing w:before="80" w:after="80" w:line="200" w:lineRule="exact"/>
              <w:ind w:right="113"/>
              <w:jc w:val="right"/>
              <w:rPr>
                <w:i/>
                <w:iCs/>
                <w:sz w:val="16"/>
                <w:szCs w:val="16"/>
              </w:rPr>
            </w:pPr>
            <w:r w:rsidRPr="005429F0">
              <w:rPr>
                <w:i/>
                <w:iCs/>
                <w:sz w:val="16"/>
                <w:szCs w:val="16"/>
              </w:rPr>
              <w:t>Citizenship acquired upon registering the status of a Latvian citizen to one of parents</w:t>
            </w:r>
          </w:p>
        </w:tc>
        <w:tc>
          <w:tcPr>
            <w:tcW w:w="1172" w:type="dxa"/>
            <w:tcBorders>
              <w:top w:val="single" w:sz="4" w:space="0" w:color="auto"/>
              <w:left w:val="single" w:sz="24" w:space="0" w:color="FFFFFF" w:themeColor="background1"/>
              <w:bottom w:val="single" w:sz="12" w:space="0" w:color="auto"/>
            </w:tcBorders>
            <w:shd w:val="clear" w:color="auto" w:fill="auto"/>
            <w:vAlign w:val="bottom"/>
            <w:hideMark/>
          </w:tcPr>
          <w:p w:rsidR="00644309" w:rsidRPr="005429F0" w:rsidRDefault="00644309" w:rsidP="000D4746">
            <w:pPr>
              <w:suppressAutoHyphens w:val="0"/>
              <w:spacing w:before="80" w:after="80" w:line="200" w:lineRule="exact"/>
              <w:ind w:right="113"/>
              <w:jc w:val="right"/>
              <w:rPr>
                <w:i/>
                <w:iCs/>
                <w:sz w:val="16"/>
                <w:szCs w:val="16"/>
              </w:rPr>
            </w:pPr>
            <w:r w:rsidRPr="005429F0">
              <w:rPr>
                <w:i/>
                <w:iCs/>
                <w:sz w:val="16"/>
                <w:szCs w:val="16"/>
              </w:rPr>
              <w:t>Citize</w:t>
            </w:r>
            <w:r w:rsidR="0048070D" w:rsidRPr="005429F0">
              <w:rPr>
                <w:i/>
                <w:iCs/>
                <w:sz w:val="16"/>
                <w:szCs w:val="16"/>
              </w:rPr>
              <w:t>nship acquired through naturaliz</w:t>
            </w:r>
            <w:r w:rsidRPr="005429F0">
              <w:rPr>
                <w:i/>
                <w:iCs/>
                <w:sz w:val="16"/>
                <w:szCs w:val="16"/>
              </w:rPr>
              <w:t xml:space="preserve">ation </w:t>
            </w:r>
          </w:p>
        </w:tc>
        <w:tc>
          <w:tcPr>
            <w:tcW w:w="1236" w:type="dxa"/>
            <w:tcBorders>
              <w:top w:val="single" w:sz="4" w:space="0" w:color="auto"/>
              <w:bottom w:val="single" w:sz="12" w:space="0" w:color="auto"/>
            </w:tcBorders>
            <w:shd w:val="clear" w:color="auto" w:fill="auto"/>
            <w:vAlign w:val="bottom"/>
            <w:hideMark/>
          </w:tcPr>
          <w:p w:rsidR="00644309" w:rsidRPr="005429F0" w:rsidRDefault="00644309" w:rsidP="000D4746">
            <w:pPr>
              <w:suppressAutoHyphens w:val="0"/>
              <w:spacing w:before="80" w:after="80" w:line="200" w:lineRule="exact"/>
              <w:ind w:right="113"/>
              <w:jc w:val="right"/>
              <w:rPr>
                <w:i/>
                <w:iCs/>
                <w:sz w:val="16"/>
                <w:szCs w:val="16"/>
              </w:rPr>
            </w:pPr>
            <w:r w:rsidRPr="005429F0">
              <w:rPr>
                <w:i/>
                <w:iCs/>
                <w:sz w:val="16"/>
                <w:szCs w:val="16"/>
              </w:rPr>
              <w:t xml:space="preserve">Citizenship acquired in through registration </w:t>
            </w:r>
          </w:p>
        </w:tc>
      </w:tr>
      <w:tr w:rsidR="00644309" w:rsidRPr="005429F0" w:rsidTr="002F2126">
        <w:tc>
          <w:tcPr>
            <w:tcW w:w="1134" w:type="dxa"/>
            <w:tcBorders>
              <w:top w:val="nil"/>
              <w:bottom w:val="nil"/>
            </w:tcBorders>
            <w:shd w:val="clear" w:color="auto" w:fill="auto"/>
            <w:hideMark/>
          </w:tcPr>
          <w:p w:rsidR="00644309" w:rsidRPr="005429F0" w:rsidRDefault="00644309" w:rsidP="003E0A4F">
            <w:pPr>
              <w:suppressAutoHyphens w:val="0"/>
              <w:spacing w:before="40" w:after="40" w:line="220" w:lineRule="exact"/>
              <w:ind w:right="113"/>
              <w:rPr>
                <w:sz w:val="18"/>
              </w:rPr>
            </w:pPr>
            <w:r w:rsidRPr="005429F0">
              <w:rPr>
                <w:sz w:val="18"/>
              </w:rPr>
              <w:t>2010</w:t>
            </w:r>
          </w:p>
        </w:tc>
        <w:tc>
          <w:tcPr>
            <w:tcW w:w="903" w:type="dxa"/>
            <w:tcBorders>
              <w:top w:val="single" w:sz="12" w:space="0" w:color="auto"/>
              <w:bottom w:val="nil"/>
            </w:tcBorders>
            <w:shd w:val="clear" w:color="auto" w:fill="auto"/>
            <w:vAlign w:val="bottom"/>
            <w:hideMark/>
          </w:tcPr>
          <w:p w:rsidR="00644309" w:rsidRPr="005429F0" w:rsidRDefault="00644309" w:rsidP="003E0A4F">
            <w:pPr>
              <w:suppressAutoHyphens w:val="0"/>
              <w:spacing w:before="40" w:after="40" w:line="220" w:lineRule="exact"/>
              <w:ind w:right="113"/>
              <w:jc w:val="right"/>
              <w:rPr>
                <w:sz w:val="18"/>
              </w:rPr>
            </w:pPr>
            <w:r w:rsidRPr="005429F0">
              <w:rPr>
                <w:sz w:val="18"/>
              </w:rPr>
              <w:t>445</w:t>
            </w:r>
          </w:p>
        </w:tc>
        <w:tc>
          <w:tcPr>
            <w:tcW w:w="1133" w:type="dxa"/>
            <w:vMerge w:val="restart"/>
            <w:tcBorders>
              <w:top w:val="single" w:sz="12" w:space="0" w:color="auto"/>
              <w:bottom w:val="nil"/>
            </w:tcBorders>
            <w:shd w:val="clear" w:color="auto" w:fill="auto"/>
            <w:vAlign w:val="bottom"/>
          </w:tcPr>
          <w:p w:rsidR="00644309" w:rsidRPr="005429F0" w:rsidRDefault="00644309" w:rsidP="003E0A4F">
            <w:pPr>
              <w:suppressAutoHyphens w:val="0"/>
              <w:spacing w:before="40" w:after="40" w:line="220" w:lineRule="exact"/>
              <w:ind w:right="113"/>
              <w:jc w:val="right"/>
              <w:rPr>
                <w:sz w:val="18"/>
              </w:rPr>
            </w:pPr>
            <w:r w:rsidRPr="005429F0">
              <w:rPr>
                <w:sz w:val="18"/>
              </w:rPr>
              <w:t>655</w:t>
            </w:r>
          </w:p>
        </w:tc>
        <w:tc>
          <w:tcPr>
            <w:tcW w:w="1792" w:type="dxa"/>
            <w:vMerge w:val="restart"/>
            <w:tcBorders>
              <w:top w:val="single" w:sz="12" w:space="0" w:color="auto"/>
              <w:bottom w:val="nil"/>
            </w:tcBorders>
            <w:shd w:val="clear" w:color="auto" w:fill="auto"/>
            <w:vAlign w:val="bottom"/>
          </w:tcPr>
          <w:p w:rsidR="00644309" w:rsidRPr="005429F0" w:rsidRDefault="00644309" w:rsidP="003E0A4F">
            <w:pPr>
              <w:suppressAutoHyphens w:val="0"/>
              <w:spacing w:before="40" w:after="40" w:line="220" w:lineRule="exact"/>
              <w:ind w:right="113"/>
              <w:jc w:val="right"/>
              <w:rPr>
                <w:sz w:val="18"/>
              </w:rPr>
            </w:pPr>
            <w:r w:rsidRPr="005429F0">
              <w:rPr>
                <w:sz w:val="18"/>
              </w:rPr>
              <w:t>154</w:t>
            </w:r>
          </w:p>
        </w:tc>
        <w:tc>
          <w:tcPr>
            <w:tcW w:w="1172" w:type="dxa"/>
            <w:vMerge w:val="restart"/>
            <w:tcBorders>
              <w:top w:val="single" w:sz="12" w:space="0" w:color="auto"/>
              <w:bottom w:val="nil"/>
            </w:tcBorders>
            <w:shd w:val="clear" w:color="auto" w:fill="auto"/>
            <w:vAlign w:val="bottom"/>
            <w:hideMark/>
          </w:tcPr>
          <w:p w:rsidR="00644309" w:rsidRPr="005429F0" w:rsidRDefault="00644309" w:rsidP="003E0A4F">
            <w:pPr>
              <w:suppressAutoHyphens w:val="0"/>
              <w:spacing w:before="40" w:after="40" w:line="220" w:lineRule="exact"/>
              <w:ind w:right="113"/>
              <w:jc w:val="right"/>
              <w:rPr>
                <w:sz w:val="18"/>
              </w:rPr>
            </w:pPr>
            <w:r w:rsidRPr="005429F0">
              <w:rPr>
                <w:sz w:val="18"/>
              </w:rPr>
              <w:t>450</w:t>
            </w:r>
          </w:p>
        </w:tc>
        <w:tc>
          <w:tcPr>
            <w:tcW w:w="1236" w:type="dxa"/>
            <w:vMerge w:val="restart"/>
            <w:tcBorders>
              <w:top w:val="single" w:sz="12" w:space="0" w:color="auto"/>
              <w:bottom w:val="nil"/>
            </w:tcBorders>
            <w:shd w:val="clear" w:color="auto" w:fill="auto"/>
            <w:vAlign w:val="bottom"/>
          </w:tcPr>
          <w:p w:rsidR="00644309" w:rsidRPr="005429F0" w:rsidRDefault="00644309" w:rsidP="003E0A4F">
            <w:pPr>
              <w:suppressAutoHyphens w:val="0"/>
              <w:spacing w:before="40" w:after="40" w:line="220" w:lineRule="exact"/>
              <w:ind w:right="113"/>
              <w:jc w:val="right"/>
              <w:rPr>
                <w:sz w:val="18"/>
              </w:rPr>
            </w:pPr>
            <w:r w:rsidRPr="005429F0">
              <w:rPr>
                <w:sz w:val="18"/>
              </w:rPr>
              <w:t>749</w:t>
            </w:r>
          </w:p>
        </w:tc>
      </w:tr>
      <w:tr w:rsidR="00644309" w:rsidRPr="005429F0" w:rsidTr="00A343A9">
        <w:tc>
          <w:tcPr>
            <w:tcW w:w="1134" w:type="dxa"/>
            <w:tcBorders>
              <w:top w:val="nil"/>
            </w:tcBorders>
            <w:shd w:val="clear" w:color="auto" w:fill="auto"/>
            <w:hideMark/>
          </w:tcPr>
          <w:p w:rsidR="00644309" w:rsidRPr="005429F0" w:rsidRDefault="00644309" w:rsidP="003E0A4F">
            <w:pPr>
              <w:suppressAutoHyphens w:val="0"/>
              <w:spacing w:before="40" w:after="40" w:line="220" w:lineRule="exact"/>
              <w:ind w:right="113"/>
              <w:rPr>
                <w:sz w:val="18"/>
              </w:rPr>
            </w:pPr>
            <w:r w:rsidRPr="005429F0">
              <w:rPr>
                <w:sz w:val="18"/>
              </w:rPr>
              <w:lastRenderedPageBreak/>
              <w:t>2011</w:t>
            </w:r>
          </w:p>
        </w:tc>
        <w:tc>
          <w:tcPr>
            <w:tcW w:w="903" w:type="dxa"/>
            <w:tcBorders>
              <w:top w:val="nil"/>
            </w:tcBorders>
            <w:shd w:val="clear" w:color="auto" w:fill="auto"/>
            <w:vAlign w:val="bottom"/>
            <w:hideMark/>
          </w:tcPr>
          <w:p w:rsidR="00644309" w:rsidRPr="005429F0" w:rsidRDefault="00644309" w:rsidP="003E0A4F">
            <w:pPr>
              <w:suppressAutoHyphens w:val="0"/>
              <w:spacing w:before="40" w:after="40" w:line="220" w:lineRule="exact"/>
              <w:ind w:right="113"/>
              <w:jc w:val="right"/>
              <w:rPr>
                <w:sz w:val="18"/>
              </w:rPr>
            </w:pPr>
            <w:r w:rsidRPr="005429F0">
              <w:rPr>
                <w:sz w:val="18"/>
              </w:rPr>
              <w:t>637</w:t>
            </w:r>
          </w:p>
        </w:tc>
        <w:tc>
          <w:tcPr>
            <w:tcW w:w="1133" w:type="dxa"/>
            <w:vMerge/>
            <w:tcBorders>
              <w:top w:val="nil"/>
            </w:tcBorders>
            <w:shd w:val="clear" w:color="auto" w:fill="auto"/>
            <w:vAlign w:val="bottom"/>
          </w:tcPr>
          <w:p w:rsidR="00644309" w:rsidRPr="005429F0" w:rsidRDefault="00644309" w:rsidP="003E0A4F">
            <w:pPr>
              <w:suppressAutoHyphens w:val="0"/>
              <w:spacing w:before="40" w:after="40" w:line="220" w:lineRule="exact"/>
              <w:ind w:right="113"/>
              <w:jc w:val="right"/>
              <w:rPr>
                <w:sz w:val="18"/>
              </w:rPr>
            </w:pPr>
          </w:p>
        </w:tc>
        <w:tc>
          <w:tcPr>
            <w:tcW w:w="1792" w:type="dxa"/>
            <w:vMerge/>
            <w:tcBorders>
              <w:top w:val="nil"/>
            </w:tcBorders>
            <w:shd w:val="clear" w:color="auto" w:fill="auto"/>
            <w:vAlign w:val="bottom"/>
          </w:tcPr>
          <w:p w:rsidR="00644309" w:rsidRPr="005429F0" w:rsidRDefault="00644309" w:rsidP="003E0A4F">
            <w:pPr>
              <w:suppressAutoHyphens w:val="0"/>
              <w:spacing w:before="40" w:after="40" w:line="220" w:lineRule="exact"/>
              <w:ind w:right="113"/>
              <w:jc w:val="right"/>
              <w:rPr>
                <w:sz w:val="18"/>
              </w:rPr>
            </w:pPr>
          </w:p>
        </w:tc>
        <w:tc>
          <w:tcPr>
            <w:tcW w:w="1172" w:type="dxa"/>
            <w:vMerge/>
            <w:tcBorders>
              <w:top w:val="nil"/>
            </w:tcBorders>
            <w:shd w:val="clear" w:color="auto" w:fill="auto"/>
            <w:vAlign w:val="bottom"/>
            <w:hideMark/>
          </w:tcPr>
          <w:p w:rsidR="00644309" w:rsidRPr="005429F0" w:rsidRDefault="00644309" w:rsidP="003E0A4F">
            <w:pPr>
              <w:suppressAutoHyphens w:val="0"/>
              <w:spacing w:before="40" w:after="40" w:line="220" w:lineRule="exact"/>
              <w:ind w:right="113"/>
              <w:jc w:val="right"/>
              <w:rPr>
                <w:sz w:val="18"/>
              </w:rPr>
            </w:pPr>
          </w:p>
        </w:tc>
        <w:tc>
          <w:tcPr>
            <w:tcW w:w="1236" w:type="dxa"/>
            <w:vMerge/>
            <w:tcBorders>
              <w:top w:val="nil"/>
            </w:tcBorders>
            <w:shd w:val="clear" w:color="auto" w:fill="auto"/>
            <w:vAlign w:val="bottom"/>
          </w:tcPr>
          <w:p w:rsidR="00644309" w:rsidRPr="005429F0" w:rsidRDefault="00644309" w:rsidP="003E0A4F">
            <w:pPr>
              <w:suppressAutoHyphens w:val="0"/>
              <w:spacing w:before="40" w:after="40" w:line="220" w:lineRule="exact"/>
              <w:ind w:right="113"/>
              <w:jc w:val="right"/>
              <w:rPr>
                <w:sz w:val="18"/>
              </w:rPr>
            </w:pPr>
          </w:p>
        </w:tc>
      </w:tr>
      <w:tr w:rsidR="00644309" w:rsidRPr="005429F0" w:rsidTr="00A343A9">
        <w:tc>
          <w:tcPr>
            <w:tcW w:w="1134" w:type="dxa"/>
            <w:shd w:val="clear" w:color="auto" w:fill="auto"/>
            <w:hideMark/>
          </w:tcPr>
          <w:p w:rsidR="00644309" w:rsidRPr="005429F0" w:rsidRDefault="00644309" w:rsidP="003E0A4F">
            <w:pPr>
              <w:suppressAutoHyphens w:val="0"/>
              <w:spacing w:before="40" w:after="40" w:line="220" w:lineRule="exact"/>
              <w:ind w:right="113"/>
              <w:rPr>
                <w:sz w:val="18"/>
              </w:rPr>
            </w:pPr>
            <w:r w:rsidRPr="005429F0">
              <w:rPr>
                <w:sz w:val="18"/>
              </w:rPr>
              <w:t>2012</w:t>
            </w:r>
          </w:p>
        </w:tc>
        <w:tc>
          <w:tcPr>
            <w:tcW w:w="903" w:type="dxa"/>
            <w:shd w:val="clear" w:color="auto" w:fill="auto"/>
            <w:vAlign w:val="bottom"/>
            <w:hideMark/>
          </w:tcPr>
          <w:p w:rsidR="00644309" w:rsidRPr="005429F0" w:rsidRDefault="00644309" w:rsidP="003E0A4F">
            <w:pPr>
              <w:suppressAutoHyphens w:val="0"/>
              <w:spacing w:before="40" w:after="40" w:line="220" w:lineRule="exact"/>
              <w:ind w:right="113"/>
              <w:jc w:val="right"/>
              <w:rPr>
                <w:sz w:val="18"/>
              </w:rPr>
            </w:pPr>
            <w:r w:rsidRPr="005429F0">
              <w:rPr>
                <w:sz w:val="18"/>
              </w:rPr>
              <w:t>718</w:t>
            </w:r>
          </w:p>
        </w:tc>
        <w:tc>
          <w:tcPr>
            <w:tcW w:w="1133" w:type="dxa"/>
            <w:vMerge/>
            <w:shd w:val="clear" w:color="auto" w:fill="auto"/>
            <w:vAlign w:val="bottom"/>
          </w:tcPr>
          <w:p w:rsidR="00644309" w:rsidRPr="005429F0" w:rsidRDefault="00644309" w:rsidP="003E0A4F">
            <w:pPr>
              <w:suppressAutoHyphens w:val="0"/>
              <w:spacing w:before="40" w:after="40" w:line="220" w:lineRule="exact"/>
              <w:ind w:right="113"/>
              <w:jc w:val="right"/>
              <w:rPr>
                <w:sz w:val="18"/>
              </w:rPr>
            </w:pPr>
          </w:p>
        </w:tc>
        <w:tc>
          <w:tcPr>
            <w:tcW w:w="1792" w:type="dxa"/>
            <w:vMerge/>
            <w:shd w:val="clear" w:color="auto" w:fill="auto"/>
            <w:vAlign w:val="bottom"/>
          </w:tcPr>
          <w:p w:rsidR="00644309" w:rsidRPr="005429F0" w:rsidRDefault="00644309" w:rsidP="003E0A4F">
            <w:pPr>
              <w:suppressAutoHyphens w:val="0"/>
              <w:spacing w:before="40" w:after="40" w:line="220" w:lineRule="exact"/>
              <w:ind w:right="113"/>
              <w:jc w:val="right"/>
              <w:rPr>
                <w:sz w:val="18"/>
              </w:rPr>
            </w:pPr>
          </w:p>
        </w:tc>
        <w:tc>
          <w:tcPr>
            <w:tcW w:w="1172" w:type="dxa"/>
            <w:vMerge/>
            <w:shd w:val="clear" w:color="auto" w:fill="auto"/>
            <w:vAlign w:val="bottom"/>
            <w:hideMark/>
          </w:tcPr>
          <w:p w:rsidR="00644309" w:rsidRPr="005429F0" w:rsidRDefault="00644309" w:rsidP="003E0A4F">
            <w:pPr>
              <w:suppressAutoHyphens w:val="0"/>
              <w:spacing w:before="40" w:after="40" w:line="220" w:lineRule="exact"/>
              <w:ind w:right="113"/>
              <w:jc w:val="right"/>
              <w:rPr>
                <w:sz w:val="18"/>
              </w:rPr>
            </w:pPr>
          </w:p>
        </w:tc>
        <w:tc>
          <w:tcPr>
            <w:tcW w:w="1236" w:type="dxa"/>
            <w:vMerge/>
            <w:shd w:val="clear" w:color="auto" w:fill="auto"/>
            <w:vAlign w:val="bottom"/>
          </w:tcPr>
          <w:p w:rsidR="00644309" w:rsidRPr="005429F0" w:rsidRDefault="00644309" w:rsidP="003E0A4F">
            <w:pPr>
              <w:suppressAutoHyphens w:val="0"/>
              <w:spacing w:before="40" w:after="40" w:line="220" w:lineRule="exact"/>
              <w:ind w:right="113"/>
              <w:jc w:val="right"/>
              <w:rPr>
                <w:sz w:val="18"/>
              </w:rPr>
            </w:pPr>
          </w:p>
        </w:tc>
      </w:tr>
      <w:tr w:rsidR="00644309" w:rsidRPr="005429F0" w:rsidTr="00A343A9">
        <w:tc>
          <w:tcPr>
            <w:tcW w:w="1134" w:type="dxa"/>
            <w:shd w:val="clear" w:color="auto" w:fill="auto"/>
            <w:hideMark/>
          </w:tcPr>
          <w:p w:rsidR="00644309" w:rsidRPr="005429F0" w:rsidRDefault="00644309" w:rsidP="003E0A4F">
            <w:pPr>
              <w:suppressAutoHyphens w:val="0"/>
              <w:spacing w:before="40" w:after="40" w:line="220" w:lineRule="exact"/>
              <w:ind w:right="113"/>
              <w:rPr>
                <w:sz w:val="18"/>
              </w:rPr>
            </w:pPr>
            <w:r w:rsidRPr="005429F0">
              <w:rPr>
                <w:sz w:val="18"/>
              </w:rPr>
              <w:t>2013</w:t>
            </w:r>
          </w:p>
        </w:tc>
        <w:tc>
          <w:tcPr>
            <w:tcW w:w="903" w:type="dxa"/>
            <w:shd w:val="clear" w:color="auto" w:fill="auto"/>
            <w:vAlign w:val="bottom"/>
            <w:hideMark/>
          </w:tcPr>
          <w:p w:rsidR="00644309" w:rsidRPr="005429F0" w:rsidRDefault="00644309" w:rsidP="003E0A4F">
            <w:pPr>
              <w:suppressAutoHyphens w:val="0"/>
              <w:spacing w:before="40" w:after="40" w:line="220" w:lineRule="exact"/>
              <w:ind w:right="113"/>
              <w:jc w:val="right"/>
              <w:rPr>
                <w:sz w:val="18"/>
              </w:rPr>
            </w:pPr>
            <w:r w:rsidRPr="005429F0">
              <w:rPr>
                <w:sz w:val="18"/>
              </w:rPr>
              <w:t>640</w:t>
            </w:r>
          </w:p>
        </w:tc>
        <w:tc>
          <w:tcPr>
            <w:tcW w:w="1133" w:type="dxa"/>
            <w:vMerge/>
            <w:shd w:val="clear" w:color="auto" w:fill="auto"/>
            <w:vAlign w:val="bottom"/>
          </w:tcPr>
          <w:p w:rsidR="00644309" w:rsidRPr="005429F0" w:rsidRDefault="00644309" w:rsidP="003E0A4F">
            <w:pPr>
              <w:suppressAutoHyphens w:val="0"/>
              <w:spacing w:before="40" w:after="40" w:line="220" w:lineRule="exact"/>
              <w:ind w:right="113"/>
              <w:jc w:val="right"/>
              <w:rPr>
                <w:sz w:val="18"/>
              </w:rPr>
            </w:pPr>
          </w:p>
        </w:tc>
        <w:tc>
          <w:tcPr>
            <w:tcW w:w="1792" w:type="dxa"/>
            <w:vMerge/>
            <w:shd w:val="clear" w:color="auto" w:fill="auto"/>
            <w:vAlign w:val="bottom"/>
          </w:tcPr>
          <w:p w:rsidR="00644309" w:rsidRPr="005429F0" w:rsidRDefault="00644309" w:rsidP="003E0A4F">
            <w:pPr>
              <w:suppressAutoHyphens w:val="0"/>
              <w:spacing w:before="40" w:after="40" w:line="220" w:lineRule="exact"/>
              <w:ind w:right="113"/>
              <w:jc w:val="right"/>
              <w:rPr>
                <w:sz w:val="18"/>
              </w:rPr>
            </w:pPr>
          </w:p>
        </w:tc>
        <w:tc>
          <w:tcPr>
            <w:tcW w:w="1172" w:type="dxa"/>
            <w:vMerge/>
            <w:shd w:val="clear" w:color="auto" w:fill="auto"/>
            <w:vAlign w:val="bottom"/>
          </w:tcPr>
          <w:p w:rsidR="00644309" w:rsidRPr="005429F0" w:rsidRDefault="00644309" w:rsidP="003E0A4F">
            <w:pPr>
              <w:suppressAutoHyphens w:val="0"/>
              <w:spacing w:before="40" w:after="40" w:line="220" w:lineRule="exact"/>
              <w:ind w:right="113"/>
              <w:jc w:val="right"/>
              <w:rPr>
                <w:sz w:val="18"/>
              </w:rPr>
            </w:pPr>
          </w:p>
        </w:tc>
        <w:tc>
          <w:tcPr>
            <w:tcW w:w="1236" w:type="dxa"/>
            <w:vMerge/>
            <w:shd w:val="clear" w:color="auto" w:fill="auto"/>
            <w:vAlign w:val="bottom"/>
          </w:tcPr>
          <w:p w:rsidR="00644309" w:rsidRPr="005429F0" w:rsidRDefault="00644309" w:rsidP="003E0A4F">
            <w:pPr>
              <w:suppressAutoHyphens w:val="0"/>
              <w:spacing w:before="40" w:after="40" w:line="220" w:lineRule="exact"/>
              <w:ind w:right="113"/>
              <w:jc w:val="right"/>
              <w:rPr>
                <w:sz w:val="18"/>
              </w:rPr>
            </w:pPr>
          </w:p>
        </w:tc>
      </w:tr>
      <w:tr w:rsidR="00644309" w:rsidRPr="005429F0" w:rsidTr="00A343A9">
        <w:tc>
          <w:tcPr>
            <w:tcW w:w="1134" w:type="dxa"/>
            <w:shd w:val="clear" w:color="auto" w:fill="auto"/>
            <w:hideMark/>
          </w:tcPr>
          <w:p w:rsidR="00644309" w:rsidRPr="005429F0" w:rsidRDefault="00644309" w:rsidP="003E0A4F">
            <w:pPr>
              <w:suppressAutoHyphens w:val="0"/>
              <w:spacing w:before="40" w:after="40" w:line="220" w:lineRule="exact"/>
              <w:ind w:right="113"/>
              <w:rPr>
                <w:sz w:val="18"/>
              </w:rPr>
            </w:pPr>
            <w:r w:rsidRPr="005429F0">
              <w:rPr>
                <w:sz w:val="18"/>
              </w:rPr>
              <w:t>2014</w:t>
            </w:r>
          </w:p>
        </w:tc>
        <w:tc>
          <w:tcPr>
            <w:tcW w:w="903" w:type="dxa"/>
            <w:shd w:val="clear" w:color="auto" w:fill="auto"/>
            <w:vAlign w:val="bottom"/>
            <w:hideMark/>
          </w:tcPr>
          <w:p w:rsidR="00644309" w:rsidRPr="005429F0" w:rsidRDefault="00644309" w:rsidP="003E0A4F">
            <w:pPr>
              <w:suppressAutoHyphens w:val="0"/>
              <w:spacing w:before="40" w:after="40" w:line="220" w:lineRule="exact"/>
              <w:ind w:right="113"/>
              <w:jc w:val="right"/>
              <w:rPr>
                <w:sz w:val="18"/>
              </w:rPr>
            </w:pPr>
            <w:r w:rsidRPr="005429F0">
              <w:rPr>
                <w:sz w:val="18"/>
              </w:rPr>
              <w:t>616</w:t>
            </w:r>
          </w:p>
        </w:tc>
        <w:tc>
          <w:tcPr>
            <w:tcW w:w="1133" w:type="dxa"/>
            <w:vMerge w:val="restart"/>
            <w:shd w:val="clear" w:color="auto" w:fill="auto"/>
            <w:vAlign w:val="bottom"/>
            <w:hideMark/>
          </w:tcPr>
          <w:p w:rsidR="00644309" w:rsidRPr="005429F0" w:rsidRDefault="00644309" w:rsidP="003E0A4F">
            <w:pPr>
              <w:suppressAutoHyphens w:val="0"/>
              <w:spacing w:before="40" w:after="40" w:line="220" w:lineRule="exact"/>
              <w:ind w:right="113"/>
              <w:jc w:val="right"/>
              <w:rPr>
                <w:sz w:val="18"/>
              </w:rPr>
            </w:pPr>
          </w:p>
        </w:tc>
        <w:tc>
          <w:tcPr>
            <w:tcW w:w="1792" w:type="dxa"/>
            <w:vMerge/>
            <w:shd w:val="clear" w:color="auto" w:fill="auto"/>
            <w:vAlign w:val="bottom"/>
          </w:tcPr>
          <w:p w:rsidR="00644309" w:rsidRPr="005429F0" w:rsidRDefault="00644309" w:rsidP="003E0A4F">
            <w:pPr>
              <w:suppressAutoHyphens w:val="0"/>
              <w:spacing w:before="40" w:after="40" w:line="220" w:lineRule="exact"/>
              <w:ind w:right="113"/>
              <w:jc w:val="right"/>
              <w:rPr>
                <w:sz w:val="18"/>
              </w:rPr>
            </w:pPr>
          </w:p>
        </w:tc>
        <w:tc>
          <w:tcPr>
            <w:tcW w:w="1172" w:type="dxa"/>
            <w:vMerge/>
            <w:shd w:val="clear" w:color="auto" w:fill="auto"/>
            <w:vAlign w:val="bottom"/>
          </w:tcPr>
          <w:p w:rsidR="00644309" w:rsidRPr="005429F0" w:rsidRDefault="00644309" w:rsidP="003E0A4F">
            <w:pPr>
              <w:suppressAutoHyphens w:val="0"/>
              <w:spacing w:before="40" w:after="40" w:line="220" w:lineRule="exact"/>
              <w:ind w:right="113"/>
              <w:jc w:val="right"/>
              <w:rPr>
                <w:sz w:val="18"/>
              </w:rPr>
            </w:pPr>
          </w:p>
        </w:tc>
        <w:tc>
          <w:tcPr>
            <w:tcW w:w="1236" w:type="dxa"/>
            <w:vMerge/>
            <w:shd w:val="clear" w:color="auto" w:fill="auto"/>
            <w:vAlign w:val="bottom"/>
          </w:tcPr>
          <w:p w:rsidR="00644309" w:rsidRPr="005429F0" w:rsidRDefault="00644309" w:rsidP="003E0A4F">
            <w:pPr>
              <w:suppressAutoHyphens w:val="0"/>
              <w:spacing w:before="40" w:after="40" w:line="220" w:lineRule="exact"/>
              <w:ind w:right="113"/>
              <w:jc w:val="right"/>
              <w:rPr>
                <w:sz w:val="18"/>
              </w:rPr>
            </w:pPr>
          </w:p>
        </w:tc>
      </w:tr>
      <w:tr w:rsidR="00644309" w:rsidRPr="005429F0" w:rsidTr="00A343A9">
        <w:tc>
          <w:tcPr>
            <w:tcW w:w="1134" w:type="dxa"/>
            <w:shd w:val="clear" w:color="auto" w:fill="auto"/>
            <w:hideMark/>
          </w:tcPr>
          <w:p w:rsidR="00644309" w:rsidRPr="005429F0" w:rsidRDefault="00644309" w:rsidP="003E0A4F">
            <w:pPr>
              <w:suppressAutoHyphens w:val="0"/>
              <w:spacing w:before="40" w:after="40" w:line="220" w:lineRule="exact"/>
              <w:ind w:right="113"/>
              <w:rPr>
                <w:sz w:val="18"/>
              </w:rPr>
            </w:pPr>
            <w:r w:rsidRPr="005429F0">
              <w:rPr>
                <w:sz w:val="18"/>
              </w:rPr>
              <w:t>2015</w:t>
            </w:r>
          </w:p>
        </w:tc>
        <w:tc>
          <w:tcPr>
            <w:tcW w:w="903" w:type="dxa"/>
            <w:shd w:val="clear" w:color="auto" w:fill="auto"/>
            <w:vAlign w:val="bottom"/>
            <w:hideMark/>
          </w:tcPr>
          <w:p w:rsidR="00644309" w:rsidRPr="005429F0" w:rsidRDefault="00644309" w:rsidP="003E0A4F">
            <w:pPr>
              <w:suppressAutoHyphens w:val="0"/>
              <w:spacing w:before="40" w:after="40" w:line="220" w:lineRule="exact"/>
              <w:ind w:right="113"/>
              <w:jc w:val="right"/>
              <w:rPr>
                <w:sz w:val="18"/>
              </w:rPr>
            </w:pPr>
            <w:r w:rsidRPr="005429F0">
              <w:rPr>
                <w:sz w:val="18"/>
              </w:rPr>
              <w:t xml:space="preserve">506 </w:t>
            </w:r>
          </w:p>
        </w:tc>
        <w:tc>
          <w:tcPr>
            <w:tcW w:w="1133" w:type="dxa"/>
            <w:vMerge/>
            <w:shd w:val="clear" w:color="auto" w:fill="auto"/>
            <w:vAlign w:val="bottom"/>
            <w:hideMark/>
          </w:tcPr>
          <w:p w:rsidR="00644309" w:rsidRPr="005429F0" w:rsidRDefault="00644309" w:rsidP="003E0A4F">
            <w:pPr>
              <w:suppressAutoHyphens w:val="0"/>
              <w:spacing w:before="40" w:after="40" w:line="220" w:lineRule="exact"/>
              <w:ind w:right="113"/>
              <w:jc w:val="right"/>
              <w:rPr>
                <w:sz w:val="18"/>
              </w:rPr>
            </w:pPr>
          </w:p>
        </w:tc>
        <w:tc>
          <w:tcPr>
            <w:tcW w:w="1792" w:type="dxa"/>
            <w:vMerge/>
            <w:shd w:val="clear" w:color="auto" w:fill="auto"/>
            <w:vAlign w:val="bottom"/>
          </w:tcPr>
          <w:p w:rsidR="00644309" w:rsidRPr="005429F0" w:rsidRDefault="00644309" w:rsidP="003E0A4F">
            <w:pPr>
              <w:suppressAutoHyphens w:val="0"/>
              <w:spacing w:before="40" w:after="40" w:line="220" w:lineRule="exact"/>
              <w:ind w:right="113"/>
              <w:jc w:val="right"/>
              <w:rPr>
                <w:sz w:val="18"/>
              </w:rPr>
            </w:pPr>
          </w:p>
        </w:tc>
        <w:tc>
          <w:tcPr>
            <w:tcW w:w="1172" w:type="dxa"/>
            <w:vMerge/>
            <w:shd w:val="clear" w:color="auto" w:fill="auto"/>
            <w:vAlign w:val="bottom"/>
          </w:tcPr>
          <w:p w:rsidR="00644309" w:rsidRPr="005429F0" w:rsidRDefault="00644309" w:rsidP="003E0A4F">
            <w:pPr>
              <w:suppressAutoHyphens w:val="0"/>
              <w:spacing w:before="40" w:after="40" w:line="220" w:lineRule="exact"/>
              <w:ind w:right="113"/>
              <w:jc w:val="right"/>
              <w:rPr>
                <w:sz w:val="18"/>
              </w:rPr>
            </w:pPr>
          </w:p>
        </w:tc>
        <w:tc>
          <w:tcPr>
            <w:tcW w:w="1236" w:type="dxa"/>
            <w:vMerge/>
            <w:shd w:val="clear" w:color="auto" w:fill="auto"/>
            <w:vAlign w:val="bottom"/>
          </w:tcPr>
          <w:p w:rsidR="00644309" w:rsidRPr="005429F0" w:rsidRDefault="00644309" w:rsidP="003E0A4F">
            <w:pPr>
              <w:suppressAutoHyphens w:val="0"/>
              <w:spacing w:before="40" w:after="40" w:line="220" w:lineRule="exact"/>
              <w:ind w:right="113"/>
              <w:jc w:val="right"/>
              <w:rPr>
                <w:sz w:val="18"/>
              </w:rPr>
            </w:pPr>
          </w:p>
        </w:tc>
      </w:tr>
      <w:tr w:rsidR="00644309" w:rsidRPr="005429F0" w:rsidTr="00A343A9">
        <w:tc>
          <w:tcPr>
            <w:tcW w:w="1134" w:type="dxa"/>
            <w:shd w:val="clear" w:color="auto" w:fill="auto"/>
            <w:hideMark/>
          </w:tcPr>
          <w:p w:rsidR="00644309" w:rsidRPr="005429F0" w:rsidRDefault="00644309" w:rsidP="003E0A4F">
            <w:pPr>
              <w:suppressAutoHyphens w:val="0"/>
              <w:spacing w:before="40" w:after="40" w:line="220" w:lineRule="exact"/>
              <w:ind w:right="113"/>
              <w:rPr>
                <w:sz w:val="18"/>
              </w:rPr>
            </w:pPr>
            <w:r w:rsidRPr="005429F0">
              <w:rPr>
                <w:sz w:val="18"/>
              </w:rPr>
              <w:t>2016</w:t>
            </w:r>
          </w:p>
        </w:tc>
        <w:tc>
          <w:tcPr>
            <w:tcW w:w="903" w:type="dxa"/>
            <w:shd w:val="clear" w:color="auto" w:fill="auto"/>
            <w:vAlign w:val="bottom"/>
            <w:hideMark/>
          </w:tcPr>
          <w:p w:rsidR="00644309" w:rsidRPr="005429F0" w:rsidRDefault="00644309" w:rsidP="003E0A4F">
            <w:pPr>
              <w:suppressAutoHyphens w:val="0"/>
              <w:spacing w:before="40" w:after="40" w:line="220" w:lineRule="exact"/>
              <w:ind w:right="113"/>
              <w:jc w:val="right"/>
              <w:rPr>
                <w:sz w:val="18"/>
              </w:rPr>
            </w:pPr>
            <w:r w:rsidRPr="005429F0">
              <w:rPr>
                <w:sz w:val="18"/>
              </w:rPr>
              <w:t xml:space="preserve">433 </w:t>
            </w:r>
          </w:p>
        </w:tc>
        <w:tc>
          <w:tcPr>
            <w:tcW w:w="1133" w:type="dxa"/>
            <w:vMerge/>
            <w:shd w:val="clear" w:color="auto" w:fill="auto"/>
            <w:vAlign w:val="bottom"/>
            <w:hideMark/>
          </w:tcPr>
          <w:p w:rsidR="00644309" w:rsidRPr="005429F0" w:rsidRDefault="00644309" w:rsidP="003E0A4F">
            <w:pPr>
              <w:suppressAutoHyphens w:val="0"/>
              <w:spacing w:before="40" w:after="40" w:line="220" w:lineRule="exact"/>
              <w:ind w:right="113"/>
              <w:jc w:val="right"/>
              <w:rPr>
                <w:sz w:val="18"/>
              </w:rPr>
            </w:pPr>
          </w:p>
        </w:tc>
        <w:tc>
          <w:tcPr>
            <w:tcW w:w="1792" w:type="dxa"/>
            <w:vMerge/>
            <w:shd w:val="clear" w:color="auto" w:fill="auto"/>
            <w:vAlign w:val="bottom"/>
          </w:tcPr>
          <w:p w:rsidR="00644309" w:rsidRPr="005429F0" w:rsidRDefault="00644309" w:rsidP="003E0A4F">
            <w:pPr>
              <w:suppressAutoHyphens w:val="0"/>
              <w:spacing w:before="40" w:after="40" w:line="220" w:lineRule="exact"/>
              <w:ind w:right="113"/>
              <w:jc w:val="right"/>
              <w:rPr>
                <w:sz w:val="18"/>
              </w:rPr>
            </w:pPr>
          </w:p>
        </w:tc>
        <w:tc>
          <w:tcPr>
            <w:tcW w:w="1172" w:type="dxa"/>
            <w:vMerge/>
            <w:shd w:val="clear" w:color="auto" w:fill="auto"/>
            <w:vAlign w:val="bottom"/>
          </w:tcPr>
          <w:p w:rsidR="00644309" w:rsidRPr="005429F0" w:rsidRDefault="00644309" w:rsidP="003E0A4F">
            <w:pPr>
              <w:suppressAutoHyphens w:val="0"/>
              <w:spacing w:before="40" w:after="40" w:line="220" w:lineRule="exact"/>
              <w:ind w:right="113"/>
              <w:jc w:val="right"/>
              <w:rPr>
                <w:sz w:val="18"/>
              </w:rPr>
            </w:pPr>
          </w:p>
        </w:tc>
        <w:tc>
          <w:tcPr>
            <w:tcW w:w="1236" w:type="dxa"/>
            <w:vMerge/>
            <w:shd w:val="clear" w:color="auto" w:fill="auto"/>
            <w:vAlign w:val="bottom"/>
          </w:tcPr>
          <w:p w:rsidR="00644309" w:rsidRPr="005429F0" w:rsidRDefault="00644309" w:rsidP="003E0A4F">
            <w:pPr>
              <w:suppressAutoHyphens w:val="0"/>
              <w:spacing w:before="40" w:after="40" w:line="220" w:lineRule="exact"/>
              <w:ind w:right="113"/>
              <w:jc w:val="right"/>
              <w:rPr>
                <w:sz w:val="18"/>
              </w:rPr>
            </w:pPr>
          </w:p>
        </w:tc>
      </w:tr>
      <w:tr w:rsidR="00644309" w:rsidRPr="005429F0" w:rsidTr="00A343A9">
        <w:tc>
          <w:tcPr>
            <w:tcW w:w="1134" w:type="dxa"/>
            <w:shd w:val="clear" w:color="auto" w:fill="auto"/>
          </w:tcPr>
          <w:p w:rsidR="00644309" w:rsidRPr="005429F0" w:rsidRDefault="00644309" w:rsidP="003E0A4F">
            <w:pPr>
              <w:suppressAutoHyphens w:val="0"/>
              <w:spacing w:before="40" w:after="40" w:line="220" w:lineRule="exact"/>
              <w:ind w:right="113"/>
              <w:rPr>
                <w:sz w:val="18"/>
              </w:rPr>
            </w:pPr>
            <w:r w:rsidRPr="005429F0">
              <w:rPr>
                <w:sz w:val="18"/>
              </w:rPr>
              <w:t>2017</w:t>
            </w:r>
          </w:p>
        </w:tc>
        <w:tc>
          <w:tcPr>
            <w:tcW w:w="903" w:type="dxa"/>
            <w:shd w:val="clear" w:color="auto" w:fill="auto"/>
            <w:vAlign w:val="bottom"/>
          </w:tcPr>
          <w:p w:rsidR="00644309" w:rsidRPr="005429F0" w:rsidRDefault="00644309" w:rsidP="003E0A4F">
            <w:pPr>
              <w:suppressAutoHyphens w:val="0"/>
              <w:spacing w:before="40" w:after="40" w:line="220" w:lineRule="exact"/>
              <w:ind w:right="113"/>
              <w:jc w:val="right"/>
              <w:rPr>
                <w:sz w:val="18"/>
              </w:rPr>
            </w:pPr>
            <w:r w:rsidRPr="005429F0">
              <w:rPr>
                <w:sz w:val="18"/>
              </w:rPr>
              <w:t>432</w:t>
            </w:r>
          </w:p>
        </w:tc>
        <w:tc>
          <w:tcPr>
            <w:tcW w:w="1133" w:type="dxa"/>
            <w:shd w:val="clear" w:color="auto" w:fill="auto"/>
            <w:vAlign w:val="bottom"/>
          </w:tcPr>
          <w:p w:rsidR="00644309" w:rsidRPr="005429F0" w:rsidRDefault="00644309" w:rsidP="003E0A4F">
            <w:pPr>
              <w:suppressAutoHyphens w:val="0"/>
              <w:spacing w:before="40" w:after="40" w:line="220" w:lineRule="exact"/>
              <w:ind w:right="113"/>
              <w:jc w:val="right"/>
              <w:rPr>
                <w:sz w:val="18"/>
              </w:rPr>
            </w:pPr>
            <w:r w:rsidRPr="005429F0">
              <w:rPr>
                <w:sz w:val="18"/>
              </w:rPr>
              <w:t>47</w:t>
            </w:r>
          </w:p>
        </w:tc>
        <w:tc>
          <w:tcPr>
            <w:tcW w:w="1792" w:type="dxa"/>
            <w:shd w:val="clear" w:color="auto" w:fill="auto"/>
            <w:vAlign w:val="bottom"/>
          </w:tcPr>
          <w:p w:rsidR="00644309" w:rsidRPr="005429F0" w:rsidRDefault="00644309" w:rsidP="003E0A4F">
            <w:pPr>
              <w:suppressAutoHyphens w:val="0"/>
              <w:spacing w:before="40" w:after="40" w:line="220" w:lineRule="exact"/>
              <w:ind w:right="113"/>
              <w:jc w:val="right"/>
              <w:rPr>
                <w:sz w:val="18"/>
              </w:rPr>
            </w:pPr>
            <w:r w:rsidRPr="005429F0">
              <w:rPr>
                <w:sz w:val="18"/>
              </w:rPr>
              <w:t>50</w:t>
            </w:r>
          </w:p>
        </w:tc>
        <w:tc>
          <w:tcPr>
            <w:tcW w:w="1172" w:type="dxa"/>
            <w:shd w:val="clear" w:color="auto" w:fill="auto"/>
            <w:vAlign w:val="bottom"/>
          </w:tcPr>
          <w:p w:rsidR="00644309" w:rsidRPr="005429F0" w:rsidRDefault="00644309" w:rsidP="003E0A4F">
            <w:pPr>
              <w:suppressAutoHyphens w:val="0"/>
              <w:spacing w:before="40" w:after="40" w:line="220" w:lineRule="exact"/>
              <w:ind w:right="113"/>
              <w:jc w:val="right"/>
              <w:rPr>
                <w:sz w:val="18"/>
              </w:rPr>
            </w:pPr>
            <w:r w:rsidRPr="005429F0">
              <w:rPr>
                <w:sz w:val="18"/>
              </w:rPr>
              <w:t>71</w:t>
            </w:r>
          </w:p>
        </w:tc>
        <w:tc>
          <w:tcPr>
            <w:tcW w:w="1236" w:type="dxa"/>
            <w:shd w:val="clear" w:color="auto" w:fill="auto"/>
            <w:vAlign w:val="bottom"/>
          </w:tcPr>
          <w:p w:rsidR="00644309" w:rsidRPr="005429F0" w:rsidRDefault="00644309" w:rsidP="003E0A4F">
            <w:pPr>
              <w:suppressAutoHyphens w:val="0"/>
              <w:spacing w:before="40" w:after="40" w:line="220" w:lineRule="exact"/>
              <w:ind w:right="113"/>
              <w:jc w:val="right"/>
              <w:rPr>
                <w:sz w:val="18"/>
              </w:rPr>
            </w:pPr>
            <w:r w:rsidRPr="005429F0">
              <w:rPr>
                <w:sz w:val="18"/>
              </w:rPr>
              <w:t>47</w:t>
            </w:r>
          </w:p>
        </w:tc>
      </w:tr>
      <w:tr w:rsidR="00644309" w:rsidRPr="005429F0" w:rsidTr="00A343A9">
        <w:tc>
          <w:tcPr>
            <w:tcW w:w="1134" w:type="dxa"/>
            <w:shd w:val="clear" w:color="auto" w:fill="auto"/>
          </w:tcPr>
          <w:p w:rsidR="00644309" w:rsidRPr="005429F0" w:rsidRDefault="00644309" w:rsidP="003E0A4F">
            <w:pPr>
              <w:suppressAutoHyphens w:val="0"/>
              <w:spacing w:before="40" w:after="40" w:line="220" w:lineRule="exact"/>
              <w:ind w:right="113"/>
              <w:rPr>
                <w:sz w:val="18"/>
              </w:rPr>
            </w:pPr>
            <w:r w:rsidRPr="005429F0">
              <w:rPr>
                <w:sz w:val="18"/>
              </w:rPr>
              <w:t>2018</w:t>
            </w:r>
          </w:p>
        </w:tc>
        <w:tc>
          <w:tcPr>
            <w:tcW w:w="903" w:type="dxa"/>
            <w:shd w:val="clear" w:color="auto" w:fill="auto"/>
            <w:vAlign w:val="bottom"/>
          </w:tcPr>
          <w:p w:rsidR="00644309" w:rsidRPr="005429F0" w:rsidRDefault="00644309" w:rsidP="003E0A4F">
            <w:pPr>
              <w:suppressAutoHyphens w:val="0"/>
              <w:spacing w:before="40" w:after="40" w:line="220" w:lineRule="exact"/>
              <w:ind w:right="113"/>
              <w:jc w:val="right"/>
              <w:rPr>
                <w:sz w:val="18"/>
              </w:rPr>
            </w:pPr>
            <w:r w:rsidRPr="005429F0">
              <w:rPr>
                <w:sz w:val="18"/>
              </w:rPr>
              <w:t>439</w:t>
            </w:r>
          </w:p>
        </w:tc>
        <w:tc>
          <w:tcPr>
            <w:tcW w:w="1133" w:type="dxa"/>
            <w:shd w:val="clear" w:color="auto" w:fill="auto"/>
            <w:vAlign w:val="bottom"/>
          </w:tcPr>
          <w:p w:rsidR="00644309" w:rsidRPr="005429F0" w:rsidRDefault="00644309" w:rsidP="003E0A4F">
            <w:pPr>
              <w:suppressAutoHyphens w:val="0"/>
              <w:spacing w:before="40" w:after="40" w:line="220" w:lineRule="exact"/>
              <w:ind w:right="113"/>
              <w:jc w:val="right"/>
              <w:rPr>
                <w:sz w:val="18"/>
              </w:rPr>
            </w:pPr>
            <w:r w:rsidRPr="005429F0">
              <w:rPr>
                <w:sz w:val="18"/>
              </w:rPr>
              <w:t>38</w:t>
            </w:r>
          </w:p>
        </w:tc>
        <w:tc>
          <w:tcPr>
            <w:tcW w:w="1792" w:type="dxa"/>
            <w:shd w:val="clear" w:color="auto" w:fill="auto"/>
            <w:vAlign w:val="bottom"/>
          </w:tcPr>
          <w:p w:rsidR="00644309" w:rsidRPr="005429F0" w:rsidRDefault="00644309" w:rsidP="003E0A4F">
            <w:pPr>
              <w:suppressAutoHyphens w:val="0"/>
              <w:spacing w:before="40" w:after="40" w:line="220" w:lineRule="exact"/>
              <w:ind w:right="113"/>
              <w:jc w:val="right"/>
              <w:rPr>
                <w:sz w:val="18"/>
              </w:rPr>
            </w:pPr>
            <w:r w:rsidRPr="005429F0">
              <w:rPr>
                <w:sz w:val="18"/>
              </w:rPr>
              <w:t>52</w:t>
            </w:r>
          </w:p>
        </w:tc>
        <w:tc>
          <w:tcPr>
            <w:tcW w:w="1172" w:type="dxa"/>
            <w:shd w:val="clear" w:color="auto" w:fill="auto"/>
            <w:vAlign w:val="bottom"/>
          </w:tcPr>
          <w:p w:rsidR="00644309" w:rsidRPr="005429F0" w:rsidRDefault="00644309" w:rsidP="003E0A4F">
            <w:pPr>
              <w:suppressAutoHyphens w:val="0"/>
              <w:spacing w:before="40" w:after="40" w:line="220" w:lineRule="exact"/>
              <w:ind w:right="113"/>
              <w:jc w:val="right"/>
              <w:rPr>
                <w:sz w:val="18"/>
              </w:rPr>
            </w:pPr>
            <w:r w:rsidRPr="005429F0">
              <w:rPr>
                <w:sz w:val="18"/>
              </w:rPr>
              <w:t>51</w:t>
            </w:r>
          </w:p>
        </w:tc>
        <w:tc>
          <w:tcPr>
            <w:tcW w:w="1236" w:type="dxa"/>
            <w:shd w:val="clear" w:color="auto" w:fill="auto"/>
            <w:vAlign w:val="bottom"/>
          </w:tcPr>
          <w:p w:rsidR="00644309" w:rsidRPr="005429F0" w:rsidRDefault="00644309" w:rsidP="003E0A4F">
            <w:pPr>
              <w:suppressAutoHyphens w:val="0"/>
              <w:spacing w:before="40" w:after="40" w:line="220" w:lineRule="exact"/>
              <w:ind w:right="113"/>
              <w:jc w:val="right"/>
              <w:rPr>
                <w:sz w:val="18"/>
              </w:rPr>
            </w:pPr>
            <w:r w:rsidRPr="005429F0">
              <w:rPr>
                <w:sz w:val="18"/>
              </w:rPr>
              <w:t>40</w:t>
            </w:r>
          </w:p>
        </w:tc>
      </w:tr>
      <w:tr w:rsidR="00C83B76" w:rsidRPr="005429F0" w:rsidTr="00A343A9">
        <w:tc>
          <w:tcPr>
            <w:tcW w:w="1134" w:type="dxa"/>
            <w:shd w:val="clear" w:color="auto" w:fill="auto"/>
          </w:tcPr>
          <w:p w:rsidR="00C83B76" w:rsidRPr="005429F0" w:rsidRDefault="00C83B76" w:rsidP="003E0A4F">
            <w:pPr>
              <w:suppressAutoHyphens w:val="0"/>
              <w:spacing w:before="40" w:after="40" w:line="220" w:lineRule="exact"/>
              <w:ind w:right="113"/>
              <w:rPr>
                <w:sz w:val="18"/>
              </w:rPr>
            </w:pPr>
            <w:r w:rsidRPr="005429F0">
              <w:rPr>
                <w:sz w:val="18"/>
              </w:rPr>
              <w:t>Children up to 15 years acquiring citizenship</w:t>
            </w:r>
          </w:p>
        </w:tc>
        <w:tc>
          <w:tcPr>
            <w:tcW w:w="903" w:type="dxa"/>
            <w:shd w:val="clear" w:color="auto" w:fill="auto"/>
          </w:tcPr>
          <w:p w:rsidR="00C83B76" w:rsidRPr="005429F0" w:rsidRDefault="0048070D" w:rsidP="003E0A4F">
            <w:pPr>
              <w:suppressAutoHyphens w:val="0"/>
              <w:spacing w:before="40" w:after="40" w:line="220" w:lineRule="exact"/>
              <w:ind w:right="113"/>
              <w:jc w:val="right"/>
              <w:rPr>
                <w:sz w:val="18"/>
              </w:rPr>
            </w:pPr>
            <w:r w:rsidRPr="005429F0">
              <w:rPr>
                <w:sz w:val="18"/>
              </w:rPr>
              <w:t>5 862</w:t>
            </w:r>
          </w:p>
        </w:tc>
        <w:tc>
          <w:tcPr>
            <w:tcW w:w="1133" w:type="dxa"/>
            <w:shd w:val="clear" w:color="auto" w:fill="auto"/>
          </w:tcPr>
          <w:p w:rsidR="00C83B76" w:rsidRPr="005429F0" w:rsidRDefault="00C83B76" w:rsidP="003E0A4F">
            <w:pPr>
              <w:suppressAutoHyphens w:val="0"/>
              <w:spacing w:before="40" w:after="40" w:line="220" w:lineRule="exact"/>
              <w:ind w:right="113"/>
              <w:jc w:val="right"/>
              <w:rPr>
                <w:sz w:val="18"/>
              </w:rPr>
            </w:pPr>
          </w:p>
        </w:tc>
        <w:tc>
          <w:tcPr>
            <w:tcW w:w="1792" w:type="dxa"/>
            <w:shd w:val="clear" w:color="auto" w:fill="auto"/>
          </w:tcPr>
          <w:p w:rsidR="00C83B76" w:rsidRPr="005429F0" w:rsidRDefault="00C83B76" w:rsidP="003E0A4F">
            <w:pPr>
              <w:suppressAutoHyphens w:val="0"/>
              <w:spacing w:before="40" w:after="40" w:line="220" w:lineRule="exact"/>
              <w:ind w:right="113"/>
              <w:jc w:val="right"/>
              <w:rPr>
                <w:sz w:val="18"/>
              </w:rPr>
            </w:pPr>
          </w:p>
        </w:tc>
        <w:tc>
          <w:tcPr>
            <w:tcW w:w="1172" w:type="dxa"/>
            <w:shd w:val="clear" w:color="auto" w:fill="auto"/>
          </w:tcPr>
          <w:p w:rsidR="00C83B76" w:rsidRPr="005429F0" w:rsidRDefault="0048070D" w:rsidP="003E0A4F">
            <w:pPr>
              <w:suppressAutoHyphens w:val="0"/>
              <w:spacing w:before="40" w:after="40" w:line="220" w:lineRule="exact"/>
              <w:ind w:right="113"/>
              <w:jc w:val="right"/>
              <w:rPr>
                <w:sz w:val="18"/>
              </w:rPr>
            </w:pPr>
            <w:r w:rsidRPr="005429F0">
              <w:rPr>
                <w:sz w:val="18"/>
              </w:rPr>
              <w:t>1 408</w:t>
            </w:r>
          </w:p>
        </w:tc>
        <w:tc>
          <w:tcPr>
            <w:tcW w:w="1236" w:type="dxa"/>
            <w:shd w:val="clear" w:color="auto" w:fill="auto"/>
            <w:vAlign w:val="bottom"/>
          </w:tcPr>
          <w:p w:rsidR="00C83B76" w:rsidRPr="005429F0" w:rsidRDefault="00C83B76" w:rsidP="003E0A4F">
            <w:pPr>
              <w:suppressAutoHyphens w:val="0"/>
              <w:spacing w:before="40" w:after="40" w:line="220" w:lineRule="exact"/>
              <w:ind w:right="113"/>
              <w:jc w:val="right"/>
              <w:rPr>
                <w:sz w:val="18"/>
              </w:rPr>
            </w:pPr>
          </w:p>
        </w:tc>
      </w:tr>
      <w:tr w:rsidR="00A343A9" w:rsidRPr="005429F0" w:rsidTr="00A343A9">
        <w:tc>
          <w:tcPr>
            <w:tcW w:w="1134" w:type="dxa"/>
            <w:shd w:val="clear" w:color="auto" w:fill="auto"/>
          </w:tcPr>
          <w:p w:rsidR="00A343A9" w:rsidRPr="005429F0" w:rsidRDefault="00A343A9" w:rsidP="003E0A4F">
            <w:pPr>
              <w:suppressAutoHyphens w:val="0"/>
              <w:spacing w:before="40" w:after="40" w:line="220" w:lineRule="exact"/>
              <w:ind w:right="113"/>
              <w:rPr>
                <w:sz w:val="18"/>
              </w:rPr>
            </w:pPr>
            <w:r w:rsidRPr="005429F0">
              <w:rPr>
                <w:sz w:val="18"/>
              </w:rPr>
              <w:t>Children up to 18 years acquiring citizenship</w:t>
            </w:r>
          </w:p>
        </w:tc>
        <w:tc>
          <w:tcPr>
            <w:tcW w:w="903" w:type="dxa"/>
            <w:shd w:val="clear" w:color="auto" w:fill="auto"/>
          </w:tcPr>
          <w:p w:rsidR="00A343A9" w:rsidRPr="005429F0" w:rsidRDefault="00A343A9" w:rsidP="003E0A4F">
            <w:pPr>
              <w:suppressAutoHyphens w:val="0"/>
              <w:spacing w:before="40" w:after="40" w:line="220" w:lineRule="exact"/>
              <w:ind w:right="113"/>
              <w:jc w:val="right"/>
              <w:rPr>
                <w:sz w:val="18"/>
              </w:rPr>
            </w:pPr>
            <w:r w:rsidRPr="005429F0">
              <w:rPr>
                <w:sz w:val="18"/>
              </w:rPr>
              <w:t>7 270</w:t>
            </w:r>
          </w:p>
        </w:tc>
        <w:tc>
          <w:tcPr>
            <w:tcW w:w="1133" w:type="dxa"/>
            <w:shd w:val="clear" w:color="auto" w:fill="auto"/>
          </w:tcPr>
          <w:p w:rsidR="00A343A9" w:rsidRPr="005429F0" w:rsidRDefault="00A343A9" w:rsidP="003E0A4F">
            <w:pPr>
              <w:suppressAutoHyphens w:val="0"/>
              <w:spacing w:before="40" w:after="40" w:line="220" w:lineRule="exact"/>
              <w:ind w:right="113"/>
              <w:jc w:val="right"/>
              <w:rPr>
                <w:sz w:val="18"/>
              </w:rPr>
            </w:pPr>
          </w:p>
        </w:tc>
        <w:tc>
          <w:tcPr>
            <w:tcW w:w="1792" w:type="dxa"/>
            <w:shd w:val="clear" w:color="auto" w:fill="auto"/>
          </w:tcPr>
          <w:p w:rsidR="00A343A9" w:rsidRPr="005429F0" w:rsidRDefault="00A343A9" w:rsidP="003E0A4F">
            <w:pPr>
              <w:suppressAutoHyphens w:val="0"/>
              <w:spacing w:before="40" w:after="40" w:line="220" w:lineRule="exact"/>
              <w:ind w:right="113"/>
              <w:jc w:val="right"/>
              <w:rPr>
                <w:sz w:val="18"/>
              </w:rPr>
            </w:pPr>
          </w:p>
        </w:tc>
        <w:tc>
          <w:tcPr>
            <w:tcW w:w="1172" w:type="dxa"/>
            <w:shd w:val="clear" w:color="auto" w:fill="auto"/>
          </w:tcPr>
          <w:p w:rsidR="00A343A9" w:rsidRPr="005429F0" w:rsidRDefault="00A343A9" w:rsidP="003E0A4F">
            <w:pPr>
              <w:suppressAutoHyphens w:val="0"/>
              <w:spacing w:before="40" w:after="40" w:line="220" w:lineRule="exact"/>
              <w:ind w:right="113"/>
              <w:jc w:val="right"/>
              <w:rPr>
                <w:sz w:val="18"/>
              </w:rPr>
            </w:pPr>
          </w:p>
        </w:tc>
        <w:tc>
          <w:tcPr>
            <w:tcW w:w="1236" w:type="dxa"/>
            <w:shd w:val="clear" w:color="auto" w:fill="auto"/>
            <w:vAlign w:val="bottom"/>
          </w:tcPr>
          <w:p w:rsidR="00A343A9" w:rsidRPr="005429F0" w:rsidRDefault="00A343A9" w:rsidP="003E0A4F">
            <w:pPr>
              <w:suppressAutoHyphens w:val="0"/>
              <w:spacing w:before="40" w:after="40" w:line="220" w:lineRule="exact"/>
              <w:ind w:right="113"/>
              <w:jc w:val="right"/>
              <w:rPr>
                <w:sz w:val="18"/>
              </w:rPr>
            </w:pPr>
          </w:p>
        </w:tc>
      </w:tr>
    </w:tbl>
    <w:p w:rsidR="00644309" w:rsidRPr="005429F0" w:rsidRDefault="00644309" w:rsidP="00A343A9">
      <w:pPr>
        <w:spacing w:before="120" w:after="240"/>
        <w:ind w:left="1134" w:right="1134" w:firstLine="170"/>
        <w:rPr>
          <w:sz w:val="18"/>
        </w:rPr>
      </w:pPr>
      <w:r w:rsidRPr="005429F0">
        <w:rPr>
          <w:i/>
          <w:iCs/>
          <w:sz w:val="18"/>
        </w:rPr>
        <w:t>Source</w:t>
      </w:r>
      <w:r w:rsidRPr="005429F0">
        <w:rPr>
          <w:sz w:val="18"/>
        </w:rPr>
        <w:t xml:space="preserve">: </w:t>
      </w:r>
      <w:r w:rsidR="00A343A9" w:rsidRPr="005429F0">
        <w:rPr>
          <w:sz w:val="18"/>
        </w:rPr>
        <w:t xml:space="preserve"> </w:t>
      </w:r>
      <w:r w:rsidRPr="005429F0">
        <w:rPr>
          <w:sz w:val="18"/>
        </w:rPr>
        <w:t>Office of Citizenship and Migration Affairs.</w:t>
      </w:r>
    </w:p>
    <w:p w:rsidR="00644309" w:rsidRPr="005429F0" w:rsidRDefault="00644309" w:rsidP="00644309">
      <w:pPr>
        <w:pStyle w:val="SingleTxtG"/>
      </w:pPr>
      <w:r w:rsidRPr="005429F0">
        <w:t>14.</w:t>
      </w:r>
      <w:r w:rsidRPr="005429F0">
        <w:tab/>
        <w:t xml:space="preserve">Finally, it must be noted that almost half of the non-citizens of Latvia are 60 years of age or older, therefore a certain proportion in the decrease of the number of non-citizens every year is due to some non-citizens passing away. </w:t>
      </w:r>
    </w:p>
    <w:p w:rsidR="00644309" w:rsidRPr="005429F0" w:rsidRDefault="00644309" w:rsidP="007B2B88">
      <w:pPr>
        <w:pStyle w:val="HChG"/>
      </w:pPr>
      <w:r w:rsidRPr="005429F0">
        <w:tab/>
        <w:t>II.</w:t>
      </w:r>
      <w:r w:rsidRPr="005429F0">
        <w:tab/>
        <w:t>As to the recommendation contained in paragraph 23 (d) of the Concluding observations</w:t>
      </w:r>
    </w:p>
    <w:p w:rsidR="00644309" w:rsidRPr="005429F0" w:rsidRDefault="007B2B88" w:rsidP="007B2B88">
      <w:pPr>
        <w:pStyle w:val="SingleTxtG"/>
      </w:pPr>
      <w:r w:rsidRPr="005429F0">
        <w:t>15.</w:t>
      </w:r>
      <w:r w:rsidRPr="005429F0">
        <w:tab/>
        <w:t xml:space="preserve">Paragraph </w:t>
      </w:r>
      <w:r w:rsidR="00644309" w:rsidRPr="005429F0">
        <w:t>23</w:t>
      </w:r>
      <w:r w:rsidRPr="005429F0">
        <w:t xml:space="preserve"> </w:t>
      </w:r>
      <w:r w:rsidR="00644309" w:rsidRPr="005429F0">
        <w:t>(d) of the Concluding observations contains the following recommendation:</w:t>
      </w:r>
    </w:p>
    <w:p w:rsidR="00644309" w:rsidRPr="005429F0" w:rsidRDefault="005429F0" w:rsidP="007B2B88">
      <w:pPr>
        <w:pStyle w:val="SingleTxtG"/>
        <w:ind w:left="1701"/>
      </w:pPr>
      <w:r>
        <w:t>“</w:t>
      </w:r>
      <w:r w:rsidR="00644309" w:rsidRPr="005429F0">
        <w:t>(d) Reinstate the post of Roma consultant in the Office of the Ombudsman to help increase visibility and consultations with the Roma community in issues concerning them</w:t>
      </w:r>
      <w:r>
        <w:t>”</w:t>
      </w:r>
      <w:r w:rsidR="00644309" w:rsidRPr="005429F0">
        <w:t>.</w:t>
      </w:r>
    </w:p>
    <w:p w:rsidR="00644309" w:rsidRPr="005429F0" w:rsidRDefault="00644309" w:rsidP="00644309">
      <w:pPr>
        <w:pStyle w:val="SingleTxtG"/>
      </w:pPr>
      <w:r w:rsidRPr="005429F0">
        <w:t>16.</w:t>
      </w:r>
      <w:r w:rsidRPr="005429F0">
        <w:tab/>
        <w:t xml:space="preserve">The Ombudsperson values the opinion of the Committee on this issue, and shares the view that establishment of a specific posts for representatives of Roma minority could assist in raising the visibility of their problems and enhance Roma dialogue with the authorities. The measure suggested by the Committee </w:t>
      </w:r>
      <w:proofErr w:type="gramStart"/>
      <w:r w:rsidRPr="005429F0">
        <w:t>was introduced</w:t>
      </w:r>
      <w:proofErr w:type="gramEnd"/>
      <w:r w:rsidRPr="005429F0">
        <w:t xml:space="preserve"> in the work of the Ombudsperson</w:t>
      </w:r>
      <w:r w:rsidR="005429F0">
        <w:t>’</w:t>
      </w:r>
      <w:r w:rsidRPr="005429F0">
        <w:t xml:space="preserve">s Office in 2011, but by January 2017, the measure did not prove to be the most effective tool to reach out to the Roma community and to effectively address their problems. </w:t>
      </w:r>
    </w:p>
    <w:p w:rsidR="00644309" w:rsidRPr="005429F0" w:rsidRDefault="00644309" w:rsidP="00644309">
      <w:pPr>
        <w:pStyle w:val="SingleTxtG"/>
      </w:pPr>
      <w:r w:rsidRPr="005429F0">
        <w:t>17.</w:t>
      </w:r>
      <w:r w:rsidRPr="005429F0">
        <w:tab/>
        <w:t>The Ombudsperson</w:t>
      </w:r>
      <w:r w:rsidR="005429F0">
        <w:t>’</w:t>
      </w:r>
      <w:r w:rsidRPr="005429F0">
        <w:t xml:space="preserve">s Law equips the Ombudsperson with several other tools and mechanisms that </w:t>
      </w:r>
      <w:proofErr w:type="gramStart"/>
      <w:r w:rsidRPr="005429F0">
        <w:t>can be used</w:t>
      </w:r>
      <w:proofErr w:type="gramEnd"/>
      <w:r w:rsidRPr="005429F0">
        <w:t xml:space="preserve"> to help identify the problems and fight discrimination against the Roma community. Among them are examination of individual complaints, monitoring visits, creation of consultative councils, and cooperation with NGOs. The Ombudsperson has used different tools to develop a dialogue with the Roma community and to promote the involvement of Roma community at the earliest stages in the development and implementation of policies and programmes.</w:t>
      </w:r>
    </w:p>
    <w:p w:rsidR="00644309" w:rsidRPr="005429F0" w:rsidRDefault="00644309" w:rsidP="00644309">
      <w:pPr>
        <w:pStyle w:val="SingleTxtG"/>
      </w:pPr>
      <w:r w:rsidRPr="005429F0">
        <w:t>18.</w:t>
      </w:r>
      <w:r w:rsidRPr="005429F0">
        <w:tab/>
        <w:t>As the use of the representative of the Roma community in the Ombudsperson</w:t>
      </w:r>
      <w:r w:rsidR="005429F0">
        <w:t>’</w:t>
      </w:r>
      <w:r w:rsidRPr="005429F0">
        <w:t>s Office did not give the expected results and in the light of the more effective use of the budgetary means allocated to the Ombudsperson</w:t>
      </w:r>
      <w:r w:rsidR="005429F0">
        <w:t>’</w:t>
      </w:r>
      <w:r w:rsidRPr="005429F0">
        <w:t xml:space="preserve">s Office, other approaches to Roma </w:t>
      </w:r>
      <w:r w:rsidRPr="005429F0">
        <w:lastRenderedPageBreak/>
        <w:t xml:space="preserve">community </w:t>
      </w:r>
      <w:proofErr w:type="gramStart"/>
      <w:r w:rsidRPr="005429F0">
        <w:t>were considered</w:t>
      </w:r>
      <w:proofErr w:type="gramEnd"/>
      <w:r w:rsidRPr="005429F0">
        <w:t xml:space="preserve">. The Ombudsperson found that a more effective way to monitor and prevent systematic violations with regard to Roma community was close and regular cooperation and dialogue with the Roma community organizations. On 30 August 2011, the Ombudsperson concluded a cooperation agreement with the International Romani Union. In 2012, the Ombudsperson established Roma Consultative Council to evaluate the activities planned by the Government and to offer suggestions as to the most effective use of financial means allocated to prevent Roma discrimination and promote their full inclusion in the economic development of the state. The Ombudsperson notes that the initiatives carried out so far would achieve better results if the awareness among the members of the Roma communities </w:t>
      </w:r>
      <w:proofErr w:type="gramStart"/>
      <w:r w:rsidRPr="005429F0">
        <w:t>would be raised</w:t>
      </w:r>
      <w:proofErr w:type="gramEnd"/>
      <w:r w:rsidRPr="005429F0">
        <w:t xml:space="preserve"> regarding the importance of their own initiative and more active participation in public and social life to promote the interests of the Roma community. </w:t>
      </w:r>
    </w:p>
    <w:p w:rsidR="00644309" w:rsidRPr="005429F0" w:rsidRDefault="00644309" w:rsidP="00644309">
      <w:pPr>
        <w:pStyle w:val="SingleTxtG"/>
      </w:pPr>
      <w:r w:rsidRPr="005429F0">
        <w:t>19.</w:t>
      </w:r>
      <w:r w:rsidRPr="005429F0">
        <w:tab/>
        <w:t>In this regard, the Government wishes to add that in 2018, the Latvian Roma Platform project III</w:t>
      </w:r>
      <w:r w:rsidRPr="005429F0">
        <w:rPr>
          <w:rStyle w:val="FootnoteReference"/>
        </w:rPr>
        <w:footnoteReference w:id="3"/>
      </w:r>
      <w:r w:rsidRPr="005429F0">
        <w:t xml:space="preserve"> </w:t>
      </w:r>
      <w:proofErr w:type="gramStart"/>
      <w:r w:rsidRPr="005429F0">
        <w:t>was implemented</w:t>
      </w:r>
      <w:proofErr w:type="gramEnd"/>
      <w:r w:rsidRPr="005429F0">
        <w:t xml:space="preserve"> by the Ministry of Culture, with targeted measures on combating </w:t>
      </w:r>
      <w:proofErr w:type="spellStart"/>
      <w:r w:rsidRPr="005429F0">
        <w:t>Antigypsyism</w:t>
      </w:r>
      <w:proofErr w:type="spellEnd"/>
      <w:r w:rsidRPr="005429F0">
        <w:t xml:space="preserve"> in mainstream society and on fostering intercultural dialogue between Roma and general population. Through this project, cooperation and dialogue among Roma representatives, municipalities, governmental sector and social partners improved. Likewise, mutual learning and exchange of best practices on Roma integration at the local and regional level </w:t>
      </w:r>
      <w:proofErr w:type="gramStart"/>
      <w:r w:rsidRPr="005429F0">
        <w:t>was supported</w:t>
      </w:r>
      <w:proofErr w:type="gramEnd"/>
      <w:r w:rsidRPr="005429F0">
        <w:t xml:space="preserve"> and the participation and effective involvement of the representatives of Roma community, especially Roma youth into the implementation of the set of Roma integration policy measures was facilitated and supported.</w:t>
      </w:r>
    </w:p>
    <w:p w:rsidR="00644309" w:rsidRPr="005429F0" w:rsidRDefault="00644309" w:rsidP="00644309">
      <w:pPr>
        <w:pStyle w:val="SingleTxtG"/>
      </w:pPr>
      <w:r w:rsidRPr="005429F0">
        <w:t>20.</w:t>
      </w:r>
      <w:r w:rsidRPr="005429F0">
        <w:tab/>
        <w:t>The Ombudsperson expresses the readiness to reconsider the recommendation of the Committee in the future, should the other tools currently used by the Ombudsperson</w:t>
      </w:r>
      <w:r w:rsidR="005429F0">
        <w:t>’</w:t>
      </w:r>
      <w:r w:rsidRPr="005429F0">
        <w:t>s Office prove ineffective.</w:t>
      </w:r>
    </w:p>
    <w:p w:rsidR="007B2B88" w:rsidRPr="005429F0" w:rsidRDefault="007B2B88" w:rsidP="007B2B88">
      <w:pPr>
        <w:pStyle w:val="SingleTxtG"/>
        <w:spacing w:after="240"/>
        <w:jc w:val="center"/>
      </w:pPr>
      <w:r w:rsidRPr="005429F0">
        <w:rPr>
          <w:u w:val="single"/>
        </w:rPr>
        <w:tab/>
      </w:r>
      <w:r w:rsidRPr="005429F0">
        <w:rPr>
          <w:u w:val="single"/>
        </w:rPr>
        <w:tab/>
      </w:r>
      <w:r w:rsidRPr="005429F0">
        <w:rPr>
          <w:u w:val="single"/>
        </w:rPr>
        <w:tab/>
      </w:r>
    </w:p>
    <w:sectPr w:rsidR="007B2B88" w:rsidRPr="005429F0"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90B" w:rsidRPr="00A0297D" w:rsidRDefault="006F590B" w:rsidP="00A0297D">
      <w:pPr>
        <w:pStyle w:val="Footer"/>
      </w:pPr>
    </w:p>
  </w:endnote>
  <w:endnote w:type="continuationSeparator" w:id="0">
    <w:p w:rsidR="006F590B" w:rsidRPr="00A0297D" w:rsidRDefault="006F590B"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F19" w:rsidRDefault="00D35F19" w:rsidP="00644309">
    <w:pPr>
      <w:pStyle w:val="Footer"/>
      <w:tabs>
        <w:tab w:val="right" w:pos="9638"/>
      </w:tabs>
    </w:pPr>
    <w:r w:rsidRPr="00D35F19">
      <w:rPr>
        <w:b/>
        <w:bCs/>
        <w:sz w:val="18"/>
      </w:rPr>
      <w:fldChar w:fldCharType="begin"/>
    </w:r>
    <w:r w:rsidRPr="00D35F19">
      <w:rPr>
        <w:b/>
        <w:bCs/>
        <w:sz w:val="18"/>
      </w:rPr>
      <w:instrText xml:space="preserve"> PAGE  \* MERGEFORMAT </w:instrText>
    </w:r>
    <w:r w:rsidRPr="00D35F19">
      <w:rPr>
        <w:b/>
        <w:bCs/>
        <w:sz w:val="18"/>
      </w:rPr>
      <w:fldChar w:fldCharType="separate"/>
    </w:r>
    <w:r w:rsidR="002329EE">
      <w:rPr>
        <w:b/>
        <w:bCs/>
        <w:noProof/>
        <w:sz w:val="18"/>
      </w:rPr>
      <w:t>6</w:t>
    </w:r>
    <w:r w:rsidRPr="00D35F1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F19" w:rsidRDefault="00D35F19" w:rsidP="00D35F19">
    <w:pPr>
      <w:pStyle w:val="Footer"/>
      <w:tabs>
        <w:tab w:val="right" w:pos="9638"/>
      </w:tabs>
    </w:pPr>
    <w:r>
      <w:tab/>
    </w:r>
    <w:r w:rsidRPr="00D35F19">
      <w:rPr>
        <w:b/>
        <w:bCs/>
        <w:sz w:val="18"/>
      </w:rPr>
      <w:fldChar w:fldCharType="begin"/>
    </w:r>
    <w:r w:rsidRPr="00D35F19">
      <w:rPr>
        <w:b/>
        <w:bCs/>
        <w:sz w:val="18"/>
      </w:rPr>
      <w:instrText xml:space="preserve"> PAGE  \* MERGEFORMAT </w:instrText>
    </w:r>
    <w:r w:rsidRPr="00D35F19">
      <w:rPr>
        <w:b/>
        <w:bCs/>
        <w:sz w:val="18"/>
      </w:rPr>
      <w:fldChar w:fldCharType="separate"/>
    </w:r>
    <w:r w:rsidR="002329EE">
      <w:rPr>
        <w:b/>
        <w:bCs/>
        <w:noProof/>
        <w:sz w:val="18"/>
      </w:rPr>
      <w:t>5</w:t>
    </w:r>
    <w:r w:rsidRPr="00D35F1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EE" w:rsidRDefault="002329EE" w:rsidP="002329EE">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329EE" w:rsidRDefault="002329EE" w:rsidP="002329EE">
    <w:pPr>
      <w:pStyle w:val="Footer"/>
      <w:ind w:right="1134"/>
      <w:rPr>
        <w:sz w:val="20"/>
      </w:rPr>
    </w:pPr>
    <w:r>
      <w:rPr>
        <w:sz w:val="20"/>
      </w:rPr>
      <w:t>GE.19-14624(E)</w:t>
    </w:r>
  </w:p>
  <w:p w:rsidR="002329EE" w:rsidRPr="002329EE" w:rsidRDefault="002329EE" w:rsidP="002329E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LVA/CO/6-12/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LVA/CO/6-12/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90B" w:rsidRPr="00A0297D" w:rsidRDefault="006F590B" w:rsidP="00A0297D">
      <w:pPr>
        <w:tabs>
          <w:tab w:val="right" w:pos="2155"/>
        </w:tabs>
        <w:spacing w:after="80" w:line="240" w:lineRule="auto"/>
        <w:ind w:left="680"/>
      </w:pPr>
      <w:r>
        <w:rPr>
          <w:u w:val="single"/>
        </w:rPr>
        <w:tab/>
      </w:r>
    </w:p>
  </w:footnote>
  <w:footnote w:type="continuationSeparator" w:id="0">
    <w:p w:rsidR="006F590B" w:rsidRPr="00A0297D" w:rsidRDefault="006F590B" w:rsidP="00A0297D">
      <w:pPr>
        <w:tabs>
          <w:tab w:val="right" w:pos="2155"/>
        </w:tabs>
        <w:spacing w:after="80" w:line="240" w:lineRule="auto"/>
        <w:ind w:left="680"/>
      </w:pPr>
      <w:r>
        <w:rPr>
          <w:u w:val="single"/>
        </w:rPr>
        <w:tab/>
      </w:r>
    </w:p>
  </w:footnote>
  <w:footnote w:id="1">
    <w:p w:rsidR="00644309" w:rsidRPr="002C4A93" w:rsidRDefault="00644309" w:rsidP="00644309">
      <w:pPr>
        <w:pStyle w:val="FootnoteText"/>
        <w:rPr>
          <w:lang w:val="en-US"/>
        </w:rPr>
      </w:pPr>
      <w:r w:rsidRPr="00644309">
        <w:rPr>
          <w:sz w:val="20"/>
        </w:rPr>
        <w:tab/>
      </w:r>
      <w:r w:rsidRPr="00644309">
        <w:rPr>
          <w:rStyle w:val="FootnoteReference"/>
          <w:sz w:val="20"/>
          <w:vertAlign w:val="baseline"/>
        </w:rPr>
        <w:t>*</w:t>
      </w:r>
      <w:r w:rsidRPr="00644309">
        <w:rPr>
          <w:sz w:val="20"/>
        </w:rPr>
        <w:tab/>
      </w:r>
      <w:r w:rsidRPr="002C4A93">
        <w:t xml:space="preserve">The present document </w:t>
      </w:r>
      <w:proofErr w:type="gramStart"/>
      <w:r w:rsidRPr="002C4A93">
        <w:t>is being issued</w:t>
      </w:r>
      <w:proofErr w:type="gramEnd"/>
      <w:r w:rsidRPr="002C4A93">
        <w:t xml:space="preserve"> without formal editing.</w:t>
      </w:r>
    </w:p>
  </w:footnote>
  <w:footnote w:id="2">
    <w:p w:rsidR="00644309" w:rsidRDefault="00644309" w:rsidP="00644309">
      <w:pPr>
        <w:pStyle w:val="FootnoteText"/>
      </w:pPr>
      <w:r>
        <w:tab/>
      </w:r>
      <w:r w:rsidRPr="009A7F08">
        <w:rPr>
          <w:rStyle w:val="FootnoteReference"/>
        </w:rPr>
        <w:footnoteRef/>
      </w:r>
      <w:r>
        <w:tab/>
      </w:r>
      <w:r w:rsidRPr="00C07A78">
        <w:t>To compare, see Appendix</w:t>
      </w:r>
      <w:r w:rsidR="00175E30">
        <w:t xml:space="preserve"> </w:t>
      </w:r>
      <w:r w:rsidRPr="00C07A78">
        <w:t>2 of the CORE document of the Republic of Latvia, (HRI/CORE/LVA/2017): on</w:t>
      </w:r>
      <w:r w:rsidR="002F2126">
        <w:t xml:space="preserve"> 1 January 2016, there were 252,</w:t>
      </w:r>
      <w:r w:rsidRPr="00C07A78">
        <w:t>017 non-citizens registered in Latvia</w:t>
      </w:r>
      <w:r>
        <w:t>.</w:t>
      </w:r>
    </w:p>
  </w:footnote>
  <w:footnote w:id="3">
    <w:p w:rsidR="00644309" w:rsidRDefault="00644309" w:rsidP="00644309">
      <w:pPr>
        <w:pStyle w:val="FootnoteText"/>
      </w:pPr>
      <w:r>
        <w:tab/>
      </w:r>
      <w:r w:rsidRPr="009A7F08">
        <w:rPr>
          <w:rStyle w:val="FootnoteReference"/>
        </w:rPr>
        <w:footnoteRef/>
      </w:r>
      <w:r>
        <w:tab/>
      </w:r>
      <w:r w:rsidRPr="00041CFF">
        <w:t>More information is available online</w:t>
      </w:r>
      <w:r>
        <w:t>:</w:t>
      </w:r>
      <w:r w:rsidRPr="00041CFF">
        <w:t xml:space="preserve"> </w:t>
      </w:r>
      <w:hyperlink r:id="rId1" w:history="1">
        <w:r w:rsidRPr="00041CFF">
          <w:rPr>
            <w:lang w:val="lv-LV"/>
          </w:rPr>
          <w:t>https://www.km.gov.lv/en/integration-and-society/roma/projects/latvian-roma-platform</w:t>
        </w:r>
      </w:hyperlink>
      <w:r>
        <w:rPr>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F19" w:rsidRDefault="00D35F19" w:rsidP="00D35F19">
    <w:pPr>
      <w:pStyle w:val="Header"/>
    </w:pPr>
    <w:r>
      <w:t>CERD/C/LVA/CO/6-12/Add.1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F19" w:rsidRDefault="00D35F19" w:rsidP="00D35F19">
    <w:pPr>
      <w:pStyle w:val="Header"/>
      <w:jc w:val="right"/>
    </w:pPr>
    <w:r>
      <w:t>CERD/C/LVA/CO/6-12/Add.1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F590B"/>
    <w:rsid w:val="00004EE4"/>
    <w:rsid w:val="00046E92"/>
    <w:rsid w:val="000956D1"/>
    <w:rsid w:val="000D4746"/>
    <w:rsid w:val="00106906"/>
    <w:rsid w:val="00175E30"/>
    <w:rsid w:val="001B507B"/>
    <w:rsid w:val="001F0325"/>
    <w:rsid w:val="002329EE"/>
    <w:rsid w:val="00247E2C"/>
    <w:rsid w:val="002D6C53"/>
    <w:rsid w:val="002F2126"/>
    <w:rsid w:val="002F5595"/>
    <w:rsid w:val="00307688"/>
    <w:rsid w:val="00334F6A"/>
    <w:rsid w:val="00342AC8"/>
    <w:rsid w:val="003B4550"/>
    <w:rsid w:val="003E0A4F"/>
    <w:rsid w:val="00461253"/>
    <w:rsid w:val="0048070D"/>
    <w:rsid w:val="005042C2"/>
    <w:rsid w:val="005429F0"/>
    <w:rsid w:val="00557F19"/>
    <w:rsid w:val="00644309"/>
    <w:rsid w:val="00644683"/>
    <w:rsid w:val="00671529"/>
    <w:rsid w:val="006F590B"/>
    <w:rsid w:val="007268F9"/>
    <w:rsid w:val="00735147"/>
    <w:rsid w:val="007B2B88"/>
    <w:rsid w:val="007C52B0"/>
    <w:rsid w:val="00883988"/>
    <w:rsid w:val="008E0F96"/>
    <w:rsid w:val="009411B4"/>
    <w:rsid w:val="009A7F08"/>
    <w:rsid w:val="009D0139"/>
    <w:rsid w:val="009F5CDC"/>
    <w:rsid w:val="00A0297D"/>
    <w:rsid w:val="00A343A9"/>
    <w:rsid w:val="00A775CF"/>
    <w:rsid w:val="00B01FA4"/>
    <w:rsid w:val="00B06045"/>
    <w:rsid w:val="00B25A2F"/>
    <w:rsid w:val="00BC0246"/>
    <w:rsid w:val="00C01462"/>
    <w:rsid w:val="00C35A27"/>
    <w:rsid w:val="00C83B76"/>
    <w:rsid w:val="00CB1C90"/>
    <w:rsid w:val="00CB1FB9"/>
    <w:rsid w:val="00CE5E37"/>
    <w:rsid w:val="00D35F19"/>
    <w:rsid w:val="00DA443C"/>
    <w:rsid w:val="00DA7116"/>
    <w:rsid w:val="00E02C2B"/>
    <w:rsid w:val="00E70BDD"/>
    <w:rsid w:val="00ED6C48"/>
    <w:rsid w:val="00F44E39"/>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1ED895E8-DAC9-4689-8688-8AE3AC07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9A7F08"/>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9A7F08"/>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9A7F08"/>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km.gov.lv/en/integration-and-society/roma/projects/latvian-roma-platfor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BF35C-9FC8-40F6-A734-A41BF10E0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6</Pages>
  <Words>2121</Words>
  <Characters>11513</Characters>
  <Application>Microsoft Office Word</Application>
  <DocSecurity>0</DocSecurity>
  <Lines>367</Lines>
  <Paragraphs>178</Paragraphs>
  <ScaleCrop>false</ScaleCrop>
  <HeadingPairs>
    <vt:vector size="2" baseType="variant">
      <vt:variant>
        <vt:lpstr>Title</vt:lpstr>
      </vt:variant>
      <vt:variant>
        <vt:i4>1</vt:i4>
      </vt:variant>
    </vt:vector>
  </HeadingPairs>
  <TitlesOfParts>
    <vt:vector size="1" baseType="lpstr">
      <vt:lpstr>CERD/C/LVA/CO/6-12/Add.1</vt:lpstr>
    </vt:vector>
  </TitlesOfParts>
  <Company>DCM</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CERD/C/LVA/CO/6-12/Add.1</dc:title>
  <dc:subject>1914624</dc:subject>
  <dc:creator>Giltsoff</dc:creator>
  <cp:keywords/>
  <dc:description/>
  <cp:lastModifiedBy>Generic Pdf eng</cp:lastModifiedBy>
  <cp:revision>2</cp:revision>
  <dcterms:created xsi:type="dcterms:W3CDTF">2019-08-28T09:14:00Z</dcterms:created>
  <dcterms:modified xsi:type="dcterms:W3CDTF">2019-08-28T09:14:00Z</dcterms:modified>
</cp:coreProperties>
</file>