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2357B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2357B9" w:rsidRDefault="006B3E27" w:rsidP="00912700">
            <w:pPr>
              <w:spacing w:after="80" w:line="480" w:lineRule="exact"/>
              <w:jc w:val="left"/>
              <w:rPr>
                <w:szCs w:val="40"/>
                <w:rtl/>
              </w:rPr>
            </w:pPr>
            <w:r w:rsidRPr="002357B9">
              <w:rPr>
                <w:rFonts w:hint="cs"/>
                <w:szCs w:val="40"/>
                <w:rtl/>
              </w:rPr>
              <w:t>الأمم المتحدة</w:t>
            </w:r>
          </w:p>
        </w:tc>
        <w:tc>
          <w:tcPr>
            <w:tcW w:w="3686" w:type="dxa"/>
            <w:tcBorders>
              <w:bottom w:val="single" w:sz="4" w:space="0" w:color="auto"/>
            </w:tcBorders>
            <w:vAlign w:val="bottom"/>
          </w:tcPr>
          <w:p w:rsidR="006B3E27" w:rsidRPr="002357B9" w:rsidRDefault="001828FA" w:rsidP="00031EC4">
            <w:pPr>
              <w:bidi w:val="0"/>
              <w:spacing w:after="20"/>
              <w:jc w:val="left"/>
              <w:rPr>
                <w:szCs w:val="20"/>
              </w:rPr>
            </w:pPr>
            <w:r w:rsidRPr="002357B9">
              <w:rPr>
                <w:sz w:val="40"/>
                <w:szCs w:val="20"/>
              </w:rPr>
              <w:t>CERD</w:t>
            </w:r>
            <w:r w:rsidRPr="002357B9">
              <w:rPr>
                <w:szCs w:val="20"/>
              </w:rPr>
              <w:t>/C/LBN/Q/23-24</w:t>
            </w:r>
          </w:p>
        </w:tc>
      </w:tr>
      <w:tr w:rsidR="006B3E27" w:rsidRPr="002357B9" w:rsidTr="00912700">
        <w:trPr>
          <w:trHeight w:hRule="exact" w:val="2835"/>
        </w:trPr>
        <w:tc>
          <w:tcPr>
            <w:tcW w:w="1274" w:type="dxa"/>
            <w:tcBorders>
              <w:top w:val="single" w:sz="4" w:space="0" w:color="auto"/>
              <w:bottom w:val="single" w:sz="12" w:space="0" w:color="auto"/>
            </w:tcBorders>
          </w:tcPr>
          <w:p w:rsidR="006B3E27" w:rsidRPr="002357B9" w:rsidRDefault="0059622A" w:rsidP="00912700">
            <w:pPr>
              <w:jc w:val="center"/>
              <w:rPr>
                <w:rtl/>
              </w:rPr>
            </w:pPr>
            <w:r w:rsidRPr="002357B9">
              <w:rPr>
                <w:noProof/>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2357B9" w:rsidRDefault="001E1CAD" w:rsidP="00912700">
            <w:pPr>
              <w:spacing w:before="120" w:after="40" w:line="640" w:lineRule="exact"/>
              <w:jc w:val="left"/>
              <w:rPr>
                <w:b/>
                <w:bCs/>
                <w:sz w:val="56"/>
                <w:szCs w:val="56"/>
                <w:rtl/>
              </w:rPr>
            </w:pPr>
            <w:r w:rsidRPr="002357B9">
              <w:rPr>
                <w:rFonts w:hint="cs"/>
                <w:b/>
                <w:bCs/>
                <w:sz w:val="56"/>
                <w:szCs w:val="56"/>
                <w:rtl/>
              </w:rPr>
              <w:t>ا</w:t>
            </w:r>
            <w:r w:rsidR="00523BAE" w:rsidRPr="002357B9">
              <w:rPr>
                <w:rFonts w:hint="cs"/>
                <w:b/>
                <w:bCs/>
                <w:sz w:val="56"/>
                <w:szCs w:val="56"/>
                <w:rtl/>
              </w:rPr>
              <w:t>لا</w:t>
            </w:r>
            <w:r w:rsidR="004A14A6" w:rsidRPr="002357B9">
              <w:rPr>
                <w:rFonts w:hint="cs"/>
                <w:b/>
                <w:bCs/>
                <w:sz w:val="56"/>
                <w:szCs w:val="56"/>
                <w:rtl/>
              </w:rPr>
              <w:t>تفاقي</w:t>
            </w:r>
            <w:r w:rsidR="00523BAE" w:rsidRPr="002357B9">
              <w:rPr>
                <w:rFonts w:hint="cs"/>
                <w:b/>
                <w:bCs/>
                <w:sz w:val="56"/>
                <w:szCs w:val="56"/>
                <w:rtl/>
              </w:rPr>
              <w:t>ـ</w:t>
            </w:r>
            <w:r w:rsidR="004A14A6" w:rsidRPr="002357B9">
              <w:rPr>
                <w:rFonts w:hint="cs"/>
                <w:b/>
                <w:bCs/>
                <w:sz w:val="56"/>
                <w:szCs w:val="56"/>
                <w:rtl/>
              </w:rPr>
              <w:t xml:space="preserve">ة </w:t>
            </w:r>
            <w:r w:rsidR="00523BAE" w:rsidRPr="002357B9">
              <w:rPr>
                <w:rFonts w:hint="cs"/>
                <w:b/>
                <w:bCs/>
                <w:sz w:val="56"/>
                <w:szCs w:val="56"/>
                <w:rtl/>
              </w:rPr>
              <w:t>الدوليـة ل</w:t>
            </w:r>
            <w:r w:rsidR="004A14A6" w:rsidRPr="002357B9">
              <w:rPr>
                <w:rFonts w:hint="cs"/>
                <w:b/>
                <w:bCs/>
                <w:sz w:val="56"/>
                <w:szCs w:val="56"/>
                <w:rtl/>
              </w:rPr>
              <w:t>لقض</w:t>
            </w:r>
            <w:r w:rsidR="00523BAE" w:rsidRPr="002357B9">
              <w:rPr>
                <w:rFonts w:hint="cs"/>
                <w:b/>
                <w:bCs/>
                <w:sz w:val="56"/>
                <w:szCs w:val="56"/>
                <w:rtl/>
              </w:rPr>
              <w:t>ــ</w:t>
            </w:r>
            <w:r w:rsidR="004A14A6" w:rsidRPr="002357B9">
              <w:rPr>
                <w:rFonts w:hint="cs"/>
                <w:b/>
                <w:bCs/>
                <w:sz w:val="56"/>
                <w:szCs w:val="56"/>
                <w:rtl/>
              </w:rPr>
              <w:t>اء عل</w:t>
            </w:r>
            <w:r w:rsidR="00523BAE" w:rsidRPr="002357B9">
              <w:rPr>
                <w:rFonts w:hint="cs"/>
                <w:b/>
                <w:bCs/>
                <w:sz w:val="56"/>
                <w:szCs w:val="56"/>
                <w:rtl/>
              </w:rPr>
              <w:t>ـ</w:t>
            </w:r>
            <w:r w:rsidR="004A14A6" w:rsidRPr="002357B9">
              <w:rPr>
                <w:rFonts w:hint="cs"/>
                <w:b/>
                <w:bCs/>
                <w:sz w:val="56"/>
                <w:szCs w:val="56"/>
                <w:rtl/>
              </w:rPr>
              <w:t xml:space="preserve">ى جميع أشكال التمييز </w:t>
            </w:r>
            <w:r w:rsidR="00523BAE" w:rsidRPr="002357B9">
              <w:rPr>
                <w:rFonts w:hint="cs"/>
                <w:b/>
                <w:bCs/>
                <w:sz w:val="56"/>
                <w:szCs w:val="56"/>
                <w:rtl/>
              </w:rPr>
              <w:t>العنصري</w:t>
            </w:r>
          </w:p>
        </w:tc>
        <w:tc>
          <w:tcPr>
            <w:tcW w:w="3686" w:type="dxa"/>
            <w:tcBorders>
              <w:top w:val="single" w:sz="4" w:space="0" w:color="auto"/>
              <w:bottom w:val="single" w:sz="12" w:space="0" w:color="auto"/>
            </w:tcBorders>
          </w:tcPr>
          <w:p w:rsidR="006B3E27" w:rsidRPr="002357B9" w:rsidRDefault="00031EC4" w:rsidP="00031EC4">
            <w:pPr>
              <w:bidi w:val="0"/>
              <w:spacing w:before="240"/>
              <w:jc w:val="left"/>
            </w:pPr>
            <w:r w:rsidRPr="002357B9">
              <w:t>Distr.: General</w:t>
            </w:r>
          </w:p>
          <w:p w:rsidR="00031EC4" w:rsidRPr="002357B9" w:rsidRDefault="00031EC4" w:rsidP="00031EC4">
            <w:pPr>
              <w:bidi w:val="0"/>
              <w:jc w:val="left"/>
            </w:pPr>
            <w:r w:rsidRPr="002357B9">
              <w:t>17 February 2020</w:t>
            </w:r>
          </w:p>
          <w:p w:rsidR="00031EC4" w:rsidRPr="002357B9" w:rsidRDefault="00031EC4" w:rsidP="00031EC4">
            <w:pPr>
              <w:bidi w:val="0"/>
              <w:jc w:val="left"/>
            </w:pPr>
            <w:r w:rsidRPr="002357B9">
              <w:t>Arabic</w:t>
            </w:r>
          </w:p>
          <w:p w:rsidR="00031EC4" w:rsidRPr="002357B9" w:rsidRDefault="00031EC4" w:rsidP="00031EC4">
            <w:pPr>
              <w:bidi w:val="0"/>
              <w:jc w:val="left"/>
            </w:pPr>
            <w:r w:rsidRPr="002357B9">
              <w:t>Original: French</w:t>
            </w:r>
            <w:r w:rsidRPr="002357B9">
              <w:br/>
              <w:t>Arabic, English, French and</w:t>
            </w:r>
            <w:r w:rsidRPr="002357B9">
              <w:br/>
              <w:t>Spanish only</w:t>
            </w:r>
          </w:p>
        </w:tc>
      </w:tr>
    </w:tbl>
    <w:p w:rsidR="00031EC4" w:rsidRPr="002357B9" w:rsidRDefault="00031EC4" w:rsidP="00B96D7C">
      <w:pPr>
        <w:pStyle w:val="SingleTxtGA"/>
        <w:spacing w:before="120" w:after="0"/>
        <w:ind w:left="0" w:right="4252"/>
        <w:jc w:val="left"/>
        <w:rPr>
          <w:rFonts w:ascii="Times New Roman Bold" w:hAnsi="Times New Roman Bold"/>
          <w:b/>
          <w:bCs/>
          <w:sz w:val="26"/>
          <w:szCs w:val="34"/>
          <w:rtl/>
        </w:rPr>
      </w:pPr>
      <w:r w:rsidRPr="002357B9">
        <w:rPr>
          <w:rFonts w:ascii="Times New Roman Bold" w:hAnsi="Times New Roman Bold"/>
          <w:b/>
          <w:bCs/>
          <w:sz w:val="26"/>
          <w:szCs w:val="34"/>
          <w:rtl/>
        </w:rPr>
        <w:t>لجنة القضاء على التمييز العنصري</w:t>
      </w:r>
    </w:p>
    <w:p w:rsidR="00031EC4" w:rsidRPr="002357B9" w:rsidRDefault="00031EC4" w:rsidP="00B96D7C">
      <w:pPr>
        <w:pStyle w:val="SingleTxtGA"/>
        <w:spacing w:after="0"/>
        <w:ind w:left="0" w:right="4252"/>
        <w:jc w:val="left"/>
        <w:rPr>
          <w:b/>
          <w:bCs/>
          <w:sz w:val="18"/>
          <w:rtl/>
        </w:rPr>
      </w:pPr>
      <w:r w:rsidRPr="002357B9">
        <w:rPr>
          <w:b/>
          <w:bCs/>
          <w:sz w:val="18"/>
          <w:rtl/>
        </w:rPr>
        <w:t xml:space="preserve">الدورة </w:t>
      </w:r>
      <w:r w:rsidRPr="002357B9">
        <w:rPr>
          <w:b/>
          <w:bCs/>
          <w:sz w:val="18"/>
          <w:szCs w:val="20"/>
          <w:rtl/>
        </w:rPr>
        <w:t>101</w:t>
      </w:r>
    </w:p>
    <w:p w:rsidR="00031EC4" w:rsidRPr="002357B9" w:rsidRDefault="00031EC4" w:rsidP="00B96D7C">
      <w:pPr>
        <w:pStyle w:val="SingleTxtGA"/>
        <w:spacing w:after="0"/>
        <w:ind w:left="0" w:right="4252"/>
        <w:jc w:val="left"/>
        <w:rPr>
          <w:sz w:val="18"/>
          <w:rtl/>
        </w:rPr>
      </w:pPr>
      <w:r w:rsidRPr="002357B9">
        <w:rPr>
          <w:sz w:val="18"/>
          <w:szCs w:val="20"/>
          <w:rtl/>
        </w:rPr>
        <w:t>20</w:t>
      </w:r>
      <w:r w:rsidRPr="002357B9">
        <w:rPr>
          <w:rFonts w:hint="cs"/>
          <w:sz w:val="18"/>
          <w:rtl/>
        </w:rPr>
        <w:t xml:space="preserve"> </w:t>
      </w:r>
      <w:r w:rsidRPr="002357B9">
        <w:rPr>
          <w:sz w:val="18"/>
          <w:rtl/>
        </w:rPr>
        <w:t xml:space="preserve">نيسان/أبريل - </w:t>
      </w:r>
      <w:r w:rsidRPr="002357B9">
        <w:rPr>
          <w:sz w:val="18"/>
          <w:szCs w:val="20"/>
          <w:rtl/>
        </w:rPr>
        <w:t>8</w:t>
      </w:r>
      <w:r w:rsidRPr="002357B9">
        <w:rPr>
          <w:sz w:val="18"/>
          <w:rtl/>
        </w:rPr>
        <w:t xml:space="preserve"> أيار/مايو </w:t>
      </w:r>
      <w:r w:rsidRPr="002357B9">
        <w:rPr>
          <w:sz w:val="18"/>
          <w:szCs w:val="20"/>
          <w:rtl/>
        </w:rPr>
        <w:t>2020</w:t>
      </w:r>
    </w:p>
    <w:p w:rsidR="00031EC4" w:rsidRPr="002357B9" w:rsidRDefault="00031EC4" w:rsidP="00B96D7C">
      <w:pPr>
        <w:pStyle w:val="SingleTxtGA"/>
        <w:spacing w:after="0"/>
        <w:ind w:left="0" w:right="4252"/>
        <w:jc w:val="left"/>
        <w:rPr>
          <w:sz w:val="18"/>
          <w:rtl/>
        </w:rPr>
      </w:pPr>
      <w:r w:rsidRPr="002357B9">
        <w:rPr>
          <w:sz w:val="18"/>
          <w:rtl/>
        </w:rPr>
        <w:t xml:space="preserve">البند </w:t>
      </w:r>
      <w:r w:rsidRPr="002357B9">
        <w:rPr>
          <w:sz w:val="18"/>
          <w:szCs w:val="20"/>
          <w:rtl/>
        </w:rPr>
        <w:t>6</w:t>
      </w:r>
      <w:r w:rsidRPr="002357B9">
        <w:rPr>
          <w:sz w:val="18"/>
          <w:rtl/>
        </w:rPr>
        <w:t xml:space="preserve"> من جدول الأعمال المؤقت</w:t>
      </w:r>
    </w:p>
    <w:p w:rsidR="00031EC4" w:rsidRPr="002357B9" w:rsidRDefault="00031EC4" w:rsidP="00B96D7C">
      <w:pPr>
        <w:pStyle w:val="SingleTxtGA"/>
        <w:spacing w:after="0"/>
        <w:ind w:left="0" w:right="4252"/>
        <w:jc w:val="left"/>
        <w:rPr>
          <w:b/>
          <w:bCs/>
        </w:rPr>
      </w:pPr>
      <w:r w:rsidRPr="002357B9">
        <w:rPr>
          <w:b/>
          <w:bCs/>
          <w:rtl/>
        </w:rPr>
        <w:t xml:space="preserve">النظر في التقارير والتعليقات والمعلومات المقدمة من الدول الأطراف بموجب المادة </w:t>
      </w:r>
      <w:r w:rsidRPr="002357B9">
        <w:rPr>
          <w:rFonts w:ascii="Times New Roman Bold" w:hAnsi="Times New Roman Bold"/>
          <w:b/>
          <w:bCs/>
          <w:szCs w:val="20"/>
          <w:rtl/>
        </w:rPr>
        <w:t>9</w:t>
      </w:r>
      <w:r w:rsidRPr="002357B9">
        <w:rPr>
          <w:b/>
          <w:bCs/>
          <w:rtl/>
        </w:rPr>
        <w:t xml:space="preserve"> من الاتفاقية</w:t>
      </w:r>
    </w:p>
    <w:p w:rsidR="00031EC4" w:rsidRPr="002357B9" w:rsidRDefault="00031EC4" w:rsidP="00B96D7C">
      <w:pPr>
        <w:pStyle w:val="HChGA"/>
        <w:rPr>
          <w:rtl/>
        </w:rPr>
      </w:pPr>
      <w:r w:rsidRPr="002357B9">
        <w:rPr>
          <w:rtl/>
        </w:rPr>
        <w:tab/>
      </w:r>
      <w:r w:rsidRPr="002357B9">
        <w:rPr>
          <w:rtl/>
        </w:rPr>
        <w:tab/>
        <w:t>قائمة المواضيع المتصلة بالتقرير الجامع للتقريرين الدوريين الثالث والعشرين والرابع والعشرين للبنان</w:t>
      </w:r>
    </w:p>
    <w:p w:rsidR="00031EC4" w:rsidRPr="002357B9" w:rsidRDefault="00031EC4" w:rsidP="00B96D7C">
      <w:pPr>
        <w:pStyle w:val="H1GA"/>
        <w:rPr>
          <w:rtl/>
        </w:rPr>
      </w:pPr>
      <w:r w:rsidRPr="002357B9">
        <w:rPr>
          <w:rtl/>
        </w:rPr>
        <w:tab/>
      </w:r>
      <w:r w:rsidRPr="002357B9">
        <w:rPr>
          <w:rtl/>
        </w:rPr>
        <w:tab/>
        <w:t>مذكرة من المقرر القُطري</w:t>
      </w:r>
    </w:p>
    <w:p w:rsidR="00031EC4" w:rsidRPr="002357B9" w:rsidRDefault="00031EC4" w:rsidP="00031EC4">
      <w:pPr>
        <w:pStyle w:val="SingleTxtGA"/>
        <w:rPr>
          <w:spacing w:val="-4"/>
          <w:rtl/>
        </w:rPr>
      </w:pPr>
      <w:r w:rsidRPr="002357B9">
        <w:rPr>
          <w:szCs w:val="20"/>
          <w:rtl/>
        </w:rPr>
        <w:t>1</w:t>
      </w:r>
      <w:r w:rsidRPr="002357B9">
        <w:rPr>
          <w:rtl/>
        </w:rPr>
        <w:t>-</w:t>
      </w:r>
      <w:r w:rsidRPr="002357B9">
        <w:rPr>
          <w:rtl/>
        </w:rPr>
        <w:tab/>
      </w:r>
      <w:r w:rsidRPr="002357B9">
        <w:rPr>
          <w:spacing w:val="-4"/>
          <w:rtl/>
        </w:rPr>
        <w:t xml:space="preserve">قررت لجنة القضاء على التمييز العنصري في دورتها السادسة والسبعين (انظر الوثيقة </w:t>
      </w:r>
      <w:r w:rsidRPr="002357B9">
        <w:rPr>
          <w:spacing w:val="-4"/>
        </w:rPr>
        <w:t>A/</w:t>
      </w:r>
      <w:r w:rsidRPr="002357B9">
        <w:rPr>
          <w:spacing w:val="-4"/>
          <w:szCs w:val="20"/>
        </w:rPr>
        <w:t>65</w:t>
      </w:r>
      <w:r w:rsidRPr="002357B9">
        <w:rPr>
          <w:spacing w:val="-4"/>
        </w:rPr>
        <w:t>/</w:t>
      </w:r>
      <w:r w:rsidRPr="002357B9">
        <w:rPr>
          <w:spacing w:val="-4"/>
          <w:szCs w:val="20"/>
        </w:rPr>
        <w:t>18</w:t>
      </w:r>
      <w:r w:rsidRPr="002357B9">
        <w:rPr>
          <w:spacing w:val="-4"/>
          <w:rtl/>
        </w:rPr>
        <w:t xml:space="preserve">، الفقرة </w:t>
      </w:r>
      <w:r w:rsidRPr="002357B9">
        <w:rPr>
          <w:spacing w:val="-4"/>
          <w:szCs w:val="20"/>
          <w:rtl/>
        </w:rPr>
        <w:t>85</w:t>
      </w:r>
      <w:r w:rsidRPr="002357B9">
        <w:rPr>
          <w:spacing w:val="-4"/>
          <w:rtl/>
        </w:rPr>
        <w:t>) أن يُرسِل المقرر القُطري إلى الدولة الطرف المعنية قائمة قصيرة من المواضيع بهدف توجيه الحوار وتنظيمه بين وفد الدولة الطرف واللجنة أثناء النظر في تقرير الدولة الطرف. وترد فيما يلي قائمة غير شاملة من المواضيع، مع إمكانية معالجة مسائل أخرى أثناء الحوار. ولا تستوجب هذه القائمة تقديم ردود كتابية.</w:t>
      </w:r>
    </w:p>
    <w:p w:rsidR="00031EC4" w:rsidRPr="002357B9" w:rsidRDefault="00031EC4" w:rsidP="00031EC4">
      <w:pPr>
        <w:pStyle w:val="H23GA"/>
        <w:rPr>
          <w:rtl/>
        </w:rPr>
      </w:pPr>
      <w:r w:rsidRPr="002357B9">
        <w:rPr>
          <w:rtl/>
        </w:rPr>
        <w:tab/>
      </w:r>
      <w:r w:rsidRPr="002357B9">
        <w:rPr>
          <w:rtl/>
        </w:rPr>
        <w:tab/>
        <w:t xml:space="preserve">الاتفاقية في القانون الداخلي والإطار المؤسسي والسياساتي لتنفيذها (المواد </w:t>
      </w:r>
      <w:r w:rsidRPr="002357B9">
        <w:rPr>
          <w:szCs w:val="20"/>
          <w:rtl/>
        </w:rPr>
        <w:t>2</w:t>
      </w:r>
      <w:r w:rsidRPr="002357B9">
        <w:rPr>
          <w:rtl/>
        </w:rPr>
        <w:t xml:space="preserve"> و</w:t>
      </w:r>
      <w:r w:rsidRPr="002357B9">
        <w:rPr>
          <w:szCs w:val="20"/>
          <w:rtl/>
        </w:rPr>
        <w:t>4</w:t>
      </w:r>
      <w:r w:rsidRPr="002357B9">
        <w:rPr>
          <w:rtl/>
        </w:rPr>
        <w:t xml:space="preserve"> و</w:t>
      </w:r>
      <w:r w:rsidRPr="002357B9">
        <w:rPr>
          <w:szCs w:val="20"/>
          <w:rtl/>
        </w:rPr>
        <w:t>6</w:t>
      </w:r>
      <w:r w:rsidRPr="002357B9">
        <w:rPr>
          <w:rtl/>
        </w:rPr>
        <w:t xml:space="preserve"> و</w:t>
      </w:r>
      <w:r w:rsidRPr="002357B9">
        <w:rPr>
          <w:szCs w:val="20"/>
          <w:rtl/>
        </w:rPr>
        <w:t>7</w:t>
      </w:r>
      <w:r w:rsidRPr="002357B9">
        <w:rPr>
          <w:rtl/>
        </w:rPr>
        <w:t>)</w:t>
      </w:r>
    </w:p>
    <w:p w:rsidR="00031EC4" w:rsidRPr="002357B9" w:rsidRDefault="00031EC4" w:rsidP="00031EC4">
      <w:pPr>
        <w:pStyle w:val="SingleTxtGA"/>
        <w:rPr>
          <w:spacing w:val="-4"/>
          <w:rtl/>
        </w:rPr>
      </w:pPr>
      <w:r w:rsidRPr="002357B9">
        <w:rPr>
          <w:szCs w:val="20"/>
          <w:rtl/>
        </w:rPr>
        <w:t>2</w:t>
      </w:r>
      <w:r w:rsidRPr="002357B9">
        <w:rPr>
          <w:rtl/>
        </w:rPr>
        <w:t>-</w:t>
      </w:r>
      <w:r w:rsidRPr="002357B9">
        <w:rPr>
          <w:rtl/>
        </w:rPr>
        <w:tab/>
      </w:r>
      <w:r w:rsidRPr="002357B9">
        <w:rPr>
          <w:spacing w:val="-4"/>
          <w:rtl/>
        </w:rPr>
        <w:t>التدابير المتخذة لاعتماد قانون محدد لمكافحة التمييز يتضمن تعريفاً للتمييز العنصري وفقاً لأحكام المادة الأولى من الاتفاقية (</w:t>
      </w:r>
      <w:r w:rsidRPr="002357B9">
        <w:rPr>
          <w:spacing w:val="-4"/>
        </w:rPr>
        <w:t>CERD/C/LBN/CO/</w:t>
      </w:r>
      <w:r w:rsidRPr="002357B9">
        <w:rPr>
          <w:spacing w:val="-4"/>
          <w:szCs w:val="20"/>
        </w:rPr>
        <w:t>18</w:t>
      </w:r>
      <w:r w:rsidRPr="002357B9">
        <w:rPr>
          <w:spacing w:val="-4"/>
        </w:rPr>
        <w:t>-</w:t>
      </w:r>
      <w:r w:rsidRPr="002357B9">
        <w:rPr>
          <w:spacing w:val="-4"/>
          <w:szCs w:val="20"/>
        </w:rPr>
        <w:t>22</w:t>
      </w:r>
      <w:r w:rsidRPr="002357B9">
        <w:rPr>
          <w:spacing w:val="-4"/>
          <w:rtl/>
        </w:rPr>
        <w:t xml:space="preserve">، الفقرة </w:t>
      </w:r>
      <w:r w:rsidRPr="002357B9">
        <w:rPr>
          <w:spacing w:val="-4"/>
          <w:szCs w:val="20"/>
          <w:rtl/>
        </w:rPr>
        <w:t>9</w:t>
      </w:r>
      <w:r w:rsidRPr="002357B9">
        <w:rPr>
          <w:spacing w:val="-4"/>
          <w:rtl/>
        </w:rPr>
        <w:t>؛ و</w:t>
      </w:r>
      <w:r w:rsidRPr="002357B9">
        <w:rPr>
          <w:spacing w:val="-4"/>
        </w:rPr>
        <w:t>CERD/C/LBN/</w:t>
      </w:r>
      <w:r w:rsidRPr="002357B9">
        <w:rPr>
          <w:spacing w:val="-4"/>
          <w:szCs w:val="20"/>
        </w:rPr>
        <w:t>23</w:t>
      </w:r>
      <w:r w:rsidRPr="002357B9">
        <w:rPr>
          <w:spacing w:val="-4"/>
        </w:rPr>
        <w:t>-</w:t>
      </w:r>
      <w:r w:rsidRPr="002357B9">
        <w:rPr>
          <w:spacing w:val="-4"/>
          <w:szCs w:val="20"/>
        </w:rPr>
        <w:t>24</w:t>
      </w:r>
      <w:r w:rsidRPr="002357B9">
        <w:rPr>
          <w:spacing w:val="-4"/>
          <w:rtl/>
        </w:rPr>
        <w:t xml:space="preserve">، الفقرات </w:t>
      </w:r>
      <w:r w:rsidRPr="002357B9">
        <w:rPr>
          <w:spacing w:val="-4"/>
          <w:szCs w:val="20"/>
          <w:rtl/>
        </w:rPr>
        <w:t>8</w:t>
      </w:r>
      <w:r w:rsidRPr="002357B9">
        <w:rPr>
          <w:spacing w:val="-4"/>
          <w:rtl/>
        </w:rPr>
        <w:t xml:space="preserve"> و</w:t>
      </w:r>
      <w:r w:rsidRPr="002357B9">
        <w:rPr>
          <w:spacing w:val="-4"/>
          <w:szCs w:val="20"/>
          <w:rtl/>
        </w:rPr>
        <w:t>9</w:t>
      </w:r>
      <w:r w:rsidRPr="002357B9">
        <w:rPr>
          <w:spacing w:val="-4"/>
          <w:rtl/>
        </w:rPr>
        <w:t xml:space="preserve"> ومن </w:t>
      </w:r>
      <w:r w:rsidRPr="002357B9">
        <w:rPr>
          <w:spacing w:val="-4"/>
          <w:szCs w:val="20"/>
          <w:rtl/>
        </w:rPr>
        <w:t>119</w:t>
      </w:r>
      <w:r w:rsidRPr="002357B9">
        <w:rPr>
          <w:spacing w:val="-4"/>
          <w:rtl/>
        </w:rPr>
        <w:t xml:space="preserve"> إلى </w:t>
      </w:r>
      <w:r w:rsidRPr="002357B9">
        <w:rPr>
          <w:spacing w:val="-4"/>
          <w:szCs w:val="20"/>
          <w:rtl/>
        </w:rPr>
        <w:t>121</w:t>
      </w:r>
      <w:r w:rsidRPr="002357B9">
        <w:rPr>
          <w:spacing w:val="-4"/>
          <w:rtl/>
        </w:rPr>
        <w:t>).</w:t>
      </w:r>
    </w:p>
    <w:p w:rsidR="00031EC4" w:rsidRPr="002357B9" w:rsidRDefault="00031EC4" w:rsidP="00031EC4">
      <w:pPr>
        <w:pStyle w:val="SingleTxtGA"/>
        <w:rPr>
          <w:rtl/>
        </w:rPr>
      </w:pPr>
      <w:r w:rsidRPr="002357B9">
        <w:rPr>
          <w:szCs w:val="20"/>
          <w:rtl/>
        </w:rPr>
        <w:t>3</w:t>
      </w:r>
      <w:r w:rsidRPr="002357B9">
        <w:rPr>
          <w:rtl/>
        </w:rPr>
        <w:t>-</w:t>
      </w:r>
      <w:r w:rsidRPr="002357B9">
        <w:rPr>
          <w:rtl/>
        </w:rPr>
        <w:tab/>
        <w:t>التدابير المتخذة لحظر خطاب الكراهية العنصرية والتحريض على الكراهية العنصرية أو التمييز العنصري والمعاقبة عليهما؛ ومعلومات عن مكافحة خطاب الكراهية العنصرية، بما في ذلك عدد ونوع الشكاوى المقدمة والتحقيقات والملاحقات القضائية والإدانات؛ والتدابير المتخذة لإدانة خطاب الكراهية العنصرية والبيانات التمييزية ضد المهاجرين واللاجئين (</w:t>
      </w:r>
      <w:r w:rsidRPr="002357B9">
        <w:t>CERD/C/LBN/CO/</w:t>
      </w:r>
      <w:r w:rsidRPr="002357B9">
        <w:rPr>
          <w:szCs w:val="20"/>
        </w:rPr>
        <w:t>18</w:t>
      </w:r>
      <w:r w:rsidRPr="002357B9">
        <w:t>-</w:t>
      </w:r>
      <w:r w:rsidRPr="002357B9">
        <w:rPr>
          <w:szCs w:val="20"/>
        </w:rPr>
        <w:t>22</w:t>
      </w:r>
      <w:r w:rsidRPr="002357B9">
        <w:rPr>
          <w:rtl/>
        </w:rPr>
        <w:t xml:space="preserve">، الفقرة </w:t>
      </w:r>
      <w:r w:rsidRPr="002357B9">
        <w:rPr>
          <w:szCs w:val="20"/>
          <w:rtl/>
        </w:rPr>
        <w:t>10</w:t>
      </w:r>
      <w:r w:rsidRPr="002357B9">
        <w:rPr>
          <w:rtl/>
        </w:rPr>
        <w:t>؛ و</w:t>
      </w:r>
      <w:r w:rsidRPr="002357B9">
        <w:t>CERD/C/LBN/</w:t>
      </w:r>
      <w:r w:rsidRPr="002357B9">
        <w:rPr>
          <w:szCs w:val="20"/>
        </w:rPr>
        <w:t>23</w:t>
      </w:r>
      <w:r w:rsidRPr="002357B9">
        <w:t>-</w:t>
      </w:r>
      <w:r w:rsidRPr="002357B9">
        <w:rPr>
          <w:szCs w:val="20"/>
        </w:rPr>
        <w:t>24</w:t>
      </w:r>
      <w:r w:rsidRPr="002357B9">
        <w:rPr>
          <w:rtl/>
        </w:rPr>
        <w:t xml:space="preserve">، الفقرات من </w:t>
      </w:r>
      <w:r w:rsidRPr="002357B9">
        <w:rPr>
          <w:szCs w:val="20"/>
          <w:rtl/>
        </w:rPr>
        <w:t>122</w:t>
      </w:r>
      <w:r w:rsidRPr="002357B9">
        <w:rPr>
          <w:rtl/>
        </w:rPr>
        <w:t xml:space="preserve"> إلى </w:t>
      </w:r>
      <w:r w:rsidRPr="002357B9">
        <w:rPr>
          <w:szCs w:val="20"/>
          <w:rtl/>
        </w:rPr>
        <w:t>124</w:t>
      </w:r>
      <w:r w:rsidRPr="002357B9">
        <w:rPr>
          <w:rtl/>
        </w:rPr>
        <w:t>).</w:t>
      </w:r>
    </w:p>
    <w:p w:rsidR="00031EC4" w:rsidRPr="002357B9" w:rsidRDefault="00031EC4" w:rsidP="00031EC4">
      <w:pPr>
        <w:pStyle w:val="SingleTxtGA"/>
        <w:rPr>
          <w:rtl/>
        </w:rPr>
      </w:pPr>
      <w:r w:rsidRPr="002357B9">
        <w:rPr>
          <w:szCs w:val="20"/>
          <w:rtl/>
        </w:rPr>
        <w:t>4</w:t>
      </w:r>
      <w:r w:rsidRPr="002357B9">
        <w:rPr>
          <w:rtl/>
        </w:rPr>
        <w:t>-</w:t>
      </w:r>
      <w:r w:rsidRPr="002357B9">
        <w:rPr>
          <w:rtl/>
        </w:rPr>
        <w:tab/>
        <w:t xml:space="preserve">معلومات مستكملة عن حالة مشروع القانون الذي يجري إعداده في وزارة العدل بشأن أفعال أخرى تحظرها المادة </w:t>
      </w:r>
      <w:r w:rsidRPr="002357B9">
        <w:rPr>
          <w:szCs w:val="20"/>
          <w:rtl/>
        </w:rPr>
        <w:t>4</w:t>
      </w:r>
      <w:r w:rsidRPr="002357B9">
        <w:rPr>
          <w:rtl/>
        </w:rPr>
        <w:t xml:space="preserve"> من الاتفاقية (</w:t>
      </w:r>
      <w:r w:rsidRPr="002357B9">
        <w:t>CERD/C/LBN/CO/</w:t>
      </w:r>
      <w:r w:rsidRPr="002357B9">
        <w:rPr>
          <w:szCs w:val="20"/>
        </w:rPr>
        <w:t>18</w:t>
      </w:r>
      <w:r w:rsidRPr="002357B9">
        <w:t>-</w:t>
      </w:r>
      <w:r w:rsidRPr="002357B9">
        <w:rPr>
          <w:szCs w:val="20"/>
        </w:rPr>
        <w:t>22</w:t>
      </w:r>
      <w:r w:rsidRPr="002357B9">
        <w:rPr>
          <w:rtl/>
        </w:rPr>
        <w:t xml:space="preserve">، الفقرتان </w:t>
      </w:r>
      <w:r w:rsidRPr="002357B9">
        <w:rPr>
          <w:szCs w:val="20"/>
          <w:rtl/>
        </w:rPr>
        <w:t>13</w:t>
      </w:r>
      <w:r w:rsidRPr="002357B9">
        <w:rPr>
          <w:rtl/>
        </w:rPr>
        <w:t xml:space="preserve"> و</w:t>
      </w:r>
      <w:r w:rsidRPr="002357B9">
        <w:rPr>
          <w:szCs w:val="20"/>
          <w:rtl/>
        </w:rPr>
        <w:t>14</w:t>
      </w:r>
      <w:r w:rsidRPr="002357B9">
        <w:rPr>
          <w:rtl/>
        </w:rPr>
        <w:t>؛ و</w:t>
      </w:r>
      <w:r w:rsidRPr="002357B9">
        <w:t>CERD/C/LBN/</w:t>
      </w:r>
      <w:r w:rsidRPr="002357B9">
        <w:rPr>
          <w:szCs w:val="20"/>
        </w:rPr>
        <w:t>23</w:t>
      </w:r>
      <w:r w:rsidRPr="002357B9">
        <w:t>-</w:t>
      </w:r>
      <w:r w:rsidRPr="002357B9">
        <w:rPr>
          <w:szCs w:val="20"/>
        </w:rPr>
        <w:t>24</w:t>
      </w:r>
      <w:r w:rsidRPr="002357B9">
        <w:rPr>
          <w:rtl/>
        </w:rPr>
        <w:t xml:space="preserve">، الفقرات من </w:t>
      </w:r>
      <w:r w:rsidRPr="002357B9">
        <w:rPr>
          <w:szCs w:val="20"/>
          <w:rtl/>
        </w:rPr>
        <w:t>125</w:t>
      </w:r>
      <w:r w:rsidRPr="002357B9">
        <w:rPr>
          <w:rtl/>
        </w:rPr>
        <w:t xml:space="preserve"> إلى </w:t>
      </w:r>
      <w:r w:rsidRPr="002357B9">
        <w:rPr>
          <w:szCs w:val="20"/>
          <w:rtl/>
        </w:rPr>
        <w:t>127</w:t>
      </w:r>
      <w:r w:rsidRPr="002357B9">
        <w:rPr>
          <w:rtl/>
        </w:rPr>
        <w:t>).</w:t>
      </w:r>
    </w:p>
    <w:p w:rsidR="00031EC4" w:rsidRPr="002357B9" w:rsidRDefault="00031EC4" w:rsidP="00031EC4">
      <w:pPr>
        <w:pStyle w:val="SingleTxtGA"/>
        <w:rPr>
          <w:rtl/>
        </w:rPr>
      </w:pPr>
      <w:r w:rsidRPr="002357B9">
        <w:rPr>
          <w:szCs w:val="20"/>
          <w:rtl/>
        </w:rPr>
        <w:t>5</w:t>
      </w:r>
      <w:r w:rsidRPr="002357B9">
        <w:rPr>
          <w:rtl/>
        </w:rPr>
        <w:t>-</w:t>
      </w:r>
      <w:r w:rsidRPr="002357B9">
        <w:rPr>
          <w:rtl/>
        </w:rPr>
        <w:tab/>
        <w:t xml:space="preserve">معلومات مستكملة عن تنفيذ الخطة الوطنية لحقوق الإنسان للفترة </w:t>
      </w:r>
      <w:r w:rsidRPr="002357B9">
        <w:rPr>
          <w:szCs w:val="20"/>
          <w:rtl/>
        </w:rPr>
        <w:t>2014</w:t>
      </w:r>
      <w:r w:rsidRPr="002357B9">
        <w:rPr>
          <w:rtl/>
        </w:rPr>
        <w:t>-</w:t>
      </w:r>
      <w:r w:rsidRPr="002357B9">
        <w:rPr>
          <w:szCs w:val="20"/>
          <w:rtl/>
        </w:rPr>
        <w:t>2019</w:t>
      </w:r>
      <w:r w:rsidRPr="002357B9">
        <w:rPr>
          <w:rtl/>
        </w:rPr>
        <w:t xml:space="preserve"> وأثرها على مكافحة التمييز العنصري؛ ومعلومات عن الجهود المبذولة لتجديد هذه الخطة الوطنية (</w:t>
      </w:r>
      <w:r w:rsidRPr="002357B9">
        <w:t>CERD/C/LBN/CO/</w:t>
      </w:r>
      <w:r w:rsidRPr="002357B9">
        <w:rPr>
          <w:szCs w:val="20"/>
        </w:rPr>
        <w:t>18</w:t>
      </w:r>
      <w:r w:rsidRPr="002357B9">
        <w:t>-</w:t>
      </w:r>
      <w:r w:rsidRPr="002357B9">
        <w:rPr>
          <w:szCs w:val="20"/>
        </w:rPr>
        <w:t>22</w:t>
      </w:r>
      <w:r w:rsidRPr="002357B9">
        <w:rPr>
          <w:rtl/>
        </w:rPr>
        <w:t xml:space="preserve">، الفقرة </w:t>
      </w:r>
      <w:r w:rsidRPr="002357B9">
        <w:rPr>
          <w:szCs w:val="20"/>
          <w:rtl/>
        </w:rPr>
        <w:t>16</w:t>
      </w:r>
      <w:r w:rsidRPr="002357B9">
        <w:rPr>
          <w:rtl/>
        </w:rPr>
        <w:t>؛ و</w:t>
      </w:r>
      <w:r w:rsidRPr="002357B9">
        <w:t>CERD/C/LBN/</w:t>
      </w:r>
      <w:r w:rsidRPr="002357B9">
        <w:rPr>
          <w:szCs w:val="20"/>
        </w:rPr>
        <w:t>23</w:t>
      </w:r>
      <w:r w:rsidRPr="002357B9">
        <w:t>-</w:t>
      </w:r>
      <w:r w:rsidRPr="002357B9">
        <w:rPr>
          <w:szCs w:val="20"/>
        </w:rPr>
        <w:t>24</w:t>
      </w:r>
      <w:r w:rsidRPr="002357B9">
        <w:rPr>
          <w:rtl/>
        </w:rPr>
        <w:t xml:space="preserve">، الفقرات من </w:t>
      </w:r>
      <w:r w:rsidRPr="002357B9">
        <w:rPr>
          <w:szCs w:val="20"/>
          <w:rtl/>
        </w:rPr>
        <w:t>128</w:t>
      </w:r>
      <w:r w:rsidRPr="002357B9">
        <w:rPr>
          <w:rtl/>
        </w:rPr>
        <w:t xml:space="preserve"> إلى </w:t>
      </w:r>
      <w:r w:rsidRPr="002357B9">
        <w:rPr>
          <w:szCs w:val="20"/>
          <w:rtl/>
        </w:rPr>
        <w:t>131</w:t>
      </w:r>
      <w:r w:rsidRPr="002357B9">
        <w:rPr>
          <w:rtl/>
        </w:rPr>
        <w:t>).</w:t>
      </w:r>
    </w:p>
    <w:p w:rsidR="00031EC4" w:rsidRPr="002357B9" w:rsidRDefault="00031EC4" w:rsidP="00031EC4">
      <w:pPr>
        <w:pStyle w:val="SingleTxtGA"/>
        <w:rPr>
          <w:rtl/>
        </w:rPr>
      </w:pPr>
      <w:r w:rsidRPr="002357B9">
        <w:rPr>
          <w:szCs w:val="20"/>
          <w:rtl/>
        </w:rPr>
        <w:t>6</w:t>
      </w:r>
      <w:r w:rsidRPr="002357B9">
        <w:rPr>
          <w:rtl/>
        </w:rPr>
        <w:t>-</w:t>
      </w:r>
      <w:r w:rsidRPr="002357B9">
        <w:rPr>
          <w:rtl/>
        </w:rPr>
        <w:tab/>
        <w:t>معلومات عن الموارد البشرية والمالية المخصصة للجنة الوطنية لحقوق الإنسان (</w:t>
      </w:r>
      <w:r w:rsidRPr="002357B9">
        <w:t>CERD/C/LBN/CO/</w:t>
      </w:r>
      <w:r w:rsidRPr="002357B9">
        <w:rPr>
          <w:szCs w:val="20"/>
        </w:rPr>
        <w:t>18</w:t>
      </w:r>
      <w:r w:rsidRPr="002357B9">
        <w:t>-</w:t>
      </w:r>
      <w:r w:rsidRPr="002357B9">
        <w:rPr>
          <w:szCs w:val="20"/>
        </w:rPr>
        <w:t>22</w:t>
      </w:r>
      <w:r w:rsidRPr="002357B9">
        <w:rPr>
          <w:rtl/>
        </w:rPr>
        <w:t xml:space="preserve">، الفقرة </w:t>
      </w:r>
      <w:r w:rsidRPr="002357B9">
        <w:rPr>
          <w:szCs w:val="20"/>
          <w:rtl/>
        </w:rPr>
        <w:t>16</w:t>
      </w:r>
      <w:r w:rsidRPr="002357B9">
        <w:rPr>
          <w:rtl/>
        </w:rPr>
        <w:t>؛ و</w:t>
      </w:r>
      <w:r w:rsidRPr="002357B9">
        <w:t>CERD/C/LBN/</w:t>
      </w:r>
      <w:r w:rsidRPr="002357B9">
        <w:rPr>
          <w:szCs w:val="20"/>
        </w:rPr>
        <w:t>23</w:t>
      </w:r>
      <w:r w:rsidRPr="002357B9">
        <w:t>-</w:t>
      </w:r>
      <w:r w:rsidRPr="002357B9">
        <w:rPr>
          <w:szCs w:val="20"/>
        </w:rPr>
        <w:t>24</w:t>
      </w:r>
      <w:r w:rsidRPr="002357B9">
        <w:rPr>
          <w:rtl/>
        </w:rPr>
        <w:t xml:space="preserve">، الفقرات من </w:t>
      </w:r>
      <w:r w:rsidRPr="002357B9">
        <w:rPr>
          <w:szCs w:val="20"/>
          <w:rtl/>
        </w:rPr>
        <w:t>131</w:t>
      </w:r>
      <w:r w:rsidRPr="002357B9">
        <w:rPr>
          <w:rtl/>
        </w:rPr>
        <w:t xml:space="preserve"> إلى </w:t>
      </w:r>
      <w:r w:rsidRPr="002357B9">
        <w:rPr>
          <w:szCs w:val="20"/>
          <w:rtl/>
        </w:rPr>
        <w:t>135</w:t>
      </w:r>
      <w:r w:rsidRPr="002357B9">
        <w:rPr>
          <w:rtl/>
        </w:rPr>
        <w:t>).</w:t>
      </w:r>
    </w:p>
    <w:p w:rsidR="00031EC4" w:rsidRPr="002357B9" w:rsidRDefault="00031EC4" w:rsidP="00031EC4">
      <w:pPr>
        <w:pStyle w:val="SingleTxtGA"/>
        <w:rPr>
          <w:rtl/>
        </w:rPr>
      </w:pPr>
      <w:r w:rsidRPr="002357B9">
        <w:rPr>
          <w:szCs w:val="20"/>
          <w:rtl/>
        </w:rPr>
        <w:t>7</w:t>
      </w:r>
      <w:r w:rsidRPr="002357B9">
        <w:rPr>
          <w:rtl/>
        </w:rPr>
        <w:t>-</w:t>
      </w:r>
      <w:r w:rsidRPr="002357B9">
        <w:rPr>
          <w:rtl/>
        </w:rPr>
        <w:tab/>
        <w:t>معلومات مستكملة عن التدابير المتخذة لتحسين عملية جمع البيانات المتعلقة بعدد الشكاوى المقدمة والملاحقات القضائية والإدانات والعقوبات المتعلقة بجرائم التمييز العنصري؛ وأمثلة عن الحالات التي طُبقت فيها الأحكام ذات الصلة من التشريعات الوطنية السارية (</w:t>
      </w:r>
      <w:r w:rsidRPr="002357B9">
        <w:t>CERD/C/LBN/CO/</w:t>
      </w:r>
      <w:r w:rsidRPr="002357B9">
        <w:rPr>
          <w:szCs w:val="20"/>
        </w:rPr>
        <w:t>18</w:t>
      </w:r>
      <w:r w:rsidRPr="002357B9">
        <w:t>-</w:t>
      </w:r>
      <w:r w:rsidRPr="002357B9">
        <w:rPr>
          <w:szCs w:val="20"/>
        </w:rPr>
        <w:t>22</w:t>
      </w:r>
      <w:r w:rsidRPr="002357B9">
        <w:rPr>
          <w:rtl/>
        </w:rPr>
        <w:t xml:space="preserve">، الفقرة </w:t>
      </w:r>
      <w:r w:rsidRPr="002357B9">
        <w:rPr>
          <w:szCs w:val="20"/>
          <w:rtl/>
        </w:rPr>
        <w:t>18</w:t>
      </w:r>
      <w:r w:rsidRPr="002357B9">
        <w:rPr>
          <w:rtl/>
        </w:rPr>
        <w:t>؛ و</w:t>
      </w:r>
      <w:r w:rsidRPr="002357B9">
        <w:t>CERD/C/LBN/</w:t>
      </w:r>
      <w:r w:rsidRPr="002357B9">
        <w:rPr>
          <w:szCs w:val="20"/>
        </w:rPr>
        <w:t>23</w:t>
      </w:r>
      <w:r w:rsidRPr="002357B9">
        <w:t>-</w:t>
      </w:r>
      <w:r w:rsidRPr="002357B9">
        <w:rPr>
          <w:szCs w:val="20"/>
        </w:rPr>
        <w:t>24</w:t>
      </w:r>
      <w:r w:rsidRPr="002357B9">
        <w:rPr>
          <w:rtl/>
        </w:rPr>
        <w:t xml:space="preserve">، الفقرة </w:t>
      </w:r>
      <w:r w:rsidRPr="002357B9">
        <w:rPr>
          <w:szCs w:val="20"/>
          <w:rtl/>
        </w:rPr>
        <w:t>136</w:t>
      </w:r>
      <w:r w:rsidRPr="002357B9">
        <w:rPr>
          <w:rtl/>
        </w:rPr>
        <w:t>).</w:t>
      </w:r>
    </w:p>
    <w:p w:rsidR="00031EC4" w:rsidRPr="002357B9" w:rsidRDefault="00031EC4" w:rsidP="002357B9">
      <w:pPr>
        <w:pStyle w:val="H23GA"/>
        <w:rPr>
          <w:rtl/>
        </w:rPr>
      </w:pPr>
      <w:r w:rsidRPr="002357B9">
        <w:rPr>
          <w:rtl/>
        </w:rPr>
        <w:tab/>
      </w:r>
      <w:r w:rsidRPr="002357B9">
        <w:rPr>
          <w:rtl/>
        </w:rPr>
        <w:tab/>
        <w:t xml:space="preserve">حالة المهاجرين وملتمسي اللجوء واللاجئين وعديمي الجنسية (المادتان </w:t>
      </w:r>
      <w:r w:rsidRPr="002357B9">
        <w:rPr>
          <w:szCs w:val="20"/>
          <w:rtl/>
        </w:rPr>
        <w:t>2</w:t>
      </w:r>
      <w:r w:rsidRPr="002357B9">
        <w:rPr>
          <w:rtl/>
        </w:rPr>
        <w:t xml:space="preserve"> و</w:t>
      </w:r>
      <w:r w:rsidRPr="002357B9">
        <w:rPr>
          <w:szCs w:val="20"/>
          <w:rtl/>
        </w:rPr>
        <w:t>5</w:t>
      </w:r>
      <w:r w:rsidRPr="002357B9">
        <w:rPr>
          <w:rtl/>
        </w:rPr>
        <w:t>)</w:t>
      </w:r>
    </w:p>
    <w:p w:rsidR="00031EC4" w:rsidRPr="002357B9" w:rsidRDefault="00031EC4" w:rsidP="00031EC4">
      <w:pPr>
        <w:pStyle w:val="SingleTxtGA"/>
        <w:rPr>
          <w:rtl/>
        </w:rPr>
      </w:pPr>
      <w:r w:rsidRPr="002357B9">
        <w:rPr>
          <w:szCs w:val="20"/>
          <w:rtl/>
        </w:rPr>
        <w:t>8</w:t>
      </w:r>
      <w:r w:rsidRPr="002357B9">
        <w:rPr>
          <w:rtl/>
        </w:rPr>
        <w:t>-</w:t>
      </w:r>
      <w:r w:rsidRPr="002357B9">
        <w:rPr>
          <w:rtl/>
        </w:rPr>
        <w:tab/>
        <w:t>معلومات مستكملة عن التدابير المتخذة لمنح المرأة اللبنانية الحق في نقل جنسيتها إلى أطفالها، مهما كانت جنسية زوجها، وعن أثر هذه التدابير؛ ومعلومات مستكملة عن التدابير الرامية إلى تعديل قانون الجنسية اللبنانية والقرار رقم </w:t>
      </w:r>
      <w:r w:rsidRPr="002357B9">
        <w:rPr>
          <w:szCs w:val="20"/>
          <w:rtl/>
        </w:rPr>
        <w:t>15</w:t>
      </w:r>
      <w:r w:rsidRPr="002357B9">
        <w:rPr>
          <w:rtl/>
        </w:rPr>
        <w:t xml:space="preserve"> المؤرخ </w:t>
      </w:r>
      <w:r w:rsidRPr="002357B9">
        <w:rPr>
          <w:szCs w:val="20"/>
          <w:rtl/>
        </w:rPr>
        <w:t>19</w:t>
      </w:r>
      <w:r w:rsidRPr="002357B9">
        <w:rPr>
          <w:rtl/>
        </w:rPr>
        <w:t xml:space="preserve"> كانون الثاني/يناير </w:t>
      </w:r>
      <w:r w:rsidRPr="002357B9">
        <w:rPr>
          <w:szCs w:val="20"/>
          <w:rtl/>
        </w:rPr>
        <w:t>1925</w:t>
      </w:r>
      <w:r w:rsidRPr="002357B9">
        <w:rPr>
          <w:rtl/>
        </w:rPr>
        <w:t xml:space="preserve"> بشأن الجنسية، بهدف إزالة الأحكام التمييزية ضد المرأة؛ ومعلومات عن إصلاح تسجيل المواليد (</w:t>
      </w:r>
      <w:r w:rsidRPr="002357B9">
        <w:t>CERD/C/LBN/CO/</w:t>
      </w:r>
      <w:r w:rsidRPr="002357B9">
        <w:rPr>
          <w:szCs w:val="20"/>
        </w:rPr>
        <w:t>18</w:t>
      </w:r>
      <w:r w:rsidRPr="002357B9">
        <w:t>-</w:t>
      </w:r>
      <w:r w:rsidRPr="002357B9">
        <w:rPr>
          <w:szCs w:val="20"/>
        </w:rPr>
        <w:t>22</w:t>
      </w:r>
      <w:r w:rsidRPr="002357B9">
        <w:rPr>
          <w:rtl/>
        </w:rPr>
        <w:t xml:space="preserve">، الفقرة </w:t>
      </w:r>
      <w:r w:rsidRPr="002357B9">
        <w:rPr>
          <w:szCs w:val="20"/>
          <w:rtl/>
        </w:rPr>
        <w:t>22</w:t>
      </w:r>
      <w:r w:rsidRPr="002357B9">
        <w:rPr>
          <w:rtl/>
        </w:rPr>
        <w:t>؛ و</w:t>
      </w:r>
      <w:r w:rsidRPr="002357B9">
        <w:t>CERD/C/LBN/</w:t>
      </w:r>
      <w:r w:rsidRPr="002357B9">
        <w:rPr>
          <w:szCs w:val="20"/>
        </w:rPr>
        <w:t>23</w:t>
      </w:r>
      <w:r w:rsidRPr="002357B9">
        <w:t>-</w:t>
      </w:r>
      <w:r w:rsidRPr="002357B9">
        <w:rPr>
          <w:szCs w:val="20"/>
        </w:rPr>
        <w:t>24</w:t>
      </w:r>
      <w:r w:rsidRPr="002357B9">
        <w:rPr>
          <w:rtl/>
        </w:rPr>
        <w:t xml:space="preserve">، الفقرات من </w:t>
      </w:r>
      <w:r w:rsidRPr="002357B9">
        <w:rPr>
          <w:szCs w:val="20"/>
          <w:rtl/>
        </w:rPr>
        <w:t>140</w:t>
      </w:r>
      <w:r w:rsidRPr="002357B9">
        <w:rPr>
          <w:rtl/>
        </w:rPr>
        <w:t xml:space="preserve"> إلى </w:t>
      </w:r>
      <w:r w:rsidRPr="002357B9">
        <w:rPr>
          <w:szCs w:val="20"/>
          <w:rtl/>
        </w:rPr>
        <w:t>156</w:t>
      </w:r>
      <w:r w:rsidRPr="002357B9">
        <w:rPr>
          <w:rtl/>
        </w:rPr>
        <w:t>).</w:t>
      </w:r>
    </w:p>
    <w:p w:rsidR="00031EC4" w:rsidRPr="002357B9" w:rsidRDefault="00031EC4" w:rsidP="00031EC4">
      <w:pPr>
        <w:pStyle w:val="SingleTxtGA"/>
        <w:rPr>
          <w:spacing w:val="-2"/>
          <w:rtl/>
        </w:rPr>
      </w:pPr>
      <w:r w:rsidRPr="002357B9">
        <w:rPr>
          <w:szCs w:val="20"/>
          <w:rtl/>
        </w:rPr>
        <w:t>9</w:t>
      </w:r>
      <w:r w:rsidRPr="002357B9">
        <w:rPr>
          <w:rtl/>
        </w:rPr>
        <w:t>-</w:t>
      </w:r>
      <w:r w:rsidRPr="002357B9">
        <w:rPr>
          <w:rtl/>
        </w:rPr>
        <w:tab/>
      </w:r>
      <w:r w:rsidRPr="002357B9">
        <w:rPr>
          <w:spacing w:val="-2"/>
          <w:rtl/>
        </w:rPr>
        <w:t>معلومات مستكملة عن التدابير المتخذة لوضع إطار قانوني واضح وشامل بشأن اللجوء،</w:t>
      </w:r>
      <w:r w:rsidR="002357B9" w:rsidRPr="002357B9">
        <w:rPr>
          <w:rFonts w:hint="cs"/>
          <w:spacing w:val="-2"/>
          <w:rtl/>
        </w:rPr>
        <w:t> </w:t>
      </w:r>
      <w:r w:rsidRPr="002357B9">
        <w:rPr>
          <w:spacing w:val="-2"/>
          <w:rtl/>
        </w:rPr>
        <w:t>يشمل مبدأ عدم الإعادة القسرية ويسمح لملتمسي اللجوء واللاجئين بممارسة حقوقهم الأساسية دون تمييز (</w:t>
      </w:r>
      <w:r w:rsidRPr="002357B9">
        <w:rPr>
          <w:spacing w:val="-2"/>
        </w:rPr>
        <w:t>CERD/C/LBN/CO/</w:t>
      </w:r>
      <w:r w:rsidRPr="002357B9">
        <w:rPr>
          <w:spacing w:val="-2"/>
          <w:szCs w:val="20"/>
        </w:rPr>
        <w:t>18</w:t>
      </w:r>
      <w:r w:rsidRPr="002357B9">
        <w:rPr>
          <w:spacing w:val="-2"/>
        </w:rPr>
        <w:t>-</w:t>
      </w:r>
      <w:r w:rsidRPr="002357B9">
        <w:rPr>
          <w:spacing w:val="-2"/>
          <w:szCs w:val="20"/>
        </w:rPr>
        <w:t>22</w:t>
      </w:r>
      <w:r w:rsidRPr="002357B9">
        <w:rPr>
          <w:spacing w:val="-2"/>
          <w:rtl/>
        </w:rPr>
        <w:t xml:space="preserve">، الفقرات من </w:t>
      </w:r>
      <w:r w:rsidRPr="002357B9">
        <w:rPr>
          <w:spacing w:val="-2"/>
          <w:szCs w:val="20"/>
          <w:rtl/>
        </w:rPr>
        <w:t>28</w:t>
      </w:r>
      <w:r w:rsidRPr="002357B9">
        <w:rPr>
          <w:spacing w:val="-2"/>
          <w:rtl/>
        </w:rPr>
        <w:t xml:space="preserve"> إلى </w:t>
      </w:r>
      <w:r w:rsidRPr="002357B9">
        <w:rPr>
          <w:spacing w:val="-2"/>
          <w:szCs w:val="20"/>
          <w:rtl/>
        </w:rPr>
        <w:t>30</w:t>
      </w:r>
      <w:r w:rsidRPr="002357B9">
        <w:rPr>
          <w:spacing w:val="-2"/>
          <w:rtl/>
        </w:rPr>
        <w:t>؛ و</w:t>
      </w:r>
      <w:r w:rsidRPr="002357B9">
        <w:rPr>
          <w:spacing w:val="-2"/>
        </w:rPr>
        <w:t>CERD/C/LBN/</w:t>
      </w:r>
      <w:r w:rsidRPr="002357B9">
        <w:rPr>
          <w:spacing w:val="-2"/>
          <w:szCs w:val="20"/>
        </w:rPr>
        <w:t>23</w:t>
      </w:r>
      <w:r w:rsidRPr="002357B9">
        <w:rPr>
          <w:spacing w:val="-2"/>
        </w:rPr>
        <w:t>-</w:t>
      </w:r>
      <w:r w:rsidRPr="002357B9">
        <w:rPr>
          <w:spacing w:val="-2"/>
          <w:szCs w:val="20"/>
        </w:rPr>
        <w:t>24</w:t>
      </w:r>
      <w:r w:rsidRPr="002357B9">
        <w:rPr>
          <w:spacing w:val="-2"/>
          <w:rtl/>
        </w:rPr>
        <w:t xml:space="preserve">، الفقرات من </w:t>
      </w:r>
      <w:r w:rsidRPr="002357B9">
        <w:rPr>
          <w:spacing w:val="-2"/>
          <w:szCs w:val="20"/>
          <w:rtl/>
        </w:rPr>
        <w:t>158</w:t>
      </w:r>
      <w:r w:rsidRPr="002357B9">
        <w:rPr>
          <w:spacing w:val="-2"/>
          <w:rtl/>
        </w:rPr>
        <w:t xml:space="preserve"> إلى </w:t>
      </w:r>
      <w:r w:rsidRPr="002357B9">
        <w:rPr>
          <w:spacing w:val="-2"/>
          <w:szCs w:val="20"/>
          <w:rtl/>
        </w:rPr>
        <w:t>165</w:t>
      </w:r>
      <w:r w:rsidRPr="002357B9">
        <w:rPr>
          <w:spacing w:val="-2"/>
          <w:rtl/>
        </w:rPr>
        <w:t>).</w:t>
      </w:r>
    </w:p>
    <w:p w:rsidR="00031EC4" w:rsidRPr="002357B9" w:rsidRDefault="00031EC4" w:rsidP="00031EC4">
      <w:pPr>
        <w:pStyle w:val="SingleTxtGA"/>
        <w:rPr>
          <w:spacing w:val="-6"/>
          <w:rtl/>
        </w:rPr>
      </w:pPr>
      <w:r w:rsidRPr="002357B9">
        <w:rPr>
          <w:szCs w:val="20"/>
          <w:rtl/>
        </w:rPr>
        <w:t>10</w:t>
      </w:r>
      <w:r w:rsidRPr="002357B9">
        <w:rPr>
          <w:rtl/>
        </w:rPr>
        <w:t>-</w:t>
      </w:r>
      <w:r w:rsidRPr="002357B9">
        <w:rPr>
          <w:rtl/>
        </w:rPr>
        <w:tab/>
      </w:r>
      <w:r w:rsidRPr="002357B9">
        <w:rPr>
          <w:spacing w:val="-6"/>
          <w:rtl/>
        </w:rPr>
        <w:t>معلومات مستكملة عن التدابير المتخذة لتحسين حالة اللاجئين الفلسطينيين، بما في ذلك التعديلات التي أُدخِلت على السياسات والتشريعات ولها أثر تمييزي على السكان الفلسطينيين، وأثر هذه التدابير (</w:t>
      </w:r>
      <w:r w:rsidRPr="002357B9">
        <w:rPr>
          <w:spacing w:val="-6"/>
        </w:rPr>
        <w:t>CERD/C/LBN/CO/</w:t>
      </w:r>
      <w:r w:rsidRPr="002357B9">
        <w:rPr>
          <w:spacing w:val="-6"/>
          <w:szCs w:val="20"/>
        </w:rPr>
        <w:t>18</w:t>
      </w:r>
      <w:r w:rsidRPr="002357B9">
        <w:rPr>
          <w:spacing w:val="-6"/>
        </w:rPr>
        <w:t>-</w:t>
      </w:r>
      <w:r w:rsidRPr="002357B9">
        <w:rPr>
          <w:spacing w:val="-6"/>
          <w:szCs w:val="20"/>
        </w:rPr>
        <w:t>22</w:t>
      </w:r>
      <w:r w:rsidRPr="002357B9">
        <w:rPr>
          <w:spacing w:val="-6"/>
          <w:rtl/>
        </w:rPr>
        <w:t xml:space="preserve">، الفقرة </w:t>
      </w:r>
      <w:r w:rsidRPr="002357B9">
        <w:rPr>
          <w:spacing w:val="-6"/>
          <w:szCs w:val="20"/>
          <w:rtl/>
        </w:rPr>
        <w:t>32</w:t>
      </w:r>
      <w:r w:rsidRPr="002357B9">
        <w:rPr>
          <w:spacing w:val="-6"/>
          <w:rtl/>
        </w:rPr>
        <w:t>؛ و</w:t>
      </w:r>
      <w:r w:rsidRPr="002357B9">
        <w:rPr>
          <w:spacing w:val="-6"/>
        </w:rPr>
        <w:t>CERD/C/LBN/</w:t>
      </w:r>
      <w:r w:rsidRPr="002357B9">
        <w:rPr>
          <w:spacing w:val="-6"/>
          <w:szCs w:val="20"/>
        </w:rPr>
        <w:t>23</w:t>
      </w:r>
      <w:r w:rsidRPr="002357B9">
        <w:rPr>
          <w:spacing w:val="-6"/>
        </w:rPr>
        <w:t>-</w:t>
      </w:r>
      <w:r w:rsidRPr="002357B9">
        <w:rPr>
          <w:spacing w:val="-6"/>
          <w:szCs w:val="20"/>
        </w:rPr>
        <w:t>24</w:t>
      </w:r>
      <w:r w:rsidRPr="002357B9">
        <w:rPr>
          <w:spacing w:val="-6"/>
          <w:rtl/>
        </w:rPr>
        <w:t xml:space="preserve">، الفقرات من </w:t>
      </w:r>
      <w:r w:rsidRPr="002357B9">
        <w:rPr>
          <w:spacing w:val="-6"/>
          <w:szCs w:val="20"/>
          <w:rtl/>
        </w:rPr>
        <w:t>166</w:t>
      </w:r>
      <w:r w:rsidRPr="002357B9">
        <w:rPr>
          <w:spacing w:val="-6"/>
          <w:rtl/>
        </w:rPr>
        <w:t xml:space="preserve"> إلى </w:t>
      </w:r>
      <w:r w:rsidRPr="002357B9">
        <w:rPr>
          <w:spacing w:val="-6"/>
          <w:szCs w:val="20"/>
          <w:rtl/>
        </w:rPr>
        <w:t>174</w:t>
      </w:r>
      <w:r w:rsidRPr="002357B9">
        <w:rPr>
          <w:spacing w:val="-6"/>
          <w:rtl/>
        </w:rPr>
        <w:t>).</w:t>
      </w:r>
    </w:p>
    <w:p w:rsidR="00031EC4" w:rsidRPr="002357B9" w:rsidRDefault="00031EC4" w:rsidP="00031EC4">
      <w:pPr>
        <w:pStyle w:val="SingleTxtGA"/>
        <w:rPr>
          <w:spacing w:val="-2"/>
          <w:rtl/>
        </w:rPr>
      </w:pPr>
      <w:r w:rsidRPr="002357B9">
        <w:rPr>
          <w:szCs w:val="20"/>
          <w:rtl/>
        </w:rPr>
        <w:t>11</w:t>
      </w:r>
      <w:r w:rsidRPr="002357B9">
        <w:rPr>
          <w:rtl/>
        </w:rPr>
        <w:t>-</w:t>
      </w:r>
      <w:r w:rsidRPr="002357B9">
        <w:rPr>
          <w:rtl/>
        </w:rPr>
        <w:tab/>
      </w:r>
      <w:r w:rsidRPr="002357B9">
        <w:rPr>
          <w:spacing w:val="-2"/>
          <w:rtl/>
        </w:rPr>
        <w:t>معلومات عن التدابير المتخذة لرفع القيود المفروضة على عمل اللاجئين في قطاعات معينة فقط (</w:t>
      </w:r>
      <w:r w:rsidRPr="002357B9">
        <w:rPr>
          <w:spacing w:val="-2"/>
        </w:rPr>
        <w:t>CERD/C/LBN/CO/</w:t>
      </w:r>
      <w:r w:rsidRPr="002357B9">
        <w:rPr>
          <w:spacing w:val="-2"/>
          <w:szCs w:val="20"/>
        </w:rPr>
        <w:t>18</w:t>
      </w:r>
      <w:r w:rsidRPr="002357B9">
        <w:rPr>
          <w:spacing w:val="-2"/>
        </w:rPr>
        <w:t>-</w:t>
      </w:r>
      <w:r w:rsidRPr="002357B9">
        <w:rPr>
          <w:spacing w:val="-2"/>
          <w:szCs w:val="20"/>
        </w:rPr>
        <w:t>22</w:t>
      </w:r>
      <w:r w:rsidRPr="002357B9">
        <w:rPr>
          <w:spacing w:val="-2"/>
          <w:rtl/>
        </w:rPr>
        <w:t xml:space="preserve">، الفقرة </w:t>
      </w:r>
      <w:r w:rsidRPr="002357B9">
        <w:rPr>
          <w:spacing w:val="-2"/>
          <w:szCs w:val="20"/>
          <w:rtl/>
        </w:rPr>
        <w:t>34</w:t>
      </w:r>
      <w:r w:rsidRPr="002357B9">
        <w:rPr>
          <w:spacing w:val="-2"/>
          <w:rtl/>
        </w:rPr>
        <w:t>؛ و</w:t>
      </w:r>
      <w:r w:rsidRPr="002357B9">
        <w:rPr>
          <w:spacing w:val="-2"/>
        </w:rPr>
        <w:t>CERD/C/LBN/</w:t>
      </w:r>
      <w:r w:rsidRPr="002357B9">
        <w:rPr>
          <w:spacing w:val="-2"/>
          <w:szCs w:val="20"/>
        </w:rPr>
        <w:t>23</w:t>
      </w:r>
      <w:r w:rsidRPr="002357B9">
        <w:rPr>
          <w:spacing w:val="-2"/>
        </w:rPr>
        <w:t>-</w:t>
      </w:r>
      <w:r w:rsidRPr="002357B9">
        <w:rPr>
          <w:spacing w:val="-2"/>
          <w:szCs w:val="20"/>
        </w:rPr>
        <w:t>24</w:t>
      </w:r>
      <w:r w:rsidRPr="002357B9">
        <w:rPr>
          <w:spacing w:val="-2"/>
          <w:rtl/>
        </w:rPr>
        <w:t xml:space="preserve">، الفقرات من </w:t>
      </w:r>
      <w:r w:rsidRPr="002357B9">
        <w:rPr>
          <w:spacing w:val="-2"/>
          <w:szCs w:val="20"/>
          <w:rtl/>
        </w:rPr>
        <w:t>175</w:t>
      </w:r>
      <w:r w:rsidRPr="002357B9">
        <w:rPr>
          <w:spacing w:val="-2"/>
          <w:rtl/>
        </w:rPr>
        <w:t xml:space="preserve"> إلى </w:t>
      </w:r>
      <w:r w:rsidRPr="002357B9">
        <w:rPr>
          <w:spacing w:val="-2"/>
          <w:szCs w:val="20"/>
          <w:rtl/>
        </w:rPr>
        <w:t>178</w:t>
      </w:r>
      <w:r w:rsidRPr="002357B9">
        <w:rPr>
          <w:spacing w:val="-2"/>
          <w:rtl/>
        </w:rPr>
        <w:t>).</w:t>
      </w:r>
    </w:p>
    <w:p w:rsidR="00031EC4" w:rsidRPr="002357B9" w:rsidRDefault="00031EC4" w:rsidP="00031EC4">
      <w:pPr>
        <w:pStyle w:val="SingleTxtGA"/>
        <w:rPr>
          <w:spacing w:val="-2"/>
          <w:rtl/>
        </w:rPr>
      </w:pPr>
      <w:r w:rsidRPr="002357B9">
        <w:rPr>
          <w:szCs w:val="20"/>
          <w:rtl/>
        </w:rPr>
        <w:t>12</w:t>
      </w:r>
      <w:r w:rsidRPr="002357B9">
        <w:rPr>
          <w:rtl/>
        </w:rPr>
        <w:t>-</w:t>
      </w:r>
      <w:r w:rsidRPr="002357B9">
        <w:rPr>
          <w:rtl/>
        </w:rPr>
        <w:tab/>
      </w:r>
      <w:r w:rsidRPr="002357B9">
        <w:rPr>
          <w:spacing w:val="-2"/>
          <w:rtl/>
        </w:rPr>
        <w:t>معلومات عن تنفيذ وأثر التدابير الرامية إلى ضمان تكافؤ فرص الحصول على التعليم لجميع الأطفال، بصرف النظر عن جنسيتهم أو وضعهم كمهاجرين (</w:t>
      </w:r>
      <w:r w:rsidRPr="002357B9">
        <w:rPr>
          <w:spacing w:val="-2"/>
        </w:rPr>
        <w:t>CERD/C/LBN/CO/</w:t>
      </w:r>
      <w:r w:rsidRPr="002357B9">
        <w:rPr>
          <w:spacing w:val="-2"/>
          <w:szCs w:val="20"/>
        </w:rPr>
        <w:t>18</w:t>
      </w:r>
      <w:r w:rsidRPr="002357B9">
        <w:rPr>
          <w:spacing w:val="-2"/>
        </w:rPr>
        <w:t>-</w:t>
      </w:r>
      <w:r w:rsidRPr="002357B9">
        <w:rPr>
          <w:spacing w:val="-2"/>
          <w:szCs w:val="20"/>
        </w:rPr>
        <w:t>22</w:t>
      </w:r>
      <w:r w:rsidRPr="002357B9">
        <w:rPr>
          <w:spacing w:val="-2"/>
          <w:rtl/>
        </w:rPr>
        <w:t xml:space="preserve">، الفقرة </w:t>
      </w:r>
      <w:r w:rsidRPr="002357B9">
        <w:rPr>
          <w:spacing w:val="-2"/>
          <w:szCs w:val="20"/>
          <w:rtl/>
        </w:rPr>
        <w:t>36</w:t>
      </w:r>
      <w:r w:rsidRPr="002357B9">
        <w:rPr>
          <w:spacing w:val="-2"/>
          <w:rtl/>
        </w:rPr>
        <w:t>؛ و</w:t>
      </w:r>
      <w:r w:rsidRPr="002357B9">
        <w:rPr>
          <w:spacing w:val="-2"/>
        </w:rPr>
        <w:t>CERD/C/LBN/</w:t>
      </w:r>
      <w:r w:rsidRPr="002357B9">
        <w:rPr>
          <w:spacing w:val="-2"/>
          <w:szCs w:val="20"/>
        </w:rPr>
        <w:t>23</w:t>
      </w:r>
      <w:r w:rsidRPr="002357B9">
        <w:rPr>
          <w:spacing w:val="-2"/>
        </w:rPr>
        <w:t>-</w:t>
      </w:r>
      <w:r w:rsidRPr="002357B9">
        <w:rPr>
          <w:spacing w:val="-2"/>
          <w:szCs w:val="20"/>
        </w:rPr>
        <w:t>24</w:t>
      </w:r>
      <w:r w:rsidRPr="002357B9">
        <w:rPr>
          <w:spacing w:val="-2"/>
          <w:rtl/>
        </w:rPr>
        <w:t xml:space="preserve">، الفقرات من </w:t>
      </w:r>
      <w:r w:rsidRPr="002357B9">
        <w:rPr>
          <w:spacing w:val="-2"/>
          <w:szCs w:val="20"/>
          <w:rtl/>
        </w:rPr>
        <w:t>179</w:t>
      </w:r>
      <w:r w:rsidRPr="002357B9">
        <w:rPr>
          <w:spacing w:val="-2"/>
          <w:rtl/>
        </w:rPr>
        <w:t xml:space="preserve"> إلى </w:t>
      </w:r>
      <w:r w:rsidRPr="002357B9">
        <w:rPr>
          <w:spacing w:val="-2"/>
          <w:szCs w:val="20"/>
          <w:rtl/>
        </w:rPr>
        <w:t>193</w:t>
      </w:r>
      <w:r w:rsidRPr="002357B9">
        <w:rPr>
          <w:spacing w:val="-2"/>
          <w:rtl/>
        </w:rPr>
        <w:t>).</w:t>
      </w:r>
    </w:p>
    <w:p w:rsidR="00031EC4" w:rsidRPr="002357B9" w:rsidRDefault="00031EC4" w:rsidP="00031EC4">
      <w:pPr>
        <w:pStyle w:val="SingleTxtGA"/>
        <w:rPr>
          <w:rtl/>
        </w:rPr>
      </w:pPr>
      <w:r w:rsidRPr="002357B9">
        <w:rPr>
          <w:szCs w:val="20"/>
          <w:rtl/>
        </w:rPr>
        <w:t>13</w:t>
      </w:r>
      <w:r w:rsidRPr="002357B9">
        <w:rPr>
          <w:rtl/>
        </w:rPr>
        <w:t>-</w:t>
      </w:r>
      <w:r w:rsidRPr="002357B9">
        <w:rPr>
          <w:rtl/>
        </w:rPr>
        <w:tab/>
        <w:t>معلومات عن التدابير المتخذة لضمان عدم تقييد حرية التنقل على أساس الجنسية أو غيرها من الأسباب التي تحظرها الاتفاقية، وعن المراقبة الفعلية للقرارات المتخذة لتقييد هذه التنقلات (</w:t>
      </w:r>
      <w:r w:rsidRPr="002357B9">
        <w:t>CERD/C/LBN/CO/</w:t>
      </w:r>
      <w:r w:rsidRPr="002357B9">
        <w:rPr>
          <w:szCs w:val="20"/>
        </w:rPr>
        <w:t>18</w:t>
      </w:r>
      <w:r w:rsidRPr="002357B9">
        <w:t>-</w:t>
      </w:r>
      <w:r w:rsidRPr="002357B9">
        <w:rPr>
          <w:szCs w:val="20"/>
        </w:rPr>
        <w:t>22</w:t>
      </w:r>
      <w:r w:rsidRPr="002357B9">
        <w:rPr>
          <w:rtl/>
        </w:rPr>
        <w:t xml:space="preserve">، الفقرة </w:t>
      </w:r>
      <w:r w:rsidRPr="002357B9">
        <w:rPr>
          <w:szCs w:val="20"/>
          <w:rtl/>
        </w:rPr>
        <w:t>38</w:t>
      </w:r>
      <w:r w:rsidRPr="002357B9">
        <w:rPr>
          <w:rtl/>
        </w:rPr>
        <w:t>؛ و</w:t>
      </w:r>
      <w:r w:rsidRPr="002357B9">
        <w:t>CERD/C/LBN/</w:t>
      </w:r>
      <w:r w:rsidRPr="002357B9">
        <w:rPr>
          <w:szCs w:val="20"/>
        </w:rPr>
        <w:t>23</w:t>
      </w:r>
      <w:r w:rsidRPr="002357B9">
        <w:t>-</w:t>
      </w:r>
      <w:r w:rsidRPr="002357B9">
        <w:rPr>
          <w:szCs w:val="20"/>
        </w:rPr>
        <w:t>24</w:t>
      </w:r>
      <w:r w:rsidRPr="002357B9">
        <w:rPr>
          <w:rtl/>
        </w:rPr>
        <w:t xml:space="preserve">، الفقرة </w:t>
      </w:r>
      <w:r w:rsidRPr="002357B9">
        <w:rPr>
          <w:szCs w:val="20"/>
          <w:rtl/>
        </w:rPr>
        <w:t>194</w:t>
      </w:r>
      <w:r w:rsidRPr="002357B9">
        <w:rPr>
          <w:rtl/>
        </w:rPr>
        <w:t>).</w:t>
      </w:r>
    </w:p>
    <w:p w:rsidR="00031EC4" w:rsidRPr="002357B9" w:rsidRDefault="00031EC4" w:rsidP="00031EC4">
      <w:pPr>
        <w:pStyle w:val="SingleTxtGA"/>
        <w:rPr>
          <w:spacing w:val="-2"/>
          <w:rtl/>
        </w:rPr>
      </w:pPr>
      <w:r w:rsidRPr="002357B9">
        <w:rPr>
          <w:szCs w:val="20"/>
          <w:rtl/>
        </w:rPr>
        <w:t>14</w:t>
      </w:r>
      <w:r w:rsidRPr="002357B9">
        <w:rPr>
          <w:rtl/>
        </w:rPr>
        <w:t>-</w:t>
      </w:r>
      <w:r w:rsidRPr="002357B9">
        <w:rPr>
          <w:spacing w:val="-2"/>
          <w:rtl/>
        </w:rPr>
        <w:tab/>
        <w:t>التدابير المتخذة لضمان المساواة في المعاملة في المحاكم، بما في ذلك إلغاء الكفالة الإضافية المطلوبة للأجانب الذين يلجأون إلى نظام العدالة الجنائية اللبناني (</w:t>
      </w:r>
      <w:r w:rsidRPr="002357B9">
        <w:rPr>
          <w:spacing w:val="-2"/>
        </w:rPr>
        <w:t>CERD/C/LBN/CO/</w:t>
      </w:r>
      <w:r w:rsidRPr="002357B9">
        <w:rPr>
          <w:spacing w:val="-2"/>
          <w:szCs w:val="20"/>
        </w:rPr>
        <w:t>18</w:t>
      </w:r>
      <w:r w:rsidRPr="002357B9">
        <w:rPr>
          <w:spacing w:val="-2"/>
        </w:rPr>
        <w:t>-</w:t>
      </w:r>
      <w:r w:rsidRPr="002357B9">
        <w:rPr>
          <w:spacing w:val="-2"/>
          <w:szCs w:val="20"/>
        </w:rPr>
        <w:t>22</w:t>
      </w:r>
      <w:r w:rsidRPr="002357B9">
        <w:rPr>
          <w:spacing w:val="-2"/>
          <w:rtl/>
        </w:rPr>
        <w:t xml:space="preserve">، الفقرة </w:t>
      </w:r>
      <w:r w:rsidRPr="002357B9">
        <w:rPr>
          <w:spacing w:val="-2"/>
          <w:szCs w:val="20"/>
          <w:rtl/>
        </w:rPr>
        <w:t>40</w:t>
      </w:r>
      <w:r w:rsidRPr="002357B9">
        <w:rPr>
          <w:spacing w:val="-2"/>
          <w:rtl/>
        </w:rPr>
        <w:t>؛ و</w:t>
      </w:r>
      <w:r w:rsidRPr="002357B9">
        <w:rPr>
          <w:spacing w:val="-2"/>
        </w:rPr>
        <w:t>CERD/C/LBN/</w:t>
      </w:r>
      <w:r w:rsidRPr="002357B9">
        <w:rPr>
          <w:spacing w:val="-2"/>
          <w:szCs w:val="20"/>
        </w:rPr>
        <w:t>23</w:t>
      </w:r>
      <w:r w:rsidRPr="002357B9">
        <w:rPr>
          <w:spacing w:val="-2"/>
        </w:rPr>
        <w:t>-</w:t>
      </w:r>
      <w:r w:rsidRPr="002357B9">
        <w:rPr>
          <w:spacing w:val="-2"/>
          <w:szCs w:val="20"/>
        </w:rPr>
        <w:t>24</w:t>
      </w:r>
      <w:r w:rsidRPr="002357B9">
        <w:rPr>
          <w:spacing w:val="-2"/>
          <w:rtl/>
        </w:rPr>
        <w:t xml:space="preserve">، الفقرتان </w:t>
      </w:r>
      <w:r w:rsidRPr="002357B9">
        <w:rPr>
          <w:spacing w:val="-2"/>
          <w:szCs w:val="20"/>
          <w:rtl/>
        </w:rPr>
        <w:t>195</w:t>
      </w:r>
      <w:r w:rsidRPr="002357B9">
        <w:rPr>
          <w:spacing w:val="-2"/>
          <w:rtl/>
        </w:rPr>
        <w:t xml:space="preserve"> و</w:t>
      </w:r>
      <w:r w:rsidRPr="002357B9">
        <w:rPr>
          <w:spacing w:val="-2"/>
          <w:szCs w:val="20"/>
          <w:rtl/>
        </w:rPr>
        <w:t>196</w:t>
      </w:r>
      <w:r w:rsidRPr="002357B9">
        <w:rPr>
          <w:spacing w:val="-2"/>
          <w:rtl/>
        </w:rPr>
        <w:t>).</w:t>
      </w:r>
    </w:p>
    <w:p w:rsidR="00031EC4" w:rsidRPr="002357B9" w:rsidRDefault="00031EC4" w:rsidP="00031EC4">
      <w:pPr>
        <w:pStyle w:val="SingleTxtGA"/>
        <w:rPr>
          <w:rtl/>
        </w:rPr>
      </w:pPr>
      <w:r w:rsidRPr="002357B9">
        <w:rPr>
          <w:szCs w:val="20"/>
          <w:rtl/>
        </w:rPr>
        <w:t>15</w:t>
      </w:r>
      <w:r w:rsidRPr="002357B9">
        <w:rPr>
          <w:rtl/>
        </w:rPr>
        <w:t>-</w:t>
      </w:r>
      <w:r w:rsidRPr="002357B9">
        <w:rPr>
          <w:rtl/>
        </w:rPr>
        <w:tab/>
        <w:t>معلومات مستكملة عن تنفيذ وأثر التدابير الرامية إلى حماية العمال المنزليين المهاجرين من الإيذاء والاستغلال؛ ومعلومات مستكملة عن اعتماد ومضمون مشروع القانون الذي صاغته وزارة العمل والذي ينظم العمل اللائق للعمال المنزليين (</w:t>
      </w:r>
      <w:r w:rsidRPr="002357B9">
        <w:t>CERD/C/LBN/CO/</w:t>
      </w:r>
      <w:r w:rsidRPr="002357B9">
        <w:rPr>
          <w:szCs w:val="20"/>
        </w:rPr>
        <w:t>18</w:t>
      </w:r>
      <w:r w:rsidRPr="002357B9">
        <w:t>-</w:t>
      </w:r>
      <w:r w:rsidRPr="002357B9">
        <w:rPr>
          <w:szCs w:val="20"/>
        </w:rPr>
        <w:t>22</w:t>
      </w:r>
      <w:r w:rsidRPr="002357B9">
        <w:rPr>
          <w:rtl/>
        </w:rPr>
        <w:t xml:space="preserve">، الفقرة </w:t>
      </w:r>
      <w:r w:rsidRPr="002357B9">
        <w:rPr>
          <w:szCs w:val="20"/>
          <w:rtl/>
        </w:rPr>
        <w:t>42</w:t>
      </w:r>
      <w:r w:rsidRPr="002357B9">
        <w:rPr>
          <w:rtl/>
        </w:rPr>
        <w:t>؛ و</w:t>
      </w:r>
      <w:r w:rsidRPr="002357B9">
        <w:t>CERD/C/LBN/</w:t>
      </w:r>
      <w:r w:rsidRPr="002357B9">
        <w:rPr>
          <w:szCs w:val="20"/>
        </w:rPr>
        <w:t>23</w:t>
      </w:r>
      <w:r w:rsidRPr="002357B9">
        <w:t>-</w:t>
      </w:r>
      <w:r w:rsidRPr="002357B9">
        <w:rPr>
          <w:szCs w:val="20"/>
        </w:rPr>
        <w:t>24</w:t>
      </w:r>
      <w:r w:rsidRPr="002357B9">
        <w:rPr>
          <w:rtl/>
        </w:rPr>
        <w:t xml:space="preserve">، الفقرات من </w:t>
      </w:r>
      <w:r w:rsidRPr="002357B9">
        <w:rPr>
          <w:szCs w:val="20"/>
          <w:rtl/>
        </w:rPr>
        <w:t>197</w:t>
      </w:r>
      <w:r w:rsidRPr="002357B9">
        <w:rPr>
          <w:rtl/>
        </w:rPr>
        <w:t xml:space="preserve"> إلى </w:t>
      </w:r>
      <w:r w:rsidRPr="002357B9">
        <w:rPr>
          <w:szCs w:val="20"/>
          <w:rtl/>
        </w:rPr>
        <w:t>209</w:t>
      </w:r>
      <w:r w:rsidRPr="002357B9">
        <w:rPr>
          <w:rtl/>
        </w:rPr>
        <w:t>).</w:t>
      </w:r>
    </w:p>
    <w:p w:rsidR="00031EC4" w:rsidRPr="002357B9" w:rsidRDefault="00031EC4" w:rsidP="00031EC4">
      <w:pPr>
        <w:pStyle w:val="H23GA"/>
        <w:rPr>
          <w:rtl/>
        </w:rPr>
      </w:pPr>
      <w:r w:rsidRPr="002357B9">
        <w:rPr>
          <w:rtl/>
        </w:rPr>
        <w:tab/>
      </w:r>
      <w:r w:rsidRPr="002357B9">
        <w:rPr>
          <w:rtl/>
        </w:rPr>
        <w:tab/>
        <w:t xml:space="preserve">التثقيف في مجال حقوق الإنسان لمكافحة التحيز والتعصب (المادة </w:t>
      </w:r>
      <w:r w:rsidRPr="002357B9">
        <w:rPr>
          <w:szCs w:val="20"/>
          <w:rtl/>
        </w:rPr>
        <w:t>7</w:t>
      </w:r>
      <w:r w:rsidRPr="002357B9">
        <w:rPr>
          <w:rtl/>
        </w:rPr>
        <w:t>)</w:t>
      </w:r>
    </w:p>
    <w:p w:rsidR="00031EC4" w:rsidRDefault="00031EC4" w:rsidP="00031EC4">
      <w:pPr>
        <w:pStyle w:val="SingleTxtGA"/>
        <w:rPr>
          <w:spacing w:val="-2"/>
          <w:rtl/>
        </w:rPr>
      </w:pPr>
      <w:r w:rsidRPr="002357B9">
        <w:rPr>
          <w:szCs w:val="20"/>
          <w:rtl/>
        </w:rPr>
        <w:t>16</w:t>
      </w:r>
      <w:r w:rsidRPr="002357B9">
        <w:rPr>
          <w:rtl/>
        </w:rPr>
        <w:t>-</w:t>
      </w:r>
      <w:r w:rsidRPr="002357B9">
        <w:rPr>
          <w:rtl/>
        </w:rPr>
        <w:tab/>
      </w:r>
      <w:r w:rsidRPr="002357B9">
        <w:rPr>
          <w:spacing w:val="-2"/>
          <w:rtl/>
        </w:rPr>
        <w:t>معلومات عن التقدم المحرز في التنسيق فيما بين الوزارات لتعزيز الجهود التثقيفية لمكافحة التمييز العنصري وتوسيع نطاقها لتصل إلى عامة الجمهور (</w:t>
      </w:r>
      <w:r w:rsidRPr="002357B9">
        <w:rPr>
          <w:spacing w:val="-2"/>
        </w:rPr>
        <w:t>CERD/C/LBN/CO/</w:t>
      </w:r>
      <w:r w:rsidRPr="002357B9">
        <w:rPr>
          <w:spacing w:val="-2"/>
          <w:szCs w:val="20"/>
        </w:rPr>
        <w:t>18</w:t>
      </w:r>
      <w:r w:rsidRPr="002357B9">
        <w:rPr>
          <w:spacing w:val="-2"/>
        </w:rPr>
        <w:t>-</w:t>
      </w:r>
      <w:r w:rsidRPr="002357B9">
        <w:rPr>
          <w:spacing w:val="-2"/>
          <w:szCs w:val="20"/>
        </w:rPr>
        <w:t>22</w:t>
      </w:r>
      <w:r w:rsidRPr="002357B9">
        <w:rPr>
          <w:spacing w:val="-2"/>
          <w:rtl/>
        </w:rPr>
        <w:t>، الفقرة</w:t>
      </w:r>
      <w:r w:rsidRPr="002357B9">
        <w:rPr>
          <w:rFonts w:hint="cs"/>
          <w:spacing w:val="-2"/>
          <w:rtl/>
        </w:rPr>
        <w:t> </w:t>
      </w:r>
      <w:r w:rsidRPr="002357B9">
        <w:rPr>
          <w:spacing w:val="-2"/>
          <w:szCs w:val="20"/>
          <w:rtl/>
        </w:rPr>
        <w:t>45</w:t>
      </w:r>
      <w:r w:rsidRPr="002357B9">
        <w:rPr>
          <w:spacing w:val="-2"/>
          <w:rtl/>
        </w:rPr>
        <w:t>؛ و</w:t>
      </w:r>
      <w:r w:rsidRPr="002357B9">
        <w:rPr>
          <w:spacing w:val="-2"/>
        </w:rPr>
        <w:t>CERD/C/LBN/</w:t>
      </w:r>
      <w:r w:rsidRPr="002357B9">
        <w:rPr>
          <w:spacing w:val="-2"/>
          <w:szCs w:val="20"/>
        </w:rPr>
        <w:t>23</w:t>
      </w:r>
      <w:r w:rsidRPr="002357B9">
        <w:rPr>
          <w:spacing w:val="-2"/>
        </w:rPr>
        <w:t>-</w:t>
      </w:r>
      <w:r w:rsidRPr="002357B9">
        <w:rPr>
          <w:spacing w:val="-2"/>
          <w:szCs w:val="20"/>
        </w:rPr>
        <w:t>24</w:t>
      </w:r>
      <w:r w:rsidRPr="002357B9">
        <w:rPr>
          <w:spacing w:val="-2"/>
          <w:rtl/>
        </w:rPr>
        <w:t xml:space="preserve">، الفقرة </w:t>
      </w:r>
      <w:r w:rsidRPr="002357B9">
        <w:rPr>
          <w:spacing w:val="-2"/>
          <w:szCs w:val="20"/>
          <w:rtl/>
        </w:rPr>
        <w:t>211</w:t>
      </w:r>
      <w:r w:rsidRPr="002357B9">
        <w:rPr>
          <w:spacing w:val="-2"/>
          <w:rtl/>
        </w:rPr>
        <w:t>).</w:t>
      </w:r>
    </w:p>
    <w:p w:rsidR="00031EC4" w:rsidRPr="00031EC4" w:rsidRDefault="00031EC4" w:rsidP="00031EC4">
      <w:pPr>
        <w:pStyle w:val="SingleTxtGA"/>
        <w:jc w:val="center"/>
        <w:rPr>
          <w:u w:val="single"/>
        </w:rPr>
      </w:pPr>
      <w:r>
        <w:rPr>
          <w:u w:val="single"/>
          <w:rtl/>
        </w:rPr>
        <w:tab/>
      </w:r>
      <w:r>
        <w:rPr>
          <w:u w:val="single"/>
          <w:rtl/>
        </w:rPr>
        <w:tab/>
      </w:r>
      <w:r>
        <w:rPr>
          <w:u w:val="single"/>
          <w:rtl/>
        </w:rPr>
        <w:tab/>
      </w:r>
      <w:bookmarkStart w:id="0" w:name="_GoBack"/>
      <w:bookmarkEnd w:id="0"/>
    </w:p>
    <w:sectPr w:rsidR="00031EC4" w:rsidRPr="00031EC4" w:rsidSect="001828F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CB5" w:rsidRPr="002901D9" w:rsidRDefault="00D26CB5" w:rsidP="002901D9">
      <w:pPr>
        <w:spacing w:after="60" w:line="240" w:lineRule="auto"/>
        <w:rPr>
          <w:i/>
          <w:iCs/>
        </w:rPr>
      </w:pPr>
      <w:r>
        <w:rPr>
          <w:rFonts w:hint="cs"/>
          <w:i/>
          <w:iCs/>
          <w:rtl/>
        </w:rPr>
        <w:t>الحواشي</w:t>
      </w:r>
    </w:p>
  </w:endnote>
  <w:endnote w:type="continuationSeparator" w:id="0">
    <w:p w:rsidR="00D26CB5" w:rsidRDefault="00D26CB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FA" w:rsidRPr="00031EC4" w:rsidRDefault="00031EC4" w:rsidP="00031EC4">
    <w:pPr>
      <w:pStyle w:val="Footer"/>
      <w:tabs>
        <w:tab w:val="right" w:pos="9598"/>
      </w:tabs>
      <w:rPr>
        <w:sz w:val="17"/>
      </w:rPr>
    </w:pPr>
    <w:r>
      <w:rPr>
        <w:sz w:val="17"/>
      </w:rPr>
      <w:t>GE.20-02362</w:t>
    </w:r>
    <w:r>
      <w:rPr>
        <w:sz w:val="17"/>
      </w:rPr>
      <w:tab/>
    </w:r>
    <w:r w:rsidRPr="00031EC4">
      <w:rPr>
        <w:b/>
        <w:sz w:val="18"/>
      </w:rPr>
      <w:fldChar w:fldCharType="begin"/>
    </w:r>
    <w:r w:rsidRPr="00031EC4">
      <w:rPr>
        <w:b/>
        <w:sz w:val="18"/>
      </w:rPr>
      <w:instrText xml:space="preserve"> PAGE  \* MERGEFORMAT </w:instrText>
    </w:r>
    <w:r w:rsidRPr="00031EC4">
      <w:rPr>
        <w:b/>
        <w:sz w:val="18"/>
      </w:rPr>
      <w:fldChar w:fldCharType="separate"/>
    </w:r>
    <w:r>
      <w:rPr>
        <w:b/>
        <w:sz w:val="18"/>
      </w:rPr>
      <w:t>2</w:t>
    </w:r>
    <w:r w:rsidRPr="00031EC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031EC4" w:rsidRDefault="00031EC4" w:rsidP="006959B0">
    <w:pPr>
      <w:pStyle w:val="Footer"/>
      <w:tabs>
        <w:tab w:val="right" w:pos="9599"/>
      </w:tabs>
      <w:jc w:val="left"/>
      <w:rPr>
        <w:b/>
        <w:sz w:val="18"/>
        <w:lang w:val="en-US"/>
      </w:rPr>
    </w:pPr>
    <w:r w:rsidRPr="00031EC4">
      <w:rPr>
        <w:b/>
        <w:sz w:val="18"/>
        <w:lang w:val="en-US"/>
      </w:rPr>
      <w:fldChar w:fldCharType="begin"/>
    </w:r>
    <w:r w:rsidRPr="00031EC4">
      <w:rPr>
        <w:b/>
        <w:sz w:val="18"/>
        <w:lang w:val="en-US"/>
      </w:rPr>
      <w:instrText xml:space="preserve"> PAGE  \* MERGEFORMAT </w:instrText>
    </w:r>
    <w:r w:rsidRPr="00031EC4">
      <w:rPr>
        <w:b/>
        <w:sz w:val="18"/>
        <w:lang w:val="en-US"/>
      </w:rPr>
      <w:fldChar w:fldCharType="separate"/>
    </w:r>
    <w:r w:rsidRPr="00031EC4">
      <w:rPr>
        <w:b/>
        <w:noProof/>
        <w:sz w:val="18"/>
        <w:lang w:val="en-US"/>
      </w:rPr>
      <w:t>3</w:t>
    </w:r>
    <w:r w:rsidRPr="00031EC4">
      <w:rPr>
        <w:b/>
        <w:sz w:val="18"/>
        <w:lang w:val="en-US"/>
      </w:rPr>
      <w:fldChar w:fldCharType="end"/>
    </w:r>
    <w:r>
      <w:rPr>
        <w:b/>
        <w:sz w:val="18"/>
        <w:lang w:val="en-US"/>
      </w:rPr>
      <w:tab/>
    </w:r>
    <w:r>
      <w:rPr>
        <w:sz w:val="17"/>
        <w:lang w:val="en-US"/>
      </w:rPr>
      <w:t>GE.20-02362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54" w:rsidRDefault="001828FA" w:rsidP="00912700">
    <w:pPr>
      <w:pStyle w:val="Footer"/>
      <w:spacing w:before="360"/>
      <w:jc w:val="right"/>
      <w:rPr>
        <w:sz w:val="20"/>
        <w:szCs w:val="20"/>
      </w:rPr>
    </w:pPr>
    <w:r>
      <w:rPr>
        <w:sz w:val="20"/>
        <w:szCs w:val="20"/>
      </w:rPr>
      <w:t>GE.20-02362</w:t>
    </w:r>
    <w:r w:rsidR="00156D54">
      <w:rPr>
        <w:noProof/>
        <w:lang w:val="en-US"/>
      </w:rPr>
      <w:drawing>
        <wp:anchor distT="0" distB="0" distL="114300" distR="114300" simplePos="0" relativeHeight="251666432"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1828FA" w:rsidRPr="001828FA" w:rsidRDefault="001828FA" w:rsidP="001828F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CB5" w:rsidRDefault="00D26CB5" w:rsidP="00CB28F9">
      <w:pPr>
        <w:pStyle w:val="Footer"/>
        <w:bidi/>
        <w:spacing w:after="80" w:line="200" w:lineRule="exact"/>
        <w:ind w:left="680"/>
      </w:pPr>
      <w:r>
        <w:rPr>
          <w:rtl/>
        </w:rPr>
        <w:t>__________</w:t>
      </w:r>
    </w:p>
    <w:p w:rsidR="00D26CB5" w:rsidRPr="00CB28F9" w:rsidRDefault="00D26CB5" w:rsidP="00CB28F9">
      <w:pPr>
        <w:pStyle w:val="Footer"/>
      </w:pPr>
    </w:p>
  </w:footnote>
  <w:footnote w:type="continuationSeparator" w:id="0">
    <w:p w:rsidR="00D26CB5" w:rsidRDefault="00D26CB5"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FA" w:rsidRPr="00031EC4" w:rsidRDefault="00031EC4" w:rsidP="00031EC4">
    <w:pPr>
      <w:pStyle w:val="Header"/>
      <w:jc w:val="right"/>
    </w:pPr>
    <w:r w:rsidRPr="00031EC4">
      <w:t>CERD/C/LBN/Q/23-24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FA" w:rsidRPr="00031EC4" w:rsidRDefault="00031EC4" w:rsidP="00031EC4">
    <w:pPr>
      <w:pStyle w:val="Header"/>
      <w:jc w:val="left"/>
    </w:pPr>
    <w:r w:rsidRPr="00031EC4">
      <w:t>CERD/C/LBN/Q/23-24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26CB5"/>
    <w:rsid w:val="000076D5"/>
    <w:rsid w:val="00031EC4"/>
    <w:rsid w:val="00043663"/>
    <w:rsid w:val="000505CF"/>
    <w:rsid w:val="000D701C"/>
    <w:rsid w:val="000E2A71"/>
    <w:rsid w:val="00115123"/>
    <w:rsid w:val="00156D54"/>
    <w:rsid w:val="00160263"/>
    <w:rsid w:val="00181F96"/>
    <w:rsid w:val="001828FA"/>
    <w:rsid w:val="001A1371"/>
    <w:rsid w:val="001B346A"/>
    <w:rsid w:val="001E1CAD"/>
    <w:rsid w:val="001E290D"/>
    <w:rsid w:val="002144FA"/>
    <w:rsid w:val="0023469A"/>
    <w:rsid w:val="002357B9"/>
    <w:rsid w:val="00243C8A"/>
    <w:rsid w:val="00267A0E"/>
    <w:rsid w:val="002901D9"/>
    <w:rsid w:val="002976C2"/>
    <w:rsid w:val="002D2D42"/>
    <w:rsid w:val="003260FF"/>
    <w:rsid w:val="00326A5E"/>
    <w:rsid w:val="00343D95"/>
    <w:rsid w:val="00374341"/>
    <w:rsid w:val="003D1062"/>
    <w:rsid w:val="003E0437"/>
    <w:rsid w:val="00420D7B"/>
    <w:rsid w:val="00450B21"/>
    <w:rsid w:val="00453B63"/>
    <w:rsid w:val="00455780"/>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852A9A"/>
    <w:rsid w:val="008F49E1"/>
    <w:rsid w:val="0090370F"/>
    <w:rsid w:val="00912700"/>
    <w:rsid w:val="009269D2"/>
    <w:rsid w:val="00942135"/>
    <w:rsid w:val="009521B0"/>
    <w:rsid w:val="00994130"/>
    <w:rsid w:val="009A7E9F"/>
    <w:rsid w:val="009E5018"/>
    <w:rsid w:val="00A12B37"/>
    <w:rsid w:val="00AB6758"/>
    <w:rsid w:val="00B13763"/>
    <w:rsid w:val="00B477A4"/>
    <w:rsid w:val="00B54045"/>
    <w:rsid w:val="00B96D7C"/>
    <w:rsid w:val="00C438D7"/>
    <w:rsid w:val="00C81B50"/>
    <w:rsid w:val="00CB28F9"/>
    <w:rsid w:val="00CD1801"/>
    <w:rsid w:val="00D10EF1"/>
    <w:rsid w:val="00D26CB5"/>
    <w:rsid w:val="00D42810"/>
    <w:rsid w:val="00D914A7"/>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17E9F"/>
  <w15:docId w15:val="{1295F80E-1F1C-4BAB-8BBA-D5BF4F51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031EC4"/>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17E9-6E07-4EA7-9F52-41B67D01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792</Words>
  <Characters>4185</Characters>
  <Application>Microsoft Office Word</Application>
  <DocSecurity>0</DocSecurity>
  <Lines>80</Lines>
  <Paragraphs>48</Paragraphs>
  <ScaleCrop>false</ScaleCrop>
  <HeadingPairs>
    <vt:vector size="2" baseType="variant">
      <vt:variant>
        <vt:lpstr>Title</vt:lpstr>
      </vt:variant>
      <vt:variant>
        <vt:i4>1</vt:i4>
      </vt:variant>
    </vt:vector>
  </HeadingPairs>
  <TitlesOfParts>
    <vt:vector size="1" baseType="lpstr">
      <vt:lpstr>CERD/C/LBN/Q/23-24</vt:lpstr>
    </vt:vector>
  </TitlesOfParts>
  <Company>DCM</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CERD/C/LBN/Q/23-24</dc:title>
  <dc:subject>GE.2002362A</dc:subject>
  <dc:creator>JKAH - ASE</dc:creator>
  <cp:keywords>ODS No.2003473A</cp:keywords>
  <dc:description>Original: French_x000d_
Distribution: General_x000d_
Date: 17 February 2020</dc:description>
  <cp:lastModifiedBy>Jamal Alkahlout</cp:lastModifiedBy>
  <cp:revision>2</cp:revision>
  <dcterms:created xsi:type="dcterms:W3CDTF">2020-03-27T06:28:00Z</dcterms:created>
  <dcterms:modified xsi:type="dcterms:W3CDTF">2020-03-27T06:28:00Z</dcterms:modified>
  <cp:category>Final</cp:category>
</cp:coreProperties>
</file>