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AD" w:rsidRDefault="004D7EAD" w:rsidP="004D7EAD">
      <w:pPr>
        <w:spacing w:line="60" w:lineRule="exact"/>
        <w:rPr>
          <w:lang w:val="en-US"/>
        </w:rPr>
        <w:sectPr w:rsidR="004D7EAD" w:rsidSect="004D7E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commentRangeStart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1pt;margin-top:682pt;width:57.9pt;height:57.9pt;z-index:1;mso-position-horizontal-relative:page;mso-position-vertical-relative:page" o:preferrelative="f">
            <v:imagedata r:id="rId13" o:title="2011&amp;Size =1&amp;Lang = R"/>
            <w10:wrap anchorx="page" anchory="page"/>
          </v:shape>
        </w:pict>
      </w:r>
      <w:commentRangeEnd w:id="0"/>
      <w:r>
        <w:rPr>
          <w:rStyle w:val="CommentReference"/>
        </w:rPr>
        <w:commentReference w:id="0"/>
      </w:r>
    </w:p>
    <w:p w:rsidR="001D61F0" w:rsidRPr="00143E3D" w:rsidRDefault="001D61F0" w:rsidP="001D61F0">
      <w:pPr>
        <w:pStyle w:val="H1GR"/>
        <w:spacing w:before="60" w:after="0"/>
        <w:ind w:left="0" w:firstLine="0"/>
        <w:rPr>
          <w:kern w:val="0"/>
        </w:rPr>
      </w:pPr>
      <w:r w:rsidRPr="00143E3D">
        <w:rPr>
          <w:kern w:val="0"/>
        </w:rPr>
        <w:t>Комитет по ликвидации дискриминации</w:t>
      </w:r>
      <w:r w:rsidRPr="00143E3D">
        <w:rPr>
          <w:kern w:val="0"/>
        </w:rPr>
        <w:br/>
        <w:t>в отношении женщин</w:t>
      </w:r>
    </w:p>
    <w:p w:rsidR="001D61F0" w:rsidRPr="00143E3D" w:rsidRDefault="001D61F0" w:rsidP="001D61F0">
      <w:pPr>
        <w:pStyle w:val="H23GR"/>
        <w:spacing w:before="0" w:after="0"/>
        <w:rPr>
          <w:kern w:val="0"/>
        </w:rPr>
      </w:pPr>
      <w:r w:rsidRPr="00143E3D">
        <w:rPr>
          <w:kern w:val="0"/>
        </w:rPr>
        <w:t>Пятьдесят пятая сессия</w:t>
      </w:r>
    </w:p>
    <w:p w:rsidR="001D61F0" w:rsidRPr="00143E3D" w:rsidRDefault="001D61F0" w:rsidP="001D61F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kern w:val="0"/>
        </w:rPr>
      </w:pPr>
      <w:r w:rsidRPr="00143E3D">
        <w:rPr>
          <w:kern w:val="0"/>
        </w:rPr>
        <w:t>8–26 июля 2013 года</w:t>
      </w:r>
    </w:p>
    <w:p w:rsidR="001D61F0" w:rsidRPr="00143E3D" w:rsidRDefault="001D61F0" w:rsidP="001D61F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1D61F0" w:rsidRPr="00143E3D" w:rsidRDefault="001D61F0" w:rsidP="001D61F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1D61F0" w:rsidRPr="00143E3D" w:rsidRDefault="001D61F0" w:rsidP="001D61F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1D61F0" w:rsidRPr="00143E3D" w:rsidRDefault="001D61F0" w:rsidP="001D61F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43E3D">
        <w:tab/>
      </w:r>
      <w:r w:rsidRPr="00143E3D">
        <w:tab/>
        <w:t xml:space="preserve">Сообщение № </w:t>
      </w:r>
      <w:hyperlink r:id="rId15" w:history="1">
        <w:r w:rsidRPr="00073BA5">
          <w:rPr>
            <w:rStyle w:val="Hyperlink"/>
          </w:rPr>
          <w:t>35/201</w:t>
        </w:r>
      </w:hyperlink>
      <w:r w:rsidRPr="00143E3D">
        <w:t>1</w:t>
      </w:r>
    </w:p>
    <w:p w:rsidR="001D61F0" w:rsidRPr="00143E3D" w:rsidRDefault="001D61F0" w:rsidP="001D61F0">
      <w:pPr>
        <w:pStyle w:val="1"/>
        <w:spacing w:after="0" w:line="120" w:lineRule="exact"/>
        <w:rPr>
          <w:spacing w:val="4"/>
          <w:w w:val="103"/>
          <w:sz w:val="10"/>
        </w:rPr>
      </w:pPr>
    </w:p>
    <w:p w:rsidR="001D61F0" w:rsidRPr="00143E3D" w:rsidRDefault="001D61F0" w:rsidP="001D61F0">
      <w:pPr>
        <w:pStyle w:val="1"/>
        <w:spacing w:after="0" w:line="120" w:lineRule="exact"/>
        <w:rPr>
          <w:spacing w:val="4"/>
          <w:w w:val="103"/>
          <w:sz w:val="10"/>
        </w:rPr>
      </w:pPr>
    </w:p>
    <w:p w:rsidR="001D61F0" w:rsidRPr="00143E3D" w:rsidRDefault="001D61F0" w:rsidP="001D61F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143E3D">
        <w:t xml:space="preserve">Решение принято Комитетом на его пятьдесят пятой сессии </w:t>
      </w:r>
      <w:r w:rsidRPr="00143E3D">
        <w:br/>
        <w:t>8–26 июля 2013 года</w:t>
      </w: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tbl>
      <w:tblPr>
        <w:tblW w:w="7293" w:type="dxa"/>
        <w:tblInd w:w="130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062"/>
        <w:gridCol w:w="4231"/>
      </w:tblGrid>
      <w:tr w:rsidR="001D61F0" w:rsidRPr="00143E3D" w:rsidTr="001D61F0">
        <w:tc>
          <w:tcPr>
            <w:tcW w:w="3062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i/>
                <w:kern w:val="0"/>
              </w:rPr>
            </w:pPr>
            <w:r w:rsidRPr="00143E3D">
              <w:rPr>
                <w:i/>
                <w:kern w:val="0"/>
              </w:rPr>
              <w:t>Представлено:</w:t>
            </w:r>
          </w:p>
        </w:tc>
        <w:tc>
          <w:tcPr>
            <w:tcW w:w="4231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kern w:val="0"/>
              </w:rPr>
            </w:pPr>
            <w:r w:rsidRPr="00143E3D">
              <w:rPr>
                <w:kern w:val="0"/>
              </w:rPr>
              <w:t>М.Э.Н. (представляется адвокатом Нильсом-Эриком Ханс</w:t>
            </w:r>
            <w:r w:rsidRPr="00143E3D">
              <w:rPr>
                <w:kern w:val="0"/>
              </w:rPr>
              <w:t>е</w:t>
            </w:r>
            <w:r w:rsidRPr="00143E3D">
              <w:rPr>
                <w:kern w:val="0"/>
              </w:rPr>
              <w:t>ном)</w:t>
            </w:r>
          </w:p>
        </w:tc>
      </w:tr>
      <w:tr w:rsidR="001D61F0" w:rsidRPr="00143E3D" w:rsidTr="001D61F0">
        <w:tc>
          <w:tcPr>
            <w:tcW w:w="3062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i/>
                <w:kern w:val="0"/>
              </w:rPr>
            </w:pPr>
            <w:r w:rsidRPr="00143E3D">
              <w:rPr>
                <w:i/>
                <w:kern w:val="0"/>
              </w:rPr>
              <w:t>Предполагаемая жертва:</w:t>
            </w:r>
          </w:p>
        </w:tc>
        <w:tc>
          <w:tcPr>
            <w:tcW w:w="4231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kern w:val="0"/>
              </w:rPr>
            </w:pPr>
            <w:r w:rsidRPr="00143E3D">
              <w:rPr>
                <w:kern w:val="0"/>
              </w:rPr>
              <w:t>автор сообщения</w:t>
            </w:r>
          </w:p>
        </w:tc>
      </w:tr>
      <w:tr w:rsidR="001D61F0" w:rsidRPr="00143E3D" w:rsidTr="001D61F0">
        <w:tc>
          <w:tcPr>
            <w:tcW w:w="3062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i/>
                <w:kern w:val="0"/>
              </w:rPr>
            </w:pPr>
            <w:r w:rsidRPr="00143E3D">
              <w:rPr>
                <w:i/>
                <w:kern w:val="0"/>
              </w:rPr>
              <w:t>Государство-участник:</w:t>
            </w:r>
          </w:p>
        </w:tc>
        <w:tc>
          <w:tcPr>
            <w:tcW w:w="4231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kern w:val="0"/>
              </w:rPr>
            </w:pPr>
            <w:r w:rsidRPr="00143E3D">
              <w:rPr>
                <w:kern w:val="0"/>
              </w:rPr>
              <w:t>Дания</w:t>
            </w:r>
          </w:p>
        </w:tc>
      </w:tr>
      <w:tr w:rsidR="001D61F0" w:rsidRPr="00143E3D" w:rsidTr="001D61F0">
        <w:tc>
          <w:tcPr>
            <w:tcW w:w="3062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i/>
                <w:kern w:val="0"/>
              </w:rPr>
            </w:pPr>
            <w:r w:rsidRPr="00143E3D">
              <w:rPr>
                <w:i/>
                <w:kern w:val="0"/>
              </w:rPr>
              <w:t>Дата сообщения:</w:t>
            </w:r>
          </w:p>
        </w:tc>
        <w:tc>
          <w:tcPr>
            <w:tcW w:w="4231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kern w:val="0"/>
              </w:rPr>
            </w:pPr>
            <w:r w:rsidRPr="00143E3D">
              <w:rPr>
                <w:kern w:val="0"/>
              </w:rPr>
              <w:t>6 октября 2011 года (первоначальное пре</w:t>
            </w:r>
            <w:r w:rsidRPr="00143E3D">
              <w:rPr>
                <w:kern w:val="0"/>
              </w:rPr>
              <w:t>д</w:t>
            </w:r>
            <w:r w:rsidRPr="00143E3D">
              <w:rPr>
                <w:kern w:val="0"/>
              </w:rPr>
              <w:t>ставление)</w:t>
            </w:r>
          </w:p>
        </w:tc>
      </w:tr>
      <w:tr w:rsidR="001D61F0" w:rsidRPr="00143E3D" w:rsidTr="001D61F0">
        <w:tc>
          <w:tcPr>
            <w:tcW w:w="3062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i/>
                <w:kern w:val="0"/>
              </w:rPr>
            </w:pPr>
            <w:r w:rsidRPr="00143E3D">
              <w:rPr>
                <w:i/>
                <w:kern w:val="0"/>
              </w:rPr>
              <w:t>Справочная документация:</w:t>
            </w:r>
          </w:p>
        </w:tc>
        <w:tc>
          <w:tcPr>
            <w:tcW w:w="4231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kern w:val="0"/>
              </w:rPr>
            </w:pPr>
            <w:r w:rsidRPr="00143E3D">
              <w:rPr>
                <w:kern w:val="0"/>
              </w:rPr>
              <w:t>решение Рабочей группы по статьям</w:t>
            </w:r>
            <w:r>
              <w:rPr>
                <w:kern w:val="0"/>
              </w:rPr>
              <w:t> </w:t>
            </w:r>
            <w:r w:rsidRPr="00143E3D">
              <w:rPr>
                <w:kern w:val="0"/>
              </w:rPr>
              <w:t>5 и 6 Факультативного протокола и пр</w:t>
            </w:r>
            <w:r w:rsidRPr="00143E3D">
              <w:rPr>
                <w:kern w:val="0"/>
              </w:rPr>
              <w:t>а</w:t>
            </w:r>
            <w:r w:rsidRPr="00143E3D">
              <w:rPr>
                <w:kern w:val="0"/>
              </w:rPr>
              <w:t>вила</w:t>
            </w:r>
            <w:r>
              <w:rPr>
                <w:kern w:val="0"/>
              </w:rPr>
              <w:t> </w:t>
            </w:r>
            <w:r w:rsidRPr="00143E3D">
              <w:rPr>
                <w:kern w:val="0"/>
              </w:rPr>
              <w:t>63 и 69 правил процедуры Комитета, препрово</w:t>
            </w:r>
            <w:r w:rsidRPr="00143E3D">
              <w:rPr>
                <w:kern w:val="0"/>
              </w:rPr>
              <w:t>ж</w:t>
            </w:r>
            <w:r w:rsidRPr="00143E3D">
              <w:rPr>
                <w:kern w:val="0"/>
              </w:rPr>
              <w:t>дена государству-участнику 7</w:t>
            </w:r>
            <w:r>
              <w:rPr>
                <w:kern w:val="0"/>
              </w:rPr>
              <w:t> </w:t>
            </w:r>
            <w:r w:rsidRPr="00143E3D">
              <w:rPr>
                <w:kern w:val="0"/>
              </w:rPr>
              <w:t>октября 2011 года (в виде документа не издавалась)</w:t>
            </w:r>
          </w:p>
        </w:tc>
      </w:tr>
      <w:tr w:rsidR="001D61F0" w:rsidRPr="00143E3D" w:rsidTr="001D61F0">
        <w:tc>
          <w:tcPr>
            <w:tcW w:w="3062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i/>
                <w:kern w:val="0"/>
              </w:rPr>
            </w:pPr>
            <w:r w:rsidRPr="00143E3D">
              <w:rPr>
                <w:i/>
                <w:kern w:val="0"/>
              </w:rPr>
              <w:t>Дата принятия решения:</w:t>
            </w:r>
          </w:p>
        </w:tc>
        <w:tc>
          <w:tcPr>
            <w:tcW w:w="4231" w:type="dxa"/>
            <w:shd w:val="clear" w:color="auto" w:fill="auto"/>
            <w:vAlign w:val="bottom"/>
          </w:tcPr>
          <w:p w:rsidR="001D61F0" w:rsidRPr="00143E3D" w:rsidRDefault="001D61F0" w:rsidP="001D61F0">
            <w:pPr>
              <w:spacing w:after="120"/>
              <w:rPr>
                <w:kern w:val="0"/>
              </w:rPr>
            </w:pPr>
            <w:r w:rsidRPr="00143E3D">
              <w:rPr>
                <w:kern w:val="0"/>
              </w:rPr>
              <w:t>26 июля 2013 года</w:t>
            </w:r>
          </w:p>
        </w:tc>
      </w:tr>
    </w:tbl>
    <w:p w:rsidR="001D61F0" w:rsidRDefault="001D61F0" w:rsidP="004D7EAD">
      <w:pPr>
        <w:pStyle w:val="SingleTxt"/>
        <w:rPr>
          <w:lang w:val="en-US"/>
        </w:rPr>
      </w:pPr>
    </w:p>
    <w:p w:rsidR="001D61F0" w:rsidRPr="00143E3D" w:rsidRDefault="001D61F0" w:rsidP="001D61F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  <w:kern w:val="0"/>
        </w:rPr>
      </w:pPr>
      <w:r w:rsidRPr="001D61F0">
        <w:br w:type="page"/>
      </w:r>
      <w:r w:rsidRPr="00143E3D">
        <w:rPr>
          <w:spacing w:val="4"/>
          <w:kern w:val="0"/>
        </w:rPr>
        <w:t>Приложение</w:t>
      </w: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HCh0"/>
        <w:spacing w:before="0"/>
        <w:rPr>
          <w:spacing w:val="4"/>
          <w:w w:val="103"/>
        </w:rPr>
      </w:pPr>
      <w:r w:rsidRPr="00143E3D">
        <w:rPr>
          <w:spacing w:val="4"/>
          <w:w w:val="103"/>
        </w:rPr>
        <w:tab/>
      </w:r>
      <w:r w:rsidRPr="00143E3D">
        <w:rPr>
          <w:spacing w:val="4"/>
          <w:w w:val="103"/>
        </w:rPr>
        <w:tab/>
        <w:t>Решение Комитета по ликвидации</w:t>
      </w:r>
      <w:r>
        <w:rPr>
          <w:spacing w:val="4"/>
          <w:w w:val="103"/>
        </w:rPr>
        <w:t xml:space="preserve"> </w:t>
      </w:r>
      <w:r w:rsidRPr="00143E3D">
        <w:rPr>
          <w:spacing w:val="4"/>
          <w:w w:val="103"/>
        </w:rPr>
        <w:t>дискриминации в отношении женщин в соответствии с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Факультативным протоколом к Конвенции о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ликвидации всех форм дискриминации в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отношении женщин (пятьдесят пятая сессия)</w:t>
      </w:r>
    </w:p>
    <w:p w:rsidR="001D61F0" w:rsidRPr="00143E3D" w:rsidRDefault="001D61F0" w:rsidP="001D61F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kern w:val="0"/>
        </w:rPr>
      </w:pPr>
      <w:r w:rsidRPr="00143E3D">
        <w:rPr>
          <w:kern w:val="0"/>
        </w:rPr>
        <w:tab/>
      </w:r>
      <w:r w:rsidRPr="00143E3D">
        <w:rPr>
          <w:kern w:val="0"/>
        </w:rPr>
        <w:tab/>
        <w:t xml:space="preserve">Сообщение № </w:t>
      </w:r>
      <w:hyperlink r:id="rId16" w:history="1">
        <w:r w:rsidRPr="00073BA5">
          <w:rPr>
            <w:rStyle w:val="Hyperlink"/>
            <w:kern w:val="0"/>
          </w:rPr>
          <w:t>35/201</w:t>
        </w:r>
      </w:hyperlink>
      <w:r w:rsidRPr="00143E3D">
        <w:rPr>
          <w:kern w:val="0"/>
        </w:rPr>
        <w:t xml:space="preserve">1, </w:t>
      </w:r>
      <w:r w:rsidRPr="00143E3D">
        <w:rPr>
          <w:i/>
          <w:kern w:val="0"/>
        </w:rPr>
        <w:t xml:space="preserve">М.Э.Н. </w:t>
      </w:r>
      <w:r w:rsidRPr="00FD52B4">
        <w:rPr>
          <w:kern w:val="0"/>
        </w:rPr>
        <w:t>против</w:t>
      </w:r>
      <w:r w:rsidRPr="00143E3D">
        <w:rPr>
          <w:i/>
          <w:kern w:val="0"/>
        </w:rPr>
        <w:t xml:space="preserve"> Дании</w:t>
      </w:r>
      <w:r w:rsidRPr="00087FA1">
        <w:rPr>
          <w:rStyle w:val="FootnoteReference"/>
          <w:b w:val="0"/>
          <w:spacing w:val="4"/>
          <w:w w:val="103"/>
          <w:sz w:val="20"/>
        </w:rPr>
        <w:footnoteReference w:customMarkFollows="1" w:id="1"/>
        <w:t>*</w:t>
      </w: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tbl>
      <w:tblPr>
        <w:tblW w:w="7452" w:type="dxa"/>
        <w:tblInd w:w="136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055"/>
        <w:gridCol w:w="4397"/>
      </w:tblGrid>
      <w:tr w:rsidR="001D61F0" w:rsidRPr="00143E3D" w:rsidTr="001D61F0">
        <w:tc>
          <w:tcPr>
            <w:tcW w:w="3055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i/>
                <w:kern w:val="0"/>
              </w:rPr>
            </w:pPr>
            <w:r w:rsidRPr="00143E3D">
              <w:rPr>
                <w:i/>
                <w:kern w:val="0"/>
              </w:rPr>
              <w:t>Представлено:</w:t>
            </w:r>
          </w:p>
        </w:tc>
        <w:tc>
          <w:tcPr>
            <w:tcW w:w="4397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kern w:val="0"/>
              </w:rPr>
            </w:pPr>
            <w:r w:rsidRPr="00143E3D">
              <w:rPr>
                <w:kern w:val="0"/>
              </w:rPr>
              <w:t>М. Э.Н. (представл</w:t>
            </w:r>
            <w:r w:rsidRPr="00143E3D">
              <w:rPr>
                <w:kern w:val="0"/>
              </w:rPr>
              <w:t>е</w:t>
            </w:r>
            <w:r w:rsidRPr="00143E3D">
              <w:rPr>
                <w:kern w:val="0"/>
              </w:rPr>
              <w:t>на адвокатом Нильсом-Эриком Ханс</w:t>
            </w:r>
            <w:r w:rsidRPr="00143E3D">
              <w:rPr>
                <w:kern w:val="0"/>
              </w:rPr>
              <w:t>е</w:t>
            </w:r>
            <w:r w:rsidRPr="00143E3D">
              <w:rPr>
                <w:kern w:val="0"/>
              </w:rPr>
              <w:t>ном)</w:t>
            </w:r>
          </w:p>
        </w:tc>
      </w:tr>
      <w:tr w:rsidR="001D61F0" w:rsidRPr="00143E3D" w:rsidTr="001D61F0">
        <w:tc>
          <w:tcPr>
            <w:tcW w:w="3055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i/>
                <w:kern w:val="0"/>
              </w:rPr>
            </w:pPr>
            <w:r w:rsidRPr="00143E3D">
              <w:rPr>
                <w:i/>
                <w:kern w:val="0"/>
              </w:rPr>
              <w:t>Предполагаемая жертва:</w:t>
            </w:r>
          </w:p>
        </w:tc>
        <w:tc>
          <w:tcPr>
            <w:tcW w:w="4397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kern w:val="0"/>
              </w:rPr>
            </w:pPr>
            <w:r w:rsidRPr="00143E3D">
              <w:rPr>
                <w:kern w:val="0"/>
              </w:rPr>
              <w:t>автор сообщения</w:t>
            </w:r>
          </w:p>
        </w:tc>
      </w:tr>
      <w:tr w:rsidR="001D61F0" w:rsidRPr="00143E3D" w:rsidTr="001D61F0">
        <w:tc>
          <w:tcPr>
            <w:tcW w:w="3055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i/>
                <w:kern w:val="0"/>
              </w:rPr>
            </w:pPr>
            <w:r w:rsidRPr="00143E3D">
              <w:rPr>
                <w:i/>
                <w:kern w:val="0"/>
              </w:rPr>
              <w:t>Государство-участник:</w:t>
            </w:r>
          </w:p>
        </w:tc>
        <w:tc>
          <w:tcPr>
            <w:tcW w:w="4397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kern w:val="0"/>
              </w:rPr>
            </w:pPr>
            <w:r w:rsidRPr="00143E3D">
              <w:rPr>
                <w:kern w:val="0"/>
              </w:rPr>
              <w:t>Дания</w:t>
            </w:r>
          </w:p>
        </w:tc>
      </w:tr>
      <w:tr w:rsidR="001D61F0" w:rsidRPr="00143E3D" w:rsidTr="001D61F0">
        <w:tc>
          <w:tcPr>
            <w:tcW w:w="3055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i/>
                <w:kern w:val="0"/>
              </w:rPr>
            </w:pPr>
            <w:r w:rsidRPr="00143E3D">
              <w:rPr>
                <w:i/>
                <w:kern w:val="0"/>
              </w:rPr>
              <w:t>Дата сообщения:</w:t>
            </w:r>
          </w:p>
        </w:tc>
        <w:tc>
          <w:tcPr>
            <w:tcW w:w="4397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kern w:val="0"/>
              </w:rPr>
            </w:pPr>
            <w:r w:rsidRPr="00143E3D">
              <w:rPr>
                <w:kern w:val="0"/>
              </w:rPr>
              <w:t>6 октября 2011 года (первоначальное пре</w:t>
            </w:r>
            <w:r w:rsidRPr="00143E3D">
              <w:rPr>
                <w:kern w:val="0"/>
              </w:rPr>
              <w:t>д</w:t>
            </w:r>
            <w:r w:rsidRPr="00143E3D">
              <w:rPr>
                <w:kern w:val="0"/>
              </w:rPr>
              <w:t>ставл</w:t>
            </w:r>
            <w:r w:rsidRPr="00143E3D">
              <w:rPr>
                <w:kern w:val="0"/>
              </w:rPr>
              <w:t>е</w:t>
            </w:r>
            <w:r w:rsidRPr="00143E3D">
              <w:rPr>
                <w:kern w:val="0"/>
              </w:rPr>
              <w:t>ние)</w:t>
            </w:r>
          </w:p>
        </w:tc>
      </w:tr>
      <w:tr w:rsidR="001D61F0" w:rsidRPr="00143E3D" w:rsidTr="001D61F0">
        <w:tc>
          <w:tcPr>
            <w:tcW w:w="3055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i/>
                <w:kern w:val="0"/>
              </w:rPr>
            </w:pPr>
            <w:r w:rsidRPr="00143E3D">
              <w:rPr>
                <w:i/>
                <w:kern w:val="0"/>
              </w:rPr>
              <w:t>Справочная документация:</w:t>
            </w:r>
          </w:p>
        </w:tc>
        <w:tc>
          <w:tcPr>
            <w:tcW w:w="4397" w:type="dxa"/>
            <w:shd w:val="clear" w:color="auto" w:fill="auto"/>
          </w:tcPr>
          <w:p w:rsidR="001D61F0" w:rsidRPr="00143E3D" w:rsidRDefault="001D61F0" w:rsidP="001D61F0">
            <w:pPr>
              <w:spacing w:after="120"/>
              <w:rPr>
                <w:kern w:val="0"/>
              </w:rPr>
            </w:pPr>
            <w:r w:rsidRPr="00143E3D">
              <w:rPr>
                <w:kern w:val="0"/>
              </w:rPr>
              <w:t>решение Рабочей группы по статьям 5 и 6 Ф</w:t>
            </w:r>
            <w:r w:rsidRPr="00143E3D">
              <w:rPr>
                <w:kern w:val="0"/>
              </w:rPr>
              <w:t>а</w:t>
            </w:r>
            <w:r w:rsidRPr="00143E3D">
              <w:rPr>
                <w:kern w:val="0"/>
              </w:rPr>
              <w:t>культативного протокола и правила</w:t>
            </w:r>
            <w:r>
              <w:rPr>
                <w:kern w:val="0"/>
              </w:rPr>
              <w:t> </w:t>
            </w:r>
            <w:r w:rsidRPr="00143E3D">
              <w:rPr>
                <w:kern w:val="0"/>
              </w:rPr>
              <w:t>63 и 69 правил процедуры Комитета, препровождена гос</w:t>
            </w:r>
            <w:r w:rsidRPr="00143E3D">
              <w:rPr>
                <w:kern w:val="0"/>
              </w:rPr>
              <w:t>у</w:t>
            </w:r>
            <w:r w:rsidRPr="00143E3D">
              <w:rPr>
                <w:kern w:val="0"/>
              </w:rPr>
              <w:t>дарству-участнику 7 октября 2011 года (в виде документа не издавалась)</w:t>
            </w:r>
          </w:p>
        </w:tc>
      </w:tr>
    </w:tbl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rStyle w:val="SingleTxt2"/>
        </w:rPr>
        <w:tab/>
      </w:r>
      <w:r w:rsidRPr="00143E3D">
        <w:rPr>
          <w:i/>
          <w:spacing w:val="4"/>
          <w:w w:val="103"/>
        </w:rPr>
        <w:t>Комитет по ликвидации</w:t>
      </w:r>
      <w:r w:rsidRPr="00143E3D">
        <w:rPr>
          <w:rStyle w:val="SingleTxt2"/>
        </w:rPr>
        <w:t xml:space="preserve"> </w:t>
      </w:r>
      <w:r w:rsidRPr="00143E3D">
        <w:rPr>
          <w:i/>
          <w:spacing w:val="4"/>
          <w:w w:val="103"/>
        </w:rPr>
        <w:t>дискриминации в отношении женщин</w:t>
      </w:r>
      <w:r w:rsidRPr="00143E3D">
        <w:rPr>
          <w:spacing w:val="4"/>
          <w:w w:val="103"/>
        </w:rPr>
        <w:t>, учре</w:t>
      </w:r>
      <w:r w:rsidRPr="00143E3D">
        <w:rPr>
          <w:spacing w:val="4"/>
          <w:w w:val="103"/>
        </w:rPr>
        <w:t>ж</w:t>
      </w:r>
      <w:r w:rsidRPr="00143E3D">
        <w:rPr>
          <w:spacing w:val="4"/>
          <w:w w:val="103"/>
        </w:rPr>
        <w:t>денный в соответствии со статьей 17 Конвенции о ликвидации всех форм ди</w:t>
      </w:r>
      <w:r w:rsidRPr="00143E3D">
        <w:rPr>
          <w:spacing w:val="4"/>
          <w:w w:val="103"/>
        </w:rPr>
        <w:t>с</w:t>
      </w:r>
      <w:r w:rsidRPr="00143E3D">
        <w:rPr>
          <w:spacing w:val="4"/>
          <w:w w:val="103"/>
        </w:rPr>
        <w:t xml:space="preserve">криминации в отношении женщин, 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ab/>
      </w:r>
      <w:r w:rsidRPr="00143E3D">
        <w:rPr>
          <w:i/>
          <w:spacing w:val="4"/>
          <w:w w:val="103"/>
        </w:rPr>
        <w:t>на своем заседании</w:t>
      </w:r>
      <w:r w:rsidRPr="00143E3D">
        <w:rPr>
          <w:spacing w:val="4"/>
          <w:w w:val="103"/>
        </w:rPr>
        <w:t xml:space="preserve"> 26 июля 2013 года,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ab/>
      </w:r>
      <w:r w:rsidRPr="00143E3D">
        <w:rPr>
          <w:i/>
          <w:spacing w:val="4"/>
          <w:w w:val="103"/>
        </w:rPr>
        <w:t>принимает</w:t>
      </w:r>
      <w:r w:rsidRPr="00143E3D">
        <w:rPr>
          <w:spacing w:val="4"/>
          <w:w w:val="103"/>
        </w:rPr>
        <w:t xml:space="preserve"> следующее:</w:t>
      </w: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H1100"/>
        <w:rPr>
          <w:w w:val="103"/>
          <w:szCs w:val="24"/>
        </w:rPr>
      </w:pPr>
      <w:r w:rsidRPr="00143E3D">
        <w:rPr>
          <w:w w:val="103"/>
          <w:szCs w:val="24"/>
        </w:rPr>
        <w:tab/>
        <w:t>Решение о приемлемости</w:t>
      </w: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1.1</w:t>
      </w:r>
      <w:r w:rsidRPr="00143E3D">
        <w:rPr>
          <w:spacing w:val="4"/>
          <w:w w:val="103"/>
        </w:rPr>
        <w:tab/>
        <w:t>Автором сообщения от 6 октября 2011 года является М. Э. Н., гражданка Бурунди, родившаяся 1 июля 1988 года. Автор является ищущим убежища л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цом, прошение которого о предоставлении убежища было отклонено. На м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мент пре</w:t>
      </w:r>
      <w:r w:rsidRPr="00143E3D">
        <w:rPr>
          <w:spacing w:val="4"/>
          <w:w w:val="103"/>
        </w:rPr>
        <w:t>д</w:t>
      </w:r>
      <w:r w:rsidRPr="00143E3D">
        <w:rPr>
          <w:spacing w:val="4"/>
          <w:w w:val="103"/>
        </w:rPr>
        <w:t>ставления сообщения она ожидала депортации из Дании в Бурунди. Она утверждает, что является жертвой нарушения Данией статей 1, 2(с), 2(d) и 3 Конвенции о ликвидации всех форм дискриминации в отношении женщин. Автор представляется адвокатом Нильсом-Эриком Хансеном. Конвенция и Факультативный протокол к ней вступили в силу для государства-участника 21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мая 1983 года и 22 декабря 2000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года</w:t>
      </w:r>
      <w:r>
        <w:rPr>
          <w:spacing w:val="4"/>
          <w:w w:val="103"/>
        </w:rPr>
        <w:t>,</w:t>
      </w:r>
      <w:r w:rsidRPr="00143E3D">
        <w:rPr>
          <w:spacing w:val="4"/>
          <w:w w:val="103"/>
        </w:rPr>
        <w:t xml:space="preserve"> соо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ветственно.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1.2</w:t>
      </w:r>
      <w:r w:rsidRPr="00143E3D">
        <w:rPr>
          <w:spacing w:val="4"/>
          <w:w w:val="103"/>
        </w:rPr>
        <w:tab/>
        <w:t>При регистрации сообщения 7 октября 2011 года, действуя в соответс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вии со статьей 5(1) Факультативного протокола и правилом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63 своих правил процедуры, Комитет обратился к государству-участнику с просьбой возде</w:t>
      </w:r>
      <w:r w:rsidRPr="00143E3D">
        <w:rPr>
          <w:spacing w:val="4"/>
          <w:w w:val="103"/>
        </w:rPr>
        <w:t>р</w:t>
      </w:r>
      <w:r w:rsidRPr="00143E3D">
        <w:rPr>
          <w:spacing w:val="4"/>
          <w:w w:val="103"/>
        </w:rPr>
        <w:t>жаться от высылки автора сообщения в Бурунди, пока ее дело рассматривается Ком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тетом.</w:t>
      </w: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  <w:kern w:val="0"/>
        </w:rPr>
      </w:pPr>
      <w:r w:rsidRPr="00143E3D">
        <w:rPr>
          <w:spacing w:val="4"/>
          <w:kern w:val="0"/>
        </w:rPr>
        <w:tab/>
      </w:r>
      <w:r w:rsidRPr="00143E3D">
        <w:rPr>
          <w:spacing w:val="4"/>
          <w:kern w:val="0"/>
        </w:rPr>
        <w:tab/>
        <w:t>Обстоятельства дела</w:t>
      </w: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rStyle w:val="SingleTxt2"/>
        </w:rPr>
        <w:t>2.1</w:t>
      </w:r>
      <w:r w:rsidRPr="00143E3D">
        <w:rPr>
          <w:rStyle w:val="SingleTxt2"/>
        </w:rPr>
        <w:tab/>
        <w:t>Автор утверждает, что она являлась членом женского отделения Наци</w:t>
      </w:r>
      <w:r w:rsidRPr="00143E3D">
        <w:rPr>
          <w:rStyle w:val="SingleTxt2"/>
        </w:rPr>
        <w:t>о</w:t>
      </w:r>
      <w:r w:rsidRPr="00143E3D">
        <w:rPr>
          <w:rStyle w:val="SingleTxt2"/>
        </w:rPr>
        <w:t>нально-освободительного фронта (НОФ) в городе Рузиба в Бурунди и участв</w:t>
      </w:r>
      <w:r w:rsidRPr="00143E3D">
        <w:rPr>
          <w:rStyle w:val="SingleTxt2"/>
        </w:rPr>
        <w:t>о</w:t>
      </w:r>
      <w:r w:rsidRPr="00143E3D">
        <w:rPr>
          <w:rStyle w:val="SingleTxt2"/>
        </w:rPr>
        <w:t>вала в ряде собраний этой политической партии, хотя никаких конкретных об</w:t>
      </w:r>
      <w:r w:rsidRPr="00143E3D">
        <w:rPr>
          <w:rStyle w:val="SingleTxt2"/>
        </w:rPr>
        <w:t>я</w:t>
      </w:r>
      <w:r w:rsidRPr="00143E3D">
        <w:rPr>
          <w:rStyle w:val="SingleTxt2"/>
        </w:rPr>
        <w:t>занностей у нее не было</w:t>
      </w:r>
      <w:r w:rsidRPr="00087FA1">
        <w:rPr>
          <w:rStyle w:val="FootnoteReference"/>
          <w:spacing w:val="4"/>
          <w:w w:val="103"/>
          <w:position w:val="0"/>
        </w:rPr>
        <w:footnoteReference w:id="2"/>
      </w:r>
      <w:r w:rsidRPr="00143E3D">
        <w:rPr>
          <w:spacing w:val="4"/>
          <w:w w:val="103"/>
        </w:rPr>
        <w:t>. Ее муж, А.М.З., отвечал за сбор средств на парти</w:t>
      </w:r>
      <w:r w:rsidRPr="00143E3D">
        <w:rPr>
          <w:spacing w:val="4"/>
          <w:w w:val="103"/>
        </w:rPr>
        <w:t>й</w:t>
      </w:r>
      <w:r w:rsidRPr="00143E3D">
        <w:rPr>
          <w:spacing w:val="4"/>
          <w:w w:val="103"/>
        </w:rPr>
        <w:t>ных собр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ниях в городе Рузиба.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2.2</w:t>
      </w:r>
      <w:r w:rsidRPr="00143E3D">
        <w:rPr>
          <w:spacing w:val="4"/>
          <w:w w:val="103"/>
        </w:rPr>
        <w:tab/>
        <w:t>В 2010 году в Бурунди проходили выборы. Автор голосовала за лидера НОФ Агато Рвасу, который избран не был. Правящей партией стал Наци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нальный совет в защиту демократии (НСЗД). Однако, как указывает автор, р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зультаты этих выборов были подтасованы, что побудило лидеров различных политических партий, в том числе Агато Рвасу, выступить с протестами и со</w:t>
      </w:r>
      <w:r w:rsidRPr="00143E3D">
        <w:rPr>
          <w:spacing w:val="4"/>
          <w:w w:val="103"/>
        </w:rPr>
        <w:t>з</w:t>
      </w:r>
      <w:r w:rsidRPr="00143E3D">
        <w:rPr>
          <w:spacing w:val="4"/>
          <w:w w:val="103"/>
        </w:rPr>
        <w:t xml:space="preserve">дать коалицию под названием </w:t>
      </w:r>
      <w:r>
        <w:rPr>
          <w:spacing w:val="4"/>
          <w:w w:val="103"/>
        </w:rPr>
        <w:t>«</w:t>
      </w:r>
      <w:r w:rsidRPr="00143E3D">
        <w:rPr>
          <w:spacing w:val="4"/>
          <w:w w:val="103"/>
        </w:rPr>
        <w:t>Демократический альянс за перемены</w:t>
      </w:r>
      <w:r>
        <w:rPr>
          <w:spacing w:val="4"/>
          <w:w w:val="103"/>
        </w:rPr>
        <w:t xml:space="preserve"> — </w:t>
      </w:r>
      <w:r w:rsidRPr="00143E3D">
        <w:rPr>
          <w:spacing w:val="4"/>
          <w:w w:val="103"/>
        </w:rPr>
        <w:t>Ик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бири</w:t>
      </w:r>
      <w:r>
        <w:rPr>
          <w:spacing w:val="4"/>
          <w:w w:val="103"/>
        </w:rPr>
        <w:t>»</w:t>
      </w:r>
      <w:r w:rsidRPr="00143E3D">
        <w:rPr>
          <w:spacing w:val="4"/>
          <w:w w:val="103"/>
        </w:rPr>
        <w:t xml:space="preserve"> (ДАП).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2.3</w:t>
      </w:r>
      <w:r w:rsidRPr="00143E3D">
        <w:rPr>
          <w:spacing w:val="4"/>
          <w:w w:val="103"/>
        </w:rPr>
        <w:tab/>
        <w:t>Автор указывает, что несколько дней спустя власти Бурунди решили ар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стовать Агато Рвасу, предъявив ему обвинения в том, что ДАП не признает р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зультаты выборов. 16 июня 2010 года около 200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членов НОФ, в том числе а</w:t>
      </w:r>
      <w:r w:rsidRPr="00143E3D">
        <w:rPr>
          <w:spacing w:val="4"/>
          <w:w w:val="103"/>
        </w:rPr>
        <w:t>в</w:t>
      </w:r>
      <w:r w:rsidRPr="00143E3D">
        <w:rPr>
          <w:spacing w:val="4"/>
          <w:w w:val="103"/>
        </w:rPr>
        <w:t>тор, которые узнали об этом решении, пришли к дому, в котором жил Агато Рваса, и попытались не допустить его ареста, организовав акции протеста. В первый день акции протеста демонстрантам было предложено разойтись, но они отказались. На следующий день полиция применила против них слезот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чивый газ. Однако лидера НОФ не арестов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ли.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2.4</w:t>
      </w:r>
      <w:r w:rsidRPr="00143E3D">
        <w:rPr>
          <w:spacing w:val="4"/>
          <w:w w:val="103"/>
        </w:rPr>
        <w:tab/>
        <w:t>Автор сообщает далее, что после этих событий были убиты два члена НСЗД и что в их убийстве заподозрили членов НОФ. В порядке мести 10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июля 2010 года город, в котором жили автор и многие члены НОФ, подвергся бо</w:t>
      </w:r>
      <w:r w:rsidRPr="00143E3D">
        <w:rPr>
          <w:spacing w:val="4"/>
          <w:w w:val="103"/>
        </w:rPr>
        <w:t>м</w:t>
      </w:r>
      <w:r w:rsidRPr="00143E3D">
        <w:rPr>
          <w:spacing w:val="4"/>
          <w:w w:val="103"/>
        </w:rPr>
        <w:t>бардировке. Жители начали убегать, некоторые погибли при бомбардировке. Во время этого хаоса автор оказалась разлученной со своим мужем и решила спрятаться в какой-то яме до веч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ра.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2.5</w:t>
      </w:r>
      <w:r w:rsidRPr="00143E3D">
        <w:rPr>
          <w:spacing w:val="4"/>
          <w:w w:val="103"/>
        </w:rPr>
        <w:tab/>
        <w:t>Автор утверждает, что в конце концов она покинула свое убежище и р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шила отправиться в Кибенгу. По дороге ее изнасиловали трое мужчин, воор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женных н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жами</w:t>
      </w:r>
      <w:r w:rsidRPr="00087FA1">
        <w:rPr>
          <w:spacing w:val="4"/>
          <w:w w:val="103"/>
          <w:szCs w:val="18"/>
          <w:vertAlign w:val="superscript"/>
        </w:rPr>
        <w:footnoteReference w:id="3"/>
      </w:r>
      <w:r w:rsidRPr="00143E3D">
        <w:rPr>
          <w:spacing w:val="4"/>
          <w:w w:val="103"/>
        </w:rPr>
        <w:t>. Поскольку все члены НОФ пытались спастись бегством или уже убежали, она предположила, что напавшие на нее люди не были членами НОФ. Опасаясь возмездия, автор не сообщила об этом инциденте в полицию, поскольку пыталась от них скрыться.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2.6</w:t>
      </w:r>
      <w:r w:rsidRPr="00143E3D">
        <w:rPr>
          <w:spacing w:val="4"/>
          <w:w w:val="103"/>
        </w:rPr>
        <w:tab/>
        <w:t>Автор указывает, что в тот же день (10 июля 2010 года), она нашла уб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жище в доме одной из подруг своего мужа, Матильды (автор называет ее "м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ман Ореди", поскольку не знает ее фамилии). Маман Ореди также являлась членом НОФ. 13 июля 2010 года, когда автор еще находилась там, в дом пр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шли полицейские и стали спрашивать, где находятся автор и ее муж. Автору удалось бежать; она предложила 10 000 бурундийских франков (восемь долл. США) какому-то водителю, чтобы тот отвез ее в Руанду к одной из ее подруг, которую она называла "Э.К.".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2.7</w:t>
      </w:r>
      <w:r w:rsidRPr="00143E3D">
        <w:rPr>
          <w:spacing w:val="4"/>
          <w:w w:val="103"/>
        </w:rPr>
        <w:tab/>
        <w:t>Автор отмечает, что пробыла в Руанде один месяц, но, понимая, что она не сможет найти работу, и опасаясь за свою безопасность, решила уехать в Д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нию. Э.К. сообщила автору, что она знает человека, который мог бы помочь ей добрат</w:t>
      </w:r>
      <w:r w:rsidRPr="00143E3D">
        <w:rPr>
          <w:spacing w:val="4"/>
          <w:w w:val="103"/>
        </w:rPr>
        <w:t>ь</w:t>
      </w:r>
      <w:r w:rsidRPr="00143E3D">
        <w:rPr>
          <w:spacing w:val="4"/>
          <w:w w:val="103"/>
        </w:rPr>
        <w:t>ся туда за 6 000 долл. США. Автор позвонила одному из друзей своего мужа и попр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сила его дать ей денег и достать новое удостоверение личности, поскольку она не взяла с собой свое старое удостоверение. Автор предложила другу мужа купить у нее лодку ее мужа, с тем чтобы она могла заплатить за новое удостоверение личности и за проезд. Он сделал это, и автор смогла з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платить необходимую сумму и уехать в Данию. Она прибыла туда 22 августа 2010 года и в тот же день обратилась с ходатайством об уб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жище.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2.8</w:t>
      </w:r>
      <w:r w:rsidRPr="00143E3D">
        <w:rPr>
          <w:spacing w:val="4"/>
          <w:w w:val="103"/>
        </w:rPr>
        <w:tab/>
        <w:t>Автор сообщает, что в обоснование своего ходатайства она указала, что по причине своей политической принадлежности опасается того, что власти Бурунди ее убьют или посадят в тюрьму. Она указала также, что накануне в</w:t>
      </w:r>
      <w:r w:rsidRPr="00143E3D">
        <w:rPr>
          <w:spacing w:val="4"/>
          <w:w w:val="103"/>
        </w:rPr>
        <w:t>ы</w:t>
      </w:r>
      <w:r w:rsidRPr="00143E3D">
        <w:rPr>
          <w:spacing w:val="4"/>
          <w:w w:val="103"/>
        </w:rPr>
        <w:t>боров, в апреле 2010 года, она и ее муж получили анонимные письма с угроз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ми, в которых мужу автора предлагали выйти из НОФ, если он не хочет, чтобы его жену убили. Автор также заявила, что в мае 2010 года в их дом была бр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 xml:space="preserve">шена граната. 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2.9</w:t>
      </w:r>
      <w:r w:rsidRPr="00143E3D">
        <w:rPr>
          <w:spacing w:val="4"/>
          <w:w w:val="103"/>
        </w:rPr>
        <w:tab/>
        <w:t>Автор утверждает, что ее сестра, которая осталась в Бурунди, также гов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рила ей о том, что членов НОФ убивали или сажали в тюрьму и что прежние соседи автора, являвшиеся членами НСЗД, обещали убить ее, если она верне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ся домой. Кроме того, ее сестра сообщила ей, что маман Ореди и ее сын ар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стованы, а двоюродного брата мужа автора, Н.С., который также был членом НОФ, убили 29 марта 2011 года.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2.10</w:t>
      </w:r>
      <w:r w:rsidRPr="00143E3D">
        <w:rPr>
          <w:spacing w:val="4"/>
          <w:w w:val="103"/>
        </w:rPr>
        <w:tab/>
        <w:t>Автор указывает, что 28 апреля 2011 года Иммиграционная служба гос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дарства-участника отклонила ее ходатайство об убежище и передала дело в Апелляционную комиссию по делам беженцев. По мнению Иммиграционной службы, утверждения автора о том, что власти Бурунди узнали о ее прина</w:t>
      </w:r>
      <w:r w:rsidRPr="00143E3D">
        <w:rPr>
          <w:spacing w:val="4"/>
          <w:w w:val="103"/>
        </w:rPr>
        <w:t>д</w:t>
      </w:r>
      <w:r w:rsidRPr="00143E3D">
        <w:rPr>
          <w:spacing w:val="4"/>
          <w:w w:val="103"/>
        </w:rPr>
        <w:t>лежности к НОФ потому, что ее муж был членом этой партии, не заслуживают д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верия. Иммиграционная служба подчеркнула, что в удостоверении личности автора нет никаких упоминаний о том, что она замужем</w:t>
      </w:r>
      <w:r w:rsidRPr="00087FA1">
        <w:rPr>
          <w:spacing w:val="4"/>
          <w:w w:val="103"/>
          <w:szCs w:val="18"/>
          <w:vertAlign w:val="superscript"/>
        </w:rPr>
        <w:footnoteReference w:id="4"/>
      </w:r>
      <w:r w:rsidRPr="00143E3D">
        <w:rPr>
          <w:spacing w:val="4"/>
          <w:w w:val="103"/>
        </w:rPr>
        <w:t>. Поэтому властям не могло быть известно, что она была женой члена НОФ. Иммиграционная слу</w:t>
      </w:r>
      <w:r w:rsidRPr="00143E3D">
        <w:rPr>
          <w:spacing w:val="4"/>
          <w:w w:val="103"/>
        </w:rPr>
        <w:t>ж</w:t>
      </w:r>
      <w:r w:rsidRPr="00143E3D">
        <w:rPr>
          <w:spacing w:val="4"/>
          <w:w w:val="103"/>
        </w:rPr>
        <w:t>ба указала также, что вряд ли люди, не я</w:t>
      </w:r>
      <w:r w:rsidRPr="00143E3D">
        <w:rPr>
          <w:spacing w:val="4"/>
          <w:w w:val="103"/>
        </w:rPr>
        <w:t>в</w:t>
      </w:r>
      <w:r w:rsidRPr="00143E3D">
        <w:rPr>
          <w:spacing w:val="4"/>
          <w:w w:val="103"/>
        </w:rPr>
        <w:t>ляющиеся членами НОФ, знали о принадлежности ее мужа к этой партии. Кроме того, нахождение автора в о</w:t>
      </w:r>
      <w:r w:rsidRPr="00143E3D">
        <w:rPr>
          <w:spacing w:val="4"/>
          <w:w w:val="103"/>
        </w:rPr>
        <w:t>г</w:t>
      </w:r>
      <w:r w:rsidRPr="00143E3D">
        <w:rPr>
          <w:spacing w:val="4"/>
          <w:w w:val="103"/>
        </w:rPr>
        <w:t>ромной толпе, которая пыталась помешать аресту лидера НОФ, никоим обр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зом не позволяло идентифицировать ее в качестве члена этой партии. Таким образом, по мнению Иммиграционной службы, доводы автора стр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ятся только на основе ее утверждения о том, что 13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июля 2010 года, когда она бежала из своего города, полицейские попытались арестовать ее и ее мужа без разъясн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ния причин, по которым полиция их разыскивала, и того, каким образом пол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це</w:t>
      </w:r>
      <w:r w:rsidRPr="00143E3D">
        <w:rPr>
          <w:spacing w:val="4"/>
          <w:w w:val="103"/>
        </w:rPr>
        <w:t>й</w:t>
      </w:r>
      <w:r w:rsidRPr="00143E3D">
        <w:rPr>
          <w:spacing w:val="4"/>
          <w:w w:val="103"/>
        </w:rPr>
        <w:t>ские узнали, что автор скрывалась в городе Кибенга. Иммиграционная служба подчеркнула далее, что утверждение автора о том, что ей угрожали и несколько раз и</w:t>
      </w:r>
      <w:r w:rsidRPr="00143E3D">
        <w:rPr>
          <w:spacing w:val="4"/>
          <w:w w:val="103"/>
        </w:rPr>
        <w:t>з</w:t>
      </w:r>
      <w:r w:rsidRPr="00143E3D">
        <w:rPr>
          <w:spacing w:val="4"/>
          <w:w w:val="103"/>
        </w:rPr>
        <w:t>бивали по пути с работы, не могут быть приняты во внимание, поскольку ей не было ничего известно о личности нападавших. И наконец, Иммиграционная служба сочла не имеющими отношения к делу ее утвержд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ния о том, что ее изнасиловали трое мужчин. Иммиграционная служба обрат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ла внимание на слова автора, согласно которым нападавшие не руководствов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лись какими-либо особыми причинами, избрав ее в качестве жертвы. Имм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грационная служба подчеркнула также, что автор являлась рядовым членом НОФ и выполняла ограниченные вспомогательные функции. В силу этого И</w:t>
      </w:r>
      <w:r w:rsidRPr="00143E3D">
        <w:rPr>
          <w:spacing w:val="4"/>
          <w:w w:val="103"/>
        </w:rPr>
        <w:t>м</w:t>
      </w:r>
      <w:r w:rsidRPr="00143E3D">
        <w:rPr>
          <w:spacing w:val="4"/>
          <w:w w:val="103"/>
        </w:rPr>
        <w:t>миграционная служба пришла к выводу, что автору не угрожает опа</w:t>
      </w:r>
      <w:r w:rsidRPr="00143E3D">
        <w:rPr>
          <w:spacing w:val="4"/>
          <w:w w:val="103"/>
        </w:rPr>
        <w:t>с</w:t>
      </w:r>
      <w:r w:rsidRPr="00143E3D">
        <w:rPr>
          <w:spacing w:val="4"/>
          <w:w w:val="103"/>
        </w:rPr>
        <w:t>ность подвергнуться преследованию в Буру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>ди.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2.11</w:t>
      </w:r>
      <w:r w:rsidRPr="00143E3D">
        <w:rPr>
          <w:spacing w:val="4"/>
          <w:w w:val="103"/>
        </w:rPr>
        <w:tab/>
        <w:t>Автор указывает далее, что 29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сентября 2011 года Апелляционная коми</w:t>
      </w:r>
      <w:r w:rsidRPr="00143E3D">
        <w:rPr>
          <w:spacing w:val="4"/>
          <w:w w:val="103"/>
        </w:rPr>
        <w:t>с</w:t>
      </w:r>
      <w:r w:rsidRPr="00143E3D">
        <w:rPr>
          <w:spacing w:val="4"/>
          <w:w w:val="103"/>
        </w:rPr>
        <w:t>сия по делам беженцев подтвердила решение Иммиграционной службы</w:t>
      </w:r>
      <w:r w:rsidRPr="00087FA1">
        <w:rPr>
          <w:rStyle w:val="FootnoteReference"/>
          <w:spacing w:val="4"/>
          <w:w w:val="103"/>
          <w:position w:val="0"/>
        </w:rPr>
        <w:footnoteReference w:id="5"/>
      </w:r>
      <w:r w:rsidRPr="00143E3D">
        <w:rPr>
          <w:spacing w:val="4"/>
          <w:w w:val="103"/>
        </w:rPr>
        <w:t xml:space="preserve"> и та</w:t>
      </w:r>
      <w:r w:rsidRPr="00143E3D">
        <w:rPr>
          <w:spacing w:val="4"/>
          <w:w w:val="103"/>
        </w:rPr>
        <w:t>к</w:t>
      </w:r>
      <w:r w:rsidRPr="00143E3D">
        <w:rPr>
          <w:spacing w:val="4"/>
          <w:w w:val="103"/>
        </w:rPr>
        <w:t>же указала, что деятельность автора в НОФ не имеет большого значения. Она отметила также отсутствие каких-либо свидетельств того, что изнасилование автора было связано с ее членством в НОФ. Комиссия также добавила, что п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лиция вряд ли опрашивала жителей Кибенги с целью арестовать автора. Кроме того, она отметила, что, хотя муж автора отвечал за сбор средств для НОФ, это не означает, что из-за его деятельности сама автор подверглась бы преслед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ваниям. Комиссия не отрицала того факта, что в мае 2010 года дом автора п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страдал от взрыва гранаты, однако отметила отсутствие каких-либо свид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тельств того, что целью этого акта являлись автор и ее муж. Кроме того, она сочла, что угрозы и преследования, которым подверглась автор, не имели т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кой интенсивности и не носили такого характера, чтобы служить основанием для ходатайства об убежище, и пришла к заключению, что автор не доказала, что при возвращении в Бурунди ей будет угрожать реальная опасность пресл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 xml:space="preserve">дования. 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2.12</w:t>
      </w:r>
      <w:r w:rsidRPr="00143E3D">
        <w:rPr>
          <w:spacing w:val="4"/>
          <w:w w:val="103"/>
        </w:rPr>
        <w:tab/>
        <w:t>Автор утверждает, что она исчерпала все внутренние средства правовой защиты, поскольку решения Апелляционной комиссии по делам беженцев я</w:t>
      </w:r>
      <w:r w:rsidRPr="00143E3D">
        <w:rPr>
          <w:spacing w:val="4"/>
          <w:w w:val="103"/>
        </w:rPr>
        <w:t>в</w:t>
      </w:r>
      <w:r w:rsidRPr="00143E3D">
        <w:rPr>
          <w:spacing w:val="4"/>
          <w:w w:val="103"/>
        </w:rPr>
        <w:t xml:space="preserve">ляются окончательными. </w:t>
      </w: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  <w:kern w:val="0"/>
        </w:rPr>
      </w:pPr>
      <w:r w:rsidRPr="00143E3D">
        <w:rPr>
          <w:spacing w:val="4"/>
          <w:kern w:val="0"/>
        </w:rPr>
        <w:tab/>
      </w:r>
      <w:r w:rsidRPr="00143E3D">
        <w:rPr>
          <w:spacing w:val="4"/>
          <w:kern w:val="0"/>
        </w:rPr>
        <w:tab/>
        <w:t>Жалоба</w:t>
      </w: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SingleTxt"/>
        <w:rPr>
          <w:rStyle w:val="SingleTxt2"/>
          <w:kern w:val="0"/>
        </w:rPr>
      </w:pPr>
      <w:r w:rsidRPr="00143E3D">
        <w:rPr>
          <w:rStyle w:val="SingleTxt2"/>
          <w:kern w:val="0"/>
        </w:rPr>
        <w:t>3.</w:t>
      </w:r>
      <w:r w:rsidRPr="00143E3D">
        <w:rPr>
          <w:rStyle w:val="SingleTxt2"/>
          <w:kern w:val="0"/>
        </w:rPr>
        <w:tab/>
        <w:t>Автор утверждает, что ее высылка в Бурунди явилась бы нарушением статей 1, 2(с), 2(d) и 3 Конвенции, поскольку в Бурунди до того, как она беж</w:t>
      </w:r>
      <w:r w:rsidRPr="00143E3D">
        <w:rPr>
          <w:rStyle w:val="SingleTxt2"/>
          <w:kern w:val="0"/>
        </w:rPr>
        <w:t>а</w:t>
      </w:r>
      <w:r w:rsidRPr="00143E3D">
        <w:rPr>
          <w:rStyle w:val="SingleTxt2"/>
          <w:kern w:val="0"/>
        </w:rPr>
        <w:t>ла из этой стр</w:t>
      </w:r>
      <w:r w:rsidRPr="00143E3D">
        <w:rPr>
          <w:rStyle w:val="SingleTxt2"/>
          <w:kern w:val="0"/>
        </w:rPr>
        <w:t>а</w:t>
      </w:r>
      <w:r w:rsidRPr="00143E3D">
        <w:rPr>
          <w:rStyle w:val="SingleTxt2"/>
          <w:kern w:val="0"/>
        </w:rPr>
        <w:t>ны, ее изнасиловали трое мужчин, вследствие политических преследований со стороны бурундийских властей, и поскольку, будучи же</w:t>
      </w:r>
      <w:r w:rsidRPr="00143E3D">
        <w:rPr>
          <w:rStyle w:val="SingleTxt2"/>
          <w:kern w:val="0"/>
        </w:rPr>
        <w:t>н</w:t>
      </w:r>
      <w:r w:rsidRPr="00143E3D">
        <w:rPr>
          <w:rStyle w:val="SingleTxt2"/>
          <w:kern w:val="0"/>
        </w:rPr>
        <w:t>щиной, может подвергнуться изнасилованию или иному физическому насилию по возвращении</w:t>
      </w:r>
      <w:r w:rsidRPr="00087FA1">
        <w:rPr>
          <w:rStyle w:val="FootnoteReference"/>
          <w:spacing w:val="4"/>
          <w:w w:val="103"/>
          <w:kern w:val="0"/>
          <w:position w:val="0"/>
        </w:rPr>
        <w:footnoteReference w:id="6"/>
      </w:r>
      <w:r w:rsidRPr="00143E3D">
        <w:rPr>
          <w:rStyle w:val="SingleTxt2"/>
          <w:kern w:val="0"/>
        </w:rPr>
        <w:t>.</w:t>
      </w: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  <w:kern w:val="0"/>
        </w:rPr>
      </w:pPr>
      <w:r w:rsidRPr="00143E3D">
        <w:rPr>
          <w:spacing w:val="4"/>
          <w:kern w:val="0"/>
        </w:rPr>
        <w:tab/>
      </w:r>
      <w:r w:rsidRPr="00143E3D">
        <w:rPr>
          <w:spacing w:val="4"/>
          <w:kern w:val="0"/>
        </w:rPr>
        <w:tab/>
        <w:t>Замечания государства-участника относительно приемлемости и существа сообщения</w:t>
      </w: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4.1.</w:t>
      </w:r>
      <w:r w:rsidRPr="00143E3D">
        <w:rPr>
          <w:spacing w:val="4"/>
          <w:w w:val="103"/>
        </w:rPr>
        <w:tab/>
        <w:t>В своем заявлении от 3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апреля 2012 года государство-участник оспорило приемлемость сообщения. Оно заявляет, что в связи с ходатайством об убеж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ще автор сообщила о том, что она является этнической хуту и протестанткой и что ее пресл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дуют как члена НОФ.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4.2</w:t>
      </w:r>
      <w:r w:rsidRPr="00143E3D">
        <w:rPr>
          <w:spacing w:val="4"/>
          <w:w w:val="103"/>
        </w:rPr>
        <w:tab/>
        <w:t>Государство-участник отмечает, что автор никогда не подвергалась ар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сту или тюремному заключению, что в ее доме никогда не проводились об</w:t>
      </w:r>
      <w:r w:rsidRPr="00143E3D">
        <w:rPr>
          <w:spacing w:val="4"/>
          <w:w w:val="103"/>
        </w:rPr>
        <w:t>ы</w:t>
      </w:r>
      <w:r w:rsidRPr="00143E3D">
        <w:rPr>
          <w:spacing w:val="4"/>
          <w:w w:val="103"/>
        </w:rPr>
        <w:t>ски и что в отличие от своего мужа она никогда не занимала какого-либо оф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циального поста в НОФ. Государство-участник признает, что в апреле 2010 года имели место угрозы в адрес семьи автора и что в мае 2010 года в ее дом была брошена граната, когда дома никого не было. После выборов в июле 2010 года правительство Б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рунди подвергло бомбардировке город, в котором жила автор, после чего она бежала. По дороге в К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бенгу ее изнасиловали трое вооруженных мужчин. Автору ничего неизвестно о м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тивах этих людей или их личн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 xml:space="preserve">сти. 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4.3</w:t>
      </w:r>
      <w:r w:rsidRPr="00143E3D">
        <w:rPr>
          <w:spacing w:val="4"/>
          <w:w w:val="103"/>
        </w:rPr>
        <w:tab/>
        <w:t>Государство-участник указывает, что Апелляционная комиссия по делам беженцев приняла представленные автором свидетельства, в том числе отн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сительно ее участия в деятельности НОФ, однако установила, что политич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ская деятельность автора носила ограниченный характер. Комиссия не выяв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ла никаких свидетельств того, что изнасилование автора тремя неизвестными мужчинами было связано с ее деятельностью в НОФ. Комиссия не усмотрела никаких оснований, позволяющих считать, что целью расспросов, проводи</w:t>
      </w:r>
      <w:r w:rsidRPr="00143E3D">
        <w:rPr>
          <w:spacing w:val="4"/>
          <w:w w:val="103"/>
        </w:rPr>
        <w:t>в</w:t>
      </w:r>
      <w:r w:rsidRPr="00143E3D">
        <w:rPr>
          <w:spacing w:val="4"/>
          <w:w w:val="103"/>
        </w:rPr>
        <w:t>шихся полицейскими возле дома в Кибенге, где останавливалась автор, было ее з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держание.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4.4</w:t>
      </w:r>
      <w:r w:rsidRPr="00143E3D">
        <w:rPr>
          <w:spacing w:val="4"/>
          <w:w w:val="103"/>
        </w:rPr>
        <w:tab/>
        <w:t>Государство-участник сообщает, что согласно разделу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7(2) Закона об иностранцах, если заявителю угрожает опасность смертной казни или опа</w:t>
      </w:r>
      <w:r w:rsidRPr="00143E3D">
        <w:rPr>
          <w:spacing w:val="4"/>
          <w:w w:val="103"/>
        </w:rPr>
        <w:t>с</w:t>
      </w:r>
      <w:r w:rsidRPr="00143E3D">
        <w:rPr>
          <w:spacing w:val="4"/>
          <w:w w:val="103"/>
        </w:rPr>
        <w:t>ность подвергнуться пыткам, жестокому или унижающему достоинство обр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щению или наказанию в случае его или ее возвращения в страну происхожд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ния, ему выдается вид на жительство. Заявитель удовлетворяет требованиям для выдачи такого вида на ж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тельство, если имеются конкретные для данного случая основания считать вероя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ным, что в случае возвращения просителю убежища будет угрожать реальная опа</w:t>
      </w:r>
      <w:r w:rsidRPr="00143E3D">
        <w:rPr>
          <w:spacing w:val="4"/>
          <w:w w:val="103"/>
        </w:rPr>
        <w:t>с</w:t>
      </w:r>
      <w:r w:rsidRPr="00143E3D">
        <w:rPr>
          <w:spacing w:val="4"/>
          <w:w w:val="103"/>
        </w:rPr>
        <w:t>ность применения пыток.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4.5</w:t>
      </w:r>
      <w:r w:rsidRPr="00143E3D">
        <w:rPr>
          <w:spacing w:val="4"/>
          <w:w w:val="103"/>
        </w:rPr>
        <w:tab/>
        <w:t>Государство-участник сообщает, что такая оценка дается Апелляционной комиссией по делам беженцев, которая принимает решения, основываясь на всех соответствующих свидетельствах, включая информацию о положении в стране происхождения просителя убежища. Для этих целей Комиссия распол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гает обширным собранием общих справочных материалов о положении в стр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нах, из которых в государство-участник прибывают просители убежища. Гос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дарство-участник указывает далее, что Комиссия принимает свои решения с учетом международных обязательств Д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 xml:space="preserve">нии. 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4.6</w:t>
      </w:r>
      <w:r w:rsidRPr="00143E3D">
        <w:rPr>
          <w:spacing w:val="4"/>
          <w:w w:val="103"/>
        </w:rPr>
        <w:tab/>
        <w:t>Государство-участник указывает, что возвращение автора в Бурунди не приведет к нарушению положений Конвенции, как это утверждает автор. Оно заявляет, что сообщение следует признать неприемлемым ratione loci, а также ratione materiae в соответствии со статьей 2 и статьей 4(2)(b) Факультативн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го протокола. Государство-участник указывает также, что якобы имевшие м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сто нарушения, на которые ссылается автор в своей жалобе, характерны для Б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рунди</w:t>
      </w:r>
      <w:r w:rsidRPr="00087FA1">
        <w:rPr>
          <w:rStyle w:val="FootnoteReference"/>
          <w:spacing w:val="4"/>
          <w:w w:val="103"/>
          <w:position w:val="0"/>
        </w:rPr>
        <w:footnoteReference w:id="7"/>
      </w:r>
      <w:r w:rsidRPr="00143E3D">
        <w:rPr>
          <w:spacing w:val="4"/>
          <w:w w:val="103"/>
        </w:rPr>
        <w:t>, а не для Дании. Государство-участник утверждает, что Комитет не о</w:t>
      </w:r>
      <w:r w:rsidRPr="00143E3D">
        <w:rPr>
          <w:spacing w:val="4"/>
          <w:w w:val="103"/>
        </w:rPr>
        <w:t>б</w:t>
      </w:r>
      <w:r w:rsidRPr="00143E3D">
        <w:rPr>
          <w:spacing w:val="4"/>
          <w:w w:val="103"/>
        </w:rPr>
        <w:t>ладает юрисдикцией для вынесения решений по соответствующим нарушен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ям в отношении Дании, и поэтому данное сообщение несовместимо с полож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ниями Конвенции. Утверждения автора строятся не на основе какого-либо о</w:t>
      </w:r>
      <w:r w:rsidRPr="00143E3D">
        <w:rPr>
          <w:spacing w:val="4"/>
          <w:w w:val="103"/>
        </w:rPr>
        <w:t>б</w:t>
      </w:r>
      <w:r w:rsidRPr="00143E3D">
        <w:rPr>
          <w:spacing w:val="4"/>
          <w:w w:val="103"/>
        </w:rPr>
        <w:t>ращения, от которого она пострадает в государстве-участнике, а скорее на в</w:t>
      </w:r>
      <w:r w:rsidRPr="00143E3D">
        <w:rPr>
          <w:spacing w:val="4"/>
          <w:w w:val="103"/>
        </w:rPr>
        <w:t>ы</w:t>
      </w:r>
      <w:r w:rsidRPr="00143E3D">
        <w:rPr>
          <w:spacing w:val="4"/>
          <w:w w:val="103"/>
        </w:rPr>
        <w:t>водах о том, что она может пострадать в случае возвращения в Бурунди. Реш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ние о возвращении автора в Бурунди не может привести к возникновению о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ветственности государства-участника по статьям 1, 2(с), 2(d) и 3 Конве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 xml:space="preserve">ции. 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4.7</w:t>
      </w:r>
      <w:r w:rsidRPr="00143E3D">
        <w:rPr>
          <w:spacing w:val="4"/>
          <w:w w:val="103"/>
        </w:rPr>
        <w:tab/>
        <w:t>Государство-участник заявляет, что для целей статьи 2 Факультативного протокола понятие юрисдикции следует рассматривать в рамках общего зн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чения этого термина в международном публичном праве. С точки зрения ме</w:t>
      </w:r>
      <w:r w:rsidRPr="00143E3D">
        <w:rPr>
          <w:spacing w:val="4"/>
          <w:w w:val="103"/>
        </w:rPr>
        <w:t>ж</w:t>
      </w:r>
      <w:r w:rsidRPr="00143E3D">
        <w:rPr>
          <w:spacing w:val="4"/>
          <w:w w:val="103"/>
        </w:rPr>
        <w:t>дународного пу</w:t>
      </w:r>
      <w:r w:rsidRPr="00143E3D">
        <w:rPr>
          <w:spacing w:val="4"/>
          <w:w w:val="103"/>
        </w:rPr>
        <w:t>б</w:t>
      </w:r>
      <w:r w:rsidRPr="00143E3D">
        <w:rPr>
          <w:spacing w:val="4"/>
          <w:w w:val="103"/>
        </w:rPr>
        <w:t xml:space="preserve">личного права слова </w:t>
      </w:r>
      <w:r>
        <w:rPr>
          <w:spacing w:val="4"/>
          <w:w w:val="103"/>
        </w:rPr>
        <w:t>«</w:t>
      </w:r>
      <w:r w:rsidRPr="00143E3D">
        <w:rPr>
          <w:spacing w:val="4"/>
          <w:w w:val="103"/>
        </w:rPr>
        <w:t>под юрисдикцией государства-участника</w:t>
      </w:r>
      <w:r>
        <w:rPr>
          <w:spacing w:val="4"/>
          <w:w w:val="103"/>
        </w:rPr>
        <w:t>»</w:t>
      </w:r>
      <w:r w:rsidRPr="00143E3D">
        <w:rPr>
          <w:spacing w:val="4"/>
          <w:w w:val="103"/>
        </w:rPr>
        <w:t xml:space="preserve"> следует понимать как означающие, что юрисдикционная комп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тенция госуда</w:t>
      </w:r>
      <w:r w:rsidRPr="00143E3D">
        <w:rPr>
          <w:spacing w:val="4"/>
          <w:w w:val="103"/>
        </w:rPr>
        <w:t>р</w:t>
      </w:r>
      <w:r w:rsidRPr="00143E3D">
        <w:rPr>
          <w:spacing w:val="4"/>
          <w:w w:val="103"/>
        </w:rPr>
        <w:t>ства носит преимущественно территориальный характер и что юрисдикция государства предположительно осуществляется на всей его терр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тории. Лишь при исключительных обстоятельствах некоторые действия гос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дарства-участника могут оказывать воздействие за пределами его территории, что влечет за собой ответственность (</w:t>
      </w:r>
      <w:r>
        <w:rPr>
          <w:spacing w:val="4"/>
          <w:w w:val="103"/>
        </w:rPr>
        <w:t>«</w:t>
      </w:r>
      <w:r w:rsidRPr="00143E3D">
        <w:rPr>
          <w:spacing w:val="4"/>
          <w:w w:val="103"/>
        </w:rPr>
        <w:t>экстерриториальное действие</w:t>
      </w:r>
      <w:r>
        <w:rPr>
          <w:spacing w:val="4"/>
          <w:w w:val="103"/>
        </w:rPr>
        <w:t>»</w:t>
      </w:r>
      <w:r w:rsidRPr="00143E3D">
        <w:rPr>
          <w:spacing w:val="4"/>
          <w:w w:val="103"/>
        </w:rPr>
        <w:t>). Гос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дарство-участник указывает, что в данном случае такие исключительные о</w:t>
      </w:r>
      <w:r w:rsidRPr="00143E3D">
        <w:rPr>
          <w:spacing w:val="4"/>
          <w:w w:val="103"/>
        </w:rPr>
        <w:t>б</w:t>
      </w:r>
      <w:r w:rsidRPr="00143E3D">
        <w:rPr>
          <w:spacing w:val="4"/>
          <w:w w:val="103"/>
        </w:rPr>
        <w:t>стоятельства отсутств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 xml:space="preserve">ют. 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4.8</w:t>
      </w:r>
      <w:r w:rsidRPr="00143E3D">
        <w:rPr>
          <w:spacing w:val="4"/>
          <w:w w:val="103"/>
        </w:rPr>
        <w:tab/>
        <w:t>Государство-участник отмечает далее, что у Комитета нет какой-либо правовой практики, которая свидетельствовала бы о том, что положения Ко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>венции им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ют экстерриториальное действие. Государство-участник указывает, что Европейский суд по правам человека подчеркивал в своих ранее принятых решениях исключительность характера экстерриториальной защиты прав, з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крепленных в Европейской конвенции о защите прав человека и основных св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бод (Европейская конвенция о правах человека)</w:t>
      </w:r>
      <w:r w:rsidRPr="00087FA1">
        <w:rPr>
          <w:rStyle w:val="FootnoteReference"/>
          <w:spacing w:val="4"/>
          <w:w w:val="103"/>
          <w:position w:val="0"/>
        </w:rPr>
        <w:footnoteReference w:id="8"/>
      </w:r>
      <w:r w:rsidRPr="00143E3D">
        <w:rPr>
          <w:spacing w:val="4"/>
          <w:w w:val="103"/>
        </w:rPr>
        <w:t>. Аналогичная правовая пра</w:t>
      </w:r>
      <w:r w:rsidRPr="00143E3D">
        <w:rPr>
          <w:spacing w:val="4"/>
          <w:w w:val="103"/>
        </w:rPr>
        <w:t>к</w:t>
      </w:r>
      <w:r w:rsidRPr="00143E3D">
        <w:rPr>
          <w:spacing w:val="4"/>
          <w:w w:val="103"/>
        </w:rPr>
        <w:t>тика имеется и у Комитета по правам человека, который в ряде случаев указ</w:t>
      </w:r>
      <w:r w:rsidRPr="00143E3D">
        <w:rPr>
          <w:spacing w:val="4"/>
          <w:w w:val="103"/>
        </w:rPr>
        <w:t>ы</w:t>
      </w:r>
      <w:r w:rsidRPr="00143E3D">
        <w:rPr>
          <w:spacing w:val="4"/>
          <w:w w:val="103"/>
        </w:rPr>
        <w:t>вал, что высылка государствами-участниками лиц в другие страны приведет к предсказуемому нарушению их права на жизнь, закрепленного в статье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6 М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ждународного пакта о гражданских и политических правах, или их права на защиту от пыток, предусмотренного в статье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7 Пакта. Государство-участник указывает далее, что Комитет по правам человека никогда не рассматривал по существу жалобы, касающиеся высылки лиц, которым угрожали менее серье</w:t>
      </w:r>
      <w:r w:rsidRPr="00143E3D">
        <w:rPr>
          <w:spacing w:val="4"/>
          <w:w w:val="103"/>
        </w:rPr>
        <w:t>з</w:t>
      </w:r>
      <w:r w:rsidRPr="00143E3D">
        <w:rPr>
          <w:spacing w:val="4"/>
          <w:w w:val="103"/>
        </w:rPr>
        <w:t>ные нарушения прав человека. В этой связи государство-участник отмечает, что в положениях Конвенции не затрагиваются вопросы пыток или других серьезных угроз для жизни и безопасности чел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 xml:space="preserve">века. 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4.9</w:t>
      </w:r>
      <w:r w:rsidRPr="00143E3D">
        <w:rPr>
          <w:spacing w:val="4"/>
          <w:w w:val="103"/>
        </w:rPr>
        <w:tab/>
        <w:t>Государство-участник заявляет, что, согласно общей рекомендации №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19 Комитета, гендерное насилие является одной из форм дискриминации, что м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жет затруднить или свести на нет осуществление женщинами таких прав чел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века и основных свобод, как право на жизнь и право не подвергаться пыткам. Государство-участник утверждает, что оно несет ответственность лишь за с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блюдение обязательств по отношению к лицам, находящимся в пределах его юрисдикции, и не м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жет нести ответственность за дискриминацию в какой-либо другой стране. Возвращение лица, прибывшего в государство-участник лишь для того, чтобы избежать дискриминационного обращения в своей со</w:t>
      </w:r>
      <w:r w:rsidRPr="00143E3D">
        <w:rPr>
          <w:spacing w:val="4"/>
          <w:w w:val="103"/>
        </w:rPr>
        <w:t>б</w:t>
      </w:r>
      <w:r w:rsidRPr="00143E3D">
        <w:rPr>
          <w:spacing w:val="4"/>
          <w:w w:val="103"/>
        </w:rPr>
        <w:t>ственной стране, сколь бы недопуст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мым такое обращение ни было, не может являться нарушением Конвенции этим г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 xml:space="preserve">сударством-участником. 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4.10</w:t>
      </w:r>
      <w:r w:rsidRPr="00143E3D">
        <w:rPr>
          <w:spacing w:val="4"/>
          <w:w w:val="103"/>
        </w:rPr>
        <w:tab/>
        <w:t>Государство-участник заявляет далее, что сообщение автора следует пр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знать неприемлемым согласно статье 4(1) Факультативного протокола ввиду неисчерп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ния внутренних средств правовой защиты. Государство-участник указывает, что автор не формулировала никаких утверждений по поводу ди</w:t>
      </w:r>
      <w:r w:rsidRPr="00143E3D">
        <w:rPr>
          <w:spacing w:val="4"/>
          <w:w w:val="103"/>
        </w:rPr>
        <w:t>с</w:t>
      </w:r>
      <w:r w:rsidRPr="00143E3D">
        <w:rPr>
          <w:spacing w:val="4"/>
          <w:w w:val="103"/>
        </w:rPr>
        <w:t>криминации по признаку пола в Иммиграционной службе или в Апелляцио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>ной комиссии по делам беженцев. По этой причине национальные органы вл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сти не имели возможности рассмотреть утверждения автора о дискриминации по признаку пола. В соответствии с установившейся правовой практикой К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митета автор должна была бы сформулировать такие претензии при рассмо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рении дела в национальных органах, прежде чем вын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сить их на рассмотрение Комитета</w:t>
      </w:r>
      <w:r w:rsidRPr="00087FA1">
        <w:rPr>
          <w:rStyle w:val="FootnoteReference"/>
          <w:spacing w:val="4"/>
          <w:w w:val="103"/>
          <w:position w:val="0"/>
        </w:rPr>
        <w:footnoteReference w:id="9"/>
      </w:r>
      <w:r w:rsidRPr="00143E3D">
        <w:rPr>
          <w:spacing w:val="4"/>
          <w:w w:val="103"/>
        </w:rPr>
        <w:t>. Хотя автор может и не ссылаться на конкретные положения Ко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>венции, она должна была как минимум выдвинуть конкретные пр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тензии в связи с предп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 xml:space="preserve">лагаемой дискриминацией. 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4.11</w:t>
      </w:r>
      <w:r w:rsidRPr="00143E3D">
        <w:rPr>
          <w:spacing w:val="4"/>
          <w:w w:val="103"/>
        </w:rPr>
        <w:tab/>
        <w:t>Государство-участник указывает далее на необоснованность утверждений автора. Вместо того чтобы пояснить, какие конкретные предусмотренные Ко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>венцией права были нарушены, автор лишь ссылается на статьи 1, 2(с), 2(d) и 3. Автор упомянула также статью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14, которая касается проблем, с которыми сталкиваются женщины в сельских районах, а также той значительной роли, которую сельские женщины играют в обеспечении экономического благосо</w:t>
      </w:r>
      <w:r w:rsidRPr="00143E3D">
        <w:rPr>
          <w:spacing w:val="4"/>
          <w:w w:val="103"/>
        </w:rPr>
        <w:t>с</w:t>
      </w:r>
      <w:r w:rsidRPr="00143E3D">
        <w:rPr>
          <w:spacing w:val="4"/>
          <w:w w:val="103"/>
        </w:rPr>
        <w:t>тояния своих семей. По мн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нию государства-участника, ссылка на статью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14 в данных обстоятельствах является неуместной.</w:t>
      </w: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  <w:kern w:val="0"/>
        </w:rPr>
      </w:pPr>
      <w:r w:rsidRPr="00143E3D">
        <w:rPr>
          <w:spacing w:val="4"/>
          <w:kern w:val="0"/>
        </w:rPr>
        <w:tab/>
      </w:r>
      <w:r w:rsidRPr="00143E3D">
        <w:rPr>
          <w:spacing w:val="4"/>
          <w:kern w:val="0"/>
        </w:rPr>
        <w:tab/>
        <w:t>Комментарии автора по письменному заявлению государства-участника</w:t>
      </w: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rStyle w:val="SingleTxt2"/>
        </w:rPr>
        <w:t>5.1</w:t>
      </w:r>
      <w:r w:rsidRPr="00143E3D">
        <w:rPr>
          <w:rStyle w:val="SingleTxt2"/>
        </w:rPr>
        <w:tab/>
        <w:t>Автор представила свои комментарии по замечаниям государства-участника относительно приемлемости и существа сообщения 20 июня 2012 года. Автор заявляет, что</w:t>
      </w:r>
      <w:r>
        <w:rPr>
          <w:rStyle w:val="SingleTxt2"/>
        </w:rPr>
        <w:t>,</w:t>
      </w:r>
      <w:r w:rsidRPr="00143E3D">
        <w:rPr>
          <w:rStyle w:val="SingleTxt2"/>
        </w:rPr>
        <w:t xml:space="preserve"> поскольку вопрос об экстерриториальном де</w:t>
      </w:r>
      <w:r w:rsidRPr="00143E3D">
        <w:rPr>
          <w:rStyle w:val="SingleTxt2"/>
        </w:rPr>
        <w:t>й</w:t>
      </w:r>
      <w:r w:rsidRPr="00143E3D">
        <w:rPr>
          <w:rStyle w:val="SingleTxt2"/>
        </w:rPr>
        <w:t>ствии не рассматривался Комитетом, Комитету следует принять решение по этому вопросу и подтвердить экстерриториальное применение положений Ко</w:t>
      </w:r>
      <w:r w:rsidRPr="00143E3D">
        <w:rPr>
          <w:rStyle w:val="SingleTxt2"/>
        </w:rPr>
        <w:t>н</w:t>
      </w:r>
      <w:r w:rsidRPr="00143E3D">
        <w:rPr>
          <w:rStyle w:val="SingleTxt2"/>
        </w:rPr>
        <w:t>венции</w:t>
      </w:r>
      <w:r w:rsidRPr="00143E3D">
        <w:rPr>
          <w:spacing w:val="4"/>
          <w:w w:val="103"/>
        </w:rPr>
        <w:t>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5.2</w:t>
      </w:r>
      <w:r w:rsidRPr="00143E3D">
        <w:rPr>
          <w:spacing w:val="4"/>
          <w:w w:val="103"/>
        </w:rPr>
        <w:tab/>
        <w:t>Автор указывает, что в своих общих рекомендациях №</w:t>
      </w:r>
      <w:r>
        <w:rPr>
          <w:spacing w:val="4"/>
          <w:w w:val="103"/>
        </w:rPr>
        <w:t>№ </w:t>
      </w:r>
      <w:r w:rsidRPr="00143E3D">
        <w:rPr>
          <w:spacing w:val="4"/>
          <w:w w:val="103"/>
        </w:rPr>
        <w:t>12 и 19 Ком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тет дал важные разъяснения по вопросам, касающимся насилия в отношении же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 xml:space="preserve">щин. При этом более важно, что в ряде случаев Комитет приходил к выводу о том, что у государств-участников есть </w:t>
      </w:r>
      <w:r>
        <w:rPr>
          <w:spacing w:val="4"/>
          <w:w w:val="103"/>
        </w:rPr>
        <w:t>«</w:t>
      </w:r>
      <w:r w:rsidRPr="00143E3D">
        <w:rPr>
          <w:spacing w:val="4"/>
          <w:w w:val="103"/>
        </w:rPr>
        <w:t>позитивное обязательство</w:t>
      </w:r>
      <w:r>
        <w:rPr>
          <w:spacing w:val="4"/>
          <w:w w:val="103"/>
        </w:rPr>
        <w:t>»</w:t>
      </w:r>
      <w:r w:rsidRPr="00143E3D">
        <w:rPr>
          <w:spacing w:val="4"/>
          <w:w w:val="103"/>
        </w:rPr>
        <w:t xml:space="preserve"> обеспеч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вать эффективную защиту права человека на безопасность</w:t>
      </w:r>
      <w:r w:rsidRPr="00087FA1">
        <w:rPr>
          <w:rStyle w:val="FootnoteReference"/>
          <w:spacing w:val="4"/>
          <w:w w:val="103"/>
          <w:position w:val="0"/>
        </w:rPr>
        <w:footnoteReference w:id="10"/>
      </w:r>
      <w:r w:rsidRPr="00143E3D">
        <w:rPr>
          <w:spacing w:val="4"/>
          <w:w w:val="103"/>
        </w:rPr>
        <w:t xml:space="preserve"> и что Комитет ра</w:t>
      </w:r>
      <w:r w:rsidRPr="00143E3D">
        <w:rPr>
          <w:spacing w:val="4"/>
          <w:w w:val="103"/>
        </w:rPr>
        <w:t>с</w:t>
      </w:r>
      <w:r w:rsidRPr="00143E3D">
        <w:rPr>
          <w:spacing w:val="4"/>
          <w:w w:val="103"/>
        </w:rPr>
        <w:t>сматривал ряд дел, касающихся преступлений на гендерной почве, особенно дел, связанных с изнасилованием</w:t>
      </w:r>
      <w:r w:rsidRPr="00087FA1">
        <w:rPr>
          <w:rStyle w:val="FootnoteReference"/>
          <w:spacing w:val="4"/>
          <w:w w:val="103"/>
          <w:position w:val="0"/>
        </w:rPr>
        <w:footnoteReference w:id="11"/>
      </w:r>
      <w:r w:rsidRPr="00143E3D">
        <w:rPr>
          <w:spacing w:val="4"/>
          <w:w w:val="103"/>
        </w:rPr>
        <w:t>. Автор отмечает далее, что изнасилов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ние, совершенное в военное время, может являться преступлением против челове</w:t>
      </w:r>
      <w:r w:rsidRPr="00143E3D">
        <w:rPr>
          <w:spacing w:val="4"/>
          <w:w w:val="103"/>
        </w:rPr>
        <w:t>ч</w:t>
      </w:r>
      <w:r w:rsidRPr="00143E3D">
        <w:rPr>
          <w:spacing w:val="4"/>
          <w:w w:val="103"/>
        </w:rPr>
        <w:t>ности или же может рассматриваться как одна из форм п</w:t>
      </w:r>
      <w:r w:rsidRPr="00143E3D">
        <w:rPr>
          <w:spacing w:val="4"/>
          <w:w w:val="103"/>
        </w:rPr>
        <w:t>ы</w:t>
      </w:r>
      <w:r w:rsidRPr="00143E3D">
        <w:rPr>
          <w:spacing w:val="4"/>
          <w:w w:val="103"/>
        </w:rPr>
        <w:t>ток.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5.3</w:t>
      </w:r>
      <w:r w:rsidRPr="00143E3D">
        <w:rPr>
          <w:spacing w:val="4"/>
          <w:w w:val="103"/>
        </w:rPr>
        <w:tab/>
        <w:t>Автор заявляет, что вопрос о позитивных обязательствах государства-участника и об экстерриториальном действии положений Конвенции ставился перед Комитетом при рассмотрении дел и ранее. В сообщении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 xml:space="preserve">№ </w:t>
      </w:r>
      <w:hyperlink r:id="rId17" w:history="1">
        <w:r w:rsidRPr="00073BA5">
          <w:rPr>
            <w:rStyle w:val="Hyperlink"/>
            <w:spacing w:val="4"/>
            <w:w w:val="103"/>
          </w:rPr>
          <w:t>26/201</w:t>
        </w:r>
      </w:hyperlink>
      <w:r w:rsidRPr="00143E3D">
        <w:rPr>
          <w:spacing w:val="4"/>
          <w:w w:val="103"/>
        </w:rPr>
        <w:t>0 пр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вительство Канады выступало против признания экстерриториального дейс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вия Конвенции. Тем не менее это сообщение было сочтено неприемлемым в силу других причин, и поэтому Комитет так и не вынес заключение по вопросу об эксте</w:t>
      </w:r>
      <w:r w:rsidRPr="00143E3D">
        <w:rPr>
          <w:spacing w:val="4"/>
          <w:w w:val="103"/>
        </w:rPr>
        <w:t>р</w:t>
      </w:r>
      <w:r w:rsidRPr="00143E3D">
        <w:rPr>
          <w:spacing w:val="4"/>
          <w:w w:val="103"/>
        </w:rPr>
        <w:t xml:space="preserve">риториальной применимости Конвенции. 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5.4</w:t>
      </w:r>
      <w:r w:rsidRPr="00143E3D">
        <w:rPr>
          <w:spacing w:val="4"/>
          <w:w w:val="103"/>
        </w:rPr>
        <w:tab/>
        <w:t>Автор указывает, что согласно Конвенции государство-участник должно не только обеспечивать судебное преследование виновных в таких преступл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ниях, как изнасилование и другие формы гендерного насилия, но и обеспеч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вать защиту же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>щин на своей территории от высылки в третьи страны, где женщины не могут получить такую защиту. По мнению автора, на экстеррит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риальное действие Конвенции можно ссылаться в тех случаях, когда наруш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ния представляют собой преступления на гендерной почве против человечн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сти и/или пытки. В этих случаях государства-участники не могут высылать женщин в такие страны, поскольку это было бы нар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 xml:space="preserve">шением Конвенции. 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5.5</w:t>
      </w:r>
      <w:r w:rsidRPr="00143E3D">
        <w:rPr>
          <w:spacing w:val="4"/>
          <w:w w:val="103"/>
        </w:rPr>
        <w:tab/>
        <w:t>Автор указывает, что государство-участник не располагает самой свежей информацией о положении в области прав человека в Бурунди. По мнению а</w:t>
      </w:r>
      <w:r w:rsidRPr="00143E3D">
        <w:rPr>
          <w:spacing w:val="4"/>
          <w:w w:val="103"/>
        </w:rPr>
        <w:t>в</w:t>
      </w:r>
      <w:r w:rsidRPr="00143E3D">
        <w:rPr>
          <w:spacing w:val="4"/>
          <w:w w:val="103"/>
        </w:rPr>
        <w:t>тора, п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литическое насилие в стране принимает все более широкие масштабы равно как и проблема безнаказанности виновных, в том числе из числа членов молоде</w:t>
      </w:r>
      <w:r w:rsidRPr="00143E3D">
        <w:rPr>
          <w:spacing w:val="4"/>
          <w:w w:val="103"/>
        </w:rPr>
        <w:t>ж</w:t>
      </w:r>
      <w:r w:rsidRPr="00143E3D">
        <w:rPr>
          <w:spacing w:val="4"/>
          <w:w w:val="103"/>
        </w:rPr>
        <w:t>ных ополченческих формирований. Автор ссылается на ряд докладов о внесудебных убийствах в Бурунди</w:t>
      </w:r>
      <w:r w:rsidRPr="00087FA1">
        <w:rPr>
          <w:rStyle w:val="FootnoteReference"/>
          <w:spacing w:val="4"/>
          <w:w w:val="103"/>
          <w:position w:val="0"/>
        </w:rPr>
        <w:footnoteReference w:id="12"/>
      </w:r>
      <w:r w:rsidRPr="00143E3D">
        <w:rPr>
          <w:spacing w:val="4"/>
          <w:w w:val="103"/>
        </w:rPr>
        <w:t xml:space="preserve"> и утверждает, что, по ее словам, во вр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 xml:space="preserve">мя </w:t>
      </w:r>
      <w:r>
        <w:rPr>
          <w:spacing w:val="4"/>
          <w:w w:val="103"/>
        </w:rPr>
        <w:t>«</w:t>
      </w:r>
      <w:r w:rsidRPr="00143E3D">
        <w:rPr>
          <w:spacing w:val="4"/>
          <w:w w:val="103"/>
        </w:rPr>
        <w:t>массовых убийств в Рузибе</w:t>
      </w:r>
      <w:r>
        <w:rPr>
          <w:spacing w:val="4"/>
          <w:w w:val="103"/>
        </w:rPr>
        <w:t>»</w:t>
      </w:r>
      <w:r w:rsidRPr="00143E3D">
        <w:rPr>
          <w:spacing w:val="4"/>
          <w:w w:val="103"/>
        </w:rPr>
        <w:t xml:space="preserve"> в июле 2010 года армия направила боевые вертолеты и войска в Рузибу, чтобы арестовать убийц двух членов правящей партии</w:t>
      </w:r>
      <w:r w:rsidRPr="00087FA1">
        <w:rPr>
          <w:rStyle w:val="FootnoteReference"/>
          <w:spacing w:val="4"/>
          <w:w w:val="103"/>
          <w:position w:val="0"/>
        </w:rPr>
        <w:footnoteReference w:id="13"/>
      </w:r>
      <w:r w:rsidRPr="00143E3D">
        <w:rPr>
          <w:spacing w:val="4"/>
          <w:w w:val="103"/>
        </w:rPr>
        <w:t xml:space="preserve">. Автор далее ссылается на два доклада организации </w:t>
      </w:r>
      <w:r>
        <w:rPr>
          <w:spacing w:val="4"/>
          <w:w w:val="103"/>
        </w:rPr>
        <w:t>«</w:t>
      </w:r>
      <w:r w:rsidRPr="00143E3D">
        <w:rPr>
          <w:spacing w:val="4"/>
          <w:w w:val="103"/>
        </w:rPr>
        <w:t>Междунаро</w:t>
      </w:r>
      <w:r w:rsidRPr="00143E3D">
        <w:rPr>
          <w:spacing w:val="4"/>
          <w:w w:val="103"/>
        </w:rPr>
        <w:t>д</w:t>
      </w:r>
      <w:r w:rsidRPr="00143E3D">
        <w:rPr>
          <w:spacing w:val="4"/>
          <w:w w:val="103"/>
        </w:rPr>
        <w:t>ная амнистия</w:t>
      </w:r>
      <w:r>
        <w:rPr>
          <w:spacing w:val="4"/>
          <w:w w:val="103"/>
        </w:rPr>
        <w:t>»</w:t>
      </w:r>
      <w:r w:rsidRPr="00143E3D">
        <w:rPr>
          <w:spacing w:val="4"/>
          <w:w w:val="103"/>
        </w:rPr>
        <w:t>, посвященные проблеме изнасилований в Бурунди</w:t>
      </w:r>
      <w:r w:rsidRPr="00087FA1">
        <w:rPr>
          <w:rStyle w:val="FootnoteReference"/>
          <w:spacing w:val="4"/>
          <w:w w:val="103"/>
          <w:position w:val="0"/>
        </w:rPr>
        <w:footnoteReference w:id="14"/>
      </w:r>
      <w:r w:rsidRPr="00143E3D">
        <w:rPr>
          <w:spacing w:val="4"/>
          <w:w w:val="103"/>
        </w:rPr>
        <w:t xml:space="preserve">, и отмечает, что Центр </w:t>
      </w:r>
      <w:r>
        <w:rPr>
          <w:spacing w:val="4"/>
          <w:w w:val="103"/>
        </w:rPr>
        <w:t>«</w:t>
      </w:r>
      <w:r w:rsidRPr="00143E3D">
        <w:rPr>
          <w:spacing w:val="4"/>
          <w:w w:val="103"/>
        </w:rPr>
        <w:t>Серука</w:t>
      </w:r>
      <w:r>
        <w:rPr>
          <w:spacing w:val="4"/>
          <w:w w:val="103"/>
        </w:rPr>
        <w:t>»</w:t>
      </w:r>
      <w:r w:rsidRPr="00143E3D">
        <w:rPr>
          <w:spacing w:val="4"/>
          <w:w w:val="103"/>
        </w:rPr>
        <w:t xml:space="preserve"> в своем докладе 2010 года сообщал, что </w:t>
      </w:r>
      <w:r>
        <w:rPr>
          <w:spacing w:val="4"/>
          <w:w w:val="103"/>
        </w:rPr>
        <w:t>«</w:t>
      </w:r>
      <w:r w:rsidRPr="00143E3D">
        <w:rPr>
          <w:spacing w:val="4"/>
          <w:w w:val="103"/>
        </w:rPr>
        <w:t>не менее 1397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женщин были изнасилованы в Бужумбуре и в прилегающих районах</w:t>
      </w:r>
      <w:r>
        <w:rPr>
          <w:spacing w:val="4"/>
          <w:w w:val="103"/>
        </w:rPr>
        <w:t>»</w:t>
      </w:r>
      <w:r w:rsidRPr="00143E3D">
        <w:rPr>
          <w:spacing w:val="4"/>
          <w:w w:val="103"/>
        </w:rPr>
        <w:t>. Автор указывает также, что при проведении универсального периодического обзора по Бурунди в 2008/09 году упоминались случаи преступлений против человечности, изнасилования и применения насилия в отношении женщин. Комитет против пыток в своем докладе 2007 года о положении в Бурунди та</w:t>
      </w:r>
      <w:r w:rsidRPr="00143E3D">
        <w:rPr>
          <w:spacing w:val="4"/>
          <w:w w:val="103"/>
        </w:rPr>
        <w:t>к</w:t>
      </w:r>
      <w:r w:rsidRPr="00143E3D">
        <w:rPr>
          <w:spacing w:val="4"/>
          <w:w w:val="103"/>
        </w:rPr>
        <w:t>же отмечал, что "изнасилование является преступлением против человечн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сти". Комитет по ликвидации дискриминации в отношении женщин также ра</w:t>
      </w:r>
      <w:r w:rsidRPr="00143E3D">
        <w:rPr>
          <w:spacing w:val="4"/>
          <w:w w:val="103"/>
        </w:rPr>
        <w:t>с</w:t>
      </w:r>
      <w:r w:rsidRPr="00143E3D">
        <w:rPr>
          <w:spacing w:val="4"/>
          <w:w w:val="103"/>
        </w:rPr>
        <w:t>сматривал этот в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прос в своем докладе 2008 года</w:t>
      </w:r>
      <w:r w:rsidRPr="00087FA1">
        <w:rPr>
          <w:rStyle w:val="FootnoteReference"/>
          <w:spacing w:val="4"/>
          <w:w w:val="103"/>
          <w:position w:val="0"/>
        </w:rPr>
        <w:footnoteReference w:id="15"/>
      </w:r>
      <w:r w:rsidRPr="00143E3D">
        <w:rPr>
          <w:spacing w:val="4"/>
          <w:w w:val="103"/>
        </w:rPr>
        <w:t>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5.6</w:t>
      </w:r>
      <w:r w:rsidRPr="00143E3D">
        <w:rPr>
          <w:spacing w:val="4"/>
          <w:w w:val="103"/>
        </w:rPr>
        <w:tab/>
        <w:t>Автор отвергает доводы государства-участника о том, что данное соо</w:t>
      </w:r>
      <w:r w:rsidRPr="00143E3D">
        <w:rPr>
          <w:spacing w:val="4"/>
          <w:w w:val="103"/>
        </w:rPr>
        <w:t>б</w:t>
      </w:r>
      <w:r w:rsidRPr="00143E3D">
        <w:rPr>
          <w:spacing w:val="4"/>
          <w:w w:val="103"/>
        </w:rPr>
        <w:t xml:space="preserve">щение нельзя отнести к категории исключительных обстоятельств, требующих задействования принципа экстерриториального применения Конвенции. Она вновь повторяет, что она была изнасилована группой мужчин, являющихся, по ее мнению, членами </w:t>
      </w:r>
      <w:r>
        <w:rPr>
          <w:spacing w:val="4"/>
          <w:w w:val="103"/>
        </w:rPr>
        <w:t>«</w:t>
      </w:r>
      <w:r w:rsidRPr="00143E3D">
        <w:rPr>
          <w:spacing w:val="4"/>
          <w:w w:val="103"/>
        </w:rPr>
        <w:t>имберакуре</w:t>
      </w:r>
      <w:r>
        <w:rPr>
          <w:spacing w:val="4"/>
          <w:w w:val="103"/>
        </w:rPr>
        <w:t xml:space="preserve">» — </w:t>
      </w:r>
      <w:r w:rsidRPr="00143E3D">
        <w:rPr>
          <w:spacing w:val="4"/>
          <w:w w:val="103"/>
        </w:rPr>
        <w:t>молодежного добровольческого форм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рования, которое пользуется поддержкой правящей партии, и что она опасае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ся вновь подвергнуться такому обращению в случае возвращения в страну прои</w:t>
      </w:r>
      <w:r w:rsidRPr="00143E3D">
        <w:rPr>
          <w:spacing w:val="4"/>
          <w:w w:val="103"/>
        </w:rPr>
        <w:t>с</w:t>
      </w:r>
      <w:r w:rsidRPr="00143E3D">
        <w:rPr>
          <w:spacing w:val="4"/>
          <w:w w:val="103"/>
        </w:rPr>
        <w:t>хождения. Автор заявляет, что она опасается оказаться в тюрьме и быть изн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силованной во время нахождения под стражей тюремными надзирателями и что она не сможет сообщить об этом в полицию, поскольку в Бурунди н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сильники пользуются безнаказанн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стью.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5.7</w:t>
      </w:r>
      <w:r w:rsidRPr="00143E3D">
        <w:rPr>
          <w:spacing w:val="4"/>
          <w:w w:val="103"/>
        </w:rPr>
        <w:tab/>
        <w:t>Автор отмечает, что факт принятия Комитетом решения просить о прин</w:t>
      </w:r>
      <w:r w:rsidRPr="00143E3D">
        <w:rPr>
          <w:spacing w:val="4"/>
          <w:w w:val="103"/>
        </w:rPr>
        <w:t>я</w:t>
      </w:r>
      <w:r w:rsidRPr="00143E3D">
        <w:rPr>
          <w:spacing w:val="4"/>
          <w:w w:val="103"/>
        </w:rPr>
        <w:t>тии временных мер, как представляется, свидетельствует об исключительном хара</w:t>
      </w:r>
      <w:r w:rsidRPr="00143E3D">
        <w:rPr>
          <w:spacing w:val="4"/>
          <w:w w:val="103"/>
        </w:rPr>
        <w:t>к</w:t>
      </w:r>
      <w:r w:rsidRPr="00143E3D">
        <w:rPr>
          <w:spacing w:val="4"/>
          <w:w w:val="103"/>
        </w:rPr>
        <w:t>тере данного сообщения. Она также заявляет, что степень ее страха перед изнасилован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ем в случае возращения в страну настолько высока, что речь должна идти не о приемлемости сообщения, а о его рассмотрении по с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ществу.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5.8</w:t>
      </w:r>
      <w:r w:rsidRPr="00143E3D">
        <w:rPr>
          <w:spacing w:val="4"/>
          <w:w w:val="103"/>
        </w:rPr>
        <w:tab/>
        <w:t>Далее автор отвергает утверждение государства-участника о том, что она не исчерпала внутренние средства правовой защиты. На самом деле вопрос о насилии по гендерному признаку затрагивался при рассмотрении дела в Имм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грационной службе и в Апелляционной комиссии по делам беженцев. Автор сообщила Комиссии, что ее родной город Рузиба подвергся нападению и что члены НОФ бежали или были убиты. Кроме того, она сообщила этой Комиссии о том, что ее изнасиловали трое мужчин, являвшихся, по ее мнению, членами связанного с правящей партией добровольческого формирования, однако н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каких доказательств этого у нее нет. В силу этого автор считает, что сообщ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ние должно быть признано приемлемым согласно статье 4(1) Факультативн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го протокола.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5.9</w:t>
      </w:r>
      <w:r w:rsidRPr="00143E3D">
        <w:rPr>
          <w:spacing w:val="4"/>
          <w:w w:val="103"/>
        </w:rPr>
        <w:tab/>
        <w:t>Автор заявляет далее, что ее утверждения являются достаточно обосн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 xml:space="preserve">ванными в отличие от утверждений государства-участника. Государство-участник, по-видимому, считает, что </w:t>
      </w:r>
      <w:r>
        <w:rPr>
          <w:spacing w:val="4"/>
          <w:w w:val="103"/>
        </w:rPr>
        <w:t>«</w:t>
      </w:r>
      <w:r w:rsidRPr="00143E3D">
        <w:rPr>
          <w:spacing w:val="4"/>
          <w:w w:val="103"/>
        </w:rPr>
        <w:t>изнасилования — это некое объективное явление, от которого женщинам приходится страдать в конфликтных ситуац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ях на территории Африки</w:t>
      </w:r>
      <w:r>
        <w:rPr>
          <w:spacing w:val="4"/>
          <w:w w:val="103"/>
        </w:rPr>
        <w:t>»</w:t>
      </w:r>
      <w:r w:rsidRPr="00143E3D">
        <w:rPr>
          <w:spacing w:val="4"/>
          <w:w w:val="103"/>
        </w:rPr>
        <w:t xml:space="preserve"> и что женщины не могут быть объектом преслед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ваний по политическим мотивам. В заключение автор сообщает, что она зая</w:t>
      </w:r>
      <w:r w:rsidRPr="00143E3D">
        <w:rPr>
          <w:spacing w:val="4"/>
          <w:w w:val="103"/>
        </w:rPr>
        <w:t>в</w:t>
      </w:r>
      <w:r w:rsidRPr="00143E3D">
        <w:rPr>
          <w:spacing w:val="4"/>
          <w:w w:val="103"/>
        </w:rPr>
        <w:t>ляла о нарушении статьи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12, а не статьи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14 Конвенции, поскольку испытывала душевные страдания в связи с последствиями изнасилования и боялась во</w:t>
      </w:r>
      <w:r w:rsidRPr="00143E3D">
        <w:rPr>
          <w:spacing w:val="4"/>
          <w:w w:val="103"/>
        </w:rPr>
        <w:t>з</w:t>
      </w:r>
      <w:r w:rsidRPr="00143E3D">
        <w:rPr>
          <w:spacing w:val="4"/>
          <w:w w:val="103"/>
        </w:rPr>
        <w:t>можного заражения ВИЧ/СПИДом.</w:t>
      </w: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  <w:kern w:val="0"/>
        </w:rPr>
      </w:pPr>
      <w:r>
        <w:rPr>
          <w:spacing w:val="4"/>
          <w:kern w:val="0"/>
        </w:rPr>
        <w:br w:type="page"/>
      </w:r>
      <w:r w:rsidRPr="00143E3D">
        <w:rPr>
          <w:spacing w:val="4"/>
          <w:kern w:val="0"/>
        </w:rPr>
        <w:tab/>
      </w:r>
      <w:r w:rsidRPr="00143E3D">
        <w:rPr>
          <w:spacing w:val="4"/>
          <w:kern w:val="0"/>
        </w:rPr>
        <w:tab/>
        <w:t>Дополнительные замечания государства-участника</w:t>
      </w: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rStyle w:val="SingleTxt2"/>
        </w:rPr>
        <w:t>6.1</w:t>
      </w:r>
      <w:r w:rsidRPr="00143E3D">
        <w:rPr>
          <w:rStyle w:val="SingleTxt2"/>
        </w:rPr>
        <w:tab/>
        <w:t>27 августа 2012 года государство-участник проинформировало Комитет о том, что Апелляционная комиссия по делам беженцев представила Комитету дополнительные соображения по поводу сообщения автора. Ссылаясь на свое решение от 29 сентября 2011 года</w:t>
      </w:r>
      <w:r w:rsidRPr="00087FA1">
        <w:rPr>
          <w:rStyle w:val="FootnoteReference"/>
          <w:spacing w:val="4"/>
          <w:w w:val="103"/>
          <w:position w:val="0"/>
        </w:rPr>
        <w:footnoteReference w:id="16"/>
      </w:r>
      <w:r w:rsidRPr="00143E3D">
        <w:rPr>
          <w:spacing w:val="4"/>
          <w:w w:val="103"/>
        </w:rPr>
        <w:t>, Комиссия сообщила, что осуществляемая Комиссией подборка справочных материалов о положении в странах, из кот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рых государство-участник принимает просителей убежища, публикуется на ее веб-сайте и обновляется на регулярной основе и, следовательно, является до</w:t>
      </w:r>
      <w:r w:rsidRPr="00143E3D">
        <w:rPr>
          <w:spacing w:val="4"/>
          <w:w w:val="103"/>
        </w:rPr>
        <w:t>с</w:t>
      </w:r>
      <w:r w:rsidRPr="00143E3D">
        <w:rPr>
          <w:spacing w:val="4"/>
          <w:w w:val="103"/>
        </w:rPr>
        <w:t>тупной для чл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нов Совета и сторон по делу. Кроме того, до начала слушаний в Комиссии соответствующие материалы направляются непосредственно стор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нам по делу, вкл</w:t>
      </w:r>
      <w:r w:rsidRPr="00143E3D">
        <w:rPr>
          <w:spacing w:val="4"/>
          <w:w w:val="103"/>
        </w:rPr>
        <w:t>ю</w:t>
      </w:r>
      <w:r w:rsidRPr="00143E3D">
        <w:rPr>
          <w:spacing w:val="4"/>
          <w:w w:val="103"/>
        </w:rPr>
        <w:t>чая адвоката, назначенного для защиты просителя убежища. До того, как Комиссия вынесла свое решение от 29 сентября 2011 года, ее чл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ны ознакомились с ситуацией в Бурунди. Комиссия изучила справочные мат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риалы, на которые ссыл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лась автор, и приняла их во внимание при вынесении решения по ее апелляции.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6.2</w:t>
      </w:r>
      <w:r w:rsidRPr="00143E3D">
        <w:rPr>
          <w:spacing w:val="4"/>
          <w:w w:val="103"/>
        </w:rPr>
        <w:tab/>
        <w:t>Что касается находящихся на рассмотрении Комитета утверждений авт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 xml:space="preserve">ра о ее изнасиловании членами молодежного добровольческого формирования </w:t>
      </w:r>
      <w:r>
        <w:rPr>
          <w:spacing w:val="4"/>
          <w:w w:val="103"/>
        </w:rPr>
        <w:t>«</w:t>
      </w:r>
      <w:r w:rsidRPr="00143E3D">
        <w:rPr>
          <w:spacing w:val="4"/>
          <w:w w:val="103"/>
        </w:rPr>
        <w:t>имберакуре</w:t>
      </w:r>
      <w:r>
        <w:rPr>
          <w:spacing w:val="4"/>
          <w:w w:val="103"/>
        </w:rPr>
        <w:t>»</w:t>
      </w:r>
      <w:r w:rsidRPr="00087FA1">
        <w:rPr>
          <w:rStyle w:val="FootnoteReference"/>
          <w:spacing w:val="4"/>
          <w:w w:val="103"/>
          <w:position w:val="0"/>
        </w:rPr>
        <w:footnoteReference w:id="17"/>
      </w:r>
      <w:r w:rsidRPr="00143E3D">
        <w:rPr>
          <w:spacing w:val="4"/>
          <w:w w:val="103"/>
        </w:rPr>
        <w:t>, государство-участник указывает, что эти утверждения вст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пают в противоречие с ее утверждениями во время процедуры предоставления убежища. На конкретный вопрос о том, имеет ли изнасилование какое-либо отношение к ее членству в НОФ, автор ответила отрицательно</w:t>
      </w:r>
      <w:r w:rsidRPr="00087FA1">
        <w:rPr>
          <w:rStyle w:val="FootnoteReference"/>
          <w:spacing w:val="4"/>
          <w:w w:val="103"/>
          <w:position w:val="0"/>
        </w:rPr>
        <w:footnoteReference w:id="18"/>
      </w:r>
      <w:r w:rsidRPr="00143E3D">
        <w:rPr>
          <w:spacing w:val="4"/>
          <w:w w:val="103"/>
        </w:rPr>
        <w:t xml:space="preserve"> и сообщила во время слушаний в Комиссии от 29 сентября 2011 года, что она не знает лиц, совершивших изнасилование. Госуда</w:t>
      </w:r>
      <w:r w:rsidRPr="00143E3D">
        <w:rPr>
          <w:spacing w:val="4"/>
          <w:w w:val="103"/>
        </w:rPr>
        <w:t>р</w:t>
      </w:r>
      <w:r w:rsidRPr="00143E3D">
        <w:rPr>
          <w:spacing w:val="4"/>
          <w:w w:val="103"/>
        </w:rPr>
        <w:t>ство-участник вновь заявляет, что в ходе внутренних процедур автор ни разу не заявляла, что изнасилование предста</w:t>
      </w:r>
      <w:r w:rsidRPr="00143E3D">
        <w:rPr>
          <w:spacing w:val="4"/>
          <w:w w:val="103"/>
        </w:rPr>
        <w:t>в</w:t>
      </w:r>
      <w:r w:rsidRPr="00143E3D">
        <w:rPr>
          <w:spacing w:val="4"/>
          <w:w w:val="103"/>
        </w:rPr>
        <w:t>ляло собой случай политически мотивированн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го преследования.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6.3</w:t>
      </w:r>
      <w:r w:rsidRPr="00143E3D">
        <w:rPr>
          <w:spacing w:val="4"/>
          <w:w w:val="103"/>
        </w:rPr>
        <w:tab/>
        <w:t>Что касается предоставленных Комитетом временных мер защиты, гос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дарство-участник заявляет, что эти временные процессуальные меры сопост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вимы с просьбами других договорных комитетов и других международных процедур и что использование таких мер не означает, что Конвенция была н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рушена в конкретном случае, равно как и не предполагает возможности толк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вания факта их применения в качестве подтверждения того, что Конвенция имеет экстерритор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альное действие</w:t>
      </w:r>
      <w:r w:rsidRPr="00087FA1">
        <w:rPr>
          <w:rStyle w:val="FootnoteReference"/>
          <w:spacing w:val="4"/>
          <w:w w:val="103"/>
          <w:position w:val="0"/>
        </w:rPr>
        <w:footnoteReference w:id="19"/>
      </w:r>
      <w:r w:rsidRPr="00143E3D">
        <w:rPr>
          <w:spacing w:val="4"/>
          <w:w w:val="103"/>
        </w:rPr>
        <w:t>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6.4</w:t>
      </w:r>
      <w:r w:rsidRPr="00143E3D">
        <w:rPr>
          <w:spacing w:val="4"/>
          <w:w w:val="103"/>
        </w:rPr>
        <w:tab/>
        <w:t>Что касается утверждения автора о том, что государство-участник пр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знает только политическое преследование в отношении мужчин, государство-участник сообщает, что Апелляционная комиссия по делам беженцев оценив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ла персональные обстоятельства автора, включая ее политическую деятел</w:t>
      </w:r>
      <w:r w:rsidRPr="00143E3D">
        <w:rPr>
          <w:spacing w:val="4"/>
          <w:w w:val="103"/>
        </w:rPr>
        <w:t>ь</w:t>
      </w:r>
      <w:r w:rsidRPr="00143E3D">
        <w:rPr>
          <w:spacing w:val="4"/>
          <w:w w:val="103"/>
        </w:rPr>
        <w:t>ность и ситуацию в связи с политической деятельностью ее супруга, в рамках комплексной оценки последствий в случае ее возвращения в Бурунди. Кроме того, государство-участник вновь повт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ряет, по мнению Комиссии, нападение с применением гранаты, совершенное в мае 2010 года, как представляется, не было направлено против автора или ее с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пруга.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6.5</w:t>
      </w:r>
      <w:r w:rsidRPr="00143E3D">
        <w:rPr>
          <w:spacing w:val="4"/>
          <w:w w:val="103"/>
        </w:rPr>
        <w:tab/>
        <w:t>Государство-участник напоминает, что в своем решении от 29 сентября 2011 года Апелляционная комиссия по делам беженцев определила, что автор не будет подвергаться риску нападения в случае возвращения в Бурунди. Эта оценка учитывает соответствующие национальные и международные источн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ки права, которых Комиссия обязана придерживаться при вынесении своих решений</w:t>
      </w:r>
      <w:r w:rsidRPr="00087FA1">
        <w:rPr>
          <w:rStyle w:val="FootnoteReference"/>
          <w:spacing w:val="4"/>
          <w:w w:val="103"/>
          <w:position w:val="0"/>
        </w:rPr>
        <w:footnoteReference w:id="20"/>
      </w:r>
      <w:r w:rsidRPr="00143E3D">
        <w:rPr>
          <w:spacing w:val="4"/>
          <w:w w:val="103"/>
        </w:rPr>
        <w:t>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6.6</w:t>
      </w:r>
      <w:r w:rsidRPr="00143E3D">
        <w:rPr>
          <w:spacing w:val="4"/>
          <w:w w:val="103"/>
        </w:rPr>
        <w:tab/>
        <w:t>Что касается вопроса экстерриториальности и аргумента автора о том, что запрещение государством-участником определенных видов преступлений, например преступлений против человечности и пыток, имеет экстерритор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альное действие, государство-участник заявляет, что Конвенция не распр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страняется на такие преступления. Не оспаривая того факта, что насилие в о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ношении женщин в форме и</w:t>
      </w:r>
      <w:r w:rsidRPr="00143E3D">
        <w:rPr>
          <w:spacing w:val="4"/>
          <w:w w:val="103"/>
        </w:rPr>
        <w:t>з</w:t>
      </w:r>
      <w:r w:rsidRPr="00143E3D">
        <w:rPr>
          <w:spacing w:val="4"/>
          <w:w w:val="103"/>
        </w:rPr>
        <w:t>насилования может быть равносильно жестокому обращению, государство-участник тем не менее заявляет, что Конвенция не охватывает ни прямо, ни косвенно случаи высылки при наличии угрозы пыток или других серьезных угроз для жизни и безопасности конкретного лица. П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этому автор может лишь направить сообщение в о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ношении государства-участника в связи с предполагаемыми нарушениями Конвенции, совершенн</w:t>
      </w:r>
      <w:r w:rsidRPr="00143E3D">
        <w:rPr>
          <w:spacing w:val="4"/>
          <w:w w:val="103"/>
        </w:rPr>
        <w:t>ы</w:t>
      </w:r>
      <w:r w:rsidRPr="00143E3D">
        <w:rPr>
          <w:spacing w:val="4"/>
          <w:w w:val="103"/>
        </w:rPr>
        <w:t>ми государс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вом-участником и под юрисдикцией государства-участника, даже если автор может установить, что она будет подвергаться дискриминации в нарушение Конвенции в связи с гендерным насилием в Бурунди</w:t>
      </w:r>
      <w:r w:rsidRPr="00087FA1">
        <w:rPr>
          <w:rStyle w:val="FootnoteReference"/>
          <w:spacing w:val="4"/>
          <w:w w:val="103"/>
          <w:position w:val="0"/>
        </w:rPr>
        <w:footnoteReference w:id="21"/>
      </w:r>
      <w:r w:rsidRPr="00143E3D">
        <w:rPr>
          <w:spacing w:val="4"/>
          <w:w w:val="103"/>
        </w:rPr>
        <w:t>. Сс</w:t>
      </w:r>
      <w:r w:rsidRPr="00143E3D">
        <w:rPr>
          <w:spacing w:val="4"/>
          <w:w w:val="103"/>
        </w:rPr>
        <w:t>ы</w:t>
      </w:r>
      <w:r w:rsidRPr="00143E3D">
        <w:rPr>
          <w:spacing w:val="4"/>
          <w:w w:val="103"/>
        </w:rPr>
        <w:t>лаясь на два недавних решения, принятых Комитетом</w:t>
      </w:r>
      <w:r w:rsidRPr="00087FA1">
        <w:rPr>
          <w:rStyle w:val="FootnoteReference"/>
          <w:spacing w:val="4"/>
          <w:w w:val="103"/>
          <w:position w:val="0"/>
        </w:rPr>
        <w:footnoteReference w:id="22"/>
      </w:r>
      <w:r w:rsidRPr="00143E3D">
        <w:rPr>
          <w:spacing w:val="4"/>
          <w:w w:val="103"/>
        </w:rPr>
        <w:t>, государство-участник предл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гает Комитету высказать свои соображения по вопросу об экстерриториальном применении Ко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>венции.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6.7</w:t>
      </w:r>
      <w:r w:rsidRPr="00143E3D">
        <w:rPr>
          <w:spacing w:val="4"/>
          <w:w w:val="103"/>
        </w:rPr>
        <w:tab/>
        <w:t>В отношении вопроса об исчерпании внутренних средств правовой защ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ты государство-участник утверждает, что автор не ссылалась на Конвенцию в ходе внутренних процедур по ее делу. В силу этого оно вновь заявляет, что внутренние сре</w:t>
      </w:r>
      <w:r w:rsidRPr="00143E3D">
        <w:rPr>
          <w:spacing w:val="4"/>
          <w:w w:val="103"/>
        </w:rPr>
        <w:t>д</w:t>
      </w:r>
      <w:r w:rsidRPr="00143E3D">
        <w:rPr>
          <w:spacing w:val="4"/>
          <w:w w:val="103"/>
        </w:rPr>
        <w:t>ства правовой защиты исчерпаны не были.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6.8</w:t>
      </w:r>
      <w:r w:rsidRPr="00143E3D">
        <w:rPr>
          <w:spacing w:val="4"/>
          <w:w w:val="103"/>
        </w:rPr>
        <w:tab/>
        <w:t>Что касается ссылки автора на статью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12 Конвенции, а не статью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14, г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сударство-участник вновь заявляет, что подобно другим положениям Конве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>ции эта статья не может рассматриваться как имеющая экстерриториальное действие. Государство-участник добавляет, что в Конвенции нет никаких об</w:t>
      </w:r>
      <w:r w:rsidRPr="00143E3D">
        <w:rPr>
          <w:spacing w:val="4"/>
          <w:w w:val="103"/>
        </w:rPr>
        <w:t>я</w:t>
      </w:r>
      <w:r w:rsidRPr="00143E3D">
        <w:rPr>
          <w:spacing w:val="4"/>
          <w:w w:val="103"/>
        </w:rPr>
        <w:t>зательств относительно того, чтобы не возвращать иностранцев в страны, где условия охраны здоровья не соответствуют нормам Конвенции</w:t>
      </w:r>
      <w:r w:rsidRPr="00087FA1">
        <w:rPr>
          <w:rStyle w:val="FootnoteReference"/>
          <w:spacing w:val="4"/>
          <w:w w:val="103"/>
          <w:position w:val="0"/>
        </w:rPr>
        <w:footnoteReference w:id="23"/>
      </w:r>
      <w:r w:rsidRPr="00143E3D">
        <w:rPr>
          <w:spacing w:val="4"/>
          <w:w w:val="103"/>
        </w:rPr>
        <w:t>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6.9</w:t>
      </w:r>
      <w:r w:rsidRPr="00143E3D">
        <w:rPr>
          <w:spacing w:val="4"/>
          <w:w w:val="103"/>
        </w:rPr>
        <w:tab/>
        <w:t>В заключение государство-участник вновь заявляет Комитету, что в сл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чае объявления сообщения приемлемым он должен вынести постановление по существу, согласно которому решение о возвращении автора в Бурунди не я</w:t>
      </w:r>
      <w:r w:rsidRPr="00143E3D">
        <w:rPr>
          <w:spacing w:val="4"/>
          <w:w w:val="103"/>
        </w:rPr>
        <w:t>в</w:t>
      </w:r>
      <w:r w:rsidRPr="00143E3D">
        <w:rPr>
          <w:spacing w:val="4"/>
          <w:w w:val="103"/>
        </w:rPr>
        <w:t>ляется нарушен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ем Конвенции.</w:t>
      </w: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  <w:kern w:val="0"/>
        </w:rPr>
      </w:pPr>
      <w:r w:rsidRPr="00143E3D">
        <w:rPr>
          <w:spacing w:val="4"/>
          <w:kern w:val="0"/>
        </w:rPr>
        <w:tab/>
      </w:r>
      <w:r w:rsidRPr="00143E3D">
        <w:rPr>
          <w:spacing w:val="4"/>
          <w:kern w:val="0"/>
        </w:rPr>
        <w:tab/>
        <w:t>Комментарии автора по дополнительным замечаниям государства-участника</w:t>
      </w: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rStyle w:val="SingleTxt2"/>
        </w:rPr>
        <w:t>7.1</w:t>
      </w:r>
      <w:r w:rsidRPr="00143E3D">
        <w:rPr>
          <w:rStyle w:val="SingleTxt2"/>
        </w:rPr>
        <w:tab/>
        <w:t>В своем представлении от 20 сентября 2012</w:t>
      </w:r>
      <w:r>
        <w:rPr>
          <w:rStyle w:val="SingleTxt2"/>
        </w:rPr>
        <w:t> </w:t>
      </w:r>
      <w:r w:rsidRPr="00143E3D">
        <w:rPr>
          <w:rStyle w:val="SingleTxt2"/>
        </w:rPr>
        <w:t>года автор заявляет, что один из докладов, использованных государством-участником в качестве справочной инфо</w:t>
      </w:r>
      <w:r w:rsidRPr="00143E3D">
        <w:rPr>
          <w:rStyle w:val="SingleTxt2"/>
        </w:rPr>
        <w:t>р</w:t>
      </w:r>
      <w:r w:rsidRPr="00143E3D">
        <w:rPr>
          <w:rStyle w:val="SingleTxt2"/>
        </w:rPr>
        <w:t>мации о ситуации в Бурунди, был датирован 1 мая 2010 года</w:t>
      </w:r>
      <w:r w:rsidRPr="00087FA1">
        <w:rPr>
          <w:rStyle w:val="FootnoteReference"/>
          <w:spacing w:val="4"/>
          <w:w w:val="103"/>
          <w:position w:val="0"/>
        </w:rPr>
        <w:footnoteReference w:id="24"/>
      </w:r>
      <w:r w:rsidRPr="00143E3D">
        <w:rPr>
          <w:spacing w:val="4"/>
          <w:w w:val="103"/>
        </w:rPr>
        <w:t>, тогда как автор бежала из страны в результате событий, имевших место в период с сер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дины мая 2010 года (когда в ее дом была брошена граната) до лета 2010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года (период выборов). Таким образом, использованная государством-участником информация не позволяет надлежащим образом оценить положение автора, включая массовую расправу, которая имела место в июле 2010 года в ее ро</w:t>
      </w:r>
      <w:r w:rsidRPr="00143E3D">
        <w:rPr>
          <w:spacing w:val="4"/>
          <w:w w:val="103"/>
        </w:rPr>
        <w:t>д</w:t>
      </w:r>
      <w:r w:rsidRPr="00143E3D">
        <w:rPr>
          <w:spacing w:val="4"/>
          <w:w w:val="103"/>
        </w:rPr>
        <w:t xml:space="preserve">ном городе и которая была направлена </w:t>
      </w:r>
      <w:r w:rsidRPr="00143E3D">
        <w:rPr>
          <w:rFonts w:eastAsia="Arial Unicode MS"/>
          <w:spacing w:val="4"/>
          <w:w w:val="103"/>
        </w:rPr>
        <w:t xml:space="preserve">против нее </w:t>
      </w:r>
      <w:r w:rsidRPr="00143E3D">
        <w:rPr>
          <w:spacing w:val="4"/>
          <w:w w:val="103"/>
        </w:rPr>
        <w:t>и других членов оппозиц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онного движения в этом районе. Автор вновь заявляет, что при рассмотрении ее дела в Апелляционной комиссии по делам беженцев не использовалась к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кая-либо соответствующая справо</w:t>
      </w:r>
      <w:r w:rsidRPr="00143E3D">
        <w:rPr>
          <w:spacing w:val="4"/>
          <w:w w:val="103"/>
        </w:rPr>
        <w:t>ч</w:t>
      </w:r>
      <w:r w:rsidRPr="00143E3D">
        <w:rPr>
          <w:spacing w:val="4"/>
          <w:w w:val="103"/>
        </w:rPr>
        <w:t>ная информация.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7.2</w:t>
      </w:r>
      <w:r w:rsidRPr="00143E3D">
        <w:rPr>
          <w:spacing w:val="4"/>
          <w:w w:val="103"/>
        </w:rPr>
        <w:tab/>
        <w:t>Затем автор поясняет, что тот факт, что в ходе собеседования в Апелл</w:t>
      </w:r>
      <w:r w:rsidRPr="00143E3D">
        <w:rPr>
          <w:spacing w:val="4"/>
          <w:w w:val="103"/>
        </w:rPr>
        <w:t>я</w:t>
      </w:r>
      <w:r w:rsidRPr="00143E3D">
        <w:rPr>
          <w:spacing w:val="4"/>
          <w:w w:val="103"/>
        </w:rPr>
        <w:t>ционной комиссии по делам беженцев она заявила, что не знает тех, кто на нее напал</w:t>
      </w:r>
      <w:r w:rsidRPr="00087FA1">
        <w:rPr>
          <w:rStyle w:val="FootnoteReference"/>
          <w:spacing w:val="4"/>
          <w:w w:val="103"/>
          <w:position w:val="0"/>
        </w:rPr>
        <w:footnoteReference w:id="25"/>
      </w:r>
      <w:r w:rsidRPr="00143E3D">
        <w:rPr>
          <w:spacing w:val="4"/>
          <w:w w:val="103"/>
        </w:rPr>
        <w:t>, означает не то, что нападение на нее было совершено случайно, а то, что ей было неи</w:t>
      </w:r>
      <w:r w:rsidRPr="00143E3D">
        <w:rPr>
          <w:spacing w:val="4"/>
          <w:w w:val="103"/>
        </w:rPr>
        <w:t>з</w:t>
      </w:r>
      <w:r w:rsidRPr="00143E3D">
        <w:rPr>
          <w:spacing w:val="4"/>
          <w:w w:val="103"/>
        </w:rPr>
        <w:t>вестно, кто его совершил. Она вновь повторяет, что у нее сложилось четкое впеча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ление, что напавшие на нее лица принимали участие в атаке на ее город. После того как она была изнасилована, один из преступн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 xml:space="preserve">ков хотел убить ее, однако другой член группы остановил его, сказав, что то, что они с ней сделали, </w:t>
      </w:r>
      <w:r>
        <w:rPr>
          <w:spacing w:val="4"/>
          <w:w w:val="103"/>
        </w:rPr>
        <w:t>«</w:t>
      </w:r>
      <w:r w:rsidRPr="00143E3D">
        <w:rPr>
          <w:spacing w:val="4"/>
          <w:w w:val="103"/>
        </w:rPr>
        <w:t>хуже, чем смерть</w:t>
      </w:r>
      <w:r>
        <w:rPr>
          <w:spacing w:val="4"/>
          <w:w w:val="103"/>
        </w:rPr>
        <w:t>»</w:t>
      </w:r>
      <w:r w:rsidRPr="00143E3D">
        <w:rPr>
          <w:spacing w:val="4"/>
          <w:w w:val="103"/>
        </w:rPr>
        <w:t>. После этого мужчины отпустили ее. Автор добавляет, что изнасилование является средством запугивания же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>щин из числа членов оппозиции, с тем чтобы воспрепятствовать их дальне</w:t>
      </w:r>
      <w:r w:rsidRPr="00143E3D">
        <w:rPr>
          <w:spacing w:val="4"/>
          <w:w w:val="103"/>
        </w:rPr>
        <w:t>й</w:t>
      </w:r>
      <w:r w:rsidRPr="00143E3D">
        <w:rPr>
          <w:spacing w:val="4"/>
          <w:w w:val="103"/>
        </w:rPr>
        <w:t>шему участию в политической деятельности.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7.3</w:t>
      </w:r>
      <w:r w:rsidRPr="00143E3D">
        <w:rPr>
          <w:spacing w:val="4"/>
          <w:w w:val="103"/>
        </w:rPr>
        <w:tab/>
        <w:t xml:space="preserve">Автор также вновь заявляет, что она не знает, являлись ли нападавшие членами формирования </w:t>
      </w:r>
      <w:r>
        <w:rPr>
          <w:spacing w:val="4"/>
          <w:w w:val="103"/>
        </w:rPr>
        <w:t>«</w:t>
      </w:r>
      <w:r w:rsidRPr="00143E3D">
        <w:rPr>
          <w:spacing w:val="4"/>
          <w:w w:val="103"/>
        </w:rPr>
        <w:t>имберакуре</w:t>
      </w:r>
      <w:r>
        <w:rPr>
          <w:spacing w:val="4"/>
          <w:w w:val="103"/>
        </w:rPr>
        <w:t>»</w:t>
      </w:r>
      <w:r w:rsidRPr="00143E3D">
        <w:rPr>
          <w:spacing w:val="4"/>
          <w:w w:val="103"/>
        </w:rPr>
        <w:t>, однако вновь повторяет, что они были сторонниками правительства Бурунди. Она отвергает утверждение государс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ва-участника о том, что она не считала изнасилование политически мотивир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ванным актом</w:t>
      </w:r>
      <w:r w:rsidRPr="00087FA1">
        <w:rPr>
          <w:rStyle w:val="FootnoteReference"/>
          <w:spacing w:val="4"/>
          <w:w w:val="103"/>
          <w:position w:val="0"/>
        </w:rPr>
        <w:footnoteReference w:id="26"/>
      </w:r>
      <w:r w:rsidRPr="00143E3D">
        <w:rPr>
          <w:spacing w:val="4"/>
          <w:w w:val="103"/>
        </w:rPr>
        <w:t>, и настаивает, что у нее нет никаких сомнений в том, что пр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ступники являлись сторонник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ми правительства.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7.4</w:t>
      </w:r>
      <w:r w:rsidRPr="00143E3D">
        <w:rPr>
          <w:spacing w:val="4"/>
          <w:w w:val="103"/>
        </w:rPr>
        <w:tab/>
        <w:t>Что касается внутренних средств правовой защиты, то автор признает тот факт, что она не ссылалась на положения Конвенции в ходе разбирательства в рамках внутренней юрисдикции, так как процессуальные действия были н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правлены в о</w:t>
      </w:r>
      <w:r w:rsidRPr="00143E3D">
        <w:rPr>
          <w:spacing w:val="4"/>
          <w:w w:val="103"/>
        </w:rPr>
        <w:t>с</w:t>
      </w:r>
      <w:r w:rsidRPr="00143E3D">
        <w:rPr>
          <w:spacing w:val="4"/>
          <w:w w:val="103"/>
        </w:rPr>
        <w:t>новном на выяснение обстоятельств дела и определение степени достоверности излагаемых автором фактов. Тем не менее в ходе устных сл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шаний она затронула ряд норм о правах человека и международных ста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>дартов в области прав человека.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7.5</w:t>
      </w:r>
      <w:r w:rsidRPr="00143E3D">
        <w:rPr>
          <w:spacing w:val="4"/>
          <w:w w:val="103"/>
        </w:rPr>
        <w:tab/>
        <w:t>В заключение автор выражает сожаление по поводу заявления государс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ва-участника о том, что оно оставляет за собой право представить дополн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тельные замечания по существу сообщения. По мнению автора, заявление г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 xml:space="preserve">сударства-участника о дальнейших задержках с рассмотрением дела указывает на то, что оно продолжает держать автора в </w:t>
      </w:r>
      <w:r>
        <w:rPr>
          <w:spacing w:val="4"/>
          <w:w w:val="103"/>
        </w:rPr>
        <w:t>«</w:t>
      </w:r>
      <w:r w:rsidRPr="00143E3D">
        <w:rPr>
          <w:spacing w:val="4"/>
          <w:w w:val="103"/>
        </w:rPr>
        <w:t>заложниках</w:t>
      </w:r>
      <w:r>
        <w:rPr>
          <w:spacing w:val="4"/>
          <w:w w:val="103"/>
        </w:rPr>
        <w:t>»</w:t>
      </w:r>
      <w:r w:rsidRPr="00143E3D">
        <w:rPr>
          <w:spacing w:val="4"/>
          <w:w w:val="103"/>
        </w:rPr>
        <w:t xml:space="preserve"> в качестве просит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ля убежища, в результате чего она вынуждена жить в лагере для ищущих уб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жища лиц, не имея возможности работать и вести нормальную жизнь. Она д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бавляет, что находится в плохом состоянии</w:t>
      </w:r>
      <w:r w:rsidRPr="00087FA1">
        <w:rPr>
          <w:rStyle w:val="FootnoteReference"/>
          <w:spacing w:val="4"/>
          <w:w w:val="103"/>
          <w:position w:val="0"/>
        </w:rPr>
        <w:footnoteReference w:id="27"/>
      </w:r>
      <w:r w:rsidRPr="00143E3D">
        <w:rPr>
          <w:spacing w:val="4"/>
          <w:w w:val="103"/>
        </w:rPr>
        <w:t>, и просит Комитет принять реш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ние по ее делу как можно скорее.</w:t>
      </w:r>
    </w:p>
    <w:p w:rsidR="001D61F0" w:rsidRPr="00143E3D" w:rsidRDefault="001D61F0" w:rsidP="001D61F0">
      <w:pPr>
        <w:pStyle w:val="SingleTxt"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  <w:kern w:val="0"/>
        </w:rPr>
      </w:pPr>
      <w:r w:rsidRPr="00143E3D">
        <w:rPr>
          <w:spacing w:val="4"/>
          <w:kern w:val="0"/>
        </w:rPr>
        <w:tab/>
      </w:r>
      <w:r w:rsidRPr="00143E3D">
        <w:rPr>
          <w:spacing w:val="4"/>
          <w:kern w:val="0"/>
        </w:rPr>
        <w:tab/>
        <w:t>Вопросы о приемлемости и процедуры их рассмотрения в Комитете</w:t>
      </w:r>
    </w:p>
    <w:p w:rsidR="001D61F0" w:rsidRPr="00143E3D" w:rsidRDefault="001D61F0" w:rsidP="001D61F0">
      <w:pPr>
        <w:pStyle w:val="SingleTxt"/>
        <w:keepNext/>
        <w:spacing w:after="0" w:line="120" w:lineRule="exact"/>
        <w:rPr>
          <w:kern w:val="0"/>
          <w:sz w:val="10"/>
        </w:rPr>
      </w:pP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8.1</w:t>
      </w:r>
      <w:r w:rsidRPr="00143E3D">
        <w:rPr>
          <w:spacing w:val="4"/>
          <w:w w:val="103"/>
        </w:rPr>
        <w:tab/>
        <w:t>В соответствии с правилом 64 своих правил процедуры Комитет должен решить, является ли сообщение приемлемым согласно Факультативному пр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токолу к Конвенции. В соответствии с правилом 66 Комитет может рассмо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реть вопрос о приемлемости сообщения отдельно от существа дела.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8.2</w:t>
      </w:r>
      <w:r w:rsidRPr="00143E3D">
        <w:rPr>
          <w:spacing w:val="4"/>
          <w:w w:val="103"/>
        </w:rPr>
        <w:tab/>
        <w:t>С учетом статьи 4(2) Факультативного протокола Комитет удостоверился в том, что этот же вопрос не рассматривался и не рассматривается в соответс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вии с другой процедурой международного разбирательства или урегулиров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ния.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8.3</w:t>
      </w:r>
      <w:r w:rsidRPr="00143E3D">
        <w:rPr>
          <w:spacing w:val="4"/>
          <w:w w:val="103"/>
        </w:rPr>
        <w:tab/>
        <w:t>Комитет принимает к сведению утверждения автора о том, что ее высы</w:t>
      </w:r>
      <w:r w:rsidRPr="00143E3D">
        <w:rPr>
          <w:spacing w:val="4"/>
          <w:w w:val="103"/>
        </w:rPr>
        <w:t>л</w:t>
      </w:r>
      <w:r w:rsidRPr="00143E3D">
        <w:rPr>
          <w:spacing w:val="4"/>
          <w:w w:val="103"/>
        </w:rPr>
        <w:t>ка в Бурунди будет нарушать статьи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1, 2(c), 2(d) и 3 Конвенции, поскольку она была изнасилована тремя мужчинами в Бурунди, прежде чем бежала из этой страны из-за политического преследования и опасений, что может быть по</w:t>
      </w:r>
      <w:r w:rsidRPr="00143E3D">
        <w:rPr>
          <w:spacing w:val="4"/>
          <w:w w:val="103"/>
        </w:rPr>
        <w:t>д</w:t>
      </w:r>
      <w:r w:rsidRPr="00143E3D">
        <w:rPr>
          <w:spacing w:val="4"/>
          <w:w w:val="103"/>
        </w:rPr>
        <w:t>вергнута изнасилованию или иным формам телесных повреждений в сл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чае ее возвращения в Бурунди. Комитет отмечает утверждение гос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дарства-участника о том, что автор не ссылалась на какие-либо права, гарантируемые Конвенцией, а также не представляла Иммиграционной службе и Апелляцио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>ной комиссии по делам беженцев никаких заявлений по поводу предполага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мой дискриминации по признаку пола. Комитет напоминает, что в соответс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вии со статьей 4(1) Факультативного Протокола к Конвенции авторы должны использовать все доступные для них средства правовой защиты в рамках н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циональной правовой системы. Он также ссылается на свою практику, согла</w:t>
      </w:r>
      <w:r w:rsidRPr="00143E3D">
        <w:rPr>
          <w:spacing w:val="4"/>
          <w:w w:val="103"/>
        </w:rPr>
        <w:t>с</w:t>
      </w:r>
      <w:r w:rsidRPr="00143E3D">
        <w:rPr>
          <w:spacing w:val="4"/>
          <w:w w:val="103"/>
        </w:rPr>
        <w:t>но которой автор должен был затронуть в рамках национального разбирател</w:t>
      </w:r>
      <w:r w:rsidRPr="00143E3D">
        <w:rPr>
          <w:spacing w:val="4"/>
          <w:w w:val="103"/>
        </w:rPr>
        <w:t>ь</w:t>
      </w:r>
      <w:r w:rsidRPr="00143E3D">
        <w:rPr>
          <w:spacing w:val="4"/>
          <w:w w:val="103"/>
        </w:rPr>
        <w:t>ства суть претензии, которую он желает довести до Комитета</w:t>
      </w:r>
      <w:r w:rsidRPr="00087FA1">
        <w:rPr>
          <w:rStyle w:val="FootnoteReference"/>
          <w:spacing w:val="4"/>
          <w:w w:val="103"/>
          <w:position w:val="0"/>
        </w:rPr>
        <w:footnoteReference w:id="28"/>
      </w:r>
      <w:r w:rsidRPr="00143E3D">
        <w:rPr>
          <w:spacing w:val="4"/>
          <w:w w:val="103"/>
        </w:rPr>
        <w:t>, с тем чтобы местные власти и/или суды могли рассмотреть такую претензию</w:t>
      </w:r>
      <w:r w:rsidRPr="00087FA1">
        <w:rPr>
          <w:rStyle w:val="FootnoteReference"/>
          <w:spacing w:val="4"/>
          <w:w w:val="103"/>
          <w:position w:val="0"/>
        </w:rPr>
        <w:footnoteReference w:id="29"/>
      </w:r>
      <w:r w:rsidRPr="00143E3D">
        <w:rPr>
          <w:spacing w:val="4"/>
          <w:w w:val="103"/>
        </w:rPr>
        <w:t>. В связи с этим Комитет отмечает, что ходатайство автора о предоставлении убежища перед Иммиграционной службой и относящиеся к нему отчеты о собеседов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ниях показывают, что автор в обоснование своего ходатайства о предоставл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нии вида на жительство указала только тот факт, что она опасается быть л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шенной жизни или брошенной в тюрьму правительством в случае ее возвр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щения в Бурунди, учитывая, что режим преследует всех членов НОФ. Она с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слалась на свое членство в оппозиционной партии как на причину того, что она разыскивается в ее стране происхождения</w:t>
      </w:r>
      <w:r w:rsidRPr="00087FA1">
        <w:rPr>
          <w:rStyle w:val="FootnoteReference"/>
          <w:spacing w:val="4"/>
          <w:w w:val="103"/>
          <w:position w:val="0"/>
        </w:rPr>
        <w:footnoteReference w:id="30"/>
      </w:r>
      <w:r w:rsidRPr="00143E3D">
        <w:rPr>
          <w:spacing w:val="4"/>
          <w:w w:val="103"/>
        </w:rPr>
        <w:t>. Комитет далее отмечает, что даже предполагаемое изнасилование как таковое не было указано в качестве основания для подачи ею ходатайства о предоставлении убежища. Вместо эт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го во время собеседований в рамках процедуры рассмотрения прошения о пр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доставлении убежище автор в ответ на вопрос о предполагаемом изнасилов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нии заявила, что не знает ни имен совершивших над ней насилие лиц, ни п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чему именно она подверглась изнасилованию, и добавила, что это, по ее мн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нию, произошло сл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чайно. Она также отрицательно ответила на вопрос о том, связано ли изнасилование с ее принадлежностью к НОФ</w:t>
      </w:r>
      <w:r w:rsidRPr="00087FA1">
        <w:rPr>
          <w:rStyle w:val="FootnoteReference"/>
          <w:spacing w:val="4"/>
          <w:w w:val="103"/>
          <w:position w:val="0"/>
        </w:rPr>
        <w:footnoteReference w:id="31"/>
      </w:r>
      <w:r w:rsidRPr="00143E3D">
        <w:rPr>
          <w:spacing w:val="4"/>
          <w:w w:val="103"/>
        </w:rPr>
        <w:t>. Таким образом, власти государства-участника действительно не имели возможности рассмо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реть ее претензии гендерного характера, которые находятся в центре ее соо</w:t>
      </w:r>
      <w:r w:rsidRPr="00143E3D">
        <w:rPr>
          <w:spacing w:val="4"/>
          <w:w w:val="103"/>
        </w:rPr>
        <w:t>б</w:t>
      </w:r>
      <w:r w:rsidRPr="00143E3D">
        <w:rPr>
          <w:spacing w:val="4"/>
          <w:w w:val="103"/>
        </w:rPr>
        <w:t>щения, представленного в Комитет, и поэтому были не в состоянии проверить их достоверность. В силу этого Комитет считает, что данное сообщение явл</w:t>
      </w:r>
      <w:r w:rsidRPr="00143E3D">
        <w:rPr>
          <w:spacing w:val="4"/>
          <w:w w:val="103"/>
        </w:rPr>
        <w:t>я</w:t>
      </w:r>
      <w:r w:rsidRPr="00143E3D">
        <w:rPr>
          <w:spacing w:val="4"/>
          <w:w w:val="103"/>
        </w:rPr>
        <w:t>ется неприемлемым согласно статье 4 (1) Факультативного протокола.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8.4</w:t>
      </w:r>
      <w:r w:rsidRPr="00143E3D">
        <w:rPr>
          <w:spacing w:val="4"/>
          <w:w w:val="103"/>
        </w:rPr>
        <w:tab/>
        <w:t>Признав сообщение неприемлемым согласно статье 4 (1) Факультативн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го протокола, Комитет не считает необходимым в принципе рассматривать другие о</w:t>
      </w:r>
      <w:r w:rsidRPr="00143E3D">
        <w:rPr>
          <w:spacing w:val="4"/>
          <w:w w:val="103"/>
        </w:rPr>
        <w:t>с</w:t>
      </w:r>
      <w:r w:rsidRPr="00143E3D">
        <w:rPr>
          <w:spacing w:val="4"/>
          <w:w w:val="103"/>
        </w:rPr>
        <w:t>нования для неприемлемости, приведенные государством-участ</w:t>
      </w:r>
      <w:r>
        <w:rPr>
          <w:spacing w:val="4"/>
          <w:w w:val="103"/>
        </w:rPr>
        <w:softHyphen/>
      </w:r>
      <w:r w:rsidRPr="00143E3D">
        <w:rPr>
          <w:spacing w:val="4"/>
          <w:w w:val="103"/>
        </w:rPr>
        <w:t>ником. Вместе с тем Комитет хотел бы рассмотреть вопрос об обязанностях государств-участников по Конвенции в ситуациях, когда государство-участник высылает, депортирует, выдворяет или иным способом отправляет какое-либо лицо в страну, в которой оно, согласно его утверждениям, станет жертвой н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рушения его прав, предусмотренных в Конвенции. В контексте настоящего с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общения государство-участник оспаривает применимость Конвенции в таких обсто</w:t>
      </w:r>
      <w:r w:rsidRPr="00143E3D">
        <w:rPr>
          <w:spacing w:val="4"/>
          <w:w w:val="103"/>
        </w:rPr>
        <w:t>я</w:t>
      </w:r>
      <w:r w:rsidRPr="00143E3D">
        <w:rPr>
          <w:spacing w:val="4"/>
          <w:w w:val="103"/>
        </w:rPr>
        <w:t>тельствах.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8.5</w:t>
      </w:r>
      <w:r w:rsidRPr="00143E3D">
        <w:rPr>
          <w:spacing w:val="4"/>
          <w:w w:val="103"/>
        </w:rPr>
        <w:tab/>
        <w:t xml:space="preserve">Согласно статье 2 Факультативного протокола к Конвенции </w:t>
      </w:r>
      <w:r>
        <w:rPr>
          <w:spacing w:val="4"/>
          <w:w w:val="103"/>
        </w:rPr>
        <w:t>«</w:t>
      </w:r>
      <w:r w:rsidRPr="00143E3D">
        <w:rPr>
          <w:spacing w:val="4"/>
          <w:w w:val="103"/>
        </w:rPr>
        <w:t>сообщения могут направляться подпадающими под юрисдикцию государства-участника лицами или группами лиц или от их имени, которые утверждают, что они я</w:t>
      </w:r>
      <w:r w:rsidRPr="00143E3D">
        <w:rPr>
          <w:spacing w:val="4"/>
          <w:w w:val="103"/>
        </w:rPr>
        <w:t>в</w:t>
      </w:r>
      <w:r w:rsidRPr="00143E3D">
        <w:rPr>
          <w:spacing w:val="4"/>
          <w:w w:val="103"/>
        </w:rPr>
        <w:t>ляются жертвами нарушения этим государством-участником какого-либо из прав, изложенных в Конвенции</w:t>
      </w:r>
      <w:r>
        <w:rPr>
          <w:spacing w:val="4"/>
          <w:w w:val="103"/>
        </w:rPr>
        <w:t>»</w:t>
      </w:r>
      <w:r w:rsidRPr="00143E3D">
        <w:rPr>
          <w:spacing w:val="4"/>
          <w:w w:val="103"/>
        </w:rPr>
        <w:t>. Комитет напоминает, что он указал в своей общей рекомендации № 28, что обязательства государств-участников распр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страняются безотносительно как на гражданам, так и на неграждан, в том чи</w:t>
      </w:r>
      <w:r w:rsidRPr="00143E3D">
        <w:rPr>
          <w:spacing w:val="4"/>
          <w:w w:val="103"/>
        </w:rPr>
        <w:t>с</w:t>
      </w:r>
      <w:r w:rsidRPr="00143E3D">
        <w:rPr>
          <w:spacing w:val="4"/>
          <w:w w:val="103"/>
        </w:rPr>
        <w:t>ле на беженцев, лиц, ищущих убежища, трудящихся-мигрантов и апатридов в пределах территории этих государств или в зоне их фактического контроля, даже если таковая находится за пределами их терр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 xml:space="preserve">тории. Государства-участники </w:t>
      </w:r>
      <w:r>
        <w:rPr>
          <w:spacing w:val="4"/>
          <w:w w:val="103"/>
        </w:rPr>
        <w:t>«</w:t>
      </w:r>
      <w:r w:rsidRPr="00143E3D">
        <w:rPr>
          <w:spacing w:val="4"/>
          <w:w w:val="103"/>
        </w:rPr>
        <w:t>несут ответственность за все свои действия, влияющие на полож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ние в области прав человека, независимо от того, находятся ли лица, затрон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тые этими действиями, на территории указанных гос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дарств или нет</w:t>
      </w:r>
      <w:r>
        <w:rPr>
          <w:spacing w:val="4"/>
          <w:w w:val="103"/>
        </w:rPr>
        <w:t>»</w:t>
      </w:r>
      <w:r w:rsidRPr="00087FA1">
        <w:rPr>
          <w:rStyle w:val="FootnoteReference"/>
          <w:spacing w:val="4"/>
          <w:w w:val="103"/>
          <w:position w:val="0"/>
        </w:rPr>
        <w:footnoteReference w:id="32"/>
      </w:r>
      <w:r w:rsidRPr="00143E3D">
        <w:rPr>
          <w:spacing w:val="4"/>
          <w:w w:val="103"/>
        </w:rPr>
        <w:t>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8.6</w:t>
      </w:r>
      <w:r w:rsidRPr="00143E3D">
        <w:rPr>
          <w:spacing w:val="4"/>
          <w:w w:val="103"/>
        </w:rPr>
        <w:tab/>
        <w:t>Комитет напоминает, что в статье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1 Конвенции дискриминация в отнош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 xml:space="preserve">нии женщин определяется как </w:t>
      </w:r>
      <w:r>
        <w:rPr>
          <w:spacing w:val="4"/>
          <w:w w:val="103"/>
        </w:rPr>
        <w:t>«</w:t>
      </w:r>
      <w:r w:rsidRPr="00143E3D">
        <w:rPr>
          <w:spacing w:val="4"/>
          <w:w w:val="103"/>
        </w:rPr>
        <w:t>любое различие, исключение или ограничение по признаку пола, которое направлено на ослабление или сводит на нет пр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знание, пользование или осуществление женщинами… прав человека и осно</w:t>
      </w:r>
      <w:r w:rsidRPr="00143E3D">
        <w:rPr>
          <w:spacing w:val="4"/>
          <w:w w:val="103"/>
        </w:rPr>
        <w:t>в</w:t>
      </w:r>
      <w:r w:rsidRPr="00143E3D">
        <w:rPr>
          <w:spacing w:val="4"/>
          <w:w w:val="103"/>
        </w:rPr>
        <w:t>ных свобод в политической, экономической, социальной, культурной, гра</w:t>
      </w:r>
      <w:r w:rsidRPr="00143E3D">
        <w:rPr>
          <w:spacing w:val="4"/>
          <w:w w:val="103"/>
        </w:rPr>
        <w:t>ж</w:t>
      </w:r>
      <w:r w:rsidRPr="00143E3D">
        <w:rPr>
          <w:spacing w:val="4"/>
          <w:w w:val="103"/>
        </w:rPr>
        <w:t>данской или любой другой области</w:t>
      </w:r>
      <w:r>
        <w:rPr>
          <w:spacing w:val="4"/>
          <w:w w:val="103"/>
        </w:rPr>
        <w:t>»</w:t>
      </w:r>
      <w:r w:rsidRPr="00143E3D">
        <w:rPr>
          <w:spacing w:val="4"/>
          <w:w w:val="103"/>
        </w:rPr>
        <w:t>. Комитет далее ссылается на свою О</w:t>
      </w:r>
      <w:r w:rsidRPr="00143E3D">
        <w:rPr>
          <w:spacing w:val="4"/>
          <w:w w:val="103"/>
        </w:rPr>
        <w:t>б</w:t>
      </w:r>
      <w:r w:rsidRPr="00143E3D">
        <w:rPr>
          <w:spacing w:val="4"/>
          <w:w w:val="103"/>
        </w:rPr>
        <w:t>щую рекомендацию №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19, которая прямо квалифицирует насилие в отнош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нии женщин как дискриминацию в отношении женщин, указывая, что гендерное насилие представляет</w:t>
      </w:r>
      <w:r>
        <w:rPr>
          <w:spacing w:val="4"/>
          <w:w w:val="103"/>
        </w:rPr>
        <w:t xml:space="preserve"> собой</w:t>
      </w:r>
      <w:r w:rsidRPr="00143E3D">
        <w:rPr>
          <w:spacing w:val="4"/>
          <w:w w:val="103"/>
        </w:rPr>
        <w:t xml:space="preserve"> одну из форм дискриминации в отношении же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 xml:space="preserve">щин и включает в себя </w:t>
      </w:r>
      <w:r>
        <w:rPr>
          <w:spacing w:val="4"/>
          <w:w w:val="103"/>
        </w:rPr>
        <w:t>действия</w:t>
      </w:r>
      <w:r w:rsidRPr="00143E3D">
        <w:rPr>
          <w:spacing w:val="4"/>
          <w:w w:val="103"/>
        </w:rPr>
        <w:t>, которые причиняют ущерб или страдания ф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 xml:space="preserve">зического, психического или полового характера, угрозу таких </w:t>
      </w:r>
      <w:r>
        <w:rPr>
          <w:spacing w:val="4"/>
          <w:w w:val="103"/>
        </w:rPr>
        <w:t>действий</w:t>
      </w:r>
      <w:r w:rsidRPr="00143E3D">
        <w:rPr>
          <w:spacing w:val="4"/>
          <w:w w:val="103"/>
        </w:rPr>
        <w:t>, пр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нуждение и другие формы ущемления свободы. В отношении аргумента гос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дарства-участника о том, что в отличие от других договоров по правам челов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ка в Конвенции прямо или косвенно не затрагиваются вопросы высылки при наличии угрозы пыток или других серьезных угроз жизни и безопасности ли</w:t>
      </w:r>
      <w:r w:rsidRPr="00143E3D">
        <w:rPr>
          <w:spacing w:val="4"/>
          <w:w w:val="103"/>
        </w:rPr>
        <w:t>ч</w:t>
      </w:r>
      <w:r w:rsidRPr="00143E3D">
        <w:rPr>
          <w:spacing w:val="4"/>
          <w:w w:val="103"/>
        </w:rPr>
        <w:t>ности, Комитет напоминает, что в той же рекомендации он определил, что т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кое гендерное насилие затрудняет или сводит на нет пользование женщин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ми рядом прав человека и основных свобод, к числу которых, среди прочего, о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носятся право на жизнь, право не подвергаться пыткам, жестоким, бесчелове</w:t>
      </w:r>
      <w:r w:rsidRPr="00143E3D">
        <w:rPr>
          <w:spacing w:val="4"/>
          <w:w w:val="103"/>
        </w:rPr>
        <w:t>ч</w:t>
      </w:r>
      <w:r w:rsidRPr="00143E3D">
        <w:rPr>
          <w:spacing w:val="4"/>
          <w:w w:val="103"/>
        </w:rPr>
        <w:t>ным или унижающим достоинство видам обращения или наказания, право на свободу и безопасность личности, а также право на равную защиту по зак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ну.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8.7</w:t>
      </w:r>
      <w:r w:rsidRPr="00143E3D">
        <w:rPr>
          <w:spacing w:val="4"/>
          <w:w w:val="103"/>
        </w:rPr>
        <w:tab/>
        <w:t>Комитет далее отмечает, что согласно международным стандартам прав человека принцип невыдворения налагает на государства обязанность возде</w:t>
      </w:r>
      <w:r w:rsidRPr="00143E3D">
        <w:rPr>
          <w:spacing w:val="4"/>
          <w:w w:val="103"/>
        </w:rPr>
        <w:t>р</w:t>
      </w:r>
      <w:r w:rsidRPr="00143E3D">
        <w:rPr>
          <w:spacing w:val="4"/>
          <w:w w:val="103"/>
        </w:rPr>
        <w:t>живаться от возвращения лиц в юрисдикцию, в которой они могут подвер</w:t>
      </w:r>
      <w:r w:rsidRPr="00143E3D">
        <w:rPr>
          <w:spacing w:val="4"/>
          <w:w w:val="103"/>
        </w:rPr>
        <w:t>г</w:t>
      </w:r>
      <w:r w:rsidRPr="00143E3D">
        <w:rPr>
          <w:spacing w:val="4"/>
          <w:w w:val="103"/>
        </w:rPr>
        <w:t>нуться серьезным нарушениям прав человека, в частности произвольному л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шению жизни или пыткам или другим жестоким, бесчеловечным или ун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жающим достоинство видам обращения или наказания. Принцип невыдвор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ния является также неотъемлемым элементом процедуры предоставления уб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жища и системы международной защиты беже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>цев</w:t>
      </w:r>
      <w:r w:rsidRPr="00087FA1">
        <w:rPr>
          <w:rStyle w:val="FootnoteReference"/>
          <w:spacing w:val="4"/>
          <w:w w:val="103"/>
          <w:position w:val="0"/>
        </w:rPr>
        <w:footnoteReference w:id="33"/>
      </w:r>
      <w:r w:rsidRPr="00143E3D">
        <w:rPr>
          <w:spacing w:val="4"/>
          <w:w w:val="103"/>
        </w:rPr>
        <w:t>. Суть принципа состоит в том, что государство не может заставить человека вернуться на территорию, где он или она может подвергнуться преследованиям, в том числе по генде</w:t>
      </w:r>
      <w:r w:rsidRPr="00143E3D">
        <w:rPr>
          <w:spacing w:val="4"/>
          <w:w w:val="103"/>
        </w:rPr>
        <w:t>р</w:t>
      </w:r>
      <w:r w:rsidRPr="00143E3D">
        <w:rPr>
          <w:spacing w:val="4"/>
          <w:w w:val="103"/>
        </w:rPr>
        <w:t>ным признакам и мотивам. Гендерные формы преследования представляют с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бой преследование, направленное против женщин как таковых или несора</w:t>
      </w:r>
      <w:r w:rsidRPr="00143E3D">
        <w:rPr>
          <w:spacing w:val="4"/>
          <w:w w:val="103"/>
        </w:rPr>
        <w:t>з</w:t>
      </w:r>
      <w:r w:rsidRPr="00143E3D">
        <w:rPr>
          <w:spacing w:val="4"/>
          <w:w w:val="103"/>
        </w:rPr>
        <w:t>мерно затрагивающее женщин. Прямое положение о невыдворении соде</w:t>
      </w:r>
      <w:r w:rsidRPr="00143E3D">
        <w:rPr>
          <w:spacing w:val="4"/>
          <w:w w:val="103"/>
        </w:rPr>
        <w:t>р</w:t>
      </w:r>
      <w:r w:rsidRPr="00143E3D">
        <w:rPr>
          <w:spacing w:val="4"/>
          <w:w w:val="103"/>
        </w:rPr>
        <w:t>жится в статье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3 Конвенции против пыток и других жестоких, бесчеловечных или унижающих достоинство видов обращения и наказания и запрещает высылку того или иного лица из страны, если есть достаточные основания полагать, что он или она может подвергнуться угрозе пыток. Обязательства по Междун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родному пакту о гражданских и политических правах, как они толкуются К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митетом по правам человека в его юридической практике</w:t>
      </w:r>
      <w:r w:rsidRPr="00087FA1">
        <w:rPr>
          <w:rStyle w:val="FootnoteReference"/>
          <w:spacing w:val="4"/>
          <w:w w:val="103"/>
          <w:position w:val="0"/>
        </w:rPr>
        <w:footnoteReference w:id="34"/>
      </w:r>
      <w:r w:rsidRPr="00143E3D">
        <w:rPr>
          <w:spacing w:val="4"/>
          <w:w w:val="103"/>
        </w:rPr>
        <w:t>, также включают обязательство не экстрадировать, не депортировать, не высылать и не выдв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 xml:space="preserve">рять каким-либо иным образом лицо со </w:t>
      </w:r>
      <w:r>
        <w:rPr>
          <w:spacing w:val="4"/>
          <w:w w:val="103"/>
        </w:rPr>
        <w:t>своей</w:t>
      </w:r>
      <w:r w:rsidRPr="00143E3D">
        <w:rPr>
          <w:spacing w:val="4"/>
          <w:w w:val="103"/>
        </w:rPr>
        <w:t xml:space="preserve"> территории, когда имеются сер</w:t>
      </w:r>
      <w:r w:rsidRPr="00143E3D">
        <w:rPr>
          <w:spacing w:val="4"/>
          <w:w w:val="103"/>
        </w:rPr>
        <w:t>ь</w:t>
      </w:r>
      <w:r w:rsidRPr="00143E3D">
        <w:rPr>
          <w:spacing w:val="4"/>
          <w:w w:val="103"/>
        </w:rPr>
        <w:t>езные основания полагать, что в государстве, куда это лицо будет или может быть впоследствии выслано, существует реальная опасность причинения неп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правимого вреда, в частности оговариваемого в статье 6 о праве на жизнь и статье 7 о праве не подвергаться пыткам и другим жестоким, бесчеловечным или унижающим достоинство видам обращения или наказания Пакта</w:t>
      </w:r>
      <w:r w:rsidRPr="00087FA1">
        <w:rPr>
          <w:rStyle w:val="FootnoteReference"/>
          <w:spacing w:val="4"/>
          <w:w w:val="103"/>
          <w:position w:val="0"/>
        </w:rPr>
        <w:footnoteReference w:id="35"/>
      </w:r>
      <w:r w:rsidRPr="00143E3D">
        <w:rPr>
          <w:spacing w:val="4"/>
          <w:w w:val="103"/>
        </w:rPr>
        <w:t>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8.8</w:t>
      </w:r>
      <w:r w:rsidRPr="00143E3D">
        <w:rPr>
          <w:spacing w:val="4"/>
          <w:w w:val="103"/>
        </w:rPr>
        <w:tab/>
        <w:t>Абсолютное запрещение пыток, которое является частью международн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го обычного права, включает в качестве существенного сопутствующего ко</w:t>
      </w:r>
      <w:r w:rsidRPr="00143E3D">
        <w:rPr>
          <w:spacing w:val="4"/>
          <w:w w:val="103"/>
        </w:rPr>
        <w:t>м</w:t>
      </w:r>
      <w:r w:rsidRPr="00143E3D">
        <w:rPr>
          <w:spacing w:val="4"/>
          <w:w w:val="103"/>
        </w:rPr>
        <w:t>понента положение о запрещении выдворения при наличии опасности пыток, которое предусматривает запрещение любого возвращения лица в страну, где он или она может подвергнуться риску пыток. Это в равной степени относится и к запрещению произвольного лишения жизни. Гендерное насилие поставл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но вне закона в первую очередь благодаря запрещению пыток и других жест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ких, бесчеловечных или унижающих достоинство видов обращения или нак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зания. Комитет против пыток в своем Замечании общего порядка №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2 прямо отнес гендерное насилие и жестокое обращение с женщинами к сфере дейс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вия Конвенции против пыток</w:t>
      </w:r>
      <w:r w:rsidRPr="00087FA1">
        <w:rPr>
          <w:rStyle w:val="FootnoteReference"/>
          <w:spacing w:val="4"/>
          <w:w w:val="103"/>
          <w:position w:val="0"/>
        </w:rPr>
        <w:footnoteReference w:id="36"/>
      </w:r>
      <w:r w:rsidRPr="00143E3D">
        <w:rPr>
          <w:spacing w:val="4"/>
          <w:w w:val="103"/>
        </w:rPr>
        <w:t xml:space="preserve">. 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8.9</w:t>
      </w:r>
      <w:r w:rsidRPr="00143E3D">
        <w:rPr>
          <w:spacing w:val="4"/>
          <w:w w:val="103"/>
        </w:rPr>
        <w:tab/>
        <w:t>Со ссылкой на довод государства-участника о том, что ничто в юридич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ской практике Комитета не указывает на экстерриториальное действие пол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жений Конвенции, Комитет напоминает о том, что в соответствии со стат</w:t>
      </w:r>
      <w:r w:rsidRPr="00143E3D">
        <w:rPr>
          <w:spacing w:val="4"/>
          <w:w w:val="103"/>
        </w:rPr>
        <w:t>ь</w:t>
      </w:r>
      <w:r w:rsidRPr="00143E3D">
        <w:rPr>
          <w:spacing w:val="4"/>
          <w:w w:val="103"/>
        </w:rPr>
        <w:t>ей</w:t>
      </w:r>
      <w:r>
        <w:rPr>
          <w:spacing w:val="4"/>
          <w:w w:val="103"/>
        </w:rPr>
        <w:t> </w:t>
      </w:r>
      <w:r w:rsidRPr="00143E3D">
        <w:rPr>
          <w:spacing w:val="4"/>
          <w:w w:val="103"/>
        </w:rPr>
        <w:t>2(d) Конвенции государства-участники должны воздерживаться от сове</w:t>
      </w:r>
      <w:r w:rsidRPr="00143E3D">
        <w:rPr>
          <w:spacing w:val="4"/>
          <w:w w:val="103"/>
        </w:rPr>
        <w:t>р</w:t>
      </w:r>
      <w:r w:rsidRPr="00143E3D">
        <w:rPr>
          <w:spacing w:val="4"/>
          <w:w w:val="103"/>
        </w:rPr>
        <w:t>шения каких-либо дискриминационных актов или действий в отношении же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>щин и гарантировать, что государственные органы и учреждения будут дейс</w:t>
      </w:r>
      <w:r w:rsidRPr="00143E3D">
        <w:rPr>
          <w:spacing w:val="4"/>
          <w:w w:val="103"/>
        </w:rPr>
        <w:t>т</w:t>
      </w:r>
      <w:r w:rsidRPr="00143E3D">
        <w:rPr>
          <w:spacing w:val="4"/>
          <w:w w:val="103"/>
        </w:rPr>
        <w:t>вовать в соответствии с этим обязательством. Эта обязанность действовать включает обязательство государств-участников ограждать женщин от реальн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го, личного и предсказуемого риска подвергнуться серьезным формам генде</w:t>
      </w:r>
      <w:r w:rsidRPr="00143E3D">
        <w:rPr>
          <w:spacing w:val="4"/>
          <w:w w:val="103"/>
        </w:rPr>
        <w:t>р</w:t>
      </w:r>
      <w:r w:rsidRPr="00143E3D">
        <w:rPr>
          <w:spacing w:val="4"/>
          <w:w w:val="103"/>
        </w:rPr>
        <w:t>ного насилия, независимо от того, наступят ли такие последствия за террит</w:t>
      </w:r>
      <w:r w:rsidRPr="00143E3D">
        <w:rPr>
          <w:spacing w:val="4"/>
          <w:w w:val="103"/>
        </w:rPr>
        <w:t>о</w:t>
      </w:r>
      <w:r w:rsidRPr="00143E3D">
        <w:rPr>
          <w:spacing w:val="4"/>
          <w:w w:val="103"/>
        </w:rPr>
        <w:t>риальными границами высылающего государства: если государство-участник принимает решение в отношении лица под его юрисдикцией, неизбежным и предсказуемым последствием которого станет нарушение прав этого лица по Конвенции в другой юрисдикции, государство-участник само может стать н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рушителем Конвенции. Например, государство-участник само нарушит Ко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>венцию, если оно вышлет то или иное лицо в другое государство в ситуации, когда можно было предвидеть, что это повлечет за собой серьезные акты ге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>дерного насилия</w:t>
      </w:r>
      <w:r w:rsidRPr="00087FA1">
        <w:rPr>
          <w:rStyle w:val="FootnoteReference"/>
          <w:spacing w:val="4"/>
          <w:w w:val="103"/>
          <w:position w:val="0"/>
        </w:rPr>
        <w:footnoteReference w:id="37"/>
      </w:r>
      <w:r w:rsidRPr="00143E3D">
        <w:rPr>
          <w:spacing w:val="4"/>
          <w:w w:val="103"/>
        </w:rPr>
        <w:t>. Возможность предвидения последствий означала бы, что государство-участник допустило нарушение, даже несмотря на то, что после</w:t>
      </w:r>
      <w:r w:rsidRPr="00143E3D">
        <w:rPr>
          <w:spacing w:val="4"/>
          <w:w w:val="103"/>
        </w:rPr>
        <w:t>д</w:t>
      </w:r>
      <w:r w:rsidRPr="00143E3D">
        <w:rPr>
          <w:spacing w:val="4"/>
          <w:w w:val="103"/>
        </w:rPr>
        <w:t>ствия наст</w:t>
      </w:r>
      <w:r w:rsidRPr="00143E3D">
        <w:rPr>
          <w:spacing w:val="4"/>
          <w:w w:val="103"/>
        </w:rPr>
        <w:t>у</w:t>
      </w:r>
      <w:r w:rsidRPr="00143E3D">
        <w:rPr>
          <w:spacing w:val="4"/>
          <w:w w:val="103"/>
        </w:rPr>
        <w:t>пят только через некоторое время. Степень серьезности гендерного насилия будет зависеть от обстоятельств каждого дела и рассмотрения Ком</w:t>
      </w:r>
      <w:r w:rsidRPr="00143E3D">
        <w:rPr>
          <w:spacing w:val="4"/>
          <w:w w:val="103"/>
        </w:rPr>
        <w:t>и</w:t>
      </w:r>
      <w:r w:rsidRPr="00143E3D">
        <w:rPr>
          <w:spacing w:val="4"/>
          <w:w w:val="103"/>
        </w:rPr>
        <w:t>тетом, исходя из каждого конкретного случая в отдельности, существа дела, при условии что автор доказал prima facie обоснованность своих претензий в Комитете, представив достаточно веские аргументы в их обоснование. В да</w:t>
      </w:r>
      <w:r w:rsidRPr="00143E3D">
        <w:rPr>
          <w:spacing w:val="4"/>
          <w:w w:val="103"/>
        </w:rPr>
        <w:t>н</w:t>
      </w:r>
      <w:r w:rsidRPr="00143E3D">
        <w:rPr>
          <w:spacing w:val="4"/>
          <w:w w:val="103"/>
        </w:rPr>
        <w:t>ном случае автору не удалось в достаточной степени обосновать свои утве</w:t>
      </w:r>
      <w:r w:rsidRPr="00143E3D">
        <w:rPr>
          <w:spacing w:val="4"/>
          <w:w w:val="103"/>
        </w:rPr>
        <w:t>р</w:t>
      </w:r>
      <w:r w:rsidRPr="00143E3D">
        <w:rPr>
          <w:spacing w:val="4"/>
          <w:w w:val="103"/>
        </w:rPr>
        <w:t>ждения для целей приемлемости, что освобождает Комитет от их дальнейшего рассмотр</w:t>
      </w:r>
      <w:r w:rsidRPr="00143E3D">
        <w:rPr>
          <w:spacing w:val="4"/>
          <w:w w:val="103"/>
        </w:rPr>
        <w:t>е</w:t>
      </w:r>
      <w:r w:rsidRPr="00143E3D">
        <w:rPr>
          <w:spacing w:val="4"/>
          <w:w w:val="103"/>
        </w:rPr>
        <w:t>ния.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>9.</w:t>
      </w:r>
      <w:r w:rsidRPr="00143E3D">
        <w:rPr>
          <w:spacing w:val="4"/>
          <w:w w:val="103"/>
        </w:rPr>
        <w:tab/>
        <w:t>В силу вышеизложенного Комитет постановляет: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ab/>
        <w:t>a)</w:t>
      </w:r>
      <w:r w:rsidRPr="00143E3D">
        <w:rPr>
          <w:spacing w:val="4"/>
          <w:w w:val="103"/>
        </w:rPr>
        <w:tab/>
        <w:t>считать сообщение неприемлемым по смыслу статьи 4(1) Факульт</w:t>
      </w:r>
      <w:r w:rsidRPr="00143E3D">
        <w:rPr>
          <w:spacing w:val="4"/>
          <w:w w:val="103"/>
        </w:rPr>
        <w:t>а</w:t>
      </w:r>
      <w:r w:rsidRPr="00143E3D">
        <w:rPr>
          <w:spacing w:val="4"/>
          <w:w w:val="103"/>
        </w:rPr>
        <w:t>тивного протокола;</w:t>
      </w:r>
    </w:p>
    <w:p w:rsidR="001D61F0" w:rsidRPr="00143E3D" w:rsidRDefault="001D61F0" w:rsidP="001D61F0">
      <w:pPr>
        <w:pStyle w:val="SingleTxt1"/>
        <w:rPr>
          <w:spacing w:val="4"/>
          <w:w w:val="103"/>
        </w:rPr>
      </w:pPr>
      <w:r w:rsidRPr="00143E3D">
        <w:rPr>
          <w:spacing w:val="4"/>
          <w:w w:val="103"/>
        </w:rPr>
        <w:tab/>
        <w:t>b)</w:t>
      </w:r>
      <w:r w:rsidRPr="00143E3D">
        <w:rPr>
          <w:spacing w:val="4"/>
          <w:w w:val="103"/>
        </w:rPr>
        <w:tab/>
        <w:t>довести настоящее решение до сведения государства-участника и автора.</w:t>
      </w:r>
    </w:p>
    <w:p w:rsidR="001D61F0" w:rsidRPr="00143E3D" w:rsidRDefault="001D61F0" w:rsidP="001D61F0">
      <w:pPr>
        <w:pStyle w:val="SingleTxt"/>
        <w:rPr>
          <w:kern w:val="0"/>
        </w:rPr>
      </w:pPr>
      <w:r w:rsidRPr="00143E3D">
        <w:rPr>
          <w:kern w:val="0"/>
        </w:rPr>
        <w:t>[Принято на английском, арабском, китайском, русском, французском и испа</w:t>
      </w:r>
      <w:r w:rsidRPr="00143E3D">
        <w:rPr>
          <w:kern w:val="0"/>
        </w:rPr>
        <w:t>н</w:t>
      </w:r>
      <w:r w:rsidRPr="00143E3D">
        <w:rPr>
          <w:kern w:val="0"/>
        </w:rPr>
        <w:t>ском языках, с оригинальным те</w:t>
      </w:r>
      <w:r w:rsidRPr="00143E3D">
        <w:rPr>
          <w:kern w:val="0"/>
        </w:rPr>
        <w:t>к</w:t>
      </w:r>
      <w:r w:rsidRPr="00143E3D">
        <w:rPr>
          <w:kern w:val="0"/>
        </w:rPr>
        <w:t>стом на английском языке.]</w:t>
      </w:r>
    </w:p>
    <w:p w:rsidR="001D61F0" w:rsidRPr="00143E3D" w:rsidRDefault="001D61F0" w:rsidP="001D61F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kern w:val="0"/>
        </w:rPr>
      </w:pPr>
      <w:r w:rsidRPr="00143E3D">
        <w:rPr>
          <w:kern w:val="0"/>
        </w:rPr>
        <w:br w:type="page"/>
        <w:t>Добавление</w:t>
      </w:r>
    </w:p>
    <w:p w:rsidR="001D61F0" w:rsidRPr="00F95111" w:rsidRDefault="001D61F0" w:rsidP="001D61F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kern w:val="0"/>
          <w:sz w:val="10"/>
        </w:rPr>
      </w:pPr>
      <w:r>
        <w:rPr>
          <w:kern w:val="0"/>
        </w:rPr>
        <w:tab/>
      </w:r>
      <w:r>
        <w:rPr>
          <w:kern w:val="0"/>
        </w:rPr>
        <w:tab/>
      </w:r>
    </w:p>
    <w:p w:rsidR="001D61F0" w:rsidRPr="00143E3D" w:rsidRDefault="001D61F0" w:rsidP="001D61F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 w:rsidRPr="00143E3D">
        <w:rPr>
          <w:kern w:val="0"/>
        </w:rPr>
        <w:t xml:space="preserve">Особое (несогласное) мнение члена Комитета </w:t>
      </w:r>
      <w:r>
        <w:rPr>
          <w:kern w:val="0"/>
        </w:rPr>
        <w:t>г</w:t>
      </w:r>
      <w:r>
        <w:rPr>
          <w:kern w:val="0"/>
        </w:rPr>
        <w:noBreakHyphen/>
      </w:r>
      <w:r w:rsidRPr="00143E3D">
        <w:rPr>
          <w:kern w:val="0"/>
        </w:rPr>
        <w:t>жи</w:t>
      </w:r>
      <w:r>
        <w:rPr>
          <w:kern w:val="0"/>
        </w:rPr>
        <w:t> </w:t>
      </w:r>
      <w:r w:rsidRPr="00143E3D">
        <w:rPr>
          <w:kern w:val="0"/>
        </w:rPr>
        <w:t xml:space="preserve">Дубравки Шимонович, к которому присоединились г-жа Рут Гальперин-Каддари, </w:t>
      </w:r>
      <w:r>
        <w:rPr>
          <w:kern w:val="0"/>
        </w:rPr>
        <w:t>г</w:t>
      </w:r>
      <w:r>
        <w:rPr>
          <w:kern w:val="0"/>
        </w:rPr>
        <w:noBreakHyphen/>
      </w:r>
      <w:r w:rsidRPr="00143E3D">
        <w:rPr>
          <w:kern w:val="0"/>
        </w:rPr>
        <w:t>жа</w:t>
      </w:r>
      <w:r>
        <w:rPr>
          <w:kern w:val="0"/>
        </w:rPr>
        <w:t> </w:t>
      </w:r>
      <w:r w:rsidRPr="00143E3D">
        <w:rPr>
          <w:kern w:val="0"/>
        </w:rPr>
        <w:t xml:space="preserve">Виолета Нойбауэр и г-жа </w:t>
      </w:r>
      <w:r w:rsidRPr="00143E3D">
        <w:rPr>
          <w:color w:val="000000"/>
          <w:kern w:val="0"/>
        </w:rPr>
        <w:t>Силвия Пиментел</w:t>
      </w:r>
    </w:p>
    <w:p w:rsidR="001D61F0" w:rsidRPr="00F95111" w:rsidRDefault="001D61F0" w:rsidP="001D61F0">
      <w:pPr>
        <w:pStyle w:val="SingleTxt"/>
        <w:spacing w:after="0" w:line="120" w:lineRule="exact"/>
        <w:rPr>
          <w:rFonts w:eastAsia="Arial Unicode MS"/>
          <w:kern w:val="0"/>
          <w:sz w:val="10"/>
          <w:u w:color="000000"/>
          <w:lang w:eastAsia="en-GB"/>
        </w:rPr>
      </w:pPr>
    </w:p>
    <w:p w:rsidR="001D61F0" w:rsidRPr="00F95111" w:rsidRDefault="001D61F0" w:rsidP="001D61F0">
      <w:pPr>
        <w:pStyle w:val="SingleTxt"/>
        <w:spacing w:after="0" w:line="120" w:lineRule="exact"/>
        <w:rPr>
          <w:rFonts w:eastAsia="Arial Unicode MS"/>
          <w:kern w:val="0"/>
          <w:sz w:val="10"/>
          <w:u w:color="000000"/>
          <w:lang w:eastAsia="en-GB"/>
        </w:rPr>
      </w:pPr>
    </w:p>
    <w:p w:rsidR="001D61F0" w:rsidRPr="00143E3D" w:rsidRDefault="001D61F0" w:rsidP="001D61F0">
      <w:pPr>
        <w:pStyle w:val="SingleTxt"/>
        <w:rPr>
          <w:rFonts w:eastAsia="Arial Unicode MS"/>
          <w:kern w:val="0"/>
          <w:u w:color="000000"/>
          <w:lang w:eastAsia="en-GB"/>
        </w:rPr>
      </w:pPr>
      <w:r w:rsidRPr="00143E3D">
        <w:rPr>
          <w:rFonts w:eastAsia="Arial Unicode MS"/>
          <w:kern w:val="0"/>
          <w:u w:color="000000"/>
          <w:lang w:eastAsia="en-GB"/>
        </w:rPr>
        <w:t>1.</w:t>
      </w:r>
      <w:r w:rsidRPr="00143E3D">
        <w:rPr>
          <w:rFonts w:eastAsia="Arial Unicode MS"/>
          <w:kern w:val="0"/>
          <w:u w:color="000000"/>
          <w:lang w:eastAsia="en-GB"/>
        </w:rPr>
        <w:tab/>
        <w:t>На своем заседании 26 июля 2013 года Комитет по ликвидации дискр</w:t>
      </w:r>
      <w:r w:rsidRPr="00143E3D">
        <w:rPr>
          <w:rFonts w:eastAsia="Arial Unicode MS"/>
          <w:kern w:val="0"/>
          <w:u w:color="000000"/>
          <w:lang w:eastAsia="en-GB"/>
        </w:rPr>
        <w:t>и</w:t>
      </w:r>
      <w:r w:rsidRPr="00143E3D">
        <w:rPr>
          <w:rFonts w:eastAsia="Arial Unicode MS"/>
          <w:kern w:val="0"/>
          <w:u w:color="000000"/>
          <w:lang w:eastAsia="en-GB"/>
        </w:rPr>
        <w:t>минации в отношении женщин принял решение о неприемлемости сообщ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ния</w:t>
      </w:r>
      <w:r>
        <w:rPr>
          <w:rFonts w:eastAsia="Arial Unicode MS"/>
          <w:kern w:val="0"/>
          <w:u w:color="000000"/>
          <w:lang w:eastAsia="en-GB"/>
        </w:rPr>
        <w:t> </w:t>
      </w:r>
      <w:r w:rsidRPr="00143E3D">
        <w:rPr>
          <w:rFonts w:eastAsia="Arial Unicode MS"/>
          <w:kern w:val="0"/>
          <w:u w:color="000000"/>
          <w:lang w:eastAsia="en-GB"/>
        </w:rPr>
        <w:t xml:space="preserve">№ </w:t>
      </w:r>
      <w:hyperlink r:id="rId18" w:history="1">
        <w:r w:rsidRPr="00073BA5">
          <w:rPr>
            <w:rStyle w:val="Hyperlink"/>
            <w:rFonts w:eastAsia="Arial Unicode MS"/>
            <w:kern w:val="0"/>
            <w:u w:color="000000"/>
            <w:lang w:eastAsia="en-GB"/>
          </w:rPr>
          <w:t>35/201</w:t>
        </w:r>
      </w:hyperlink>
      <w:r w:rsidRPr="00143E3D">
        <w:rPr>
          <w:rFonts w:eastAsia="Arial Unicode MS"/>
          <w:kern w:val="0"/>
          <w:u w:color="000000"/>
          <w:lang w:eastAsia="en-GB"/>
        </w:rPr>
        <w:t>1 в соответствии с пунктом 1 статьи 4 Факультативного проток</w:t>
      </w:r>
      <w:r w:rsidRPr="00143E3D">
        <w:rPr>
          <w:rFonts w:eastAsia="Arial Unicode MS"/>
          <w:kern w:val="0"/>
          <w:u w:color="000000"/>
          <w:lang w:eastAsia="en-GB"/>
        </w:rPr>
        <w:t>о</w:t>
      </w:r>
      <w:r w:rsidRPr="00143E3D">
        <w:rPr>
          <w:rFonts w:eastAsia="Arial Unicode MS"/>
          <w:kern w:val="0"/>
          <w:u w:color="000000"/>
          <w:lang w:eastAsia="en-GB"/>
        </w:rPr>
        <w:t xml:space="preserve">ла к Конвенции о ликвидации всех форм дискриминации в отношении женщин в связи с тем, что не были исчерпаны внутренние средства правовой защиты. В своем сообщении автор, </w:t>
      </w:r>
      <w:r w:rsidRPr="00143E3D">
        <w:rPr>
          <w:kern w:val="0"/>
        </w:rPr>
        <w:t>прошение которой о предоставлении убежища было отклонено, утверждает, что государство-участник нарушило статьи 1, 2(с), 2(</w:t>
      </w:r>
      <w:r w:rsidRPr="00143E3D">
        <w:rPr>
          <w:rFonts w:eastAsia="Arial Unicode MS"/>
          <w:kern w:val="0"/>
          <w:u w:color="000000"/>
          <w:lang w:eastAsia="en-GB"/>
        </w:rPr>
        <w:t xml:space="preserve">d) и 3 Конвенции, </w:t>
      </w:r>
      <w:r w:rsidRPr="00143E3D">
        <w:rPr>
          <w:kern w:val="0"/>
        </w:rPr>
        <w:t>поскольку она была изнасилована тремя мужчинами в Буру</w:t>
      </w:r>
      <w:r w:rsidRPr="00143E3D">
        <w:rPr>
          <w:kern w:val="0"/>
        </w:rPr>
        <w:t>н</w:t>
      </w:r>
      <w:r w:rsidRPr="00143E3D">
        <w:rPr>
          <w:kern w:val="0"/>
        </w:rPr>
        <w:t>ди, прежде чем бежала из этой страны из-за политического преследования и опасений, что она может быть подвергнута изнасилованию или иным формам телесных повреждений в случае ее возвр</w:t>
      </w:r>
      <w:r w:rsidRPr="00143E3D">
        <w:rPr>
          <w:kern w:val="0"/>
        </w:rPr>
        <w:t>а</w:t>
      </w:r>
      <w:r w:rsidRPr="00143E3D">
        <w:rPr>
          <w:kern w:val="0"/>
        </w:rPr>
        <w:t>щения в Бурунди</w:t>
      </w:r>
      <w:r w:rsidRPr="00143E3D">
        <w:rPr>
          <w:rFonts w:eastAsia="Arial Unicode MS"/>
          <w:kern w:val="0"/>
          <w:u w:color="000000"/>
          <w:lang w:eastAsia="en-GB"/>
        </w:rPr>
        <w:t xml:space="preserve">. </w:t>
      </w:r>
    </w:p>
    <w:p w:rsidR="001D61F0" w:rsidRPr="00143E3D" w:rsidRDefault="001D61F0" w:rsidP="001D61F0">
      <w:pPr>
        <w:pStyle w:val="SingleTxt"/>
        <w:rPr>
          <w:rFonts w:eastAsia="Arial Unicode MS"/>
          <w:kern w:val="0"/>
          <w:u w:color="000000"/>
          <w:lang w:eastAsia="en-GB"/>
        </w:rPr>
      </w:pPr>
      <w:r w:rsidRPr="00143E3D">
        <w:rPr>
          <w:rFonts w:eastAsia="Arial Unicode MS"/>
          <w:kern w:val="0"/>
          <w:u w:color="000000"/>
          <w:lang w:eastAsia="en-GB"/>
        </w:rPr>
        <w:t>2.</w:t>
      </w:r>
      <w:r w:rsidRPr="00143E3D">
        <w:rPr>
          <w:rFonts w:eastAsia="Arial Unicode MS"/>
          <w:kern w:val="0"/>
          <w:u w:color="000000"/>
          <w:lang w:eastAsia="en-GB"/>
        </w:rPr>
        <w:tab/>
        <w:t>Большинство членов Комитета считают, что жалоба автора неприемлема из-за того, как не были исчерпаны внутренние средства правовой защиты, как предусмотрено пунктом</w:t>
      </w:r>
      <w:r>
        <w:rPr>
          <w:rFonts w:eastAsia="Arial Unicode MS"/>
          <w:kern w:val="0"/>
          <w:u w:color="000000"/>
          <w:lang w:eastAsia="en-GB"/>
        </w:rPr>
        <w:t> </w:t>
      </w:r>
      <w:r w:rsidRPr="00143E3D">
        <w:rPr>
          <w:rFonts w:eastAsia="Arial Unicode MS"/>
          <w:kern w:val="0"/>
          <w:u w:color="000000"/>
          <w:lang w:eastAsia="en-GB"/>
        </w:rPr>
        <w:t>1 статьи</w:t>
      </w:r>
      <w:r>
        <w:rPr>
          <w:rFonts w:eastAsia="Arial Unicode MS"/>
          <w:kern w:val="0"/>
          <w:u w:color="000000"/>
          <w:lang w:eastAsia="en-GB"/>
        </w:rPr>
        <w:t> </w:t>
      </w:r>
      <w:r w:rsidRPr="00143E3D">
        <w:rPr>
          <w:rFonts w:eastAsia="Arial Unicode MS"/>
          <w:kern w:val="0"/>
          <w:u w:color="000000"/>
          <w:lang w:eastAsia="en-GB"/>
        </w:rPr>
        <w:t>4. Решение о неприемлемости основано на юридической практике Комитета,</w:t>
      </w:r>
      <w:r w:rsidRPr="00143E3D">
        <w:rPr>
          <w:kern w:val="0"/>
        </w:rPr>
        <w:t xml:space="preserve"> согласно которой автор должен был затр</w:t>
      </w:r>
      <w:r w:rsidRPr="00143E3D">
        <w:rPr>
          <w:kern w:val="0"/>
        </w:rPr>
        <w:t>о</w:t>
      </w:r>
      <w:r w:rsidRPr="00143E3D">
        <w:rPr>
          <w:kern w:val="0"/>
        </w:rPr>
        <w:t>нуть в рамках национального разбирательства суть претензии, которую он ж</w:t>
      </w:r>
      <w:r w:rsidRPr="00143E3D">
        <w:rPr>
          <w:kern w:val="0"/>
        </w:rPr>
        <w:t>е</w:t>
      </w:r>
      <w:r w:rsidRPr="00143E3D">
        <w:rPr>
          <w:kern w:val="0"/>
        </w:rPr>
        <w:t>лает довести до Комитета</w:t>
      </w:r>
      <w:r w:rsidRPr="00143E3D">
        <w:rPr>
          <w:rFonts w:eastAsia="Arial Unicode MS"/>
          <w:kern w:val="0"/>
          <w:u w:color="000000"/>
          <w:lang w:eastAsia="en-GB"/>
        </w:rPr>
        <w:t xml:space="preserve">, </w:t>
      </w:r>
      <w:r w:rsidRPr="00143E3D">
        <w:rPr>
          <w:kern w:val="0"/>
        </w:rPr>
        <w:t>с тем чтобы местные власти и/или суды могли ра</w:t>
      </w:r>
      <w:r w:rsidRPr="00143E3D">
        <w:rPr>
          <w:kern w:val="0"/>
        </w:rPr>
        <w:t>с</w:t>
      </w:r>
      <w:r w:rsidRPr="00143E3D">
        <w:rPr>
          <w:kern w:val="0"/>
        </w:rPr>
        <w:t>смотреть такую претензию</w:t>
      </w:r>
      <w:r w:rsidRPr="00087FA1">
        <w:rPr>
          <w:rStyle w:val="FootnoteReference"/>
          <w:spacing w:val="4"/>
          <w:w w:val="103"/>
          <w:kern w:val="0"/>
          <w:position w:val="0"/>
        </w:rPr>
        <w:footnoteReference w:customMarkFollows="1" w:id="38"/>
        <w:t>1</w:t>
      </w:r>
      <w:r w:rsidRPr="00143E3D">
        <w:rPr>
          <w:kern w:val="0"/>
        </w:rPr>
        <w:t>.</w:t>
      </w:r>
      <w:r w:rsidRPr="00143E3D">
        <w:rPr>
          <w:rFonts w:eastAsia="Arial Unicode MS"/>
          <w:kern w:val="0"/>
          <w:u w:color="000000"/>
          <w:lang w:eastAsia="en-GB"/>
        </w:rPr>
        <w:t xml:space="preserve"> В данном случае Комитет </w:t>
      </w:r>
      <w:r w:rsidRPr="00143E3D">
        <w:rPr>
          <w:kern w:val="0"/>
        </w:rPr>
        <w:t xml:space="preserve">отмечает, </w:t>
      </w:r>
      <w:r>
        <w:rPr>
          <w:kern w:val="0"/>
        </w:rPr>
        <w:t>«</w:t>
      </w:r>
      <w:r w:rsidRPr="00143E3D">
        <w:rPr>
          <w:kern w:val="0"/>
        </w:rPr>
        <w:t>что даже предполагаемое изнасилование как таковое не было указано в качестве осн</w:t>
      </w:r>
      <w:r w:rsidRPr="00143E3D">
        <w:rPr>
          <w:kern w:val="0"/>
        </w:rPr>
        <w:t>о</w:t>
      </w:r>
      <w:r w:rsidRPr="00143E3D">
        <w:rPr>
          <w:kern w:val="0"/>
        </w:rPr>
        <w:t>вания для подачи ею ходатайства о предоставлении убежища</w:t>
      </w:r>
      <w:r>
        <w:rPr>
          <w:kern w:val="0"/>
        </w:rPr>
        <w:t>»</w:t>
      </w:r>
      <w:r w:rsidRPr="00143E3D">
        <w:rPr>
          <w:kern w:val="0"/>
        </w:rPr>
        <w:t xml:space="preserve"> и приходит к заключению, что </w:t>
      </w:r>
      <w:r>
        <w:rPr>
          <w:kern w:val="0"/>
        </w:rPr>
        <w:t>«</w:t>
      </w:r>
      <w:r w:rsidRPr="00143E3D">
        <w:rPr>
          <w:kern w:val="0"/>
        </w:rPr>
        <w:t>власти государства-участника действительно не имели во</w:t>
      </w:r>
      <w:r w:rsidRPr="00143E3D">
        <w:rPr>
          <w:kern w:val="0"/>
        </w:rPr>
        <w:t>з</w:t>
      </w:r>
      <w:r w:rsidRPr="00143E3D">
        <w:rPr>
          <w:kern w:val="0"/>
        </w:rPr>
        <w:t>можности рассмотреть ее претензии гендерного характера, которые находятся в центре ее сообщения, представленного в Комитет, и поэтому были не в с</w:t>
      </w:r>
      <w:r w:rsidRPr="00143E3D">
        <w:rPr>
          <w:kern w:val="0"/>
        </w:rPr>
        <w:t>о</w:t>
      </w:r>
      <w:r w:rsidRPr="00143E3D">
        <w:rPr>
          <w:kern w:val="0"/>
        </w:rPr>
        <w:t>стоянии проверить их достоверность</w:t>
      </w:r>
      <w:r>
        <w:rPr>
          <w:kern w:val="0"/>
        </w:rPr>
        <w:t>»</w:t>
      </w:r>
      <w:r w:rsidRPr="00143E3D">
        <w:rPr>
          <w:rFonts w:eastAsia="Arial Unicode MS"/>
          <w:kern w:val="0"/>
          <w:u w:color="000000"/>
          <w:lang w:eastAsia="en-GB"/>
        </w:rPr>
        <w:t xml:space="preserve"> (пункт 8.3).</w:t>
      </w:r>
    </w:p>
    <w:p w:rsidR="001D61F0" w:rsidRPr="00143E3D" w:rsidRDefault="001D61F0" w:rsidP="001D61F0">
      <w:pPr>
        <w:pStyle w:val="SingleTxt"/>
        <w:rPr>
          <w:rFonts w:eastAsia="Arial Unicode MS"/>
          <w:kern w:val="0"/>
          <w:u w:color="000000"/>
          <w:lang w:eastAsia="en-GB"/>
        </w:rPr>
      </w:pPr>
      <w:r w:rsidRPr="00143E3D">
        <w:rPr>
          <w:rFonts w:eastAsia="Arial Unicode MS"/>
          <w:kern w:val="0"/>
          <w:u w:color="000000"/>
          <w:lang w:eastAsia="en-GB"/>
        </w:rPr>
        <w:t>3.</w:t>
      </w:r>
      <w:r w:rsidRPr="00143E3D">
        <w:rPr>
          <w:rFonts w:eastAsia="Arial Unicode MS"/>
          <w:kern w:val="0"/>
          <w:u w:color="000000"/>
          <w:lang w:eastAsia="en-GB"/>
        </w:rPr>
        <w:tab/>
        <w:t>Я не согласна с Комитетом и считаю это сообщение приемлемым. В пункте</w:t>
      </w:r>
      <w:r>
        <w:rPr>
          <w:rFonts w:eastAsia="Arial Unicode MS"/>
          <w:kern w:val="0"/>
          <w:u w:color="000000"/>
          <w:lang w:eastAsia="en-GB"/>
        </w:rPr>
        <w:t> </w:t>
      </w:r>
      <w:r w:rsidRPr="00143E3D">
        <w:rPr>
          <w:rFonts w:eastAsia="Arial Unicode MS"/>
          <w:kern w:val="0"/>
          <w:u w:color="000000"/>
          <w:lang w:eastAsia="en-GB"/>
        </w:rPr>
        <w:t>1 статьи</w:t>
      </w:r>
      <w:r>
        <w:rPr>
          <w:rFonts w:eastAsia="Arial Unicode MS"/>
          <w:kern w:val="0"/>
          <w:u w:color="000000"/>
          <w:lang w:eastAsia="en-GB"/>
        </w:rPr>
        <w:t> </w:t>
      </w:r>
      <w:r w:rsidRPr="00143E3D">
        <w:rPr>
          <w:rFonts w:eastAsia="Arial Unicode MS"/>
          <w:kern w:val="0"/>
          <w:u w:color="000000"/>
          <w:lang w:eastAsia="en-GB"/>
        </w:rPr>
        <w:t xml:space="preserve">4 Факультативного протокола говорится, что </w:t>
      </w:r>
      <w:r>
        <w:rPr>
          <w:rFonts w:eastAsia="Arial Unicode MS"/>
          <w:kern w:val="0"/>
          <w:u w:color="000000"/>
          <w:lang w:eastAsia="en-GB"/>
        </w:rPr>
        <w:t>«</w:t>
      </w:r>
      <w:r w:rsidRPr="00143E3D">
        <w:rPr>
          <w:rFonts w:eastAsia="Arial Unicode MS"/>
          <w:kern w:val="0"/>
          <w:u w:color="000000"/>
          <w:lang w:eastAsia="en-GB"/>
        </w:rPr>
        <w:t>Комитет не ра</w:t>
      </w:r>
      <w:r w:rsidRPr="00143E3D">
        <w:rPr>
          <w:rFonts w:eastAsia="Arial Unicode MS"/>
          <w:kern w:val="0"/>
          <w:u w:color="000000"/>
          <w:lang w:eastAsia="en-GB"/>
        </w:rPr>
        <w:t>с</w:t>
      </w:r>
      <w:r w:rsidRPr="00143E3D">
        <w:rPr>
          <w:rFonts w:eastAsia="Arial Unicode MS"/>
          <w:kern w:val="0"/>
          <w:u w:color="000000"/>
          <w:lang w:eastAsia="en-GB"/>
        </w:rPr>
        <w:t>сматривает с</w:t>
      </w:r>
      <w:r w:rsidRPr="00143E3D">
        <w:rPr>
          <w:rFonts w:eastAsia="Arial Unicode MS"/>
          <w:kern w:val="0"/>
          <w:u w:color="000000"/>
          <w:lang w:eastAsia="en-GB"/>
        </w:rPr>
        <w:t>о</w:t>
      </w:r>
      <w:r w:rsidRPr="00143E3D">
        <w:rPr>
          <w:rFonts w:eastAsia="Arial Unicode MS"/>
          <w:kern w:val="0"/>
          <w:u w:color="000000"/>
          <w:lang w:eastAsia="en-GB"/>
        </w:rPr>
        <w:t>общение, пока он не удостоверится в том, что все доступные внутренние средства правовой защиты были исчерпаны, за исключением сл</w:t>
      </w:r>
      <w:r w:rsidRPr="00143E3D">
        <w:rPr>
          <w:rFonts w:eastAsia="Arial Unicode MS"/>
          <w:kern w:val="0"/>
          <w:u w:color="000000"/>
          <w:lang w:eastAsia="en-GB"/>
        </w:rPr>
        <w:t>у</w:t>
      </w:r>
      <w:r w:rsidRPr="00143E3D">
        <w:rPr>
          <w:rFonts w:eastAsia="Arial Unicode MS"/>
          <w:kern w:val="0"/>
          <w:u w:color="000000"/>
          <w:lang w:eastAsia="en-GB"/>
        </w:rPr>
        <w:t>чаев, когда применение т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>ких средств защиты неоправданно затягивается или вряд ли принесет искомый результат</w:t>
      </w:r>
      <w:r>
        <w:rPr>
          <w:rFonts w:eastAsia="Arial Unicode MS"/>
          <w:kern w:val="0"/>
          <w:u w:color="000000"/>
          <w:lang w:eastAsia="en-GB"/>
        </w:rPr>
        <w:t>»</w:t>
      </w:r>
      <w:r w:rsidRPr="00143E3D">
        <w:rPr>
          <w:rFonts w:eastAsia="Arial Unicode MS"/>
          <w:kern w:val="0"/>
          <w:u w:color="000000"/>
          <w:lang w:eastAsia="en-GB"/>
        </w:rPr>
        <w:t xml:space="preserve">. Государство-участник ссылалось на тот факт, что ходатайство о предоставлении убежища было рассмотрено в </w:t>
      </w:r>
      <w:r w:rsidRPr="00143E3D">
        <w:rPr>
          <w:kern w:val="0"/>
        </w:rPr>
        <w:t>Имм</w:t>
      </w:r>
      <w:r w:rsidRPr="00143E3D">
        <w:rPr>
          <w:kern w:val="0"/>
        </w:rPr>
        <w:t>и</w:t>
      </w:r>
      <w:r w:rsidRPr="00143E3D">
        <w:rPr>
          <w:kern w:val="0"/>
        </w:rPr>
        <w:t>грационной службе и Апелляционной комиссии по делам беженцев</w:t>
      </w:r>
      <w:r w:rsidRPr="00143E3D">
        <w:rPr>
          <w:rFonts w:eastAsia="Arial Unicode MS"/>
          <w:kern w:val="0"/>
          <w:u w:color="000000"/>
          <w:lang w:eastAsia="en-GB"/>
        </w:rPr>
        <w:t>. Исходя из того что государство-участник не ссылалось на какое-либо другое судебное учреждение, в котором она могла бы обжал</w:t>
      </w:r>
      <w:r w:rsidRPr="00143E3D">
        <w:rPr>
          <w:rFonts w:eastAsia="Arial Unicode MS"/>
          <w:kern w:val="0"/>
          <w:u w:color="000000"/>
          <w:lang w:eastAsia="en-GB"/>
        </w:rPr>
        <w:t>о</w:t>
      </w:r>
      <w:r w:rsidRPr="00143E3D">
        <w:rPr>
          <w:rFonts w:eastAsia="Arial Unicode MS"/>
          <w:kern w:val="0"/>
          <w:u w:color="000000"/>
          <w:lang w:eastAsia="en-GB"/>
        </w:rPr>
        <w:t>вать это решение, следует сделать вывод о том, что автор исчерпала все процедурно доступные внутренние сре</w:t>
      </w:r>
      <w:r w:rsidRPr="00143E3D">
        <w:rPr>
          <w:rFonts w:eastAsia="Arial Unicode MS"/>
          <w:kern w:val="0"/>
          <w:u w:color="000000"/>
          <w:lang w:eastAsia="en-GB"/>
        </w:rPr>
        <w:t>д</w:t>
      </w:r>
      <w:r w:rsidRPr="00143E3D">
        <w:rPr>
          <w:rFonts w:eastAsia="Arial Unicode MS"/>
          <w:kern w:val="0"/>
          <w:u w:color="000000"/>
          <w:lang w:eastAsia="en-GB"/>
        </w:rPr>
        <w:t>ства. Государство-участник возражает против приемл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 xml:space="preserve">мости на том основании, что не были исчерпаны внутренние средства правовой защиты, напоминая о том, что в соответствии с юридической практикой Комитета автор </w:t>
      </w:r>
      <w:r w:rsidRPr="00143E3D">
        <w:rPr>
          <w:kern w:val="0"/>
        </w:rPr>
        <w:t>должна б</w:t>
      </w:r>
      <w:r w:rsidRPr="00143E3D">
        <w:rPr>
          <w:kern w:val="0"/>
        </w:rPr>
        <w:t>ы</w:t>
      </w:r>
      <w:r w:rsidRPr="00143E3D">
        <w:rPr>
          <w:kern w:val="0"/>
        </w:rPr>
        <w:t>ла представить в рамках национального разбирательства претензию по поводу дискриминации по признаку пола.</w:t>
      </w:r>
      <w:r w:rsidRPr="00143E3D">
        <w:rPr>
          <w:rFonts w:eastAsia="Arial Unicode MS"/>
          <w:kern w:val="0"/>
          <w:u w:color="000000"/>
          <w:lang w:eastAsia="en-GB"/>
        </w:rPr>
        <w:t xml:space="preserve"> Государство-участник утверждает, что а</w:t>
      </w:r>
      <w:r w:rsidRPr="00143E3D">
        <w:rPr>
          <w:rFonts w:eastAsia="Arial Unicode MS"/>
          <w:kern w:val="0"/>
          <w:u w:color="000000"/>
          <w:lang w:eastAsia="en-GB"/>
        </w:rPr>
        <w:t>в</w:t>
      </w:r>
      <w:r w:rsidRPr="00143E3D">
        <w:rPr>
          <w:rFonts w:eastAsia="Arial Unicode MS"/>
          <w:kern w:val="0"/>
          <w:u w:color="000000"/>
          <w:lang w:eastAsia="en-GB"/>
        </w:rPr>
        <w:t xml:space="preserve">тор не представляла </w:t>
      </w:r>
      <w:r w:rsidRPr="00143E3D">
        <w:rPr>
          <w:kern w:val="0"/>
        </w:rPr>
        <w:t>Иммиграционной службе и Апелляционной комиссии по делам беженцев никаких заявлений по поводу предполагаемой дискриминации по признаку пола</w:t>
      </w:r>
      <w:r w:rsidRPr="00143E3D">
        <w:rPr>
          <w:rFonts w:eastAsia="Arial Unicode MS"/>
          <w:kern w:val="0"/>
          <w:u w:color="000000"/>
          <w:lang w:eastAsia="en-GB"/>
        </w:rPr>
        <w:t xml:space="preserve"> и что </w:t>
      </w:r>
      <w:r w:rsidRPr="00143E3D">
        <w:rPr>
          <w:kern w:val="0"/>
        </w:rPr>
        <w:t>власти государства-участника, таким образом, не им</w:t>
      </w:r>
      <w:r w:rsidRPr="00143E3D">
        <w:rPr>
          <w:kern w:val="0"/>
        </w:rPr>
        <w:t>е</w:t>
      </w:r>
      <w:r w:rsidRPr="00143E3D">
        <w:rPr>
          <w:kern w:val="0"/>
        </w:rPr>
        <w:t>ли возможности рассмотреть ее претензию</w:t>
      </w:r>
      <w:r w:rsidRPr="00143E3D">
        <w:rPr>
          <w:rFonts w:eastAsia="Arial Unicode MS"/>
          <w:kern w:val="0"/>
          <w:u w:color="000000"/>
          <w:lang w:eastAsia="en-GB"/>
        </w:rPr>
        <w:t xml:space="preserve"> по поводу дискриминации по пр</w:t>
      </w:r>
      <w:r w:rsidRPr="00143E3D">
        <w:rPr>
          <w:rFonts w:eastAsia="Arial Unicode MS"/>
          <w:kern w:val="0"/>
          <w:u w:color="000000"/>
          <w:lang w:eastAsia="en-GB"/>
        </w:rPr>
        <w:t>и</w:t>
      </w:r>
      <w:r w:rsidRPr="00143E3D">
        <w:rPr>
          <w:rFonts w:eastAsia="Arial Unicode MS"/>
          <w:kern w:val="0"/>
          <w:u w:color="000000"/>
          <w:lang w:eastAsia="en-GB"/>
        </w:rPr>
        <w:t>знаку пола.</w:t>
      </w:r>
    </w:p>
    <w:p w:rsidR="001D61F0" w:rsidRPr="00143E3D" w:rsidRDefault="001D61F0" w:rsidP="001D61F0">
      <w:pPr>
        <w:pStyle w:val="SingleTxt"/>
        <w:rPr>
          <w:rFonts w:eastAsia="Arial Unicode MS"/>
          <w:kern w:val="0"/>
          <w:u w:color="000000"/>
          <w:lang w:eastAsia="en-GB"/>
        </w:rPr>
      </w:pPr>
      <w:r w:rsidRPr="00143E3D">
        <w:rPr>
          <w:rFonts w:eastAsia="Arial Unicode MS"/>
          <w:kern w:val="0"/>
          <w:u w:color="000000"/>
          <w:lang w:eastAsia="en-GB"/>
        </w:rPr>
        <w:t>4.</w:t>
      </w:r>
      <w:r w:rsidRPr="00143E3D">
        <w:rPr>
          <w:rFonts w:eastAsia="Arial Unicode MS"/>
          <w:kern w:val="0"/>
          <w:u w:color="000000"/>
          <w:lang w:eastAsia="en-GB"/>
        </w:rPr>
        <w:tab/>
        <w:t>В данном случае главный вопрос заключается в том, была ли претензия автора по поводу дискриминации по признаку пола, по нескольким взаимоп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реплетающи</w:t>
      </w:r>
      <w:r w:rsidRPr="00143E3D">
        <w:rPr>
          <w:rFonts w:eastAsia="Arial Unicode MS"/>
          <w:kern w:val="0"/>
          <w:u w:color="000000"/>
          <w:lang w:eastAsia="en-GB"/>
        </w:rPr>
        <w:t>м</w:t>
      </w:r>
      <w:r w:rsidRPr="00143E3D">
        <w:rPr>
          <w:rFonts w:eastAsia="Arial Unicode MS"/>
          <w:kern w:val="0"/>
          <w:u w:color="000000"/>
          <w:lang w:eastAsia="en-GB"/>
        </w:rPr>
        <w:t xml:space="preserve">ся признакам или по одному признаку в центре ее ходатайства во время процедуры </w:t>
      </w:r>
      <w:r w:rsidRPr="00143E3D">
        <w:rPr>
          <w:kern w:val="0"/>
        </w:rPr>
        <w:t>рассмотрения прошения о предоставлении убежища</w:t>
      </w:r>
      <w:r w:rsidRPr="00143E3D">
        <w:rPr>
          <w:rFonts w:eastAsia="Arial Unicode MS"/>
          <w:kern w:val="0"/>
          <w:u w:color="000000"/>
          <w:lang w:eastAsia="en-GB"/>
        </w:rPr>
        <w:t>. Дост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 xml:space="preserve">точно ли государству-участнику того, что автор упомянула во время </w:t>
      </w:r>
      <w:r w:rsidRPr="00143E3D">
        <w:rPr>
          <w:kern w:val="0"/>
        </w:rPr>
        <w:t>процед</w:t>
      </w:r>
      <w:r w:rsidRPr="00143E3D">
        <w:rPr>
          <w:kern w:val="0"/>
        </w:rPr>
        <w:t>у</w:t>
      </w:r>
      <w:r w:rsidRPr="00143E3D">
        <w:rPr>
          <w:kern w:val="0"/>
        </w:rPr>
        <w:t>ры рассмотрения прошения о предоставлении убежища, что она бежала из Б</w:t>
      </w:r>
      <w:r w:rsidRPr="00143E3D">
        <w:rPr>
          <w:kern w:val="0"/>
        </w:rPr>
        <w:t>у</w:t>
      </w:r>
      <w:r w:rsidRPr="00143E3D">
        <w:rPr>
          <w:kern w:val="0"/>
        </w:rPr>
        <w:t>рунди из-за политического преслед</w:t>
      </w:r>
      <w:r w:rsidRPr="00143E3D">
        <w:rPr>
          <w:kern w:val="0"/>
        </w:rPr>
        <w:t>о</w:t>
      </w:r>
      <w:r w:rsidRPr="00143E3D">
        <w:rPr>
          <w:kern w:val="0"/>
        </w:rPr>
        <w:t>вания и что была изнасилована тремя мужчинами во время бегства, чтобы считать изнасилование формой дискрим</w:t>
      </w:r>
      <w:r w:rsidRPr="00143E3D">
        <w:rPr>
          <w:kern w:val="0"/>
        </w:rPr>
        <w:t>и</w:t>
      </w:r>
      <w:r w:rsidRPr="00143E3D">
        <w:rPr>
          <w:kern w:val="0"/>
        </w:rPr>
        <w:t>нации в отношении женщин и преследованием по признаку пола независимо от того, является ли оно преследованием по этому признаку или преследован</w:t>
      </w:r>
      <w:r w:rsidRPr="00143E3D">
        <w:rPr>
          <w:kern w:val="0"/>
        </w:rPr>
        <w:t>и</w:t>
      </w:r>
      <w:r w:rsidRPr="00143E3D">
        <w:rPr>
          <w:kern w:val="0"/>
        </w:rPr>
        <w:t>ем по нескольким взаимопереплетающимся признакам. От автора не требуется прямо указывать на изнасилование как на форму дискримин</w:t>
      </w:r>
      <w:r w:rsidRPr="00143E3D">
        <w:rPr>
          <w:kern w:val="0"/>
        </w:rPr>
        <w:t>а</w:t>
      </w:r>
      <w:r w:rsidRPr="00143E3D">
        <w:rPr>
          <w:kern w:val="0"/>
        </w:rPr>
        <w:t>ции в отношении женщин, поскольку она должна затронуть суть претензии, что она и сделала.</w:t>
      </w:r>
      <w:r w:rsidRPr="00143E3D">
        <w:rPr>
          <w:rFonts w:eastAsia="Arial Unicode MS"/>
          <w:kern w:val="0"/>
          <w:u w:color="000000"/>
          <w:lang w:eastAsia="en-GB"/>
        </w:rPr>
        <w:t xml:space="preserve"> Общепризнано, что сексуальное насилие и изнасилование являются формой гендерного насилия в отношении женщин и формой дискриминации в отнош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нии женщин, подпадающей под статью 1 Конвенции, о чем подробно говори</w:t>
      </w:r>
      <w:r w:rsidRPr="00143E3D">
        <w:rPr>
          <w:rFonts w:eastAsia="Arial Unicode MS"/>
          <w:kern w:val="0"/>
          <w:u w:color="000000"/>
          <w:lang w:eastAsia="en-GB"/>
        </w:rPr>
        <w:t>т</w:t>
      </w:r>
      <w:r w:rsidRPr="00143E3D">
        <w:rPr>
          <w:rFonts w:eastAsia="Arial Unicode MS"/>
          <w:kern w:val="0"/>
          <w:u w:color="000000"/>
          <w:lang w:eastAsia="en-GB"/>
        </w:rPr>
        <w:t xml:space="preserve">ся в общей рекомендации № 19 Комитета, </w:t>
      </w:r>
      <w:r w:rsidRPr="00143E3D">
        <w:rPr>
          <w:kern w:val="0"/>
        </w:rPr>
        <w:t>которая прямо квалифицирует нас</w:t>
      </w:r>
      <w:r w:rsidRPr="00143E3D">
        <w:rPr>
          <w:kern w:val="0"/>
        </w:rPr>
        <w:t>и</w:t>
      </w:r>
      <w:r w:rsidRPr="00143E3D">
        <w:rPr>
          <w:kern w:val="0"/>
        </w:rPr>
        <w:t>лие в о</w:t>
      </w:r>
      <w:r w:rsidRPr="00143E3D">
        <w:rPr>
          <w:kern w:val="0"/>
        </w:rPr>
        <w:t>т</w:t>
      </w:r>
      <w:r w:rsidRPr="00143E3D">
        <w:rPr>
          <w:kern w:val="0"/>
        </w:rPr>
        <w:t>ношении женщин как дискриминацию в отношении женщин, указывая, что гендерное насилие представляет собой одну из форм ди</w:t>
      </w:r>
      <w:r w:rsidRPr="00143E3D">
        <w:rPr>
          <w:kern w:val="0"/>
        </w:rPr>
        <w:t>с</w:t>
      </w:r>
      <w:r w:rsidRPr="00143E3D">
        <w:rPr>
          <w:kern w:val="0"/>
        </w:rPr>
        <w:t xml:space="preserve">криминации </w:t>
      </w:r>
      <w:r w:rsidRPr="00143E3D">
        <w:rPr>
          <w:rFonts w:eastAsia="Arial Unicode MS"/>
          <w:kern w:val="0"/>
          <w:u w:color="000000"/>
          <w:lang w:eastAsia="en-GB"/>
        </w:rPr>
        <w:t>и включает в себя действия, которые причиняют ущерб или страдания физич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ского, психического и полового характера, угрозу таких действий, принужд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ние и другие формы ущемл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 xml:space="preserve">ния свободы. </w:t>
      </w:r>
    </w:p>
    <w:p w:rsidR="001D61F0" w:rsidRPr="00143E3D" w:rsidRDefault="001D61F0" w:rsidP="001D61F0">
      <w:pPr>
        <w:pStyle w:val="SingleTxt"/>
        <w:rPr>
          <w:rFonts w:eastAsia="Arial Unicode MS"/>
          <w:kern w:val="0"/>
          <w:u w:color="000000"/>
          <w:lang w:eastAsia="en-GB"/>
        </w:rPr>
      </w:pPr>
      <w:r w:rsidRPr="00143E3D">
        <w:rPr>
          <w:rFonts w:eastAsia="Arial Unicode MS"/>
          <w:kern w:val="0"/>
          <w:u w:color="000000"/>
          <w:lang w:eastAsia="en-GB"/>
        </w:rPr>
        <w:t>5.</w:t>
      </w:r>
      <w:r w:rsidRPr="00143E3D">
        <w:rPr>
          <w:rFonts w:eastAsia="Arial Unicode MS"/>
          <w:kern w:val="0"/>
          <w:u w:color="000000"/>
          <w:lang w:eastAsia="en-GB"/>
        </w:rPr>
        <w:tab/>
        <w:t xml:space="preserve">По сути </w:t>
      </w:r>
      <w:r w:rsidRPr="00143E3D">
        <w:rPr>
          <w:kern w:val="0"/>
        </w:rPr>
        <w:t xml:space="preserve">для целей установления приемлемости жалобы </w:t>
      </w:r>
      <w:r w:rsidRPr="00143E3D">
        <w:rPr>
          <w:rFonts w:eastAsia="Arial Unicode MS"/>
          <w:kern w:val="0"/>
          <w:u w:color="000000"/>
          <w:lang w:eastAsia="en-GB"/>
        </w:rPr>
        <w:t>автору необход</w:t>
      </w:r>
      <w:r w:rsidRPr="00143E3D">
        <w:rPr>
          <w:rFonts w:eastAsia="Arial Unicode MS"/>
          <w:kern w:val="0"/>
          <w:u w:color="000000"/>
          <w:lang w:eastAsia="en-GB"/>
        </w:rPr>
        <w:t>и</w:t>
      </w:r>
      <w:r w:rsidRPr="00143E3D">
        <w:rPr>
          <w:rFonts w:eastAsia="Arial Unicode MS"/>
          <w:kern w:val="0"/>
          <w:u w:color="000000"/>
          <w:lang w:eastAsia="en-GB"/>
        </w:rPr>
        <w:t xml:space="preserve">мо, в соответствии с Конвенцией </w:t>
      </w:r>
      <w:r w:rsidRPr="00143E3D">
        <w:rPr>
          <w:kern w:val="0"/>
        </w:rPr>
        <w:t>1951</w:t>
      </w:r>
      <w:r>
        <w:rPr>
          <w:kern w:val="0"/>
        </w:rPr>
        <w:t> </w:t>
      </w:r>
      <w:r w:rsidRPr="00143E3D">
        <w:rPr>
          <w:kern w:val="0"/>
        </w:rPr>
        <w:t>года, касающейся статуса беженцев (Конвенция о статусе беженцев),</w:t>
      </w:r>
      <w:r w:rsidRPr="00143E3D">
        <w:rPr>
          <w:rFonts w:eastAsia="Arial Unicode MS"/>
          <w:kern w:val="0"/>
          <w:u w:color="000000"/>
          <w:lang w:eastAsia="en-GB"/>
        </w:rPr>
        <w:t xml:space="preserve"> привести достаточные основания для вполне обоснованных опасений стать жертвой преследований. Она так и сделала, и</w:t>
      </w:r>
      <w:r w:rsidRPr="00143E3D">
        <w:rPr>
          <w:rFonts w:eastAsia="Arial Unicode MS"/>
          <w:kern w:val="0"/>
          <w:u w:color="000000"/>
          <w:lang w:eastAsia="en-GB"/>
        </w:rPr>
        <w:t>з</w:t>
      </w:r>
      <w:r w:rsidRPr="00143E3D">
        <w:rPr>
          <w:rFonts w:eastAsia="Arial Unicode MS"/>
          <w:kern w:val="0"/>
          <w:u w:color="000000"/>
          <w:lang w:eastAsia="en-GB"/>
        </w:rPr>
        <w:t xml:space="preserve">ложив факты, связанные с преследованием ее по политическим мотивам за то, что она является членом </w:t>
      </w:r>
      <w:r w:rsidRPr="00143E3D">
        <w:rPr>
          <w:kern w:val="0"/>
        </w:rPr>
        <w:t>Национально-освободительного фронта (НОФ), опп</w:t>
      </w:r>
      <w:r w:rsidRPr="00143E3D">
        <w:rPr>
          <w:kern w:val="0"/>
        </w:rPr>
        <w:t>о</w:t>
      </w:r>
      <w:r w:rsidRPr="00143E3D">
        <w:rPr>
          <w:kern w:val="0"/>
        </w:rPr>
        <w:t>зиционной партии, члены которой были изгнаны из страны или убиты</w:t>
      </w:r>
      <w:r w:rsidRPr="00143E3D">
        <w:rPr>
          <w:rFonts w:eastAsia="Arial Unicode MS"/>
          <w:kern w:val="0"/>
          <w:u w:color="000000"/>
          <w:lang w:eastAsia="en-GB"/>
        </w:rPr>
        <w:t xml:space="preserve">; что </w:t>
      </w:r>
      <w:r w:rsidRPr="00143E3D">
        <w:rPr>
          <w:kern w:val="0"/>
        </w:rPr>
        <w:t>правительство Бурунди</w:t>
      </w:r>
      <w:r w:rsidRPr="00143E3D">
        <w:rPr>
          <w:rFonts w:eastAsia="Arial Unicode MS"/>
          <w:kern w:val="0"/>
          <w:u w:color="000000"/>
          <w:lang w:eastAsia="en-GB"/>
        </w:rPr>
        <w:t xml:space="preserve"> </w:t>
      </w:r>
      <w:r w:rsidRPr="00143E3D">
        <w:rPr>
          <w:kern w:val="0"/>
        </w:rPr>
        <w:t>подвергло бомба</w:t>
      </w:r>
      <w:r w:rsidRPr="00143E3D">
        <w:rPr>
          <w:kern w:val="0"/>
        </w:rPr>
        <w:t>р</w:t>
      </w:r>
      <w:r w:rsidRPr="00143E3D">
        <w:rPr>
          <w:kern w:val="0"/>
        </w:rPr>
        <w:t>дировке ее родной город, в котором проживало много членов НОФ</w:t>
      </w:r>
      <w:r w:rsidRPr="00143E3D">
        <w:rPr>
          <w:rFonts w:eastAsia="Arial Unicode MS"/>
          <w:kern w:val="0"/>
          <w:u w:color="000000"/>
          <w:lang w:eastAsia="en-GB"/>
        </w:rPr>
        <w:t xml:space="preserve"> (см.</w:t>
      </w:r>
      <w:r>
        <w:rPr>
          <w:rFonts w:eastAsia="Arial Unicode MS"/>
          <w:kern w:val="0"/>
          <w:u w:color="000000"/>
          <w:lang w:eastAsia="en-GB"/>
        </w:rPr>
        <w:t> </w:t>
      </w:r>
      <w:r w:rsidRPr="00143E3D">
        <w:rPr>
          <w:rFonts w:eastAsia="Arial Unicode MS"/>
          <w:kern w:val="0"/>
          <w:u w:color="000000"/>
          <w:lang w:eastAsia="en-GB"/>
        </w:rPr>
        <w:t>пункт 4.2); что, когда она бежала из гор</w:t>
      </w:r>
      <w:r w:rsidRPr="00143E3D">
        <w:rPr>
          <w:rFonts w:eastAsia="Arial Unicode MS"/>
          <w:kern w:val="0"/>
          <w:u w:color="000000"/>
          <w:lang w:eastAsia="en-GB"/>
        </w:rPr>
        <w:t>о</w:t>
      </w:r>
      <w:r w:rsidRPr="00143E3D">
        <w:rPr>
          <w:rFonts w:eastAsia="Arial Unicode MS"/>
          <w:kern w:val="0"/>
          <w:u w:color="000000"/>
          <w:lang w:eastAsia="en-GB"/>
        </w:rPr>
        <w:t xml:space="preserve">да, </w:t>
      </w:r>
      <w:r w:rsidRPr="00143E3D">
        <w:rPr>
          <w:kern w:val="0"/>
        </w:rPr>
        <w:t>по дороге ее изнасиловали трое мужчин, вооруженных ножами, и что она не могла искать правосудия из-за наступления правительственных формиров</w:t>
      </w:r>
      <w:r w:rsidRPr="00143E3D">
        <w:rPr>
          <w:kern w:val="0"/>
        </w:rPr>
        <w:t>а</w:t>
      </w:r>
      <w:r w:rsidRPr="00143E3D">
        <w:rPr>
          <w:kern w:val="0"/>
        </w:rPr>
        <w:t xml:space="preserve">ний. </w:t>
      </w:r>
    </w:p>
    <w:p w:rsidR="001D61F0" w:rsidRPr="00143E3D" w:rsidRDefault="001D61F0" w:rsidP="001D61F0">
      <w:pPr>
        <w:pStyle w:val="SingleTxt"/>
        <w:rPr>
          <w:rFonts w:eastAsia="Arial Unicode MS"/>
          <w:kern w:val="0"/>
          <w:u w:color="000000"/>
          <w:lang w:eastAsia="en-GB"/>
        </w:rPr>
      </w:pPr>
      <w:r w:rsidRPr="00143E3D">
        <w:rPr>
          <w:rFonts w:eastAsia="Arial Unicode MS"/>
          <w:kern w:val="0"/>
          <w:u w:color="000000"/>
          <w:lang w:eastAsia="en-GB"/>
        </w:rPr>
        <w:t>6.</w:t>
      </w:r>
      <w:r w:rsidRPr="00143E3D">
        <w:rPr>
          <w:rFonts w:eastAsia="Arial Unicode MS"/>
          <w:kern w:val="0"/>
          <w:u w:color="000000"/>
          <w:lang w:eastAsia="en-GB"/>
        </w:rPr>
        <w:tab/>
        <w:t>Кроме того, государство-участник утверждает также, что оно рассмотр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 xml:space="preserve">ло и отклонило </w:t>
      </w:r>
      <w:r>
        <w:rPr>
          <w:rFonts w:eastAsia="Arial Unicode MS"/>
          <w:kern w:val="0"/>
          <w:u w:color="000000"/>
          <w:lang w:eastAsia="en-GB"/>
        </w:rPr>
        <w:t>«</w:t>
      </w:r>
      <w:r w:rsidRPr="00143E3D">
        <w:rPr>
          <w:kern w:val="0"/>
        </w:rPr>
        <w:t>утверждения автора о том, что государство-участник признает только политическое преследование в отношении мужчин</w:t>
      </w:r>
      <w:r>
        <w:rPr>
          <w:kern w:val="0"/>
        </w:rPr>
        <w:t>»</w:t>
      </w:r>
      <w:r w:rsidRPr="00143E3D">
        <w:rPr>
          <w:rFonts w:eastAsia="Arial Unicode MS"/>
          <w:kern w:val="0"/>
          <w:u w:color="000000"/>
          <w:lang w:eastAsia="en-GB"/>
        </w:rPr>
        <w:t xml:space="preserve"> (пункт</w:t>
      </w:r>
      <w:r>
        <w:rPr>
          <w:rFonts w:eastAsia="Arial Unicode MS"/>
          <w:kern w:val="0"/>
          <w:u w:color="000000"/>
          <w:lang w:eastAsia="en-GB"/>
        </w:rPr>
        <w:t> </w:t>
      </w:r>
      <w:r w:rsidRPr="00143E3D">
        <w:rPr>
          <w:rFonts w:eastAsia="Arial Unicode MS"/>
          <w:kern w:val="0"/>
          <w:u w:color="000000"/>
          <w:lang w:eastAsia="en-GB"/>
        </w:rPr>
        <w:t>6.4). Это утверждение автора и его рассмотрение государством-участником служит я</w:t>
      </w:r>
      <w:r w:rsidRPr="00143E3D">
        <w:rPr>
          <w:rFonts w:eastAsia="Arial Unicode MS"/>
          <w:kern w:val="0"/>
          <w:u w:color="000000"/>
          <w:lang w:eastAsia="en-GB"/>
        </w:rPr>
        <w:t>в</w:t>
      </w:r>
      <w:r w:rsidRPr="00143E3D">
        <w:rPr>
          <w:rFonts w:eastAsia="Arial Unicode MS"/>
          <w:kern w:val="0"/>
          <w:u w:color="000000"/>
          <w:lang w:eastAsia="en-GB"/>
        </w:rPr>
        <w:t>ным доказательством того, что автор затронула суть претензии по поводу ди</w:t>
      </w:r>
      <w:r w:rsidRPr="00143E3D">
        <w:rPr>
          <w:rFonts w:eastAsia="Arial Unicode MS"/>
          <w:kern w:val="0"/>
          <w:u w:color="000000"/>
          <w:lang w:eastAsia="en-GB"/>
        </w:rPr>
        <w:t>с</w:t>
      </w:r>
      <w:r w:rsidRPr="00143E3D">
        <w:rPr>
          <w:rFonts w:eastAsia="Arial Unicode MS"/>
          <w:kern w:val="0"/>
          <w:u w:color="000000"/>
          <w:lang w:eastAsia="en-GB"/>
        </w:rPr>
        <w:t>криминации по признаку пола в связи с политическим преследованием на н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 xml:space="preserve">циональном уровне. </w:t>
      </w:r>
    </w:p>
    <w:p w:rsidR="001D61F0" w:rsidRPr="00143E3D" w:rsidRDefault="001D61F0" w:rsidP="001D61F0">
      <w:pPr>
        <w:pStyle w:val="SingleTxt"/>
        <w:rPr>
          <w:rFonts w:eastAsia="Arial Unicode MS"/>
          <w:kern w:val="0"/>
          <w:u w:color="000000"/>
          <w:lang w:eastAsia="en-GB"/>
        </w:rPr>
      </w:pPr>
      <w:r w:rsidRPr="00143E3D">
        <w:rPr>
          <w:rFonts w:eastAsia="Arial Unicode MS"/>
          <w:kern w:val="0"/>
          <w:u w:color="000000"/>
          <w:lang w:eastAsia="en-GB"/>
        </w:rPr>
        <w:t>7.</w:t>
      </w:r>
      <w:r w:rsidRPr="00143E3D">
        <w:rPr>
          <w:rFonts w:eastAsia="Arial Unicode MS"/>
          <w:kern w:val="0"/>
          <w:u w:color="000000"/>
          <w:lang w:eastAsia="en-GB"/>
        </w:rPr>
        <w:tab/>
        <w:t>Так образом, власти государства-участника имели возможность признать дискриминацией по признаку пола факт политического преследования и изн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>силования как формы сексуального насилия, которая считается формой пр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следования по гендерному признаку и формой дискриминации в отношении женщин в совокупности или по отдельности. Исходя из этого, я считаю н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>стоящее сообщение приемлемым в соответствии с пунктом</w:t>
      </w:r>
      <w:r>
        <w:rPr>
          <w:rFonts w:eastAsia="Arial Unicode MS"/>
          <w:kern w:val="0"/>
          <w:u w:color="000000"/>
          <w:lang w:eastAsia="en-GB"/>
        </w:rPr>
        <w:t> </w:t>
      </w:r>
      <w:r w:rsidRPr="00143E3D">
        <w:rPr>
          <w:rFonts w:eastAsia="Arial Unicode MS"/>
          <w:kern w:val="0"/>
          <w:u w:color="000000"/>
          <w:lang w:eastAsia="en-GB"/>
        </w:rPr>
        <w:t>1 статьи</w:t>
      </w:r>
      <w:r>
        <w:rPr>
          <w:rFonts w:eastAsia="Arial Unicode MS"/>
          <w:kern w:val="0"/>
          <w:u w:color="000000"/>
          <w:lang w:eastAsia="en-GB"/>
        </w:rPr>
        <w:t> </w:t>
      </w:r>
      <w:r w:rsidRPr="00143E3D">
        <w:rPr>
          <w:rFonts w:eastAsia="Arial Unicode MS"/>
          <w:kern w:val="0"/>
          <w:u w:color="000000"/>
          <w:lang w:eastAsia="en-GB"/>
        </w:rPr>
        <w:t>4 Факул</w:t>
      </w:r>
      <w:r w:rsidRPr="00143E3D">
        <w:rPr>
          <w:rFonts w:eastAsia="Arial Unicode MS"/>
          <w:kern w:val="0"/>
          <w:u w:color="000000"/>
          <w:lang w:eastAsia="en-GB"/>
        </w:rPr>
        <w:t>ь</w:t>
      </w:r>
      <w:r w:rsidRPr="00143E3D">
        <w:rPr>
          <w:rFonts w:eastAsia="Arial Unicode MS"/>
          <w:kern w:val="0"/>
          <w:u w:color="000000"/>
          <w:lang w:eastAsia="en-GB"/>
        </w:rPr>
        <w:t xml:space="preserve">тативного протокола. </w:t>
      </w:r>
    </w:p>
    <w:p w:rsidR="001D61F0" w:rsidRPr="00143E3D" w:rsidRDefault="001D61F0" w:rsidP="001D61F0">
      <w:pPr>
        <w:pStyle w:val="SingleTxt"/>
        <w:rPr>
          <w:rFonts w:eastAsia="Arial Unicode MS"/>
          <w:kern w:val="0"/>
          <w:u w:color="000000"/>
          <w:lang w:eastAsia="en-GB"/>
        </w:rPr>
      </w:pPr>
      <w:r w:rsidRPr="00143E3D">
        <w:rPr>
          <w:rFonts w:eastAsia="Arial Unicode MS"/>
          <w:kern w:val="0"/>
          <w:u w:color="000000"/>
          <w:lang w:eastAsia="en-GB"/>
        </w:rPr>
        <w:t>8.</w:t>
      </w:r>
      <w:r w:rsidRPr="00143E3D">
        <w:rPr>
          <w:rFonts w:eastAsia="Arial Unicode MS"/>
          <w:kern w:val="0"/>
          <w:u w:color="000000"/>
          <w:lang w:eastAsia="en-GB"/>
        </w:rPr>
        <w:tab/>
        <w:t xml:space="preserve">Я поддерживаю замечания Комитета относительно приемлемости </w:t>
      </w:r>
      <w:r w:rsidRPr="00143E3D">
        <w:rPr>
          <w:kern w:val="0"/>
        </w:rPr>
        <w:t>ratione loci</w:t>
      </w:r>
      <w:r w:rsidRPr="00143E3D">
        <w:rPr>
          <w:rFonts w:eastAsia="Arial Unicode MS"/>
          <w:kern w:val="0"/>
          <w:u w:color="000000"/>
          <w:lang w:eastAsia="en-GB"/>
        </w:rPr>
        <w:t xml:space="preserve"> в соответствии со стат</w:t>
      </w:r>
      <w:r w:rsidRPr="00143E3D">
        <w:rPr>
          <w:rFonts w:eastAsia="Arial Unicode MS"/>
          <w:kern w:val="0"/>
          <w:u w:color="000000"/>
          <w:lang w:eastAsia="en-GB"/>
        </w:rPr>
        <w:t>ь</w:t>
      </w:r>
      <w:r w:rsidRPr="00143E3D">
        <w:rPr>
          <w:rFonts w:eastAsia="Arial Unicode MS"/>
          <w:kern w:val="0"/>
          <w:u w:color="000000"/>
          <w:lang w:eastAsia="en-GB"/>
        </w:rPr>
        <w:t>ей</w:t>
      </w:r>
      <w:r>
        <w:rPr>
          <w:rFonts w:eastAsia="Arial Unicode MS"/>
          <w:kern w:val="0"/>
          <w:u w:color="000000"/>
          <w:lang w:eastAsia="en-GB"/>
        </w:rPr>
        <w:t> </w:t>
      </w:r>
      <w:r w:rsidRPr="00143E3D">
        <w:rPr>
          <w:rFonts w:eastAsia="Arial Unicode MS"/>
          <w:kern w:val="0"/>
          <w:u w:color="000000"/>
          <w:lang w:eastAsia="en-GB"/>
        </w:rPr>
        <w:t>2 Факультативного протокола</w:t>
      </w:r>
      <w:r w:rsidRPr="00143E3D">
        <w:rPr>
          <w:rFonts w:eastAsia="Arial Unicode MS"/>
          <w:i/>
          <w:kern w:val="0"/>
          <w:u w:color="000000"/>
          <w:lang w:eastAsia="en-GB"/>
        </w:rPr>
        <w:t xml:space="preserve"> </w:t>
      </w:r>
      <w:r w:rsidRPr="00143E3D">
        <w:rPr>
          <w:rFonts w:eastAsia="Arial Unicode MS"/>
          <w:kern w:val="0"/>
          <w:u w:color="000000"/>
          <w:lang w:eastAsia="en-GB"/>
        </w:rPr>
        <w:t xml:space="preserve">(пункты 8.5–8.8). Кроме того, я считаю также приемлемым </w:t>
      </w:r>
      <w:r w:rsidRPr="00143E3D">
        <w:rPr>
          <w:kern w:val="0"/>
        </w:rPr>
        <w:t>ratione materiae</w:t>
      </w:r>
      <w:r w:rsidRPr="00143E3D">
        <w:rPr>
          <w:rFonts w:eastAsia="Arial Unicode MS"/>
          <w:kern w:val="0"/>
          <w:u w:color="000000"/>
          <w:lang w:eastAsia="en-GB"/>
        </w:rPr>
        <w:t xml:space="preserve"> в соответствии с пунктом 2(b) статьи 4. Данное дело также является приемлемым в соответс</w:t>
      </w:r>
      <w:r w:rsidRPr="00143E3D">
        <w:rPr>
          <w:rFonts w:eastAsia="Arial Unicode MS"/>
          <w:kern w:val="0"/>
          <w:u w:color="000000"/>
          <w:lang w:eastAsia="en-GB"/>
        </w:rPr>
        <w:t>т</w:t>
      </w:r>
      <w:r w:rsidRPr="00143E3D">
        <w:rPr>
          <w:rFonts w:eastAsia="Arial Unicode MS"/>
          <w:kern w:val="0"/>
          <w:u w:color="000000"/>
          <w:lang w:eastAsia="en-GB"/>
        </w:rPr>
        <w:t>вии с пунктами 2(c) и 2(d) статьи</w:t>
      </w:r>
      <w:r>
        <w:rPr>
          <w:rFonts w:eastAsia="Arial Unicode MS"/>
          <w:kern w:val="0"/>
          <w:u w:color="000000"/>
          <w:lang w:eastAsia="en-GB"/>
        </w:rPr>
        <w:t> </w:t>
      </w:r>
      <w:r w:rsidRPr="00143E3D">
        <w:rPr>
          <w:rFonts w:eastAsia="Arial Unicode MS"/>
          <w:kern w:val="0"/>
          <w:u w:color="000000"/>
          <w:lang w:eastAsia="en-GB"/>
        </w:rPr>
        <w:t>4, учитывая то, что это согласуется с пол</w:t>
      </w:r>
      <w:r w:rsidRPr="00143E3D">
        <w:rPr>
          <w:rFonts w:eastAsia="Arial Unicode MS"/>
          <w:kern w:val="0"/>
          <w:u w:color="000000"/>
          <w:lang w:eastAsia="en-GB"/>
        </w:rPr>
        <w:t>о</w:t>
      </w:r>
      <w:r w:rsidRPr="00143E3D">
        <w:rPr>
          <w:rFonts w:eastAsia="Arial Unicode MS"/>
          <w:kern w:val="0"/>
          <w:u w:color="000000"/>
          <w:lang w:eastAsia="en-GB"/>
        </w:rPr>
        <w:t>жением Конвенции, касающемся дискриминации по признаку пола или по ге</w:t>
      </w:r>
      <w:r w:rsidRPr="00143E3D">
        <w:rPr>
          <w:rFonts w:eastAsia="Arial Unicode MS"/>
          <w:kern w:val="0"/>
          <w:u w:color="000000"/>
          <w:lang w:eastAsia="en-GB"/>
        </w:rPr>
        <w:t>н</w:t>
      </w:r>
      <w:r w:rsidRPr="00143E3D">
        <w:rPr>
          <w:rFonts w:eastAsia="Arial Unicode MS"/>
          <w:kern w:val="0"/>
          <w:u w:color="000000"/>
          <w:lang w:eastAsia="en-GB"/>
        </w:rPr>
        <w:t xml:space="preserve">дерному признаку. В данном случае я считаю, что в своих заявлениях автор привела достаточные основания </w:t>
      </w:r>
      <w:r w:rsidRPr="00143E3D">
        <w:rPr>
          <w:kern w:val="0"/>
        </w:rPr>
        <w:t>для целей установления приемлемости жал</w:t>
      </w:r>
      <w:r w:rsidRPr="00143E3D">
        <w:rPr>
          <w:kern w:val="0"/>
        </w:rPr>
        <w:t>о</w:t>
      </w:r>
      <w:r w:rsidRPr="00143E3D">
        <w:rPr>
          <w:kern w:val="0"/>
        </w:rPr>
        <w:t>бы</w:t>
      </w:r>
      <w:r w:rsidRPr="00143E3D">
        <w:rPr>
          <w:rFonts w:eastAsia="Arial Unicode MS"/>
          <w:kern w:val="0"/>
          <w:u w:color="000000"/>
          <w:lang w:eastAsia="en-GB"/>
        </w:rPr>
        <w:t>.</w:t>
      </w:r>
    </w:p>
    <w:p w:rsidR="001D61F0" w:rsidRPr="00143E3D" w:rsidRDefault="001D61F0" w:rsidP="001D61F0">
      <w:pPr>
        <w:pStyle w:val="SingleTxt"/>
        <w:rPr>
          <w:rFonts w:eastAsia="Arial Unicode MS"/>
          <w:kern w:val="0"/>
          <w:u w:color="000000"/>
          <w:lang w:eastAsia="en-GB"/>
        </w:rPr>
      </w:pPr>
      <w:r w:rsidRPr="00143E3D">
        <w:rPr>
          <w:rFonts w:eastAsia="Arial Unicode MS"/>
          <w:kern w:val="0"/>
          <w:u w:color="000000"/>
          <w:lang w:eastAsia="en-GB"/>
        </w:rPr>
        <w:t>9.</w:t>
      </w:r>
      <w:r w:rsidRPr="00143E3D">
        <w:rPr>
          <w:rFonts w:eastAsia="Arial Unicode MS"/>
          <w:kern w:val="0"/>
          <w:u w:color="000000"/>
          <w:lang w:eastAsia="en-GB"/>
        </w:rPr>
        <w:tab/>
        <w:t>Что касается нарушений статей 1, 2(с), 2(d) и 3 Конвенции, я считаю, что государство-участник нарушает статьи 2(с) и 2(d), а также статьи</w:t>
      </w:r>
      <w:r>
        <w:rPr>
          <w:rFonts w:eastAsia="Arial Unicode MS"/>
          <w:kern w:val="0"/>
          <w:u w:color="000000"/>
          <w:lang w:eastAsia="en-GB"/>
        </w:rPr>
        <w:t> </w:t>
      </w:r>
      <w:r w:rsidRPr="00143E3D">
        <w:rPr>
          <w:rFonts w:eastAsia="Arial Unicode MS"/>
          <w:kern w:val="0"/>
          <w:u w:color="000000"/>
          <w:lang w:eastAsia="en-GB"/>
        </w:rPr>
        <w:t>1 и 3. Ст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>тья</w:t>
      </w:r>
      <w:r>
        <w:rPr>
          <w:rFonts w:eastAsia="Arial Unicode MS"/>
          <w:kern w:val="0"/>
          <w:u w:color="000000"/>
          <w:lang w:eastAsia="en-GB"/>
        </w:rPr>
        <w:t> </w:t>
      </w:r>
      <w:r w:rsidRPr="00143E3D">
        <w:rPr>
          <w:rFonts w:eastAsia="Arial Unicode MS"/>
          <w:kern w:val="0"/>
          <w:u w:color="000000"/>
          <w:lang w:eastAsia="en-GB"/>
        </w:rPr>
        <w:t>2(с) налагает на государства-участники позитивную обязанность обеспеч</w:t>
      </w:r>
      <w:r w:rsidRPr="00143E3D">
        <w:rPr>
          <w:rFonts w:eastAsia="Arial Unicode MS"/>
          <w:kern w:val="0"/>
          <w:u w:color="000000"/>
          <w:lang w:eastAsia="en-GB"/>
        </w:rPr>
        <w:t>и</w:t>
      </w:r>
      <w:r w:rsidRPr="00143E3D">
        <w:rPr>
          <w:rFonts w:eastAsia="Arial Unicode MS"/>
          <w:kern w:val="0"/>
          <w:u w:color="000000"/>
          <w:lang w:eastAsia="en-GB"/>
        </w:rPr>
        <w:t>вать эффективную защиту женщин против любого акта дискриминации, а ст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>тьи 2(d) требует от государств-участников воздерживаться от совершения к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 xml:space="preserve">ких-либо дискриминационных актов или действий в отношении женщин во время </w:t>
      </w:r>
      <w:r w:rsidRPr="00143E3D">
        <w:rPr>
          <w:kern w:val="0"/>
        </w:rPr>
        <w:t>процедуры рассмотр</w:t>
      </w:r>
      <w:r w:rsidRPr="00143E3D">
        <w:rPr>
          <w:kern w:val="0"/>
        </w:rPr>
        <w:t>е</w:t>
      </w:r>
      <w:r w:rsidRPr="00143E3D">
        <w:rPr>
          <w:kern w:val="0"/>
        </w:rPr>
        <w:t>ния прошения о предоставлении убежища</w:t>
      </w:r>
      <w:r w:rsidRPr="00143E3D">
        <w:rPr>
          <w:rFonts w:eastAsia="Arial Unicode MS"/>
          <w:kern w:val="0"/>
          <w:u w:color="000000"/>
          <w:lang w:eastAsia="en-GB"/>
        </w:rPr>
        <w:t xml:space="preserve">. Это применимо в отношении содержательного анализа и положений Конвенции о ликвидации всех форм дискриминации в отношении женщин и Конвенции о статусе беженцев. Подход с учетом гендерных проблем следует применять на каждом этапе </w:t>
      </w:r>
      <w:r w:rsidRPr="00143E3D">
        <w:rPr>
          <w:kern w:val="0"/>
        </w:rPr>
        <w:t>процедуры рассмотрения прошения о предоставлении убежища</w:t>
      </w:r>
      <w:r w:rsidRPr="00143E3D">
        <w:rPr>
          <w:rFonts w:eastAsia="Arial Unicode MS"/>
          <w:kern w:val="0"/>
          <w:u w:color="000000"/>
          <w:lang w:eastAsia="en-GB"/>
        </w:rPr>
        <w:t xml:space="preserve"> в соответствии с последним инструментом, в котором в статье</w:t>
      </w:r>
      <w:r>
        <w:rPr>
          <w:rFonts w:eastAsia="Arial Unicode MS"/>
          <w:kern w:val="0"/>
          <w:u w:color="000000"/>
          <w:lang w:eastAsia="en-GB"/>
        </w:rPr>
        <w:t> </w:t>
      </w:r>
      <w:r w:rsidRPr="00143E3D">
        <w:rPr>
          <w:rFonts w:eastAsia="Arial Unicode MS"/>
          <w:kern w:val="0"/>
          <w:u w:color="000000"/>
          <w:lang w:eastAsia="en-GB"/>
        </w:rPr>
        <w:t>1A(2) говори</w:t>
      </w:r>
      <w:r w:rsidRPr="00143E3D">
        <w:rPr>
          <w:rFonts w:eastAsia="Arial Unicode MS"/>
          <w:kern w:val="0"/>
          <w:u w:color="000000"/>
          <w:lang w:eastAsia="en-GB"/>
        </w:rPr>
        <w:t>т</w:t>
      </w:r>
      <w:r w:rsidRPr="00143E3D">
        <w:rPr>
          <w:rFonts w:eastAsia="Arial Unicode MS"/>
          <w:kern w:val="0"/>
          <w:u w:color="000000"/>
          <w:lang w:eastAsia="en-GB"/>
        </w:rPr>
        <w:t xml:space="preserve">ся, что под определением </w:t>
      </w:r>
      <w:r>
        <w:rPr>
          <w:rFonts w:eastAsia="Arial Unicode MS"/>
          <w:kern w:val="0"/>
          <w:u w:color="000000"/>
          <w:lang w:eastAsia="en-GB"/>
        </w:rPr>
        <w:t>«</w:t>
      </w:r>
      <w:r w:rsidRPr="00143E3D">
        <w:rPr>
          <w:rFonts w:eastAsia="Arial Unicode MS"/>
          <w:kern w:val="0"/>
          <w:u w:color="000000"/>
          <w:lang w:eastAsia="en-GB"/>
        </w:rPr>
        <w:t>беженец</w:t>
      </w:r>
      <w:r>
        <w:rPr>
          <w:rFonts w:eastAsia="Arial Unicode MS"/>
          <w:kern w:val="0"/>
          <w:u w:color="000000"/>
          <w:lang w:eastAsia="en-GB"/>
        </w:rPr>
        <w:t>»</w:t>
      </w:r>
      <w:r w:rsidRPr="00143E3D">
        <w:rPr>
          <w:rFonts w:eastAsia="Arial Unicode MS"/>
          <w:kern w:val="0"/>
          <w:u w:color="000000"/>
          <w:lang w:eastAsia="en-GB"/>
        </w:rPr>
        <w:t xml:space="preserve"> подразумевается лицо, которое имеет вполне обоснованные опасения стать жертвой преследований по признаку расы, вер</w:t>
      </w:r>
      <w:r w:rsidRPr="00143E3D">
        <w:rPr>
          <w:rFonts w:eastAsia="Arial Unicode MS"/>
          <w:kern w:val="0"/>
          <w:u w:color="000000"/>
          <w:lang w:eastAsia="en-GB"/>
        </w:rPr>
        <w:t>о</w:t>
      </w:r>
      <w:r w:rsidRPr="00143E3D">
        <w:rPr>
          <w:rFonts w:eastAsia="Arial Unicode MS"/>
          <w:kern w:val="0"/>
          <w:u w:color="000000"/>
          <w:lang w:eastAsia="en-GB"/>
        </w:rPr>
        <w:t>исповедания, гражданства, принадлежности к определенной социальной гру</w:t>
      </w:r>
      <w:r w:rsidRPr="00143E3D">
        <w:rPr>
          <w:rFonts w:eastAsia="Arial Unicode MS"/>
          <w:kern w:val="0"/>
          <w:u w:color="000000"/>
          <w:lang w:eastAsia="en-GB"/>
        </w:rPr>
        <w:t>п</w:t>
      </w:r>
      <w:r w:rsidRPr="00143E3D">
        <w:rPr>
          <w:rFonts w:eastAsia="Arial Unicode MS"/>
          <w:kern w:val="0"/>
          <w:u w:color="000000"/>
          <w:lang w:eastAsia="en-GB"/>
        </w:rPr>
        <w:t>пе или политическим убеждениям. Государство-участник должно толковать это определение в контексте обязательств воздерживаться от дискр</w:t>
      </w:r>
      <w:r w:rsidRPr="00143E3D">
        <w:rPr>
          <w:rFonts w:eastAsia="Arial Unicode MS"/>
          <w:kern w:val="0"/>
          <w:u w:color="000000"/>
          <w:lang w:eastAsia="en-GB"/>
        </w:rPr>
        <w:t>и</w:t>
      </w:r>
      <w:r w:rsidRPr="00143E3D">
        <w:rPr>
          <w:rFonts w:eastAsia="Arial Unicode MS"/>
          <w:kern w:val="0"/>
          <w:u w:color="000000"/>
          <w:lang w:eastAsia="en-GB"/>
        </w:rPr>
        <w:t>минации в отношении женщин и обеспечить осуществление принципа равноправия му</w:t>
      </w:r>
      <w:r w:rsidRPr="00143E3D">
        <w:rPr>
          <w:rFonts w:eastAsia="Arial Unicode MS"/>
          <w:kern w:val="0"/>
          <w:u w:color="000000"/>
          <w:lang w:eastAsia="en-GB"/>
        </w:rPr>
        <w:t>ж</w:t>
      </w:r>
      <w:r w:rsidRPr="00143E3D">
        <w:rPr>
          <w:rFonts w:eastAsia="Arial Unicode MS"/>
          <w:kern w:val="0"/>
          <w:u w:color="000000"/>
          <w:lang w:eastAsia="en-GB"/>
        </w:rPr>
        <w:t>чин и женщин в соответствии со статьей 2(a) Конвенции о ликвидации всех форм дискриминации в отношении женщин. Государства-участники также должны следить за тем, чтобы каждое из пяти оснований, перечисленных в Конвенции о статусе беженцев, толковалось с учетом гендерных проблем. Х</w:t>
      </w:r>
      <w:r w:rsidRPr="00143E3D">
        <w:rPr>
          <w:rFonts w:eastAsia="Arial Unicode MS"/>
          <w:kern w:val="0"/>
          <w:u w:color="000000"/>
          <w:lang w:eastAsia="en-GB"/>
        </w:rPr>
        <w:t>о</w:t>
      </w:r>
      <w:r w:rsidRPr="00143E3D">
        <w:rPr>
          <w:rFonts w:eastAsia="Arial Unicode MS"/>
          <w:kern w:val="0"/>
          <w:u w:color="000000"/>
          <w:lang w:eastAsia="en-GB"/>
        </w:rPr>
        <w:t xml:space="preserve">тя в Конвенции о статусе беженцев не дается определение </w:t>
      </w:r>
      <w:r>
        <w:rPr>
          <w:rFonts w:eastAsia="Arial Unicode MS"/>
          <w:kern w:val="0"/>
          <w:u w:color="000000"/>
          <w:lang w:eastAsia="en-GB"/>
        </w:rPr>
        <w:t>«</w:t>
      </w:r>
      <w:r w:rsidRPr="00143E3D">
        <w:rPr>
          <w:rFonts w:eastAsia="Arial Unicode MS"/>
          <w:kern w:val="0"/>
          <w:u w:color="000000"/>
          <w:lang w:eastAsia="en-GB"/>
        </w:rPr>
        <w:t>преследование</w:t>
      </w:r>
      <w:r>
        <w:rPr>
          <w:rFonts w:eastAsia="Arial Unicode MS"/>
          <w:kern w:val="0"/>
          <w:u w:color="000000"/>
          <w:lang w:eastAsia="en-GB"/>
        </w:rPr>
        <w:t>»</w:t>
      </w:r>
      <w:r w:rsidRPr="00143E3D">
        <w:rPr>
          <w:rFonts w:eastAsia="Arial Unicode MS"/>
          <w:kern w:val="0"/>
          <w:u w:color="000000"/>
          <w:lang w:eastAsia="en-GB"/>
        </w:rPr>
        <w:t>, общепризнано, что под ним подразумеваются угроза для жизни или свободы человека, серьезные нарушения прав человека или нанесение другого серье</w:t>
      </w:r>
      <w:r w:rsidRPr="00143E3D">
        <w:rPr>
          <w:rFonts w:eastAsia="Arial Unicode MS"/>
          <w:kern w:val="0"/>
          <w:u w:color="000000"/>
          <w:lang w:eastAsia="en-GB"/>
        </w:rPr>
        <w:t>з</w:t>
      </w:r>
      <w:r w:rsidRPr="00143E3D">
        <w:rPr>
          <w:rFonts w:eastAsia="Arial Unicode MS"/>
          <w:kern w:val="0"/>
          <w:u w:color="000000"/>
          <w:lang w:eastAsia="en-GB"/>
        </w:rPr>
        <w:t>ного вреда</w:t>
      </w:r>
      <w:r w:rsidRPr="00087FA1">
        <w:rPr>
          <w:rFonts w:eastAsia="Arial Unicode MS"/>
          <w:kern w:val="0"/>
          <w:u w:color="000000"/>
          <w:vertAlign w:val="superscript"/>
          <w:lang w:eastAsia="en-GB"/>
        </w:rPr>
        <w:footnoteReference w:customMarkFollows="1" w:id="39"/>
        <w:t>2</w:t>
      </w:r>
      <w:r w:rsidRPr="00143E3D">
        <w:rPr>
          <w:rFonts w:eastAsia="Arial Unicode MS"/>
          <w:kern w:val="0"/>
          <w:u w:color="000000"/>
          <w:lang w:eastAsia="en-GB"/>
        </w:rPr>
        <w:t>. Эти серьезные нарушения прав человека и нанесение друг</w:t>
      </w:r>
      <w:r w:rsidRPr="00143E3D">
        <w:rPr>
          <w:rFonts w:eastAsia="Arial Unicode MS"/>
          <w:kern w:val="0"/>
          <w:u w:color="000000"/>
          <w:lang w:eastAsia="en-GB"/>
        </w:rPr>
        <w:t>о</w:t>
      </w:r>
      <w:r w:rsidRPr="00143E3D">
        <w:rPr>
          <w:rFonts w:eastAsia="Arial Unicode MS"/>
          <w:kern w:val="0"/>
          <w:u w:color="000000"/>
          <w:lang w:eastAsia="en-GB"/>
        </w:rPr>
        <w:t>го серьезного вреда включают действия, предусмотренные в Конвенции о ликв</w:t>
      </w:r>
      <w:r w:rsidRPr="00143E3D">
        <w:rPr>
          <w:rFonts w:eastAsia="Arial Unicode MS"/>
          <w:kern w:val="0"/>
          <w:u w:color="000000"/>
          <w:lang w:eastAsia="en-GB"/>
        </w:rPr>
        <w:t>и</w:t>
      </w:r>
      <w:r w:rsidRPr="00143E3D">
        <w:rPr>
          <w:rFonts w:eastAsia="Arial Unicode MS"/>
          <w:kern w:val="0"/>
          <w:u w:color="000000"/>
          <w:lang w:eastAsia="en-GB"/>
        </w:rPr>
        <w:t>дации всех форм дискриминации в отношении женщин, в том числе изнасил</w:t>
      </w:r>
      <w:r w:rsidRPr="00143E3D">
        <w:rPr>
          <w:rFonts w:eastAsia="Arial Unicode MS"/>
          <w:kern w:val="0"/>
          <w:u w:color="000000"/>
          <w:lang w:eastAsia="en-GB"/>
        </w:rPr>
        <w:t>о</w:t>
      </w:r>
      <w:r w:rsidRPr="00143E3D">
        <w:rPr>
          <w:rFonts w:eastAsia="Arial Unicode MS"/>
          <w:kern w:val="0"/>
          <w:u w:color="000000"/>
          <w:lang w:eastAsia="en-GB"/>
        </w:rPr>
        <w:t>вание как серьезное н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 xml:space="preserve">рушение прав человека женщин. </w:t>
      </w:r>
    </w:p>
    <w:p w:rsidR="001D61F0" w:rsidRPr="00143E3D" w:rsidRDefault="001D61F0" w:rsidP="001D61F0">
      <w:pPr>
        <w:pStyle w:val="SingleTxt"/>
        <w:rPr>
          <w:rFonts w:eastAsia="Arial Unicode MS"/>
          <w:kern w:val="0"/>
          <w:u w:color="000000"/>
          <w:lang w:eastAsia="en-GB"/>
        </w:rPr>
      </w:pPr>
      <w:r w:rsidRPr="00143E3D">
        <w:rPr>
          <w:rFonts w:eastAsia="Arial Unicode MS"/>
          <w:kern w:val="0"/>
          <w:u w:color="000000"/>
          <w:lang w:eastAsia="en-GB"/>
        </w:rPr>
        <w:t>10.</w:t>
      </w:r>
      <w:r w:rsidRPr="00143E3D">
        <w:rPr>
          <w:rFonts w:eastAsia="Arial Unicode MS"/>
          <w:kern w:val="0"/>
          <w:u w:color="000000"/>
          <w:lang w:eastAsia="en-GB"/>
        </w:rPr>
        <w:tab/>
        <w:t>В соответствии со статьей 2(c) Конвенции о ликвидации всех форм ди</w:t>
      </w:r>
      <w:r w:rsidRPr="00143E3D">
        <w:rPr>
          <w:rFonts w:eastAsia="Arial Unicode MS"/>
          <w:kern w:val="0"/>
          <w:u w:color="000000"/>
          <w:lang w:eastAsia="en-GB"/>
        </w:rPr>
        <w:t>с</w:t>
      </w:r>
      <w:r w:rsidRPr="00143E3D">
        <w:rPr>
          <w:rFonts w:eastAsia="Arial Unicode MS"/>
          <w:kern w:val="0"/>
          <w:u w:color="000000"/>
          <w:lang w:eastAsia="en-GB"/>
        </w:rPr>
        <w:t>криминации в отношении женщин государство-участник обязуется установить юридическую защиту прав женщин на равной основе с мужчинами и обесп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чить с помощью компетентных национальных судов и других государственных учреждений эффективную защиту женщин против любого акта дискримин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>ции. Это означает, что в данном случае прошение автора о предоставлении убежища на основании сексуал</w:t>
      </w:r>
      <w:r w:rsidRPr="00143E3D">
        <w:rPr>
          <w:rFonts w:eastAsia="Arial Unicode MS"/>
          <w:kern w:val="0"/>
          <w:u w:color="000000"/>
          <w:lang w:eastAsia="en-GB"/>
        </w:rPr>
        <w:t>ь</w:t>
      </w:r>
      <w:r w:rsidRPr="00143E3D">
        <w:rPr>
          <w:rFonts w:eastAsia="Arial Unicode MS"/>
          <w:kern w:val="0"/>
          <w:u w:color="000000"/>
          <w:lang w:eastAsia="en-GB"/>
        </w:rPr>
        <w:t>ного насилия и политического преследования должно рассматриваться в органах системы принятия решений о предоставл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ния убежища, имеющих полное представление о конкретных формах пресл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дования и нарушениях прав человека по признаку пола или по гендерному признаку, жертвами которых становятся женщины и дево</w:t>
      </w:r>
      <w:r w:rsidRPr="00143E3D">
        <w:rPr>
          <w:rFonts w:eastAsia="Arial Unicode MS"/>
          <w:kern w:val="0"/>
          <w:u w:color="000000"/>
          <w:lang w:eastAsia="en-GB"/>
        </w:rPr>
        <w:t>ч</w:t>
      </w:r>
      <w:r w:rsidRPr="00143E3D">
        <w:rPr>
          <w:rFonts w:eastAsia="Arial Unicode MS"/>
          <w:kern w:val="0"/>
          <w:u w:color="000000"/>
          <w:lang w:eastAsia="en-GB"/>
        </w:rPr>
        <w:t xml:space="preserve">ки. </w:t>
      </w:r>
    </w:p>
    <w:p w:rsidR="001D61F0" w:rsidRPr="00143E3D" w:rsidRDefault="001D61F0" w:rsidP="001D61F0">
      <w:pPr>
        <w:pStyle w:val="SingleTxt"/>
        <w:rPr>
          <w:rFonts w:eastAsia="Arial Unicode MS"/>
          <w:kern w:val="0"/>
          <w:u w:color="000000"/>
          <w:lang w:eastAsia="en-GB"/>
        </w:rPr>
      </w:pPr>
      <w:r w:rsidRPr="00143E3D">
        <w:rPr>
          <w:rFonts w:eastAsia="Arial Unicode MS"/>
          <w:kern w:val="0"/>
          <w:u w:color="000000"/>
          <w:lang w:eastAsia="en-GB"/>
        </w:rPr>
        <w:t>11.</w:t>
      </w:r>
      <w:r w:rsidRPr="00143E3D">
        <w:rPr>
          <w:rFonts w:eastAsia="Arial Unicode MS"/>
          <w:kern w:val="0"/>
          <w:u w:color="000000"/>
          <w:lang w:eastAsia="en-GB"/>
        </w:rPr>
        <w:tab/>
        <w:t xml:space="preserve">Что касается политического преследования автора, то </w:t>
      </w:r>
      <w:r w:rsidRPr="00143E3D">
        <w:rPr>
          <w:kern w:val="0"/>
        </w:rPr>
        <w:t xml:space="preserve">государство-участник указывает, </w:t>
      </w:r>
      <w:r>
        <w:rPr>
          <w:kern w:val="0"/>
        </w:rPr>
        <w:t>«</w:t>
      </w:r>
      <w:r w:rsidRPr="00143E3D">
        <w:rPr>
          <w:kern w:val="0"/>
        </w:rPr>
        <w:t>что Апелляционная комиссия по делам беженцев прин</w:t>
      </w:r>
      <w:r w:rsidRPr="00143E3D">
        <w:rPr>
          <w:kern w:val="0"/>
        </w:rPr>
        <w:t>я</w:t>
      </w:r>
      <w:r w:rsidRPr="00143E3D">
        <w:rPr>
          <w:kern w:val="0"/>
        </w:rPr>
        <w:t>ла представленные автором свидетельства, в том числе относительно ее уч</w:t>
      </w:r>
      <w:r w:rsidRPr="00143E3D">
        <w:rPr>
          <w:kern w:val="0"/>
        </w:rPr>
        <w:t>а</w:t>
      </w:r>
      <w:r w:rsidRPr="00143E3D">
        <w:rPr>
          <w:kern w:val="0"/>
        </w:rPr>
        <w:t>стия в деятельности НОФ, однако установила, что политическая деятельность автора носила ограниченный характер</w:t>
      </w:r>
      <w:r>
        <w:rPr>
          <w:kern w:val="0"/>
        </w:rPr>
        <w:t>»</w:t>
      </w:r>
      <w:r w:rsidRPr="00143E3D">
        <w:rPr>
          <w:kern w:val="0"/>
        </w:rPr>
        <w:t xml:space="preserve"> </w:t>
      </w:r>
      <w:r w:rsidRPr="00143E3D">
        <w:rPr>
          <w:rFonts w:eastAsia="Arial Unicode MS"/>
          <w:kern w:val="0"/>
          <w:u w:color="000000"/>
          <w:lang w:eastAsia="en-GB"/>
        </w:rPr>
        <w:t>(пункт</w:t>
      </w:r>
      <w:r>
        <w:rPr>
          <w:rFonts w:eastAsia="Arial Unicode MS"/>
          <w:kern w:val="0"/>
          <w:u w:color="000000"/>
          <w:lang w:eastAsia="en-GB"/>
        </w:rPr>
        <w:t> </w:t>
      </w:r>
      <w:r w:rsidRPr="00143E3D">
        <w:rPr>
          <w:rFonts w:eastAsia="Arial Unicode MS"/>
          <w:kern w:val="0"/>
          <w:u w:color="000000"/>
          <w:lang w:eastAsia="en-GB"/>
        </w:rPr>
        <w:t xml:space="preserve">4.3), и </w:t>
      </w:r>
      <w:r>
        <w:rPr>
          <w:rFonts w:eastAsia="Arial Unicode MS"/>
          <w:kern w:val="0"/>
          <w:u w:color="000000"/>
          <w:lang w:eastAsia="en-GB"/>
        </w:rPr>
        <w:t>«</w:t>
      </w:r>
      <w:r w:rsidRPr="00143E3D">
        <w:rPr>
          <w:kern w:val="0"/>
        </w:rPr>
        <w:t>определила, что автор не будет подвергаться риску нападения в случае возвращения в Буру</w:t>
      </w:r>
      <w:r w:rsidRPr="00143E3D">
        <w:rPr>
          <w:kern w:val="0"/>
        </w:rPr>
        <w:t>н</w:t>
      </w:r>
      <w:r w:rsidRPr="00143E3D">
        <w:rPr>
          <w:kern w:val="0"/>
        </w:rPr>
        <w:t>ди</w:t>
      </w:r>
      <w:r>
        <w:rPr>
          <w:kern w:val="0"/>
        </w:rPr>
        <w:t>»</w:t>
      </w:r>
      <w:r w:rsidRPr="00143E3D">
        <w:rPr>
          <w:rFonts w:eastAsia="Arial Unicode MS"/>
          <w:kern w:val="0"/>
          <w:u w:color="000000"/>
          <w:lang w:eastAsia="en-GB"/>
        </w:rPr>
        <w:t>(пункт</w:t>
      </w:r>
      <w:r>
        <w:rPr>
          <w:rFonts w:eastAsia="Arial Unicode MS"/>
          <w:kern w:val="0"/>
          <w:u w:color="000000"/>
          <w:lang w:eastAsia="en-GB"/>
        </w:rPr>
        <w:t> </w:t>
      </w:r>
      <w:r w:rsidRPr="00143E3D">
        <w:rPr>
          <w:rFonts w:eastAsia="Arial Unicode MS"/>
          <w:kern w:val="0"/>
          <w:u w:color="000000"/>
          <w:lang w:eastAsia="en-GB"/>
        </w:rPr>
        <w:t>6.5). На основании формального определения политической де</w:t>
      </w:r>
      <w:r w:rsidRPr="00143E3D">
        <w:rPr>
          <w:rFonts w:eastAsia="Arial Unicode MS"/>
          <w:kern w:val="0"/>
          <w:u w:color="000000"/>
          <w:lang w:eastAsia="en-GB"/>
        </w:rPr>
        <w:t>я</w:t>
      </w:r>
      <w:r w:rsidRPr="00143E3D">
        <w:rPr>
          <w:rFonts w:eastAsia="Arial Unicode MS"/>
          <w:kern w:val="0"/>
          <w:u w:color="000000"/>
          <w:lang w:eastAsia="en-GB"/>
        </w:rPr>
        <w:t>тельности автора как деятельности, носящей ограниченный характер, госуда</w:t>
      </w:r>
      <w:r w:rsidRPr="00143E3D">
        <w:rPr>
          <w:rFonts w:eastAsia="Arial Unicode MS"/>
          <w:kern w:val="0"/>
          <w:u w:color="000000"/>
          <w:lang w:eastAsia="en-GB"/>
        </w:rPr>
        <w:t>р</w:t>
      </w:r>
      <w:r w:rsidRPr="00143E3D">
        <w:rPr>
          <w:rFonts w:eastAsia="Arial Unicode MS"/>
          <w:kern w:val="0"/>
          <w:u w:color="000000"/>
          <w:lang w:eastAsia="en-GB"/>
        </w:rPr>
        <w:t>ство-участник игнорировало тот факт, что женщины, как правило, недостато</w:t>
      </w:r>
      <w:r w:rsidRPr="00143E3D">
        <w:rPr>
          <w:rFonts w:eastAsia="Arial Unicode MS"/>
          <w:kern w:val="0"/>
          <w:u w:color="000000"/>
          <w:lang w:eastAsia="en-GB"/>
        </w:rPr>
        <w:t>ч</w:t>
      </w:r>
      <w:r w:rsidRPr="00143E3D">
        <w:rPr>
          <w:rFonts w:eastAsia="Arial Unicode MS"/>
          <w:kern w:val="0"/>
          <w:u w:color="000000"/>
          <w:lang w:eastAsia="en-GB"/>
        </w:rPr>
        <w:t>но представлены в высших эшелонах политических партий и что политическая деятельность женщин может не всегда выглядеть так же, как политическая деятельность мужчин, или оцениваться на равной основе с мужчинами в пол</w:t>
      </w:r>
      <w:r w:rsidRPr="00143E3D">
        <w:rPr>
          <w:rFonts w:eastAsia="Arial Unicode MS"/>
          <w:kern w:val="0"/>
          <w:u w:color="000000"/>
          <w:lang w:eastAsia="en-GB"/>
        </w:rPr>
        <w:t>и</w:t>
      </w:r>
      <w:r w:rsidRPr="00143E3D">
        <w:rPr>
          <w:rFonts w:eastAsia="Arial Unicode MS"/>
          <w:kern w:val="0"/>
          <w:u w:color="000000"/>
          <w:lang w:eastAsia="en-GB"/>
        </w:rPr>
        <w:t>тической ср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де, в которой доминируют мужчины. Власти государства-участника также не смогли недискриминационным образом оценить риск б</w:t>
      </w:r>
      <w:r w:rsidRPr="00143E3D">
        <w:rPr>
          <w:rFonts w:eastAsia="Arial Unicode MS"/>
          <w:kern w:val="0"/>
          <w:u w:color="000000"/>
          <w:lang w:eastAsia="en-GB"/>
        </w:rPr>
        <w:t>у</w:t>
      </w:r>
      <w:r w:rsidRPr="00143E3D">
        <w:rPr>
          <w:rFonts w:eastAsia="Arial Unicode MS"/>
          <w:kern w:val="0"/>
          <w:u w:color="000000"/>
          <w:lang w:eastAsia="en-GB"/>
        </w:rPr>
        <w:t>дущего политического преследования автора или ее преследования по генде</w:t>
      </w:r>
      <w:r w:rsidRPr="00143E3D">
        <w:rPr>
          <w:rFonts w:eastAsia="Arial Unicode MS"/>
          <w:kern w:val="0"/>
          <w:u w:color="000000"/>
          <w:lang w:eastAsia="en-GB"/>
        </w:rPr>
        <w:t>р</w:t>
      </w:r>
      <w:r w:rsidRPr="00143E3D">
        <w:rPr>
          <w:rFonts w:eastAsia="Arial Unicode MS"/>
          <w:kern w:val="0"/>
          <w:u w:color="000000"/>
          <w:lang w:eastAsia="en-GB"/>
        </w:rPr>
        <w:t>ному признаку или возможность получения автором защиты государства, пр</w:t>
      </w:r>
      <w:r w:rsidRPr="00143E3D">
        <w:rPr>
          <w:rFonts w:eastAsia="Arial Unicode MS"/>
          <w:kern w:val="0"/>
          <w:u w:color="000000"/>
          <w:lang w:eastAsia="en-GB"/>
        </w:rPr>
        <w:t>и</w:t>
      </w:r>
      <w:r w:rsidRPr="00143E3D">
        <w:rPr>
          <w:rFonts w:eastAsia="Arial Unicode MS"/>
          <w:kern w:val="0"/>
          <w:u w:color="000000"/>
          <w:lang w:eastAsia="en-GB"/>
        </w:rPr>
        <w:t>нимая во внимание все относящиеся к делу факты, касающиеся ее заявления о политическом преследовании и сексуальном насилии, то есть о том, что прав</w:t>
      </w:r>
      <w:r w:rsidRPr="00143E3D">
        <w:rPr>
          <w:rFonts w:eastAsia="Arial Unicode MS"/>
          <w:kern w:val="0"/>
          <w:u w:color="000000"/>
          <w:lang w:eastAsia="en-GB"/>
        </w:rPr>
        <w:t>и</w:t>
      </w:r>
      <w:r w:rsidRPr="00143E3D">
        <w:rPr>
          <w:rFonts w:eastAsia="Arial Unicode MS"/>
          <w:kern w:val="0"/>
          <w:u w:color="000000"/>
          <w:lang w:eastAsia="en-GB"/>
        </w:rPr>
        <w:t xml:space="preserve">тельственные группировки нападали, убивали или сажали в тюрьму членов НОФ, в число которых входила автор; что ее дом подвергся бомбардировке; что полицейские </w:t>
      </w:r>
      <w:r w:rsidRPr="00143E3D">
        <w:rPr>
          <w:kern w:val="0"/>
        </w:rPr>
        <w:t>спрашивали, где нах</w:t>
      </w:r>
      <w:r w:rsidRPr="00143E3D">
        <w:rPr>
          <w:kern w:val="0"/>
        </w:rPr>
        <w:t>о</w:t>
      </w:r>
      <w:r w:rsidRPr="00143E3D">
        <w:rPr>
          <w:kern w:val="0"/>
        </w:rPr>
        <w:t>дятся автор и ее муж</w:t>
      </w:r>
      <w:r w:rsidRPr="00143E3D">
        <w:rPr>
          <w:rFonts w:eastAsia="Arial Unicode MS"/>
          <w:kern w:val="0"/>
          <w:u w:color="000000"/>
          <w:lang w:eastAsia="en-GB"/>
        </w:rPr>
        <w:t xml:space="preserve"> (пункт 2.6); что ее бывшие соседи, которые были членами </w:t>
      </w:r>
      <w:r w:rsidRPr="00143E3D">
        <w:rPr>
          <w:kern w:val="0"/>
        </w:rPr>
        <w:t>Национального совета в защиту дем</w:t>
      </w:r>
      <w:r w:rsidRPr="00143E3D">
        <w:rPr>
          <w:kern w:val="0"/>
        </w:rPr>
        <w:t>о</w:t>
      </w:r>
      <w:r w:rsidRPr="00143E3D">
        <w:rPr>
          <w:kern w:val="0"/>
        </w:rPr>
        <w:t>кратии, обещали убить ее, если она вернется домой</w:t>
      </w:r>
      <w:r w:rsidRPr="00143E3D">
        <w:rPr>
          <w:rFonts w:eastAsia="Arial Unicode MS"/>
          <w:kern w:val="0"/>
          <w:u w:color="000000"/>
          <w:lang w:eastAsia="en-GB"/>
        </w:rPr>
        <w:t>;</w:t>
      </w:r>
      <w:r w:rsidRPr="00143E3D">
        <w:rPr>
          <w:kern w:val="0"/>
        </w:rPr>
        <w:t xml:space="preserve"> что ее изнасиловали трое мужчин, вооруженных ножами, и что из страха она не сообщила о происход</w:t>
      </w:r>
      <w:r w:rsidRPr="00143E3D">
        <w:rPr>
          <w:kern w:val="0"/>
        </w:rPr>
        <w:t>я</w:t>
      </w:r>
      <w:r w:rsidRPr="00143E3D">
        <w:rPr>
          <w:kern w:val="0"/>
        </w:rPr>
        <w:t xml:space="preserve">щем в полицию, </w:t>
      </w:r>
      <w:r>
        <w:rPr>
          <w:kern w:val="0"/>
        </w:rPr>
        <w:t>«</w:t>
      </w:r>
      <w:r w:rsidRPr="00143E3D">
        <w:rPr>
          <w:kern w:val="0"/>
        </w:rPr>
        <w:t>учитывая то, что она п</w:t>
      </w:r>
      <w:r w:rsidRPr="00143E3D">
        <w:rPr>
          <w:kern w:val="0"/>
        </w:rPr>
        <w:t>ы</w:t>
      </w:r>
      <w:r w:rsidRPr="00143E3D">
        <w:rPr>
          <w:kern w:val="0"/>
        </w:rPr>
        <w:t>талась спрятаться от них</w:t>
      </w:r>
      <w:r>
        <w:rPr>
          <w:kern w:val="0"/>
        </w:rPr>
        <w:t>»</w:t>
      </w:r>
      <w:r w:rsidRPr="00143E3D">
        <w:rPr>
          <w:kern w:val="0"/>
        </w:rPr>
        <w:t xml:space="preserve"> </w:t>
      </w:r>
      <w:r w:rsidRPr="00143E3D">
        <w:rPr>
          <w:rFonts w:eastAsia="Arial Unicode MS"/>
          <w:kern w:val="0"/>
          <w:u w:color="000000"/>
          <w:lang w:eastAsia="en-GB"/>
        </w:rPr>
        <w:t>(пункт</w:t>
      </w:r>
      <w:r>
        <w:rPr>
          <w:rFonts w:eastAsia="Arial Unicode MS"/>
          <w:kern w:val="0"/>
          <w:u w:color="000000"/>
          <w:lang w:eastAsia="en-GB"/>
        </w:rPr>
        <w:t> </w:t>
      </w:r>
      <w:r w:rsidRPr="00143E3D">
        <w:rPr>
          <w:rFonts w:eastAsia="Arial Unicode MS"/>
          <w:kern w:val="0"/>
          <w:u w:color="000000"/>
          <w:lang w:eastAsia="en-GB"/>
        </w:rPr>
        <w:t>2.4)</w:t>
      </w:r>
      <w:r w:rsidRPr="00143E3D">
        <w:rPr>
          <w:rFonts w:eastAsia="Arial Unicode MS"/>
          <w:kern w:val="0"/>
          <w:sz w:val="18"/>
          <w:szCs w:val="18"/>
          <w:u w:color="000000"/>
          <w:lang w:eastAsia="en-GB"/>
        </w:rPr>
        <w:t>;</w:t>
      </w:r>
      <w:r w:rsidRPr="00143E3D">
        <w:rPr>
          <w:rFonts w:eastAsia="Arial Unicode MS"/>
          <w:kern w:val="0"/>
          <w:u w:color="000000"/>
          <w:lang w:eastAsia="en-GB"/>
        </w:rPr>
        <w:t xml:space="preserve"> и что она опасается, что ее могут изнасиловать и нанести другие телесные повреждения, когда она ве</w:t>
      </w:r>
      <w:r w:rsidRPr="00143E3D">
        <w:rPr>
          <w:rFonts w:eastAsia="Arial Unicode MS"/>
          <w:kern w:val="0"/>
          <w:u w:color="000000"/>
          <w:lang w:eastAsia="en-GB"/>
        </w:rPr>
        <w:t>р</w:t>
      </w:r>
      <w:r w:rsidRPr="00143E3D">
        <w:rPr>
          <w:rFonts w:eastAsia="Arial Unicode MS"/>
          <w:kern w:val="0"/>
          <w:u w:color="000000"/>
          <w:lang w:eastAsia="en-GB"/>
        </w:rPr>
        <w:t xml:space="preserve">нется в Бурунди. </w:t>
      </w:r>
    </w:p>
    <w:p w:rsidR="001D61F0" w:rsidRPr="00143E3D" w:rsidRDefault="001D61F0" w:rsidP="001D61F0">
      <w:pPr>
        <w:pStyle w:val="SingleTxt"/>
        <w:rPr>
          <w:rFonts w:eastAsia="Arial Unicode MS"/>
          <w:kern w:val="0"/>
          <w:u w:color="000000"/>
          <w:lang w:eastAsia="en-GB"/>
        </w:rPr>
      </w:pPr>
      <w:r w:rsidRPr="00143E3D">
        <w:rPr>
          <w:rFonts w:eastAsia="Arial Unicode MS"/>
          <w:kern w:val="0"/>
          <w:u w:color="000000"/>
          <w:lang w:eastAsia="en-GB"/>
        </w:rPr>
        <w:t>12.</w:t>
      </w:r>
      <w:r w:rsidRPr="00143E3D">
        <w:rPr>
          <w:rFonts w:eastAsia="Arial Unicode MS"/>
          <w:kern w:val="0"/>
          <w:u w:color="000000"/>
          <w:lang w:eastAsia="en-GB"/>
        </w:rPr>
        <w:tab/>
        <w:t>Согласно статье 2(c) Конвенции государства-участники должны обесп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чить защиту женщин против любого акта дискриминации и позаботиться о том, чтобы формы преследования по гендерному признаку и основания для н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 xml:space="preserve">го были определены во время </w:t>
      </w:r>
      <w:r w:rsidRPr="00143E3D">
        <w:rPr>
          <w:kern w:val="0"/>
        </w:rPr>
        <w:t>процедуры рассмотрения прошения о предоста</w:t>
      </w:r>
      <w:r w:rsidRPr="00143E3D">
        <w:rPr>
          <w:kern w:val="0"/>
        </w:rPr>
        <w:t>в</w:t>
      </w:r>
      <w:r w:rsidRPr="00143E3D">
        <w:rPr>
          <w:kern w:val="0"/>
        </w:rPr>
        <w:t>лении убежищ.</w:t>
      </w:r>
      <w:r w:rsidRPr="00143E3D">
        <w:rPr>
          <w:rFonts w:eastAsia="Arial Unicode MS"/>
          <w:kern w:val="0"/>
          <w:u w:color="000000"/>
          <w:lang w:eastAsia="en-GB"/>
        </w:rPr>
        <w:t xml:space="preserve"> К формам преследования по гендерному признаку относятся формы преследования, которому подвергается женщина в силу того, что она женщина, или которое оказывает на женщину несоразмерное воздействие. Х</w:t>
      </w:r>
      <w:r w:rsidRPr="00143E3D">
        <w:rPr>
          <w:rFonts w:eastAsia="Arial Unicode MS"/>
          <w:kern w:val="0"/>
          <w:u w:color="000000"/>
          <w:lang w:eastAsia="en-GB"/>
        </w:rPr>
        <w:t>о</w:t>
      </w:r>
      <w:r w:rsidRPr="00143E3D">
        <w:rPr>
          <w:rFonts w:eastAsia="Arial Unicode MS"/>
          <w:kern w:val="0"/>
          <w:u w:color="000000"/>
          <w:lang w:eastAsia="en-GB"/>
        </w:rPr>
        <w:t>датайство о предоставлении уб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жища в связи с преследованием по гендерному признаку может быть направлено и в связи с одновременным преследованием по иным взаимопереплетающимся признакам, таким как принадлежность к о</w:t>
      </w:r>
      <w:r w:rsidRPr="00143E3D">
        <w:rPr>
          <w:rFonts w:eastAsia="Arial Unicode MS"/>
          <w:kern w:val="0"/>
          <w:u w:color="000000"/>
          <w:lang w:eastAsia="en-GB"/>
        </w:rPr>
        <w:t>п</w:t>
      </w:r>
      <w:r w:rsidRPr="00143E3D">
        <w:rPr>
          <w:rFonts w:eastAsia="Arial Unicode MS"/>
          <w:kern w:val="0"/>
          <w:u w:color="000000"/>
          <w:lang w:eastAsia="en-GB"/>
        </w:rPr>
        <w:t>ределенной социальной группе и политические убеждения. Во время процед</w:t>
      </w:r>
      <w:r w:rsidRPr="00143E3D">
        <w:rPr>
          <w:rFonts w:eastAsia="Arial Unicode MS"/>
          <w:kern w:val="0"/>
          <w:u w:color="000000"/>
          <w:lang w:eastAsia="en-GB"/>
        </w:rPr>
        <w:t>у</w:t>
      </w:r>
      <w:r w:rsidRPr="00143E3D">
        <w:rPr>
          <w:rFonts w:eastAsia="Arial Unicode MS"/>
          <w:kern w:val="0"/>
          <w:u w:color="000000"/>
          <w:lang w:eastAsia="en-GB"/>
        </w:rPr>
        <w:t>ры определения статуса беженца автор должна предоставить относящуюся к делу фактическую информацию, а директивный орган вправе задавать допо</w:t>
      </w:r>
      <w:r w:rsidRPr="00143E3D">
        <w:rPr>
          <w:rFonts w:eastAsia="Arial Unicode MS"/>
          <w:kern w:val="0"/>
          <w:u w:color="000000"/>
          <w:lang w:eastAsia="en-GB"/>
        </w:rPr>
        <w:t>л</w:t>
      </w:r>
      <w:r w:rsidRPr="00143E3D">
        <w:rPr>
          <w:rFonts w:eastAsia="Arial Unicode MS"/>
          <w:kern w:val="0"/>
          <w:u w:color="000000"/>
          <w:lang w:eastAsia="en-GB"/>
        </w:rPr>
        <w:t>нительные относящиеся к делу вопросы и использовать полученную информ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>цию в рамках правовой системы. Таким образом, нельзя требовать от лица, ищущего убежище, чтобы оно использовало в своем ходатайстве о предоста</w:t>
      </w:r>
      <w:r w:rsidRPr="00143E3D">
        <w:rPr>
          <w:rFonts w:eastAsia="Arial Unicode MS"/>
          <w:kern w:val="0"/>
          <w:u w:color="000000"/>
          <w:lang w:eastAsia="en-GB"/>
        </w:rPr>
        <w:t>в</w:t>
      </w:r>
      <w:r w:rsidRPr="00143E3D">
        <w:rPr>
          <w:rFonts w:eastAsia="Arial Unicode MS"/>
          <w:kern w:val="0"/>
          <w:u w:color="000000"/>
          <w:lang w:eastAsia="en-GB"/>
        </w:rPr>
        <w:t xml:space="preserve">лении убежища такие формулировки, как </w:t>
      </w:r>
      <w:r>
        <w:rPr>
          <w:rFonts w:eastAsia="Arial Unicode MS"/>
          <w:kern w:val="0"/>
          <w:u w:color="000000"/>
          <w:lang w:eastAsia="en-GB"/>
        </w:rPr>
        <w:t>«</w:t>
      </w:r>
      <w:r w:rsidRPr="00143E3D">
        <w:rPr>
          <w:rFonts w:eastAsia="Arial Unicode MS"/>
          <w:kern w:val="0"/>
          <w:u w:color="000000"/>
          <w:lang w:eastAsia="en-GB"/>
        </w:rPr>
        <w:t>дискриминация по признаку пола</w:t>
      </w:r>
      <w:r>
        <w:rPr>
          <w:rFonts w:eastAsia="Arial Unicode MS"/>
          <w:kern w:val="0"/>
          <w:u w:color="000000"/>
          <w:lang w:eastAsia="en-GB"/>
        </w:rPr>
        <w:t>»</w:t>
      </w:r>
      <w:r w:rsidRPr="00143E3D">
        <w:rPr>
          <w:rFonts w:eastAsia="Arial Unicode MS"/>
          <w:kern w:val="0"/>
          <w:u w:color="000000"/>
          <w:lang w:eastAsia="en-GB"/>
        </w:rPr>
        <w:t xml:space="preserve"> и/или </w:t>
      </w:r>
      <w:r>
        <w:rPr>
          <w:rFonts w:eastAsia="Arial Unicode MS"/>
          <w:kern w:val="0"/>
          <w:u w:color="000000"/>
          <w:lang w:eastAsia="en-GB"/>
        </w:rPr>
        <w:t>«</w:t>
      </w:r>
      <w:r w:rsidRPr="00143E3D">
        <w:rPr>
          <w:rFonts w:eastAsia="Arial Unicode MS"/>
          <w:kern w:val="0"/>
          <w:u w:color="000000"/>
          <w:lang w:eastAsia="en-GB"/>
        </w:rPr>
        <w:t>преследование по гендерному признаку</w:t>
      </w:r>
      <w:r>
        <w:rPr>
          <w:rFonts w:eastAsia="Arial Unicode MS"/>
          <w:kern w:val="0"/>
          <w:u w:color="000000"/>
          <w:lang w:eastAsia="en-GB"/>
        </w:rPr>
        <w:t>»</w:t>
      </w:r>
      <w:r w:rsidRPr="00143E3D">
        <w:rPr>
          <w:rFonts w:eastAsia="Arial Unicode MS"/>
          <w:kern w:val="0"/>
          <w:u w:color="000000"/>
          <w:lang w:eastAsia="en-GB"/>
        </w:rPr>
        <w:t>. Скорее, лицо, ищущее уб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жище, должно предоставить факты или привести основания для дискримин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>ции по признаку пола и/или преследования по гендерному признаку. Автор сделала это, и государству-участнику должно быть этого достаточно для того, чтобы дать определение ее ходатайству в полном соответствии с этими аспе</w:t>
      </w:r>
      <w:r w:rsidRPr="00143E3D">
        <w:rPr>
          <w:rFonts w:eastAsia="Arial Unicode MS"/>
          <w:kern w:val="0"/>
          <w:u w:color="000000"/>
          <w:lang w:eastAsia="en-GB"/>
        </w:rPr>
        <w:t>к</w:t>
      </w:r>
      <w:r w:rsidRPr="00143E3D">
        <w:rPr>
          <w:rFonts w:eastAsia="Arial Unicode MS"/>
          <w:kern w:val="0"/>
          <w:u w:color="000000"/>
          <w:lang w:eastAsia="en-GB"/>
        </w:rPr>
        <w:t>тами.</w:t>
      </w:r>
    </w:p>
    <w:p w:rsidR="001D61F0" w:rsidRPr="00143E3D" w:rsidRDefault="001D61F0" w:rsidP="001D61F0">
      <w:pPr>
        <w:pStyle w:val="SingleTxt"/>
        <w:rPr>
          <w:rFonts w:eastAsia="Arial Unicode MS"/>
          <w:kern w:val="0"/>
          <w:u w:color="000000"/>
          <w:lang w:eastAsia="en-GB"/>
        </w:rPr>
      </w:pPr>
      <w:r w:rsidRPr="00143E3D">
        <w:rPr>
          <w:rFonts w:eastAsia="Arial Unicode MS"/>
          <w:kern w:val="0"/>
          <w:u w:color="000000"/>
          <w:lang w:eastAsia="en-GB"/>
        </w:rPr>
        <w:t>13.</w:t>
      </w:r>
      <w:r w:rsidRPr="00143E3D">
        <w:rPr>
          <w:rFonts w:eastAsia="Arial Unicode MS"/>
          <w:kern w:val="0"/>
          <w:u w:color="000000"/>
          <w:lang w:eastAsia="en-GB"/>
        </w:rPr>
        <w:tab/>
        <w:t>В соответствии со статьями 2(c) и 2(d) государство-участник обязуется гарантировать проведение процедуры рассмотрения прошения о предоставл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нии убежища таким образом, чтобы претензии женщин были надлежащим о</w:t>
      </w:r>
      <w:r w:rsidRPr="00143E3D">
        <w:rPr>
          <w:rFonts w:eastAsia="Arial Unicode MS"/>
          <w:kern w:val="0"/>
          <w:u w:color="000000"/>
          <w:lang w:eastAsia="en-GB"/>
        </w:rPr>
        <w:t>б</w:t>
      </w:r>
      <w:r w:rsidRPr="00143E3D">
        <w:rPr>
          <w:rFonts w:eastAsia="Arial Unicode MS"/>
          <w:kern w:val="0"/>
          <w:u w:color="000000"/>
          <w:lang w:eastAsia="en-GB"/>
        </w:rPr>
        <w:t>разом выслушаны и оценены, в частности потому, что женщины могут не знать мотивов или причин предпринимаемых против них действий и пресл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дующих их лиц, как это имело место в данном случае. Во время процедуры определения статуса беженца из-за особой уязвимости лиц, ищущих убежище, бремя доказательства возлагается как на лицо, занимающееся рассмотрением ходатайства, так и на лицо, ищущее убежище</w:t>
      </w:r>
      <w:r w:rsidRPr="00087FA1">
        <w:rPr>
          <w:rFonts w:eastAsia="Arial Unicode MS"/>
          <w:kern w:val="0"/>
          <w:u w:color="000000"/>
          <w:vertAlign w:val="superscript"/>
          <w:lang w:eastAsia="en-GB"/>
        </w:rPr>
        <w:footnoteReference w:customMarkFollows="1" w:id="40"/>
        <w:t>3</w:t>
      </w:r>
      <w:r w:rsidRPr="00143E3D">
        <w:rPr>
          <w:rFonts w:eastAsia="Arial Unicode MS"/>
          <w:kern w:val="0"/>
          <w:u w:color="000000"/>
          <w:lang w:eastAsia="en-GB"/>
        </w:rPr>
        <w:t>. Следует отметить, что сущес</w:t>
      </w:r>
      <w:r w:rsidRPr="00143E3D">
        <w:rPr>
          <w:rFonts w:eastAsia="Arial Unicode MS"/>
          <w:kern w:val="0"/>
          <w:u w:color="000000"/>
          <w:lang w:eastAsia="en-GB"/>
        </w:rPr>
        <w:t>т</w:t>
      </w:r>
      <w:r w:rsidRPr="00143E3D">
        <w:rPr>
          <w:rFonts w:eastAsia="Arial Unicode MS"/>
          <w:kern w:val="0"/>
          <w:u w:color="000000"/>
          <w:lang w:eastAsia="en-GB"/>
        </w:rPr>
        <w:t xml:space="preserve">вуют расхождения между тем, как факты представлены государством-участником и автором. Например, государство-участник указывает, что </w:t>
      </w:r>
      <w:r>
        <w:rPr>
          <w:rFonts w:eastAsia="Arial Unicode MS"/>
          <w:kern w:val="0"/>
          <w:u w:color="000000"/>
          <w:lang w:eastAsia="en-GB"/>
        </w:rPr>
        <w:t>«</w:t>
      </w:r>
      <w:r w:rsidRPr="00143E3D">
        <w:rPr>
          <w:kern w:val="0"/>
        </w:rPr>
        <w:t>К</w:t>
      </w:r>
      <w:r w:rsidRPr="00143E3D">
        <w:rPr>
          <w:kern w:val="0"/>
        </w:rPr>
        <w:t>о</w:t>
      </w:r>
      <w:r w:rsidRPr="00143E3D">
        <w:rPr>
          <w:kern w:val="0"/>
        </w:rPr>
        <w:t>миссия не выявила никаких свидетельств того, что изнасилование автора тремя неизвестными мужчинами было связано с ее деятельностью в НОФ</w:t>
      </w:r>
      <w:r>
        <w:rPr>
          <w:kern w:val="0"/>
        </w:rPr>
        <w:t>»</w:t>
      </w:r>
      <w:r w:rsidRPr="00143E3D">
        <w:rPr>
          <w:kern w:val="0"/>
        </w:rPr>
        <w:t xml:space="preserve"> (пункт</w:t>
      </w:r>
      <w:r w:rsidRPr="00143E3D">
        <w:rPr>
          <w:rFonts w:eastAsia="Arial Unicode MS"/>
          <w:kern w:val="0"/>
          <w:u w:color="000000"/>
          <w:lang w:eastAsia="en-GB"/>
        </w:rPr>
        <w:t xml:space="preserve"> 4.3) и </w:t>
      </w:r>
      <w:r>
        <w:rPr>
          <w:rFonts w:eastAsia="Arial Unicode MS"/>
          <w:kern w:val="0"/>
          <w:u w:color="000000"/>
          <w:lang w:eastAsia="en-GB"/>
        </w:rPr>
        <w:t>«</w:t>
      </w:r>
      <w:r w:rsidRPr="00143E3D">
        <w:rPr>
          <w:kern w:val="0"/>
        </w:rPr>
        <w:t>что в ходе внутренних процедур автор ни разу не заявляла, что изнас</w:t>
      </w:r>
      <w:r w:rsidRPr="00143E3D">
        <w:rPr>
          <w:kern w:val="0"/>
        </w:rPr>
        <w:t>и</w:t>
      </w:r>
      <w:r w:rsidRPr="00143E3D">
        <w:rPr>
          <w:kern w:val="0"/>
        </w:rPr>
        <w:t>лование представляло собой случай политически мотивированного преслед</w:t>
      </w:r>
      <w:r w:rsidRPr="00143E3D">
        <w:rPr>
          <w:kern w:val="0"/>
        </w:rPr>
        <w:t>о</w:t>
      </w:r>
      <w:r w:rsidRPr="00143E3D">
        <w:rPr>
          <w:kern w:val="0"/>
        </w:rPr>
        <w:t>вания</w:t>
      </w:r>
      <w:r>
        <w:rPr>
          <w:kern w:val="0"/>
        </w:rPr>
        <w:t>»</w:t>
      </w:r>
      <w:r w:rsidRPr="00143E3D">
        <w:rPr>
          <w:rFonts w:eastAsia="Arial Unicode MS"/>
          <w:kern w:val="0"/>
          <w:u w:color="000000"/>
          <w:lang w:eastAsia="en-GB"/>
        </w:rPr>
        <w:t xml:space="preserve"> (пункт 6.2). С другой стороны, автор утверждает, что она </w:t>
      </w:r>
      <w:r>
        <w:rPr>
          <w:rFonts w:eastAsia="Arial Unicode MS"/>
          <w:kern w:val="0"/>
          <w:u w:color="000000"/>
          <w:lang w:eastAsia="en-GB"/>
        </w:rPr>
        <w:t>«</w:t>
      </w:r>
      <w:r w:rsidRPr="00143E3D">
        <w:rPr>
          <w:kern w:val="0"/>
        </w:rPr>
        <w:t>сообщила Комиссии о том, что ее изнасиловали трое мужчин, являвшихся, по ее мнению, членами связанного с правящей партией добровольческого формирования, о</w:t>
      </w:r>
      <w:r w:rsidRPr="00143E3D">
        <w:rPr>
          <w:kern w:val="0"/>
        </w:rPr>
        <w:t>д</w:t>
      </w:r>
      <w:r w:rsidRPr="00143E3D">
        <w:rPr>
          <w:kern w:val="0"/>
        </w:rPr>
        <w:t>нако никаких доказательств этого у нее нет</w:t>
      </w:r>
      <w:r>
        <w:rPr>
          <w:kern w:val="0"/>
        </w:rPr>
        <w:t>»</w:t>
      </w:r>
      <w:r w:rsidRPr="00143E3D">
        <w:rPr>
          <w:kern w:val="0"/>
        </w:rPr>
        <w:t xml:space="preserve"> </w:t>
      </w:r>
      <w:r w:rsidRPr="00143E3D">
        <w:rPr>
          <w:rFonts w:eastAsia="Arial Unicode MS"/>
          <w:kern w:val="0"/>
          <w:u w:color="000000"/>
          <w:lang w:eastAsia="en-GB"/>
        </w:rPr>
        <w:t>(пункт</w:t>
      </w:r>
      <w:r>
        <w:rPr>
          <w:rFonts w:eastAsia="Arial Unicode MS"/>
          <w:kern w:val="0"/>
          <w:u w:color="000000"/>
          <w:lang w:eastAsia="en-GB"/>
        </w:rPr>
        <w:t> </w:t>
      </w:r>
      <w:r w:rsidRPr="00143E3D">
        <w:rPr>
          <w:rFonts w:eastAsia="Arial Unicode MS"/>
          <w:kern w:val="0"/>
          <w:u w:color="000000"/>
          <w:lang w:eastAsia="en-GB"/>
        </w:rPr>
        <w:t xml:space="preserve">5.8). Она заявила также, что </w:t>
      </w:r>
      <w:r>
        <w:rPr>
          <w:rFonts w:eastAsia="Arial Unicode MS"/>
          <w:kern w:val="0"/>
          <w:u w:color="000000"/>
          <w:lang w:eastAsia="en-GB"/>
        </w:rPr>
        <w:t>«</w:t>
      </w:r>
      <w:r w:rsidRPr="00143E3D">
        <w:rPr>
          <w:kern w:val="0"/>
        </w:rPr>
        <w:t xml:space="preserve">государство-участник, по-видимому, считает, что </w:t>
      </w:r>
      <w:r>
        <w:rPr>
          <w:kern w:val="0"/>
        </w:rPr>
        <w:t>«</w:t>
      </w:r>
      <w:r w:rsidRPr="00143E3D">
        <w:rPr>
          <w:kern w:val="0"/>
        </w:rPr>
        <w:t>изнасилования – это некое объективное явление, от которого женщинам приходится страдать в ко</w:t>
      </w:r>
      <w:r w:rsidRPr="00143E3D">
        <w:rPr>
          <w:kern w:val="0"/>
        </w:rPr>
        <w:t>н</w:t>
      </w:r>
      <w:r w:rsidRPr="00143E3D">
        <w:rPr>
          <w:kern w:val="0"/>
        </w:rPr>
        <w:t>фликтных ситуациях на территории Африки</w:t>
      </w:r>
      <w:r>
        <w:rPr>
          <w:kern w:val="0"/>
        </w:rPr>
        <w:t>»</w:t>
      </w:r>
      <w:r w:rsidRPr="00143E3D">
        <w:rPr>
          <w:kern w:val="0"/>
        </w:rPr>
        <w:t xml:space="preserve"> и что женщины не могут быть объектом преследований по политическим мотивам</w:t>
      </w:r>
      <w:r>
        <w:rPr>
          <w:kern w:val="0"/>
        </w:rPr>
        <w:t>»</w:t>
      </w:r>
      <w:r w:rsidRPr="00143E3D">
        <w:rPr>
          <w:kern w:val="0"/>
        </w:rPr>
        <w:t xml:space="preserve"> (пункт </w:t>
      </w:r>
      <w:r w:rsidRPr="00143E3D">
        <w:rPr>
          <w:rFonts w:eastAsia="Arial Unicode MS"/>
          <w:kern w:val="0"/>
          <w:u w:color="000000"/>
          <w:lang w:eastAsia="en-GB"/>
        </w:rPr>
        <w:t xml:space="preserve">5.9). Затем автор поясняет (пункт 7.2), что: </w:t>
      </w:r>
    </w:p>
    <w:p w:rsidR="001D61F0" w:rsidRPr="00143E3D" w:rsidRDefault="001D61F0" w:rsidP="001D61F0">
      <w:pPr>
        <w:pStyle w:val="SingleTxt"/>
        <w:ind w:left="1742"/>
        <w:rPr>
          <w:rFonts w:eastAsia="Arial Unicode MS"/>
          <w:kern w:val="0"/>
          <w:u w:color="000000"/>
          <w:lang w:eastAsia="en-GB"/>
        </w:rPr>
      </w:pPr>
      <w:r>
        <w:rPr>
          <w:kern w:val="0"/>
        </w:rPr>
        <w:t>«</w:t>
      </w:r>
      <w:r w:rsidRPr="00143E3D">
        <w:rPr>
          <w:kern w:val="0"/>
        </w:rPr>
        <w:t>Тот факт, что в ходе собеседования в Апелляционной комиссии по д</w:t>
      </w:r>
      <w:r w:rsidRPr="00143E3D">
        <w:rPr>
          <w:kern w:val="0"/>
        </w:rPr>
        <w:t>е</w:t>
      </w:r>
      <w:r w:rsidRPr="00143E3D">
        <w:rPr>
          <w:kern w:val="0"/>
        </w:rPr>
        <w:t>лам беженцев она заявила, что не знает тех, кто на нее напал, означает не то, что нападение на нее было совершено случайно, а то, что ей было н</w:t>
      </w:r>
      <w:r w:rsidRPr="00143E3D">
        <w:rPr>
          <w:kern w:val="0"/>
        </w:rPr>
        <w:t>е</w:t>
      </w:r>
      <w:r w:rsidRPr="00143E3D">
        <w:rPr>
          <w:kern w:val="0"/>
        </w:rPr>
        <w:t>известно, кто его совершил. Она вновь повторяет, что у нее сложилось четкое представление, что напавшие на нее лица принимали участие в атаке на ее город. После того как она была изнасилована, один из пр</w:t>
      </w:r>
      <w:r w:rsidRPr="00143E3D">
        <w:rPr>
          <w:kern w:val="0"/>
        </w:rPr>
        <w:t>е</w:t>
      </w:r>
      <w:r w:rsidRPr="00143E3D">
        <w:rPr>
          <w:kern w:val="0"/>
        </w:rPr>
        <w:t>ступников хотел убить ее, однако другой член группы остановил его, ск</w:t>
      </w:r>
      <w:r w:rsidRPr="00143E3D">
        <w:rPr>
          <w:kern w:val="0"/>
        </w:rPr>
        <w:t>а</w:t>
      </w:r>
      <w:r w:rsidRPr="00143E3D">
        <w:rPr>
          <w:kern w:val="0"/>
        </w:rPr>
        <w:t xml:space="preserve">зав, что то, что они с ней сделали, </w:t>
      </w:r>
      <w:r>
        <w:rPr>
          <w:kern w:val="0"/>
        </w:rPr>
        <w:t>«</w:t>
      </w:r>
      <w:r w:rsidRPr="00143E3D">
        <w:rPr>
          <w:kern w:val="0"/>
        </w:rPr>
        <w:t>хуже, чем смерть</w:t>
      </w:r>
      <w:r>
        <w:rPr>
          <w:kern w:val="0"/>
        </w:rPr>
        <w:t>»</w:t>
      </w:r>
      <w:r w:rsidRPr="00143E3D">
        <w:rPr>
          <w:kern w:val="0"/>
        </w:rPr>
        <w:t>.</w:t>
      </w:r>
      <w:r w:rsidRPr="00143E3D">
        <w:rPr>
          <w:rFonts w:eastAsia="Arial Unicode MS"/>
          <w:kern w:val="0"/>
          <w:u w:color="000000"/>
          <w:lang w:eastAsia="en-GB"/>
        </w:rPr>
        <w:t xml:space="preserve"> </w:t>
      </w:r>
      <w:r w:rsidRPr="00143E3D">
        <w:rPr>
          <w:kern w:val="0"/>
        </w:rPr>
        <w:t>После этого му</w:t>
      </w:r>
      <w:r w:rsidRPr="00143E3D">
        <w:rPr>
          <w:kern w:val="0"/>
        </w:rPr>
        <w:t>ж</w:t>
      </w:r>
      <w:r w:rsidRPr="00143E3D">
        <w:rPr>
          <w:kern w:val="0"/>
        </w:rPr>
        <w:t>чины отпустили ее. Автор добавляет, что изнасилование является средс</w:t>
      </w:r>
      <w:r w:rsidRPr="00143E3D">
        <w:rPr>
          <w:kern w:val="0"/>
        </w:rPr>
        <w:t>т</w:t>
      </w:r>
      <w:r w:rsidRPr="00143E3D">
        <w:rPr>
          <w:kern w:val="0"/>
        </w:rPr>
        <w:t>вом запугивания женщин из числа членов оппозиции, с тем чтобы во</w:t>
      </w:r>
      <w:r w:rsidRPr="00143E3D">
        <w:rPr>
          <w:kern w:val="0"/>
        </w:rPr>
        <w:t>с</w:t>
      </w:r>
      <w:r w:rsidRPr="00143E3D">
        <w:rPr>
          <w:kern w:val="0"/>
        </w:rPr>
        <w:t>препятствовать их дальнейшему участию в политической деятельн</w:t>
      </w:r>
      <w:r w:rsidRPr="00143E3D">
        <w:rPr>
          <w:kern w:val="0"/>
        </w:rPr>
        <w:t>о</w:t>
      </w:r>
      <w:r w:rsidRPr="00143E3D">
        <w:rPr>
          <w:kern w:val="0"/>
        </w:rPr>
        <w:t>сти</w:t>
      </w:r>
      <w:r>
        <w:rPr>
          <w:kern w:val="0"/>
        </w:rPr>
        <w:t>»</w:t>
      </w:r>
      <w:r w:rsidRPr="00143E3D">
        <w:rPr>
          <w:kern w:val="0"/>
        </w:rPr>
        <w:t>.</w:t>
      </w:r>
    </w:p>
    <w:p w:rsidR="001D61F0" w:rsidRPr="00143E3D" w:rsidRDefault="001D61F0" w:rsidP="001D61F0">
      <w:pPr>
        <w:pStyle w:val="SingleTxt"/>
        <w:rPr>
          <w:rFonts w:eastAsia="Arial Unicode MS"/>
          <w:kern w:val="0"/>
          <w:u w:color="000000"/>
          <w:lang w:eastAsia="en-GB"/>
        </w:rPr>
      </w:pPr>
      <w:r w:rsidRPr="00143E3D">
        <w:rPr>
          <w:rFonts w:eastAsia="Arial Unicode MS"/>
          <w:kern w:val="0"/>
          <w:u w:color="000000"/>
          <w:lang w:eastAsia="en-GB"/>
        </w:rPr>
        <w:t>14.</w:t>
      </w:r>
      <w:r w:rsidRPr="00143E3D">
        <w:rPr>
          <w:rFonts w:eastAsia="Arial Unicode MS"/>
          <w:kern w:val="0"/>
          <w:u w:color="000000"/>
          <w:lang w:eastAsia="en-GB"/>
        </w:rPr>
        <w:tab/>
      </w:r>
      <w:r w:rsidRPr="00143E3D">
        <w:rPr>
          <w:kern w:val="0"/>
        </w:rPr>
        <w:t xml:space="preserve">Автор также вновь заявляет, что она не знает, являлись ли нападавшие членами формирования </w:t>
      </w:r>
      <w:r>
        <w:rPr>
          <w:kern w:val="0"/>
        </w:rPr>
        <w:t>«</w:t>
      </w:r>
      <w:r w:rsidRPr="00143E3D">
        <w:rPr>
          <w:kern w:val="0"/>
        </w:rPr>
        <w:t>имберакуре</w:t>
      </w:r>
      <w:r>
        <w:rPr>
          <w:kern w:val="0"/>
        </w:rPr>
        <w:t>»</w:t>
      </w:r>
      <w:r w:rsidRPr="00143E3D">
        <w:rPr>
          <w:kern w:val="0"/>
        </w:rPr>
        <w:t>, однако вновь повторяет, что они были сторонниками правительства Бурунди. Она отвергает утверждение государс</w:t>
      </w:r>
      <w:r w:rsidRPr="00143E3D">
        <w:rPr>
          <w:kern w:val="0"/>
        </w:rPr>
        <w:t>т</w:t>
      </w:r>
      <w:r w:rsidRPr="00143E3D">
        <w:rPr>
          <w:kern w:val="0"/>
        </w:rPr>
        <w:t>ва-участника о том, что она не считала изнасилование политически мотивир</w:t>
      </w:r>
      <w:r w:rsidRPr="00143E3D">
        <w:rPr>
          <w:kern w:val="0"/>
        </w:rPr>
        <w:t>о</w:t>
      </w:r>
      <w:r w:rsidRPr="00143E3D">
        <w:rPr>
          <w:kern w:val="0"/>
        </w:rPr>
        <w:t>ванным актом, и настаивает, что у нее нет никаких сомнений в том, что пр</w:t>
      </w:r>
      <w:r w:rsidRPr="00143E3D">
        <w:rPr>
          <w:kern w:val="0"/>
        </w:rPr>
        <w:t>е</w:t>
      </w:r>
      <w:r w:rsidRPr="00143E3D">
        <w:rPr>
          <w:kern w:val="0"/>
        </w:rPr>
        <w:t>ступники являлись сторонниками пр</w:t>
      </w:r>
      <w:r w:rsidRPr="00143E3D">
        <w:rPr>
          <w:kern w:val="0"/>
        </w:rPr>
        <w:t>а</w:t>
      </w:r>
      <w:r w:rsidRPr="00143E3D">
        <w:rPr>
          <w:kern w:val="0"/>
        </w:rPr>
        <w:t>вительства</w:t>
      </w:r>
      <w:r>
        <w:rPr>
          <w:kern w:val="0"/>
        </w:rPr>
        <w:t>»</w:t>
      </w:r>
      <w:r w:rsidRPr="00143E3D">
        <w:rPr>
          <w:kern w:val="0"/>
        </w:rPr>
        <w:t xml:space="preserve"> </w:t>
      </w:r>
      <w:r w:rsidRPr="00143E3D">
        <w:rPr>
          <w:rFonts w:eastAsia="Arial Unicode MS"/>
          <w:kern w:val="0"/>
          <w:u w:color="000000"/>
          <w:lang w:eastAsia="en-GB"/>
        </w:rPr>
        <w:t>(пункт 7.3).</w:t>
      </w:r>
    </w:p>
    <w:p w:rsidR="001D61F0" w:rsidRPr="00143E3D" w:rsidRDefault="001D61F0" w:rsidP="001D61F0">
      <w:pPr>
        <w:pStyle w:val="SingleTxt"/>
        <w:rPr>
          <w:rFonts w:eastAsia="Arial Unicode MS"/>
          <w:kern w:val="0"/>
          <w:u w:color="000000"/>
          <w:lang w:eastAsia="en-GB"/>
        </w:rPr>
      </w:pPr>
      <w:r w:rsidRPr="00143E3D">
        <w:rPr>
          <w:rFonts w:eastAsia="Arial Unicode MS"/>
          <w:kern w:val="0"/>
          <w:u w:color="000000"/>
          <w:lang w:eastAsia="en-GB"/>
        </w:rPr>
        <w:t>15.</w:t>
      </w:r>
      <w:r w:rsidRPr="00143E3D">
        <w:rPr>
          <w:rFonts w:eastAsia="Arial Unicode MS"/>
          <w:kern w:val="0"/>
          <w:u w:color="000000"/>
          <w:lang w:eastAsia="en-GB"/>
        </w:rPr>
        <w:tab/>
        <w:t>Факт изнасилования, описанный автором (тремя мужчинами, вооруже</w:t>
      </w:r>
      <w:r w:rsidRPr="00143E3D">
        <w:rPr>
          <w:rFonts w:eastAsia="Arial Unicode MS"/>
          <w:kern w:val="0"/>
          <w:u w:color="000000"/>
          <w:lang w:eastAsia="en-GB"/>
        </w:rPr>
        <w:t>н</w:t>
      </w:r>
      <w:r w:rsidRPr="00143E3D">
        <w:rPr>
          <w:rFonts w:eastAsia="Arial Unicode MS"/>
          <w:kern w:val="0"/>
          <w:u w:color="000000"/>
          <w:lang w:eastAsia="en-GB"/>
        </w:rPr>
        <w:t>ными ножами), не оспаривается государством-участником, но государство-участник оспаривает то, что такое изнасилование при таких обстоятельствах является отдельным основанием или одним из взаимопереплетающихся осн</w:t>
      </w:r>
      <w:r w:rsidRPr="00143E3D">
        <w:rPr>
          <w:rFonts w:eastAsia="Arial Unicode MS"/>
          <w:kern w:val="0"/>
          <w:u w:color="000000"/>
          <w:lang w:eastAsia="en-GB"/>
        </w:rPr>
        <w:t>о</w:t>
      </w:r>
      <w:r w:rsidRPr="00143E3D">
        <w:rPr>
          <w:rFonts w:eastAsia="Arial Unicode MS"/>
          <w:kern w:val="0"/>
          <w:u w:color="000000"/>
          <w:lang w:eastAsia="en-GB"/>
        </w:rPr>
        <w:t>ваний для квалификации его как преследование по гендерному признаку в с</w:t>
      </w:r>
      <w:r w:rsidRPr="00143E3D">
        <w:rPr>
          <w:rFonts w:eastAsia="Arial Unicode MS"/>
          <w:kern w:val="0"/>
          <w:u w:color="000000"/>
          <w:lang w:eastAsia="en-GB"/>
        </w:rPr>
        <w:t>о</w:t>
      </w:r>
      <w:r w:rsidRPr="00143E3D">
        <w:rPr>
          <w:rFonts w:eastAsia="Arial Unicode MS"/>
          <w:kern w:val="0"/>
          <w:u w:color="000000"/>
          <w:lang w:eastAsia="en-GB"/>
        </w:rPr>
        <w:t>ответствии с Конвенцией о статусе беженцев и как дискриминация по призн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>ку пола в соответствии с Конвенцией о л</w:t>
      </w:r>
      <w:r w:rsidRPr="00143E3D">
        <w:rPr>
          <w:rFonts w:eastAsia="Arial Unicode MS"/>
          <w:kern w:val="0"/>
          <w:u w:color="000000"/>
          <w:lang w:eastAsia="en-GB"/>
        </w:rPr>
        <w:t>и</w:t>
      </w:r>
      <w:r w:rsidRPr="00143E3D">
        <w:rPr>
          <w:rFonts w:eastAsia="Arial Unicode MS"/>
          <w:kern w:val="0"/>
          <w:u w:color="000000"/>
          <w:lang w:eastAsia="en-GB"/>
        </w:rPr>
        <w:t>квидации всех форм дискриминации в отношении женщин. Изнасилование является самой общеизвестной формой сексуального насилия в отношении женщин из-за их половой или гендерной принадлежности. Оно является формой преследования по гендерному призн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>ку в соответствии с Конвенцией о статусе беженцев и дискриминацией по пр</w:t>
      </w:r>
      <w:r w:rsidRPr="00143E3D">
        <w:rPr>
          <w:rFonts w:eastAsia="Arial Unicode MS"/>
          <w:kern w:val="0"/>
          <w:u w:color="000000"/>
          <w:lang w:eastAsia="en-GB"/>
        </w:rPr>
        <w:t>и</w:t>
      </w:r>
      <w:r w:rsidRPr="00143E3D">
        <w:rPr>
          <w:rFonts w:eastAsia="Arial Unicode MS"/>
          <w:kern w:val="0"/>
          <w:u w:color="000000"/>
          <w:lang w:eastAsia="en-GB"/>
        </w:rPr>
        <w:t>знаку пола/гендерному признаку и актом насилия в отношении женщины в с</w:t>
      </w:r>
      <w:r w:rsidRPr="00143E3D">
        <w:rPr>
          <w:rFonts w:eastAsia="Arial Unicode MS"/>
          <w:kern w:val="0"/>
          <w:u w:color="000000"/>
          <w:lang w:eastAsia="en-GB"/>
        </w:rPr>
        <w:t>о</w:t>
      </w:r>
      <w:r w:rsidRPr="00143E3D">
        <w:rPr>
          <w:rFonts w:eastAsia="Arial Unicode MS"/>
          <w:kern w:val="0"/>
          <w:u w:color="000000"/>
          <w:lang w:eastAsia="en-GB"/>
        </w:rPr>
        <w:t>ответствии с Конвенцией о ликвидации всех форм дискриминации в отнош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нии женщин. Изнасилование считается жестоким, если оно совершено группой лиц, как это было в данном случае, но государство-участник полностью пр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небрегает этим. Изнасилование приносит серьезную психологическую и физ</w:t>
      </w:r>
      <w:r w:rsidRPr="00143E3D">
        <w:rPr>
          <w:rFonts w:eastAsia="Arial Unicode MS"/>
          <w:kern w:val="0"/>
          <w:u w:color="000000"/>
          <w:lang w:eastAsia="en-GB"/>
        </w:rPr>
        <w:t>и</w:t>
      </w:r>
      <w:r w:rsidRPr="00143E3D">
        <w:rPr>
          <w:rFonts w:eastAsia="Arial Unicode MS"/>
          <w:kern w:val="0"/>
          <w:u w:color="000000"/>
          <w:lang w:eastAsia="en-GB"/>
        </w:rPr>
        <w:t>ческую боль и страдания и приводит к разрушению ячейки общества. По этой причине изнасилование было признано особо эффективным инструментом г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ноцида</w:t>
      </w:r>
      <w:r w:rsidRPr="00087FA1">
        <w:rPr>
          <w:rFonts w:eastAsia="Arial Unicode MS"/>
          <w:kern w:val="0"/>
          <w:u w:color="000000"/>
          <w:vertAlign w:val="superscript"/>
          <w:lang w:eastAsia="en-GB"/>
        </w:rPr>
        <w:footnoteReference w:customMarkFollows="1" w:id="41"/>
        <w:t>4</w:t>
      </w:r>
      <w:r w:rsidRPr="00143E3D">
        <w:rPr>
          <w:rFonts w:eastAsia="Arial Unicode MS"/>
          <w:kern w:val="0"/>
          <w:u w:color="000000"/>
          <w:lang w:eastAsia="en-GB"/>
        </w:rPr>
        <w:t xml:space="preserve"> как преступление против человечности, военное преступление и н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>рушение прав человека</w:t>
      </w:r>
      <w:r w:rsidRPr="00087FA1">
        <w:rPr>
          <w:rFonts w:eastAsia="Arial Unicode MS"/>
          <w:kern w:val="0"/>
          <w:u w:color="000000"/>
          <w:vertAlign w:val="superscript"/>
          <w:lang w:eastAsia="en-GB"/>
        </w:rPr>
        <w:footnoteReference w:customMarkFollows="1" w:id="42"/>
        <w:t>5</w:t>
      </w:r>
      <w:r w:rsidRPr="00143E3D">
        <w:rPr>
          <w:rFonts w:eastAsia="Arial Unicode MS"/>
          <w:kern w:val="0"/>
          <w:u w:color="000000"/>
          <w:lang w:eastAsia="en-GB"/>
        </w:rPr>
        <w:t>. Изнасилование используется государственными и н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государственными субъектами в качестве формы преследования, и в сущес</w:t>
      </w:r>
      <w:r w:rsidRPr="00143E3D">
        <w:rPr>
          <w:rFonts w:eastAsia="Arial Unicode MS"/>
          <w:kern w:val="0"/>
          <w:u w:color="000000"/>
          <w:lang w:eastAsia="en-GB"/>
        </w:rPr>
        <w:t>т</w:t>
      </w:r>
      <w:r w:rsidRPr="00143E3D">
        <w:rPr>
          <w:rFonts w:eastAsia="Arial Unicode MS"/>
          <w:kern w:val="0"/>
          <w:u w:color="000000"/>
          <w:lang w:eastAsia="en-GB"/>
        </w:rPr>
        <w:t>вующих в разных странах руководящих принципах по рассмотрению прош</w:t>
      </w:r>
      <w:r w:rsidRPr="00143E3D">
        <w:rPr>
          <w:rFonts w:eastAsia="Arial Unicode MS"/>
          <w:kern w:val="0"/>
          <w:u w:color="000000"/>
          <w:lang w:eastAsia="en-GB"/>
        </w:rPr>
        <w:t>е</w:t>
      </w:r>
      <w:r w:rsidRPr="00143E3D">
        <w:rPr>
          <w:rFonts w:eastAsia="Arial Unicode MS"/>
          <w:kern w:val="0"/>
          <w:u w:color="000000"/>
          <w:lang w:eastAsia="en-GB"/>
        </w:rPr>
        <w:t>ний о предоставлении статуса беженца конкретно указано, что изнасилование или угроза изнасилования является формой преследования.</w:t>
      </w:r>
    </w:p>
    <w:p w:rsidR="001D61F0" w:rsidRPr="00143E3D" w:rsidRDefault="001D61F0" w:rsidP="001D61F0">
      <w:pPr>
        <w:pStyle w:val="SingleTxt"/>
        <w:rPr>
          <w:rFonts w:eastAsia="Arial Unicode MS"/>
          <w:kern w:val="0"/>
          <w:u w:color="000000"/>
          <w:lang w:eastAsia="en-GB"/>
        </w:rPr>
      </w:pPr>
      <w:r w:rsidRPr="00143E3D">
        <w:rPr>
          <w:rFonts w:eastAsia="Arial Unicode MS"/>
          <w:kern w:val="0"/>
          <w:u w:color="000000"/>
          <w:lang w:eastAsia="en-GB"/>
        </w:rPr>
        <w:t>16.</w:t>
      </w:r>
      <w:r w:rsidRPr="00143E3D">
        <w:rPr>
          <w:rFonts w:eastAsia="Arial Unicode MS"/>
          <w:kern w:val="0"/>
          <w:u w:color="000000"/>
          <w:lang w:eastAsia="en-GB"/>
        </w:rPr>
        <w:tab/>
        <w:t>В данном случае государство-участник определило, что групповое изн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>силование, совершенное тремя вооруженными ножами мужчинами, не имеет отношение к ходатайству автора о предоставлении убежища, и игнорировало его связь с всеоб</w:t>
      </w:r>
      <w:r w:rsidRPr="00143E3D">
        <w:rPr>
          <w:rFonts w:eastAsia="Arial Unicode MS"/>
          <w:kern w:val="0"/>
          <w:u w:color="000000"/>
          <w:lang w:eastAsia="en-GB"/>
        </w:rPr>
        <w:t>ъ</w:t>
      </w:r>
      <w:r w:rsidRPr="00143E3D">
        <w:rPr>
          <w:rFonts w:eastAsia="Arial Unicode MS"/>
          <w:kern w:val="0"/>
          <w:u w:color="000000"/>
          <w:lang w:eastAsia="en-GB"/>
        </w:rPr>
        <w:t>емлющим насилием и безнаказанностью, которые возникают, когда происходит конфликт. Таким образом, государство-участник надлеж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>щим образом не учло обстоятельства, в которых было совершено изнасилов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>ние, в том числе факт безнак</w:t>
      </w:r>
      <w:r w:rsidRPr="00143E3D">
        <w:rPr>
          <w:rFonts w:eastAsia="Arial Unicode MS"/>
          <w:kern w:val="0"/>
          <w:u w:color="000000"/>
          <w:lang w:eastAsia="en-GB"/>
        </w:rPr>
        <w:t>а</w:t>
      </w:r>
      <w:r w:rsidRPr="00143E3D">
        <w:rPr>
          <w:rFonts w:eastAsia="Arial Unicode MS"/>
          <w:kern w:val="0"/>
          <w:u w:color="000000"/>
          <w:lang w:eastAsia="en-GB"/>
        </w:rPr>
        <w:t>занности за преступление. Государство-участник не признало, что изнасилование автора является формой преследования по гендерному признаку и дискриминацией по половому признаку, вызванных одной или несколькими взаимопереплетающим</w:t>
      </w:r>
      <w:r w:rsidRPr="00143E3D">
        <w:rPr>
          <w:rFonts w:eastAsia="Arial Unicode MS"/>
          <w:kern w:val="0"/>
          <w:u w:color="000000"/>
          <w:lang w:eastAsia="en-GB"/>
        </w:rPr>
        <w:t>и</w:t>
      </w:r>
      <w:r w:rsidRPr="00143E3D">
        <w:rPr>
          <w:rFonts w:eastAsia="Arial Unicode MS"/>
          <w:kern w:val="0"/>
          <w:u w:color="000000"/>
          <w:lang w:eastAsia="en-GB"/>
        </w:rPr>
        <w:t>ся причинами. Тем самым оно не смогло установить юридическую защиту автора в соответствии с Конвенц</w:t>
      </w:r>
      <w:r w:rsidRPr="00143E3D">
        <w:rPr>
          <w:rFonts w:eastAsia="Arial Unicode MS"/>
          <w:kern w:val="0"/>
          <w:u w:color="000000"/>
          <w:lang w:eastAsia="en-GB"/>
        </w:rPr>
        <w:t>и</w:t>
      </w:r>
      <w:r w:rsidRPr="00143E3D">
        <w:rPr>
          <w:rFonts w:eastAsia="Arial Unicode MS"/>
          <w:kern w:val="0"/>
          <w:u w:color="000000"/>
          <w:lang w:eastAsia="en-GB"/>
        </w:rPr>
        <w:t>ей о ликвидации всех форм дискриминации в отношении женщин и выполнить свою позитивную обязанность по защите автора от реальной индивидуальной и предвиденной опасности подвергнуться серьезным формам гендерного нас</w:t>
      </w:r>
      <w:r w:rsidRPr="00143E3D">
        <w:rPr>
          <w:rFonts w:eastAsia="Arial Unicode MS"/>
          <w:kern w:val="0"/>
          <w:u w:color="000000"/>
          <w:lang w:eastAsia="en-GB"/>
        </w:rPr>
        <w:t>и</w:t>
      </w:r>
      <w:r w:rsidRPr="00143E3D">
        <w:rPr>
          <w:rFonts w:eastAsia="Arial Unicode MS"/>
          <w:kern w:val="0"/>
          <w:u w:color="000000"/>
          <w:lang w:eastAsia="en-GB"/>
        </w:rPr>
        <w:t xml:space="preserve">лия, если она вернется в Бурунди. </w:t>
      </w:r>
    </w:p>
    <w:p w:rsidR="00B46D7A" w:rsidRPr="001D61F0" w:rsidRDefault="001D61F0" w:rsidP="001D61F0">
      <w:pPr>
        <w:pStyle w:val="SingleTxt"/>
      </w:pPr>
      <w:r w:rsidRPr="00143E3D">
        <w:rPr>
          <w:noProof/>
          <w:kern w:val="0"/>
          <w:lang w:eastAsia="ru-RU"/>
        </w:rPr>
        <w:pict>
          <v:line id="_x0000_s1028" style="position:absolute;left:0;text-align:left;z-index:2" from="229.9pt,66pt" to="292.25pt,66pt" strokeweight=".5pt"/>
        </w:pict>
      </w:r>
      <w:r w:rsidRPr="00143E3D">
        <w:rPr>
          <w:kern w:val="0"/>
        </w:rPr>
        <w:t>[Принято на английском языке. Впоследствии будет опубликовано также на ара</w:t>
      </w:r>
      <w:r w:rsidRPr="00143E3D">
        <w:rPr>
          <w:kern w:val="0"/>
        </w:rPr>
        <w:t>б</w:t>
      </w:r>
      <w:r w:rsidRPr="00143E3D">
        <w:rPr>
          <w:kern w:val="0"/>
        </w:rPr>
        <w:t>ском, китайском, французском, русском и испанском языках.]</w:t>
      </w:r>
    </w:p>
    <w:sectPr w:rsidR="00B46D7A" w:rsidRPr="001D61F0" w:rsidSect="004D7EAD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3-09-09T14:04:00Z" w:initials="Start">
    <w:p w:rsidR="00215329" w:rsidRPr="001D61F0" w:rsidRDefault="00215329">
      <w:pPr>
        <w:pStyle w:val="CommentText"/>
        <w:rPr>
          <w:lang w:val="en-US"/>
        </w:rPr>
      </w:pPr>
      <w:r>
        <w:fldChar w:fldCharType="begin"/>
      </w:r>
      <w:r w:rsidRPr="001D61F0">
        <w:rPr>
          <w:rStyle w:val="CommentReference"/>
          <w:lang w:val="en-US"/>
        </w:rPr>
        <w:instrText xml:space="preserve"> </w:instrText>
      </w:r>
      <w:r w:rsidRPr="001D61F0">
        <w:rPr>
          <w:lang w:val="en-US"/>
        </w:rPr>
        <w:instrText>PAGE \# "'Page: '#'</w:instrText>
      </w:r>
      <w:r w:rsidRPr="001D61F0">
        <w:rPr>
          <w:lang w:val="en-US"/>
        </w:rPr>
        <w:br/>
        <w:instrText>'"</w:instrText>
      </w:r>
      <w:r w:rsidRPr="001D61F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D61F0">
        <w:rPr>
          <w:lang w:val="en-US"/>
        </w:rPr>
        <w:t>&lt;&lt;ODS JOB NO&gt;&gt;N1343088R&lt;&lt;ODS JOB NO&gt;&gt;</w:t>
      </w:r>
    </w:p>
    <w:p w:rsidR="00215329" w:rsidRPr="001D61F0" w:rsidRDefault="00215329">
      <w:pPr>
        <w:pStyle w:val="CommentText"/>
        <w:rPr>
          <w:lang w:val="en-US"/>
        </w:rPr>
      </w:pPr>
      <w:r w:rsidRPr="001D61F0">
        <w:rPr>
          <w:lang w:val="en-US"/>
        </w:rPr>
        <w:t>&lt;&lt;ODS DOC SYMBOL1&gt;&gt;CEDAW/C/55/D/35/2011&lt;&lt;ODS DOC SYMBOL1&gt;&gt;</w:t>
      </w:r>
    </w:p>
    <w:p w:rsidR="00215329" w:rsidRPr="001D61F0" w:rsidRDefault="00215329">
      <w:pPr>
        <w:pStyle w:val="CommentText"/>
        <w:rPr>
          <w:lang w:val="en-US"/>
        </w:rPr>
      </w:pPr>
      <w:r w:rsidRPr="001D61F0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D2" w:rsidRDefault="007955D2">
      <w:r>
        <w:separator/>
      </w:r>
    </w:p>
  </w:endnote>
  <w:endnote w:type="continuationSeparator" w:id="0">
    <w:p w:rsidR="007955D2" w:rsidRDefault="0079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215329" w:rsidTr="004D7EAD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215329" w:rsidRPr="004D7EAD" w:rsidRDefault="00215329" w:rsidP="004D7EAD">
          <w:pPr>
            <w:pStyle w:val="Footer"/>
          </w:pPr>
          <w:fldSimple w:instr=" PAGE  \* Arabic  \* MERGEFORMAT ">
            <w:r>
              <w:t>24</w:t>
            </w:r>
          </w:fldSimple>
          <w:r>
            <w:t>/</w:t>
          </w:r>
          <w:fldSimple w:instr=" NUMPAGES  \* Arabic  \* MERGEFORMAT ">
            <w:r>
              <w:t>25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215329" w:rsidRPr="004D7EAD" w:rsidRDefault="00215329" w:rsidP="004D7EAD">
          <w:pPr>
            <w:pStyle w:val="Footer"/>
            <w:jc w:val="right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13-43088</w:t>
            </w:r>
          </w:fldSimple>
          <w:r>
            <w:rPr>
              <w:b w:val="0"/>
              <w:sz w:val="14"/>
            </w:rPr>
            <w:t xml:space="preserve"> X</w:t>
          </w:r>
        </w:p>
      </w:tc>
    </w:tr>
  </w:tbl>
  <w:p w:rsidR="00215329" w:rsidRPr="004D7EAD" w:rsidRDefault="00215329" w:rsidP="004D7E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215329" w:rsidTr="004D7EAD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215329" w:rsidRPr="004D7EAD" w:rsidRDefault="00215329" w:rsidP="004D7EAD">
          <w:pPr>
            <w:pStyle w:val="Footer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13-43088</w:t>
            </w:r>
          </w:fldSimple>
          <w:r>
            <w:rPr>
              <w:b w:val="0"/>
              <w:sz w:val="14"/>
            </w:rPr>
            <w:t xml:space="preserve"> X</w:t>
          </w:r>
        </w:p>
      </w:tc>
      <w:tc>
        <w:tcPr>
          <w:tcW w:w="5033" w:type="dxa"/>
          <w:shd w:val="clear" w:color="auto" w:fill="auto"/>
          <w:vAlign w:val="bottom"/>
        </w:tcPr>
        <w:p w:rsidR="00215329" w:rsidRPr="004D7EAD" w:rsidRDefault="00215329" w:rsidP="004D7EAD">
          <w:pPr>
            <w:pStyle w:val="Footer"/>
            <w:jc w:val="right"/>
          </w:pPr>
          <w:fldSimple w:instr=" PAGE  \* Arabic  \* MERGEFORMAT ">
            <w:r w:rsidR="003D53B7">
              <w:t>25</w:t>
            </w:r>
          </w:fldSimple>
          <w:r>
            <w:t>/</w:t>
          </w:r>
          <w:fldSimple w:instr=" NUMPAGES  \* Arabic  \* MERGEFORMAT ">
            <w:r>
              <w:t>25</w:t>
            </w:r>
          </w:fldSimple>
        </w:p>
      </w:tc>
    </w:tr>
  </w:tbl>
  <w:p w:rsidR="00215329" w:rsidRPr="004D7EAD" w:rsidRDefault="00215329" w:rsidP="004D7E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29" w:rsidRDefault="00215329">
    <w:pPr>
      <w:pStyle w:val="Footer"/>
    </w:pPr>
  </w:p>
  <w:tbl>
    <w:tblPr>
      <w:tblW w:w="0" w:type="auto"/>
      <w:tblLayout w:type="fixed"/>
      <w:tblLook w:val="0000"/>
    </w:tblPr>
    <w:tblGrid>
      <w:gridCol w:w="3830"/>
      <w:gridCol w:w="5033"/>
    </w:tblGrid>
    <w:tr w:rsidR="00215329" w:rsidTr="004D7EAD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215329" w:rsidRDefault="00215329" w:rsidP="004D7EAD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13-43088 X (R)    090913    090913</w:t>
          </w:r>
        </w:p>
        <w:p w:rsidR="00215329" w:rsidRPr="004D7EAD" w:rsidRDefault="00215329" w:rsidP="004D7EAD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fldSimple w:instr=" DOCVARIABLE &quot;Barcode&quot; \* MERGEFORMAT ">
            <w:r>
              <w:rPr>
                <w:rFonts w:ascii="Barcode 3 of 9 by request" w:hAnsi="Barcode 3 of 9 by request"/>
                <w:b w:val="0"/>
                <w:sz w:val="24"/>
              </w:rPr>
              <w:t>*1343088*</w:t>
            </w:r>
          </w:fldSimple>
        </w:p>
      </w:tc>
      <w:tc>
        <w:tcPr>
          <w:tcW w:w="5033" w:type="dxa"/>
        </w:tcPr>
        <w:p w:rsidR="00215329" w:rsidRDefault="00215329" w:rsidP="004D7EA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 w:rsidRPr="004D7EAD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215329" w:rsidRPr="004D7EAD" w:rsidRDefault="00215329" w:rsidP="004D7EA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D2" w:rsidRPr="00087FA1" w:rsidRDefault="007955D2" w:rsidP="00087FA1">
      <w:pPr>
        <w:pStyle w:val="Footer"/>
        <w:spacing w:after="80"/>
        <w:ind w:left="792"/>
        <w:rPr>
          <w:sz w:val="16"/>
        </w:rPr>
      </w:pPr>
      <w:r w:rsidRPr="00087FA1">
        <w:rPr>
          <w:sz w:val="16"/>
        </w:rPr>
        <w:t>__________________</w:t>
      </w:r>
    </w:p>
  </w:footnote>
  <w:footnote w:type="continuationSeparator" w:id="0">
    <w:p w:rsidR="007955D2" w:rsidRPr="00087FA1" w:rsidRDefault="007955D2" w:rsidP="00087FA1">
      <w:pPr>
        <w:pStyle w:val="Footer"/>
        <w:spacing w:after="80"/>
        <w:ind w:left="792"/>
        <w:rPr>
          <w:sz w:val="16"/>
        </w:rPr>
      </w:pPr>
      <w:r w:rsidRPr="00087FA1">
        <w:rPr>
          <w:sz w:val="16"/>
        </w:rPr>
        <w:t>__________________</w:t>
      </w:r>
    </w:p>
  </w:footnote>
  <w:footnote w:id="1">
    <w:p w:rsidR="00215329" w:rsidRPr="00FD52B4" w:rsidRDefault="00215329" w:rsidP="00087FA1">
      <w:pPr>
        <w:pStyle w:val="a"/>
        <w:tabs>
          <w:tab w:val="clear" w:pos="1045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5"/>
          <w:w w:val="104"/>
        </w:rPr>
      </w:pPr>
      <w:r w:rsidRPr="007F3E81">
        <w:tab/>
        <w:t>*</w:t>
      </w:r>
      <w:r w:rsidRPr="007F3E81">
        <w:tab/>
      </w:r>
      <w:r w:rsidRPr="00FD52B4">
        <w:rPr>
          <w:spacing w:val="5"/>
          <w:w w:val="104"/>
          <w:szCs w:val="17"/>
        </w:rPr>
        <w:t xml:space="preserve">В рассмотрении данного </w:t>
      </w:r>
      <w:r w:rsidRPr="00FD52B4">
        <w:rPr>
          <w:spacing w:val="5"/>
          <w:w w:val="104"/>
          <w:szCs w:val="17"/>
          <w:lang w:val="en-US"/>
        </w:rPr>
        <w:t>c</w:t>
      </w:r>
      <w:r w:rsidRPr="00FD52B4">
        <w:rPr>
          <w:spacing w:val="5"/>
          <w:w w:val="104"/>
          <w:szCs w:val="17"/>
        </w:rPr>
        <w:t>ообщения приняли участие следующие члены Комитета: г-жа</w:t>
      </w:r>
      <w:r>
        <w:rPr>
          <w:spacing w:val="5"/>
          <w:w w:val="104"/>
          <w:szCs w:val="17"/>
        </w:rPr>
        <w:t> </w:t>
      </w:r>
      <w:r w:rsidRPr="00FD52B4">
        <w:rPr>
          <w:spacing w:val="5"/>
          <w:w w:val="104"/>
          <w:szCs w:val="17"/>
        </w:rPr>
        <w:t>Айше Ф</w:t>
      </w:r>
      <w:r w:rsidRPr="00FD52B4">
        <w:rPr>
          <w:spacing w:val="5"/>
          <w:w w:val="104"/>
          <w:szCs w:val="17"/>
        </w:rPr>
        <w:t>е</w:t>
      </w:r>
      <w:r w:rsidRPr="00FD52B4">
        <w:rPr>
          <w:spacing w:val="5"/>
          <w:w w:val="104"/>
          <w:szCs w:val="17"/>
        </w:rPr>
        <w:t>риде Ачар, г</w:t>
      </w:r>
      <w:r w:rsidRPr="00FD52B4">
        <w:rPr>
          <w:spacing w:val="5"/>
          <w:w w:val="104"/>
          <w:szCs w:val="17"/>
        </w:rPr>
        <w:noBreakHyphen/>
        <w:t>жа Нур Аль-Джехани, г</w:t>
      </w:r>
      <w:r w:rsidRPr="00FD52B4">
        <w:rPr>
          <w:spacing w:val="5"/>
          <w:w w:val="104"/>
          <w:szCs w:val="17"/>
        </w:rPr>
        <w:noBreakHyphen/>
        <w:t>жа Николь Амелин, г</w:t>
      </w:r>
      <w:r w:rsidRPr="00FD52B4">
        <w:rPr>
          <w:spacing w:val="5"/>
          <w:w w:val="104"/>
          <w:szCs w:val="17"/>
        </w:rPr>
        <w:noBreakHyphen/>
        <w:t>жа Барбра Бейли, г</w:t>
      </w:r>
      <w:r w:rsidRPr="00FD52B4">
        <w:rPr>
          <w:spacing w:val="5"/>
          <w:w w:val="104"/>
          <w:szCs w:val="17"/>
        </w:rPr>
        <w:noBreakHyphen/>
        <w:t>жа Наела Габр, г</w:t>
      </w:r>
      <w:r w:rsidRPr="00FD52B4">
        <w:rPr>
          <w:spacing w:val="5"/>
          <w:w w:val="104"/>
          <w:szCs w:val="17"/>
        </w:rPr>
        <w:noBreakHyphen/>
        <w:t>жа Хилари Гбедемах, г</w:t>
      </w:r>
      <w:r w:rsidRPr="00FD52B4">
        <w:rPr>
          <w:spacing w:val="5"/>
          <w:w w:val="104"/>
          <w:szCs w:val="17"/>
        </w:rPr>
        <w:noBreakHyphen/>
        <w:t>жа Наела Хайдар, г</w:t>
      </w:r>
      <w:r w:rsidRPr="00FD52B4">
        <w:rPr>
          <w:spacing w:val="5"/>
          <w:w w:val="104"/>
          <w:szCs w:val="17"/>
        </w:rPr>
        <w:noBreakHyphen/>
        <w:t>жа Рут Гальперин-Каддари, г</w:t>
      </w:r>
      <w:r w:rsidRPr="00FD52B4">
        <w:rPr>
          <w:spacing w:val="5"/>
          <w:w w:val="104"/>
          <w:szCs w:val="17"/>
        </w:rPr>
        <w:noBreakHyphen/>
        <w:t>жа Йоко Хаяси, г</w:t>
      </w:r>
      <w:r w:rsidRPr="00FD52B4">
        <w:rPr>
          <w:spacing w:val="5"/>
          <w:w w:val="104"/>
          <w:szCs w:val="17"/>
        </w:rPr>
        <w:noBreakHyphen/>
        <w:t>жа Исмат Джахан, г</w:t>
      </w:r>
      <w:r w:rsidRPr="00FD52B4">
        <w:rPr>
          <w:spacing w:val="5"/>
          <w:w w:val="104"/>
          <w:szCs w:val="17"/>
        </w:rPr>
        <w:noBreakHyphen/>
        <w:t>жа Далия Лейнарт, г</w:t>
      </w:r>
      <w:r w:rsidRPr="00FD52B4">
        <w:rPr>
          <w:spacing w:val="5"/>
          <w:w w:val="104"/>
          <w:szCs w:val="17"/>
        </w:rPr>
        <w:noBreakHyphen/>
        <w:t>жа Виолета Нойбауэр, г</w:t>
      </w:r>
      <w:r w:rsidRPr="00FD52B4">
        <w:rPr>
          <w:spacing w:val="5"/>
          <w:w w:val="104"/>
          <w:szCs w:val="17"/>
        </w:rPr>
        <w:noBreakHyphen/>
        <w:t>жа Теодора Нванкво, г</w:t>
      </w:r>
      <w:r w:rsidRPr="00FD52B4">
        <w:rPr>
          <w:spacing w:val="5"/>
          <w:w w:val="104"/>
          <w:szCs w:val="17"/>
        </w:rPr>
        <w:noBreakHyphen/>
        <w:t>жа Прамила Паттен, г</w:t>
      </w:r>
      <w:r w:rsidRPr="00FD52B4">
        <w:rPr>
          <w:spacing w:val="5"/>
          <w:w w:val="104"/>
          <w:szCs w:val="17"/>
        </w:rPr>
        <w:noBreakHyphen/>
        <w:t>жа Силвия Пиментел, г</w:t>
      </w:r>
      <w:r w:rsidRPr="00FD52B4">
        <w:rPr>
          <w:spacing w:val="5"/>
          <w:w w:val="104"/>
          <w:szCs w:val="17"/>
        </w:rPr>
        <w:noBreakHyphen/>
        <w:t>жа Мария Хелена Пирес, г</w:t>
      </w:r>
      <w:r w:rsidRPr="00FD52B4">
        <w:rPr>
          <w:spacing w:val="5"/>
          <w:w w:val="104"/>
          <w:szCs w:val="17"/>
        </w:rPr>
        <w:noBreakHyphen/>
        <w:t>жа Бьянкамария Пом</w:t>
      </w:r>
      <w:r w:rsidRPr="00FD52B4">
        <w:rPr>
          <w:spacing w:val="5"/>
          <w:w w:val="104"/>
          <w:szCs w:val="17"/>
        </w:rPr>
        <w:t>е</w:t>
      </w:r>
      <w:r w:rsidRPr="00FD52B4">
        <w:rPr>
          <w:spacing w:val="5"/>
          <w:w w:val="104"/>
          <w:szCs w:val="17"/>
        </w:rPr>
        <w:t>ранци, г</w:t>
      </w:r>
      <w:r w:rsidRPr="00FD52B4">
        <w:rPr>
          <w:spacing w:val="5"/>
          <w:w w:val="104"/>
          <w:szCs w:val="17"/>
        </w:rPr>
        <w:noBreakHyphen/>
        <w:t>жа Патриция Шульц, г</w:t>
      </w:r>
      <w:r w:rsidRPr="00FD52B4">
        <w:rPr>
          <w:spacing w:val="5"/>
          <w:w w:val="104"/>
          <w:szCs w:val="17"/>
        </w:rPr>
        <w:noBreakHyphen/>
        <w:t>жа Дубравка Шимонович и г</w:t>
      </w:r>
      <w:r w:rsidRPr="00FD52B4">
        <w:rPr>
          <w:spacing w:val="5"/>
          <w:w w:val="104"/>
          <w:szCs w:val="17"/>
        </w:rPr>
        <w:noBreakHyphen/>
        <w:t>жа Цзоу Сяоцяо.</w:t>
      </w:r>
      <w:r>
        <w:rPr>
          <w:spacing w:val="5"/>
          <w:w w:val="104"/>
          <w:szCs w:val="17"/>
        </w:rPr>
        <w:t xml:space="preserve"> </w:t>
      </w:r>
      <w:r w:rsidRPr="00FD52B4">
        <w:rPr>
          <w:spacing w:val="5"/>
          <w:w w:val="104"/>
          <w:szCs w:val="17"/>
        </w:rPr>
        <w:t>Текст особого (несогласного) мнения члена Комитета Дубравки Шим</w:t>
      </w:r>
      <w:r w:rsidRPr="00FD52B4">
        <w:rPr>
          <w:spacing w:val="5"/>
          <w:w w:val="104"/>
          <w:szCs w:val="17"/>
        </w:rPr>
        <w:t>о</w:t>
      </w:r>
      <w:r w:rsidRPr="00FD52B4">
        <w:rPr>
          <w:spacing w:val="5"/>
          <w:w w:val="104"/>
          <w:szCs w:val="17"/>
        </w:rPr>
        <w:t>нович, к которому присоединились г</w:t>
      </w:r>
      <w:r w:rsidRPr="00FD52B4">
        <w:rPr>
          <w:spacing w:val="5"/>
          <w:w w:val="104"/>
          <w:szCs w:val="17"/>
        </w:rPr>
        <w:noBreakHyphen/>
        <w:t>жа Рут Гальперин-Каддари, г</w:t>
      </w:r>
      <w:r w:rsidRPr="00FD52B4">
        <w:rPr>
          <w:spacing w:val="5"/>
          <w:w w:val="104"/>
          <w:szCs w:val="17"/>
        </w:rPr>
        <w:noBreakHyphen/>
        <w:t>жа Виолета Нойбауэр и г</w:t>
      </w:r>
      <w:r w:rsidRPr="00FD52B4">
        <w:rPr>
          <w:spacing w:val="5"/>
          <w:w w:val="104"/>
          <w:szCs w:val="17"/>
        </w:rPr>
        <w:noBreakHyphen/>
        <w:t>жа Силвия П</w:t>
      </w:r>
      <w:r w:rsidRPr="00FD52B4">
        <w:rPr>
          <w:spacing w:val="5"/>
          <w:w w:val="104"/>
          <w:szCs w:val="17"/>
        </w:rPr>
        <w:t>и</w:t>
      </w:r>
      <w:r w:rsidRPr="00FD52B4">
        <w:rPr>
          <w:spacing w:val="5"/>
          <w:w w:val="104"/>
          <w:szCs w:val="17"/>
        </w:rPr>
        <w:t>ментел приложены к настоящему документу.</w:t>
      </w:r>
    </w:p>
  </w:footnote>
  <w:footnote w:id="2">
    <w:p w:rsidR="00215329" w:rsidRPr="00FD52B4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FD52B4">
        <w:rPr>
          <w:rFonts w:eastAsia="SimSun"/>
          <w:kern w:val="0"/>
          <w:szCs w:val="17"/>
          <w:lang w:eastAsia="zh-CN"/>
        </w:rPr>
        <w:t>В ходе беседы в Иммиграционной службе автор, предположительно, предъявила членский билет, однако его копия к данному сообщению не прилагалась.</w:t>
      </w:r>
    </w:p>
  </w:footnote>
  <w:footnote w:id="3">
    <w:p w:rsidR="00215329" w:rsidRPr="00FD52B4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FD52B4">
        <w:rPr>
          <w:rFonts w:eastAsia="SimSun"/>
          <w:kern w:val="0"/>
          <w:szCs w:val="17"/>
          <w:lang w:eastAsia="zh-CN"/>
        </w:rPr>
        <w:t>Автор не уточняет, были ли они в форме и были ли у них какие-либо иные признаки, позволяющие ассоциировать их с государством.</w:t>
      </w:r>
    </w:p>
  </w:footnote>
  <w:footnote w:id="4">
    <w:p w:rsidR="00215329" w:rsidRPr="00FD52B4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FD52B4">
        <w:rPr>
          <w:rFonts w:eastAsia="SimSun"/>
          <w:kern w:val="0"/>
          <w:szCs w:val="17"/>
          <w:lang w:eastAsia="zh-CN"/>
        </w:rPr>
        <w:t>Автора спросили об этом факте в Иммиграционной службе. Она пояснила, что в ее новом удостоверении личности указано, что она не замужем, потому что этот документ является дубликатом ее предыдущего удостоверения личности, которое она получила до замужества. Кроме того, она прилагает к своему сообщению свидетельство о браке.</w:t>
      </w:r>
    </w:p>
  </w:footnote>
  <w:footnote w:id="5">
    <w:p w:rsidR="00215329" w:rsidRPr="00FD52B4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FD52B4">
        <w:rPr>
          <w:rFonts w:eastAsia="SimSun"/>
          <w:kern w:val="0"/>
          <w:szCs w:val="17"/>
          <w:lang w:eastAsia="zh-CN"/>
        </w:rPr>
        <w:t>Если дело рассматривается в рамках "обычной процедуры", то отказ Иммиграционной службы предоставить убежище автоматически обжалуется в Апелляционной комиссии по делам беженцев.</w:t>
      </w:r>
    </w:p>
  </w:footnote>
  <w:footnote w:id="6">
    <w:p w:rsidR="00215329" w:rsidRPr="00FD52B4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FD52B4">
        <w:rPr>
          <w:rFonts w:eastAsia="SimSun"/>
          <w:kern w:val="0"/>
          <w:szCs w:val="17"/>
          <w:lang w:eastAsia="zh-CN"/>
        </w:rPr>
        <w:t xml:space="preserve">Автор подчеркивает, что даже если у Иммиграционной службы имеются какие-либо сомнения относительно достоверности ее утверждений, Апелляционная комиссия по делам беженцев приняла в качестве факта ее утверждение об изнасиловании. Она также ссылается на ежегодный доклад организации </w:t>
      </w:r>
      <w:r>
        <w:rPr>
          <w:rFonts w:eastAsia="SimSun"/>
          <w:kern w:val="0"/>
          <w:szCs w:val="17"/>
          <w:lang w:eastAsia="zh-CN"/>
        </w:rPr>
        <w:t>«</w:t>
      </w:r>
      <w:r w:rsidRPr="00FD52B4">
        <w:rPr>
          <w:rFonts w:eastAsia="SimSun"/>
          <w:kern w:val="0"/>
          <w:szCs w:val="17"/>
          <w:lang w:eastAsia="zh-CN"/>
        </w:rPr>
        <w:t>Международная амнистия</w:t>
      </w:r>
      <w:r>
        <w:rPr>
          <w:rFonts w:eastAsia="SimSun"/>
          <w:kern w:val="0"/>
          <w:szCs w:val="17"/>
          <w:lang w:eastAsia="zh-CN"/>
        </w:rPr>
        <w:t>»</w:t>
      </w:r>
      <w:r w:rsidRPr="00FD52B4">
        <w:rPr>
          <w:rFonts w:eastAsia="SimSun"/>
          <w:kern w:val="0"/>
          <w:szCs w:val="17"/>
          <w:lang w:eastAsia="zh-CN"/>
        </w:rPr>
        <w:t xml:space="preserve"> 2010 года о положении в Бурунди, где отмечается, что </w:t>
      </w:r>
      <w:r>
        <w:rPr>
          <w:rFonts w:eastAsia="SimSun"/>
          <w:kern w:val="0"/>
          <w:szCs w:val="17"/>
          <w:lang w:eastAsia="zh-CN"/>
        </w:rPr>
        <w:t>«</w:t>
      </w:r>
      <w:r w:rsidRPr="00FD52B4">
        <w:rPr>
          <w:rFonts w:eastAsia="SimSun"/>
          <w:kern w:val="0"/>
          <w:szCs w:val="17"/>
          <w:lang w:eastAsia="zh-CN"/>
        </w:rPr>
        <w:t>число случаев изнасилования женщин и девочек и сексуального насилия в их отношении в других формах остается большим</w:t>
      </w:r>
      <w:r>
        <w:rPr>
          <w:rFonts w:eastAsia="SimSun"/>
          <w:kern w:val="0"/>
          <w:szCs w:val="17"/>
          <w:lang w:eastAsia="zh-CN"/>
        </w:rPr>
        <w:t>»</w:t>
      </w:r>
      <w:r w:rsidRPr="00FD52B4">
        <w:rPr>
          <w:rFonts w:eastAsia="SimSun"/>
          <w:kern w:val="0"/>
          <w:szCs w:val="17"/>
          <w:lang w:eastAsia="zh-CN"/>
        </w:rPr>
        <w:t>.</w:t>
      </w:r>
    </w:p>
  </w:footnote>
  <w:footnote w:id="7">
    <w:p w:rsidR="00215329" w:rsidRPr="00F97321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0"/>
          <w:w w:val="100"/>
          <w:kern w:val="0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3D37EF">
        <w:rPr>
          <w:rFonts w:eastAsia="SimSun"/>
          <w:kern w:val="0"/>
          <w:szCs w:val="17"/>
          <w:lang w:eastAsia="zh-CN"/>
        </w:rPr>
        <w:t>Бурунди является государством — участником Конвенции и подписало, но не ратифицировало Факультативный протокол.</w:t>
      </w:r>
    </w:p>
  </w:footnote>
  <w:footnote w:id="8">
    <w:p w:rsidR="00215329" w:rsidRPr="003D37EF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3D37EF">
        <w:rPr>
          <w:rFonts w:eastAsia="SimSun"/>
          <w:kern w:val="0"/>
          <w:szCs w:val="17"/>
          <w:lang w:eastAsia="zh-CN"/>
        </w:rPr>
        <w:t xml:space="preserve">Государство-участник ссылается на решение Суда по </w:t>
      </w:r>
      <w:r w:rsidRPr="003D37EF">
        <w:rPr>
          <w:rFonts w:eastAsia="SimSun"/>
          <w:i/>
          <w:kern w:val="0"/>
          <w:szCs w:val="17"/>
          <w:lang w:eastAsia="zh-CN"/>
        </w:rPr>
        <w:t>делу Сёринг</w:t>
      </w:r>
      <w:r w:rsidRPr="003D37EF">
        <w:rPr>
          <w:rFonts w:eastAsia="SimSun"/>
          <w:kern w:val="0"/>
          <w:szCs w:val="17"/>
          <w:lang w:eastAsia="zh-CN"/>
        </w:rPr>
        <w:t xml:space="preserve"> против </w:t>
      </w:r>
      <w:r w:rsidRPr="003D37EF">
        <w:rPr>
          <w:rFonts w:eastAsia="SimSun"/>
          <w:i/>
          <w:kern w:val="0"/>
          <w:szCs w:val="17"/>
          <w:lang w:eastAsia="zh-CN"/>
        </w:rPr>
        <w:t>Соединенного Королевства</w:t>
      </w:r>
      <w:r w:rsidRPr="003D37EF">
        <w:rPr>
          <w:rFonts w:eastAsia="SimSun"/>
          <w:kern w:val="0"/>
          <w:szCs w:val="17"/>
          <w:lang w:eastAsia="zh-CN"/>
        </w:rPr>
        <w:t>, заявление № 14038/88.</w:t>
      </w:r>
    </w:p>
  </w:footnote>
  <w:footnote w:id="9">
    <w:p w:rsidR="00215329" w:rsidRPr="003D37EF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3D37EF">
        <w:rPr>
          <w:rFonts w:eastAsia="SimSun"/>
          <w:kern w:val="0"/>
          <w:szCs w:val="17"/>
          <w:lang w:eastAsia="zh-CN"/>
        </w:rPr>
        <w:t>Государство-участник ссылается на сообщение №</w:t>
      </w:r>
      <w:r>
        <w:rPr>
          <w:rFonts w:eastAsia="SimSun"/>
          <w:kern w:val="0"/>
          <w:szCs w:val="17"/>
          <w:lang w:eastAsia="zh-CN"/>
        </w:rPr>
        <w:t> </w:t>
      </w:r>
      <w:r w:rsidRPr="003D37EF">
        <w:rPr>
          <w:rFonts w:eastAsia="SimSun"/>
          <w:kern w:val="0"/>
          <w:szCs w:val="17"/>
          <w:lang w:eastAsia="zh-CN"/>
        </w:rPr>
        <w:t>8/2005, Кайхан против Турции, решение от 27 января 2006 года, пункт</w:t>
      </w:r>
      <w:r>
        <w:rPr>
          <w:rFonts w:eastAsia="SimSun"/>
          <w:kern w:val="0"/>
          <w:szCs w:val="17"/>
          <w:lang w:eastAsia="zh-CN"/>
        </w:rPr>
        <w:t> </w:t>
      </w:r>
      <w:r w:rsidRPr="003D37EF">
        <w:rPr>
          <w:rFonts w:eastAsia="SimSun"/>
          <w:kern w:val="0"/>
          <w:szCs w:val="17"/>
          <w:lang w:eastAsia="zh-CN"/>
        </w:rPr>
        <w:t xml:space="preserve">7.7. </w:t>
      </w:r>
    </w:p>
  </w:footnote>
  <w:footnote w:id="10">
    <w:p w:rsidR="00215329" w:rsidRPr="00F97321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spacing w:val="0"/>
          <w:w w:val="100"/>
          <w:kern w:val="0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3D37EF">
        <w:rPr>
          <w:rFonts w:eastAsia="SimSun"/>
          <w:kern w:val="0"/>
          <w:szCs w:val="17"/>
          <w:lang w:eastAsia="zh-CN"/>
        </w:rPr>
        <w:t xml:space="preserve">Автор ссылается на сообщение № 2/2003, </w:t>
      </w:r>
      <w:r w:rsidRPr="003D37EF">
        <w:rPr>
          <w:rFonts w:eastAsia="SimSun"/>
          <w:i/>
          <w:kern w:val="0"/>
          <w:szCs w:val="17"/>
          <w:lang w:eastAsia="zh-CN"/>
        </w:rPr>
        <w:t>А.Т.</w:t>
      </w:r>
      <w:r w:rsidRPr="003D37EF">
        <w:rPr>
          <w:rFonts w:eastAsia="SimSun"/>
          <w:kern w:val="0"/>
          <w:szCs w:val="17"/>
          <w:lang w:eastAsia="zh-CN"/>
        </w:rPr>
        <w:t xml:space="preserve"> против </w:t>
      </w:r>
      <w:r w:rsidRPr="003D37EF">
        <w:rPr>
          <w:rFonts w:eastAsia="SimSun"/>
          <w:i/>
          <w:kern w:val="0"/>
          <w:szCs w:val="17"/>
          <w:lang w:eastAsia="zh-CN"/>
        </w:rPr>
        <w:t>Венгрии</w:t>
      </w:r>
      <w:r w:rsidRPr="003D37EF">
        <w:rPr>
          <w:rFonts w:eastAsia="SimSun"/>
          <w:kern w:val="0"/>
          <w:szCs w:val="17"/>
          <w:lang w:eastAsia="zh-CN"/>
        </w:rPr>
        <w:t>, пункт 9.3.</w:t>
      </w:r>
    </w:p>
  </w:footnote>
  <w:footnote w:id="11">
    <w:p w:rsidR="00215329" w:rsidRPr="003D37EF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3D37EF">
        <w:rPr>
          <w:rFonts w:eastAsia="SimSun"/>
          <w:kern w:val="0"/>
          <w:szCs w:val="17"/>
          <w:lang w:eastAsia="zh-CN"/>
        </w:rPr>
        <w:t xml:space="preserve">Автор ссылается на сообщение № 18/2008, </w:t>
      </w:r>
      <w:r w:rsidRPr="003D37EF">
        <w:rPr>
          <w:rFonts w:eastAsia="SimSun"/>
          <w:i/>
          <w:kern w:val="0"/>
          <w:szCs w:val="17"/>
          <w:lang w:eastAsia="zh-CN"/>
        </w:rPr>
        <w:t>Вертидо</w:t>
      </w:r>
      <w:r w:rsidRPr="003D37EF">
        <w:rPr>
          <w:rFonts w:eastAsia="SimSun"/>
          <w:kern w:val="0"/>
          <w:szCs w:val="17"/>
          <w:lang w:eastAsia="zh-CN"/>
        </w:rPr>
        <w:t xml:space="preserve"> против </w:t>
      </w:r>
      <w:r w:rsidRPr="003D37EF">
        <w:rPr>
          <w:rFonts w:eastAsia="SimSun"/>
          <w:i/>
          <w:kern w:val="0"/>
          <w:szCs w:val="17"/>
          <w:lang w:eastAsia="zh-CN"/>
        </w:rPr>
        <w:t>Филиппин</w:t>
      </w:r>
      <w:r w:rsidRPr="003D37EF">
        <w:rPr>
          <w:rFonts w:eastAsia="SimSun"/>
          <w:kern w:val="0"/>
          <w:szCs w:val="17"/>
          <w:lang w:eastAsia="zh-CN"/>
        </w:rPr>
        <w:t>.</w:t>
      </w:r>
    </w:p>
  </w:footnote>
  <w:footnote w:id="12">
    <w:p w:rsidR="00215329" w:rsidRPr="003D37EF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3D37EF">
        <w:rPr>
          <w:rFonts w:eastAsia="SimSun"/>
          <w:kern w:val="0"/>
          <w:szCs w:val="17"/>
          <w:lang w:eastAsia="zh-CN"/>
        </w:rPr>
        <w:t xml:space="preserve">Автор ссылается, среди прочего, на опубликованный в мае 2010 года доклад организации </w:t>
      </w:r>
      <w:r>
        <w:rPr>
          <w:rFonts w:eastAsia="SimSun"/>
          <w:kern w:val="0"/>
          <w:szCs w:val="17"/>
          <w:lang w:eastAsia="zh-CN"/>
        </w:rPr>
        <w:t>«</w:t>
      </w:r>
      <w:r w:rsidRPr="003D37EF">
        <w:rPr>
          <w:rFonts w:eastAsia="SimSun"/>
          <w:kern w:val="0"/>
          <w:szCs w:val="17"/>
          <w:lang w:eastAsia="zh-CN"/>
        </w:rPr>
        <w:t>Хьюман райтс уотч</w:t>
      </w:r>
      <w:r>
        <w:rPr>
          <w:rFonts w:eastAsia="SimSun"/>
          <w:kern w:val="0"/>
          <w:szCs w:val="17"/>
          <w:lang w:eastAsia="zh-CN"/>
        </w:rPr>
        <w:t>»</w:t>
      </w:r>
      <w:r w:rsidRPr="003D37EF">
        <w:rPr>
          <w:rFonts w:eastAsia="SimSun"/>
          <w:kern w:val="0"/>
          <w:szCs w:val="17"/>
          <w:lang w:eastAsia="zh-CN"/>
        </w:rPr>
        <w:t xml:space="preserve"> под названием “We'll tie you up and shoot you” и доклад Специального представителя Генерального секретаря по Либерии Карины Ландгрен.</w:t>
      </w:r>
    </w:p>
  </w:footnote>
  <w:footnote w:id="13">
    <w:p w:rsidR="00215329" w:rsidRPr="00F97321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spacing w:val="0"/>
          <w:w w:val="100"/>
          <w:kern w:val="0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3D37EF">
        <w:rPr>
          <w:rFonts w:eastAsia="SimSun"/>
          <w:kern w:val="0"/>
          <w:szCs w:val="17"/>
          <w:lang w:eastAsia="zh-CN"/>
        </w:rPr>
        <w:t>Никаких других подробностей или каких-либо объяснений автор не приводит.</w:t>
      </w:r>
    </w:p>
  </w:footnote>
  <w:footnote w:id="14">
    <w:p w:rsidR="00215329" w:rsidRPr="00F97321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spacing w:val="0"/>
          <w:w w:val="100"/>
          <w:kern w:val="0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3D37EF">
        <w:rPr>
          <w:rFonts w:eastAsia="SimSun"/>
          <w:kern w:val="0"/>
          <w:szCs w:val="17"/>
          <w:lang w:eastAsia="zh-CN"/>
        </w:rPr>
        <w:t xml:space="preserve">Автор ссылается на доклад 2004 года под названием </w:t>
      </w:r>
      <w:r w:rsidRPr="00DF6AA6">
        <w:rPr>
          <w:rFonts w:eastAsia="SimSun"/>
          <w:kern w:val="0"/>
          <w:szCs w:val="17"/>
          <w:lang w:eastAsia="zh-CN"/>
        </w:rPr>
        <w:t>“</w:t>
      </w:r>
      <w:r w:rsidRPr="003D37EF">
        <w:rPr>
          <w:rFonts w:eastAsia="SimSun"/>
          <w:kern w:val="0"/>
          <w:szCs w:val="17"/>
          <w:lang w:eastAsia="zh-CN"/>
        </w:rPr>
        <w:t>Burundi: rape – the hidden human rights abuse</w:t>
      </w:r>
      <w:r w:rsidRPr="00DF6AA6">
        <w:rPr>
          <w:rFonts w:eastAsia="SimSun"/>
          <w:kern w:val="0"/>
          <w:szCs w:val="17"/>
          <w:lang w:eastAsia="zh-CN"/>
        </w:rPr>
        <w:t>”</w:t>
      </w:r>
      <w:r w:rsidRPr="003D37EF">
        <w:rPr>
          <w:rFonts w:eastAsia="SimSun"/>
          <w:kern w:val="0"/>
          <w:szCs w:val="17"/>
          <w:lang w:eastAsia="zh-CN"/>
        </w:rPr>
        <w:t xml:space="preserve"> и доклад 2007 года под названием </w:t>
      </w:r>
      <w:r w:rsidRPr="00DF6AA6">
        <w:rPr>
          <w:rFonts w:eastAsia="SimSun"/>
          <w:kern w:val="0"/>
          <w:szCs w:val="17"/>
          <w:lang w:eastAsia="zh-CN"/>
        </w:rPr>
        <w:t>“</w:t>
      </w:r>
      <w:r w:rsidRPr="003D37EF">
        <w:rPr>
          <w:rFonts w:eastAsia="SimSun"/>
          <w:kern w:val="0"/>
          <w:szCs w:val="17"/>
          <w:lang w:eastAsia="zh-CN"/>
        </w:rPr>
        <w:t>Burundi: no protection from rape in war and peace</w:t>
      </w:r>
      <w:r w:rsidRPr="00DF6AA6">
        <w:rPr>
          <w:rFonts w:eastAsia="SimSun"/>
          <w:kern w:val="0"/>
          <w:szCs w:val="17"/>
          <w:lang w:eastAsia="zh-CN"/>
        </w:rPr>
        <w:t>”</w:t>
      </w:r>
      <w:r w:rsidRPr="003D37EF">
        <w:rPr>
          <w:rFonts w:eastAsia="SimSun"/>
          <w:kern w:val="0"/>
          <w:szCs w:val="17"/>
          <w:lang w:eastAsia="zh-CN"/>
        </w:rPr>
        <w:t xml:space="preserve">, опубликованные организацией </w:t>
      </w:r>
      <w:r>
        <w:rPr>
          <w:rFonts w:eastAsia="SimSun"/>
          <w:kern w:val="0"/>
          <w:szCs w:val="17"/>
          <w:lang w:eastAsia="zh-CN"/>
        </w:rPr>
        <w:t>«</w:t>
      </w:r>
      <w:r w:rsidRPr="003D37EF">
        <w:rPr>
          <w:rFonts w:eastAsia="SimSun"/>
          <w:kern w:val="0"/>
          <w:szCs w:val="17"/>
          <w:lang w:eastAsia="zh-CN"/>
        </w:rPr>
        <w:t>Международная амнистия</w:t>
      </w:r>
      <w:r>
        <w:rPr>
          <w:rFonts w:eastAsia="SimSun"/>
          <w:kern w:val="0"/>
          <w:szCs w:val="17"/>
          <w:lang w:eastAsia="zh-CN"/>
        </w:rPr>
        <w:t>»</w:t>
      </w:r>
      <w:r w:rsidRPr="003D37EF">
        <w:rPr>
          <w:rFonts w:eastAsia="SimSun"/>
          <w:kern w:val="0"/>
          <w:szCs w:val="17"/>
          <w:lang w:eastAsia="zh-CN"/>
        </w:rPr>
        <w:t>.</w:t>
      </w:r>
    </w:p>
  </w:footnote>
  <w:footnote w:id="15">
    <w:p w:rsidR="00215329" w:rsidRPr="00F97321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spacing w:val="0"/>
          <w:w w:val="100"/>
          <w:kern w:val="0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  <w:t>CEDAW/C/BDI/CO/4 [Во всех своих письменных заявлениях автор ссылается на определенные документы, доклады и публикации, но не представляет их копии.]</w:t>
      </w:r>
    </w:p>
  </w:footnote>
  <w:footnote w:id="16">
    <w:p w:rsidR="00215329" w:rsidRPr="00F97321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0"/>
          <w:w w:val="100"/>
          <w:kern w:val="0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>См. пункт 2.11 выше.</w:t>
      </w:r>
    </w:p>
  </w:footnote>
  <w:footnote w:id="17">
    <w:p w:rsidR="00215329" w:rsidRPr="00F97321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0"/>
          <w:w w:val="100"/>
          <w:kern w:val="0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>См. пункт 5.6 выше.</w:t>
      </w:r>
    </w:p>
  </w:footnote>
  <w:footnote w:id="18">
    <w:p w:rsidR="00215329" w:rsidRPr="00DF6AA6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>Государство-участник ссылается на отчет о втором собеседовании с автором</w:t>
      </w:r>
      <w:r w:rsidRPr="00DF6AA6">
        <w:rPr>
          <w:rFonts w:eastAsia="SimSun"/>
          <w:kern w:val="0"/>
          <w:szCs w:val="17"/>
          <w:lang w:eastAsia="zh-CN"/>
        </w:rPr>
        <w:br/>
        <w:t>от 14 апреля 2011 года.</w:t>
      </w:r>
    </w:p>
  </w:footnote>
  <w:footnote w:id="19">
    <w:p w:rsidR="00215329" w:rsidRPr="00F97321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0"/>
          <w:w w:val="100"/>
          <w:kern w:val="0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>Государство-участник ссылается в этой связи на статью 5(2) Факультативного протокола.</w:t>
      </w:r>
    </w:p>
  </w:footnote>
  <w:footnote w:id="20">
    <w:p w:rsidR="00215329" w:rsidRPr="00DF6AA6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>Государство-участник ссылается на Европейскую конвенцию о правах человека, Конвенцию против пыток и Международный пакт о гражданских и политических правах.</w:t>
      </w:r>
    </w:p>
  </w:footnote>
  <w:footnote w:id="21">
    <w:p w:rsidR="00215329" w:rsidRPr="00DF6AA6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>Государство-участник ссылается на Общую рекомендацию № 19 Комитета.</w:t>
      </w:r>
    </w:p>
  </w:footnote>
  <w:footnote w:id="22">
    <w:p w:rsidR="00215329" w:rsidRPr="00DF6AA6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 xml:space="preserve">Сообщение № 25/2010, </w:t>
      </w:r>
      <w:r w:rsidRPr="00DF6AA6">
        <w:rPr>
          <w:rFonts w:eastAsia="SimSun"/>
          <w:i/>
          <w:kern w:val="0"/>
          <w:szCs w:val="17"/>
          <w:lang w:eastAsia="zh-CN"/>
        </w:rPr>
        <w:t>М.П.М.</w:t>
      </w:r>
      <w:r w:rsidRPr="00DF6AA6">
        <w:rPr>
          <w:rFonts w:eastAsia="SimSun"/>
          <w:kern w:val="0"/>
          <w:szCs w:val="17"/>
          <w:lang w:eastAsia="zh-CN"/>
        </w:rPr>
        <w:t xml:space="preserve"> против </w:t>
      </w:r>
      <w:r w:rsidRPr="00DF6AA6">
        <w:rPr>
          <w:rFonts w:eastAsia="SimSun"/>
          <w:i/>
          <w:kern w:val="0"/>
          <w:szCs w:val="17"/>
          <w:lang w:eastAsia="zh-CN"/>
        </w:rPr>
        <w:t>Канады</w:t>
      </w:r>
      <w:r w:rsidRPr="00DF6AA6">
        <w:rPr>
          <w:rFonts w:eastAsia="SimSun"/>
          <w:kern w:val="0"/>
          <w:szCs w:val="17"/>
          <w:lang w:eastAsia="zh-CN"/>
        </w:rPr>
        <w:t xml:space="preserve">, и сообщение № 26/2010, </w:t>
      </w:r>
      <w:r w:rsidRPr="00DF6AA6">
        <w:rPr>
          <w:rFonts w:eastAsia="SimSun"/>
          <w:i/>
          <w:kern w:val="0"/>
          <w:szCs w:val="17"/>
          <w:lang w:eastAsia="zh-CN"/>
        </w:rPr>
        <w:t>Эррера Ривера</w:t>
      </w:r>
      <w:r w:rsidRPr="00DF6AA6">
        <w:rPr>
          <w:rFonts w:eastAsia="SimSun"/>
          <w:kern w:val="0"/>
          <w:szCs w:val="17"/>
          <w:lang w:eastAsia="zh-CN"/>
        </w:rPr>
        <w:t xml:space="preserve"> против </w:t>
      </w:r>
      <w:r w:rsidRPr="00DF6AA6">
        <w:rPr>
          <w:rFonts w:eastAsia="SimSun"/>
          <w:i/>
          <w:kern w:val="0"/>
          <w:szCs w:val="17"/>
          <w:lang w:eastAsia="zh-CN"/>
        </w:rPr>
        <w:t>Канады</w:t>
      </w:r>
      <w:r w:rsidRPr="00DF6AA6">
        <w:rPr>
          <w:rFonts w:eastAsia="SimSun"/>
          <w:kern w:val="0"/>
          <w:szCs w:val="17"/>
          <w:lang w:eastAsia="zh-CN"/>
        </w:rPr>
        <w:t>.</w:t>
      </w:r>
    </w:p>
  </w:footnote>
  <w:footnote w:id="23">
    <w:p w:rsidR="00215329" w:rsidRPr="00DF6AA6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 xml:space="preserve">Государство-участник ссылается на решение Европейского суда по правам человека по делу </w:t>
      </w:r>
      <w:r w:rsidRPr="00DF6AA6">
        <w:rPr>
          <w:rFonts w:eastAsia="SimSun"/>
          <w:i/>
          <w:kern w:val="0"/>
          <w:szCs w:val="17"/>
          <w:lang w:eastAsia="zh-CN"/>
        </w:rPr>
        <w:t>Н.</w:t>
      </w:r>
      <w:r w:rsidRPr="00DF6AA6">
        <w:rPr>
          <w:rFonts w:eastAsia="SimSun"/>
          <w:kern w:val="0"/>
          <w:szCs w:val="17"/>
          <w:lang w:eastAsia="zh-CN"/>
        </w:rPr>
        <w:t xml:space="preserve"> против </w:t>
      </w:r>
      <w:r w:rsidRPr="00DF6AA6">
        <w:rPr>
          <w:rFonts w:eastAsia="SimSun"/>
          <w:i/>
          <w:kern w:val="0"/>
          <w:szCs w:val="17"/>
          <w:lang w:eastAsia="zh-CN"/>
        </w:rPr>
        <w:t>Соединенного Королевства</w:t>
      </w:r>
      <w:r w:rsidRPr="00DF6AA6">
        <w:rPr>
          <w:rFonts w:eastAsia="SimSun"/>
          <w:kern w:val="0"/>
          <w:szCs w:val="17"/>
          <w:lang w:eastAsia="zh-CN"/>
        </w:rPr>
        <w:t>, заявление № 26565/05, в котором Суд постановил, что в случае высылки соображения, касающиеся охраны здоровья, не могут использоваться для обоснования нарушений статьи</w:t>
      </w:r>
      <w:r>
        <w:rPr>
          <w:rFonts w:eastAsia="SimSun"/>
          <w:kern w:val="0"/>
          <w:szCs w:val="17"/>
          <w:lang w:eastAsia="zh-CN"/>
        </w:rPr>
        <w:t> </w:t>
      </w:r>
      <w:r w:rsidRPr="00DF6AA6">
        <w:rPr>
          <w:rFonts w:eastAsia="SimSun"/>
          <w:kern w:val="0"/>
          <w:szCs w:val="17"/>
          <w:lang w:eastAsia="zh-CN"/>
        </w:rPr>
        <w:t>3 Европейской конвенции о правах человека. Государство-участник заявляет, что такие вопросы а fortiori не подпадают под Конвенцию о ликвидации всех форм дискриминации в отношении женщин, которая не охватывает ни прямо, ни косвенно случаи высылки при наличии угрозы пыток или других серьезных угроз для жизни и безопасности конкретного лица.</w:t>
      </w:r>
    </w:p>
  </w:footnote>
  <w:footnote w:id="24">
    <w:p w:rsidR="00215329" w:rsidRPr="00F97321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0"/>
          <w:w w:val="100"/>
          <w:kern w:val="0"/>
          <w:lang w:val="en-US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  <w:lang w:val="en-US"/>
        </w:rPr>
        <w:tab/>
      </w:r>
      <w:r w:rsidRPr="00087FA1">
        <w:rPr>
          <w:rFonts w:eastAsia="SimSun"/>
          <w:kern w:val="0"/>
          <w:szCs w:val="17"/>
          <w:lang w:val="en-US" w:eastAsia="zh-CN"/>
        </w:rPr>
        <w:t>Human Rights Watch, "We'll tie you up and shoot you", 1 May 2010.</w:t>
      </w:r>
    </w:p>
  </w:footnote>
  <w:footnote w:id="25">
    <w:p w:rsidR="00215329" w:rsidRPr="00DF6AA6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  <w:lang w:val="en-US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>Автор утверждает, что члены Комиссии умышленно поставили перед ней нечеткий вопрос в следующей формулировке: "Вы знали их [нападавших], или они оказались там случайно?"</w:t>
      </w:r>
    </w:p>
  </w:footnote>
  <w:footnote w:id="26">
    <w:p w:rsidR="00215329" w:rsidRPr="00DF6AA6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>См. пункт 6.2 выше.</w:t>
      </w:r>
    </w:p>
  </w:footnote>
  <w:footnote w:id="27">
    <w:p w:rsidR="00215329" w:rsidRPr="00F97321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0"/>
          <w:w w:val="100"/>
          <w:kern w:val="0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>Автор не приводит никаких дополнительных подробностей.</w:t>
      </w:r>
    </w:p>
  </w:footnote>
  <w:footnote w:id="28">
    <w:p w:rsidR="00215329" w:rsidRPr="00F97321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0"/>
          <w:w w:val="100"/>
          <w:kern w:val="0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 xml:space="preserve">См. сообщение № 8/2005, </w:t>
      </w:r>
      <w:r w:rsidRPr="00DF6AA6">
        <w:rPr>
          <w:rFonts w:eastAsia="SimSun"/>
          <w:i/>
          <w:kern w:val="0"/>
          <w:szCs w:val="17"/>
          <w:lang w:eastAsia="zh-CN"/>
        </w:rPr>
        <w:t>Кайхан</w:t>
      </w:r>
      <w:r w:rsidRPr="00DF6AA6">
        <w:rPr>
          <w:rFonts w:eastAsia="SimSun"/>
          <w:kern w:val="0"/>
          <w:szCs w:val="17"/>
          <w:lang w:eastAsia="zh-CN"/>
        </w:rPr>
        <w:t xml:space="preserve"> против </w:t>
      </w:r>
      <w:r w:rsidRPr="00DF6AA6">
        <w:rPr>
          <w:rFonts w:eastAsia="SimSun"/>
          <w:i/>
          <w:kern w:val="0"/>
          <w:szCs w:val="17"/>
          <w:lang w:eastAsia="zh-CN"/>
        </w:rPr>
        <w:t>Турции</w:t>
      </w:r>
      <w:r w:rsidRPr="00DF6AA6">
        <w:rPr>
          <w:rFonts w:eastAsia="SimSun"/>
          <w:kern w:val="0"/>
          <w:szCs w:val="17"/>
          <w:lang w:eastAsia="zh-CN"/>
        </w:rPr>
        <w:t>, решение от 27 января 2007 года, пункт 7.7.</w:t>
      </w:r>
    </w:p>
  </w:footnote>
  <w:footnote w:id="29">
    <w:p w:rsidR="00215329" w:rsidRPr="00DF6AA6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rStyle w:val="FootnoteReference"/>
          <w:spacing w:val="0"/>
          <w:w w:val="100"/>
          <w:kern w:val="0"/>
          <w:position w:val="0"/>
          <w:sz w:val="20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 xml:space="preserve">См. </w:t>
      </w:r>
      <w:r w:rsidRPr="00DF6AA6">
        <w:rPr>
          <w:rFonts w:eastAsia="SimSun"/>
          <w:i/>
          <w:kern w:val="0"/>
          <w:szCs w:val="17"/>
          <w:lang w:eastAsia="zh-CN"/>
        </w:rPr>
        <w:t>Н.С.Ф.</w:t>
      </w:r>
      <w:r w:rsidRPr="00DF6AA6">
        <w:rPr>
          <w:rFonts w:eastAsia="SimSun"/>
          <w:kern w:val="0"/>
          <w:szCs w:val="17"/>
          <w:lang w:eastAsia="zh-CN"/>
        </w:rPr>
        <w:t xml:space="preserve"> против </w:t>
      </w:r>
      <w:r w:rsidRPr="00DF6AA6">
        <w:rPr>
          <w:rFonts w:eastAsia="SimSun"/>
          <w:i/>
          <w:kern w:val="0"/>
          <w:szCs w:val="17"/>
          <w:lang w:eastAsia="zh-CN"/>
        </w:rPr>
        <w:t>Соединенного Королевства Великобритании и Северной Ирландии</w:t>
      </w:r>
      <w:r w:rsidRPr="00DF6AA6">
        <w:rPr>
          <w:rFonts w:eastAsia="SimSun"/>
          <w:kern w:val="0"/>
          <w:szCs w:val="17"/>
          <w:lang w:eastAsia="zh-CN"/>
        </w:rPr>
        <w:t>, сообщение № 10/2005, решение от 30 мая 2007 года, пункт</w:t>
      </w:r>
      <w:r>
        <w:rPr>
          <w:rFonts w:eastAsia="SimSun"/>
          <w:kern w:val="0"/>
          <w:szCs w:val="17"/>
          <w:lang w:eastAsia="zh-CN"/>
        </w:rPr>
        <w:t> </w:t>
      </w:r>
      <w:r w:rsidRPr="00DF6AA6">
        <w:rPr>
          <w:rFonts w:eastAsia="SimSun"/>
          <w:kern w:val="0"/>
          <w:szCs w:val="17"/>
          <w:lang w:eastAsia="zh-CN"/>
        </w:rPr>
        <w:t>7.3.</w:t>
      </w:r>
    </w:p>
  </w:footnote>
  <w:footnote w:id="30">
    <w:p w:rsidR="00215329" w:rsidRPr="00DF6AA6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spacing w:val="0"/>
          <w:w w:val="100"/>
          <w:kern w:val="0"/>
          <w:sz w:val="20"/>
          <w:vertAlign w:val="superscript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>Отчет о собеседовании с автором прошения о предоставлении убежища в Иммиграционной службе государства-участника от 13 декабря 2010 года, имеется в деле.</w:t>
      </w:r>
    </w:p>
  </w:footnote>
  <w:footnote w:id="31">
    <w:p w:rsidR="00215329" w:rsidRPr="00F97321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0"/>
          <w:w w:val="100"/>
          <w:kern w:val="0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spacing w:val="0"/>
          <w:w w:val="100"/>
          <w:kern w:val="0"/>
          <w:sz w:val="20"/>
          <w:vertAlign w:val="superscript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>Отчет о втором собеседовании с автором от 14 апреля 2011 года, имеется в деле.</w:t>
      </w:r>
    </w:p>
  </w:footnote>
  <w:footnote w:id="32">
    <w:p w:rsidR="00215329" w:rsidRPr="00DF6AA6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spacing w:val="0"/>
          <w:w w:val="100"/>
          <w:kern w:val="0"/>
          <w:sz w:val="20"/>
          <w:vertAlign w:val="superscript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>Общая рекомендация №</w:t>
      </w:r>
      <w:r>
        <w:rPr>
          <w:rFonts w:eastAsia="SimSun"/>
          <w:kern w:val="0"/>
          <w:szCs w:val="17"/>
          <w:lang w:eastAsia="zh-CN"/>
        </w:rPr>
        <w:t> </w:t>
      </w:r>
      <w:r w:rsidRPr="00DF6AA6">
        <w:rPr>
          <w:rFonts w:eastAsia="SimSun"/>
          <w:kern w:val="0"/>
          <w:szCs w:val="17"/>
          <w:lang w:eastAsia="zh-CN"/>
        </w:rPr>
        <w:t>28, касающаяся основных обязательств государств-участников в соответствии со статьей</w:t>
      </w:r>
      <w:r>
        <w:rPr>
          <w:rFonts w:eastAsia="SimSun"/>
          <w:kern w:val="0"/>
          <w:szCs w:val="17"/>
          <w:lang w:eastAsia="zh-CN"/>
        </w:rPr>
        <w:t> </w:t>
      </w:r>
      <w:r w:rsidRPr="00DF6AA6">
        <w:rPr>
          <w:rFonts w:eastAsia="SimSun"/>
          <w:kern w:val="0"/>
          <w:szCs w:val="17"/>
          <w:lang w:eastAsia="zh-CN"/>
        </w:rPr>
        <w:t>2 Конвенции о ликвидации всех форм дискриминации в отношении женщин, пункт 12.</w:t>
      </w:r>
    </w:p>
  </w:footnote>
  <w:footnote w:id="33">
    <w:p w:rsidR="00215329" w:rsidRPr="00DF6AA6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spacing w:val="0"/>
          <w:w w:val="100"/>
          <w:kern w:val="0"/>
          <w:sz w:val="20"/>
          <w:vertAlign w:val="superscript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>См. статью 33 (запрещение высылки беженцев или их принудительного возвращения) Конвенции о статусе беженцев.</w:t>
      </w:r>
    </w:p>
  </w:footnote>
  <w:footnote w:id="34">
    <w:p w:rsidR="00215329" w:rsidRPr="00DF6AA6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spacing w:val="0"/>
          <w:w w:val="100"/>
          <w:kern w:val="0"/>
          <w:sz w:val="20"/>
          <w:vertAlign w:val="superscript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 xml:space="preserve">См., например, сообщение № 470/1991, </w:t>
      </w:r>
      <w:r w:rsidRPr="00DF6AA6">
        <w:rPr>
          <w:rFonts w:eastAsia="SimSun"/>
          <w:i/>
          <w:kern w:val="0"/>
          <w:szCs w:val="17"/>
          <w:lang w:eastAsia="zh-CN"/>
        </w:rPr>
        <w:t xml:space="preserve">Киндлер </w:t>
      </w:r>
      <w:r w:rsidRPr="00DF6AA6">
        <w:rPr>
          <w:rFonts w:eastAsia="SimSun"/>
          <w:kern w:val="0"/>
          <w:szCs w:val="17"/>
          <w:lang w:eastAsia="zh-CN"/>
        </w:rPr>
        <w:t xml:space="preserve">против </w:t>
      </w:r>
      <w:r w:rsidRPr="00DF6AA6">
        <w:rPr>
          <w:rFonts w:eastAsia="SimSun"/>
          <w:i/>
          <w:kern w:val="0"/>
          <w:szCs w:val="17"/>
          <w:lang w:eastAsia="zh-CN"/>
        </w:rPr>
        <w:t>Канады</w:t>
      </w:r>
      <w:r w:rsidRPr="00DF6AA6">
        <w:rPr>
          <w:rFonts w:eastAsia="SimSun"/>
          <w:kern w:val="0"/>
          <w:szCs w:val="17"/>
          <w:lang w:eastAsia="zh-CN"/>
        </w:rPr>
        <w:t xml:space="preserve">, мнения, принятые 30 июля 1993 года, пункт 6.2. </w:t>
      </w:r>
    </w:p>
  </w:footnote>
  <w:footnote w:id="35">
    <w:p w:rsidR="00215329" w:rsidRPr="00DF6AA6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spacing w:val="0"/>
          <w:w w:val="100"/>
          <w:kern w:val="0"/>
          <w:sz w:val="20"/>
          <w:vertAlign w:val="superscript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>См. Замечание общего порядка № 20 Комитета по правам человека по статье 7 (запрещение пыток или других жестоких, бесчеловечных или унижающих достоинство видов обращения или</w:t>
      </w:r>
      <w:r w:rsidRPr="00F97321">
        <w:rPr>
          <w:spacing w:val="0"/>
          <w:w w:val="100"/>
          <w:kern w:val="0"/>
        </w:rPr>
        <w:t xml:space="preserve"> </w:t>
      </w:r>
      <w:r w:rsidRPr="00DF6AA6">
        <w:rPr>
          <w:rFonts w:eastAsia="SimSun"/>
          <w:kern w:val="0"/>
          <w:szCs w:val="17"/>
          <w:lang w:eastAsia="zh-CN"/>
        </w:rPr>
        <w:t>наказания), пункту 9 ("Государства-участники не должны подвергать лиц опасности применения пыток или жестоких, бесчеловечных или унижающих достоинство видов обращения или наказания по их возвращении в другую страну посредством выдачи, высылки или возвращения"); и Замечание общего порядка №</w:t>
      </w:r>
      <w:r>
        <w:rPr>
          <w:rFonts w:eastAsia="SimSun"/>
          <w:kern w:val="0"/>
          <w:szCs w:val="17"/>
          <w:lang w:eastAsia="zh-CN"/>
        </w:rPr>
        <w:t> </w:t>
      </w:r>
      <w:r w:rsidRPr="00DF6AA6">
        <w:rPr>
          <w:rFonts w:eastAsia="SimSun"/>
          <w:kern w:val="0"/>
          <w:szCs w:val="17"/>
          <w:lang w:eastAsia="zh-CN"/>
        </w:rPr>
        <w:t>31 Комитета по правам человека о характере общего юридического обязательства, налагаемого на государства-участники Пакта, пункт 12.</w:t>
      </w:r>
    </w:p>
  </w:footnote>
  <w:footnote w:id="36">
    <w:p w:rsidR="00215329" w:rsidRPr="00DF6AA6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spacing w:val="0"/>
          <w:w w:val="100"/>
          <w:kern w:val="0"/>
          <w:sz w:val="20"/>
          <w:vertAlign w:val="superscript"/>
        </w:rPr>
        <w:footnoteRef/>
      </w:r>
      <w:r w:rsidRPr="00F97321">
        <w:rPr>
          <w:spacing w:val="0"/>
          <w:w w:val="100"/>
          <w:kern w:val="0"/>
        </w:rPr>
        <w:t xml:space="preserve"> </w:t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 xml:space="preserve">AT/C/GC/2, пункт </w:t>
      </w:r>
      <w:smartTag w:uri="urn:schemas-microsoft-com:office:smarttags" w:element="metricconverter">
        <w:smartTagPr>
          <w:attr w:name="ProductID" w:val="18. См"/>
        </w:smartTagPr>
        <w:r w:rsidRPr="00DF6AA6">
          <w:rPr>
            <w:rFonts w:eastAsia="SimSun"/>
            <w:kern w:val="0"/>
            <w:szCs w:val="17"/>
            <w:lang w:eastAsia="zh-CN"/>
          </w:rPr>
          <w:t>18. См</w:t>
        </w:r>
      </w:smartTag>
      <w:r w:rsidRPr="00DF6AA6">
        <w:rPr>
          <w:rFonts w:eastAsia="SimSun"/>
          <w:kern w:val="0"/>
          <w:szCs w:val="17"/>
          <w:lang w:eastAsia="zh-CN"/>
        </w:rPr>
        <w:t xml:space="preserve">. также Комитет по правам человека, сообщение № 1465/2006, </w:t>
      </w:r>
      <w:r w:rsidRPr="00F95111">
        <w:rPr>
          <w:rFonts w:eastAsia="SimSun"/>
          <w:i/>
          <w:kern w:val="0"/>
          <w:szCs w:val="17"/>
          <w:lang w:eastAsia="zh-CN"/>
        </w:rPr>
        <w:t>Каба</w:t>
      </w:r>
      <w:r w:rsidRPr="00DF6AA6">
        <w:rPr>
          <w:rFonts w:eastAsia="SimSun"/>
          <w:kern w:val="0"/>
          <w:szCs w:val="17"/>
          <w:lang w:eastAsia="zh-CN"/>
        </w:rPr>
        <w:t xml:space="preserve"> против </w:t>
      </w:r>
      <w:r w:rsidRPr="00F95111">
        <w:rPr>
          <w:rFonts w:eastAsia="SimSun"/>
          <w:i/>
          <w:kern w:val="0"/>
          <w:szCs w:val="17"/>
          <w:lang w:eastAsia="zh-CN"/>
        </w:rPr>
        <w:t>Канады</w:t>
      </w:r>
      <w:r w:rsidRPr="00DF6AA6">
        <w:rPr>
          <w:rFonts w:eastAsia="SimSun"/>
          <w:kern w:val="0"/>
          <w:szCs w:val="17"/>
          <w:lang w:eastAsia="zh-CN"/>
        </w:rPr>
        <w:t xml:space="preserve">, мнения, принятые 25 марта 2010 года. Следует отметить, что Европейский суд по правам человека и Межамериканская комиссия по правам человека сделали вывод о том, что изнасилование заключенных является равнозначным пыткам. Кроме того, </w:t>
      </w:r>
      <w:r>
        <w:rPr>
          <w:rFonts w:eastAsia="SimSun"/>
          <w:kern w:val="0"/>
          <w:szCs w:val="17"/>
          <w:lang w:eastAsia="zh-CN"/>
        </w:rPr>
        <w:t>«</w:t>
      </w:r>
      <w:r w:rsidRPr="00DF6AA6">
        <w:rPr>
          <w:rFonts w:eastAsia="SimSun"/>
          <w:kern w:val="0"/>
          <w:szCs w:val="17"/>
          <w:lang w:eastAsia="zh-CN"/>
        </w:rPr>
        <w:t xml:space="preserve">изнасилование, обращение в сексуальное рабство, принуждение к проституции, принудительная беременность, принудительная стерилизация или любые другие формы сексуального насилия </w:t>
      </w:r>
      <w:r>
        <w:rPr>
          <w:rFonts w:eastAsia="SimSun"/>
          <w:kern w:val="0"/>
          <w:szCs w:val="17"/>
          <w:lang w:eastAsia="zh-CN"/>
        </w:rPr>
        <w:t>сопоставимой</w:t>
      </w:r>
      <w:r w:rsidRPr="00DF6AA6">
        <w:rPr>
          <w:rFonts w:eastAsia="SimSun"/>
          <w:kern w:val="0"/>
          <w:szCs w:val="17"/>
          <w:lang w:eastAsia="zh-CN"/>
        </w:rPr>
        <w:t xml:space="preserve"> тяжести</w:t>
      </w:r>
      <w:r>
        <w:rPr>
          <w:rFonts w:eastAsia="SimSun"/>
          <w:kern w:val="0"/>
          <w:szCs w:val="17"/>
          <w:lang w:eastAsia="zh-CN"/>
        </w:rPr>
        <w:t>»</w:t>
      </w:r>
      <w:r w:rsidRPr="00DF6AA6">
        <w:rPr>
          <w:rFonts w:eastAsia="SimSun"/>
          <w:kern w:val="0"/>
          <w:szCs w:val="17"/>
          <w:lang w:eastAsia="zh-CN"/>
        </w:rPr>
        <w:t xml:space="preserve"> в соответствии с Римским статутом Международного уголовного суда являются преступлением против человечности, а </w:t>
      </w:r>
      <w:r>
        <w:rPr>
          <w:rFonts w:eastAsia="SimSun"/>
          <w:kern w:val="0"/>
          <w:szCs w:val="17"/>
          <w:lang w:eastAsia="zh-CN"/>
        </w:rPr>
        <w:t>«</w:t>
      </w:r>
      <w:r w:rsidRPr="00DF6AA6">
        <w:rPr>
          <w:rFonts w:eastAsia="SimSun"/>
          <w:kern w:val="0"/>
          <w:szCs w:val="17"/>
          <w:lang w:eastAsia="zh-CN"/>
        </w:rPr>
        <w:t>изнасилование</w:t>
      </w:r>
      <w:r>
        <w:rPr>
          <w:rFonts w:eastAsia="SimSun"/>
          <w:kern w:val="0"/>
          <w:szCs w:val="17"/>
          <w:lang w:eastAsia="zh-CN"/>
        </w:rPr>
        <w:t>»</w:t>
      </w:r>
      <w:r w:rsidRPr="00DF6AA6">
        <w:rPr>
          <w:rFonts w:eastAsia="SimSun"/>
          <w:kern w:val="0"/>
          <w:szCs w:val="17"/>
          <w:lang w:eastAsia="zh-CN"/>
        </w:rPr>
        <w:t xml:space="preserve"> согласно уставам международных уголовных трибуналов по </w:t>
      </w:r>
      <w:r>
        <w:rPr>
          <w:rFonts w:eastAsia="SimSun"/>
          <w:kern w:val="0"/>
          <w:szCs w:val="17"/>
          <w:lang w:eastAsia="zh-CN"/>
        </w:rPr>
        <w:t xml:space="preserve">бывшей </w:t>
      </w:r>
      <w:r w:rsidRPr="00DF6AA6">
        <w:rPr>
          <w:rFonts w:eastAsia="SimSun"/>
          <w:kern w:val="0"/>
          <w:szCs w:val="17"/>
          <w:lang w:eastAsia="zh-CN"/>
        </w:rPr>
        <w:t>Югославии и Руанде является преступлением против человечности.</w:t>
      </w:r>
    </w:p>
  </w:footnote>
  <w:footnote w:id="37">
    <w:p w:rsidR="00215329" w:rsidRPr="00F97321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0"/>
          <w:w w:val="100"/>
          <w:kern w:val="0"/>
        </w:rPr>
      </w:pPr>
      <w:r w:rsidRPr="00F97321">
        <w:rPr>
          <w:spacing w:val="0"/>
          <w:w w:val="100"/>
          <w:kern w:val="0"/>
        </w:rPr>
        <w:tab/>
      </w:r>
      <w:r w:rsidRPr="00F43040">
        <w:rPr>
          <w:spacing w:val="0"/>
          <w:w w:val="100"/>
          <w:kern w:val="0"/>
          <w:sz w:val="20"/>
          <w:vertAlign w:val="superscript"/>
        </w:rPr>
        <w:footnoteRef/>
      </w:r>
      <w:r w:rsidRPr="00F97321">
        <w:rPr>
          <w:spacing w:val="0"/>
          <w:w w:val="100"/>
          <w:kern w:val="0"/>
        </w:rPr>
        <w:tab/>
      </w:r>
      <w:r w:rsidRPr="00DF6AA6">
        <w:rPr>
          <w:rFonts w:eastAsia="SimSun"/>
          <w:kern w:val="0"/>
          <w:szCs w:val="17"/>
          <w:lang w:eastAsia="zh-CN"/>
        </w:rPr>
        <w:t xml:space="preserve">См. </w:t>
      </w:r>
      <w:r w:rsidRPr="00DF6AA6">
        <w:rPr>
          <w:rFonts w:eastAsia="SimSun"/>
          <w:i/>
          <w:kern w:val="0"/>
          <w:szCs w:val="17"/>
          <w:lang w:eastAsia="zh-CN"/>
        </w:rPr>
        <w:t>Киндлер</w:t>
      </w:r>
      <w:r w:rsidRPr="00DF6AA6">
        <w:rPr>
          <w:rFonts w:eastAsia="SimSun"/>
          <w:kern w:val="0"/>
          <w:szCs w:val="17"/>
          <w:lang w:eastAsia="zh-CN"/>
        </w:rPr>
        <w:t xml:space="preserve"> против </w:t>
      </w:r>
      <w:r w:rsidRPr="00DF6AA6">
        <w:rPr>
          <w:rFonts w:eastAsia="SimSun"/>
          <w:i/>
          <w:kern w:val="0"/>
          <w:szCs w:val="17"/>
          <w:lang w:eastAsia="zh-CN"/>
        </w:rPr>
        <w:t>Канады</w:t>
      </w:r>
      <w:r w:rsidRPr="00DF6AA6">
        <w:rPr>
          <w:rFonts w:eastAsia="SimSun"/>
          <w:kern w:val="0"/>
          <w:szCs w:val="17"/>
          <w:lang w:eastAsia="zh-CN"/>
        </w:rPr>
        <w:t>, примечание 35 выше.</w:t>
      </w:r>
    </w:p>
  </w:footnote>
  <w:footnote w:id="38">
    <w:p w:rsidR="00215329" w:rsidRPr="00F95111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>
        <w:tab/>
      </w:r>
      <w:r>
        <w:rPr>
          <w:rStyle w:val="FootnoteReference"/>
        </w:rPr>
        <w:t>1</w:t>
      </w:r>
      <w:r>
        <w:tab/>
      </w:r>
      <w:r w:rsidRPr="00F95111">
        <w:rPr>
          <w:rFonts w:eastAsia="SimSun"/>
          <w:kern w:val="0"/>
          <w:szCs w:val="17"/>
          <w:lang w:eastAsia="zh-CN"/>
        </w:rPr>
        <w:t xml:space="preserve">См. </w:t>
      </w:r>
      <w:r w:rsidRPr="00F95111">
        <w:rPr>
          <w:rFonts w:eastAsia="SimSun"/>
          <w:i/>
          <w:kern w:val="0"/>
          <w:szCs w:val="17"/>
          <w:lang w:eastAsia="zh-CN"/>
        </w:rPr>
        <w:t>Н.Ф.С.</w:t>
      </w:r>
      <w:r w:rsidRPr="00F95111">
        <w:rPr>
          <w:rFonts w:eastAsia="SimSun"/>
          <w:kern w:val="0"/>
          <w:szCs w:val="17"/>
          <w:lang w:eastAsia="zh-CN"/>
        </w:rPr>
        <w:t xml:space="preserve"> против </w:t>
      </w:r>
      <w:r w:rsidRPr="00F95111">
        <w:rPr>
          <w:rFonts w:eastAsia="SimSun"/>
          <w:i/>
          <w:kern w:val="0"/>
          <w:szCs w:val="17"/>
          <w:lang w:eastAsia="zh-CN"/>
        </w:rPr>
        <w:t>Соединенного Королевства Великобритании и Северной Ирландии</w:t>
      </w:r>
      <w:r w:rsidRPr="00F95111">
        <w:rPr>
          <w:rFonts w:eastAsia="SimSun"/>
          <w:kern w:val="0"/>
          <w:szCs w:val="17"/>
          <w:lang w:eastAsia="zh-CN"/>
        </w:rPr>
        <w:t>, сообщение № 10/2005, решение от 30 мая 2007 года, пункт 7.3.</w:t>
      </w:r>
    </w:p>
  </w:footnote>
  <w:footnote w:id="39">
    <w:p w:rsidR="00215329" w:rsidRPr="00F95111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>
        <w:rPr>
          <w:spacing w:val="0"/>
          <w:w w:val="100"/>
          <w:kern w:val="0"/>
        </w:rPr>
        <w:tab/>
      </w:r>
      <w:r w:rsidRPr="00277228">
        <w:rPr>
          <w:rStyle w:val="FootnoteReference"/>
          <w:spacing w:val="0"/>
          <w:w w:val="100"/>
          <w:kern w:val="0"/>
          <w:position w:val="0"/>
        </w:rPr>
        <w:t>2</w:t>
      </w:r>
      <w:r w:rsidRPr="0027722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ab/>
      </w:r>
      <w:r w:rsidRPr="00F95111">
        <w:rPr>
          <w:rFonts w:eastAsia="SimSun"/>
          <w:kern w:val="0"/>
          <w:szCs w:val="17"/>
          <w:lang w:eastAsia="zh-CN"/>
        </w:rPr>
        <w:t>См. Руководство по вопросам международной помощи: преследование по признаку пола в контексте статьи 1A(2) Конвенции 1951</w:t>
      </w:r>
      <w:r>
        <w:rPr>
          <w:rFonts w:eastAsia="SimSun"/>
          <w:kern w:val="0"/>
          <w:szCs w:val="17"/>
          <w:lang w:eastAsia="zh-CN"/>
        </w:rPr>
        <w:t> </w:t>
      </w:r>
      <w:r w:rsidRPr="00F95111">
        <w:rPr>
          <w:rFonts w:eastAsia="SimSun"/>
          <w:kern w:val="0"/>
          <w:szCs w:val="17"/>
          <w:lang w:eastAsia="zh-CN"/>
        </w:rPr>
        <w:t>года и/или Протокола 1967</w:t>
      </w:r>
      <w:r>
        <w:rPr>
          <w:rFonts w:eastAsia="SimSun"/>
          <w:kern w:val="0"/>
          <w:szCs w:val="17"/>
          <w:lang w:eastAsia="zh-CN"/>
        </w:rPr>
        <w:t> </w:t>
      </w:r>
      <w:r w:rsidRPr="00F95111">
        <w:rPr>
          <w:rFonts w:eastAsia="SimSun"/>
          <w:kern w:val="0"/>
          <w:szCs w:val="17"/>
          <w:lang w:eastAsia="zh-CN"/>
        </w:rPr>
        <w:t>года, касающихся статуса беженцев (HCR/GIP/02/01).</w:t>
      </w:r>
    </w:p>
  </w:footnote>
  <w:footnote w:id="40">
    <w:p w:rsidR="00215329" w:rsidRPr="00277228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Pr="00277228">
        <w:rPr>
          <w:rStyle w:val="FootnoteReference"/>
          <w:spacing w:val="0"/>
          <w:w w:val="100"/>
          <w:kern w:val="0"/>
          <w:position w:val="0"/>
        </w:rPr>
        <w:t>3</w:t>
      </w:r>
      <w:r w:rsidRPr="0027722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ab/>
      </w:r>
      <w:r w:rsidRPr="00140A2E">
        <w:rPr>
          <w:rFonts w:eastAsia="SimSun"/>
          <w:kern w:val="0"/>
          <w:szCs w:val="17"/>
          <w:lang w:eastAsia="zh-CN"/>
        </w:rPr>
        <w:t>См.</w:t>
      </w:r>
      <w:r>
        <w:rPr>
          <w:rFonts w:eastAsia="SimSun"/>
          <w:kern w:val="0"/>
          <w:szCs w:val="17"/>
          <w:lang w:eastAsia="zh-CN"/>
        </w:rPr>
        <w:t> </w:t>
      </w:r>
      <w:r w:rsidRPr="00140A2E">
        <w:rPr>
          <w:rFonts w:eastAsia="SimSun"/>
          <w:kern w:val="0"/>
          <w:szCs w:val="17"/>
          <w:lang w:eastAsia="zh-CN"/>
        </w:rPr>
        <w:t xml:space="preserve">Управление Верховного комиссара Организации Объединенных Наций по делам беженцев, Руководство по процедурам и критериям определения статуса беженца согласно Конвенции 1951 года и Протоколу 1967 года, касающихся статуса беженца (новая редакция, январь 1992 года) (HCR/IP/4/Eng/REV.1), пункты 190 и 196. </w:t>
      </w:r>
    </w:p>
  </w:footnote>
  <w:footnote w:id="41">
    <w:p w:rsidR="00215329" w:rsidRPr="00140A2E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>
        <w:rPr>
          <w:spacing w:val="0"/>
          <w:w w:val="100"/>
          <w:kern w:val="0"/>
        </w:rPr>
        <w:tab/>
      </w:r>
      <w:r w:rsidRPr="00143E3D">
        <w:rPr>
          <w:rStyle w:val="FootnoteReference"/>
          <w:spacing w:val="0"/>
          <w:w w:val="100"/>
          <w:kern w:val="0"/>
          <w:position w:val="0"/>
        </w:rPr>
        <w:t>4</w:t>
      </w:r>
      <w:r w:rsidRPr="00143E3D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ab/>
      </w:r>
      <w:r w:rsidRPr="00140A2E">
        <w:rPr>
          <w:rFonts w:eastAsia="SimSun"/>
          <w:kern w:val="0"/>
          <w:szCs w:val="17"/>
          <w:lang w:eastAsia="zh-CN"/>
        </w:rPr>
        <w:t xml:space="preserve">См. </w:t>
      </w:r>
      <w:r w:rsidRPr="00140A2E">
        <w:rPr>
          <w:rFonts w:eastAsia="SimSun"/>
          <w:i/>
          <w:kern w:val="0"/>
          <w:szCs w:val="17"/>
          <w:lang w:eastAsia="zh-CN"/>
        </w:rPr>
        <w:t>Прокурор</w:t>
      </w:r>
      <w:r w:rsidRPr="00140A2E">
        <w:rPr>
          <w:rFonts w:eastAsia="SimSun"/>
          <w:kern w:val="0"/>
          <w:szCs w:val="17"/>
          <w:lang w:eastAsia="zh-CN"/>
        </w:rPr>
        <w:t xml:space="preserve"> против </w:t>
      </w:r>
      <w:r w:rsidRPr="00140A2E">
        <w:rPr>
          <w:rFonts w:eastAsia="SimSun"/>
          <w:i/>
          <w:kern w:val="0"/>
          <w:szCs w:val="17"/>
          <w:lang w:eastAsia="zh-CN"/>
        </w:rPr>
        <w:t>Акаису</w:t>
      </w:r>
      <w:r w:rsidRPr="00140A2E">
        <w:rPr>
          <w:rFonts w:eastAsia="SimSun"/>
          <w:kern w:val="0"/>
          <w:szCs w:val="17"/>
          <w:lang w:eastAsia="zh-CN"/>
        </w:rPr>
        <w:t>, дело №. ICTR-96-4-T, октябрь 1998 года, Международный уголовный трибунал по Руанде, пункт 731.</w:t>
      </w:r>
    </w:p>
  </w:footnote>
  <w:footnote w:id="42">
    <w:p w:rsidR="00215329" w:rsidRPr="00140A2E" w:rsidRDefault="00215329" w:rsidP="00087FA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SimSun"/>
          <w:kern w:val="0"/>
          <w:szCs w:val="17"/>
          <w:lang w:eastAsia="zh-CN"/>
        </w:rPr>
      </w:pPr>
      <w:r>
        <w:rPr>
          <w:spacing w:val="0"/>
          <w:w w:val="100"/>
          <w:kern w:val="0"/>
        </w:rPr>
        <w:tab/>
      </w:r>
      <w:r w:rsidRPr="00277228">
        <w:rPr>
          <w:rStyle w:val="FootnoteReference"/>
          <w:spacing w:val="0"/>
          <w:w w:val="100"/>
          <w:kern w:val="0"/>
          <w:position w:val="0"/>
          <w:lang w:val="en-US"/>
        </w:rPr>
        <w:t>5</w:t>
      </w:r>
      <w:r w:rsidRPr="00277228">
        <w:rPr>
          <w:spacing w:val="0"/>
          <w:w w:val="100"/>
          <w:kern w:val="0"/>
          <w:lang w:val="en-US"/>
        </w:rPr>
        <w:t xml:space="preserve"> </w:t>
      </w:r>
      <w:r w:rsidRPr="00087FA1">
        <w:rPr>
          <w:spacing w:val="0"/>
          <w:w w:val="100"/>
          <w:kern w:val="0"/>
          <w:lang w:val="en-US"/>
        </w:rPr>
        <w:tab/>
      </w:r>
      <w:r w:rsidRPr="00140A2E">
        <w:rPr>
          <w:rFonts w:eastAsia="SimSun"/>
          <w:kern w:val="0"/>
          <w:szCs w:val="17"/>
          <w:lang w:eastAsia="zh-CN"/>
        </w:rPr>
        <w:t>См</w:t>
      </w:r>
      <w:r w:rsidRPr="00087FA1">
        <w:rPr>
          <w:rFonts w:eastAsia="SimSun"/>
          <w:kern w:val="0"/>
          <w:szCs w:val="17"/>
          <w:lang w:val="en-US" w:eastAsia="zh-CN"/>
        </w:rPr>
        <w:t xml:space="preserve">. Valerie Oosterveld, “Women and girls fleeing conflict: gender and the interpretation and application of the 1951 Refugee Convention”, September 2012, p. 21. </w:t>
      </w:r>
      <w:r w:rsidRPr="00140A2E">
        <w:rPr>
          <w:rFonts w:eastAsia="SimSun"/>
          <w:kern w:val="0"/>
          <w:szCs w:val="17"/>
          <w:lang w:eastAsia="zh-CN"/>
        </w:rPr>
        <w:t>Доступно по адресу: www.refworld.org/docid/504dcb172.html.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215329" w:rsidTr="004D7EA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15329" w:rsidRPr="004D7EAD" w:rsidRDefault="00215329" w:rsidP="004D7EAD">
          <w:pPr>
            <w:pStyle w:val="Header"/>
            <w:spacing w:after="80"/>
            <w:rPr>
              <w:b/>
            </w:rPr>
          </w:pPr>
          <w:fldSimple w:instr=" DOCVARIABLE &quot;sss1&quot; \* MERGEFORMAT ">
            <w:r>
              <w:rPr>
                <w:b/>
              </w:rPr>
              <w:t>CEDAW/C/55/D/35/2011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215329" w:rsidRDefault="00215329" w:rsidP="004D7EAD">
          <w:pPr>
            <w:pStyle w:val="Header"/>
          </w:pPr>
        </w:p>
      </w:tc>
    </w:tr>
  </w:tbl>
  <w:p w:rsidR="00215329" w:rsidRPr="004D7EAD" w:rsidRDefault="00215329" w:rsidP="004D7E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215329" w:rsidTr="004D7EA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15329" w:rsidRDefault="00215329" w:rsidP="004D7EAD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215329" w:rsidRPr="004D7EAD" w:rsidRDefault="00215329" w:rsidP="004D7EAD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>
              <w:rPr>
                <w:b/>
              </w:rPr>
              <w:t>CEDAW/C/55/D/35/2011</w:t>
            </w:r>
          </w:fldSimple>
        </w:p>
      </w:tc>
    </w:tr>
  </w:tbl>
  <w:p w:rsidR="00215329" w:rsidRPr="004D7EAD" w:rsidRDefault="00215329" w:rsidP="004D7E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215329" w:rsidTr="004D7EA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15329" w:rsidRPr="004D7EAD" w:rsidRDefault="00215329" w:rsidP="004D7EA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15329" w:rsidRDefault="00215329" w:rsidP="004D7EAD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15329" w:rsidRPr="004D7EAD" w:rsidRDefault="00215329" w:rsidP="004D7EA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/C/55/D/35/2011</w:t>
          </w:r>
        </w:p>
      </w:tc>
    </w:tr>
    <w:tr w:rsidR="00215329" w:rsidRPr="001D61F0" w:rsidTr="004D7EAD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5329" w:rsidRDefault="00215329" w:rsidP="004D7EAD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215329" w:rsidRPr="004D7EAD" w:rsidRDefault="00215329" w:rsidP="004D7EAD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5329" w:rsidRPr="004D7EAD" w:rsidRDefault="00215329" w:rsidP="004D7EAD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5329" w:rsidRPr="001D61F0" w:rsidRDefault="00215329" w:rsidP="004D7EAD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5329" w:rsidRPr="001D61F0" w:rsidRDefault="00215329" w:rsidP="004D7EAD">
          <w:pPr>
            <w:spacing w:before="240"/>
            <w:rPr>
              <w:lang w:val="en-US"/>
            </w:rPr>
          </w:pPr>
          <w:r w:rsidRPr="001D61F0">
            <w:rPr>
              <w:lang w:val="en-US"/>
            </w:rPr>
            <w:t>Distr.: General</w:t>
          </w:r>
        </w:p>
        <w:p w:rsidR="00215329" w:rsidRPr="001D61F0" w:rsidRDefault="00215329" w:rsidP="004D7EAD">
          <w:pPr>
            <w:rPr>
              <w:lang w:val="en-US"/>
            </w:rPr>
          </w:pPr>
          <w:r w:rsidRPr="001D61F0">
            <w:rPr>
              <w:lang w:val="en-US"/>
            </w:rPr>
            <w:t>9 September 2013</w:t>
          </w:r>
        </w:p>
        <w:p w:rsidR="00215329" w:rsidRPr="001D61F0" w:rsidRDefault="00215329" w:rsidP="004D7EAD">
          <w:pPr>
            <w:rPr>
              <w:lang w:val="en-US"/>
            </w:rPr>
          </w:pPr>
          <w:r w:rsidRPr="001D61F0">
            <w:rPr>
              <w:lang w:val="en-US"/>
            </w:rPr>
            <w:t>Russian</w:t>
          </w:r>
        </w:p>
        <w:p w:rsidR="00215329" w:rsidRPr="001D61F0" w:rsidRDefault="00215329" w:rsidP="004D7EAD">
          <w:pPr>
            <w:rPr>
              <w:lang w:val="en-US"/>
            </w:rPr>
          </w:pPr>
          <w:r w:rsidRPr="001D61F0">
            <w:rPr>
              <w:lang w:val="en-US"/>
            </w:rPr>
            <w:t>Original: English</w:t>
          </w:r>
        </w:p>
      </w:tc>
    </w:tr>
  </w:tbl>
  <w:p w:rsidR="00215329" w:rsidRPr="004D7EAD" w:rsidRDefault="00215329" w:rsidP="004D7EAD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0A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4"/>
  </w:num>
  <w:num w:numId="5">
    <w:abstractNumId w:val="4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6"/>
  </w:num>
  <w:num w:numId="13">
    <w:abstractNumId w:val="13"/>
  </w:num>
  <w:num w:numId="14">
    <w:abstractNumId w:val="15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343088*"/>
    <w:docVar w:name="CreationDt" w:val="09/09/2013 14:04:49"/>
    <w:docVar w:name="DocCategory" w:val="Doc"/>
    <w:docVar w:name="DocType" w:val="Final"/>
    <w:docVar w:name="FooterJN" w:val="13-43088"/>
    <w:docVar w:name="jobn" w:val="13-43088 (R)"/>
    <w:docVar w:name="jobnDT" w:val="13-43088 (R)   090913"/>
    <w:docVar w:name="jobnDTDT" w:val="13-43088 (R)   090913   090913"/>
    <w:docVar w:name="JobNo" w:val="1343088R"/>
    <w:docVar w:name="OandT" w:val=" "/>
    <w:docVar w:name="sss1" w:val="CEDAW/C/55/D/35/2011"/>
    <w:docVar w:name="sss2" w:val="-"/>
    <w:docVar w:name="Symbol1" w:val="CEDAW/C/55/D/35/2011"/>
    <w:docVar w:name="Symbol2" w:val="-"/>
  </w:docVars>
  <w:rsids>
    <w:rsidRoot w:val="000902DB"/>
    <w:rsid w:val="00005D71"/>
    <w:rsid w:val="000121EB"/>
    <w:rsid w:val="00027C74"/>
    <w:rsid w:val="000453DA"/>
    <w:rsid w:val="000456EE"/>
    <w:rsid w:val="00051525"/>
    <w:rsid w:val="00060967"/>
    <w:rsid w:val="00067768"/>
    <w:rsid w:val="00072B9A"/>
    <w:rsid w:val="00086C68"/>
    <w:rsid w:val="00087FA1"/>
    <w:rsid w:val="000902DB"/>
    <w:rsid w:val="00094451"/>
    <w:rsid w:val="000A140F"/>
    <w:rsid w:val="000A257D"/>
    <w:rsid w:val="000B55FB"/>
    <w:rsid w:val="000C7E7B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16F9"/>
    <w:rsid w:val="00132C80"/>
    <w:rsid w:val="00137928"/>
    <w:rsid w:val="00153F7F"/>
    <w:rsid w:val="0015549A"/>
    <w:rsid w:val="00155888"/>
    <w:rsid w:val="00162122"/>
    <w:rsid w:val="00166134"/>
    <w:rsid w:val="001663A4"/>
    <w:rsid w:val="00187070"/>
    <w:rsid w:val="001907AF"/>
    <w:rsid w:val="00190B0F"/>
    <w:rsid w:val="00194D77"/>
    <w:rsid w:val="001A0224"/>
    <w:rsid w:val="001B301A"/>
    <w:rsid w:val="001B4B9E"/>
    <w:rsid w:val="001B6787"/>
    <w:rsid w:val="001B78EB"/>
    <w:rsid w:val="001C07B7"/>
    <w:rsid w:val="001D1AAB"/>
    <w:rsid w:val="001D616C"/>
    <w:rsid w:val="001D61F0"/>
    <w:rsid w:val="001E0D73"/>
    <w:rsid w:val="001E2245"/>
    <w:rsid w:val="001E2434"/>
    <w:rsid w:val="001E549D"/>
    <w:rsid w:val="00204B80"/>
    <w:rsid w:val="002063C7"/>
    <w:rsid w:val="00206D99"/>
    <w:rsid w:val="002111D1"/>
    <w:rsid w:val="00215329"/>
    <w:rsid w:val="00224617"/>
    <w:rsid w:val="002300BF"/>
    <w:rsid w:val="0023167F"/>
    <w:rsid w:val="00252F1F"/>
    <w:rsid w:val="00254933"/>
    <w:rsid w:val="002549E8"/>
    <w:rsid w:val="0026033B"/>
    <w:rsid w:val="00263747"/>
    <w:rsid w:val="002656BA"/>
    <w:rsid w:val="0027035E"/>
    <w:rsid w:val="00273D16"/>
    <w:rsid w:val="00274115"/>
    <w:rsid w:val="00290971"/>
    <w:rsid w:val="00295953"/>
    <w:rsid w:val="002A529E"/>
    <w:rsid w:val="002B7B47"/>
    <w:rsid w:val="002E6BF4"/>
    <w:rsid w:val="002F7CE3"/>
    <w:rsid w:val="00301FA0"/>
    <w:rsid w:val="00322BEE"/>
    <w:rsid w:val="00323640"/>
    <w:rsid w:val="00324CF9"/>
    <w:rsid w:val="00334763"/>
    <w:rsid w:val="00340AEC"/>
    <w:rsid w:val="00342A7A"/>
    <w:rsid w:val="00342B08"/>
    <w:rsid w:val="003439DF"/>
    <w:rsid w:val="00350BA4"/>
    <w:rsid w:val="003537FA"/>
    <w:rsid w:val="003546B2"/>
    <w:rsid w:val="00355ACD"/>
    <w:rsid w:val="003575F3"/>
    <w:rsid w:val="0036225D"/>
    <w:rsid w:val="00363C4B"/>
    <w:rsid w:val="003723B7"/>
    <w:rsid w:val="00385C15"/>
    <w:rsid w:val="003967E4"/>
    <w:rsid w:val="003A0598"/>
    <w:rsid w:val="003A6FDC"/>
    <w:rsid w:val="003B41AA"/>
    <w:rsid w:val="003B4951"/>
    <w:rsid w:val="003C543A"/>
    <w:rsid w:val="003C5DC2"/>
    <w:rsid w:val="003D53B7"/>
    <w:rsid w:val="003E5CCD"/>
    <w:rsid w:val="003E5D5E"/>
    <w:rsid w:val="003E5F2D"/>
    <w:rsid w:val="003E730F"/>
    <w:rsid w:val="003F2AAD"/>
    <w:rsid w:val="003F31EE"/>
    <w:rsid w:val="003F6585"/>
    <w:rsid w:val="0040710C"/>
    <w:rsid w:val="00407E18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72B05"/>
    <w:rsid w:val="00476C43"/>
    <w:rsid w:val="0047733F"/>
    <w:rsid w:val="00480A82"/>
    <w:rsid w:val="0049561B"/>
    <w:rsid w:val="004A3A8A"/>
    <w:rsid w:val="004B2572"/>
    <w:rsid w:val="004B3EAA"/>
    <w:rsid w:val="004B5AA0"/>
    <w:rsid w:val="004C1CDE"/>
    <w:rsid w:val="004D67BC"/>
    <w:rsid w:val="004D7EAD"/>
    <w:rsid w:val="004E1B63"/>
    <w:rsid w:val="004E2D79"/>
    <w:rsid w:val="004E2F73"/>
    <w:rsid w:val="004E7281"/>
    <w:rsid w:val="00511165"/>
    <w:rsid w:val="00525B01"/>
    <w:rsid w:val="00525C54"/>
    <w:rsid w:val="005311E8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A3F58"/>
    <w:rsid w:val="005B4EA0"/>
    <w:rsid w:val="005C0A7D"/>
    <w:rsid w:val="005C1AB0"/>
    <w:rsid w:val="005C45D1"/>
    <w:rsid w:val="005D2513"/>
    <w:rsid w:val="005E0023"/>
    <w:rsid w:val="005F415D"/>
    <w:rsid w:val="00602143"/>
    <w:rsid w:val="00615153"/>
    <w:rsid w:val="006176BE"/>
    <w:rsid w:val="0062643E"/>
    <w:rsid w:val="00632D0B"/>
    <w:rsid w:val="00636167"/>
    <w:rsid w:val="006373F3"/>
    <w:rsid w:val="00656FF1"/>
    <w:rsid w:val="00663E67"/>
    <w:rsid w:val="00670BE6"/>
    <w:rsid w:val="00684F20"/>
    <w:rsid w:val="006A4674"/>
    <w:rsid w:val="006A581C"/>
    <w:rsid w:val="006A70C8"/>
    <w:rsid w:val="006B27EC"/>
    <w:rsid w:val="006D7766"/>
    <w:rsid w:val="006E57BD"/>
    <w:rsid w:val="006F23E6"/>
    <w:rsid w:val="006F365F"/>
    <w:rsid w:val="0070092E"/>
    <w:rsid w:val="007211BA"/>
    <w:rsid w:val="007465AD"/>
    <w:rsid w:val="007529E4"/>
    <w:rsid w:val="0075643A"/>
    <w:rsid w:val="00772B06"/>
    <w:rsid w:val="0077752C"/>
    <w:rsid w:val="00777664"/>
    <w:rsid w:val="007807F7"/>
    <w:rsid w:val="00782033"/>
    <w:rsid w:val="00785467"/>
    <w:rsid w:val="007955D2"/>
    <w:rsid w:val="007A7D19"/>
    <w:rsid w:val="007B0281"/>
    <w:rsid w:val="007B1F15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0E1D"/>
    <w:rsid w:val="00842CEF"/>
    <w:rsid w:val="00864B77"/>
    <w:rsid w:val="00871EEE"/>
    <w:rsid w:val="00877B57"/>
    <w:rsid w:val="008809D0"/>
    <w:rsid w:val="00882568"/>
    <w:rsid w:val="00884F66"/>
    <w:rsid w:val="00890728"/>
    <w:rsid w:val="008A267B"/>
    <w:rsid w:val="008A2A07"/>
    <w:rsid w:val="008B1543"/>
    <w:rsid w:val="008B2406"/>
    <w:rsid w:val="008B4830"/>
    <w:rsid w:val="008D20C2"/>
    <w:rsid w:val="008D2173"/>
    <w:rsid w:val="008D7EF0"/>
    <w:rsid w:val="008E463A"/>
    <w:rsid w:val="008F21B6"/>
    <w:rsid w:val="00902AC8"/>
    <w:rsid w:val="0091632F"/>
    <w:rsid w:val="00916CD9"/>
    <w:rsid w:val="00920724"/>
    <w:rsid w:val="009228A5"/>
    <w:rsid w:val="00927EEA"/>
    <w:rsid w:val="00930B0F"/>
    <w:rsid w:val="00944E74"/>
    <w:rsid w:val="00956090"/>
    <w:rsid w:val="00960D80"/>
    <w:rsid w:val="0097608B"/>
    <w:rsid w:val="00981D86"/>
    <w:rsid w:val="00990926"/>
    <w:rsid w:val="009A4712"/>
    <w:rsid w:val="009B1853"/>
    <w:rsid w:val="009B3F4B"/>
    <w:rsid w:val="009C1519"/>
    <w:rsid w:val="009C5D0D"/>
    <w:rsid w:val="009D18FE"/>
    <w:rsid w:val="009D5AA3"/>
    <w:rsid w:val="009D76A8"/>
    <w:rsid w:val="009E7068"/>
    <w:rsid w:val="009F64BE"/>
    <w:rsid w:val="00A25540"/>
    <w:rsid w:val="00A2634B"/>
    <w:rsid w:val="00A506DF"/>
    <w:rsid w:val="00A60D1F"/>
    <w:rsid w:val="00A66744"/>
    <w:rsid w:val="00A66F3C"/>
    <w:rsid w:val="00A72FB2"/>
    <w:rsid w:val="00A77434"/>
    <w:rsid w:val="00A932C5"/>
    <w:rsid w:val="00AA7911"/>
    <w:rsid w:val="00AB0F2F"/>
    <w:rsid w:val="00AB20FA"/>
    <w:rsid w:val="00AB749A"/>
    <w:rsid w:val="00AC27C8"/>
    <w:rsid w:val="00AC4CCE"/>
    <w:rsid w:val="00AE4E7F"/>
    <w:rsid w:val="00AF046A"/>
    <w:rsid w:val="00AF4CCE"/>
    <w:rsid w:val="00B00AA6"/>
    <w:rsid w:val="00B10627"/>
    <w:rsid w:val="00B31A62"/>
    <w:rsid w:val="00B33B92"/>
    <w:rsid w:val="00B37093"/>
    <w:rsid w:val="00B41EE7"/>
    <w:rsid w:val="00B44850"/>
    <w:rsid w:val="00B46D7A"/>
    <w:rsid w:val="00B50A04"/>
    <w:rsid w:val="00B53281"/>
    <w:rsid w:val="00B54356"/>
    <w:rsid w:val="00B545A9"/>
    <w:rsid w:val="00B56FC7"/>
    <w:rsid w:val="00B742FC"/>
    <w:rsid w:val="00B93D7B"/>
    <w:rsid w:val="00BA4E05"/>
    <w:rsid w:val="00BA6CEF"/>
    <w:rsid w:val="00BB39DF"/>
    <w:rsid w:val="00BB592C"/>
    <w:rsid w:val="00BC030B"/>
    <w:rsid w:val="00BC46C1"/>
    <w:rsid w:val="00BD1023"/>
    <w:rsid w:val="00BD2395"/>
    <w:rsid w:val="00BD48EB"/>
    <w:rsid w:val="00BD5105"/>
    <w:rsid w:val="00BE732F"/>
    <w:rsid w:val="00BE735B"/>
    <w:rsid w:val="00BF1904"/>
    <w:rsid w:val="00C00F56"/>
    <w:rsid w:val="00C15911"/>
    <w:rsid w:val="00C22F31"/>
    <w:rsid w:val="00C323D9"/>
    <w:rsid w:val="00C32BF1"/>
    <w:rsid w:val="00C3589B"/>
    <w:rsid w:val="00C35DAF"/>
    <w:rsid w:val="00C36C3D"/>
    <w:rsid w:val="00C4049B"/>
    <w:rsid w:val="00C44942"/>
    <w:rsid w:val="00C551BA"/>
    <w:rsid w:val="00C5793A"/>
    <w:rsid w:val="00C62474"/>
    <w:rsid w:val="00C62D32"/>
    <w:rsid w:val="00C636EC"/>
    <w:rsid w:val="00C6448D"/>
    <w:rsid w:val="00C67968"/>
    <w:rsid w:val="00C7271C"/>
    <w:rsid w:val="00C74A64"/>
    <w:rsid w:val="00C75B7B"/>
    <w:rsid w:val="00C77E70"/>
    <w:rsid w:val="00C8725A"/>
    <w:rsid w:val="00C91290"/>
    <w:rsid w:val="00C916ED"/>
    <w:rsid w:val="00CA13D0"/>
    <w:rsid w:val="00CA5356"/>
    <w:rsid w:val="00CA5648"/>
    <w:rsid w:val="00CB1880"/>
    <w:rsid w:val="00CB4DF3"/>
    <w:rsid w:val="00CB63B3"/>
    <w:rsid w:val="00CD1F13"/>
    <w:rsid w:val="00CD3494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43AF1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1F57"/>
    <w:rsid w:val="00DA5F52"/>
    <w:rsid w:val="00DA666E"/>
    <w:rsid w:val="00DB6461"/>
    <w:rsid w:val="00DB699A"/>
    <w:rsid w:val="00DC24D3"/>
    <w:rsid w:val="00DC32E5"/>
    <w:rsid w:val="00DC4696"/>
    <w:rsid w:val="00DD591B"/>
    <w:rsid w:val="00DD7228"/>
    <w:rsid w:val="00DE2DB0"/>
    <w:rsid w:val="00DE5E5D"/>
    <w:rsid w:val="00DF1785"/>
    <w:rsid w:val="00DF7D80"/>
    <w:rsid w:val="00E04721"/>
    <w:rsid w:val="00E05593"/>
    <w:rsid w:val="00E16068"/>
    <w:rsid w:val="00E17DE0"/>
    <w:rsid w:val="00E3468B"/>
    <w:rsid w:val="00E41818"/>
    <w:rsid w:val="00E45880"/>
    <w:rsid w:val="00E45B2C"/>
    <w:rsid w:val="00E54D9D"/>
    <w:rsid w:val="00E55342"/>
    <w:rsid w:val="00E6707A"/>
    <w:rsid w:val="00E72374"/>
    <w:rsid w:val="00E825E7"/>
    <w:rsid w:val="00E840BA"/>
    <w:rsid w:val="00E9069B"/>
    <w:rsid w:val="00E946FF"/>
    <w:rsid w:val="00EA047B"/>
    <w:rsid w:val="00EA2334"/>
    <w:rsid w:val="00EB05F9"/>
    <w:rsid w:val="00EB451F"/>
    <w:rsid w:val="00EC0362"/>
    <w:rsid w:val="00EC4F9E"/>
    <w:rsid w:val="00EC55FB"/>
    <w:rsid w:val="00ED2DC7"/>
    <w:rsid w:val="00ED6B18"/>
    <w:rsid w:val="00EE63BD"/>
    <w:rsid w:val="00EF3CC4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52825"/>
    <w:rsid w:val="00F55344"/>
    <w:rsid w:val="00F76664"/>
    <w:rsid w:val="00F76E96"/>
    <w:rsid w:val="00F91203"/>
    <w:rsid w:val="00FA0AC9"/>
    <w:rsid w:val="00FB140E"/>
    <w:rsid w:val="00FB6F38"/>
    <w:rsid w:val="00FC49A2"/>
    <w:rsid w:val="00FC6CE4"/>
    <w:rsid w:val="00FD3C21"/>
    <w:rsid w:val="00FD49A4"/>
    <w:rsid w:val="00FE3D8E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1D61F0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1D61F0"/>
    <w:pPr>
      <w:keepNext/>
      <w:spacing w:before="240" w:after="60" w:line="24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D61F0"/>
    <w:pPr>
      <w:keepNext/>
      <w:spacing w:before="240" w:after="60" w:line="240" w:lineRule="atLeas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D61F0"/>
    <w:pPr>
      <w:keepNext/>
      <w:spacing w:before="240" w:after="60" w:line="240" w:lineRule="atLeas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D61F0"/>
    <w:pPr>
      <w:spacing w:before="240" w:after="60" w:line="240" w:lineRule="atLeas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D61F0"/>
    <w:pPr>
      <w:spacing w:before="240" w:after="60" w:line="240" w:lineRule="atLeas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D61F0"/>
    <w:pPr>
      <w:spacing w:before="240" w:after="60" w:line="240" w:lineRule="atLeas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D61F0"/>
    <w:pPr>
      <w:spacing w:before="240" w:after="60" w:line="240" w:lineRule="atLeast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1D61F0"/>
    <w:pPr>
      <w:spacing w:before="240" w:after="60" w:line="240" w:lineRule="atLeas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link w:val="SingleTxt0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sid w:val="00B46D7A"/>
    <w:rPr>
      <w:sz w:val="6"/>
    </w:rPr>
  </w:style>
  <w:style w:type="character" w:styleId="FootnoteReference">
    <w:name w:val="footnote reference"/>
    <w:aliases w:val="4_GR,4_G,ftref,Footnote number"/>
    <w:basedOn w:val="DefaultParagraphFont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aliases w:val="1_GR"/>
    <w:basedOn w:val="FootnoteReference"/>
    <w:semiHidden/>
    <w:rsid w:val="00B46D7A"/>
  </w:style>
  <w:style w:type="paragraph" w:styleId="FootnoteText">
    <w:name w:val="footnote text"/>
    <w:aliases w:val="5_GR,5_G,Footnote Text Char Char Char Char Char,Footnote Text Char Char Char Char,Footnote reference,FA Fu,Footnote Text Char Char Char,Footnote Text Char Char1,Footnote Text Char1 Char Char1,Footnote Text Char Char1 Char Char"/>
    <w:basedOn w:val="Normal"/>
    <w:link w:val="FootnoteTextChar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aliases w:val="2_GR"/>
    <w:basedOn w:val="FootnoteText"/>
    <w:semiHidden/>
    <w:rsid w:val="00B46D7A"/>
  </w:style>
  <w:style w:type="paragraph" w:styleId="Footer">
    <w:name w:val="footer"/>
    <w:aliases w:val="3_G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aliases w:val="6_G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4D7EAD"/>
  </w:style>
  <w:style w:type="paragraph" w:styleId="CommentSubject">
    <w:name w:val="annotation subject"/>
    <w:basedOn w:val="CommentText"/>
    <w:next w:val="CommentText"/>
    <w:semiHidden/>
    <w:rsid w:val="004D7EAD"/>
    <w:rPr>
      <w:b/>
      <w:bCs/>
    </w:rPr>
  </w:style>
  <w:style w:type="paragraph" w:customStyle="1" w:styleId="H1GR">
    <w:name w:val="_ H_1_GR"/>
    <w:basedOn w:val="Normal"/>
    <w:next w:val="Normal"/>
    <w:rsid w:val="001D61F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1D61F0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b/>
      <w:lang w:eastAsia="ru-RU"/>
    </w:rPr>
  </w:style>
  <w:style w:type="character" w:styleId="Hyperlink">
    <w:name w:val="Hyperlink"/>
    <w:semiHidden/>
    <w:rsid w:val="001D61F0"/>
    <w:rPr>
      <w:color w:val="0000FF"/>
      <w:u w:val="none"/>
    </w:rPr>
  </w:style>
  <w:style w:type="character" w:customStyle="1" w:styleId="SingleTxt0">
    <w:name w:val="__Single Txt Знак"/>
    <w:basedOn w:val="DefaultParagraphFont"/>
    <w:link w:val="SingleTxt"/>
    <w:rsid w:val="001D61F0"/>
    <w:rPr>
      <w:spacing w:val="4"/>
      <w:w w:val="103"/>
      <w:kern w:val="14"/>
      <w:lang w:val="ru-RU" w:eastAsia="en-US" w:bidi="ar-SA"/>
    </w:rPr>
  </w:style>
  <w:style w:type="paragraph" w:customStyle="1" w:styleId="1">
    <w:name w:val="_Н_1_рус"/>
    <w:basedOn w:val="H1"/>
    <w:rsid w:val="001D61F0"/>
    <w:pPr>
      <w:tabs>
        <w:tab w:val="right" w:pos="1022"/>
        <w:tab w:val="left" w:pos="1267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4" w:right="1264"/>
    </w:pPr>
    <w:rPr>
      <w:rFonts w:eastAsia="SimSun"/>
      <w:spacing w:val="0"/>
      <w:w w:val="100"/>
      <w:kern w:val="0"/>
      <w:lang w:eastAsia="zh-CN"/>
    </w:rPr>
  </w:style>
  <w:style w:type="paragraph" w:styleId="Date">
    <w:name w:val="Date"/>
    <w:basedOn w:val="Normal"/>
    <w:next w:val="Normal"/>
    <w:semiHidden/>
    <w:rsid w:val="001D61F0"/>
    <w:pPr>
      <w:spacing w:line="240" w:lineRule="atLeast"/>
    </w:pPr>
  </w:style>
  <w:style w:type="paragraph" w:customStyle="1" w:styleId="HChGR">
    <w:name w:val="_ H _Ch_GR"/>
    <w:basedOn w:val="Normal"/>
    <w:next w:val="Normal"/>
    <w:rsid w:val="001D61F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SLGR">
    <w:name w:val="__S_L_GR"/>
    <w:basedOn w:val="Normal"/>
    <w:next w:val="Normal"/>
    <w:rsid w:val="001D61F0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1D61F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1D61F0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1D61F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1D61F0"/>
    <w:pPr>
      <w:numPr>
        <w:numId w:val="12"/>
      </w:numPr>
      <w:spacing w:after="120" w:line="240" w:lineRule="atLeast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1D61F0"/>
    <w:pPr>
      <w:numPr>
        <w:numId w:val="13"/>
      </w:numPr>
      <w:spacing w:after="120" w:line="240" w:lineRule="atLeast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1D61F0"/>
    <w:pPr>
      <w:numPr>
        <w:numId w:val="15"/>
      </w:numPr>
    </w:pPr>
  </w:style>
  <w:style w:type="numbering" w:styleId="1ai">
    <w:name w:val="Outline List 1"/>
    <w:basedOn w:val="NoList"/>
    <w:semiHidden/>
    <w:rsid w:val="001D61F0"/>
    <w:pPr>
      <w:numPr>
        <w:numId w:val="16"/>
      </w:numPr>
    </w:pPr>
  </w:style>
  <w:style w:type="paragraph" w:styleId="HTMLAddress">
    <w:name w:val="HTML Address"/>
    <w:basedOn w:val="Normal"/>
    <w:semiHidden/>
    <w:rsid w:val="001D61F0"/>
    <w:pPr>
      <w:spacing w:line="240" w:lineRule="atLeast"/>
    </w:pPr>
    <w:rPr>
      <w:i/>
      <w:iCs/>
    </w:rPr>
  </w:style>
  <w:style w:type="paragraph" w:styleId="EnvelopeAddress">
    <w:name w:val="envelope address"/>
    <w:basedOn w:val="Normal"/>
    <w:semiHidden/>
    <w:rsid w:val="001D61F0"/>
    <w:pPr>
      <w:framePr w:w="7920" w:h="1980" w:hRule="exact" w:hSpace="180" w:wrap="auto" w:hAnchor="page" w:xAlign="center" w:yAlign="bottom"/>
      <w:spacing w:line="240" w:lineRule="atLeast"/>
      <w:ind w:left="2880"/>
    </w:pPr>
    <w:rPr>
      <w:rFonts w:ascii="Arial" w:hAnsi="Arial" w:cs="Arial"/>
      <w:sz w:val="24"/>
    </w:rPr>
  </w:style>
  <w:style w:type="paragraph" w:styleId="ListBullet5">
    <w:name w:val="List Bullet 5"/>
    <w:basedOn w:val="Normal"/>
    <w:semiHidden/>
    <w:rsid w:val="001D61F0"/>
    <w:pPr>
      <w:numPr>
        <w:numId w:val="21"/>
      </w:numPr>
      <w:spacing w:line="240" w:lineRule="atLeast"/>
    </w:pPr>
  </w:style>
  <w:style w:type="table" w:styleId="TableGrid">
    <w:name w:val="Table Grid"/>
    <w:basedOn w:val="TableNormal"/>
    <w:rsid w:val="001D61F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1D61F0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aliases w:val="7_GR"/>
    <w:rsid w:val="001D61F0"/>
    <w:rPr>
      <w:rFonts w:ascii="Times New Roman" w:hAnsi="Times New Roman"/>
      <w:b/>
      <w:sz w:val="18"/>
    </w:rPr>
  </w:style>
  <w:style w:type="paragraph" w:customStyle="1" w:styleId="ParaNoGR">
    <w:name w:val="_ParaNo._GR"/>
    <w:basedOn w:val="Normal"/>
    <w:next w:val="Normal"/>
    <w:rsid w:val="001D61F0"/>
    <w:pPr>
      <w:numPr>
        <w:numId w:val="14"/>
      </w:numPr>
      <w:tabs>
        <w:tab w:val="left" w:pos="567"/>
      </w:tabs>
      <w:spacing w:after="120" w:line="240" w:lineRule="atLeast"/>
      <w:ind w:right="1134"/>
      <w:jc w:val="both"/>
      <w:outlineLvl w:val="0"/>
    </w:pPr>
    <w:rPr>
      <w:lang w:eastAsia="ru-RU"/>
    </w:rPr>
  </w:style>
  <w:style w:type="character" w:styleId="HTMLAcronym">
    <w:name w:val="HTML Acronym"/>
    <w:basedOn w:val="DefaultParagraphFont"/>
    <w:semiHidden/>
    <w:rsid w:val="001D61F0"/>
  </w:style>
  <w:style w:type="table" w:styleId="TableWeb1">
    <w:name w:val="Table Web 1"/>
    <w:basedOn w:val="TableNormal"/>
    <w:semiHidden/>
    <w:rsid w:val="001D61F0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D61F0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">
    <w:name w:val="Footnote Text Char"/>
    <w:aliases w:val="5_GR Char,5_G Char,Footnote Text Char Char Char Char Char Char,Footnote Text Char Char Char Char Char1,Footnote reference Char,FA Fu Char,Footnote Text Char Char Char Char1,Footnote Text Char Char1 Char"/>
    <w:link w:val="FootnoteText"/>
    <w:rsid w:val="001D61F0"/>
    <w:rPr>
      <w:spacing w:val="5"/>
      <w:w w:val="104"/>
      <w:kern w:val="14"/>
      <w:sz w:val="17"/>
      <w:lang w:val="ru-RU" w:eastAsia="en-US" w:bidi="ar-SA"/>
    </w:rPr>
  </w:style>
  <w:style w:type="character" w:styleId="Emphasis">
    <w:name w:val="Emphasis"/>
    <w:qFormat/>
    <w:rsid w:val="001D61F0"/>
    <w:rPr>
      <w:i/>
      <w:iCs/>
    </w:rPr>
  </w:style>
  <w:style w:type="paragraph" w:styleId="NoteHeading">
    <w:name w:val="Note Heading"/>
    <w:basedOn w:val="Normal"/>
    <w:next w:val="Normal"/>
    <w:semiHidden/>
    <w:rsid w:val="001D61F0"/>
    <w:pPr>
      <w:spacing w:line="240" w:lineRule="atLeast"/>
    </w:pPr>
  </w:style>
  <w:style w:type="table" w:styleId="TableElegant">
    <w:name w:val="Table Elegant"/>
    <w:basedOn w:val="TableNormal"/>
    <w:semiHidden/>
    <w:rsid w:val="001D61F0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1D61F0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D61F0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1D61F0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1D61F0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D61F0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D61F0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D61F0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1D61F0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1D61F0"/>
    <w:pPr>
      <w:spacing w:line="240" w:lineRule="atLeast"/>
    </w:pPr>
  </w:style>
  <w:style w:type="paragraph" w:styleId="BodyTextFirstIndent">
    <w:name w:val="Body Text First Indent"/>
    <w:basedOn w:val="BodyText"/>
    <w:semiHidden/>
    <w:rsid w:val="001D61F0"/>
    <w:pPr>
      <w:ind w:firstLine="210"/>
    </w:pPr>
  </w:style>
  <w:style w:type="paragraph" w:styleId="BodyTextIndent">
    <w:name w:val="Body Text Indent"/>
    <w:basedOn w:val="Normal"/>
    <w:semiHidden/>
    <w:rsid w:val="001D61F0"/>
    <w:pPr>
      <w:spacing w:line="240" w:lineRule="atLeast"/>
      <w:ind w:left="283"/>
    </w:pPr>
  </w:style>
  <w:style w:type="paragraph" w:styleId="BodyTextFirstIndent2">
    <w:name w:val="Body Text First Indent 2"/>
    <w:basedOn w:val="BodyTextIndent"/>
    <w:semiHidden/>
    <w:rsid w:val="001D61F0"/>
    <w:pPr>
      <w:ind w:firstLine="210"/>
    </w:pPr>
  </w:style>
  <w:style w:type="paragraph" w:styleId="ListBullet">
    <w:name w:val="List Bullet"/>
    <w:basedOn w:val="Normal"/>
    <w:semiHidden/>
    <w:rsid w:val="001D61F0"/>
    <w:pPr>
      <w:numPr>
        <w:numId w:val="17"/>
      </w:numPr>
      <w:spacing w:line="240" w:lineRule="atLeast"/>
    </w:pPr>
  </w:style>
  <w:style w:type="paragraph" w:styleId="ListBullet2">
    <w:name w:val="List Bullet 2"/>
    <w:basedOn w:val="Normal"/>
    <w:semiHidden/>
    <w:rsid w:val="001D61F0"/>
    <w:pPr>
      <w:numPr>
        <w:numId w:val="18"/>
      </w:numPr>
      <w:spacing w:line="240" w:lineRule="atLeast"/>
    </w:pPr>
  </w:style>
  <w:style w:type="paragraph" w:styleId="ListBullet3">
    <w:name w:val="List Bullet 3"/>
    <w:basedOn w:val="Normal"/>
    <w:semiHidden/>
    <w:rsid w:val="001D61F0"/>
    <w:pPr>
      <w:numPr>
        <w:numId w:val="19"/>
      </w:numPr>
      <w:spacing w:line="240" w:lineRule="atLeast"/>
    </w:pPr>
  </w:style>
  <w:style w:type="paragraph" w:styleId="ListBullet4">
    <w:name w:val="List Bullet 4"/>
    <w:basedOn w:val="Normal"/>
    <w:semiHidden/>
    <w:rsid w:val="001D61F0"/>
    <w:pPr>
      <w:numPr>
        <w:numId w:val="20"/>
      </w:numPr>
      <w:spacing w:line="240" w:lineRule="atLeast"/>
    </w:pPr>
  </w:style>
  <w:style w:type="paragraph" w:styleId="Title">
    <w:name w:val="Title"/>
    <w:basedOn w:val="Normal"/>
    <w:qFormat/>
    <w:rsid w:val="001D61F0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Sample">
    <w:name w:val="HTML Sample"/>
    <w:semiHidden/>
    <w:rsid w:val="001D61F0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1D61F0"/>
    <w:pPr>
      <w:spacing w:line="240" w:lineRule="atLeast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1D61F0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D61F0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D61F0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1D61F0"/>
    <w:pPr>
      <w:spacing w:line="240" w:lineRule="atLeast"/>
    </w:pPr>
    <w:rPr>
      <w:sz w:val="24"/>
    </w:rPr>
  </w:style>
  <w:style w:type="paragraph" w:styleId="NormalIndent">
    <w:name w:val="Normal Indent"/>
    <w:basedOn w:val="Normal"/>
    <w:semiHidden/>
    <w:rsid w:val="001D61F0"/>
    <w:pPr>
      <w:spacing w:line="240" w:lineRule="atLeast"/>
      <w:ind w:left="567"/>
    </w:pPr>
  </w:style>
  <w:style w:type="character" w:styleId="HTMLDefinition">
    <w:name w:val="HTML Definition"/>
    <w:semiHidden/>
    <w:rsid w:val="001D61F0"/>
    <w:rPr>
      <w:i/>
      <w:iCs/>
    </w:rPr>
  </w:style>
  <w:style w:type="paragraph" w:styleId="BodyText2">
    <w:name w:val="Body Text 2"/>
    <w:basedOn w:val="Normal"/>
    <w:semiHidden/>
    <w:rsid w:val="001D61F0"/>
    <w:pPr>
      <w:spacing w:line="480" w:lineRule="auto"/>
    </w:pPr>
  </w:style>
  <w:style w:type="paragraph" w:styleId="BodyText3">
    <w:name w:val="Body Text 3"/>
    <w:basedOn w:val="Normal"/>
    <w:semiHidden/>
    <w:rsid w:val="001D61F0"/>
    <w:pPr>
      <w:spacing w:line="240" w:lineRule="atLeast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D61F0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1D61F0"/>
    <w:pPr>
      <w:spacing w:line="240" w:lineRule="atLeast"/>
      <w:ind w:left="283"/>
    </w:pPr>
    <w:rPr>
      <w:sz w:val="16"/>
      <w:szCs w:val="16"/>
    </w:rPr>
  </w:style>
  <w:style w:type="character" w:styleId="HTMLVariable">
    <w:name w:val="HTML Variable"/>
    <w:semiHidden/>
    <w:rsid w:val="001D61F0"/>
    <w:rPr>
      <w:i/>
      <w:iCs/>
    </w:rPr>
  </w:style>
  <w:style w:type="character" w:styleId="HTMLTypewriter">
    <w:name w:val="HTML Typewriter"/>
    <w:semiHidden/>
    <w:rsid w:val="001D61F0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1D61F0"/>
    <w:pPr>
      <w:spacing w:after="60" w:line="240" w:lineRule="atLeast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1D61F0"/>
    <w:pPr>
      <w:spacing w:line="240" w:lineRule="atLeast"/>
      <w:ind w:left="4252"/>
    </w:pPr>
  </w:style>
  <w:style w:type="paragraph" w:styleId="Salutation">
    <w:name w:val="Salutation"/>
    <w:basedOn w:val="Normal"/>
    <w:next w:val="Normal"/>
    <w:semiHidden/>
    <w:rsid w:val="001D61F0"/>
    <w:pPr>
      <w:spacing w:line="240" w:lineRule="atLeast"/>
    </w:pPr>
  </w:style>
  <w:style w:type="paragraph" w:styleId="ListContinue">
    <w:name w:val="List Continue"/>
    <w:basedOn w:val="Normal"/>
    <w:semiHidden/>
    <w:rsid w:val="001D61F0"/>
    <w:pPr>
      <w:spacing w:line="240" w:lineRule="atLeast"/>
      <w:ind w:left="283"/>
    </w:pPr>
  </w:style>
  <w:style w:type="paragraph" w:styleId="ListContinue3">
    <w:name w:val="List Continue 3"/>
    <w:basedOn w:val="Normal"/>
    <w:semiHidden/>
    <w:rsid w:val="001D61F0"/>
    <w:pPr>
      <w:spacing w:line="240" w:lineRule="atLeast"/>
      <w:ind w:left="849"/>
    </w:pPr>
  </w:style>
  <w:style w:type="paragraph" w:styleId="ListContinue4">
    <w:name w:val="List Continue 4"/>
    <w:basedOn w:val="Normal"/>
    <w:semiHidden/>
    <w:rsid w:val="001D61F0"/>
    <w:pPr>
      <w:spacing w:line="240" w:lineRule="atLeast"/>
      <w:ind w:left="1132"/>
    </w:pPr>
  </w:style>
  <w:style w:type="paragraph" w:styleId="ListContinue5">
    <w:name w:val="List Continue 5"/>
    <w:basedOn w:val="Normal"/>
    <w:semiHidden/>
    <w:rsid w:val="001D61F0"/>
    <w:pPr>
      <w:spacing w:line="240" w:lineRule="atLeast"/>
      <w:ind w:left="1415"/>
    </w:pPr>
  </w:style>
  <w:style w:type="character" w:styleId="FollowedHyperlink">
    <w:name w:val="FollowedHyperlink"/>
    <w:semiHidden/>
    <w:rsid w:val="001D61F0"/>
    <w:rPr>
      <w:color w:val="0000FF"/>
      <w:u w:val="none"/>
    </w:rPr>
  </w:style>
  <w:style w:type="table" w:styleId="TableSimple2">
    <w:name w:val="Table Simple 2"/>
    <w:basedOn w:val="TableNormal"/>
    <w:semiHidden/>
    <w:rsid w:val="001D61F0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D61F0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1D61F0"/>
    <w:pPr>
      <w:spacing w:line="240" w:lineRule="atLeast"/>
      <w:ind w:left="4252"/>
    </w:pPr>
  </w:style>
  <w:style w:type="table" w:styleId="TableGrid1">
    <w:name w:val="Table Grid 1"/>
    <w:basedOn w:val="TableNormal"/>
    <w:semiHidden/>
    <w:rsid w:val="001D61F0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D61F0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D61F0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D61F0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D61F0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D61F0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D61F0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D61F0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D61F0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1D61F0"/>
    <w:pPr>
      <w:spacing w:line="240" w:lineRule="atLeast"/>
      <w:ind w:left="283" w:hanging="283"/>
    </w:pPr>
  </w:style>
  <w:style w:type="paragraph" w:styleId="List2">
    <w:name w:val="List 2"/>
    <w:basedOn w:val="Normal"/>
    <w:semiHidden/>
    <w:rsid w:val="001D61F0"/>
    <w:pPr>
      <w:spacing w:line="240" w:lineRule="atLeast"/>
      <w:ind w:left="566" w:hanging="283"/>
    </w:pPr>
  </w:style>
  <w:style w:type="paragraph" w:styleId="List3">
    <w:name w:val="List 3"/>
    <w:basedOn w:val="Normal"/>
    <w:semiHidden/>
    <w:rsid w:val="001D61F0"/>
    <w:pPr>
      <w:spacing w:line="240" w:lineRule="atLeast"/>
      <w:ind w:left="849" w:hanging="283"/>
    </w:pPr>
  </w:style>
  <w:style w:type="paragraph" w:styleId="List4">
    <w:name w:val="List 4"/>
    <w:basedOn w:val="Normal"/>
    <w:semiHidden/>
    <w:rsid w:val="001D61F0"/>
    <w:pPr>
      <w:spacing w:line="240" w:lineRule="atLeast"/>
      <w:ind w:left="1132" w:hanging="283"/>
    </w:pPr>
  </w:style>
  <w:style w:type="paragraph" w:styleId="List5">
    <w:name w:val="List 5"/>
    <w:basedOn w:val="Normal"/>
    <w:semiHidden/>
    <w:rsid w:val="001D61F0"/>
    <w:pPr>
      <w:spacing w:line="240" w:lineRule="atLeast"/>
      <w:ind w:left="1415" w:hanging="283"/>
    </w:pPr>
  </w:style>
  <w:style w:type="paragraph" w:styleId="HTMLPreformatted">
    <w:name w:val="HTML Preformatted"/>
    <w:basedOn w:val="Normal"/>
    <w:semiHidden/>
    <w:rsid w:val="001D61F0"/>
    <w:pPr>
      <w:spacing w:line="240" w:lineRule="atLeast"/>
    </w:pPr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1D61F0"/>
    <w:pPr>
      <w:numPr>
        <w:numId w:val="22"/>
      </w:numPr>
    </w:pPr>
  </w:style>
  <w:style w:type="table" w:styleId="TableColumns1">
    <w:name w:val="Table Columns 1"/>
    <w:basedOn w:val="TableNormal"/>
    <w:semiHidden/>
    <w:rsid w:val="001D61F0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D61F0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D61F0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D61F0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D61F0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1D61F0"/>
    <w:rPr>
      <w:b/>
      <w:bCs/>
    </w:rPr>
  </w:style>
  <w:style w:type="table" w:styleId="TableList1">
    <w:name w:val="Table List 1"/>
    <w:basedOn w:val="TableNormal"/>
    <w:semiHidden/>
    <w:rsid w:val="001D61F0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D61F0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D61F0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D61F0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D61F0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D61F0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D61F0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D61F0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1D61F0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1D61F0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D61F0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D61F0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1D61F0"/>
    <w:pPr>
      <w:spacing w:line="240" w:lineRule="atLeast"/>
      <w:ind w:left="1440" w:right="1440"/>
    </w:pPr>
  </w:style>
  <w:style w:type="character" w:styleId="HTMLCite">
    <w:name w:val="HTML Cite"/>
    <w:semiHidden/>
    <w:rsid w:val="001D61F0"/>
    <w:rPr>
      <w:i/>
      <w:iCs/>
    </w:rPr>
  </w:style>
  <w:style w:type="paragraph" w:styleId="E-mailSignature">
    <w:name w:val="E-mail Signature"/>
    <w:basedOn w:val="Normal"/>
    <w:semiHidden/>
    <w:rsid w:val="001D61F0"/>
    <w:pPr>
      <w:spacing w:line="240" w:lineRule="atLeast"/>
    </w:pPr>
  </w:style>
  <w:style w:type="paragraph" w:customStyle="1" w:styleId="H4GR">
    <w:name w:val="_ H_4_GR"/>
    <w:basedOn w:val="Normal"/>
    <w:next w:val="Normal"/>
    <w:rsid w:val="001D61F0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1D61F0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1D61F0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MGR">
    <w:name w:val="_ H __M_GR"/>
    <w:basedOn w:val="Normal"/>
    <w:next w:val="Normal"/>
    <w:rsid w:val="001D61F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1D61F0"/>
    <w:pPr>
      <w:spacing w:before="120" w:line="240" w:lineRule="atLeast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1D61F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</w:style>
  <w:style w:type="paragraph" w:styleId="PlainText">
    <w:name w:val="Plain Text"/>
    <w:basedOn w:val="Normal"/>
    <w:semiHidden/>
    <w:rsid w:val="001D61F0"/>
    <w:pPr>
      <w:spacing w:line="24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1D61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tLeast"/>
      <w:ind w:left="1134" w:hanging="1134"/>
    </w:pPr>
    <w:rPr>
      <w:rFonts w:ascii="Arial" w:hAnsi="Arial" w:cs="Arial"/>
      <w:sz w:val="24"/>
    </w:rPr>
  </w:style>
  <w:style w:type="table" w:customStyle="1" w:styleId="TabNum">
    <w:name w:val="_TabNum"/>
    <w:basedOn w:val="TableNormal"/>
    <w:rsid w:val="001D61F0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D61F0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semiHidden/>
    <w:rsid w:val="001D61F0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1D61F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Ch0">
    <w:name w:val="_ H _Ch_рус"/>
    <w:basedOn w:val="Normal"/>
    <w:rsid w:val="001D61F0"/>
    <w:pPr>
      <w:keepNext/>
      <w:keepLines/>
      <w:tabs>
        <w:tab w:val="right" w:pos="851"/>
      </w:tabs>
      <w:suppressAutoHyphens/>
      <w:spacing w:before="360" w:after="240" w:line="300" w:lineRule="exact"/>
      <w:ind w:left="1264" w:right="1264" w:hanging="1264"/>
    </w:pPr>
    <w:rPr>
      <w:b/>
      <w:bCs/>
      <w:spacing w:val="0"/>
      <w:w w:val="100"/>
      <w:kern w:val="0"/>
      <w:sz w:val="28"/>
      <w:lang w:eastAsia="ru-RU"/>
    </w:rPr>
  </w:style>
  <w:style w:type="paragraph" w:customStyle="1" w:styleId="H1100">
    <w:name w:val="Стиль _ H_1 + Масштаб знаков: 100%"/>
    <w:basedOn w:val="H1"/>
    <w:rsid w:val="001D61F0"/>
    <w:pPr>
      <w:ind w:left="1264" w:hanging="1264"/>
    </w:pPr>
    <w:rPr>
      <w:bCs/>
      <w:w w:val="100"/>
      <w:kern w:val="0"/>
    </w:rPr>
  </w:style>
  <w:style w:type="paragraph" w:customStyle="1" w:styleId="SingleTxt1">
    <w:name w:val="__Single Txt_рус"/>
    <w:basedOn w:val="SingleTxt"/>
    <w:link w:val="SingleTxt2"/>
    <w:rsid w:val="001D61F0"/>
    <w:rPr>
      <w:spacing w:val="0"/>
      <w:w w:val="100"/>
      <w:kern w:val="0"/>
    </w:rPr>
  </w:style>
  <w:style w:type="character" w:customStyle="1" w:styleId="SingleTxt2">
    <w:name w:val="__Single Txt_рус Знак"/>
    <w:basedOn w:val="SingleTxt0"/>
    <w:link w:val="SingleTxt1"/>
    <w:rsid w:val="001D61F0"/>
  </w:style>
  <w:style w:type="paragraph" w:customStyle="1" w:styleId="a">
    <w:name w:val="СНОСКА"/>
    <w:basedOn w:val="Normal"/>
    <w:link w:val="a0"/>
    <w:rsid w:val="001D61F0"/>
    <w:pPr>
      <w:tabs>
        <w:tab w:val="right" w:pos="1045"/>
      </w:tabs>
      <w:spacing w:line="210" w:lineRule="exact"/>
      <w:ind w:left="1264" w:right="1264" w:hanging="1264"/>
    </w:pPr>
    <w:rPr>
      <w:rFonts w:eastAsia="SimSun"/>
      <w:spacing w:val="0"/>
      <w:w w:val="100"/>
      <w:kern w:val="0"/>
      <w:sz w:val="17"/>
      <w:lang w:eastAsia="zh-CN"/>
    </w:rPr>
  </w:style>
  <w:style w:type="character" w:customStyle="1" w:styleId="a0">
    <w:name w:val="СНОСКА Знак"/>
    <w:basedOn w:val="DefaultParagraphFont"/>
    <w:link w:val="a"/>
    <w:rsid w:val="001D61F0"/>
    <w:rPr>
      <w:rFonts w:eastAsia="SimSun"/>
      <w:sz w:val="17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hyperlink" Target="http://undocs.org/ru/A/RES/35/2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ru/A/RES/26/201" TargetMode="External"/><Relationship Id="rId2" Type="http://schemas.openxmlformats.org/officeDocument/2006/relationships/styles" Target="styles.xml"/><Relationship Id="rId16" Type="http://schemas.openxmlformats.org/officeDocument/2006/relationships/hyperlink" Target="http://undocs.org/ru/A/RES/35/20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undocs.org/ru/A/RES/35/201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9458</Words>
  <Characters>53916</Characters>
  <Application>Microsoft Office Outlook</Application>
  <DocSecurity>4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63248</CharactersWithSpaces>
  <SharedDoc>false</SharedDoc>
  <HLinks>
    <vt:vector size="24" baseType="variant">
      <vt:variant>
        <vt:i4>1245260</vt:i4>
      </vt:variant>
      <vt:variant>
        <vt:i4>9</vt:i4>
      </vt:variant>
      <vt:variant>
        <vt:i4>0</vt:i4>
      </vt:variant>
      <vt:variant>
        <vt:i4>5</vt:i4>
      </vt:variant>
      <vt:variant>
        <vt:lpwstr>http://undocs.org/ru/A/RES/35/201</vt:lpwstr>
      </vt:variant>
      <vt:variant>
        <vt:lpwstr/>
      </vt:variant>
      <vt:variant>
        <vt:i4>1179727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http://undocs.org/ru/A/RES/26/201</vt:lpwstr>
      </vt:variant>
      <vt:variant>
        <vt:lpwstr/>
      </vt:variant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http://undocs.org/ru/A/RES/35/201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http://undocs.org/ru/A/RES/35/201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RTPU User</cp:lastModifiedBy>
  <cp:revision>4</cp:revision>
  <dcterms:created xsi:type="dcterms:W3CDTF">2013-09-09T12:09:00Z</dcterms:created>
  <dcterms:modified xsi:type="dcterms:W3CDTF">2013-09-09T12:11:00Z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1343088</vt:lpwstr>
  </property>
  <property fmtid="{D5CDD505-2E9C-101B-9397-08002B2CF9AE}" pid="3" name="Symbol1">
    <vt:lpwstr>CEDAW/C/55/D/35/2011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25 </vt:lpwstr>
  </property>
  <property fmtid="{D5CDD505-2E9C-101B-9397-08002B2CF9AE}" pid="8" name="Operator">
    <vt:lpwstr>Kolyvaguina</vt:lpwstr>
  </property>
</Properties>
</file>