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A2" w:rsidRDefault="00B818A2" w:rsidP="00B818A2">
      <w:pPr>
        <w:spacing w:line="60" w:lineRule="exact"/>
        <w:rPr>
          <w:color w:val="010000"/>
          <w:sz w:val="6"/>
        </w:rPr>
        <w:sectPr w:rsidR="00B818A2" w:rsidSect="00B818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130086" w:rsidRDefault="00130086" w:rsidP="0013008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7F7703">
        <w:t xml:space="preserve">Комитет по ликвидации дискриминации </w:t>
      </w:r>
      <w:r w:rsidRPr="007F7703">
        <w:br/>
        <w:t xml:space="preserve">в отношении женщин </w:t>
      </w:r>
    </w:p>
    <w:p w:rsidR="00130086" w:rsidRPr="00130086" w:rsidRDefault="00130086" w:rsidP="00130086">
      <w:pPr>
        <w:spacing w:line="120" w:lineRule="exact"/>
        <w:rPr>
          <w:sz w:val="10"/>
          <w:lang w:val="en-US"/>
        </w:rPr>
      </w:pPr>
    </w:p>
    <w:p w:rsidR="00130086" w:rsidRDefault="00130086" w:rsidP="00130086">
      <w:pPr>
        <w:spacing w:line="120" w:lineRule="exact"/>
        <w:rPr>
          <w:sz w:val="10"/>
          <w:lang w:val="en-US"/>
        </w:rPr>
      </w:pPr>
    </w:p>
    <w:p w:rsidR="00130086" w:rsidRPr="00130086" w:rsidRDefault="00130086" w:rsidP="00130086">
      <w:pPr>
        <w:spacing w:line="120" w:lineRule="exact"/>
        <w:rPr>
          <w:sz w:val="10"/>
          <w:lang w:val="en-US"/>
        </w:rPr>
      </w:pPr>
    </w:p>
    <w:p w:rsidR="00130086" w:rsidRDefault="00130086" w:rsidP="001300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Сообщение № 49/2013</w:t>
      </w:r>
    </w:p>
    <w:p w:rsidR="00130086" w:rsidRPr="00130086" w:rsidRDefault="00130086" w:rsidP="00130086">
      <w:pPr>
        <w:pStyle w:val="SingleTxt"/>
        <w:spacing w:after="0" w:line="120" w:lineRule="exact"/>
        <w:rPr>
          <w:sz w:val="10"/>
          <w:lang w:val="en-US"/>
        </w:rPr>
      </w:pPr>
    </w:p>
    <w:p w:rsidR="00130086" w:rsidRPr="00130086" w:rsidRDefault="00130086" w:rsidP="00130086">
      <w:pPr>
        <w:pStyle w:val="SingleTxt"/>
        <w:spacing w:after="0" w:line="120" w:lineRule="exact"/>
        <w:rPr>
          <w:sz w:val="10"/>
          <w:lang w:val="en-US"/>
        </w:rPr>
      </w:pPr>
    </w:p>
    <w:p w:rsidR="00130086" w:rsidRDefault="00130086" w:rsidP="001300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Решение, принятое Комитетом на его пятьдесят девятой сессии (20 октября — 7 ноября 2014 года) </w:t>
      </w:r>
    </w:p>
    <w:p w:rsidR="00130086" w:rsidRPr="00130086" w:rsidRDefault="00130086" w:rsidP="00130086">
      <w:pPr>
        <w:pStyle w:val="SingleTxt"/>
        <w:spacing w:after="0" w:line="120" w:lineRule="exact"/>
        <w:rPr>
          <w:sz w:val="10"/>
        </w:rPr>
      </w:pPr>
    </w:p>
    <w:p w:rsidR="00130086" w:rsidRPr="00130086" w:rsidRDefault="00130086" w:rsidP="00130086">
      <w:pPr>
        <w:pStyle w:val="SingleTxt"/>
        <w:spacing w:after="0" w:line="120" w:lineRule="exact"/>
        <w:rPr>
          <w:sz w:val="10"/>
        </w:rPr>
      </w:pPr>
    </w:p>
    <w:tbl>
      <w:tblPr>
        <w:tblW w:w="6543" w:type="dxa"/>
        <w:tblInd w:w="1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8"/>
        <w:gridCol w:w="3825"/>
      </w:tblGrid>
      <w:tr w:rsidR="00130086" w:rsidRPr="00001A5A" w:rsidTr="00130086">
        <w:tc>
          <w:tcPr>
            <w:tcW w:w="2718" w:type="dxa"/>
            <w:shd w:val="clear" w:color="auto" w:fill="auto"/>
          </w:tcPr>
          <w:p w:rsidR="00130086" w:rsidRPr="00130086" w:rsidRDefault="00130086" w:rsidP="00130086">
            <w:pPr>
              <w:pStyle w:val="DualTxt"/>
              <w:ind w:right="144"/>
              <w:jc w:val="left"/>
              <w:rPr>
                <w:i/>
              </w:rPr>
            </w:pPr>
            <w:r w:rsidRPr="00130086">
              <w:rPr>
                <w:i/>
              </w:rPr>
              <w:t>Сообщение представлено:</w:t>
            </w:r>
          </w:p>
        </w:tc>
        <w:tc>
          <w:tcPr>
            <w:tcW w:w="3825" w:type="dxa"/>
            <w:shd w:val="clear" w:color="auto" w:fill="auto"/>
          </w:tcPr>
          <w:p w:rsidR="00130086" w:rsidRPr="00001A5A" w:rsidRDefault="00130086" w:rsidP="00130086">
            <w:pPr>
              <w:pStyle w:val="DualTxt"/>
              <w:jc w:val="left"/>
            </w:pPr>
            <w:r w:rsidRPr="009D7460">
              <w:t>С</w:t>
            </w:r>
            <w:r>
              <w:t xml:space="preserve">.О. (автора сообщения представляет </w:t>
            </w:r>
            <w:r>
              <w:br/>
              <w:t>а</w:t>
            </w:r>
            <w:r>
              <w:t>д</w:t>
            </w:r>
            <w:r>
              <w:t>вокат Уильям Слоэйн)</w:t>
            </w:r>
          </w:p>
        </w:tc>
      </w:tr>
      <w:tr w:rsidR="00130086" w:rsidTr="00130086">
        <w:tc>
          <w:tcPr>
            <w:tcW w:w="2718" w:type="dxa"/>
            <w:shd w:val="clear" w:color="auto" w:fill="auto"/>
          </w:tcPr>
          <w:p w:rsidR="00130086" w:rsidRPr="00130086" w:rsidRDefault="00130086" w:rsidP="00130086">
            <w:pPr>
              <w:pStyle w:val="DualTxt"/>
              <w:ind w:right="144"/>
              <w:jc w:val="left"/>
              <w:rPr>
                <w:i/>
              </w:rPr>
            </w:pPr>
            <w:r w:rsidRPr="00130086">
              <w:rPr>
                <w:i/>
              </w:rPr>
              <w:t>Предполагаемая жертва:</w:t>
            </w:r>
          </w:p>
        </w:tc>
        <w:tc>
          <w:tcPr>
            <w:tcW w:w="3825" w:type="dxa"/>
            <w:shd w:val="clear" w:color="auto" w:fill="auto"/>
          </w:tcPr>
          <w:p w:rsidR="00130086" w:rsidRDefault="00130086" w:rsidP="00130086">
            <w:pPr>
              <w:pStyle w:val="DualTxt"/>
              <w:jc w:val="left"/>
            </w:pPr>
            <w:r w:rsidRPr="009D7460">
              <w:t>автор</w:t>
            </w:r>
            <w:r>
              <w:t xml:space="preserve"> сообщения</w:t>
            </w:r>
          </w:p>
        </w:tc>
      </w:tr>
      <w:tr w:rsidR="00130086" w:rsidTr="00130086">
        <w:tc>
          <w:tcPr>
            <w:tcW w:w="2718" w:type="dxa"/>
            <w:shd w:val="clear" w:color="auto" w:fill="auto"/>
          </w:tcPr>
          <w:p w:rsidR="00130086" w:rsidRPr="00130086" w:rsidRDefault="00130086" w:rsidP="00130086">
            <w:pPr>
              <w:pStyle w:val="DualTxt"/>
              <w:ind w:right="144"/>
              <w:jc w:val="left"/>
              <w:rPr>
                <w:i/>
              </w:rPr>
            </w:pPr>
            <w:r w:rsidRPr="00130086">
              <w:rPr>
                <w:i/>
              </w:rPr>
              <w:t>Государство-участник:</w:t>
            </w:r>
          </w:p>
        </w:tc>
        <w:tc>
          <w:tcPr>
            <w:tcW w:w="3825" w:type="dxa"/>
            <w:shd w:val="clear" w:color="auto" w:fill="auto"/>
          </w:tcPr>
          <w:p w:rsidR="00130086" w:rsidRDefault="00130086" w:rsidP="00130086">
            <w:pPr>
              <w:pStyle w:val="DualTxt"/>
              <w:jc w:val="left"/>
            </w:pPr>
            <w:r w:rsidRPr="009D7460">
              <w:t>Канада</w:t>
            </w:r>
          </w:p>
        </w:tc>
      </w:tr>
      <w:tr w:rsidR="00130086" w:rsidTr="00130086">
        <w:tc>
          <w:tcPr>
            <w:tcW w:w="2718" w:type="dxa"/>
            <w:shd w:val="clear" w:color="auto" w:fill="auto"/>
          </w:tcPr>
          <w:p w:rsidR="00130086" w:rsidRPr="00130086" w:rsidRDefault="00130086" w:rsidP="00130086">
            <w:pPr>
              <w:pStyle w:val="DualTxt"/>
              <w:ind w:right="144"/>
              <w:jc w:val="left"/>
              <w:rPr>
                <w:i/>
              </w:rPr>
            </w:pPr>
            <w:r w:rsidRPr="00130086">
              <w:rPr>
                <w:i/>
              </w:rPr>
              <w:t>Дата сообщения:</w:t>
            </w:r>
          </w:p>
        </w:tc>
        <w:tc>
          <w:tcPr>
            <w:tcW w:w="3825" w:type="dxa"/>
            <w:shd w:val="clear" w:color="auto" w:fill="auto"/>
          </w:tcPr>
          <w:p w:rsidR="00130086" w:rsidRPr="002A4F6C" w:rsidRDefault="00130086" w:rsidP="00130086">
            <w:pPr>
              <w:pStyle w:val="DualTxt"/>
              <w:jc w:val="left"/>
            </w:pPr>
            <w:r w:rsidRPr="009D7460">
              <w:t>21 февраля 2013 года (первоначальное представление)</w:t>
            </w:r>
          </w:p>
        </w:tc>
      </w:tr>
      <w:tr w:rsidR="00130086" w:rsidTr="00130086">
        <w:tc>
          <w:tcPr>
            <w:tcW w:w="2718" w:type="dxa"/>
            <w:shd w:val="clear" w:color="auto" w:fill="auto"/>
          </w:tcPr>
          <w:p w:rsidR="00130086" w:rsidRPr="00130086" w:rsidRDefault="00130086" w:rsidP="00130086">
            <w:pPr>
              <w:pStyle w:val="DualTxt"/>
              <w:ind w:right="144"/>
              <w:jc w:val="left"/>
              <w:rPr>
                <w:i/>
              </w:rPr>
            </w:pPr>
            <w:r w:rsidRPr="00130086">
              <w:rPr>
                <w:i/>
              </w:rPr>
              <w:t>Справочная документация:</w:t>
            </w:r>
          </w:p>
        </w:tc>
        <w:tc>
          <w:tcPr>
            <w:tcW w:w="3825" w:type="dxa"/>
            <w:shd w:val="clear" w:color="auto" w:fill="auto"/>
          </w:tcPr>
          <w:p w:rsidR="00130086" w:rsidRDefault="00130086" w:rsidP="00130086">
            <w:pPr>
              <w:pStyle w:val="DualTxt"/>
              <w:jc w:val="left"/>
            </w:pPr>
            <w:r>
              <w:t>препровождена</w:t>
            </w:r>
            <w:r w:rsidRPr="009D7460">
              <w:t xml:space="preserve"> государству-участнику 1 марта 2013 года (в виде до</w:t>
            </w:r>
            <w:r>
              <w:t>кумента не издавала</w:t>
            </w:r>
            <w:r w:rsidRPr="009D7460">
              <w:t>сь)</w:t>
            </w:r>
          </w:p>
        </w:tc>
      </w:tr>
      <w:tr w:rsidR="00130086" w:rsidTr="00130086">
        <w:tc>
          <w:tcPr>
            <w:tcW w:w="2718" w:type="dxa"/>
            <w:shd w:val="clear" w:color="auto" w:fill="auto"/>
          </w:tcPr>
          <w:p w:rsidR="00130086" w:rsidRPr="00130086" w:rsidRDefault="00130086" w:rsidP="00130086">
            <w:pPr>
              <w:pStyle w:val="DualTxt"/>
              <w:ind w:right="144"/>
              <w:jc w:val="left"/>
              <w:rPr>
                <w:i/>
              </w:rPr>
            </w:pPr>
            <w:r w:rsidRPr="00130086">
              <w:rPr>
                <w:i/>
              </w:rPr>
              <w:t>Дата принятия решения: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130086" w:rsidRDefault="00130086" w:rsidP="00130086">
            <w:pPr>
              <w:pStyle w:val="DualTxt"/>
              <w:jc w:val="left"/>
            </w:pPr>
            <w:r>
              <w:t>27</w:t>
            </w:r>
            <w:r w:rsidRPr="009D7460">
              <w:t xml:space="preserve"> октября 2014 года</w:t>
            </w:r>
          </w:p>
        </w:tc>
      </w:tr>
    </w:tbl>
    <w:p w:rsidR="00130086" w:rsidRDefault="00130086" w:rsidP="00130086">
      <w:pPr>
        <w:pStyle w:val="SingleTxtGR"/>
      </w:pPr>
      <w:r>
        <w:tab/>
      </w:r>
    </w:p>
    <w:p w:rsidR="00130086" w:rsidRDefault="00130086" w:rsidP="00AD11F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br w:type="page"/>
      </w:r>
      <w:r w:rsidRPr="004F42C5">
        <w:t>Приложение</w:t>
      </w:r>
    </w:p>
    <w:p w:rsidR="00AD11F7" w:rsidRPr="00AD11F7" w:rsidRDefault="00AD11F7" w:rsidP="00AD11F7">
      <w:pPr>
        <w:spacing w:line="120" w:lineRule="exact"/>
        <w:rPr>
          <w:sz w:val="10"/>
          <w:lang w:val="en-US"/>
        </w:rPr>
      </w:pPr>
    </w:p>
    <w:p w:rsidR="00130086" w:rsidRPr="00AD11F7" w:rsidRDefault="00AD11F7" w:rsidP="00AD11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rPr>
          <w:lang w:val="en-US" w:bidi="ru-RU"/>
        </w:rPr>
        <w:tab/>
      </w:r>
      <w:r w:rsidR="00130086">
        <w:rPr>
          <w:lang w:bidi="ru-RU"/>
        </w:rPr>
        <w:tab/>
      </w:r>
      <w:r w:rsidR="00130086" w:rsidRPr="004F42C5">
        <w:rPr>
          <w:lang w:bidi="ru-RU"/>
        </w:rPr>
        <w:t>Решение Комитета по ликвидации дискриминации в</w:t>
      </w:r>
      <w:r w:rsidR="00130086" w:rsidRPr="004F42C5">
        <w:rPr>
          <w:lang w:val="en-US"/>
        </w:rPr>
        <w:t> </w:t>
      </w:r>
      <w:r w:rsidR="00130086" w:rsidRPr="004F42C5">
        <w:rPr>
          <w:lang w:bidi="ru-RU"/>
        </w:rPr>
        <w:t>отношении жен</w:t>
      </w:r>
      <w:r w:rsidR="00130086">
        <w:rPr>
          <w:lang w:bidi="ru-RU"/>
        </w:rPr>
        <w:t>щин в соответствии с </w:t>
      </w:r>
      <w:r w:rsidR="00130086" w:rsidRPr="004F42C5">
        <w:rPr>
          <w:lang w:bidi="ru-RU"/>
        </w:rPr>
        <w:t>Факультативным проток</w:t>
      </w:r>
      <w:r w:rsidR="00130086">
        <w:rPr>
          <w:lang w:bidi="ru-RU"/>
        </w:rPr>
        <w:t>олом к Конвенции о </w:t>
      </w:r>
      <w:r w:rsidR="00130086" w:rsidRPr="004F42C5">
        <w:rPr>
          <w:lang w:bidi="ru-RU"/>
        </w:rPr>
        <w:t xml:space="preserve">ликвидации всех форм дискриминации в отношении женщин </w:t>
      </w:r>
      <w:r w:rsidR="00130086" w:rsidRPr="004F42C5">
        <w:rPr>
          <w:bCs/>
        </w:rPr>
        <w:t>(пятьдесят</w:t>
      </w:r>
      <w:r w:rsidRPr="00AD11F7">
        <w:rPr>
          <w:bCs/>
        </w:rPr>
        <w:t xml:space="preserve"> </w:t>
      </w:r>
      <w:r w:rsidR="00130086" w:rsidRPr="004F42C5">
        <w:rPr>
          <w:bCs/>
        </w:rPr>
        <w:t>девятая сессия)</w:t>
      </w:r>
    </w:p>
    <w:p w:rsidR="00AD11F7" w:rsidRPr="00AD11F7" w:rsidRDefault="00AD11F7" w:rsidP="00AD11F7">
      <w:pPr>
        <w:pStyle w:val="SingleTxt"/>
        <w:spacing w:after="0" w:line="120" w:lineRule="exact"/>
        <w:rPr>
          <w:sz w:val="10"/>
        </w:rPr>
      </w:pPr>
    </w:p>
    <w:p w:rsidR="00130086" w:rsidRDefault="00130086" w:rsidP="00AD11F7">
      <w:pPr>
        <w:pStyle w:val="SingleTxt"/>
        <w:rPr>
          <w:lang w:val="en-US" w:eastAsia="ru-RU"/>
        </w:rPr>
      </w:pPr>
      <w:r>
        <w:rPr>
          <w:lang w:eastAsia="ru-RU"/>
        </w:rPr>
        <w:t>относительно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  <w:lang w:val="en-US" w:eastAsia="ru-RU"/>
        </w:rPr>
      </w:pPr>
    </w:p>
    <w:p w:rsidR="00A53EA8" w:rsidRPr="00A53EA8" w:rsidRDefault="00A53EA8" w:rsidP="00A53EA8">
      <w:pPr>
        <w:pStyle w:val="SingleTxt"/>
        <w:spacing w:after="0" w:line="120" w:lineRule="exact"/>
        <w:rPr>
          <w:sz w:val="10"/>
          <w:lang w:val="en-US" w:eastAsia="ru-RU"/>
        </w:rPr>
      </w:pPr>
    </w:p>
    <w:p w:rsidR="00130086" w:rsidRDefault="00130086" w:rsidP="00AD11F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rPr>
          <w:lang w:bidi="ru-RU"/>
        </w:rPr>
        <w:tab/>
      </w:r>
      <w:r>
        <w:rPr>
          <w:lang w:bidi="ru-RU"/>
        </w:rPr>
        <w:tab/>
        <w:t>Сообщения</w:t>
      </w:r>
      <w:r w:rsidRPr="004F42C5">
        <w:rPr>
          <w:lang w:bidi="ru-RU"/>
        </w:rPr>
        <w:t xml:space="preserve"> № 49/2013</w:t>
      </w:r>
      <w:r w:rsidR="00AD11F7" w:rsidRPr="00AD11F7">
        <w:rPr>
          <w:rStyle w:val="FootnoteReference"/>
          <w:b w:val="0"/>
          <w:sz w:val="20"/>
          <w:lang w:bidi="ru-RU"/>
        </w:rPr>
        <w:footnoteReference w:customMarkFollows="1" w:id="1"/>
        <w:t>*</w:t>
      </w:r>
    </w:p>
    <w:p w:rsidR="00AD11F7" w:rsidRPr="00AD11F7" w:rsidRDefault="00AD11F7" w:rsidP="00AD11F7">
      <w:pPr>
        <w:spacing w:line="120" w:lineRule="exact"/>
        <w:rPr>
          <w:sz w:val="10"/>
          <w:lang w:val="en-US"/>
        </w:rPr>
      </w:pPr>
    </w:p>
    <w:p w:rsidR="00AD11F7" w:rsidRPr="00AD11F7" w:rsidRDefault="00AD11F7" w:rsidP="00AD11F7">
      <w:pPr>
        <w:spacing w:line="120" w:lineRule="exact"/>
        <w:rPr>
          <w:sz w:val="10"/>
          <w:lang w:val="en-US"/>
        </w:rPr>
      </w:pPr>
    </w:p>
    <w:tbl>
      <w:tblPr>
        <w:tblW w:w="7029" w:type="dxa"/>
        <w:tblInd w:w="1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7"/>
        <w:gridCol w:w="4212"/>
      </w:tblGrid>
      <w:tr w:rsidR="00130086" w:rsidRPr="00001A5A" w:rsidTr="00A53EA8">
        <w:tc>
          <w:tcPr>
            <w:tcW w:w="2817" w:type="dxa"/>
            <w:shd w:val="clear" w:color="auto" w:fill="auto"/>
          </w:tcPr>
          <w:p w:rsidR="00130086" w:rsidRPr="00A53EA8" w:rsidRDefault="00130086" w:rsidP="00A53EA8">
            <w:pPr>
              <w:pStyle w:val="DualTxt"/>
              <w:ind w:right="144"/>
              <w:rPr>
                <w:i/>
              </w:rPr>
            </w:pPr>
            <w:r w:rsidRPr="00A53EA8">
              <w:rPr>
                <w:i/>
              </w:rPr>
              <w:t>Представлено:</w:t>
            </w:r>
          </w:p>
        </w:tc>
        <w:tc>
          <w:tcPr>
            <w:tcW w:w="4212" w:type="dxa"/>
            <w:shd w:val="clear" w:color="auto" w:fill="auto"/>
          </w:tcPr>
          <w:p w:rsidR="00130086" w:rsidRPr="00001A5A" w:rsidRDefault="00130086" w:rsidP="00A53EA8">
            <w:pPr>
              <w:pStyle w:val="DualTxt"/>
              <w:jc w:val="left"/>
            </w:pPr>
            <w:r w:rsidRPr="009D7460">
              <w:t>С</w:t>
            </w:r>
            <w:r>
              <w:t>.О. (автора сообщения представляет а</w:t>
            </w:r>
            <w:r>
              <w:t>д</w:t>
            </w:r>
            <w:r>
              <w:t>вокат Уильям Слоэйн)</w:t>
            </w:r>
          </w:p>
        </w:tc>
      </w:tr>
      <w:tr w:rsidR="00130086" w:rsidTr="00A53EA8">
        <w:tc>
          <w:tcPr>
            <w:tcW w:w="2817" w:type="dxa"/>
            <w:shd w:val="clear" w:color="auto" w:fill="auto"/>
          </w:tcPr>
          <w:p w:rsidR="00130086" w:rsidRPr="00A53EA8" w:rsidRDefault="00130086" w:rsidP="00A53EA8">
            <w:pPr>
              <w:pStyle w:val="DualTxt"/>
              <w:ind w:right="144"/>
              <w:rPr>
                <w:i/>
              </w:rPr>
            </w:pPr>
            <w:r w:rsidRPr="00A53EA8">
              <w:rPr>
                <w:i/>
              </w:rPr>
              <w:t>Предполагаемая жертва:</w:t>
            </w:r>
          </w:p>
        </w:tc>
        <w:tc>
          <w:tcPr>
            <w:tcW w:w="4212" w:type="dxa"/>
            <w:shd w:val="clear" w:color="auto" w:fill="auto"/>
          </w:tcPr>
          <w:p w:rsidR="00130086" w:rsidRDefault="00130086" w:rsidP="00A53EA8">
            <w:pPr>
              <w:pStyle w:val="DualTxt"/>
              <w:jc w:val="left"/>
            </w:pPr>
            <w:r w:rsidRPr="009D7460">
              <w:t>автор</w:t>
            </w:r>
            <w:r>
              <w:t xml:space="preserve"> сообщения</w:t>
            </w:r>
          </w:p>
        </w:tc>
      </w:tr>
      <w:tr w:rsidR="00130086" w:rsidTr="00A53EA8">
        <w:tc>
          <w:tcPr>
            <w:tcW w:w="2817" w:type="dxa"/>
            <w:shd w:val="clear" w:color="auto" w:fill="auto"/>
          </w:tcPr>
          <w:p w:rsidR="00130086" w:rsidRPr="00A53EA8" w:rsidRDefault="00130086" w:rsidP="00A53EA8">
            <w:pPr>
              <w:pStyle w:val="DualTxt"/>
              <w:ind w:right="144"/>
              <w:rPr>
                <w:i/>
              </w:rPr>
            </w:pPr>
            <w:r w:rsidRPr="00A53EA8">
              <w:rPr>
                <w:i/>
              </w:rPr>
              <w:t>Государство-участник:</w:t>
            </w:r>
          </w:p>
        </w:tc>
        <w:tc>
          <w:tcPr>
            <w:tcW w:w="4212" w:type="dxa"/>
            <w:shd w:val="clear" w:color="auto" w:fill="auto"/>
          </w:tcPr>
          <w:p w:rsidR="00130086" w:rsidRDefault="00130086" w:rsidP="00A53EA8">
            <w:pPr>
              <w:pStyle w:val="DualTxt"/>
              <w:jc w:val="left"/>
            </w:pPr>
            <w:r w:rsidRPr="009D7460">
              <w:t>Канада</w:t>
            </w:r>
          </w:p>
        </w:tc>
      </w:tr>
      <w:tr w:rsidR="00130086" w:rsidTr="00A53EA8">
        <w:tc>
          <w:tcPr>
            <w:tcW w:w="2817" w:type="dxa"/>
            <w:shd w:val="clear" w:color="auto" w:fill="auto"/>
          </w:tcPr>
          <w:p w:rsidR="00130086" w:rsidRPr="00A53EA8" w:rsidRDefault="00130086" w:rsidP="00A53EA8">
            <w:pPr>
              <w:pStyle w:val="DualTxt"/>
              <w:ind w:right="144"/>
              <w:rPr>
                <w:i/>
              </w:rPr>
            </w:pPr>
            <w:r w:rsidRPr="00A53EA8">
              <w:rPr>
                <w:i/>
              </w:rPr>
              <w:t>Дата сообщения:</w:t>
            </w:r>
          </w:p>
        </w:tc>
        <w:tc>
          <w:tcPr>
            <w:tcW w:w="4212" w:type="dxa"/>
            <w:shd w:val="clear" w:color="auto" w:fill="auto"/>
          </w:tcPr>
          <w:p w:rsidR="00130086" w:rsidRPr="002A4F6C" w:rsidRDefault="00130086" w:rsidP="00A53EA8">
            <w:pPr>
              <w:pStyle w:val="DualTxt"/>
              <w:jc w:val="left"/>
            </w:pPr>
            <w:r w:rsidRPr="009D7460">
              <w:t>21 февраля 2013 года (первоначальное пре</w:t>
            </w:r>
            <w:r w:rsidRPr="009D7460">
              <w:t>д</w:t>
            </w:r>
            <w:r w:rsidRPr="009D7460">
              <w:t>ставление)</w:t>
            </w:r>
          </w:p>
        </w:tc>
      </w:tr>
      <w:tr w:rsidR="00130086" w:rsidTr="00A53EA8">
        <w:tc>
          <w:tcPr>
            <w:tcW w:w="2817" w:type="dxa"/>
            <w:shd w:val="clear" w:color="auto" w:fill="auto"/>
          </w:tcPr>
          <w:p w:rsidR="00130086" w:rsidRPr="00A53EA8" w:rsidRDefault="00130086" w:rsidP="00A53EA8">
            <w:pPr>
              <w:pStyle w:val="DualTxt"/>
              <w:ind w:right="144"/>
              <w:rPr>
                <w:i/>
              </w:rPr>
            </w:pPr>
            <w:r w:rsidRPr="00A53EA8">
              <w:rPr>
                <w:i/>
              </w:rPr>
              <w:t>Справочная документация:</w:t>
            </w:r>
          </w:p>
        </w:tc>
        <w:tc>
          <w:tcPr>
            <w:tcW w:w="4212" w:type="dxa"/>
            <w:shd w:val="clear" w:color="auto" w:fill="auto"/>
          </w:tcPr>
          <w:p w:rsidR="00130086" w:rsidRDefault="00130086" w:rsidP="00A53EA8">
            <w:pPr>
              <w:pStyle w:val="DualTxt"/>
              <w:jc w:val="left"/>
            </w:pPr>
            <w:r>
              <w:t>препровождена</w:t>
            </w:r>
            <w:r w:rsidRPr="009D7460">
              <w:t xml:space="preserve"> государству-участнику 1 марта 2013 го</w:t>
            </w:r>
            <w:r>
              <w:t>да (в виде документа не издавала</w:t>
            </w:r>
            <w:r w:rsidRPr="009D7460">
              <w:t>сь)</w:t>
            </w:r>
          </w:p>
        </w:tc>
      </w:tr>
    </w:tbl>
    <w:p w:rsidR="00A53EA8" w:rsidRPr="00A53EA8" w:rsidRDefault="00A53EA8" w:rsidP="00A53EA8">
      <w:pPr>
        <w:pStyle w:val="SingleTxtGR"/>
        <w:spacing w:after="0" w:line="120" w:lineRule="exact"/>
        <w:rPr>
          <w:sz w:val="10"/>
          <w:lang w:val="en-US"/>
        </w:rPr>
      </w:pPr>
    </w:p>
    <w:p w:rsidR="00130086" w:rsidRPr="00191D13" w:rsidRDefault="00130086" w:rsidP="00A53EA8">
      <w:pPr>
        <w:pStyle w:val="SingleTxt"/>
      </w:pPr>
      <w:r>
        <w:tab/>
      </w:r>
      <w:r w:rsidRPr="00191D13">
        <w:rPr>
          <w:i/>
        </w:rPr>
        <w:t>Комитет по ликвидации дискриминации в отношении женщин</w:t>
      </w:r>
      <w:r w:rsidRPr="00191D13">
        <w:t>, учр</w:t>
      </w:r>
      <w:r w:rsidRPr="00191D13">
        <w:t>е</w:t>
      </w:r>
      <w:r w:rsidRPr="00191D13">
        <w:t>жденный в соответствии со статьей 17 Конвенции о ликвидации всех форм дискрим</w:t>
      </w:r>
      <w:r w:rsidRPr="00191D13">
        <w:t>и</w:t>
      </w:r>
      <w:r w:rsidRPr="00191D13">
        <w:t>нации в отношении женщин,</w:t>
      </w:r>
    </w:p>
    <w:p w:rsidR="00130086" w:rsidRPr="00191D13" w:rsidRDefault="00130086" w:rsidP="00A53EA8">
      <w:pPr>
        <w:pStyle w:val="SingleTxt"/>
      </w:pPr>
      <w:r>
        <w:tab/>
      </w:r>
      <w:r>
        <w:rPr>
          <w:i/>
        </w:rPr>
        <w:t>на своем заседании</w:t>
      </w:r>
      <w:r>
        <w:t xml:space="preserve"> 27 </w:t>
      </w:r>
      <w:r w:rsidRPr="00191D13">
        <w:t>октября 2014 года</w:t>
      </w:r>
    </w:p>
    <w:p w:rsidR="00130086" w:rsidRDefault="00130086" w:rsidP="00A53EA8">
      <w:pPr>
        <w:pStyle w:val="SingleTxt"/>
        <w:rPr>
          <w:lang w:val="en-US"/>
        </w:rPr>
      </w:pPr>
      <w:r>
        <w:tab/>
      </w:r>
      <w:r w:rsidRPr="00191D13">
        <w:rPr>
          <w:i/>
        </w:rPr>
        <w:t>принимает</w:t>
      </w:r>
      <w:r w:rsidRPr="00191D13">
        <w:t xml:space="preserve"> следующее: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  <w:lang w:val="en-US"/>
        </w:rPr>
      </w:pPr>
    </w:p>
    <w:p w:rsidR="00130086" w:rsidRDefault="00130086" w:rsidP="00A53E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191D13">
        <w:tab/>
      </w:r>
      <w:r w:rsidRPr="00191D13">
        <w:tab/>
        <w:t xml:space="preserve">Решение </w:t>
      </w:r>
      <w:r>
        <w:t>относительно</w:t>
      </w:r>
      <w:r w:rsidRPr="00191D13">
        <w:t xml:space="preserve"> приемлемости сообщения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  <w:lang w:val="en-US"/>
        </w:rPr>
      </w:pPr>
    </w:p>
    <w:p w:rsidR="00130086" w:rsidRPr="00191D13" w:rsidRDefault="00130086" w:rsidP="00A53EA8">
      <w:pPr>
        <w:pStyle w:val="SingleTxt"/>
      </w:pPr>
      <w:r w:rsidRPr="00191D13">
        <w:t>1.1</w:t>
      </w:r>
      <w:r w:rsidRPr="00191D13">
        <w:tab/>
        <w:t>Автором сообщения является С</w:t>
      </w:r>
      <w:r>
        <w:t>.О.</w:t>
      </w:r>
      <w:r w:rsidR="00A53EA8">
        <w:t xml:space="preserve"> — </w:t>
      </w:r>
      <w:r w:rsidRPr="00191D13">
        <w:t>гражданка Мексики, родившаяся 23</w:t>
      </w:r>
      <w:r w:rsidR="00A53EA8">
        <w:t> </w:t>
      </w:r>
      <w:r w:rsidRPr="00191D13">
        <w:t>января 1973</w:t>
      </w:r>
      <w:r w:rsidR="00A53EA8">
        <w:t> </w:t>
      </w:r>
      <w:r w:rsidRPr="00191D13">
        <w:t>года, которая просит убежища в Канаде. Ее ходатайство было отклонено, и на момент представления сообщения она ожидала высылки из Канады в Мексику. Она утверждает, что такого рода высылка будет предста</w:t>
      </w:r>
      <w:r w:rsidRPr="00191D13">
        <w:t>в</w:t>
      </w:r>
      <w:r w:rsidRPr="00191D13">
        <w:t>лять собой нарушение Канадой положе</w:t>
      </w:r>
      <w:r>
        <w:t>ний статей 1</w:t>
      </w:r>
      <w:r w:rsidR="00A53EA8">
        <w:t>–</w:t>
      </w:r>
      <w:r>
        <w:t>3 </w:t>
      </w:r>
      <w:r w:rsidRPr="00191D13">
        <w:t>Конвенции о ликвид</w:t>
      </w:r>
      <w:r w:rsidRPr="00191D13">
        <w:t>а</w:t>
      </w:r>
      <w:r w:rsidRPr="00191D13">
        <w:t>ции всех форм дискриминации в отношении женщин. Интересы автора пре</w:t>
      </w:r>
      <w:r w:rsidRPr="00191D13">
        <w:t>д</w:t>
      </w:r>
      <w:r w:rsidRPr="00191D13">
        <w:t>ставляет ад</w:t>
      </w:r>
      <w:r>
        <w:t>вокат Уильям Слоэй</w:t>
      </w:r>
      <w:r w:rsidRPr="00191D13">
        <w:t>н. Конвенция и Факультативный протокол вст</w:t>
      </w:r>
      <w:r w:rsidRPr="00191D13">
        <w:t>у</w:t>
      </w:r>
      <w:r w:rsidRPr="00191D13">
        <w:t>пили в силу для государства-участника со</w:t>
      </w:r>
      <w:r>
        <w:t>ответственно 10 </w:t>
      </w:r>
      <w:r w:rsidRPr="00191D13">
        <w:t>декабря 1981</w:t>
      </w:r>
      <w:r w:rsidR="00A53EA8">
        <w:t> </w:t>
      </w:r>
      <w:r w:rsidRPr="00191D13">
        <w:t>года и 18</w:t>
      </w:r>
      <w:r w:rsidR="00A53EA8">
        <w:t> </w:t>
      </w:r>
      <w:r w:rsidRPr="00191D13">
        <w:t>я</w:t>
      </w:r>
      <w:r w:rsidRPr="00191D13">
        <w:t>н</w:t>
      </w:r>
      <w:r w:rsidRPr="00191D13">
        <w:t xml:space="preserve">варя 2003 года. </w:t>
      </w:r>
    </w:p>
    <w:p w:rsidR="00130086" w:rsidRPr="00191D13" w:rsidRDefault="00130086" w:rsidP="00A53EA8">
      <w:pPr>
        <w:pStyle w:val="SingleTxt"/>
      </w:pPr>
      <w:r w:rsidRPr="00191D13">
        <w:t>1.2</w:t>
      </w:r>
      <w:r w:rsidRPr="00191D13">
        <w:tab/>
        <w:t>Автор сообщения обратилась за предоставлением ей временных мер з</w:t>
      </w:r>
      <w:r w:rsidRPr="00191D13">
        <w:t>а</w:t>
      </w:r>
      <w:r w:rsidRPr="00191D13">
        <w:t>щиты в соответствии с положениями пункта 1 статьи 5 Факультативного пр</w:t>
      </w:r>
      <w:r w:rsidRPr="00191D13">
        <w:t>о</w:t>
      </w:r>
      <w:r w:rsidRPr="00191D13">
        <w:t xml:space="preserve">токола. </w:t>
      </w:r>
    </w:p>
    <w:p w:rsidR="00130086" w:rsidRDefault="00130086" w:rsidP="00A53EA8">
      <w:pPr>
        <w:pStyle w:val="SingleTxt"/>
      </w:pPr>
      <w:r w:rsidRPr="00191D13">
        <w:t>1.3</w:t>
      </w:r>
      <w:r w:rsidRPr="00191D13">
        <w:tab/>
        <w:t>1 марта 2013 года Комитет предоставил временные меры и попросил го</w:t>
      </w:r>
      <w:r>
        <w:t>с</w:t>
      </w:r>
      <w:r>
        <w:t>ударство-участник</w:t>
      </w:r>
      <w:r w:rsidRPr="00191D13">
        <w:t xml:space="preserve"> не депортировать автора в Мексику до тех пор, пока ее дело находится на рассмотрении Комитета</w:t>
      </w:r>
      <w:r w:rsidRPr="00AD11F7">
        <w:rPr>
          <w:rStyle w:val="FootnoteReference"/>
        </w:rPr>
        <w:footnoteReference w:id="2"/>
      </w:r>
      <w:r w:rsidRPr="00191D13">
        <w:t>.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</w:rPr>
      </w:pPr>
    </w:p>
    <w:p w:rsidR="00130086" w:rsidRDefault="00130086" w:rsidP="00A53E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1D13">
        <w:tab/>
      </w:r>
      <w:r w:rsidRPr="00191D13">
        <w:tab/>
        <w:t xml:space="preserve">Факты в изложении автора 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</w:rPr>
      </w:pPr>
    </w:p>
    <w:p w:rsidR="00130086" w:rsidRPr="00191D13" w:rsidRDefault="00130086" w:rsidP="00A53EA8">
      <w:pPr>
        <w:pStyle w:val="SingleTxt"/>
      </w:pPr>
      <w:r w:rsidRPr="00191D13">
        <w:t>2.1</w:t>
      </w:r>
      <w:r w:rsidRPr="00191D13">
        <w:tab/>
        <w:t>Автор начала жить вместе с К</w:t>
      </w:r>
      <w:r>
        <w:t>.Р.</w:t>
      </w:r>
      <w:r w:rsidRPr="00191D13">
        <w:t xml:space="preserve"> в ноябре 2008 года в штате Морелос в Мексике. Вскоре после этого он признался, что является венесуэльцем, прож</w:t>
      </w:r>
      <w:r w:rsidRPr="00191D13">
        <w:t>и</w:t>
      </w:r>
      <w:r w:rsidRPr="00191D13">
        <w:t>вающим в Мексике с фальшивыми документами, удостоверяющими личность, что он совершил побег из тюрьмы в Боливарианской Республике Венесуэла, где он был осужден за вооруженное ограбление, и что он входит в состав пр</w:t>
      </w:r>
      <w:r w:rsidRPr="00191D13">
        <w:t>е</w:t>
      </w:r>
      <w:r w:rsidRPr="00191D13">
        <w:t>ступной группы в Мексике. Она заявляет, что впервые подверглась насилию в семье в декабре 2008 года. Случаи такого насилия вновь произошли в январе, феврале и марте 2009 года. После случая, произошедшего в марте 2009</w:t>
      </w:r>
      <w:r w:rsidR="00A53EA8">
        <w:t> </w:t>
      </w:r>
      <w:r w:rsidRPr="00191D13">
        <w:t>года, автор была госпитализирована и провела в больнице три дня. После каждого случая она подавала жалобу в полицию, однако никаких мер не принималось. Во время инцидента в марте 2009 года сожитель автора сказал ей, что ему и</w:t>
      </w:r>
      <w:r w:rsidRPr="00191D13">
        <w:t>з</w:t>
      </w:r>
      <w:r w:rsidRPr="00191D13">
        <w:t>вестно о поданных ею ранее жалобах вл</w:t>
      </w:r>
      <w:r w:rsidRPr="00191D13">
        <w:t>а</w:t>
      </w:r>
      <w:r w:rsidRPr="00191D13">
        <w:t>стям.</w:t>
      </w:r>
    </w:p>
    <w:p w:rsidR="00130086" w:rsidRPr="00191D13" w:rsidRDefault="00130086" w:rsidP="00A53EA8">
      <w:pPr>
        <w:pStyle w:val="SingleTxt"/>
      </w:pPr>
      <w:r w:rsidRPr="00191D13">
        <w:t>2.2</w:t>
      </w:r>
      <w:r w:rsidRPr="00191D13">
        <w:tab/>
        <w:t>После выписки из больницы в марте 2009 года автора сообщения она р</w:t>
      </w:r>
      <w:r w:rsidRPr="00191D13">
        <w:t>е</w:t>
      </w:r>
      <w:r w:rsidRPr="00191D13">
        <w:t>шила жить вместе с подругой. Она также обратилась к юристу за консультац</w:t>
      </w:r>
      <w:r w:rsidRPr="00191D13">
        <w:t>и</w:t>
      </w:r>
      <w:r w:rsidRPr="00191D13">
        <w:t>ей по вопросу о том, каким образом она может получить защиту от своего с</w:t>
      </w:r>
      <w:r w:rsidRPr="00191D13">
        <w:t>о</w:t>
      </w:r>
      <w:r w:rsidRPr="00191D13">
        <w:t>жителя. Поскольку юрист сообщил ей, что она не сможет получить защиту в Мексике, она решила уехать из страны 25 мая 2009 года. Автор указывает на то, что после ее отъезда из Мексики ее сожитель звонил членам ее семьи и друзьям, спрашивая о ее местонахождении. В мае и сентябре 2011 года он дв</w:t>
      </w:r>
      <w:r w:rsidRPr="00191D13">
        <w:t>а</w:t>
      </w:r>
      <w:r w:rsidRPr="00191D13">
        <w:t>жды заходил к матери автора сообщения и спрашивал о местонахождении а</w:t>
      </w:r>
      <w:r w:rsidRPr="00191D13">
        <w:t>в</w:t>
      </w:r>
      <w:r>
        <w:t>тора. Во</w:t>
      </w:r>
      <w:r w:rsidR="00A53EA8">
        <w:t xml:space="preserve"> </w:t>
      </w:r>
      <w:r w:rsidRPr="00191D13">
        <w:t>время второго посещения сожитель автора, будучи пьяным, напал на мать автора, ударив ее по лицу, когда она отказалась сообщить ему, где нах</w:t>
      </w:r>
      <w:r w:rsidRPr="00191D13">
        <w:t>о</w:t>
      </w:r>
      <w:r w:rsidRPr="00191D13">
        <w:t>дится а</w:t>
      </w:r>
      <w:r w:rsidRPr="00191D13">
        <w:t>в</w:t>
      </w:r>
      <w:r w:rsidRPr="00191D13">
        <w:t>тор.</w:t>
      </w:r>
    </w:p>
    <w:p w:rsidR="00130086" w:rsidRPr="00191D13" w:rsidRDefault="00130086" w:rsidP="00A53EA8">
      <w:pPr>
        <w:pStyle w:val="SingleTxt"/>
      </w:pPr>
      <w:r w:rsidRPr="00191D13">
        <w:t>2.3</w:t>
      </w:r>
      <w:r w:rsidRPr="00191D13">
        <w:tab/>
        <w:t>Автор направила ход</w:t>
      </w:r>
      <w:r>
        <w:t>атайство о предоставлении ей защ</w:t>
      </w:r>
      <w:r w:rsidRPr="00191D13">
        <w:t>иты в форме стат</w:t>
      </w:r>
      <w:r w:rsidRPr="00191D13">
        <w:t>у</w:t>
      </w:r>
      <w:r w:rsidRPr="00191D13">
        <w:t>са беженца в Канаде 30 декабря 2011 на том основании, что в случае возвращ</w:t>
      </w:r>
      <w:r w:rsidRPr="00191D13">
        <w:t>е</w:t>
      </w:r>
      <w:r w:rsidRPr="00191D13">
        <w:t>ния в Мексику она станет жертвой насилия в семье. Ее ходатайство прошло процедуру оценки рисков до высылки с учетом того, что в 1999 году она обр</w:t>
      </w:r>
      <w:r w:rsidRPr="00191D13">
        <w:t>а</w:t>
      </w:r>
      <w:r w:rsidRPr="00191D13">
        <w:t>щалась с просьбой о предоставлении ей защиты в форме статуса беженца вм</w:t>
      </w:r>
      <w:r w:rsidRPr="00191D13">
        <w:t>е</w:t>
      </w:r>
      <w:r w:rsidRPr="00191D13">
        <w:t xml:space="preserve">сте со своим бывшим сожителем, которая была отклонена </w:t>
      </w:r>
      <w:r>
        <w:t xml:space="preserve">в </w:t>
      </w:r>
      <w:r w:rsidRPr="00191D13">
        <w:t>2000 году. После слушаний, проведенных 22 октября 2012 года, ходатайство автора было откл</w:t>
      </w:r>
      <w:r w:rsidRPr="00191D13">
        <w:t>о</w:t>
      </w:r>
      <w:r>
        <w:t>нено 5 декабря 2012</w:t>
      </w:r>
      <w:r w:rsidRPr="00191D13">
        <w:t xml:space="preserve"> года, и об этом решении автору было сообщено 24 января 2013</w:t>
      </w:r>
      <w:r w:rsidR="00A53EA8">
        <w:t> </w:t>
      </w:r>
      <w:r w:rsidRPr="00191D13">
        <w:t>года. В решении не оспаривается тот факт, что автор стала жертвой нас</w:t>
      </w:r>
      <w:r w:rsidRPr="00191D13">
        <w:t>и</w:t>
      </w:r>
      <w:r w:rsidRPr="00191D13">
        <w:t>лия в семье и что она безуспешно пыталась получить защиту в Мексике. Тем не менее в решении содержится вывод о том, что у автора существовала ал</w:t>
      </w:r>
      <w:r w:rsidRPr="00191D13">
        <w:t>ь</w:t>
      </w:r>
      <w:r w:rsidRPr="00191D13">
        <w:t xml:space="preserve">тернатива поиска убежища внутри страны в городе Мехико, и подчеркивалось, в частности, что, </w:t>
      </w:r>
      <w:r>
        <w:t xml:space="preserve">пусть </w:t>
      </w:r>
      <w:r w:rsidRPr="00191D13">
        <w:t>даже ситуация с насилием в рамках супружеских отн</w:t>
      </w:r>
      <w:r w:rsidRPr="00191D13">
        <w:t>о</w:t>
      </w:r>
      <w:r w:rsidRPr="00191D13">
        <w:t>шений в Мексике была далеко не идеальной, в стране существовали опред</w:t>
      </w:r>
      <w:r w:rsidRPr="00191D13">
        <w:t>е</w:t>
      </w:r>
      <w:r w:rsidRPr="00191D13">
        <w:t>ленные средства правовой защиты и услуги, которыми автор могла бы воспол</w:t>
      </w:r>
      <w:r w:rsidRPr="00191D13">
        <w:t>ь</w:t>
      </w:r>
      <w:r w:rsidRPr="00191D13">
        <w:t>зоваться, в частности в городе Мехико, и что автор не смогла доказать, почему в случае возвращения она не могла бы переехать в Мехико, где она до этого проживала и работала и, в случае необходимости, могла бы воспользоваться услугами по предоставлению защиты.</w:t>
      </w:r>
    </w:p>
    <w:p w:rsidR="00130086" w:rsidRDefault="00130086" w:rsidP="00A53EA8">
      <w:pPr>
        <w:pStyle w:val="SingleTxt"/>
      </w:pPr>
      <w:r w:rsidRPr="00191D13">
        <w:t>2.4</w:t>
      </w:r>
      <w:r w:rsidRPr="00191D13">
        <w:tab/>
        <w:t>29 января 2013 года автор обратилась в Федеральный суд с просьбой о п</w:t>
      </w:r>
      <w:r w:rsidRPr="00191D13">
        <w:t>е</w:t>
      </w:r>
      <w:r w:rsidRPr="00191D13">
        <w:t>ресмотре в судебном порядке решения от 5</w:t>
      </w:r>
      <w:r w:rsidR="00A53EA8">
        <w:t> </w:t>
      </w:r>
      <w:r w:rsidRPr="00191D13">
        <w:t>де</w:t>
      </w:r>
      <w:r>
        <w:t>кабря 2012</w:t>
      </w:r>
      <w:r w:rsidR="00A53EA8">
        <w:t> </w:t>
      </w:r>
      <w:r>
        <w:t>года. 31</w:t>
      </w:r>
      <w:r w:rsidR="00A53EA8">
        <w:t> </w:t>
      </w:r>
      <w:r>
        <w:t>января 2013 </w:t>
      </w:r>
      <w:r w:rsidRPr="00191D13">
        <w:t>года она также представила ходатайство об отсрочке ее высылки до пр</w:t>
      </w:r>
      <w:r w:rsidRPr="00191D13">
        <w:t>о</w:t>
      </w:r>
      <w:r w:rsidRPr="00191D13">
        <w:t>ведения судебного пересмотра, в котором она утверждала, что возможность использования альтернативы поиска убежища внутри страны не относится к категории госуда</w:t>
      </w:r>
      <w:r w:rsidRPr="00191D13">
        <w:t>р</w:t>
      </w:r>
      <w:r w:rsidRPr="00191D13">
        <w:t xml:space="preserve">ственной защиты. Ее ходатайство об отсрочке высылки было отклонено 18 февраля 2013 года. </w:t>
      </w:r>
      <w:r>
        <w:t>С</w:t>
      </w:r>
      <w:r w:rsidRPr="00191D13">
        <w:t>уд установил, что выводы, полученные в рамках процедуры относительно альтернативы поиска убежища внутри стр</w:t>
      </w:r>
      <w:r w:rsidRPr="00191D13">
        <w:t>а</w:t>
      </w:r>
      <w:r w:rsidRPr="00191D13">
        <w:t>ны, относятся к категории возможных выводов с учетом фактов и правовых норм в рамках этого дела. После этого автор была проинформирована о том, что ее депортация запланирована на 27 февраля 2013 года</w:t>
      </w:r>
      <w:r w:rsidRPr="00AD11F7">
        <w:rPr>
          <w:rStyle w:val="FootnoteReference"/>
        </w:rPr>
        <w:footnoteReference w:id="3"/>
      </w:r>
      <w:r w:rsidRPr="00191D13">
        <w:t>.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</w:rPr>
      </w:pPr>
    </w:p>
    <w:p w:rsidR="00130086" w:rsidRDefault="00130086" w:rsidP="00A53E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Жалоба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</w:rPr>
      </w:pPr>
    </w:p>
    <w:p w:rsidR="00130086" w:rsidRPr="00191D13" w:rsidRDefault="00130086" w:rsidP="00A53EA8">
      <w:pPr>
        <w:pStyle w:val="SingleTxt"/>
      </w:pPr>
      <w:r w:rsidRPr="00191D13">
        <w:t>3.1</w:t>
      </w:r>
      <w:r w:rsidRPr="00191D13">
        <w:tab/>
        <w:t>Автор утверждает, что, депортируя ее в Мексику, Канада нарушает ст</w:t>
      </w:r>
      <w:r w:rsidRPr="00191D13">
        <w:t>а</w:t>
      </w:r>
      <w:r w:rsidRPr="00191D13">
        <w:t>тьи</w:t>
      </w:r>
      <w:r>
        <w:t> </w:t>
      </w:r>
      <w:r w:rsidRPr="00191D13">
        <w:t xml:space="preserve">1–3 Конвенции, </w:t>
      </w:r>
      <w:r>
        <w:t>рассматриваемые</w:t>
      </w:r>
      <w:r w:rsidRPr="00191D13">
        <w:t xml:space="preserve"> в сов</w:t>
      </w:r>
      <w:r>
        <w:t>окупности с общей рекомендац</w:t>
      </w:r>
      <w:r>
        <w:t>и</w:t>
      </w:r>
      <w:r>
        <w:t>ей </w:t>
      </w:r>
      <w:r w:rsidRPr="00191D13">
        <w:t>№ 19 Комитета. Она утверждает, что в случае принудительного возвращения в Мексику она станет жертвой гендерного насилия со стороны ее бывшего с</w:t>
      </w:r>
      <w:r w:rsidRPr="00191D13">
        <w:t>о</w:t>
      </w:r>
      <w:r w:rsidRPr="00191D13">
        <w:t>жителя в форме физического, психологического и сексуального насилия и что она не получит необх</w:t>
      </w:r>
      <w:r w:rsidRPr="00191D13">
        <w:t>о</w:t>
      </w:r>
      <w:r w:rsidRPr="00191D13">
        <w:t>димой защиты от мексиканских властей.</w:t>
      </w:r>
    </w:p>
    <w:p w:rsidR="00130086" w:rsidRPr="001E4C1B" w:rsidRDefault="00130086" w:rsidP="00A53EA8">
      <w:pPr>
        <w:pStyle w:val="SingleTxt"/>
        <w:rPr>
          <w:kern w:val="0"/>
        </w:rPr>
      </w:pPr>
      <w:r w:rsidRPr="001E4C1B">
        <w:rPr>
          <w:kern w:val="0"/>
        </w:rPr>
        <w:t>3.2</w:t>
      </w:r>
      <w:r w:rsidRPr="001E4C1B">
        <w:rPr>
          <w:kern w:val="0"/>
        </w:rPr>
        <w:tab/>
        <w:t>Автор заявляет, что по отношению к ней в рамках национального разб</w:t>
      </w:r>
      <w:r w:rsidRPr="001E4C1B">
        <w:rPr>
          <w:kern w:val="0"/>
        </w:rPr>
        <w:t>и</w:t>
      </w:r>
      <w:r w:rsidRPr="001E4C1B">
        <w:rPr>
          <w:kern w:val="0"/>
        </w:rPr>
        <w:t>рательства была допущена несправедливость, поскольку представленные ею доказательства были отвергнуты или проигнорированы. Она считает, что гос</w:t>
      </w:r>
      <w:r w:rsidRPr="001E4C1B">
        <w:rPr>
          <w:kern w:val="0"/>
        </w:rPr>
        <w:t>у</w:t>
      </w:r>
      <w:r w:rsidRPr="001E4C1B">
        <w:rPr>
          <w:kern w:val="0"/>
        </w:rPr>
        <w:t>дарство-участник отказало в предоставлении ей защиты в качестве б</w:t>
      </w:r>
      <w:r w:rsidRPr="001E4C1B">
        <w:rPr>
          <w:kern w:val="0"/>
        </w:rPr>
        <w:t>е</w:t>
      </w:r>
      <w:r w:rsidRPr="001E4C1B">
        <w:rPr>
          <w:kern w:val="0"/>
        </w:rPr>
        <w:t>женца на основании ошибочного заключения сотрудника по вопросам проведения оце</w:t>
      </w:r>
      <w:r w:rsidRPr="001E4C1B">
        <w:rPr>
          <w:kern w:val="0"/>
        </w:rPr>
        <w:t>н</w:t>
      </w:r>
      <w:r w:rsidRPr="001E4C1B">
        <w:rPr>
          <w:kern w:val="0"/>
        </w:rPr>
        <w:t xml:space="preserve">ки рисков до высылки, сделавшего вывод о возможности получения жертвами гендерного насилия защиты в Мехико. Она </w:t>
      </w:r>
      <w:r>
        <w:rPr>
          <w:kern w:val="0"/>
        </w:rPr>
        <w:t>далее</w:t>
      </w:r>
      <w:r w:rsidRPr="001E4C1B">
        <w:rPr>
          <w:kern w:val="0"/>
        </w:rPr>
        <w:t xml:space="preserve"> утверждает, что решение с</w:t>
      </w:r>
      <w:r w:rsidRPr="001E4C1B">
        <w:rPr>
          <w:kern w:val="0"/>
        </w:rPr>
        <w:t>о</w:t>
      </w:r>
      <w:r w:rsidRPr="001E4C1B">
        <w:rPr>
          <w:kern w:val="0"/>
        </w:rPr>
        <w:t>держит ошибочное предположение о том, что она могла воспользоваться ал</w:t>
      </w:r>
      <w:r w:rsidRPr="001E4C1B">
        <w:rPr>
          <w:kern w:val="0"/>
        </w:rPr>
        <w:t>ь</w:t>
      </w:r>
      <w:r w:rsidRPr="001E4C1B">
        <w:rPr>
          <w:kern w:val="0"/>
        </w:rPr>
        <w:t>тернативой поиска убежища внутри страны в Мехико, где ей могла быть предоставлена защита. В этой связи она утверждает, что штат Морелос, в к</w:t>
      </w:r>
      <w:r w:rsidRPr="001E4C1B">
        <w:rPr>
          <w:kern w:val="0"/>
        </w:rPr>
        <w:t>о</w:t>
      </w:r>
      <w:r w:rsidRPr="001E4C1B">
        <w:rPr>
          <w:kern w:val="0"/>
        </w:rPr>
        <w:t>тором она проживала, гр</w:t>
      </w:r>
      <w:r w:rsidRPr="001E4C1B">
        <w:rPr>
          <w:kern w:val="0"/>
        </w:rPr>
        <w:t>а</w:t>
      </w:r>
      <w:r w:rsidRPr="001E4C1B">
        <w:rPr>
          <w:kern w:val="0"/>
        </w:rPr>
        <w:t>ничит с Мехико и фактически представляет собой его пригород, и поэтому ее бывшему сожителю не составит никакого труда д</w:t>
      </w:r>
      <w:r w:rsidRPr="001E4C1B">
        <w:rPr>
          <w:kern w:val="0"/>
        </w:rPr>
        <w:t>о</w:t>
      </w:r>
      <w:r w:rsidRPr="001E4C1B">
        <w:rPr>
          <w:kern w:val="0"/>
        </w:rPr>
        <w:t>браться до нее при ее возвр</w:t>
      </w:r>
      <w:r w:rsidRPr="001E4C1B">
        <w:rPr>
          <w:kern w:val="0"/>
        </w:rPr>
        <w:t>а</w:t>
      </w:r>
      <w:r w:rsidRPr="001E4C1B">
        <w:rPr>
          <w:kern w:val="0"/>
        </w:rPr>
        <w:t>щении в Мехико. Она также напоминает о том, что она не смогла получить эффективную защиту со стороны мексиканских вл</w:t>
      </w:r>
      <w:r w:rsidRPr="001E4C1B">
        <w:rPr>
          <w:kern w:val="0"/>
        </w:rPr>
        <w:t>а</w:t>
      </w:r>
      <w:r w:rsidRPr="001E4C1B">
        <w:rPr>
          <w:kern w:val="0"/>
        </w:rPr>
        <w:t xml:space="preserve">стей. </w:t>
      </w:r>
    </w:p>
    <w:p w:rsidR="00130086" w:rsidRDefault="00130086" w:rsidP="00A53EA8">
      <w:pPr>
        <w:pStyle w:val="SingleTxt"/>
        <w:rPr>
          <w:kern w:val="0"/>
        </w:rPr>
      </w:pPr>
      <w:r w:rsidRPr="001E4C1B">
        <w:rPr>
          <w:kern w:val="0"/>
        </w:rPr>
        <w:t>3.3</w:t>
      </w:r>
      <w:r w:rsidRPr="001E4C1B">
        <w:rPr>
          <w:kern w:val="0"/>
        </w:rPr>
        <w:tab/>
        <w:t>Что касается исчерпания внутренних средств правовой защиты, то автор напоминает, что ее ходатайство об отсрочке высылки до пересмотра судебного решения было отклонено, что означает, что она не располагает никакими д</w:t>
      </w:r>
      <w:r w:rsidRPr="001E4C1B">
        <w:rPr>
          <w:kern w:val="0"/>
        </w:rPr>
        <w:t>о</w:t>
      </w:r>
      <w:r w:rsidRPr="001E4C1B">
        <w:rPr>
          <w:kern w:val="0"/>
        </w:rPr>
        <w:t>полнительными средствами правовой защиты. Она сравнивает свой случай с сообщением, в котором говорится о том, что жертва насилия в семье была д</w:t>
      </w:r>
      <w:r w:rsidRPr="001E4C1B">
        <w:rPr>
          <w:kern w:val="0"/>
        </w:rPr>
        <w:t>е</w:t>
      </w:r>
      <w:r w:rsidRPr="001E4C1B">
        <w:rPr>
          <w:kern w:val="0"/>
        </w:rPr>
        <w:t>портирована в Пакистан, где она не сможет получить необходимой защиты со стороны властей. Автор утверждает, что в этом случае Комитет принял реш</w:t>
      </w:r>
      <w:r w:rsidRPr="001E4C1B">
        <w:rPr>
          <w:kern w:val="0"/>
        </w:rPr>
        <w:t>е</w:t>
      </w:r>
      <w:r w:rsidRPr="001E4C1B">
        <w:rPr>
          <w:kern w:val="0"/>
        </w:rPr>
        <w:t>ние о приемлемости просьбы автора, однако в последующем посчитал, что с</w:t>
      </w:r>
      <w:r w:rsidRPr="001E4C1B">
        <w:rPr>
          <w:kern w:val="0"/>
        </w:rPr>
        <w:t>о</w:t>
      </w:r>
      <w:r w:rsidRPr="001E4C1B">
        <w:rPr>
          <w:kern w:val="0"/>
        </w:rPr>
        <w:t>общение носит неприемлемый характер в связи с неиспользованием в полном объеме средств внутренней правовой защиты, поскольку автор не смогла и</w:t>
      </w:r>
      <w:r w:rsidRPr="001E4C1B">
        <w:rPr>
          <w:kern w:val="0"/>
        </w:rPr>
        <w:t>с</w:t>
      </w:r>
      <w:r w:rsidRPr="001E4C1B">
        <w:rPr>
          <w:kern w:val="0"/>
        </w:rPr>
        <w:t>пользовать в своих интересах процедуру пересмотра судебного решения</w:t>
      </w:r>
      <w:r w:rsidRPr="00AD11F7">
        <w:rPr>
          <w:rStyle w:val="FootnoteReference"/>
          <w:kern w:val="0"/>
        </w:rPr>
        <w:footnoteReference w:id="4"/>
      </w:r>
      <w:r w:rsidRPr="001E4C1B">
        <w:rPr>
          <w:kern w:val="0"/>
        </w:rPr>
        <w:t>. А</w:t>
      </w:r>
      <w:r w:rsidRPr="001E4C1B">
        <w:rPr>
          <w:kern w:val="0"/>
        </w:rPr>
        <w:t>в</w:t>
      </w:r>
      <w:r w:rsidRPr="001E4C1B">
        <w:rPr>
          <w:kern w:val="0"/>
        </w:rPr>
        <w:t>тор считает, что ее дело должно рассматриваться в качестве приемлемого, п</w:t>
      </w:r>
      <w:r w:rsidRPr="001E4C1B">
        <w:rPr>
          <w:kern w:val="0"/>
        </w:rPr>
        <w:t>о</w:t>
      </w:r>
      <w:r w:rsidRPr="001E4C1B">
        <w:rPr>
          <w:kern w:val="0"/>
        </w:rPr>
        <w:t>скольку она добивалась пересмотра с</w:t>
      </w:r>
      <w:r w:rsidRPr="001E4C1B">
        <w:rPr>
          <w:kern w:val="0"/>
        </w:rPr>
        <w:t>у</w:t>
      </w:r>
      <w:r w:rsidRPr="001E4C1B">
        <w:rPr>
          <w:kern w:val="0"/>
        </w:rPr>
        <w:t>дебного решения.</w:t>
      </w:r>
    </w:p>
    <w:p w:rsidR="00A53EA8" w:rsidRPr="00A53EA8" w:rsidRDefault="00A53EA8" w:rsidP="00A53EA8">
      <w:pPr>
        <w:pStyle w:val="SingleTxt"/>
        <w:spacing w:after="0" w:line="120" w:lineRule="exact"/>
        <w:rPr>
          <w:kern w:val="0"/>
          <w:sz w:val="10"/>
        </w:rPr>
      </w:pPr>
    </w:p>
    <w:p w:rsidR="00130086" w:rsidRDefault="00130086" w:rsidP="00A53E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Pr="001E4C1B">
        <w:rPr>
          <w:lang w:bidi="ru-RU"/>
        </w:rPr>
        <w:t xml:space="preserve">Замечания </w:t>
      </w:r>
      <w:r w:rsidRPr="001E4C1B">
        <w:t>государства</w:t>
      </w:r>
      <w:r w:rsidRPr="001E4C1B">
        <w:rPr>
          <w:lang w:bidi="ru-RU"/>
        </w:rPr>
        <w:t xml:space="preserve">-участника </w:t>
      </w:r>
      <w:r>
        <w:rPr>
          <w:lang w:bidi="ru-RU"/>
        </w:rPr>
        <w:t>относительно</w:t>
      </w:r>
      <w:r w:rsidRPr="001E4C1B">
        <w:rPr>
          <w:lang w:bidi="ru-RU"/>
        </w:rPr>
        <w:t xml:space="preserve"> приемлемости с</w:t>
      </w:r>
      <w:r w:rsidRPr="001E4C1B">
        <w:rPr>
          <w:lang w:bidi="ru-RU"/>
        </w:rPr>
        <w:t>о</w:t>
      </w:r>
      <w:r w:rsidRPr="001E4C1B">
        <w:rPr>
          <w:lang w:bidi="ru-RU"/>
        </w:rPr>
        <w:t>общения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  <w:lang w:bidi="ru-RU"/>
        </w:rPr>
      </w:pPr>
    </w:p>
    <w:p w:rsidR="00130086" w:rsidRPr="001E4C1B" w:rsidRDefault="00130086" w:rsidP="00A53EA8">
      <w:pPr>
        <w:pStyle w:val="SingleTxt"/>
        <w:rPr>
          <w:rFonts w:eastAsia="Arial Unicode MS"/>
        </w:rPr>
      </w:pPr>
      <w:r w:rsidRPr="001E4C1B">
        <w:t>4.1</w:t>
      </w:r>
      <w:r w:rsidRPr="001E4C1B">
        <w:tab/>
        <w:t>7 июня 2013 года государство-участник представило свои замечания о</w:t>
      </w:r>
      <w:r w:rsidRPr="001E4C1B">
        <w:t>т</w:t>
      </w:r>
      <w:r w:rsidRPr="001E4C1B">
        <w:t>носительно приемлемости сообщения, оспаривая его приемлемость по трем причинами. Государство-участник утверждает, что, во-первых, автор не исче</w:t>
      </w:r>
      <w:r w:rsidRPr="001E4C1B">
        <w:t>р</w:t>
      </w:r>
      <w:r w:rsidRPr="001E4C1B">
        <w:t>пала все внутренние средства правовой защиты в контексте ее утверждения, что канадская система защиты беженцев носит дискриминационный характер. Во</w:t>
      </w:r>
      <w:r>
        <w:noBreakHyphen/>
      </w:r>
      <w:r w:rsidRPr="001E4C1B">
        <w:t>вторых, оно указывает на то, что заявление о том, что Канада несет обяз</w:t>
      </w:r>
      <w:r w:rsidRPr="001E4C1B">
        <w:t>а</w:t>
      </w:r>
      <w:r w:rsidRPr="001E4C1B">
        <w:t>тельство о невысылке, несовместимо с положениями Конвенции. В</w:t>
      </w:r>
      <w:r>
        <w:t>-</w:t>
      </w:r>
      <w:r w:rsidRPr="001E4C1B">
        <w:t xml:space="preserve">третьих, государство-участник заявляет, что утверждение </w:t>
      </w:r>
      <w:r>
        <w:t>явно</w:t>
      </w:r>
      <w:r w:rsidRPr="001E4C1B">
        <w:t xml:space="preserve"> является необоснова</w:t>
      </w:r>
      <w:r w:rsidRPr="001E4C1B">
        <w:t>н</w:t>
      </w:r>
      <w:r w:rsidRPr="001E4C1B">
        <w:t>ным или автор не располагает в достаточной степени аргументированными обоснованиями своего заявления о том, что в случае возвращения в Мексику она подвергнется риску пыток или ее жизни может угрожать опа</w:t>
      </w:r>
      <w:r w:rsidRPr="001E4C1B">
        <w:t>с</w:t>
      </w:r>
      <w:r w:rsidRPr="001E4C1B">
        <w:t>ность</w:t>
      </w:r>
      <w:r w:rsidRPr="001E4C1B">
        <w:rPr>
          <w:rFonts w:eastAsia="Arial Unicode MS"/>
        </w:rPr>
        <w:t>.</w:t>
      </w:r>
    </w:p>
    <w:p w:rsidR="00130086" w:rsidRPr="001E4C1B" w:rsidRDefault="00130086" w:rsidP="00A53EA8">
      <w:pPr>
        <w:pStyle w:val="SingleTxt"/>
      </w:pPr>
      <w:r w:rsidRPr="001E4C1B">
        <w:t>4.2</w:t>
      </w:r>
      <w:r w:rsidRPr="001E4C1B">
        <w:tab/>
        <w:t>Что касается фактических обстоятельств дела, то государство-участник указывает на то, что автор сообщения прибыла в Канаду по гостевой визе, и после истечения срока действия ее визы нарушение автором сроков пребыв</w:t>
      </w:r>
      <w:r w:rsidRPr="001E4C1B">
        <w:t>а</w:t>
      </w:r>
      <w:r w:rsidRPr="001E4C1B">
        <w:t>ния в стране, указанных в ее визе, привлекло к себе внимание властей в дека</w:t>
      </w:r>
      <w:r w:rsidRPr="001E4C1B">
        <w:t>б</w:t>
      </w:r>
      <w:r w:rsidRPr="001E4C1B">
        <w:t>ре 2012 года. Автор была задержана, и ей было предложено пройти процедуру оценки рисков до высылки. Государство-участник обращает особое внимание на то, что данный случай стал второй попыткой автора получить защиту в К</w:t>
      </w:r>
      <w:r w:rsidRPr="001E4C1B">
        <w:t>а</w:t>
      </w:r>
      <w:r w:rsidRPr="001E4C1B">
        <w:t>наде, поскольку ее первое ходатайство в соответствии с положениями Закона об иммиграции и защите беженцев было отклонено в 1999 году. После этого в ее отношении был</w:t>
      </w:r>
      <w:r>
        <w:t>о</w:t>
      </w:r>
      <w:r w:rsidRPr="001E4C1B">
        <w:t xml:space="preserve"> издан</w:t>
      </w:r>
      <w:r>
        <w:t>о</w:t>
      </w:r>
      <w:r w:rsidRPr="001E4C1B">
        <w:t xml:space="preserve"> </w:t>
      </w:r>
      <w:r>
        <w:t>распоряжение</w:t>
      </w:r>
      <w:r w:rsidRPr="001E4C1B">
        <w:t xml:space="preserve"> о высылке из страны, однако она добровольно покинула Канаду и вернулась в Ме</w:t>
      </w:r>
      <w:r w:rsidRPr="001E4C1B">
        <w:t>к</w:t>
      </w:r>
      <w:r w:rsidRPr="001E4C1B">
        <w:t>сику в апреле 2000 года.</w:t>
      </w:r>
    </w:p>
    <w:p w:rsidR="00130086" w:rsidRPr="001E4C1B" w:rsidRDefault="00130086" w:rsidP="00A53EA8">
      <w:pPr>
        <w:pStyle w:val="SingleTxt"/>
      </w:pPr>
      <w:r w:rsidRPr="001E4C1B">
        <w:t>4.3</w:t>
      </w:r>
      <w:r w:rsidRPr="001E4C1B">
        <w:tab/>
        <w:t>Далее государство-участник разъясняет, что</w:t>
      </w:r>
      <w:r>
        <w:t>,</w:t>
      </w:r>
      <w:r w:rsidRPr="001E4C1B">
        <w:t xml:space="preserve"> поскольку автор уже прошла процедуру определения статуса беженца, хотя и на основании другого заявл</w:t>
      </w:r>
      <w:r w:rsidRPr="001E4C1B">
        <w:t>е</w:t>
      </w:r>
      <w:r w:rsidRPr="001E4C1B">
        <w:t xml:space="preserve">ния, ее новые утверждения о рисках преследования, опасности для жизни и риске пыток или жестокого или </w:t>
      </w:r>
      <w:r>
        <w:t>не отвечающего установленным нормам</w:t>
      </w:r>
      <w:r w:rsidRPr="001E4C1B">
        <w:t xml:space="preserve"> обр</w:t>
      </w:r>
      <w:r w:rsidRPr="001E4C1B">
        <w:t>а</w:t>
      </w:r>
      <w:r w:rsidRPr="001E4C1B">
        <w:t>щения или наказания были рассмотрены в рамках процедуры оценки рисков до высылки, а не другой процедуры определения статуса беженца. Государство-участник утверждает, что ходатайства о проведении оценки рисков до высылки рассматриваются сотрудниками, которые прошли специальную подготовку и являются должным образом информированными о международных обязател</w:t>
      </w:r>
      <w:r w:rsidRPr="001E4C1B">
        <w:t>ь</w:t>
      </w:r>
      <w:r w:rsidRPr="001E4C1B">
        <w:t>ствах в области прав человека, включая обязательства в контексте гендерной проблематики и защиты детей, а также о рисках, которым подвергаются жер</w:t>
      </w:r>
      <w:r w:rsidRPr="001E4C1B">
        <w:t>т</w:t>
      </w:r>
      <w:r w:rsidRPr="001E4C1B">
        <w:t>вы насилия в семье, поскольку факт преследования по признаку пола, включая насилие в семье, может поддержать х</w:t>
      </w:r>
      <w:r w:rsidRPr="001E4C1B">
        <w:t>о</w:t>
      </w:r>
      <w:r w:rsidRPr="001E4C1B">
        <w:t>датайство о получении защиты в Канаде.</w:t>
      </w:r>
    </w:p>
    <w:p w:rsidR="00130086" w:rsidRPr="001E4C1B" w:rsidRDefault="00130086" w:rsidP="00A53EA8">
      <w:pPr>
        <w:pStyle w:val="SingleTxt"/>
      </w:pPr>
      <w:r w:rsidRPr="001E4C1B">
        <w:t>4.4</w:t>
      </w:r>
      <w:r w:rsidRPr="001E4C1B">
        <w:tab/>
        <w:t>Государство-участник напоминает о фактах, представленных автором в ее ходатайстве о проведении оценки рисков до высылки, и указывает на то, что она также представила доказательства излагаемых ею фактов и имевших место в прошлом случаев насилия в семье, которому она подвергалась в Мексике, т</w:t>
      </w:r>
      <w:r w:rsidRPr="001E4C1B">
        <w:t>а</w:t>
      </w:r>
      <w:r w:rsidRPr="001E4C1B">
        <w:t>кие как медицинские документы, письма от членов семьи, подтверждающие грубое поведение ее бывшего сожителя, и документы мексиканских властей, подтверждающие подачу ею жалоб компетентным органам. Автор также пре</w:t>
      </w:r>
      <w:r w:rsidRPr="001E4C1B">
        <w:t>д</w:t>
      </w:r>
      <w:r w:rsidRPr="001E4C1B">
        <w:t>ставила несколько докладов органов по правам человека о положении, в кот</w:t>
      </w:r>
      <w:r w:rsidRPr="001E4C1B">
        <w:t>о</w:t>
      </w:r>
      <w:r w:rsidRPr="001E4C1B">
        <w:t>ром оказываются жертвы гендерного насилия в Мексике. Несмотря на то</w:t>
      </w:r>
      <w:r>
        <w:t>,</w:t>
      </w:r>
      <w:r w:rsidRPr="001E4C1B">
        <w:t xml:space="preserve"> что ее утверждения сочли правдоподобными, судебные органы государства-участника установили, что у автора была реальная альтернатива поиска уб</w:t>
      </w:r>
      <w:r w:rsidRPr="001E4C1B">
        <w:t>е</w:t>
      </w:r>
      <w:r w:rsidRPr="001E4C1B">
        <w:t>жища в пределах Мексики и что она не предоставила убедительного доказ</w:t>
      </w:r>
      <w:r w:rsidRPr="001E4C1B">
        <w:t>а</w:t>
      </w:r>
      <w:r w:rsidRPr="001E4C1B">
        <w:t>тельства, свидетельствующего о том, что она не могла вернуться и жить о</w:t>
      </w:r>
      <w:r w:rsidRPr="001E4C1B">
        <w:t>т</w:t>
      </w:r>
      <w:r w:rsidRPr="001E4C1B">
        <w:t>дельно от своего бывшего жестокого сожителя в других районах страны.</w:t>
      </w:r>
    </w:p>
    <w:p w:rsidR="00130086" w:rsidRPr="001E4C1B" w:rsidRDefault="00130086" w:rsidP="00A53EA8">
      <w:pPr>
        <w:pStyle w:val="SingleTxt"/>
      </w:pPr>
      <w:r w:rsidRPr="001E4C1B">
        <w:t>4.5</w:t>
      </w:r>
      <w:r w:rsidRPr="001E4C1B">
        <w:tab/>
        <w:t>Государство-участник указывает на то, что эти выводы были сделаны не только экспертами по оценке степени риска, но и независимым судом, к</w:t>
      </w:r>
      <w:r w:rsidRPr="001E4C1B">
        <w:t>о</w:t>
      </w:r>
      <w:r w:rsidRPr="001E4C1B">
        <w:t>торый не поддержал предположение о том, что автор в случае возвращения в Мексику б</w:t>
      </w:r>
      <w:r w:rsidRPr="001E4C1B">
        <w:t>у</w:t>
      </w:r>
      <w:r w:rsidRPr="001E4C1B">
        <w:t>дет подвергаться значительному личному риску. В связи с этим государство-участник ссылается не решение Федерального суда от 18 февраля 2013</w:t>
      </w:r>
      <w:r>
        <w:t> </w:t>
      </w:r>
      <w:r w:rsidRPr="001E4C1B">
        <w:t>года, которым было отклонено ходатайство автора о приостановке процесса депо</w:t>
      </w:r>
      <w:r w:rsidRPr="001E4C1B">
        <w:t>р</w:t>
      </w:r>
      <w:r w:rsidRPr="001E4C1B">
        <w:t>тации. При этом указывается на то, что автору после слушания ее устного з</w:t>
      </w:r>
      <w:r w:rsidRPr="001E4C1B">
        <w:t>а</w:t>
      </w:r>
      <w:r w:rsidRPr="001E4C1B">
        <w:t>явления была предоставлена возможность привести дополнительные доказ</w:t>
      </w:r>
      <w:r w:rsidRPr="001E4C1B">
        <w:t>а</w:t>
      </w:r>
      <w:r w:rsidRPr="001E4C1B">
        <w:t>тельства, с тем чтобы опровергнуть факт наличия альтернативы поиска уб</w:t>
      </w:r>
      <w:r w:rsidRPr="001E4C1B">
        <w:t>е</w:t>
      </w:r>
      <w:r w:rsidRPr="001E4C1B">
        <w:t>жища внутри страны. Сотрудник по вопросам оценки рисков до высылки тщ</w:t>
      </w:r>
      <w:r w:rsidRPr="001E4C1B">
        <w:t>а</w:t>
      </w:r>
      <w:r w:rsidRPr="001E4C1B">
        <w:t>тельно проанализировал доказательства, но в конечном счете пришел к выводу о том, что автор располагала возможностью использования альтернативы пои</w:t>
      </w:r>
      <w:r w:rsidRPr="001E4C1B">
        <w:t>с</w:t>
      </w:r>
      <w:r w:rsidRPr="001E4C1B">
        <w:t>ка убежища внутри страны и что представленные дополнительные доказател</w:t>
      </w:r>
      <w:r w:rsidRPr="001E4C1B">
        <w:t>ь</w:t>
      </w:r>
      <w:r w:rsidRPr="001E4C1B">
        <w:t xml:space="preserve">ства не опровергают этот вывод. Государство-участник далее отмечает, что </w:t>
      </w:r>
      <w:r>
        <w:t>С</w:t>
      </w:r>
      <w:r w:rsidRPr="001E4C1B">
        <w:t>у</w:t>
      </w:r>
      <w:r w:rsidRPr="001E4C1B">
        <w:t>дом еще не принято решение по поводу ходатайства автора о разрешении пер</w:t>
      </w:r>
      <w:r w:rsidRPr="001E4C1B">
        <w:t>е</w:t>
      </w:r>
      <w:r w:rsidRPr="001E4C1B">
        <w:t>смотра этого решения в судебном порядке и что ее ходатайство не влечет за с</w:t>
      </w:r>
      <w:r w:rsidRPr="001E4C1B">
        <w:t>о</w:t>
      </w:r>
      <w:r w:rsidRPr="001E4C1B">
        <w:t>бой автоматическую отсрочку ее высылки из страны в соответстви</w:t>
      </w:r>
      <w:r>
        <w:t>и</w:t>
      </w:r>
      <w:r w:rsidRPr="001E4C1B">
        <w:t xml:space="preserve"> с действ</w:t>
      </w:r>
      <w:r w:rsidRPr="001E4C1B">
        <w:t>у</w:t>
      </w:r>
      <w:r w:rsidRPr="001E4C1B">
        <w:t xml:space="preserve">ющим </w:t>
      </w:r>
      <w:r>
        <w:t>распоряжением</w:t>
      </w:r>
      <w:r w:rsidRPr="00AD11F7">
        <w:rPr>
          <w:rStyle w:val="FootnoteReference"/>
          <w:kern w:val="0"/>
        </w:rPr>
        <w:footnoteReference w:id="5"/>
      </w:r>
      <w:r w:rsidRPr="001E4C1B">
        <w:t>.</w:t>
      </w:r>
    </w:p>
    <w:p w:rsidR="00130086" w:rsidRPr="001E4C1B" w:rsidRDefault="00130086" w:rsidP="00A53EA8">
      <w:pPr>
        <w:pStyle w:val="SingleTxt"/>
      </w:pPr>
      <w:r w:rsidRPr="001E4C1B">
        <w:t>4.6</w:t>
      </w:r>
      <w:r w:rsidRPr="001E4C1B">
        <w:tab/>
        <w:t>Что касается вопроса об исчерпании внутренних средств правовой защ</w:t>
      </w:r>
      <w:r w:rsidRPr="001E4C1B">
        <w:t>и</w:t>
      </w:r>
      <w:r w:rsidRPr="001E4C1B">
        <w:t>ты, то государство-участник отмечает, что автор подавала ходатайство о пред</w:t>
      </w:r>
      <w:r w:rsidRPr="001E4C1B">
        <w:t>о</w:t>
      </w:r>
      <w:r w:rsidRPr="001E4C1B">
        <w:t>ставлении ей постоянного вида на жительство по соображениям гуманности и сострадания в феврале 2000 года, однако она не подала повторного ход</w:t>
      </w:r>
      <w:r w:rsidRPr="001E4C1B">
        <w:t>а</w:t>
      </w:r>
      <w:r w:rsidRPr="001E4C1B">
        <w:t>тайства после ее прибытия в Канаду в 2009 году при отсутствии каких</w:t>
      </w:r>
      <w:r>
        <w:t>-</w:t>
      </w:r>
      <w:r w:rsidRPr="001E4C1B">
        <w:t>либо правовых препятствий для направления еще одного ходатайства с учетом новых факт</w:t>
      </w:r>
      <w:r w:rsidRPr="001E4C1B">
        <w:t>и</w:t>
      </w:r>
      <w:r w:rsidRPr="001E4C1B">
        <w:t>ческих обстоятельств. Государство-участник объясняет, что после внесения з</w:t>
      </w:r>
      <w:r w:rsidRPr="001E4C1B">
        <w:t>а</w:t>
      </w:r>
      <w:r w:rsidRPr="001E4C1B">
        <w:t>конодательных изменений в систему предоставления статуса беженца в 2010</w:t>
      </w:r>
      <w:r>
        <w:t> </w:t>
      </w:r>
      <w:r w:rsidRPr="001E4C1B">
        <w:t>году ходатайства, основанные на соображениях гуманности и сострад</w:t>
      </w:r>
      <w:r w:rsidRPr="001E4C1B">
        <w:t>а</w:t>
      </w:r>
      <w:r w:rsidRPr="001E4C1B">
        <w:t>ния, базируются уже не на оценке рисков, а оценке трудностей, с которыми з</w:t>
      </w:r>
      <w:r w:rsidRPr="001E4C1B">
        <w:t>а</w:t>
      </w:r>
      <w:r w:rsidRPr="001E4C1B">
        <w:t>явитель может столкнуться в стране своего происхождения</w:t>
      </w:r>
      <w:r w:rsidRPr="00AD11F7">
        <w:rPr>
          <w:rStyle w:val="FootnoteReference"/>
          <w:kern w:val="0"/>
        </w:rPr>
        <w:footnoteReference w:id="6"/>
      </w:r>
      <w:r w:rsidRPr="001E4C1B">
        <w:t>. Исходя из этого государство-участник утверждает, что, несмотря на то</w:t>
      </w:r>
      <w:r>
        <w:t>,</w:t>
      </w:r>
      <w:r w:rsidRPr="001E4C1B">
        <w:t xml:space="preserve"> что предстоящее ра</w:t>
      </w:r>
      <w:r w:rsidRPr="001E4C1B">
        <w:t>с</w:t>
      </w:r>
      <w:r w:rsidRPr="001E4C1B">
        <w:t>смотрение ходатайства на основании соображений гуманности и сострадания не сможет предотвратить ее выдворения из страны, автор располагала допо</w:t>
      </w:r>
      <w:r w:rsidRPr="001E4C1B">
        <w:t>л</w:t>
      </w:r>
      <w:r w:rsidRPr="001E4C1B">
        <w:t>нительными внутренними средствами правовой защиты, которыми она не во</w:t>
      </w:r>
      <w:r w:rsidRPr="001E4C1B">
        <w:t>с</w:t>
      </w:r>
      <w:r w:rsidRPr="001E4C1B">
        <w:t xml:space="preserve">пользовалась. </w:t>
      </w:r>
    </w:p>
    <w:p w:rsidR="00130086" w:rsidRPr="001E4C1B" w:rsidRDefault="00130086" w:rsidP="00A53EA8">
      <w:pPr>
        <w:pStyle w:val="SingleTxt"/>
        <w:rPr>
          <w:rFonts w:eastAsia="Arial Unicode MS"/>
        </w:rPr>
      </w:pPr>
      <w:r w:rsidRPr="001E4C1B">
        <w:t>4.7</w:t>
      </w:r>
      <w:r w:rsidRPr="001E4C1B">
        <w:tab/>
        <w:t>Помимо этого, по мнению государства-участника, Конвенция не соде</w:t>
      </w:r>
      <w:r w:rsidRPr="001E4C1B">
        <w:t>р</w:t>
      </w:r>
      <w:r w:rsidRPr="001E4C1B">
        <w:t>жит подразумеваемого обязательства о невысылке, в отличие от положений статьи 3 Конвенции против пыток и других жестоких, бесчеловечных или унижающих достоинство видов обращения и наказания или статей 6 и 7 Международного пакта о гражданских и политических правах. В связи с этим статьи 1–3 Ко</w:t>
      </w:r>
      <w:r w:rsidRPr="001E4C1B">
        <w:t>н</w:t>
      </w:r>
      <w:r w:rsidRPr="001E4C1B">
        <w:t>венции о ликвидации всех форм дискриминации в отношении женщин не предусматривают гарантий невозвращения в страну, в которой существует опасность того, что физическое лицо подвергнется гендерному насилию. Гос</w:t>
      </w:r>
      <w:r w:rsidRPr="001E4C1B">
        <w:t>у</w:t>
      </w:r>
      <w:r w:rsidRPr="001E4C1B">
        <w:t>дарство-участник ставит под сомнение тот факт, что Комитет когда-либо исх</w:t>
      </w:r>
      <w:r w:rsidRPr="001E4C1B">
        <w:t>о</w:t>
      </w:r>
      <w:r w:rsidRPr="001E4C1B">
        <w:t xml:space="preserve">дил из такого рода соображений в рамках своей </w:t>
      </w:r>
      <w:r>
        <w:t xml:space="preserve">предыдущей </w:t>
      </w:r>
      <w:r w:rsidRPr="001E4C1B">
        <w:t>правовой практ</w:t>
      </w:r>
      <w:r w:rsidRPr="001E4C1B">
        <w:t>и</w:t>
      </w:r>
      <w:r w:rsidRPr="001E4C1B">
        <w:t xml:space="preserve">ки, включая дело </w:t>
      </w:r>
      <w:r w:rsidRPr="00C24AAD">
        <w:rPr>
          <w:i/>
        </w:rPr>
        <w:t>Н.С.Ф. против Соединенного Королевства Великобритании и Северной Ирландии</w:t>
      </w:r>
      <w:r w:rsidRPr="001E4C1B">
        <w:t xml:space="preserve">, при рассмотрении которого Комитет посчитал сообщение неприемлемым в связи с неисчерпанием внутренних средств правовой защиты и не высказал своего мнения в отношении того, предусмотрен ли принцип </w:t>
      </w:r>
      <w:r>
        <w:rPr>
          <w:iCs/>
        </w:rPr>
        <w:t>н</w:t>
      </w:r>
      <w:r>
        <w:rPr>
          <w:iCs/>
        </w:rPr>
        <w:t>е</w:t>
      </w:r>
      <w:r>
        <w:rPr>
          <w:iCs/>
        </w:rPr>
        <w:t>допущения принудительной высылки</w:t>
      </w:r>
      <w:r w:rsidRPr="001E4C1B">
        <w:t xml:space="preserve"> положениями Конвенции. Гос</w:t>
      </w:r>
      <w:r w:rsidRPr="001E4C1B">
        <w:t>у</w:t>
      </w:r>
      <w:r w:rsidRPr="001E4C1B">
        <w:t>дарство-участник также утверждает, что добросовестное толкование обычного смысла текста Конвенции с учетом ее целей и задач не позволяет предполагать по</w:t>
      </w:r>
      <w:r w:rsidRPr="001E4C1B">
        <w:t>д</w:t>
      </w:r>
      <w:r w:rsidRPr="001E4C1B">
        <w:t>держку такого рода подразумеваемого обязательства, и ссылается на подгот</w:t>
      </w:r>
      <w:r w:rsidRPr="001E4C1B">
        <w:t>о</w:t>
      </w:r>
      <w:r w:rsidRPr="001E4C1B">
        <w:t>вительные материалы, предполагая, что д</w:t>
      </w:r>
      <w:r w:rsidRPr="001E4C1B">
        <w:t>о</w:t>
      </w:r>
      <w:r w:rsidRPr="001E4C1B">
        <w:t>говаривающиеся стороны никогда не рассматривали это обязательство и не намеревались включать такого рода об</w:t>
      </w:r>
      <w:r w:rsidRPr="001E4C1B">
        <w:t>я</w:t>
      </w:r>
      <w:r w:rsidRPr="001E4C1B">
        <w:t>зательство в Конвенцию. Государство-участник утверждает, что Комитет, исх</w:t>
      </w:r>
      <w:r w:rsidRPr="001E4C1B">
        <w:t>о</w:t>
      </w:r>
      <w:r w:rsidRPr="001E4C1B">
        <w:t>дя из вышеизложенного, не должен стремиться к расширению толкования Ко</w:t>
      </w:r>
      <w:r w:rsidRPr="001E4C1B">
        <w:t>н</w:t>
      </w:r>
      <w:r w:rsidRPr="001E4C1B">
        <w:t>венции в целях включения в ее положения гарантий невысылки</w:t>
      </w:r>
      <w:r w:rsidRPr="001E4C1B">
        <w:rPr>
          <w:rFonts w:eastAsia="Arial Unicode MS"/>
        </w:rPr>
        <w:t>.</w:t>
      </w:r>
    </w:p>
    <w:p w:rsidR="00130086" w:rsidRPr="001E4C1B" w:rsidRDefault="00130086" w:rsidP="00A53EA8">
      <w:pPr>
        <w:pStyle w:val="SingleTxt"/>
      </w:pPr>
      <w:r w:rsidRPr="001E4C1B">
        <w:t>4.8</w:t>
      </w:r>
      <w:r w:rsidRPr="001E4C1B">
        <w:tab/>
        <w:t>Государство-участник далее напоминает, что определение условий въе</w:t>
      </w:r>
      <w:r w:rsidRPr="001E4C1B">
        <w:t>з</w:t>
      </w:r>
      <w:r w:rsidRPr="001E4C1B">
        <w:t>да и пребывания иностранцев на своей территории относится к категории сув</w:t>
      </w:r>
      <w:r w:rsidRPr="001E4C1B">
        <w:t>е</w:t>
      </w:r>
      <w:r w:rsidRPr="001E4C1B">
        <w:t>ренного права государств, включая определение методов их высылки, и что и</w:t>
      </w:r>
      <w:r w:rsidRPr="001E4C1B">
        <w:t>с</w:t>
      </w:r>
      <w:r w:rsidRPr="001E4C1B">
        <w:t>ключениями могут быть лишь случаи наиболее серьезных нарушений основ</w:t>
      </w:r>
      <w:r w:rsidRPr="001E4C1B">
        <w:t>о</w:t>
      </w:r>
      <w:r w:rsidRPr="001E4C1B">
        <w:t>полагающих прав, такие как случаи нанесения серьезного и непоправимого ущерба высылаемому лицу. Государство-участник обращает внимание на то, что Комитет по правам человека проявляет осторожный подход к вопросам принятия государствами-членами подразумеваемого обязательства в отнош</w:t>
      </w:r>
      <w:r w:rsidRPr="001E4C1B">
        <w:t>е</w:t>
      </w:r>
      <w:r w:rsidRPr="001E4C1B">
        <w:t>нии невозвращения физических лиц и что Комитет должен применять анал</w:t>
      </w:r>
      <w:r w:rsidRPr="001E4C1B">
        <w:t>о</w:t>
      </w:r>
      <w:r w:rsidRPr="001E4C1B">
        <w:t>гичный осторожный подход. Государство-участник у</w:t>
      </w:r>
      <w:r w:rsidRPr="001E4C1B">
        <w:t>т</w:t>
      </w:r>
      <w:r w:rsidRPr="001E4C1B">
        <w:t>верждает, что сообщение автора является в связи с этим несовместимым с положениями Конвенции.</w:t>
      </w:r>
    </w:p>
    <w:p w:rsidR="00130086" w:rsidRPr="001E4C1B" w:rsidRDefault="00130086" w:rsidP="00A53EA8">
      <w:pPr>
        <w:pStyle w:val="SingleTxt"/>
        <w:rPr>
          <w:rFonts w:eastAsia="MS Mincho"/>
          <w:lang w:eastAsia="ja-JP"/>
        </w:rPr>
      </w:pPr>
      <w:r w:rsidRPr="001E4C1B">
        <w:rPr>
          <w:rFonts w:eastAsia="MS Mincho"/>
          <w:lang w:eastAsia="ja-JP"/>
        </w:rPr>
        <w:t>4.9</w:t>
      </w:r>
      <w:r w:rsidRPr="001E4C1B">
        <w:rPr>
          <w:rFonts w:eastAsia="MS Mincho"/>
          <w:lang w:eastAsia="ja-JP"/>
        </w:rPr>
        <w:tab/>
        <w:t>Государство-участник добавляет, что сообщение автора основывается главным образом на ее несогласии с оценками и выводами, сделанными с</w:t>
      </w:r>
      <w:r w:rsidRPr="001E4C1B">
        <w:rPr>
          <w:rFonts w:eastAsia="MS Mincho"/>
          <w:lang w:eastAsia="ja-JP"/>
        </w:rPr>
        <w:t>о</w:t>
      </w:r>
      <w:r w:rsidRPr="001E4C1B">
        <w:rPr>
          <w:rFonts w:eastAsia="MS Mincho"/>
          <w:lang w:eastAsia="ja-JP"/>
        </w:rPr>
        <w:t>трудником по проведению оценки рисков до высылки при отклонении ее ход</w:t>
      </w:r>
      <w:r w:rsidRPr="001E4C1B">
        <w:rPr>
          <w:rFonts w:eastAsia="MS Mincho"/>
          <w:lang w:eastAsia="ja-JP"/>
        </w:rPr>
        <w:t>а</w:t>
      </w:r>
      <w:r w:rsidRPr="001E4C1B">
        <w:rPr>
          <w:rFonts w:eastAsia="MS Mincho"/>
          <w:lang w:eastAsia="ja-JP"/>
        </w:rPr>
        <w:t>тайства, в частности в отношении существования альтернативы поиска убеж</w:t>
      </w:r>
      <w:r w:rsidRPr="001E4C1B">
        <w:rPr>
          <w:rFonts w:eastAsia="MS Mincho"/>
          <w:lang w:eastAsia="ja-JP"/>
        </w:rPr>
        <w:t>и</w:t>
      </w:r>
      <w:r w:rsidRPr="001E4C1B">
        <w:rPr>
          <w:rFonts w:eastAsia="MS Mincho"/>
          <w:lang w:eastAsia="ja-JP"/>
        </w:rPr>
        <w:t>ща внутри страны. Государство-участник считает, что выражение лишь такого рода несогласия является недостаточным для подтверждения автором ее утверждений о нарушении положений статей 1</w:t>
      </w:r>
      <w:r>
        <w:rPr>
          <w:rFonts w:eastAsia="MS Mincho"/>
          <w:lang w:eastAsia="ja-JP"/>
        </w:rPr>
        <w:t>–</w:t>
      </w:r>
      <w:r w:rsidRPr="001E4C1B">
        <w:rPr>
          <w:rFonts w:eastAsia="MS Mincho"/>
          <w:lang w:eastAsia="ja-JP"/>
        </w:rPr>
        <w:t>3 Конвенции. Г</w:t>
      </w:r>
      <w:r w:rsidRPr="001E4C1B">
        <w:rPr>
          <w:rFonts w:eastAsia="MS Mincho"/>
          <w:lang w:eastAsia="ja-JP"/>
        </w:rPr>
        <w:t>о</w:t>
      </w:r>
      <w:r w:rsidRPr="001E4C1B">
        <w:rPr>
          <w:rFonts w:eastAsia="MS Mincho"/>
          <w:lang w:eastAsia="ja-JP"/>
        </w:rPr>
        <w:t>сударство-участник напоминает, что в задачи Комитета не входит проведение переоценки фактов и доказательств, за исключением случаев, когда несомненным пре</w:t>
      </w:r>
      <w:r w:rsidRPr="001E4C1B">
        <w:rPr>
          <w:rFonts w:eastAsia="MS Mincho"/>
          <w:lang w:eastAsia="ja-JP"/>
        </w:rPr>
        <w:t>д</w:t>
      </w:r>
      <w:r w:rsidRPr="001E4C1B">
        <w:rPr>
          <w:rFonts w:eastAsia="MS Mincho"/>
          <w:lang w:eastAsia="ja-JP"/>
        </w:rPr>
        <w:t xml:space="preserve">ставляется то, что проведенная национальными </w:t>
      </w:r>
      <w:r>
        <w:rPr>
          <w:rFonts w:eastAsia="MS Mincho"/>
          <w:lang w:eastAsia="ja-JP"/>
        </w:rPr>
        <w:t xml:space="preserve">органами </w:t>
      </w:r>
      <w:r w:rsidRPr="001E4C1B">
        <w:rPr>
          <w:rFonts w:eastAsia="MS Mincho"/>
          <w:lang w:eastAsia="ja-JP"/>
        </w:rPr>
        <w:t>власти оценка нос</w:t>
      </w:r>
      <w:r w:rsidRPr="001E4C1B">
        <w:rPr>
          <w:rFonts w:eastAsia="MS Mincho"/>
          <w:lang w:eastAsia="ja-JP"/>
        </w:rPr>
        <w:t>и</w:t>
      </w:r>
      <w:r w:rsidRPr="001E4C1B">
        <w:rPr>
          <w:rFonts w:eastAsia="MS Mincho"/>
          <w:lang w:eastAsia="ja-JP"/>
        </w:rPr>
        <w:t>ла произвольный характер или была равносильна отказу в правосудии. Пре</w:t>
      </w:r>
      <w:r w:rsidRPr="001E4C1B">
        <w:rPr>
          <w:rFonts w:eastAsia="MS Mincho"/>
          <w:lang w:eastAsia="ja-JP"/>
        </w:rPr>
        <w:t>д</w:t>
      </w:r>
      <w:r w:rsidRPr="001E4C1B">
        <w:rPr>
          <w:rFonts w:eastAsia="MS Mincho"/>
          <w:lang w:eastAsia="ja-JP"/>
        </w:rPr>
        <w:t>ставленные автором аргументы и документы не могут служить обоснованием вывода о том, что принятым на национальном уровне решениям присущи к</w:t>
      </w:r>
      <w:r w:rsidRPr="001E4C1B">
        <w:rPr>
          <w:rFonts w:eastAsia="MS Mincho"/>
          <w:lang w:eastAsia="ja-JP"/>
        </w:rPr>
        <w:t>а</w:t>
      </w:r>
      <w:r w:rsidRPr="001E4C1B">
        <w:rPr>
          <w:rFonts w:eastAsia="MS Mincho"/>
          <w:lang w:eastAsia="ja-JP"/>
        </w:rPr>
        <w:t>кие-либо недостатки такого рода. Государство-участник отмечает далее, что доклады органов по правам человека, свид</w:t>
      </w:r>
      <w:r w:rsidRPr="001E4C1B">
        <w:rPr>
          <w:rFonts w:eastAsia="MS Mincho"/>
          <w:lang w:eastAsia="ja-JP"/>
        </w:rPr>
        <w:t>е</w:t>
      </w:r>
      <w:r w:rsidRPr="001E4C1B">
        <w:rPr>
          <w:rFonts w:eastAsia="MS Mincho"/>
          <w:lang w:eastAsia="ja-JP"/>
        </w:rPr>
        <w:t>тельствующие о массовом насилии в Мексике, на которые ссылается автор в своем сообщении, были предоставл</w:t>
      </w:r>
      <w:r w:rsidRPr="001E4C1B">
        <w:rPr>
          <w:rFonts w:eastAsia="MS Mincho"/>
          <w:lang w:eastAsia="ja-JP"/>
        </w:rPr>
        <w:t>е</w:t>
      </w:r>
      <w:r w:rsidRPr="001E4C1B">
        <w:rPr>
          <w:rFonts w:eastAsia="MS Mincho"/>
          <w:lang w:eastAsia="ja-JP"/>
        </w:rPr>
        <w:t>ны сотруднику по проведению оценки рисков до</w:t>
      </w:r>
      <w:r>
        <w:rPr>
          <w:rFonts w:eastAsia="MS Mincho"/>
          <w:lang w:eastAsia="ja-JP"/>
        </w:rPr>
        <w:t> </w:t>
      </w:r>
      <w:r w:rsidRPr="001E4C1B">
        <w:rPr>
          <w:rFonts w:eastAsia="MS Mincho"/>
          <w:lang w:eastAsia="ja-JP"/>
        </w:rPr>
        <w:t>высылки и были должным о</w:t>
      </w:r>
      <w:r w:rsidRPr="001E4C1B">
        <w:rPr>
          <w:rFonts w:eastAsia="MS Mincho"/>
          <w:lang w:eastAsia="ja-JP"/>
        </w:rPr>
        <w:t>б</w:t>
      </w:r>
      <w:r w:rsidRPr="001E4C1B">
        <w:rPr>
          <w:rFonts w:eastAsia="MS Mincho"/>
          <w:lang w:eastAsia="ja-JP"/>
        </w:rPr>
        <w:t xml:space="preserve">разом им проанализированы. </w:t>
      </w:r>
    </w:p>
    <w:p w:rsidR="00130086" w:rsidRPr="001E4C1B" w:rsidRDefault="00130086" w:rsidP="00A53EA8">
      <w:pPr>
        <w:pStyle w:val="SingleTxt"/>
        <w:rPr>
          <w:rFonts w:eastAsia="MS Mincho"/>
          <w:lang w:eastAsia="ja-JP"/>
        </w:rPr>
      </w:pPr>
      <w:r w:rsidRPr="001E4C1B">
        <w:rPr>
          <w:rFonts w:eastAsia="MS Mincho"/>
          <w:lang w:eastAsia="ja-JP"/>
        </w:rPr>
        <w:t>4.10</w:t>
      </w:r>
      <w:r w:rsidRPr="001E4C1B">
        <w:rPr>
          <w:rFonts w:eastAsia="MS Mincho"/>
          <w:lang w:eastAsia="ja-JP"/>
        </w:rPr>
        <w:tab/>
        <w:t>Государство-участник утверждает, что автор не предоставила достато</w:t>
      </w:r>
      <w:r w:rsidRPr="001E4C1B">
        <w:rPr>
          <w:rFonts w:eastAsia="MS Mincho"/>
          <w:lang w:eastAsia="ja-JP"/>
        </w:rPr>
        <w:t>ч</w:t>
      </w:r>
      <w:r w:rsidRPr="001E4C1B">
        <w:rPr>
          <w:rFonts w:eastAsia="MS Mincho"/>
          <w:lang w:eastAsia="ja-JP"/>
        </w:rPr>
        <w:t xml:space="preserve">ных доказательств для обоснования того, что опасность насилия в семье после возвращения повышается до уровня риска преследования или опасности для жизни или риска пыток или жестокого или </w:t>
      </w:r>
      <w:r>
        <w:rPr>
          <w:rFonts w:eastAsia="MS Mincho"/>
          <w:lang w:eastAsia="ja-JP"/>
        </w:rPr>
        <w:t>не отвечающего установленным нормам</w:t>
      </w:r>
      <w:r w:rsidRPr="001E4C1B">
        <w:rPr>
          <w:rFonts w:eastAsia="MS Mincho"/>
          <w:lang w:eastAsia="ja-JP"/>
        </w:rPr>
        <w:t xml:space="preserve"> обращения или наказания и что Мексика не пожелает или будет несп</w:t>
      </w:r>
      <w:r w:rsidRPr="001E4C1B">
        <w:rPr>
          <w:rFonts w:eastAsia="MS Mincho"/>
          <w:lang w:eastAsia="ja-JP"/>
        </w:rPr>
        <w:t>о</w:t>
      </w:r>
      <w:r w:rsidRPr="001E4C1B">
        <w:rPr>
          <w:rFonts w:eastAsia="MS Mincho"/>
          <w:lang w:eastAsia="ja-JP"/>
        </w:rPr>
        <w:t>собна защитить ее перед лицом такого рода угроз. Государство-участник также у</w:t>
      </w:r>
      <w:r w:rsidRPr="001E4C1B">
        <w:rPr>
          <w:rFonts w:eastAsia="MS Mincho"/>
          <w:lang w:eastAsia="ja-JP"/>
        </w:rPr>
        <w:t>т</w:t>
      </w:r>
      <w:r w:rsidRPr="001E4C1B">
        <w:rPr>
          <w:rFonts w:eastAsia="MS Mincho"/>
          <w:lang w:eastAsia="ja-JP"/>
        </w:rPr>
        <w:t>верждает, что автор не доказала, что в случае возникновения риска насилия в семье в штате Морелос она не сможет жить в безопасности в других районах Мексики и что лишения в результате перемены места жительства будут пре</w:t>
      </w:r>
      <w:r w:rsidRPr="001E4C1B">
        <w:rPr>
          <w:rFonts w:eastAsia="MS Mincho"/>
          <w:lang w:eastAsia="ja-JP"/>
        </w:rPr>
        <w:t>д</w:t>
      </w:r>
      <w:r w:rsidRPr="001E4C1B">
        <w:rPr>
          <w:rFonts w:eastAsia="MS Mincho"/>
          <w:lang w:eastAsia="ja-JP"/>
        </w:rPr>
        <w:t>ставлять собой нарушение прав человека, достаточно серьезное для обоснов</w:t>
      </w:r>
      <w:r w:rsidRPr="001E4C1B">
        <w:rPr>
          <w:rFonts w:eastAsia="MS Mincho"/>
          <w:lang w:eastAsia="ja-JP"/>
        </w:rPr>
        <w:t>а</w:t>
      </w:r>
      <w:r w:rsidRPr="001E4C1B">
        <w:rPr>
          <w:rFonts w:eastAsia="MS Mincho"/>
          <w:lang w:eastAsia="ja-JP"/>
        </w:rPr>
        <w:t>ния применения положений Конвенции в случае, если Комитет будет приде</w:t>
      </w:r>
      <w:r w:rsidRPr="001E4C1B">
        <w:rPr>
          <w:rFonts w:eastAsia="MS Mincho"/>
          <w:lang w:eastAsia="ja-JP"/>
        </w:rPr>
        <w:t>р</w:t>
      </w:r>
      <w:r w:rsidRPr="001E4C1B">
        <w:rPr>
          <w:rFonts w:eastAsia="MS Mincho"/>
          <w:lang w:eastAsia="ja-JP"/>
        </w:rPr>
        <w:t>живаться мнения о том, что Конвенция предусматривает обязательство о нев</w:t>
      </w:r>
      <w:r w:rsidRPr="001E4C1B">
        <w:rPr>
          <w:rFonts w:eastAsia="MS Mincho"/>
          <w:lang w:eastAsia="ja-JP"/>
        </w:rPr>
        <w:t>ы</w:t>
      </w:r>
      <w:r w:rsidRPr="001E4C1B">
        <w:rPr>
          <w:rFonts w:eastAsia="MS Mincho"/>
          <w:lang w:eastAsia="ja-JP"/>
        </w:rPr>
        <w:t>сылке</w:t>
      </w:r>
      <w:r w:rsidRPr="00AD11F7">
        <w:rPr>
          <w:rStyle w:val="FootnoteReference"/>
          <w:rFonts w:eastAsia="MS Mincho"/>
          <w:kern w:val="0"/>
          <w:lang w:eastAsia="ja-JP"/>
        </w:rPr>
        <w:footnoteReference w:id="7"/>
      </w:r>
      <w:r w:rsidRPr="001E4C1B">
        <w:rPr>
          <w:rFonts w:eastAsia="MS Mincho"/>
          <w:lang w:eastAsia="ja-JP"/>
        </w:rPr>
        <w:t xml:space="preserve">. Государство-участник полагает, что утверждения автора должны быть признаны неприемлемыми, поскольку они </w:t>
      </w:r>
      <w:r>
        <w:rPr>
          <w:rFonts w:eastAsia="MS Mincho"/>
          <w:lang w:eastAsia="ja-JP"/>
        </w:rPr>
        <w:t>явно</w:t>
      </w:r>
      <w:r w:rsidRPr="001E4C1B">
        <w:rPr>
          <w:rFonts w:eastAsia="MS Mincho"/>
          <w:lang w:eastAsia="ja-JP"/>
        </w:rPr>
        <w:t xml:space="preserve"> являются плохо аргументир</w:t>
      </w:r>
      <w:r w:rsidRPr="001E4C1B">
        <w:rPr>
          <w:rFonts w:eastAsia="MS Mincho"/>
          <w:lang w:eastAsia="ja-JP"/>
        </w:rPr>
        <w:t>о</w:t>
      </w:r>
      <w:r w:rsidRPr="001E4C1B">
        <w:rPr>
          <w:rFonts w:eastAsia="MS Mincho"/>
          <w:lang w:eastAsia="ja-JP"/>
        </w:rPr>
        <w:t>ванными и недостаточно обо</w:t>
      </w:r>
      <w:r w:rsidRPr="001E4C1B">
        <w:rPr>
          <w:rFonts w:eastAsia="MS Mincho"/>
          <w:lang w:eastAsia="ja-JP"/>
        </w:rPr>
        <w:t>с</w:t>
      </w:r>
      <w:r w:rsidRPr="001E4C1B">
        <w:rPr>
          <w:rFonts w:eastAsia="MS Mincho"/>
          <w:lang w:eastAsia="ja-JP"/>
        </w:rPr>
        <w:t>нованными.</w:t>
      </w:r>
    </w:p>
    <w:p w:rsidR="00130086" w:rsidRDefault="00130086" w:rsidP="00A53EA8">
      <w:pPr>
        <w:pStyle w:val="SingleTxt"/>
        <w:rPr>
          <w:rFonts w:eastAsia="MS Mincho"/>
          <w:lang w:eastAsia="ja-JP"/>
        </w:rPr>
      </w:pPr>
      <w:r w:rsidRPr="001E4C1B">
        <w:rPr>
          <w:rFonts w:eastAsia="MS Mincho"/>
          <w:lang w:eastAsia="ja-JP"/>
        </w:rPr>
        <w:t>4.11</w:t>
      </w:r>
      <w:r w:rsidRPr="001E4C1B">
        <w:rPr>
          <w:rFonts w:eastAsia="MS Mincho"/>
          <w:lang w:eastAsia="ja-JP"/>
        </w:rPr>
        <w:tab/>
        <w:t>Государство-участник отмечает, что нарушения, о которых утверждает а</w:t>
      </w:r>
      <w:r w:rsidRPr="001E4C1B">
        <w:rPr>
          <w:rFonts w:eastAsia="MS Mincho"/>
          <w:lang w:eastAsia="ja-JP"/>
        </w:rPr>
        <w:t>в</w:t>
      </w:r>
      <w:r w:rsidRPr="001E4C1B">
        <w:rPr>
          <w:rFonts w:eastAsia="MS Mincho"/>
          <w:lang w:eastAsia="ja-JP"/>
        </w:rPr>
        <w:t>тор, также, судя по всему, имеют отношение к дискриминирующему обращ</w:t>
      </w:r>
      <w:r w:rsidRPr="001E4C1B">
        <w:rPr>
          <w:rFonts w:eastAsia="MS Mincho"/>
          <w:lang w:eastAsia="ja-JP"/>
        </w:rPr>
        <w:t>е</w:t>
      </w:r>
      <w:r w:rsidRPr="001E4C1B">
        <w:rPr>
          <w:rFonts w:eastAsia="MS Mincho"/>
          <w:lang w:eastAsia="ja-JP"/>
        </w:rPr>
        <w:t>нию государства-участника с женщинами-беженцами, заявляющими о генде</w:t>
      </w:r>
      <w:r w:rsidRPr="001E4C1B">
        <w:rPr>
          <w:rFonts w:eastAsia="MS Mincho"/>
          <w:lang w:eastAsia="ja-JP"/>
        </w:rPr>
        <w:t>р</w:t>
      </w:r>
      <w:r w:rsidRPr="001E4C1B">
        <w:rPr>
          <w:rFonts w:eastAsia="MS Mincho"/>
          <w:lang w:eastAsia="ja-JP"/>
        </w:rPr>
        <w:t>ном насилии. В этой связи государство-участник заявляет об отсутствии с его стороны дискриминации в отношении женщин, которые обращаются с жал</w:t>
      </w:r>
      <w:r w:rsidRPr="001E4C1B">
        <w:rPr>
          <w:rFonts w:eastAsia="MS Mincho"/>
          <w:lang w:eastAsia="ja-JP"/>
        </w:rPr>
        <w:t>о</w:t>
      </w:r>
      <w:r w:rsidRPr="001E4C1B">
        <w:rPr>
          <w:rFonts w:eastAsia="MS Mincho"/>
          <w:lang w:eastAsia="ja-JP"/>
        </w:rPr>
        <w:t>бами в связи с гендерным насилием, и отклоняет как безосновательные все предположения автора о систематической дискриминации женщин в рамках иммиграционной системы страны. Далее государство-участник утверждает, что автор не представила ни одного доказательства в обоснование такого рода з</w:t>
      </w:r>
      <w:r w:rsidRPr="001E4C1B">
        <w:rPr>
          <w:rFonts w:eastAsia="MS Mincho"/>
          <w:lang w:eastAsia="ja-JP"/>
        </w:rPr>
        <w:t>а</w:t>
      </w:r>
      <w:r w:rsidRPr="001E4C1B">
        <w:rPr>
          <w:rFonts w:eastAsia="MS Mincho"/>
          <w:lang w:eastAsia="ja-JP"/>
        </w:rPr>
        <w:t>явления. Автор также не смогла доказать, что отсутствие реального риска насилия в семье благодаря ре</w:t>
      </w:r>
      <w:r w:rsidRPr="001E4C1B">
        <w:rPr>
          <w:rFonts w:eastAsia="MS Mincho"/>
          <w:lang w:eastAsia="ja-JP"/>
        </w:rPr>
        <w:t>а</w:t>
      </w:r>
      <w:r w:rsidRPr="001E4C1B">
        <w:rPr>
          <w:rFonts w:eastAsia="MS Mincho"/>
          <w:lang w:eastAsia="ja-JP"/>
        </w:rPr>
        <w:t>лизации инициативы по поиску убежища внутри страны каким-либо образом является результатом систематической дискрим</w:t>
      </w:r>
      <w:r w:rsidRPr="001E4C1B">
        <w:rPr>
          <w:rFonts w:eastAsia="MS Mincho"/>
          <w:lang w:eastAsia="ja-JP"/>
        </w:rPr>
        <w:t>и</w:t>
      </w:r>
      <w:r w:rsidRPr="001E4C1B">
        <w:rPr>
          <w:rFonts w:eastAsia="MS Mincho"/>
          <w:lang w:eastAsia="ja-JP"/>
        </w:rPr>
        <w:t>нации или дискриминации в конкретных случаях со стороны властей. Госуда</w:t>
      </w:r>
      <w:r w:rsidRPr="001E4C1B">
        <w:rPr>
          <w:rFonts w:eastAsia="MS Mincho"/>
          <w:lang w:eastAsia="ja-JP"/>
        </w:rPr>
        <w:t>р</w:t>
      </w:r>
      <w:r w:rsidRPr="001E4C1B">
        <w:rPr>
          <w:rFonts w:eastAsia="MS Mincho"/>
          <w:lang w:eastAsia="ja-JP"/>
        </w:rPr>
        <w:t>ство-участник считает, что, напротив, надлежащие законы, политические пр</w:t>
      </w:r>
      <w:r w:rsidRPr="001E4C1B">
        <w:rPr>
          <w:rFonts w:eastAsia="MS Mincho"/>
          <w:lang w:eastAsia="ja-JP"/>
        </w:rPr>
        <w:t>о</w:t>
      </w:r>
      <w:r w:rsidRPr="001E4C1B">
        <w:rPr>
          <w:rFonts w:eastAsia="MS Mincho"/>
          <w:lang w:eastAsia="ja-JP"/>
        </w:rPr>
        <w:t xml:space="preserve">граммы и практические методы строго соблюдались в деле автора, благодаря чему к </w:t>
      </w:r>
      <w:r w:rsidRPr="001E4C1B">
        <w:rPr>
          <w:rFonts w:eastAsia="MS Mincho"/>
        </w:rPr>
        <w:t>автору</w:t>
      </w:r>
      <w:r w:rsidRPr="001E4C1B">
        <w:rPr>
          <w:rFonts w:eastAsia="MS Mincho"/>
          <w:lang w:eastAsia="ja-JP"/>
        </w:rPr>
        <w:t xml:space="preserve"> относились объективно, справедливо и без какой-либо дискр</w:t>
      </w:r>
      <w:r w:rsidRPr="001E4C1B">
        <w:rPr>
          <w:rFonts w:eastAsia="MS Mincho"/>
          <w:lang w:eastAsia="ja-JP"/>
        </w:rPr>
        <w:t>и</w:t>
      </w:r>
      <w:r w:rsidRPr="001E4C1B">
        <w:rPr>
          <w:rFonts w:eastAsia="MS Mincho"/>
          <w:lang w:eastAsia="ja-JP"/>
        </w:rPr>
        <w:t>минации. Государство-участник делает вывод о том, что сообщение автора, в части утверждений о дискриминации в рамках канадской иммиграционной с</w:t>
      </w:r>
      <w:r w:rsidRPr="001E4C1B">
        <w:rPr>
          <w:rFonts w:eastAsia="MS Mincho"/>
          <w:lang w:eastAsia="ja-JP"/>
        </w:rPr>
        <w:t>и</w:t>
      </w:r>
      <w:r w:rsidRPr="001E4C1B">
        <w:rPr>
          <w:rFonts w:eastAsia="MS Mincho"/>
          <w:lang w:eastAsia="ja-JP"/>
        </w:rPr>
        <w:t>стемы, является неприемлемым в соответствии с</w:t>
      </w:r>
      <w:r>
        <w:rPr>
          <w:rFonts w:eastAsia="MS Mincho"/>
          <w:lang w:eastAsia="ja-JP"/>
        </w:rPr>
        <w:t xml:space="preserve"> пунктом 1</w:t>
      </w:r>
      <w:r w:rsidRPr="001E4C1B">
        <w:rPr>
          <w:rFonts w:eastAsia="MS Mincho"/>
          <w:lang w:eastAsia="ja-JP"/>
        </w:rPr>
        <w:t xml:space="preserve"> стать</w:t>
      </w:r>
      <w:r>
        <w:rPr>
          <w:rFonts w:eastAsia="MS Mincho"/>
          <w:lang w:eastAsia="ja-JP"/>
        </w:rPr>
        <w:t>и</w:t>
      </w:r>
      <w:r w:rsidRPr="001E4C1B">
        <w:rPr>
          <w:rFonts w:eastAsia="MS Mincho"/>
          <w:lang w:eastAsia="ja-JP"/>
        </w:rPr>
        <w:t xml:space="preserve"> 4 Факульт</w:t>
      </w:r>
      <w:r w:rsidRPr="001E4C1B">
        <w:rPr>
          <w:rFonts w:eastAsia="MS Mincho"/>
          <w:lang w:eastAsia="ja-JP"/>
        </w:rPr>
        <w:t>а</w:t>
      </w:r>
      <w:r w:rsidRPr="001E4C1B">
        <w:rPr>
          <w:rFonts w:eastAsia="MS Mincho"/>
          <w:lang w:eastAsia="ja-JP"/>
        </w:rPr>
        <w:t>тивного протокола в связи с неисчерпанностью внутренних средств правовой защиты. Государство-участник также полагает, что этот аспект сообщения я</w:t>
      </w:r>
      <w:r w:rsidRPr="001E4C1B">
        <w:rPr>
          <w:rFonts w:eastAsia="MS Mincho"/>
          <w:lang w:eastAsia="ja-JP"/>
        </w:rPr>
        <w:t>в</w:t>
      </w:r>
      <w:r w:rsidRPr="001E4C1B">
        <w:rPr>
          <w:rFonts w:eastAsia="MS Mincho"/>
          <w:lang w:eastAsia="ja-JP"/>
        </w:rPr>
        <w:t xml:space="preserve">ляется неприемлемым, будучи </w:t>
      </w:r>
      <w:r>
        <w:rPr>
          <w:rFonts w:eastAsia="MS Mincho"/>
          <w:lang w:eastAsia="ja-JP"/>
        </w:rPr>
        <w:t>явно</w:t>
      </w:r>
      <w:r w:rsidRPr="001E4C1B">
        <w:rPr>
          <w:rFonts w:eastAsia="MS Mincho"/>
          <w:lang w:eastAsia="ja-JP"/>
        </w:rPr>
        <w:t xml:space="preserve"> плохо аргументированным или недост</w:t>
      </w:r>
      <w:r w:rsidRPr="001E4C1B">
        <w:rPr>
          <w:rFonts w:eastAsia="MS Mincho"/>
          <w:lang w:eastAsia="ja-JP"/>
        </w:rPr>
        <w:t>а</w:t>
      </w:r>
      <w:r w:rsidRPr="001E4C1B">
        <w:rPr>
          <w:rFonts w:eastAsia="MS Mincho"/>
          <w:lang w:eastAsia="ja-JP"/>
        </w:rPr>
        <w:t>точно обоснованным.</w:t>
      </w:r>
    </w:p>
    <w:p w:rsidR="00A53EA8" w:rsidRPr="00A53EA8" w:rsidRDefault="00A53EA8" w:rsidP="00A53EA8">
      <w:pPr>
        <w:pStyle w:val="SingleTxt"/>
        <w:spacing w:after="0" w:line="120" w:lineRule="exact"/>
        <w:rPr>
          <w:rFonts w:eastAsia="MS Mincho"/>
          <w:sz w:val="10"/>
          <w:lang w:eastAsia="ja-JP"/>
        </w:rPr>
      </w:pPr>
    </w:p>
    <w:p w:rsidR="00130086" w:rsidRDefault="00130086" w:rsidP="00A53E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Pr="001E4C1B">
        <w:rPr>
          <w:lang w:bidi="ru-RU"/>
        </w:rPr>
        <w:t xml:space="preserve">Комментарии автора сообщения </w:t>
      </w:r>
      <w:r>
        <w:rPr>
          <w:lang w:bidi="ru-RU"/>
        </w:rPr>
        <w:t>по</w:t>
      </w:r>
      <w:r w:rsidRPr="001E4C1B">
        <w:rPr>
          <w:lang w:bidi="ru-RU"/>
        </w:rPr>
        <w:t xml:space="preserve"> </w:t>
      </w:r>
      <w:r>
        <w:rPr>
          <w:lang w:bidi="ru-RU"/>
        </w:rPr>
        <w:t>замечаниям</w:t>
      </w:r>
      <w:r w:rsidRPr="001E4C1B">
        <w:rPr>
          <w:lang w:bidi="ru-RU"/>
        </w:rPr>
        <w:t xml:space="preserve"> государства-участника</w:t>
      </w:r>
      <w:r w:rsidRPr="001E4C1B">
        <w:rPr>
          <w:highlight w:val="yellow"/>
          <w:lang w:bidi="ru-RU"/>
        </w:rPr>
        <w:t xml:space="preserve"> </w:t>
      </w:r>
      <w:r w:rsidRPr="001E4C1B">
        <w:rPr>
          <w:lang w:bidi="ru-RU"/>
        </w:rPr>
        <w:t>относительно приемлемости сообщения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  <w:lang w:bidi="ru-RU"/>
        </w:rPr>
      </w:pPr>
    </w:p>
    <w:p w:rsidR="00130086" w:rsidRPr="001E4C1B" w:rsidRDefault="00130086" w:rsidP="00A53EA8">
      <w:pPr>
        <w:pStyle w:val="SingleTxt"/>
        <w:rPr>
          <w:lang w:eastAsia="ja-JP"/>
        </w:rPr>
      </w:pPr>
      <w:r w:rsidRPr="001E4C1B">
        <w:rPr>
          <w:lang w:eastAsia="ja-JP"/>
        </w:rPr>
        <w:t>5.1</w:t>
      </w:r>
      <w:r w:rsidRPr="001E4C1B">
        <w:rPr>
          <w:lang w:eastAsia="ja-JP"/>
        </w:rPr>
        <w:tab/>
        <w:t>7 июля 2013 года автор сообщения представила свои комментарии, кас</w:t>
      </w:r>
      <w:r w:rsidRPr="001E4C1B">
        <w:rPr>
          <w:lang w:eastAsia="ja-JP"/>
        </w:rPr>
        <w:t>а</w:t>
      </w:r>
      <w:r w:rsidRPr="001E4C1B">
        <w:rPr>
          <w:lang w:eastAsia="ja-JP"/>
        </w:rPr>
        <w:t>ющиеся замечаний государства-участника относительно приемлемости. Она утверждает, что у государства-участника в соответствии с Конвенцией сущ</w:t>
      </w:r>
      <w:r w:rsidRPr="001E4C1B">
        <w:rPr>
          <w:lang w:eastAsia="ja-JP"/>
        </w:rPr>
        <w:t>е</w:t>
      </w:r>
      <w:r w:rsidRPr="001E4C1B">
        <w:rPr>
          <w:lang w:eastAsia="ja-JP"/>
        </w:rPr>
        <w:t>ствует обязательство о невысылке и оно несет ответственность за прямые и предсказуемые последствия своих действий, а именно</w:t>
      </w:r>
      <w:r>
        <w:rPr>
          <w:lang w:eastAsia="ja-JP"/>
        </w:rPr>
        <w:t xml:space="preserve"> </w:t>
      </w:r>
      <w:r w:rsidRPr="001E4C1B">
        <w:rPr>
          <w:lang w:eastAsia="ja-JP"/>
        </w:rPr>
        <w:t xml:space="preserve">ее возможной высылки в Мексику. Автор вновь заявляет, что в своем решении по делу </w:t>
      </w:r>
      <w:r w:rsidRPr="007F0C7D">
        <w:rPr>
          <w:i/>
          <w:lang w:eastAsia="ja-JP"/>
        </w:rPr>
        <w:t>Н.С.Ф. против Соединенного Королевства Великобритании и Северной Ирландии</w:t>
      </w:r>
      <w:r w:rsidRPr="001E4C1B">
        <w:rPr>
          <w:lang w:eastAsia="ja-JP"/>
        </w:rPr>
        <w:t xml:space="preserve"> Комитет подтвердил существование такого обязательства, по крайней мере для целей приемлемости. В</w:t>
      </w:r>
      <w:r>
        <w:rPr>
          <w:lang w:eastAsia="ja-JP"/>
        </w:rPr>
        <w:t> </w:t>
      </w:r>
      <w:r w:rsidRPr="001E4C1B">
        <w:rPr>
          <w:lang w:eastAsia="ja-JP"/>
        </w:rPr>
        <w:t>соответствии с интерпретацией автором данного дела Ком</w:t>
      </w:r>
      <w:r w:rsidRPr="001E4C1B">
        <w:rPr>
          <w:lang w:eastAsia="ja-JP"/>
        </w:rPr>
        <w:t>и</w:t>
      </w:r>
      <w:r w:rsidRPr="001E4C1B">
        <w:rPr>
          <w:lang w:eastAsia="ja-JP"/>
        </w:rPr>
        <w:t>тет не принял во внимание утверждение, основанное на риске гендерного насилия после депортации в Пакистан, в качестве основания для неприемлем</w:t>
      </w:r>
      <w:r w:rsidRPr="001E4C1B">
        <w:rPr>
          <w:lang w:eastAsia="ja-JP"/>
        </w:rPr>
        <w:t>о</w:t>
      </w:r>
      <w:r w:rsidRPr="001E4C1B">
        <w:rPr>
          <w:lang w:eastAsia="ja-JP"/>
        </w:rPr>
        <w:t>сти.</w:t>
      </w:r>
    </w:p>
    <w:p w:rsidR="00130086" w:rsidRPr="001E4C1B" w:rsidRDefault="00130086" w:rsidP="00A53EA8">
      <w:pPr>
        <w:pStyle w:val="SingleTxt"/>
      </w:pPr>
      <w:r w:rsidRPr="001E4C1B">
        <w:t>5.2</w:t>
      </w:r>
      <w:r w:rsidRPr="001E4C1B">
        <w:tab/>
        <w:t>Автор утверждает, что, вопреки возражениям государства-участника, ущерб, который может быть ей нанесен в случае возвращения в Мексику, пре</w:t>
      </w:r>
      <w:r w:rsidRPr="001E4C1B">
        <w:t>д</w:t>
      </w:r>
      <w:r w:rsidRPr="001E4C1B">
        <w:t>ставляет собой опасность для жизни, а физическое насилие, которому она по</w:t>
      </w:r>
      <w:r w:rsidRPr="001E4C1B">
        <w:t>д</w:t>
      </w:r>
      <w:r w:rsidRPr="001E4C1B">
        <w:t xml:space="preserve">верглась, представляет собой жестокое и </w:t>
      </w:r>
      <w:r>
        <w:t>не отвечающее установленным но</w:t>
      </w:r>
      <w:r>
        <w:t>р</w:t>
      </w:r>
      <w:r>
        <w:t>мам</w:t>
      </w:r>
      <w:r w:rsidRPr="001E4C1B">
        <w:t xml:space="preserve"> наказание или обращение, что было признано Комитетом в его общей р</w:t>
      </w:r>
      <w:r w:rsidRPr="001E4C1B">
        <w:t>е</w:t>
      </w:r>
      <w:r w:rsidRPr="001E4C1B">
        <w:t xml:space="preserve">комендации № 19 в качестве дискриминации по смыслу статьи 1 Конвенции. Автор далее ставит под сомнение тот факт, что договорные органы </w:t>
      </w:r>
      <w:r>
        <w:t xml:space="preserve">несут </w:t>
      </w:r>
      <w:r w:rsidRPr="001E4C1B">
        <w:t>об</w:t>
      </w:r>
      <w:r w:rsidRPr="001E4C1B">
        <w:t>я</w:t>
      </w:r>
      <w:r w:rsidRPr="001E4C1B">
        <w:t xml:space="preserve">зательства, ограниченные </w:t>
      </w:r>
      <w:r w:rsidR="00A53EA8">
        <w:t>«</w:t>
      </w:r>
      <w:r w:rsidRPr="001E4C1B">
        <w:t>лишь наиболее серьезными нарушениями осно</w:t>
      </w:r>
      <w:r w:rsidRPr="001E4C1B">
        <w:t>в</w:t>
      </w:r>
      <w:r w:rsidRPr="001E4C1B">
        <w:t>ных прав</w:t>
      </w:r>
      <w:r w:rsidR="00A53EA8">
        <w:t>»</w:t>
      </w:r>
      <w:r w:rsidRPr="001E4C1B">
        <w:t xml:space="preserve"> в контексте высылки в третьи страны. Она обращает внимание на то, что Комитет по правам человека пришел к выводу о том, что в случаях депо</w:t>
      </w:r>
      <w:r w:rsidRPr="001E4C1B">
        <w:t>р</w:t>
      </w:r>
      <w:r w:rsidRPr="001E4C1B">
        <w:t>тации государства-участники несут обязательства, выходящие за рамки обяз</w:t>
      </w:r>
      <w:r w:rsidRPr="001E4C1B">
        <w:t>а</w:t>
      </w:r>
      <w:r w:rsidRPr="001E4C1B">
        <w:t>тельств, предусмотренных статьями 6 и 7 Международного пакта о гражданских и п</w:t>
      </w:r>
      <w:r w:rsidRPr="001E4C1B">
        <w:t>о</w:t>
      </w:r>
      <w:r w:rsidRPr="001E4C1B">
        <w:t>литических правах, с учетом того, что ранее он выявил нарушения положений пункта 1 статьи 17 (противозаконное или произвольное вмешательство в с</w:t>
      </w:r>
      <w:r w:rsidRPr="001E4C1B">
        <w:t>е</w:t>
      </w:r>
      <w:r w:rsidRPr="001E4C1B">
        <w:t>мейную жизнь), статьи 23 (защита семейной ячейки) и пункта 1 статьи 24 (з</w:t>
      </w:r>
      <w:r w:rsidRPr="001E4C1B">
        <w:t>а</w:t>
      </w:r>
      <w:r w:rsidRPr="001E4C1B">
        <w:t>щита несовершеннолетних) Пакта</w:t>
      </w:r>
      <w:r w:rsidRPr="00AD11F7">
        <w:rPr>
          <w:rStyle w:val="FootnoteReference"/>
          <w:kern w:val="0"/>
        </w:rPr>
        <w:footnoteReference w:id="8"/>
      </w:r>
      <w:r w:rsidRPr="001E4C1B">
        <w:t>.</w:t>
      </w:r>
    </w:p>
    <w:p w:rsidR="00130086" w:rsidRPr="001E4C1B" w:rsidRDefault="00130086" w:rsidP="00A53EA8">
      <w:pPr>
        <w:pStyle w:val="SingleTxt"/>
      </w:pPr>
      <w:r w:rsidRPr="001E4C1B">
        <w:t>5.3</w:t>
      </w:r>
      <w:r w:rsidRPr="001E4C1B">
        <w:tab/>
        <w:t>Что касается утверждения государства-участника о том, что в задачи К</w:t>
      </w:r>
      <w:r w:rsidRPr="001E4C1B">
        <w:t>о</w:t>
      </w:r>
      <w:r w:rsidRPr="001E4C1B">
        <w:t>митета не входит проведение анализа сделанной национальными органами власти оценки фактов и доказательств, то автор утверждает, что ей было отк</w:t>
      </w:r>
      <w:r w:rsidRPr="001E4C1B">
        <w:t>а</w:t>
      </w:r>
      <w:r w:rsidRPr="001E4C1B">
        <w:t>зано в правосудии в процессе принятия решения, поскольку ее заявление з</w:t>
      </w:r>
      <w:r w:rsidRPr="001E4C1B">
        <w:t>а</w:t>
      </w:r>
      <w:r w:rsidRPr="001E4C1B">
        <w:t xml:space="preserve">служивало доверия, представленные ею доказательства не были учтены и она не должна быть депортирована. </w:t>
      </w:r>
    </w:p>
    <w:p w:rsidR="00130086" w:rsidRPr="00F037FF" w:rsidRDefault="00130086" w:rsidP="00A53EA8">
      <w:pPr>
        <w:pStyle w:val="SingleTxt"/>
      </w:pPr>
      <w:r w:rsidRPr="001E4C1B">
        <w:t>5.4</w:t>
      </w:r>
      <w:r w:rsidRPr="001E4C1B">
        <w:tab/>
        <w:t>Автор сообщения утверждает, что государство-участник нарушило пол</w:t>
      </w:r>
      <w:r w:rsidRPr="001E4C1B">
        <w:t>о</w:t>
      </w:r>
      <w:r w:rsidRPr="001E4C1B">
        <w:t>жения статьи 2 Конвенции</w:t>
      </w:r>
      <w:r>
        <w:t>,</w:t>
      </w:r>
      <w:r w:rsidRPr="001E4C1B">
        <w:t xml:space="preserve"> указывая при этом на то, что она не подвергалась дискриминации со стороны органов власти при рассмотрении ее ходатайства о предоставлении убежища.</w:t>
      </w:r>
      <w:r>
        <w:t xml:space="preserve"> </w:t>
      </w:r>
      <w:r w:rsidRPr="00F037FF">
        <w:t>Автор сообщения не заявляет о каких-либо дискр</w:t>
      </w:r>
      <w:r w:rsidRPr="00F037FF">
        <w:t>и</w:t>
      </w:r>
      <w:r w:rsidRPr="00F037FF">
        <w:t>минационных действиях органов власти государства-участника при прохожд</w:t>
      </w:r>
      <w:r w:rsidRPr="00F037FF">
        <w:t>е</w:t>
      </w:r>
      <w:r w:rsidRPr="00F037FF">
        <w:t>нии иммиграционных процедур или в рамках функционирования иммиграц</w:t>
      </w:r>
      <w:r w:rsidRPr="00F037FF">
        <w:t>и</w:t>
      </w:r>
      <w:r w:rsidRPr="00F037FF">
        <w:t>онной системы, указывая на то, что направленная ею в Комитет жалоба касае</w:t>
      </w:r>
      <w:r w:rsidRPr="00F037FF">
        <w:t>т</w:t>
      </w:r>
      <w:r w:rsidRPr="00F037FF">
        <w:t>ся лишь вопроса о рисках, с кот</w:t>
      </w:r>
      <w:r w:rsidRPr="00F037FF">
        <w:t>о</w:t>
      </w:r>
      <w:r w:rsidRPr="00F037FF">
        <w:t>рыми она может столкнуться при возвращении в Мексику.</w:t>
      </w:r>
    </w:p>
    <w:p w:rsidR="00130086" w:rsidRDefault="00130086" w:rsidP="00A53EA8">
      <w:pPr>
        <w:pStyle w:val="SingleTxt"/>
      </w:pPr>
      <w:r w:rsidRPr="00F037FF">
        <w:t>5.5</w:t>
      </w:r>
      <w:r w:rsidRPr="00F037FF">
        <w:tab/>
        <w:t>Что касается вопроса об исчерпании внутренних средств правовой защ</w:t>
      </w:r>
      <w:r w:rsidRPr="00F037FF">
        <w:t>и</w:t>
      </w:r>
      <w:r w:rsidRPr="00F037FF">
        <w:t>ты, то автор утверждает, что ходатайство о предоставлении постоянного вида на жительство из соображений гуманности и сострадания не является эффе</w:t>
      </w:r>
      <w:r w:rsidRPr="00F037FF">
        <w:t>к</w:t>
      </w:r>
      <w:r w:rsidRPr="00F037FF">
        <w:t>тивным средством правовой защиты, поскольку оно не позволит приостан</w:t>
      </w:r>
      <w:r w:rsidRPr="00F037FF">
        <w:t>о</w:t>
      </w:r>
      <w:r w:rsidRPr="00F037FF">
        <w:t>вить процедуру ее высылки из государства-участника, и сотрудники, занима</w:t>
      </w:r>
      <w:r w:rsidRPr="00F037FF">
        <w:t>ю</w:t>
      </w:r>
      <w:r w:rsidRPr="00F037FF">
        <w:t xml:space="preserve">щиеся соответствующими процедурами, уже не </w:t>
      </w:r>
      <w:r>
        <w:t>с</w:t>
      </w:r>
      <w:r w:rsidRPr="00F037FF">
        <w:t>могут проанализировать во</w:t>
      </w:r>
      <w:r w:rsidRPr="00F037FF">
        <w:t>з</w:t>
      </w:r>
      <w:r w:rsidRPr="00F037FF">
        <w:t>можные риски, связанные с преследованием, пытками или жестоким обращ</w:t>
      </w:r>
      <w:r w:rsidRPr="00F037FF">
        <w:t>е</w:t>
      </w:r>
      <w:r w:rsidRPr="00F037FF">
        <w:t>нием. Она также напоминает о правовой практике Комитета против пыток, к</w:t>
      </w:r>
      <w:r w:rsidRPr="00F037FF">
        <w:t>о</w:t>
      </w:r>
      <w:r w:rsidRPr="00F037FF">
        <w:t xml:space="preserve">торый установил, что ходатайство, исходящее из соображений гуманности и сострадания, </w:t>
      </w:r>
      <w:r>
        <w:t xml:space="preserve">рассматривается на основе </w:t>
      </w:r>
      <w:r w:rsidRPr="00F037FF">
        <w:t>исключительно гуманитарных крит</w:t>
      </w:r>
      <w:r w:rsidRPr="00F037FF">
        <w:t>е</w:t>
      </w:r>
      <w:r w:rsidRPr="00F037FF">
        <w:t>ри</w:t>
      </w:r>
      <w:r>
        <w:t xml:space="preserve">ев в порядке льготы и </w:t>
      </w:r>
      <w:r w:rsidRPr="00F037FF">
        <w:t>не является средством правовой защиты, которое должно быть исчерпано для соблюдения соответствующих пр</w:t>
      </w:r>
      <w:r w:rsidRPr="00F037FF">
        <w:t>а</w:t>
      </w:r>
      <w:r w:rsidRPr="00F037FF">
        <w:t>вил</w:t>
      </w:r>
      <w:r w:rsidRPr="00AD11F7">
        <w:rPr>
          <w:rStyle w:val="FootnoteReference"/>
        </w:rPr>
        <w:footnoteReference w:id="9"/>
      </w:r>
      <w:r w:rsidRPr="00F037FF">
        <w:t>.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</w:rPr>
      </w:pPr>
    </w:p>
    <w:p w:rsidR="00130086" w:rsidRDefault="00130086" w:rsidP="00A53E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037FF">
        <w:t>Дополнительные замечания государства-участника относительно приемлемости</w:t>
      </w:r>
      <w:r>
        <w:t xml:space="preserve"> сообщения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</w:rPr>
      </w:pPr>
    </w:p>
    <w:p w:rsidR="00130086" w:rsidRPr="00F037FF" w:rsidRDefault="00130086" w:rsidP="00A53EA8">
      <w:pPr>
        <w:pStyle w:val="SingleTxt"/>
      </w:pPr>
      <w:r w:rsidRPr="00F037FF">
        <w:t>6.1</w:t>
      </w:r>
      <w:r w:rsidRPr="00F037FF">
        <w:tab/>
        <w:t>8 октября 2013 года государство-участник направило дополнительные представления по вопросу о неприемлемости, повторив при этом свои перв</w:t>
      </w:r>
      <w:r w:rsidRPr="00F037FF">
        <w:t>о</w:t>
      </w:r>
      <w:r w:rsidRPr="00F037FF">
        <w:t>начальные обоснования неприемлемости сообщения.</w:t>
      </w:r>
    </w:p>
    <w:p w:rsidR="00130086" w:rsidRPr="00F037FF" w:rsidRDefault="00130086" w:rsidP="00A53EA8">
      <w:pPr>
        <w:pStyle w:val="SingleTxt"/>
      </w:pPr>
      <w:r w:rsidRPr="00F037FF">
        <w:t>6.2</w:t>
      </w:r>
      <w:r w:rsidRPr="00F037FF">
        <w:tab/>
        <w:t xml:space="preserve">Отмечая правовую практику Комитета, </w:t>
      </w:r>
      <w:r>
        <w:t xml:space="preserve">нашедшую свое отражение в деле </w:t>
      </w:r>
      <w:r w:rsidRPr="007641FF">
        <w:rPr>
          <w:i/>
        </w:rPr>
        <w:t>М.Н.Н. против Дании</w:t>
      </w:r>
      <w:r w:rsidRPr="00AD11F7">
        <w:rPr>
          <w:rStyle w:val="FootnoteReference"/>
        </w:rPr>
        <w:footnoteReference w:id="10"/>
      </w:r>
      <w:r w:rsidRPr="001932AA">
        <w:t>,</w:t>
      </w:r>
      <w:r w:rsidRPr="00F037FF">
        <w:t xml:space="preserve"> государство-участник оспаривает трактовку Комитетом текста Конвенции в том смысле, что принцип недопущения принудительной высылки может быть включен в Конвенцию. Государство-участник вновь зая</w:t>
      </w:r>
      <w:r w:rsidRPr="00F037FF">
        <w:t>в</w:t>
      </w:r>
      <w:r w:rsidRPr="00F037FF">
        <w:t>ляет, что должное толкование обычного смысла текста Конвенции с учетом ее целей и задач не подтверждает подразумеваемого обязательства о невысылке. Государство-участник вновь обращается к подготовительным материалам, к</w:t>
      </w:r>
      <w:r w:rsidRPr="00F037FF">
        <w:t>о</w:t>
      </w:r>
      <w:r w:rsidRPr="00F037FF">
        <w:t>торые не указывают на то, что договаривающиеся стороны когда-либо рассма</w:t>
      </w:r>
      <w:r w:rsidRPr="00F037FF">
        <w:t>т</w:t>
      </w:r>
      <w:r w:rsidRPr="00F037FF">
        <w:t>ривали вопрос о том, чтобы Конвенция содержала положение о гарантии нед</w:t>
      </w:r>
      <w:r w:rsidRPr="00F037FF">
        <w:t>о</w:t>
      </w:r>
      <w:r w:rsidRPr="00F037FF">
        <w:t>пущения в</w:t>
      </w:r>
      <w:r w:rsidRPr="00F037FF">
        <w:t>ы</w:t>
      </w:r>
      <w:r w:rsidRPr="00F037FF">
        <w:t xml:space="preserve">сылки в случае угрозы пыток или других аналогичных угроз жизни и безопасности </w:t>
      </w:r>
      <w:r>
        <w:t>личности</w:t>
      </w:r>
      <w:r w:rsidRPr="00F037FF">
        <w:t>. Государство-участник напоминает, что основное внимание в Конвенции уделяется мероприятиям на национальном уровне, направленным на улучшение положения женщин в тех сферах, на которые ра</w:t>
      </w:r>
      <w:r w:rsidRPr="00F037FF">
        <w:t>с</w:t>
      </w:r>
      <w:r w:rsidRPr="00F037FF">
        <w:t>пространяется действие положений Конвенции, при том понимании, что же</w:t>
      </w:r>
      <w:r w:rsidRPr="00F037FF">
        <w:t>н</w:t>
      </w:r>
      <w:r w:rsidRPr="00F037FF">
        <w:t>щины, сталкивающиеся с угрозами пыток, опасностью для жизни или риском нанесения им иного непоправимого ущерба по признаку пола, должны испол</w:t>
      </w:r>
      <w:r w:rsidRPr="00F037FF">
        <w:t>ь</w:t>
      </w:r>
      <w:r w:rsidRPr="00F037FF">
        <w:t>зовать существующие мех</w:t>
      </w:r>
      <w:r w:rsidRPr="00F037FF">
        <w:t>а</w:t>
      </w:r>
      <w:r w:rsidRPr="00F037FF">
        <w:t>низмы подачи и рассмотрения жалоб Комитетом по правам человека и/или Ком</w:t>
      </w:r>
      <w:r w:rsidRPr="00F037FF">
        <w:t>и</w:t>
      </w:r>
      <w:r w:rsidRPr="00F037FF">
        <w:t>тетом против пыток, обладающими необходимыми полномочиями для провед</w:t>
      </w:r>
      <w:r w:rsidRPr="00F037FF">
        <w:t>е</w:t>
      </w:r>
      <w:r w:rsidRPr="00F037FF">
        <w:t xml:space="preserve">ния оценки </w:t>
      </w:r>
      <w:r>
        <w:t xml:space="preserve">таких </w:t>
      </w:r>
      <w:r w:rsidRPr="00F037FF">
        <w:t>рисков.</w:t>
      </w:r>
    </w:p>
    <w:p w:rsidR="00130086" w:rsidRDefault="00130086" w:rsidP="00A53EA8">
      <w:pPr>
        <w:pStyle w:val="SingleTxt"/>
        <w:rPr>
          <w:rFonts w:eastAsia="MS Mincho"/>
        </w:rPr>
      </w:pPr>
      <w:r w:rsidRPr="00F037FF">
        <w:rPr>
          <w:rFonts w:eastAsia="MS Mincho"/>
        </w:rPr>
        <w:t>6.3</w:t>
      </w:r>
      <w:r w:rsidRPr="00F037FF">
        <w:rPr>
          <w:rFonts w:eastAsia="MS Mincho"/>
        </w:rPr>
        <w:tab/>
        <w:t>Кроме того, вопреки утверждению автора, государство-участник считает, что содержащееся в статье 1 Конвенции определение дискриминации не вкл</w:t>
      </w:r>
      <w:r w:rsidRPr="00F037FF">
        <w:rPr>
          <w:rFonts w:eastAsia="MS Mincho"/>
        </w:rPr>
        <w:t>ю</w:t>
      </w:r>
      <w:r w:rsidRPr="00F037FF">
        <w:rPr>
          <w:rFonts w:eastAsia="MS Mincho"/>
        </w:rPr>
        <w:t>чает обязательство в отношении недопущения принудительной высылки в тех случаях, когда женщины могут подвергнуться риску гендерного насилия. В связи с этим государство-участник заявляет, что согласие Комитета с этим утверждением приведет к неоправданно расширенному толкованию обяз</w:t>
      </w:r>
      <w:r w:rsidRPr="00F037FF">
        <w:rPr>
          <w:rFonts w:eastAsia="MS Mincho"/>
        </w:rPr>
        <w:t>а</w:t>
      </w:r>
      <w:r w:rsidRPr="00F037FF">
        <w:rPr>
          <w:rFonts w:eastAsia="MS Mincho"/>
        </w:rPr>
        <w:t xml:space="preserve">тельств государств-участников </w:t>
      </w:r>
      <w:r>
        <w:rPr>
          <w:rFonts w:eastAsia="MS Mincho"/>
        </w:rPr>
        <w:t xml:space="preserve">согласно </w:t>
      </w:r>
      <w:r w:rsidRPr="00F037FF">
        <w:rPr>
          <w:rFonts w:eastAsia="MS Mincho"/>
        </w:rPr>
        <w:t>Конвенции. Государство-участник утверждает, что претензии автора подпадут под действие Конвенции лишь в том случае, если она заявляет о гендерной дискриминации в канадской системе предоставл</w:t>
      </w:r>
      <w:r w:rsidRPr="00F037FF">
        <w:rPr>
          <w:rFonts w:eastAsia="MS Mincho"/>
        </w:rPr>
        <w:t>е</w:t>
      </w:r>
      <w:r w:rsidRPr="00F037FF">
        <w:rPr>
          <w:rFonts w:eastAsia="MS Mincho"/>
        </w:rPr>
        <w:t>ния статуса беженца и защиты или о насилии в семье в Канаде без надлежащей реакции на него со ст</w:t>
      </w:r>
      <w:r w:rsidRPr="00F037FF">
        <w:rPr>
          <w:rFonts w:eastAsia="MS Mincho"/>
        </w:rPr>
        <w:t>о</w:t>
      </w:r>
      <w:r w:rsidRPr="00F037FF">
        <w:rPr>
          <w:rFonts w:eastAsia="MS Mincho"/>
        </w:rPr>
        <w:t xml:space="preserve">роны канадских </w:t>
      </w:r>
      <w:r>
        <w:rPr>
          <w:rFonts w:eastAsia="MS Mincho"/>
        </w:rPr>
        <w:t>властей</w:t>
      </w:r>
      <w:r w:rsidRPr="00F037FF">
        <w:rPr>
          <w:rFonts w:eastAsia="MS Mincho"/>
        </w:rPr>
        <w:t>. Государство-участник напоминает, что претензии автора касаются ненадлежащей реакции мексиканских органов власт</w:t>
      </w:r>
      <w:r>
        <w:rPr>
          <w:rFonts w:eastAsia="MS Mincho"/>
        </w:rPr>
        <w:t xml:space="preserve">ей </w:t>
      </w:r>
      <w:r w:rsidRPr="00F037FF">
        <w:rPr>
          <w:rFonts w:eastAsia="MS Mincho"/>
        </w:rPr>
        <w:t>и</w:t>
      </w:r>
      <w:r>
        <w:rPr>
          <w:rFonts w:eastAsia="MS Mincho"/>
        </w:rPr>
        <w:t>,</w:t>
      </w:r>
      <w:r w:rsidRPr="00F037FF">
        <w:rPr>
          <w:rFonts w:eastAsia="MS Mincho"/>
        </w:rPr>
        <w:t xml:space="preserve"> соответственно</w:t>
      </w:r>
      <w:r>
        <w:rPr>
          <w:rFonts w:eastAsia="MS Mincho"/>
        </w:rPr>
        <w:t>,</w:t>
      </w:r>
      <w:r w:rsidRPr="00F037FF">
        <w:rPr>
          <w:rFonts w:eastAsia="MS Mincho"/>
        </w:rPr>
        <w:t xml:space="preserve"> ее жалоба должна быть направлена в Мексику. На государство-участник не может быть возложена о</w:t>
      </w:r>
      <w:r w:rsidRPr="00F037FF">
        <w:rPr>
          <w:rFonts w:eastAsia="MS Mincho"/>
        </w:rPr>
        <w:t>т</w:t>
      </w:r>
      <w:r w:rsidRPr="00F037FF">
        <w:rPr>
          <w:rFonts w:eastAsia="MS Mincho"/>
        </w:rPr>
        <w:t>ветственность за дискриминацию на территории, на к</w:t>
      </w:r>
      <w:r w:rsidRPr="00F037FF">
        <w:rPr>
          <w:rFonts w:eastAsia="MS Mincho"/>
        </w:rPr>
        <w:t>о</w:t>
      </w:r>
      <w:r w:rsidRPr="00F037FF">
        <w:rPr>
          <w:rFonts w:eastAsia="MS Mincho"/>
        </w:rPr>
        <w:t>торую распространяется юрисдикция другого государства.</w:t>
      </w:r>
    </w:p>
    <w:p w:rsidR="00A53EA8" w:rsidRPr="00A53EA8" w:rsidRDefault="00A53EA8" w:rsidP="00A53EA8">
      <w:pPr>
        <w:pStyle w:val="SingleTxt"/>
        <w:spacing w:after="0" w:line="120" w:lineRule="exact"/>
        <w:rPr>
          <w:rFonts w:eastAsia="MS Mincho"/>
          <w:sz w:val="10"/>
        </w:rPr>
      </w:pPr>
    </w:p>
    <w:p w:rsidR="00130086" w:rsidRDefault="00130086" w:rsidP="00A53E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037FF">
        <w:t xml:space="preserve">Замечания государства-участника </w:t>
      </w:r>
      <w:r>
        <w:t xml:space="preserve">относительно </w:t>
      </w:r>
      <w:r w:rsidRPr="00F037FF">
        <w:t>существ</w:t>
      </w:r>
      <w:r>
        <w:t>а</w:t>
      </w:r>
      <w:r w:rsidRPr="00F037FF">
        <w:t xml:space="preserve"> сообщения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</w:rPr>
      </w:pPr>
    </w:p>
    <w:p w:rsidR="00130086" w:rsidRPr="00F037FF" w:rsidRDefault="00130086" w:rsidP="00A53EA8">
      <w:pPr>
        <w:pStyle w:val="SingleTxt"/>
      </w:pPr>
      <w:r w:rsidRPr="00F037FF">
        <w:t>7.1</w:t>
      </w:r>
      <w:r w:rsidRPr="00F037FF">
        <w:tab/>
        <w:t>8 октября 2013 года государство-участник также представило свои зам</w:t>
      </w:r>
      <w:r w:rsidRPr="00F037FF">
        <w:t>е</w:t>
      </w:r>
      <w:r w:rsidRPr="00F037FF">
        <w:t>чания по существу. Государство-участник полагает, что заявления автора явл</w:t>
      </w:r>
      <w:r w:rsidRPr="00F037FF">
        <w:t>я</w:t>
      </w:r>
      <w:r w:rsidRPr="00F037FF">
        <w:t>ются не</w:t>
      </w:r>
      <w:r>
        <w:t xml:space="preserve">состоятельными </w:t>
      </w:r>
      <w:r w:rsidRPr="00F037FF">
        <w:t>в связи с неспособностью автора доказать наличие существенных оснований для того, чтобы предполагать, что в случае возвр</w:t>
      </w:r>
      <w:r w:rsidRPr="00F037FF">
        <w:t>а</w:t>
      </w:r>
      <w:r w:rsidRPr="00F037FF">
        <w:t>щения в Мексику она подвергнется риску нанесения ей непоправимого уще</w:t>
      </w:r>
      <w:r w:rsidRPr="00F037FF">
        <w:t>р</w:t>
      </w:r>
      <w:r w:rsidRPr="00F037FF">
        <w:t>ба.</w:t>
      </w:r>
    </w:p>
    <w:p w:rsidR="00130086" w:rsidRPr="00F037FF" w:rsidRDefault="00130086" w:rsidP="00A53EA8">
      <w:pPr>
        <w:pStyle w:val="SingleTxt"/>
      </w:pPr>
      <w:r w:rsidRPr="00F037FF">
        <w:t>7.2</w:t>
      </w:r>
      <w:r w:rsidRPr="00F037FF">
        <w:tab/>
        <w:t>Государство-участник утверждает, что в международном праве принцип недопущения принудительной вы</w:t>
      </w:r>
      <w:r>
        <w:t xml:space="preserve">сылки требует наличия высокого </w:t>
      </w:r>
      <w:r w:rsidR="00A53EA8">
        <w:t>«</w:t>
      </w:r>
      <w:r w:rsidRPr="00F037FF">
        <w:t>порога</w:t>
      </w:r>
      <w:r w:rsidR="00A53EA8">
        <w:t>»</w:t>
      </w:r>
      <w:r w:rsidRPr="00F037FF">
        <w:t xml:space="preserve"> в том смысле, что должна существовать предсказуемая, реальная и личная опа</w:t>
      </w:r>
      <w:r w:rsidRPr="00F037FF">
        <w:t>с</w:t>
      </w:r>
      <w:r w:rsidRPr="00F037FF">
        <w:t>ность нанесения непоправимого ущерба в стране возвращения, такая как опа</w:t>
      </w:r>
      <w:r w:rsidRPr="00F037FF">
        <w:t>с</w:t>
      </w:r>
      <w:r w:rsidRPr="00F037FF">
        <w:t>ность для жизни или риск подвергнуться пыткам, чтобы государство было ограничено обязательством о невысылке. Государство-участник полагает, что риск нарушения каких-либо прав человека, таких как право на недопущение дискриминации, не может налагать обязательства в отношении недопущения принудительной высылки. Государство-участник подчеркивает, что Комитет по правам человека и Европейский суд по правам человека установили подраз</w:t>
      </w:r>
      <w:r w:rsidRPr="00F037FF">
        <w:t>у</w:t>
      </w:r>
      <w:r w:rsidRPr="00F037FF">
        <w:t>меваемые обязательства о невысылке только в самых серьезных случаях нар</w:t>
      </w:r>
      <w:r w:rsidRPr="00F037FF">
        <w:t>у</w:t>
      </w:r>
      <w:r w:rsidRPr="00F037FF">
        <w:t>шения прав человека в целях ограничения масштабов экстерриториального действия договоров о правах человека только исключительными обстоятел</w:t>
      </w:r>
      <w:r w:rsidRPr="00F037FF">
        <w:t>ь</w:t>
      </w:r>
      <w:r w:rsidRPr="00F037FF">
        <w:t>ствами</w:t>
      </w:r>
      <w:r w:rsidRPr="00AD11F7">
        <w:rPr>
          <w:rStyle w:val="FootnoteReference"/>
        </w:rPr>
        <w:footnoteReference w:id="11"/>
      </w:r>
      <w:r w:rsidRPr="00F037FF">
        <w:t>.</w:t>
      </w:r>
    </w:p>
    <w:p w:rsidR="00130086" w:rsidRPr="00F037FF" w:rsidRDefault="00130086" w:rsidP="00A53EA8">
      <w:pPr>
        <w:pStyle w:val="SingleTxt"/>
        <w:rPr>
          <w:rFonts w:eastAsia="Arial Unicode MS"/>
        </w:rPr>
      </w:pPr>
      <w:r w:rsidRPr="00F037FF">
        <w:t>7.3</w:t>
      </w:r>
      <w:r w:rsidRPr="00F037FF">
        <w:tab/>
        <w:t>Государство-участник отмечает, что принцип недопущения принудител</w:t>
      </w:r>
      <w:r w:rsidRPr="00F037FF">
        <w:t>ь</w:t>
      </w:r>
      <w:r w:rsidRPr="00F037FF">
        <w:t>ной высылки в том виде, в котором он сформулирован в Конвенции о статусе беженцев 1951 года, может распространяться на гендерные формы преследов</w:t>
      </w:r>
      <w:r w:rsidRPr="00F037FF">
        <w:t>а</w:t>
      </w:r>
      <w:r w:rsidRPr="00F037FF">
        <w:t>ния. Го</w:t>
      </w:r>
      <w:r w:rsidRPr="00F037FF">
        <w:t>с</w:t>
      </w:r>
      <w:r w:rsidRPr="00F037FF">
        <w:t>ударство-участник также отмечает, что Комитет против пыток включил гендерные формы насилия в категорию пыток. Конвенция против пыток с</w:t>
      </w:r>
      <w:r w:rsidRPr="00F037FF">
        <w:t>о</w:t>
      </w:r>
      <w:r w:rsidRPr="00F037FF">
        <w:t>держит четко сформулированное обязательство о невысылке</w:t>
      </w:r>
      <w:r w:rsidRPr="00F037FF">
        <w:rPr>
          <w:rFonts w:eastAsia="Arial Unicode MS"/>
        </w:rPr>
        <w:t>. Тем не менее г</w:t>
      </w:r>
      <w:r w:rsidRPr="00F037FF">
        <w:t>о</w:t>
      </w:r>
      <w:r w:rsidRPr="00F037FF">
        <w:t>с</w:t>
      </w:r>
      <w:r w:rsidRPr="00F037FF">
        <w:t>ударство-участник утверждает, что если бы статья 1 Конвенции о ликвидации всех форм дискриминации в отношении женщин содержала принцип недоп</w:t>
      </w:r>
      <w:r w:rsidRPr="00F037FF">
        <w:t>у</w:t>
      </w:r>
      <w:r w:rsidRPr="00F037FF">
        <w:t>щения принуд</w:t>
      </w:r>
      <w:r w:rsidRPr="00F037FF">
        <w:t>и</w:t>
      </w:r>
      <w:r w:rsidRPr="00F037FF">
        <w:t>тельной высылки, то такого рода обязательство должно было бы трактоваться на основе аналогичного осторожного и ограничительного подх</w:t>
      </w:r>
      <w:r w:rsidRPr="00F037FF">
        <w:t>о</w:t>
      </w:r>
      <w:r w:rsidRPr="00F037FF">
        <w:t>да. В связи с этим государство-участник утверждает, что Конвенция может налагать обязательство по невозвращению женщин в страны, где они могут подверг</w:t>
      </w:r>
      <w:r>
        <w:t xml:space="preserve">нуться риску гендерного насилия, только </w:t>
      </w:r>
      <w:r w:rsidRPr="00F037FF">
        <w:t>при условии существования серьезной опасности гендерн</w:t>
      </w:r>
      <w:r w:rsidRPr="00F037FF">
        <w:t>о</w:t>
      </w:r>
      <w:r w:rsidRPr="00F037FF">
        <w:t>го насилия, носящей предсказуемый, реальный и личный характер и способной привести к нанесению непоправимого ущерба</w:t>
      </w:r>
      <w:r w:rsidRPr="00F037FF">
        <w:rPr>
          <w:rFonts w:eastAsia="Arial Unicode MS"/>
        </w:rPr>
        <w:t>, такой как опасность для жизни, риск подвергнуться пыткам или жестокому, бесчеловечному или унижающему достоинство обращению или нак</w:t>
      </w:r>
      <w:r w:rsidRPr="00F037FF">
        <w:rPr>
          <w:rFonts w:eastAsia="Arial Unicode MS"/>
        </w:rPr>
        <w:t>а</w:t>
      </w:r>
      <w:r w:rsidRPr="00F037FF">
        <w:rPr>
          <w:rFonts w:eastAsia="Arial Unicode MS"/>
        </w:rPr>
        <w:t xml:space="preserve">занию. </w:t>
      </w:r>
    </w:p>
    <w:p w:rsidR="00130086" w:rsidRPr="00F037FF" w:rsidRDefault="00130086" w:rsidP="00A53EA8">
      <w:pPr>
        <w:pStyle w:val="SingleTxt"/>
      </w:pPr>
      <w:r w:rsidRPr="00F037FF">
        <w:t>7.4</w:t>
      </w:r>
      <w:r w:rsidRPr="00F037FF">
        <w:tab/>
        <w:t>Государство-участник оспаривает утве</w:t>
      </w:r>
      <w:r>
        <w:t xml:space="preserve">рждение автора о том, что дела </w:t>
      </w:r>
      <w:r w:rsidRPr="00433E08">
        <w:rPr>
          <w:i/>
        </w:rPr>
        <w:t>М</w:t>
      </w:r>
      <w:r w:rsidRPr="00433E08">
        <w:rPr>
          <w:i/>
        </w:rPr>
        <w:t>а</w:t>
      </w:r>
      <w:r w:rsidRPr="00433E08">
        <w:rPr>
          <w:i/>
        </w:rPr>
        <w:t>даффери против Австралии</w:t>
      </w:r>
      <w:r>
        <w:t xml:space="preserve"> и </w:t>
      </w:r>
      <w:r w:rsidRPr="00433E08">
        <w:rPr>
          <w:i/>
        </w:rPr>
        <w:t>Вината против Австралии</w:t>
      </w:r>
      <w:r w:rsidRPr="00F037FF">
        <w:t xml:space="preserve"> являются примерами применения принципа недопущения принудительной высылки Комитетом по правам человека в связи с защитой семейной жизни. Государство-участник утверждает, что эти дела на самом деле отражают действие иного принципа, поскольку Комитет посчитал, что нарушением положений Международного пакта о гражданских и политических правах является вмешательством в с</w:t>
      </w:r>
      <w:r w:rsidRPr="00F037FF">
        <w:t>е</w:t>
      </w:r>
      <w:r w:rsidRPr="00F037FF">
        <w:t>мейную жизнь со стороны высылающего государства. Это не было связано с существованием опасн</w:t>
      </w:r>
      <w:r w:rsidRPr="00F037FF">
        <w:t>о</w:t>
      </w:r>
      <w:r w:rsidRPr="00F037FF">
        <w:t>сти в</w:t>
      </w:r>
      <w:r>
        <w:t xml:space="preserve"> </w:t>
      </w:r>
      <w:r w:rsidRPr="00F037FF">
        <w:t>стране возвращения.</w:t>
      </w:r>
    </w:p>
    <w:p w:rsidR="00130086" w:rsidRPr="00F037FF" w:rsidRDefault="00130086" w:rsidP="00A53EA8">
      <w:pPr>
        <w:pStyle w:val="SingleTxt"/>
      </w:pPr>
      <w:r w:rsidRPr="00F037FF">
        <w:t>7.5</w:t>
      </w:r>
      <w:r w:rsidRPr="00F037FF">
        <w:tab/>
        <w:t>Государство-участник далее утверждает, что автор сообщения не привела доказательств того, что она сталкивается с личным риском нанесения ей неп</w:t>
      </w:r>
      <w:r w:rsidRPr="00F037FF">
        <w:t>о</w:t>
      </w:r>
      <w:r w:rsidRPr="00F037FF">
        <w:t>правимого ущерба в результате гендерного насилия. Государство-участник напоминает, что, напротив, она располагала реальной альтернативой найти убежище внутри страны. Ссылаясь на соответствующие руководящие принц</w:t>
      </w:r>
      <w:r w:rsidRPr="00F037FF">
        <w:t>и</w:t>
      </w:r>
      <w:r w:rsidRPr="00F037FF">
        <w:t>пы Управления Верховного комиссара Организации Объединенных Наций по делам беженцев</w:t>
      </w:r>
      <w:r w:rsidRPr="00AD11F7">
        <w:rPr>
          <w:rStyle w:val="FootnoteReference"/>
        </w:rPr>
        <w:footnoteReference w:id="12"/>
      </w:r>
      <w:r w:rsidRPr="00F037FF">
        <w:t>,</w:t>
      </w:r>
      <w:r w:rsidRPr="00F037FF">
        <w:rPr>
          <w:rFonts w:eastAsia="Arial Unicode MS"/>
        </w:rPr>
        <w:t xml:space="preserve"> правовую практику Комитета против пыток</w:t>
      </w:r>
      <w:r w:rsidRPr="00AD11F7">
        <w:rPr>
          <w:rStyle w:val="FootnoteReference"/>
          <w:rFonts w:eastAsia="Arial Unicode MS"/>
        </w:rPr>
        <w:footnoteReference w:id="13"/>
      </w:r>
      <w:r w:rsidRPr="00F037FF">
        <w:rPr>
          <w:rFonts w:eastAsia="Arial Unicode MS"/>
        </w:rPr>
        <w:t xml:space="preserve"> и Европейск</w:t>
      </w:r>
      <w:r w:rsidRPr="00F037FF">
        <w:rPr>
          <w:rFonts w:eastAsia="Arial Unicode MS"/>
        </w:rPr>
        <w:t>о</w:t>
      </w:r>
      <w:r w:rsidRPr="00F037FF">
        <w:rPr>
          <w:rFonts w:eastAsia="Arial Unicode MS"/>
        </w:rPr>
        <w:t>го суда по правам человека</w:t>
      </w:r>
      <w:r w:rsidRPr="00AD11F7">
        <w:rPr>
          <w:rStyle w:val="FootnoteReference"/>
          <w:rFonts w:eastAsia="Arial Unicode MS"/>
        </w:rPr>
        <w:footnoteReference w:id="14"/>
      </w:r>
      <w:r w:rsidRPr="00F037FF">
        <w:rPr>
          <w:rFonts w:eastAsia="Arial Unicode MS"/>
        </w:rPr>
        <w:t>, государство-участник утверждает, что общепр</w:t>
      </w:r>
      <w:r w:rsidRPr="00F037FF">
        <w:rPr>
          <w:rFonts w:eastAsia="Arial Unicode MS"/>
        </w:rPr>
        <w:t>и</w:t>
      </w:r>
      <w:r w:rsidRPr="00F037FF">
        <w:rPr>
          <w:rFonts w:eastAsia="Arial Unicode MS"/>
        </w:rPr>
        <w:t>знанной нормой в рамках международного беженского права является то, что физические лица должны стремиться при наличии соответствующих возмо</w:t>
      </w:r>
      <w:r w:rsidRPr="00F037FF">
        <w:rPr>
          <w:rFonts w:eastAsia="Arial Unicode MS"/>
        </w:rPr>
        <w:t>ж</w:t>
      </w:r>
      <w:r w:rsidRPr="00F037FF">
        <w:rPr>
          <w:rFonts w:eastAsia="Arial Unicode MS"/>
        </w:rPr>
        <w:t>ностей к сведению к минимуму опасности нанесения им ущерба путем пер</w:t>
      </w:r>
      <w:r w:rsidRPr="00F037FF">
        <w:rPr>
          <w:rFonts w:eastAsia="Arial Unicode MS"/>
        </w:rPr>
        <w:t>е</w:t>
      </w:r>
      <w:r w:rsidRPr="00F037FF">
        <w:rPr>
          <w:rFonts w:eastAsia="Arial Unicode MS"/>
        </w:rPr>
        <w:t>мещения или переселения в пределах своего государства.</w:t>
      </w:r>
      <w:r w:rsidRPr="00F037FF">
        <w:t xml:space="preserve"> Данный принцип также признается в национальной </w:t>
      </w:r>
      <w:r>
        <w:t xml:space="preserve">судебной </w:t>
      </w:r>
      <w:r w:rsidRPr="00F037FF">
        <w:t>практике государств</w:t>
      </w:r>
      <w:r w:rsidR="00A53EA8">
        <w:t xml:space="preserve"> — </w:t>
      </w:r>
      <w:r w:rsidRPr="00F037FF">
        <w:t>участн</w:t>
      </w:r>
      <w:r w:rsidRPr="00F037FF">
        <w:t>и</w:t>
      </w:r>
      <w:r w:rsidRPr="00F037FF">
        <w:t>ков Конвенции о статусе беженцев 1951 года. Таким образом, в соответствии с к</w:t>
      </w:r>
      <w:r w:rsidRPr="00F037FF">
        <w:t>а</w:t>
      </w:r>
      <w:r w:rsidRPr="00F037FF">
        <w:t>надским законодательством принцип альтернативы поиска убежища внутри страны является неотъемлемой составной частью процесса определения стат</w:t>
      </w:r>
      <w:r w:rsidRPr="00F037FF">
        <w:t>у</w:t>
      </w:r>
      <w:r w:rsidRPr="00F037FF">
        <w:t>са беженца.</w:t>
      </w:r>
    </w:p>
    <w:p w:rsidR="00130086" w:rsidRPr="00F037FF" w:rsidRDefault="00130086" w:rsidP="00A53EA8">
      <w:pPr>
        <w:pStyle w:val="SingleTxt"/>
      </w:pPr>
      <w:r w:rsidRPr="00F037FF">
        <w:t>7.6</w:t>
      </w:r>
      <w:r w:rsidRPr="00F037FF">
        <w:tab/>
        <w:t>Государство-участник утверждает, что принцип недопущения принуд</w:t>
      </w:r>
      <w:r w:rsidRPr="00F037FF">
        <w:t>и</w:t>
      </w:r>
      <w:r w:rsidRPr="00F037FF">
        <w:t>тельной высылки не требует от государств-участников воздерживаться от в</w:t>
      </w:r>
      <w:r w:rsidRPr="00F037FF">
        <w:t>ы</w:t>
      </w:r>
      <w:r w:rsidRPr="00F037FF">
        <w:t xml:space="preserve">сылки из страны лиц, не являющихся гражданами этой страны, в связи с тем, что страна гражданства этих лиц не гарантирует им безопасность в условиях </w:t>
      </w:r>
      <w:r>
        <w:t xml:space="preserve">серьезного </w:t>
      </w:r>
      <w:r w:rsidRPr="00F037FF">
        <w:t>всеобщего насилия. Государство-участник полагает, что широкая распространенность насилия в семье в Мексике является основанием для сер</w:t>
      </w:r>
      <w:r w:rsidRPr="00F037FF">
        <w:t>ь</w:t>
      </w:r>
      <w:r w:rsidRPr="00F037FF">
        <w:t>езной обеспокоенности. Тем не менее, основываясь на правовой практике К</w:t>
      </w:r>
      <w:r w:rsidRPr="00F037FF">
        <w:t>о</w:t>
      </w:r>
      <w:r w:rsidRPr="00F037FF">
        <w:t>митета против пыток, государство-участник отмечает, что наличие примеров грубых или вопиющих нарушений прав человека в конкретной стране не пре</w:t>
      </w:r>
      <w:r w:rsidRPr="00F037FF">
        <w:t>д</w:t>
      </w:r>
      <w:r w:rsidRPr="00F037FF">
        <w:t>ставляет собой достаточного основания для принятия решения о том, что ко</w:t>
      </w:r>
      <w:r w:rsidRPr="00F037FF">
        <w:t>н</w:t>
      </w:r>
      <w:r w:rsidRPr="00F037FF">
        <w:t>кретное физическое лицо после возвращения в эту страну столкнется с угрозой убийства, пыток или бесчелове</w:t>
      </w:r>
      <w:r w:rsidRPr="00F037FF">
        <w:t>ч</w:t>
      </w:r>
      <w:r w:rsidRPr="00F037FF">
        <w:t>ного обращения</w:t>
      </w:r>
      <w:r w:rsidRPr="00AD11F7">
        <w:rPr>
          <w:rStyle w:val="FootnoteReference"/>
        </w:rPr>
        <w:footnoteReference w:id="15"/>
      </w:r>
      <w:r w:rsidRPr="00F037FF">
        <w:t>. Автор должна доказать, что лично она подвергнется риску. Государство-участник напоминает, что в деле автора было установлено, что предполагаемые риски не достигают уровня пр</w:t>
      </w:r>
      <w:r w:rsidRPr="00F037FF">
        <w:t>е</w:t>
      </w:r>
      <w:r w:rsidRPr="00F037FF">
        <w:t>следования, пыток, серьезных угроз для жизни или жестокого и не</w:t>
      </w:r>
      <w:r>
        <w:t xml:space="preserve"> отвечающ</w:t>
      </w:r>
      <w:r>
        <w:t>е</w:t>
      </w:r>
      <w:r>
        <w:t xml:space="preserve">го установленным нормам </w:t>
      </w:r>
      <w:r w:rsidRPr="00F037FF">
        <w:t>обращения. Государство-участник также напомин</w:t>
      </w:r>
      <w:r w:rsidRPr="00F037FF">
        <w:t>а</w:t>
      </w:r>
      <w:r w:rsidRPr="00F037FF">
        <w:t>ет, признавая далекое от идеального положение мексиканских женщин, сталк</w:t>
      </w:r>
      <w:r w:rsidRPr="00F037FF">
        <w:t>и</w:t>
      </w:r>
      <w:r w:rsidRPr="00F037FF">
        <w:t>вающихся с насилием в семье, что сотрудник, проводивший оценку рисков до высылки, отметил наличие в стране ряда служб защиты, в частности в Мехико, где автор проживала и работала в течение нескольких лет, а также то, что она не доказала, что ей не удалось найти убежище в другой части Мексики за пр</w:t>
      </w:r>
      <w:r w:rsidRPr="00F037FF">
        <w:t>е</w:t>
      </w:r>
      <w:r w:rsidRPr="00F037FF">
        <w:t>делами ее родного города. Сотрудник также принял во внимание представле</w:t>
      </w:r>
      <w:r w:rsidRPr="00F037FF">
        <w:t>н</w:t>
      </w:r>
      <w:r w:rsidRPr="00F037FF">
        <w:t>ные автором доклады по вопросам прав человека и рассмотрел материалы брифинга органи</w:t>
      </w:r>
      <w:r>
        <w:t xml:space="preserve">зации </w:t>
      </w:r>
      <w:r w:rsidR="00A53EA8">
        <w:t>«</w:t>
      </w:r>
      <w:r w:rsidRPr="00F037FF">
        <w:t>Международная амнистия</w:t>
      </w:r>
      <w:r w:rsidR="00A53EA8">
        <w:t>»</w:t>
      </w:r>
      <w:r w:rsidRPr="00F037FF">
        <w:t>, переданные Комитету в 2012 году. Он</w:t>
      </w:r>
      <w:r>
        <w:t> </w:t>
      </w:r>
      <w:r w:rsidRPr="00F037FF">
        <w:t>установил, что в документе содержится актуальный обзор проя</w:t>
      </w:r>
      <w:r w:rsidRPr="00F037FF">
        <w:t>в</w:t>
      </w:r>
      <w:r w:rsidRPr="00F037FF">
        <w:t>лений насилия в отношении женщин в Мексике, однако он не отрицает во</w:t>
      </w:r>
      <w:r w:rsidRPr="00F037FF">
        <w:t>з</w:t>
      </w:r>
      <w:r w:rsidRPr="00F037FF">
        <w:t>можности использования автором альтернативы поиска убежища внутри стр</w:t>
      </w:r>
      <w:r w:rsidRPr="00F037FF">
        <w:t>а</w:t>
      </w:r>
      <w:r w:rsidRPr="00F037FF">
        <w:t>ны. Государство-участник также отмечает, что, несмотря на уделение особого внимания в подготовленных в последнее время докладах по вопросам прав ч</w:t>
      </w:r>
      <w:r w:rsidRPr="00F037FF">
        <w:t>е</w:t>
      </w:r>
      <w:r w:rsidRPr="00F037FF">
        <w:t>ловека многочисленным проблемам, с которыми в Мексике сталкиваются жертвы насилия в рамках супружеских отношений, в этой области был дости</w:t>
      </w:r>
      <w:r w:rsidRPr="00F037FF">
        <w:t>г</w:t>
      </w:r>
      <w:r w:rsidRPr="00F037FF">
        <w:t>нут определенный прогресс с учетом проведения правительством существе</w:t>
      </w:r>
      <w:r w:rsidRPr="00F037FF">
        <w:t>н</w:t>
      </w:r>
      <w:r w:rsidRPr="00F037FF">
        <w:t>ных законодательных реформ на федеральном уровне и на уровне отдельных штатов в целях повыш</w:t>
      </w:r>
      <w:r w:rsidRPr="00F037FF">
        <w:t>е</w:t>
      </w:r>
      <w:r w:rsidRPr="00F037FF">
        <w:t>ния уровня защиты</w:t>
      </w:r>
      <w:r w:rsidRPr="00AD11F7">
        <w:rPr>
          <w:rStyle w:val="FootnoteReference"/>
        </w:rPr>
        <w:footnoteReference w:id="16"/>
      </w:r>
      <w:r w:rsidRPr="00F037FF">
        <w:t>.</w:t>
      </w:r>
    </w:p>
    <w:p w:rsidR="00130086" w:rsidRPr="00F037FF" w:rsidRDefault="00130086" w:rsidP="00A53EA8">
      <w:pPr>
        <w:pStyle w:val="SingleTxt"/>
      </w:pPr>
      <w:r w:rsidRPr="00F037FF">
        <w:t>7.7</w:t>
      </w:r>
      <w:r w:rsidRPr="00F037FF">
        <w:tab/>
        <w:t>Государство-участник напоминает о том, что автор воспользовалась р</w:t>
      </w:r>
      <w:r w:rsidRPr="00F037FF">
        <w:t>е</w:t>
      </w:r>
      <w:r w:rsidRPr="00F037FF">
        <w:t>зультатами двух независимых оценок риска, с которым она, по ее утвержден</w:t>
      </w:r>
      <w:r w:rsidRPr="00F037FF">
        <w:t>и</w:t>
      </w:r>
      <w:r w:rsidRPr="00F037FF">
        <w:t>ям, мо</w:t>
      </w:r>
      <w:r w:rsidRPr="00F037FF">
        <w:t>г</w:t>
      </w:r>
      <w:r w:rsidRPr="00F037FF">
        <w:t>ла бы столкнуться после возвращения в Мексику. Государство-участник также отмечает тот факт, что ее ходатайство о пересмотре судебного решения было откл</w:t>
      </w:r>
      <w:r w:rsidRPr="00F037FF">
        <w:t>о</w:t>
      </w:r>
      <w:r w:rsidRPr="00F037FF">
        <w:t>нено без объяснения причин 7 июня 2013 года.</w:t>
      </w:r>
    </w:p>
    <w:p w:rsidR="00130086" w:rsidRPr="00F037FF" w:rsidRDefault="00130086" w:rsidP="00A53EA8">
      <w:pPr>
        <w:pStyle w:val="SingleTxt"/>
      </w:pPr>
      <w:r w:rsidRPr="00F037FF">
        <w:t>7.8</w:t>
      </w:r>
      <w:r w:rsidRPr="00F037FF">
        <w:tab/>
        <w:t>Наконец, государство-участник вновь заявляет о том, что Комитет не должен выступать в качестве еще одно</w:t>
      </w:r>
      <w:r>
        <w:t xml:space="preserve">й инстанции </w:t>
      </w:r>
      <w:r w:rsidRPr="00F037FF">
        <w:t>рассмотрения апелляций. Государство-участник вновь заявляет о том, что выводы, сделанные лицами, которые принимают решения на национальном уровне, включая вывод о том, что автор могла на безопасной основе переехать в другую часть Мексики, не носят прои</w:t>
      </w:r>
      <w:r w:rsidRPr="00F037FF">
        <w:t>з</w:t>
      </w:r>
      <w:r w:rsidRPr="00F037FF">
        <w:t>вольного характера и не свидетельствуют об отказе в правосудии в той мере, в какой потребовалось бы вмешательство в данную ситуацию Ком</w:t>
      </w:r>
      <w:r w:rsidRPr="00F037FF">
        <w:t>и</w:t>
      </w:r>
      <w:r w:rsidRPr="00F037FF">
        <w:t>тета. Государство-участник утверждает, что его иммиграционная система не сводит к минимуму конкретные риски, с которыми сталкиваются женщины, стремящиеся избежать насилия или преследования, однако оно считает, что х</w:t>
      </w:r>
      <w:r w:rsidRPr="00F037FF">
        <w:t>о</w:t>
      </w:r>
      <w:r w:rsidRPr="00F037FF">
        <w:t>датайство автора о пред</w:t>
      </w:r>
      <w:r w:rsidRPr="00F037FF">
        <w:t>о</w:t>
      </w:r>
      <w:r w:rsidRPr="00F037FF">
        <w:t>ставлении защиты было подвергнуто беспристрастной оценке.</w:t>
      </w:r>
    </w:p>
    <w:p w:rsidR="00130086" w:rsidRDefault="00130086" w:rsidP="00A53EA8">
      <w:pPr>
        <w:pStyle w:val="SingleTxt"/>
      </w:pPr>
      <w:r w:rsidRPr="00F037FF">
        <w:t>7.9</w:t>
      </w:r>
      <w:r w:rsidRPr="00F037FF">
        <w:tab/>
        <w:t>Государство-участник полагает, что сообщение автора основано на тех фактах и доказательствах, которые уже были представлены национальным о</w:t>
      </w:r>
      <w:r w:rsidRPr="00F037FF">
        <w:t>р</w:t>
      </w:r>
      <w:r w:rsidRPr="00F037FF">
        <w:t>ганам власти, и утверждает, что автор не предоставила доказательств того, что риск насилия в семье, с которым она сталкивается, существует на всей терр</w:t>
      </w:r>
      <w:r w:rsidRPr="00F037FF">
        <w:t>и</w:t>
      </w:r>
      <w:r w:rsidRPr="00F037FF">
        <w:t>тории страны и повышается до уровня наиболее серьезных нарушений прав человека, таких как пытки или другие столь же серьезные угрозы жизни и бе</w:t>
      </w:r>
      <w:r w:rsidRPr="00F037FF">
        <w:t>з</w:t>
      </w:r>
      <w:r w:rsidRPr="00F037FF">
        <w:t xml:space="preserve">опасности </w:t>
      </w:r>
      <w:r>
        <w:t>личности.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</w:rPr>
      </w:pPr>
    </w:p>
    <w:p w:rsidR="00130086" w:rsidRDefault="00A53EA8" w:rsidP="00A53E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30086" w:rsidRPr="00F037FF">
        <w:t xml:space="preserve">Комментарии автора </w:t>
      </w:r>
      <w:r w:rsidR="00130086">
        <w:t xml:space="preserve">по </w:t>
      </w:r>
      <w:r w:rsidR="00130086" w:rsidRPr="00F037FF">
        <w:t xml:space="preserve">дополнительным замечаниям государства-участника относительно приемлемости и существа </w:t>
      </w:r>
      <w:r w:rsidR="00130086">
        <w:t xml:space="preserve">сообщения 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</w:rPr>
      </w:pPr>
    </w:p>
    <w:p w:rsidR="00130086" w:rsidRPr="00F037FF" w:rsidRDefault="00130086" w:rsidP="00A53EA8">
      <w:pPr>
        <w:pStyle w:val="SingleTxt"/>
      </w:pPr>
      <w:r w:rsidRPr="00F037FF">
        <w:t>8.1</w:t>
      </w:r>
      <w:r w:rsidRPr="00F037FF">
        <w:tab/>
        <w:t>20 декабря 2013 года автор представила комментарии к замечаниям гос</w:t>
      </w:r>
      <w:r w:rsidRPr="00F037FF">
        <w:t>у</w:t>
      </w:r>
      <w:r w:rsidRPr="00F037FF">
        <w:t>дарства-участника по существу дела. Она ссылается на свои предыдущие пре</w:t>
      </w:r>
      <w:r w:rsidRPr="00F037FF">
        <w:t>д</w:t>
      </w:r>
      <w:r w:rsidRPr="00F037FF">
        <w:t>ставления и вновь повторяет свой аргумент в отношении того, что Канада несет ответственность за предсказуемые последствия своих действий в случае ее возвращения в Мексику, где она подвергнется гендерному насилию. Далее автор обращает особое внимание на то, что Комитет занял аналогичную поз</w:t>
      </w:r>
      <w:r w:rsidRPr="00F037FF">
        <w:t>и</w:t>
      </w:r>
      <w:r w:rsidRPr="00F037FF">
        <w:t>ци</w:t>
      </w:r>
      <w:r>
        <w:t xml:space="preserve">ю при принятии решения по делу </w:t>
      </w:r>
      <w:r w:rsidRPr="003369FF">
        <w:rPr>
          <w:i/>
        </w:rPr>
        <w:t>М.Н.Н. против Дании</w:t>
      </w:r>
      <w:r w:rsidRPr="00F037FF">
        <w:t>.</w:t>
      </w:r>
    </w:p>
    <w:p w:rsidR="00130086" w:rsidRPr="00F037FF" w:rsidRDefault="00130086" w:rsidP="00A53EA8">
      <w:pPr>
        <w:pStyle w:val="SingleTxt"/>
      </w:pPr>
      <w:r w:rsidRPr="00F037FF">
        <w:t>8.2</w:t>
      </w:r>
      <w:r w:rsidRPr="00F037FF">
        <w:tab/>
        <w:t>Автор также вновь заявляет о том, что на государства-участник</w:t>
      </w:r>
      <w:r>
        <w:t>и</w:t>
      </w:r>
      <w:r w:rsidRPr="00F037FF">
        <w:t xml:space="preserve"> распр</w:t>
      </w:r>
      <w:r w:rsidRPr="00F037FF">
        <w:t>о</w:t>
      </w:r>
      <w:r w:rsidRPr="00F037FF">
        <w:t>страняется обязательство о невысылке из страны физических лиц в случае, е</w:t>
      </w:r>
      <w:r w:rsidRPr="00F037FF">
        <w:t>с</w:t>
      </w:r>
      <w:r w:rsidRPr="00F037FF">
        <w:t>ли предсказуемыми последствиями такого рода высылки станет нарушение их прав, предусмотренных Международным пактом о гражданских и политич</w:t>
      </w:r>
      <w:r w:rsidRPr="00F037FF">
        <w:t>е</w:t>
      </w:r>
      <w:r w:rsidRPr="00F037FF">
        <w:t xml:space="preserve">ских правах, даже в случаях, когда такого рода нарушение не предполагает опасности для жизни, риска пыток или </w:t>
      </w:r>
      <w:r>
        <w:t xml:space="preserve">риска </w:t>
      </w:r>
      <w:r w:rsidRPr="00F037FF">
        <w:t>жестокого</w:t>
      </w:r>
      <w:r>
        <w:t xml:space="preserve">, бесчеловечного </w:t>
      </w:r>
      <w:r w:rsidRPr="00F037FF">
        <w:t>или унижающего достои</w:t>
      </w:r>
      <w:r w:rsidRPr="00F037FF">
        <w:t>н</w:t>
      </w:r>
      <w:r w:rsidRPr="00F037FF">
        <w:t>ство обращения. Автор сообщения полагает, что в любом случае предполагаемый риск представляет собой угрозу для жизни, а физич</w:t>
      </w:r>
      <w:r w:rsidRPr="00F037FF">
        <w:t>е</w:t>
      </w:r>
      <w:r w:rsidRPr="00F037FF">
        <w:t>ское насилие, которому она подверглась и которому она будет снова подве</w:t>
      </w:r>
      <w:r w:rsidRPr="00F037FF">
        <w:t>р</w:t>
      </w:r>
      <w:r w:rsidRPr="00F037FF">
        <w:t xml:space="preserve">гаться после возвращения, также представляет собой жестокое и </w:t>
      </w:r>
      <w:r>
        <w:t>не отвеча</w:t>
      </w:r>
      <w:r>
        <w:t>ю</w:t>
      </w:r>
      <w:r>
        <w:t xml:space="preserve">щее установленным нормам </w:t>
      </w:r>
      <w:r w:rsidRPr="00F037FF">
        <w:t>наказание или о</w:t>
      </w:r>
      <w:r w:rsidRPr="00F037FF">
        <w:t>б</w:t>
      </w:r>
      <w:r w:rsidRPr="00F037FF">
        <w:t>ращение.</w:t>
      </w:r>
    </w:p>
    <w:p w:rsidR="00130086" w:rsidRPr="00F037FF" w:rsidRDefault="00130086" w:rsidP="00A53EA8">
      <w:pPr>
        <w:pStyle w:val="SingleTxt"/>
      </w:pPr>
      <w:r w:rsidRPr="00F037FF">
        <w:t>8.3</w:t>
      </w:r>
      <w:r w:rsidRPr="00F037FF">
        <w:tab/>
        <w:t>Автор вновь заявляет о том, что она является пострадавшей в результате отказа в правосудии со стороны канадских иммиграционных власт</w:t>
      </w:r>
      <w:r>
        <w:t>ей</w:t>
      </w:r>
      <w:r w:rsidRPr="00F037FF">
        <w:t>, что оправдывает вмешательство Комитета в рассмотрение дела с учетом того, что представленная сотрудником по оценке рисков до высылки оценка альтернат</w:t>
      </w:r>
      <w:r w:rsidRPr="00F037FF">
        <w:t>и</w:t>
      </w:r>
      <w:r w:rsidRPr="00F037FF">
        <w:t>вы поиску убежища внутри страны была основана на выборочном использов</w:t>
      </w:r>
      <w:r w:rsidRPr="00F037FF">
        <w:t>а</w:t>
      </w:r>
      <w:r w:rsidRPr="00F037FF">
        <w:t>нии некоторой части достоверных доказательств, которые она представила в доказательство обоснованности своей жалобы. Например, сотрудник без дост</w:t>
      </w:r>
      <w:r w:rsidRPr="00F037FF">
        <w:t>а</w:t>
      </w:r>
      <w:r w:rsidRPr="00F037FF">
        <w:t>точных на то оснований проигнорировал до</w:t>
      </w:r>
      <w:r>
        <w:t xml:space="preserve">клад организации </w:t>
      </w:r>
      <w:r w:rsidR="00A53EA8">
        <w:t>«</w:t>
      </w:r>
      <w:r>
        <w:t>Хьюман райтс у</w:t>
      </w:r>
      <w:r w:rsidRPr="00F037FF">
        <w:t>отч</w:t>
      </w:r>
      <w:r w:rsidR="00A53EA8">
        <w:t>»</w:t>
      </w:r>
      <w:r w:rsidRPr="00F037FF">
        <w:t xml:space="preserve"> о положении в Мексике и сделал необоснованные выводы из матери</w:t>
      </w:r>
      <w:r w:rsidRPr="00F037FF">
        <w:t>а</w:t>
      </w:r>
      <w:r w:rsidRPr="00F037FF">
        <w:t>лов брифинга, которые были пред</w:t>
      </w:r>
      <w:r>
        <w:t xml:space="preserve">ставлены Комитету организацией </w:t>
      </w:r>
      <w:r w:rsidR="00A53EA8">
        <w:t>«</w:t>
      </w:r>
      <w:r w:rsidRPr="00F037FF">
        <w:t>Междунаро</w:t>
      </w:r>
      <w:r w:rsidRPr="00F037FF">
        <w:t>д</w:t>
      </w:r>
      <w:r w:rsidRPr="00F037FF">
        <w:t>ная амнистия</w:t>
      </w:r>
      <w:r w:rsidR="00A53EA8">
        <w:t>»</w:t>
      </w:r>
      <w:r w:rsidRPr="00F037FF">
        <w:t>. Автор далее утверждает, что при рассмотрении Федеральным судом ее ходатайства об отсрочке высылки Федеральный суд не принял во внимание представленные ею аргументы, документы и данные о правоприм</w:t>
      </w:r>
      <w:r w:rsidRPr="00F037FF">
        <w:t>е</w:t>
      </w:r>
      <w:r w:rsidRPr="00F037FF">
        <w:t>нительной практике.</w:t>
      </w:r>
    </w:p>
    <w:p w:rsidR="00130086" w:rsidRPr="00F037FF" w:rsidRDefault="00130086" w:rsidP="00A53EA8">
      <w:pPr>
        <w:pStyle w:val="SingleTxt"/>
      </w:pPr>
      <w:r w:rsidRPr="00F037FF">
        <w:t>8.4</w:t>
      </w:r>
      <w:r w:rsidRPr="00F037FF">
        <w:tab/>
        <w:t>Автор оспаривает позицию, занятую государством-участником в конте</w:t>
      </w:r>
      <w:r w:rsidRPr="00F037FF">
        <w:t>к</w:t>
      </w:r>
      <w:r w:rsidRPr="00F037FF">
        <w:t>сте направленного им в Федеральный суд меморандума, утверждая, что нал</w:t>
      </w:r>
      <w:r w:rsidRPr="00F037FF">
        <w:t>и</w:t>
      </w:r>
      <w:r w:rsidRPr="00F037FF">
        <w:t>чие защиты не следует учитывать при рассмотрении вопроса о том, может ли Мехико быть альтернативным местом убежища внутри страны.</w:t>
      </w:r>
    </w:p>
    <w:p w:rsidR="00130086" w:rsidRPr="00F037FF" w:rsidRDefault="00130086" w:rsidP="00A53EA8">
      <w:pPr>
        <w:pStyle w:val="SingleTxt"/>
      </w:pPr>
      <w:r w:rsidRPr="00F037FF">
        <w:t>8.5</w:t>
      </w:r>
      <w:r w:rsidRPr="00F037FF">
        <w:tab/>
        <w:t>Автор ссылается на последующие доклады, опубликова</w:t>
      </w:r>
      <w:r>
        <w:t xml:space="preserve">нные в 2013 году организациями </w:t>
      </w:r>
      <w:r w:rsidR="00A53EA8">
        <w:t>«</w:t>
      </w:r>
      <w:r>
        <w:t>Хьюман райтс у</w:t>
      </w:r>
      <w:r w:rsidRPr="00F037FF">
        <w:t>отч</w:t>
      </w:r>
      <w:r w:rsidR="00A53EA8">
        <w:t>»</w:t>
      </w:r>
      <w:r>
        <w:t xml:space="preserve"> и </w:t>
      </w:r>
      <w:r w:rsidR="00A53EA8">
        <w:t>«</w:t>
      </w:r>
      <w:r w:rsidRPr="00F037FF">
        <w:t>Международная амнистия</w:t>
      </w:r>
      <w:r w:rsidR="00A53EA8">
        <w:t>»</w:t>
      </w:r>
      <w:r w:rsidRPr="00F037FF">
        <w:t xml:space="preserve"> по поводу </w:t>
      </w:r>
      <w:r>
        <w:t xml:space="preserve">недостаточного и ненадлежащего </w:t>
      </w:r>
      <w:r w:rsidRPr="00F037FF">
        <w:t>уровня защиты жертв гендерного насилия в Ме</w:t>
      </w:r>
      <w:r w:rsidRPr="00F037FF">
        <w:t>к</w:t>
      </w:r>
      <w:r w:rsidRPr="00F037FF">
        <w:t>сике.</w:t>
      </w:r>
    </w:p>
    <w:p w:rsidR="00130086" w:rsidRDefault="00130086" w:rsidP="00A53EA8">
      <w:pPr>
        <w:pStyle w:val="SingleTxt"/>
      </w:pPr>
      <w:r w:rsidRPr="00F037FF">
        <w:t>8.6</w:t>
      </w:r>
      <w:r w:rsidRPr="00F037FF">
        <w:tab/>
        <w:t xml:space="preserve">В связи с вопросом об исчерпании внутренних средств правовой защиты она указывает на то, что ее ходатайство о </w:t>
      </w:r>
      <w:r>
        <w:t xml:space="preserve">судебном </w:t>
      </w:r>
      <w:r w:rsidRPr="00F037FF">
        <w:t>пересмотре решения по оценке рисков до высылки было отклонено 7 июня 2013 года без указания пр</w:t>
      </w:r>
      <w:r w:rsidRPr="00F037FF">
        <w:t>и</w:t>
      </w:r>
      <w:r w:rsidRPr="00F037FF">
        <w:t>чин такого решения и она не имеет доступа к каким-либо дополнительным внутренним средствам правовой защиты.</w:t>
      </w:r>
    </w:p>
    <w:p w:rsidR="00A53EA8" w:rsidRPr="00A53EA8" w:rsidRDefault="00A53EA8" w:rsidP="00A53EA8">
      <w:pPr>
        <w:pStyle w:val="SingleTxt"/>
        <w:spacing w:after="0" w:line="120" w:lineRule="exact"/>
        <w:rPr>
          <w:sz w:val="10"/>
        </w:rPr>
      </w:pPr>
    </w:p>
    <w:p w:rsidR="00130086" w:rsidRDefault="00130086" w:rsidP="00A53EA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F037FF">
        <w:t>Вопросы о приемлемости и процедуры их рассмотрения в Комит</w:t>
      </w:r>
      <w:r w:rsidRPr="00F037FF">
        <w:t>е</w:t>
      </w:r>
      <w:r w:rsidRPr="00F037FF">
        <w:t>те</w:t>
      </w:r>
    </w:p>
    <w:p w:rsidR="00A53EA8" w:rsidRPr="00A53EA8" w:rsidRDefault="00A53EA8" w:rsidP="00A53EA8">
      <w:pPr>
        <w:spacing w:line="120" w:lineRule="exact"/>
        <w:rPr>
          <w:sz w:val="10"/>
        </w:rPr>
      </w:pPr>
    </w:p>
    <w:p w:rsidR="00130086" w:rsidRPr="00F037FF" w:rsidRDefault="00130086" w:rsidP="00A53EA8">
      <w:pPr>
        <w:pStyle w:val="SingleTxt"/>
      </w:pPr>
      <w:r w:rsidRPr="00F037FF">
        <w:t>9.1</w:t>
      </w:r>
      <w:r w:rsidRPr="00F037FF">
        <w:tab/>
        <w:t>В соответствии с правилом 64 своих правил процедуры Комитет должен решать, является ли сообщение приемлемым согласно Факультативному прот</w:t>
      </w:r>
      <w:r w:rsidRPr="00F037FF">
        <w:t>о</w:t>
      </w:r>
      <w:r w:rsidRPr="00F037FF">
        <w:t>колу. В соответствии с пунктом 4 правила 72 он делает это до рассмотрения сообщения по существу.</w:t>
      </w:r>
    </w:p>
    <w:p w:rsidR="00130086" w:rsidRPr="00F037FF" w:rsidRDefault="00130086" w:rsidP="00A53EA8">
      <w:pPr>
        <w:pStyle w:val="SingleTxt"/>
      </w:pPr>
      <w:r w:rsidRPr="00F037FF">
        <w:t>9.2</w:t>
      </w:r>
      <w:r w:rsidRPr="00F037FF">
        <w:tab/>
        <w:t>Как того требует пункт 2 а) статьи 4 Факультативного протокола, Комитет убедился в том, что тот же вопрос еще не был рассмотрен или не рассматрив</w:t>
      </w:r>
      <w:r w:rsidRPr="00F037FF">
        <w:t>а</w:t>
      </w:r>
      <w:r w:rsidRPr="00F037FF">
        <w:t>ется в соответствии с другой процедурой международного разбирательства или урег</w:t>
      </w:r>
      <w:r w:rsidRPr="00F037FF">
        <w:t>у</w:t>
      </w:r>
      <w:r w:rsidRPr="00F037FF">
        <w:t>лирования.</w:t>
      </w:r>
    </w:p>
    <w:p w:rsidR="00130086" w:rsidRPr="00F037FF" w:rsidRDefault="00130086" w:rsidP="00A53EA8">
      <w:pPr>
        <w:pStyle w:val="SingleTxt"/>
      </w:pPr>
      <w:r w:rsidRPr="00F037FF">
        <w:t>9.3</w:t>
      </w:r>
      <w:r w:rsidRPr="00F037FF">
        <w:tab/>
        <w:t>Комитет принимает к сведению заявления автора сообщения о том, что ее депортация в Мексику будет являться нарушением положений статей 1–3 Ко</w:t>
      </w:r>
      <w:r w:rsidRPr="00F037FF">
        <w:t>н</w:t>
      </w:r>
      <w:r w:rsidRPr="00F037FF">
        <w:t>венции, рассматриваемых в совокупности с общей рекомендацией № 19 Ком</w:t>
      </w:r>
      <w:r w:rsidRPr="00F037FF">
        <w:t>и</w:t>
      </w:r>
      <w:r w:rsidRPr="00F037FF">
        <w:t>тета, в связи с якобы существующим риском гендерного насилия, с которым автор столкнется в случае, если она будет возвращена в Мексику, с учетом т</w:t>
      </w:r>
      <w:r w:rsidRPr="00F037FF">
        <w:t>о</w:t>
      </w:r>
      <w:r w:rsidRPr="00F037FF">
        <w:t>го, что ранее она уже пострадала от насилия в семье и мексиканские власти не смогли предоставить ей защиту. Комитет отмечает, что государство-участник оспаривает прие</w:t>
      </w:r>
      <w:r w:rsidRPr="00F037FF">
        <w:t>м</w:t>
      </w:r>
      <w:r w:rsidRPr="00F037FF">
        <w:t xml:space="preserve">лемость сообщения на том основании, что исчерпаны не все </w:t>
      </w:r>
      <w:r>
        <w:t xml:space="preserve">внутренние </w:t>
      </w:r>
      <w:r w:rsidRPr="00F037FF">
        <w:t>средства правовой защиты согласно пункту</w:t>
      </w:r>
      <w:r>
        <w:t xml:space="preserve"> 1</w:t>
      </w:r>
      <w:r w:rsidRPr="00F037FF">
        <w:t xml:space="preserve"> статьи</w:t>
      </w:r>
      <w:r>
        <w:t xml:space="preserve"> </w:t>
      </w:r>
      <w:r w:rsidRPr="00F037FF">
        <w:t>4 Факульт</w:t>
      </w:r>
      <w:r w:rsidRPr="00F037FF">
        <w:t>а</w:t>
      </w:r>
      <w:r w:rsidRPr="00F037FF">
        <w:t>тивного протокола. Комитет также принимает к сведению, что государство-участник утверждает, что сообщение должно рассматриваться в качестве н</w:t>
      </w:r>
      <w:r w:rsidRPr="00F037FF">
        <w:t>е</w:t>
      </w:r>
      <w:r w:rsidRPr="00F037FF">
        <w:t>приемлем</w:t>
      </w:r>
      <w:r>
        <w:t xml:space="preserve">ого в соответствии с пунктами 2 b) и c) статьи </w:t>
      </w:r>
      <w:r w:rsidRPr="00F037FF">
        <w:t>4 Факультативного протокола на том основании, что требования автора несовместимы с полож</w:t>
      </w:r>
      <w:r w:rsidRPr="00F037FF">
        <w:t>е</w:t>
      </w:r>
      <w:r w:rsidRPr="00F037FF">
        <w:t xml:space="preserve">ниями Конвенции и </w:t>
      </w:r>
      <w:r>
        <w:t xml:space="preserve">явно </w:t>
      </w:r>
      <w:r w:rsidRPr="00F037FF">
        <w:t>являются плохо а</w:t>
      </w:r>
      <w:r w:rsidRPr="00F037FF">
        <w:t>р</w:t>
      </w:r>
      <w:r w:rsidRPr="00F037FF">
        <w:t>гументированными и недостаточно обоснованными.</w:t>
      </w:r>
    </w:p>
    <w:p w:rsidR="00130086" w:rsidRDefault="00130086" w:rsidP="00A53EA8">
      <w:pPr>
        <w:pStyle w:val="SingleTxt"/>
        <w:rPr>
          <w:rFonts w:eastAsia="MS Mincho"/>
          <w:kern w:val="0"/>
          <w:lang w:eastAsia="ja-JP"/>
        </w:rPr>
      </w:pPr>
      <w:r w:rsidRPr="00F037FF">
        <w:t>9.4</w:t>
      </w:r>
      <w:r w:rsidRPr="00F037FF">
        <w:tab/>
        <w:t xml:space="preserve">Что касается </w:t>
      </w:r>
      <w:r>
        <w:t xml:space="preserve">неисчерпания </w:t>
      </w:r>
      <w:r w:rsidRPr="00F037FF">
        <w:t>внутренних средств правовой защиты, то К</w:t>
      </w:r>
      <w:r w:rsidRPr="00F037FF">
        <w:t>о</w:t>
      </w:r>
      <w:r w:rsidRPr="00F037FF">
        <w:t xml:space="preserve">митет </w:t>
      </w:r>
      <w:r>
        <w:t xml:space="preserve">отмечает </w:t>
      </w:r>
      <w:r w:rsidRPr="00F037FF">
        <w:t>приводимый государством-участником аргумент относительно того, что автор могла бы ходатайствовать о предоставлении ей постоянного в</w:t>
      </w:r>
      <w:r w:rsidRPr="00F037FF">
        <w:t>и</w:t>
      </w:r>
      <w:r w:rsidRPr="00F037FF">
        <w:t>да на жительство по соображениям гуманности и сострадания и что она не до сих пор этого не сделала.</w:t>
      </w:r>
      <w:r>
        <w:t xml:space="preserve"> Комитет принимает к сведению утверждение гос</w:t>
      </w:r>
      <w:r>
        <w:t>у</w:t>
      </w:r>
      <w:r>
        <w:t>дарства-участника о том, что ожидающее своего рассмотрения ходатайство на основании таких соображений не остановит процесс депортации автора и что ходатайства по соображениям гуманности и сострадания больше не строятся на оценке риска по возвращении. Комитет полагает, что, стремясь добиться приостановки процесса депортации и пересмотра в порядке судебного надзора Федеральным судом, высшим судебным органом государства-участника, отр</w:t>
      </w:r>
      <w:r>
        <w:t>и</w:t>
      </w:r>
      <w:r>
        <w:t>цательного решения по оценке рисков до высылки от 5 декабря 2012 года, а</w:t>
      </w:r>
      <w:r>
        <w:t>в</w:t>
      </w:r>
      <w:r>
        <w:t>тор исчерпала имеющиеся в ее распоряжении внутренние средства правовой защиты для целей приемлемости с</w:t>
      </w:r>
      <w:r>
        <w:t>о</w:t>
      </w:r>
      <w:r>
        <w:t>гласно пункту 1 статьи 4 Факультативного протокола</w:t>
      </w:r>
      <w:r w:rsidRPr="00AD11F7">
        <w:rPr>
          <w:rStyle w:val="FootnoteReference"/>
          <w:spacing w:val="0"/>
          <w:w w:val="100"/>
          <w:kern w:val="0"/>
          <w:lang/>
        </w:rPr>
        <w:footnoteReference w:id="17"/>
      </w:r>
      <w:r>
        <w:t>. В этих обстоятельствах Комитет считает, что непредставление а</w:t>
      </w:r>
      <w:r>
        <w:t>в</w:t>
      </w:r>
      <w:r>
        <w:t>тором такого ходатайства по соображениям гуманности и сострадания не вли</w:t>
      </w:r>
      <w:r>
        <w:t>я</w:t>
      </w:r>
      <w:r>
        <w:t>ет на исчерпание средств правовой защиты и что представление такого ход</w:t>
      </w:r>
      <w:r>
        <w:t>а</w:t>
      </w:r>
      <w:r>
        <w:t>тайства не является необходимым условием для соблюдения требований пун</w:t>
      </w:r>
      <w:r>
        <w:t>к</w:t>
      </w:r>
      <w:r>
        <w:t>та</w:t>
      </w:r>
      <w:r w:rsidR="003C54C8">
        <w:t> </w:t>
      </w:r>
      <w:r>
        <w:t>1 статьи 4 Факультативного пр</w:t>
      </w:r>
      <w:r>
        <w:t>о</w:t>
      </w:r>
      <w:r>
        <w:t xml:space="preserve">токола. </w:t>
      </w:r>
    </w:p>
    <w:p w:rsidR="00130086" w:rsidRDefault="00130086" w:rsidP="00A53EA8">
      <w:pPr>
        <w:pStyle w:val="SingleTxt"/>
        <w:rPr>
          <w:kern w:val="0"/>
        </w:rPr>
      </w:pPr>
      <w:r>
        <w:rPr>
          <w:rFonts w:eastAsia="MS Mincho"/>
          <w:kern w:val="0"/>
          <w:lang w:eastAsia="ja-JP"/>
        </w:rPr>
        <w:t>9.5</w:t>
      </w:r>
      <w:r w:rsidRPr="001E4C1B">
        <w:rPr>
          <w:rFonts w:eastAsia="MS Mincho"/>
          <w:kern w:val="0"/>
          <w:lang w:eastAsia="ja-JP"/>
        </w:rPr>
        <w:tab/>
        <w:t>К</w:t>
      </w:r>
      <w:r>
        <w:rPr>
          <w:rFonts w:eastAsia="MS Mincho"/>
          <w:kern w:val="0"/>
          <w:lang w:eastAsia="ja-JP"/>
        </w:rPr>
        <w:t>асательно аргумента государства-участника о том</w:t>
      </w:r>
      <w:r w:rsidRPr="001E4C1B">
        <w:rPr>
          <w:rFonts w:eastAsia="MS Mincho"/>
          <w:kern w:val="0"/>
          <w:lang w:eastAsia="ja-JP"/>
        </w:rPr>
        <w:t>, что заявления автора являются несовместимыми с положениями Конвенции, которая, по его утве</w:t>
      </w:r>
      <w:r w:rsidRPr="001E4C1B">
        <w:rPr>
          <w:rFonts w:eastAsia="MS Mincho"/>
          <w:kern w:val="0"/>
          <w:lang w:eastAsia="ja-JP"/>
        </w:rPr>
        <w:t>р</w:t>
      </w:r>
      <w:r w:rsidRPr="001E4C1B">
        <w:rPr>
          <w:rFonts w:eastAsia="MS Mincho"/>
          <w:kern w:val="0"/>
          <w:lang w:eastAsia="ja-JP"/>
        </w:rPr>
        <w:t>жд</w:t>
      </w:r>
      <w:r w:rsidRPr="001E4C1B">
        <w:rPr>
          <w:rFonts w:eastAsia="MS Mincho"/>
          <w:kern w:val="0"/>
          <w:lang w:eastAsia="ja-JP"/>
        </w:rPr>
        <w:t>е</w:t>
      </w:r>
      <w:r w:rsidRPr="001E4C1B">
        <w:rPr>
          <w:rFonts w:eastAsia="MS Mincho"/>
          <w:kern w:val="0"/>
          <w:lang w:eastAsia="ja-JP"/>
        </w:rPr>
        <w:t>нию, не содержит обязательства о невысылке</w:t>
      </w:r>
      <w:r>
        <w:rPr>
          <w:rFonts w:eastAsia="MS Mincho"/>
          <w:kern w:val="0"/>
          <w:lang w:eastAsia="ja-JP"/>
        </w:rPr>
        <w:t>,</w:t>
      </w:r>
      <w:r w:rsidRPr="001E4C1B">
        <w:rPr>
          <w:rFonts w:eastAsia="MS Mincho"/>
          <w:kern w:val="0"/>
          <w:lang w:eastAsia="ja-JP"/>
        </w:rPr>
        <w:t xml:space="preserve"> Комитет </w:t>
      </w:r>
      <w:r>
        <w:rPr>
          <w:rFonts w:eastAsia="MS Mincho"/>
          <w:kern w:val="0"/>
          <w:lang w:eastAsia="ja-JP"/>
        </w:rPr>
        <w:t>подчеркивает</w:t>
      </w:r>
      <w:r w:rsidRPr="001E4C1B">
        <w:rPr>
          <w:rFonts w:eastAsia="MS Mincho"/>
          <w:kern w:val="0"/>
          <w:lang w:eastAsia="ja-JP"/>
        </w:rPr>
        <w:t>, что в соо</w:t>
      </w:r>
      <w:r w:rsidRPr="001E4C1B">
        <w:rPr>
          <w:rFonts w:eastAsia="MS Mincho"/>
          <w:kern w:val="0"/>
          <w:lang w:eastAsia="ja-JP"/>
        </w:rPr>
        <w:t>т</w:t>
      </w:r>
      <w:r w:rsidRPr="001E4C1B">
        <w:rPr>
          <w:rFonts w:eastAsia="MS Mincho"/>
          <w:kern w:val="0"/>
          <w:lang w:eastAsia="ja-JP"/>
        </w:rPr>
        <w:t>ветствии с</w:t>
      </w:r>
      <w:r w:rsidR="003C54C8">
        <w:rPr>
          <w:rFonts w:eastAsia="MS Mincho"/>
          <w:kern w:val="0"/>
          <w:lang w:eastAsia="ja-JP"/>
        </w:rPr>
        <w:t xml:space="preserve"> </w:t>
      </w:r>
      <w:r w:rsidRPr="001E4C1B">
        <w:rPr>
          <w:rFonts w:eastAsia="MS Mincho"/>
          <w:kern w:val="0"/>
          <w:lang w:eastAsia="ja-JP"/>
        </w:rPr>
        <w:t>пунктом </w:t>
      </w:r>
      <w:r w:rsidRPr="001E4C1B">
        <w:rPr>
          <w:rFonts w:eastAsia="MS Mincho"/>
          <w:kern w:val="0"/>
          <w:lang w:val="en-GB" w:eastAsia="ja-JP"/>
        </w:rPr>
        <w:t>d</w:t>
      </w:r>
      <w:r w:rsidRPr="001E4C1B">
        <w:rPr>
          <w:rFonts w:eastAsia="MS Mincho"/>
          <w:kern w:val="0"/>
          <w:lang w:eastAsia="ja-JP"/>
        </w:rPr>
        <w:t>) статьи 2 Конвенции государства-участники должны воздерживаться от совершения каких-либо дискриминационных актов или действий в отношении женщин и гарантировать, что государственные органы и учреждения будут действовать в соответствии с этим обязательством. Ком</w:t>
      </w:r>
      <w:r w:rsidRPr="001E4C1B">
        <w:rPr>
          <w:rFonts w:eastAsia="MS Mincho"/>
          <w:kern w:val="0"/>
          <w:lang w:eastAsia="ja-JP"/>
        </w:rPr>
        <w:t>и</w:t>
      </w:r>
      <w:r w:rsidRPr="001E4C1B">
        <w:rPr>
          <w:rFonts w:eastAsia="MS Mincho"/>
          <w:kern w:val="0"/>
          <w:lang w:eastAsia="ja-JP"/>
        </w:rPr>
        <w:t xml:space="preserve">тет также подчеркивает, что в соответствии с его </w:t>
      </w:r>
      <w:r>
        <w:rPr>
          <w:rFonts w:eastAsia="MS Mincho"/>
          <w:kern w:val="0"/>
          <w:lang w:eastAsia="ja-JP"/>
        </w:rPr>
        <w:t xml:space="preserve">установившейся </w:t>
      </w:r>
      <w:r w:rsidRPr="001E4C1B">
        <w:rPr>
          <w:rFonts w:eastAsia="MS Mincho"/>
          <w:kern w:val="0"/>
          <w:lang w:eastAsia="ja-JP"/>
        </w:rPr>
        <w:t>правовой практикой пункт </w:t>
      </w:r>
      <w:r w:rsidRPr="001E4C1B">
        <w:rPr>
          <w:rFonts w:eastAsia="MS Mincho"/>
          <w:kern w:val="0"/>
          <w:lang w:val="en-GB" w:eastAsia="ja-JP"/>
        </w:rPr>
        <w:t>d</w:t>
      </w:r>
      <w:r w:rsidRPr="001E4C1B">
        <w:rPr>
          <w:rFonts w:eastAsia="MS Mincho"/>
          <w:kern w:val="0"/>
          <w:lang w:eastAsia="ja-JP"/>
        </w:rPr>
        <w:t>) статьи 2 предполагает обязательство государств-участников защищать женщин от реального, личного и предсказуемого риска подвергнуться серьезным формам гендерного насилия, независимо от того, наступят ли такие последствия за пределами территориальных границ выс</w:t>
      </w:r>
      <w:r w:rsidRPr="001E4C1B">
        <w:rPr>
          <w:rFonts w:eastAsia="MS Mincho"/>
          <w:kern w:val="0"/>
          <w:lang w:eastAsia="ja-JP"/>
        </w:rPr>
        <w:t>ы</w:t>
      </w:r>
      <w:r w:rsidRPr="001E4C1B">
        <w:rPr>
          <w:rFonts w:eastAsia="MS Mincho"/>
          <w:kern w:val="0"/>
          <w:lang w:eastAsia="ja-JP"/>
        </w:rPr>
        <w:t>лающего государства-участника</w:t>
      </w:r>
      <w:r w:rsidRPr="00AD11F7">
        <w:rPr>
          <w:rStyle w:val="FootnoteReference"/>
          <w:rFonts w:eastAsia="MS Mincho"/>
          <w:spacing w:val="0"/>
          <w:w w:val="100"/>
          <w:kern w:val="0"/>
          <w:lang w:eastAsia="ja-JP"/>
        </w:rPr>
        <w:footnoteReference w:id="18"/>
      </w:r>
      <w:r w:rsidRPr="001E4C1B">
        <w:rPr>
          <w:rFonts w:eastAsia="MS Mincho"/>
          <w:kern w:val="0"/>
          <w:lang w:eastAsia="ja-JP"/>
        </w:rPr>
        <w:t>. Комитет далее напоминает, что гендерное насилие является формой дискриминации в отношении женщин и включает действия, которые причиняют ущерб и страдания физического, психологич</w:t>
      </w:r>
      <w:r w:rsidRPr="001E4C1B">
        <w:rPr>
          <w:rFonts w:eastAsia="MS Mincho"/>
          <w:kern w:val="0"/>
          <w:lang w:eastAsia="ja-JP"/>
        </w:rPr>
        <w:t>е</w:t>
      </w:r>
      <w:r w:rsidRPr="001E4C1B">
        <w:rPr>
          <w:rFonts w:eastAsia="MS Mincho"/>
          <w:kern w:val="0"/>
          <w:lang w:eastAsia="ja-JP"/>
        </w:rPr>
        <w:t>ского или сексуального характера, угрозу таких действий, принуждение и др</w:t>
      </w:r>
      <w:r w:rsidRPr="001E4C1B">
        <w:rPr>
          <w:rFonts w:eastAsia="MS Mincho"/>
          <w:kern w:val="0"/>
          <w:lang w:eastAsia="ja-JP"/>
        </w:rPr>
        <w:t>у</w:t>
      </w:r>
      <w:r w:rsidRPr="001E4C1B">
        <w:rPr>
          <w:rFonts w:eastAsia="MS Mincho"/>
          <w:kern w:val="0"/>
          <w:lang w:eastAsia="ja-JP"/>
        </w:rPr>
        <w:t>гие формы ущемления свободы</w:t>
      </w:r>
      <w:r w:rsidRPr="00AD11F7">
        <w:rPr>
          <w:rStyle w:val="FootnoteReference"/>
          <w:rFonts w:eastAsia="MS Mincho"/>
          <w:spacing w:val="0"/>
          <w:w w:val="100"/>
          <w:kern w:val="0"/>
          <w:lang w:eastAsia="ja-JP"/>
        </w:rPr>
        <w:footnoteReference w:id="19"/>
      </w:r>
      <w:r w:rsidRPr="001E4C1B">
        <w:rPr>
          <w:rFonts w:eastAsia="MS Mincho"/>
          <w:kern w:val="0"/>
          <w:lang w:eastAsia="ja-JP"/>
        </w:rPr>
        <w:t>. При этом Комитет установил, что степень серьезности гендерного насилия, влекущего за собой предоставление защиты в соответствии с положениями пункта </w:t>
      </w:r>
      <w:r w:rsidRPr="001E4C1B">
        <w:rPr>
          <w:rFonts w:eastAsia="MS Mincho"/>
          <w:kern w:val="0"/>
          <w:lang w:val="en-GB" w:eastAsia="ja-JP"/>
        </w:rPr>
        <w:t>d</w:t>
      </w:r>
      <w:r w:rsidRPr="001E4C1B">
        <w:rPr>
          <w:rFonts w:eastAsia="MS Mincho"/>
          <w:kern w:val="0"/>
          <w:lang w:eastAsia="ja-JP"/>
        </w:rPr>
        <w:t>) статьи 2, зависит от обстоятельств каждого дела и определяется Комитетом исходя из каждого случая в отдельн</w:t>
      </w:r>
      <w:r w:rsidRPr="001E4C1B">
        <w:rPr>
          <w:rFonts w:eastAsia="MS Mincho"/>
          <w:kern w:val="0"/>
          <w:lang w:eastAsia="ja-JP"/>
        </w:rPr>
        <w:t>о</w:t>
      </w:r>
      <w:r w:rsidRPr="001E4C1B">
        <w:rPr>
          <w:rFonts w:eastAsia="MS Mincho"/>
          <w:kern w:val="0"/>
          <w:lang w:eastAsia="ja-JP"/>
        </w:rPr>
        <w:t xml:space="preserve">сти и существа дела, при условии, что автор доказала </w:t>
      </w:r>
      <w:r w:rsidRPr="001E4C1B">
        <w:rPr>
          <w:rFonts w:eastAsia="MS Mincho"/>
          <w:kern w:val="0"/>
          <w:lang w:val="en-US" w:eastAsia="ja-JP"/>
        </w:rPr>
        <w:t>prima</w:t>
      </w:r>
      <w:r w:rsidRPr="001E4C1B">
        <w:rPr>
          <w:rFonts w:eastAsia="MS Mincho"/>
          <w:kern w:val="0"/>
          <w:lang w:eastAsia="ja-JP"/>
        </w:rPr>
        <w:t xml:space="preserve"> </w:t>
      </w:r>
      <w:r w:rsidRPr="001E4C1B">
        <w:rPr>
          <w:rFonts w:eastAsia="MS Mincho"/>
          <w:kern w:val="0"/>
          <w:lang w:val="en-US" w:eastAsia="ja-JP"/>
        </w:rPr>
        <w:t>facie</w:t>
      </w:r>
      <w:r w:rsidRPr="001E4C1B">
        <w:rPr>
          <w:rFonts w:eastAsia="MS Mincho"/>
          <w:kern w:val="0"/>
          <w:lang w:eastAsia="ja-JP"/>
        </w:rPr>
        <w:t xml:space="preserve"> обоснова</w:t>
      </w:r>
      <w:r w:rsidRPr="001E4C1B">
        <w:rPr>
          <w:rFonts w:eastAsia="MS Mincho"/>
          <w:kern w:val="0"/>
          <w:lang w:eastAsia="ja-JP"/>
        </w:rPr>
        <w:t>н</w:t>
      </w:r>
      <w:r w:rsidRPr="001E4C1B">
        <w:rPr>
          <w:rFonts w:eastAsia="MS Mincho"/>
          <w:kern w:val="0"/>
          <w:lang w:eastAsia="ja-JP"/>
        </w:rPr>
        <w:t>ность своих претензий в</w:t>
      </w:r>
      <w:r>
        <w:rPr>
          <w:rFonts w:eastAsia="MS Mincho"/>
          <w:kern w:val="0"/>
          <w:lang w:eastAsia="ja-JP"/>
        </w:rPr>
        <w:t> </w:t>
      </w:r>
      <w:r w:rsidRPr="001E4C1B">
        <w:rPr>
          <w:rFonts w:eastAsia="MS Mincho"/>
          <w:kern w:val="0"/>
          <w:lang w:eastAsia="ja-JP"/>
        </w:rPr>
        <w:t>Комитет</w:t>
      </w:r>
      <w:r>
        <w:rPr>
          <w:rFonts w:eastAsia="MS Mincho"/>
          <w:kern w:val="0"/>
          <w:lang w:eastAsia="ja-JP"/>
        </w:rPr>
        <w:t>е</w:t>
      </w:r>
      <w:r w:rsidRPr="001E4C1B">
        <w:rPr>
          <w:rFonts w:eastAsia="MS Mincho"/>
          <w:kern w:val="0"/>
          <w:lang w:eastAsia="ja-JP"/>
        </w:rPr>
        <w:t>, представив веские аргументы в их обосн</w:t>
      </w:r>
      <w:r w:rsidRPr="001E4C1B">
        <w:rPr>
          <w:rFonts w:eastAsia="MS Mincho"/>
          <w:kern w:val="0"/>
          <w:lang w:eastAsia="ja-JP"/>
        </w:rPr>
        <w:t>о</w:t>
      </w:r>
      <w:r w:rsidRPr="001E4C1B">
        <w:rPr>
          <w:rFonts w:eastAsia="MS Mincho"/>
          <w:kern w:val="0"/>
          <w:lang w:eastAsia="ja-JP"/>
        </w:rPr>
        <w:t>вание</w:t>
      </w:r>
      <w:r w:rsidRPr="00AD11F7">
        <w:rPr>
          <w:rStyle w:val="FootnoteReference"/>
          <w:rFonts w:eastAsia="MS Mincho"/>
          <w:spacing w:val="0"/>
          <w:w w:val="100"/>
          <w:kern w:val="0"/>
          <w:lang w:eastAsia="ja-JP"/>
        </w:rPr>
        <w:footnoteReference w:id="20"/>
      </w:r>
      <w:r w:rsidRPr="001E4C1B">
        <w:rPr>
          <w:rFonts w:eastAsia="MS Mincho"/>
          <w:kern w:val="0"/>
          <w:lang w:eastAsia="ja-JP"/>
        </w:rPr>
        <w:t>.</w:t>
      </w:r>
    </w:p>
    <w:p w:rsidR="00130086" w:rsidRDefault="00130086" w:rsidP="00A53EA8">
      <w:pPr>
        <w:pStyle w:val="SingleTxt"/>
        <w:rPr>
          <w:kern w:val="0"/>
        </w:rPr>
      </w:pPr>
      <w:r w:rsidRPr="001E4C1B">
        <w:rPr>
          <w:kern w:val="0"/>
        </w:rPr>
        <w:t>9.</w:t>
      </w:r>
      <w:r>
        <w:rPr>
          <w:kern w:val="0"/>
        </w:rPr>
        <w:t>6</w:t>
      </w:r>
      <w:r w:rsidRPr="001E4C1B">
        <w:rPr>
          <w:kern w:val="0"/>
        </w:rPr>
        <w:tab/>
        <w:t>Комитет отмечает, что государство-участник не оспаривает того факта, что автор пострадала от насилия в семье в Мексике и безуспешно пыталась найти защиту со стороны мексиканских власт</w:t>
      </w:r>
      <w:r>
        <w:rPr>
          <w:kern w:val="0"/>
        </w:rPr>
        <w:t>ей</w:t>
      </w:r>
      <w:r w:rsidRPr="001E4C1B">
        <w:rPr>
          <w:kern w:val="0"/>
        </w:rPr>
        <w:t>. Комитет признает, что же</w:t>
      </w:r>
      <w:r w:rsidRPr="001E4C1B">
        <w:rPr>
          <w:kern w:val="0"/>
        </w:rPr>
        <w:t>н</w:t>
      </w:r>
      <w:r w:rsidRPr="001E4C1B">
        <w:rPr>
          <w:kern w:val="0"/>
        </w:rPr>
        <w:t>щины и девочки в Мексике сталкиваются с широко распространенным генде</w:t>
      </w:r>
      <w:r w:rsidRPr="001E4C1B">
        <w:rPr>
          <w:kern w:val="0"/>
        </w:rPr>
        <w:t>р</w:t>
      </w:r>
      <w:r w:rsidRPr="001E4C1B">
        <w:rPr>
          <w:kern w:val="0"/>
        </w:rPr>
        <w:t>ным насилием, включая случаи насилия</w:t>
      </w:r>
      <w:r>
        <w:rPr>
          <w:kern w:val="0"/>
        </w:rPr>
        <w:t xml:space="preserve"> в семье</w:t>
      </w:r>
      <w:r w:rsidRPr="001E4C1B">
        <w:rPr>
          <w:kern w:val="0"/>
        </w:rPr>
        <w:t>. Тем не менее Комитет отм</w:t>
      </w:r>
      <w:r w:rsidRPr="001E4C1B">
        <w:rPr>
          <w:kern w:val="0"/>
        </w:rPr>
        <w:t>е</w:t>
      </w:r>
      <w:r w:rsidRPr="001E4C1B">
        <w:rPr>
          <w:kern w:val="0"/>
        </w:rPr>
        <w:t xml:space="preserve">чает, что автор не смогла предоставить достаточной информации для того, чтобы Комитет мог </w:t>
      </w:r>
      <w:r>
        <w:rPr>
          <w:kern w:val="0"/>
        </w:rPr>
        <w:t>сд</w:t>
      </w:r>
      <w:r>
        <w:rPr>
          <w:kern w:val="0"/>
        </w:rPr>
        <w:t>е</w:t>
      </w:r>
      <w:r>
        <w:rPr>
          <w:kern w:val="0"/>
        </w:rPr>
        <w:t>лать вывод</w:t>
      </w:r>
      <w:r w:rsidRPr="001E4C1B">
        <w:rPr>
          <w:kern w:val="0"/>
        </w:rPr>
        <w:t xml:space="preserve"> о том, что ее бывший сожитель продолжает представлять угрозу для нее спустя пять лет после того, как в период между декабрем 2008 года и мартом 2009 года произошли предполагаемые события. В связи с этим Комитет отмечает, что, согласно приобщенным к делу матери</w:t>
      </w:r>
      <w:r w:rsidRPr="001E4C1B">
        <w:rPr>
          <w:kern w:val="0"/>
        </w:rPr>
        <w:t>а</w:t>
      </w:r>
      <w:r w:rsidRPr="001E4C1B">
        <w:rPr>
          <w:kern w:val="0"/>
        </w:rPr>
        <w:t xml:space="preserve">лам, бывший сожитель автора сообщения </w:t>
      </w:r>
      <w:r>
        <w:rPr>
          <w:kern w:val="0"/>
        </w:rPr>
        <w:t xml:space="preserve">последний раз </w:t>
      </w:r>
      <w:r w:rsidRPr="001E4C1B">
        <w:rPr>
          <w:kern w:val="0"/>
        </w:rPr>
        <w:t>интересовался ее м</w:t>
      </w:r>
      <w:r w:rsidRPr="001E4C1B">
        <w:rPr>
          <w:kern w:val="0"/>
        </w:rPr>
        <w:t>е</w:t>
      </w:r>
      <w:r w:rsidRPr="001E4C1B">
        <w:rPr>
          <w:kern w:val="0"/>
        </w:rPr>
        <w:t>стонахождением в сентябре 2011 года, когда он в состоянии алкогольного оп</w:t>
      </w:r>
      <w:r w:rsidRPr="001E4C1B">
        <w:rPr>
          <w:kern w:val="0"/>
        </w:rPr>
        <w:t>ь</w:t>
      </w:r>
      <w:r w:rsidRPr="001E4C1B">
        <w:rPr>
          <w:kern w:val="0"/>
        </w:rPr>
        <w:t>янения пришел в дом ее матери</w:t>
      </w:r>
      <w:r w:rsidRPr="00AD11F7">
        <w:rPr>
          <w:rStyle w:val="FootnoteReference"/>
          <w:spacing w:val="0"/>
          <w:w w:val="100"/>
          <w:kern w:val="0"/>
        </w:rPr>
        <w:footnoteReference w:id="21"/>
      </w:r>
      <w:r w:rsidRPr="001E4C1B">
        <w:rPr>
          <w:kern w:val="0"/>
        </w:rPr>
        <w:t>. Комитет обращает внимание на то, что автор сообщения не предоставила никакой инфо</w:t>
      </w:r>
      <w:r w:rsidRPr="001E4C1B">
        <w:rPr>
          <w:kern w:val="0"/>
        </w:rPr>
        <w:t>р</w:t>
      </w:r>
      <w:r w:rsidRPr="001E4C1B">
        <w:rPr>
          <w:kern w:val="0"/>
        </w:rPr>
        <w:t>мации о причинах, не позволивших ей переехать в другое место в Мексике, если она решила, что ей следует уехать из штата Морелос в целях предотвращения насилия со стороны ее бывшего сожителя</w:t>
      </w:r>
      <w:r w:rsidRPr="00AD11F7">
        <w:rPr>
          <w:rStyle w:val="FootnoteReference"/>
          <w:spacing w:val="0"/>
          <w:w w:val="100"/>
          <w:kern w:val="0"/>
        </w:rPr>
        <w:footnoteReference w:id="22"/>
      </w:r>
      <w:r w:rsidRPr="001E4C1B">
        <w:rPr>
          <w:kern w:val="0"/>
        </w:rPr>
        <w:t xml:space="preserve">. </w:t>
      </w:r>
      <w:r>
        <w:t>Комитет также отмечает, что автор покинула Мексику через два месяца после последнего случая насилия в семье и не представляет никакой информации о других средствах правовой защиты, задействованных в Мекс</w:t>
      </w:r>
      <w:r>
        <w:t>и</w:t>
      </w:r>
      <w:r>
        <w:t>ке, после того, как она безуспешно подала жалобы в полицию. В этих обсто</w:t>
      </w:r>
      <w:r>
        <w:t>я</w:t>
      </w:r>
      <w:r>
        <w:t>тельствах</w:t>
      </w:r>
      <w:r w:rsidRPr="001E4C1B">
        <w:rPr>
          <w:kern w:val="0"/>
        </w:rPr>
        <w:t xml:space="preserve"> Комитет полагает, что автор</w:t>
      </w:r>
      <w:r>
        <w:rPr>
          <w:kern w:val="0"/>
        </w:rPr>
        <w:t>, таким образом,</w:t>
      </w:r>
      <w:r w:rsidRPr="001E4C1B">
        <w:rPr>
          <w:kern w:val="0"/>
        </w:rPr>
        <w:t xml:space="preserve"> не предоставила дост</w:t>
      </w:r>
      <w:r w:rsidRPr="001E4C1B">
        <w:rPr>
          <w:kern w:val="0"/>
        </w:rPr>
        <w:t>а</w:t>
      </w:r>
      <w:r w:rsidRPr="001E4C1B">
        <w:rPr>
          <w:kern w:val="0"/>
        </w:rPr>
        <w:t>точной информации для доказательства того, что она может столкнуться с р</w:t>
      </w:r>
      <w:r w:rsidRPr="001E4C1B">
        <w:rPr>
          <w:kern w:val="0"/>
        </w:rPr>
        <w:t>е</w:t>
      </w:r>
      <w:r w:rsidRPr="001E4C1B">
        <w:rPr>
          <w:kern w:val="0"/>
        </w:rPr>
        <w:t>альным, личным и предсказуемым риском серьезных форм ге</w:t>
      </w:r>
      <w:r w:rsidRPr="001E4C1B">
        <w:rPr>
          <w:kern w:val="0"/>
        </w:rPr>
        <w:t>н</w:t>
      </w:r>
      <w:r w:rsidRPr="001E4C1B">
        <w:rPr>
          <w:kern w:val="0"/>
        </w:rPr>
        <w:t>дерного насилия в случае возвращения в Мексику и т</w:t>
      </w:r>
      <w:r>
        <w:rPr>
          <w:kern w:val="0"/>
        </w:rPr>
        <w:t>ем самым</w:t>
      </w:r>
      <w:r w:rsidRPr="001E4C1B">
        <w:rPr>
          <w:kern w:val="0"/>
        </w:rPr>
        <w:t xml:space="preserve"> обосновать свои утверждения в соответствии со стать</w:t>
      </w:r>
      <w:r>
        <w:rPr>
          <w:kern w:val="0"/>
        </w:rPr>
        <w:t>ями</w:t>
      </w:r>
      <w:r w:rsidRPr="001E4C1B">
        <w:rPr>
          <w:kern w:val="0"/>
        </w:rPr>
        <w:t> 1 и 2</w:t>
      </w:r>
      <w:r>
        <w:rPr>
          <w:kern w:val="0"/>
        </w:rPr>
        <w:t>, рассматриваемыми в совокупности с общей рекоме</w:t>
      </w:r>
      <w:r>
        <w:rPr>
          <w:kern w:val="0"/>
        </w:rPr>
        <w:t>н</w:t>
      </w:r>
      <w:r>
        <w:rPr>
          <w:kern w:val="0"/>
        </w:rPr>
        <w:t>даций № 19</w:t>
      </w:r>
      <w:r w:rsidRPr="001E4C1B">
        <w:rPr>
          <w:kern w:val="0"/>
        </w:rPr>
        <w:t>.</w:t>
      </w:r>
    </w:p>
    <w:p w:rsidR="00130086" w:rsidRDefault="00130086" w:rsidP="00A53EA8">
      <w:pPr>
        <w:pStyle w:val="SingleTxt"/>
        <w:rPr>
          <w:kern w:val="0"/>
        </w:rPr>
      </w:pPr>
      <w:r>
        <w:rPr>
          <w:kern w:val="0"/>
        </w:rPr>
        <w:t>9</w:t>
      </w:r>
      <w:r w:rsidRPr="001E4C1B">
        <w:rPr>
          <w:kern w:val="0"/>
        </w:rPr>
        <w:t>.</w:t>
      </w:r>
      <w:r>
        <w:rPr>
          <w:kern w:val="0"/>
        </w:rPr>
        <w:t>7</w:t>
      </w:r>
      <w:r w:rsidRPr="001E4C1B">
        <w:rPr>
          <w:kern w:val="0"/>
        </w:rPr>
        <w:tab/>
        <w:t>Кроме того, Комитет отмечает, что автором сообщения не были пред</w:t>
      </w:r>
      <w:r w:rsidRPr="001E4C1B">
        <w:rPr>
          <w:kern w:val="0"/>
        </w:rPr>
        <w:t>о</w:t>
      </w:r>
      <w:r w:rsidRPr="001E4C1B">
        <w:rPr>
          <w:kern w:val="0"/>
        </w:rPr>
        <w:t>ставлены какие-либо разъяснения по поводу того, почему она считает, что б</w:t>
      </w:r>
      <w:r w:rsidRPr="001E4C1B">
        <w:rPr>
          <w:kern w:val="0"/>
        </w:rPr>
        <w:t>ы</w:t>
      </w:r>
      <w:r w:rsidRPr="001E4C1B">
        <w:rPr>
          <w:kern w:val="0"/>
        </w:rPr>
        <w:t>ли нарушены ее права по статье</w:t>
      </w:r>
      <w:r>
        <w:rPr>
          <w:kern w:val="0"/>
        </w:rPr>
        <w:t xml:space="preserve"> </w:t>
      </w:r>
      <w:r w:rsidRPr="001E4C1B">
        <w:rPr>
          <w:kern w:val="0"/>
        </w:rPr>
        <w:t>3 Конвенции, которая посвящена вопросам расширения прав женщин, в результате отказа государства-участника в уд</w:t>
      </w:r>
      <w:r w:rsidRPr="001E4C1B">
        <w:rPr>
          <w:kern w:val="0"/>
        </w:rPr>
        <w:t>о</w:t>
      </w:r>
      <w:r w:rsidRPr="001E4C1B">
        <w:rPr>
          <w:kern w:val="0"/>
        </w:rPr>
        <w:t>влетворении ее просьбы о предоставлении убежища и принятия решения о ее депортации.</w:t>
      </w:r>
    </w:p>
    <w:p w:rsidR="00130086" w:rsidRDefault="00130086" w:rsidP="00A53EA8">
      <w:pPr>
        <w:pStyle w:val="SingleTxt"/>
        <w:rPr>
          <w:kern w:val="0"/>
        </w:rPr>
      </w:pPr>
      <w:r w:rsidRPr="001E4C1B">
        <w:rPr>
          <w:kern w:val="0"/>
        </w:rPr>
        <w:t>9.</w:t>
      </w:r>
      <w:r>
        <w:rPr>
          <w:kern w:val="0"/>
        </w:rPr>
        <w:t>8</w:t>
      </w:r>
      <w:r w:rsidRPr="001E4C1B">
        <w:rPr>
          <w:kern w:val="0"/>
        </w:rPr>
        <w:tab/>
        <w:t>Комитет напоминает о том, что пункт</w:t>
      </w:r>
      <w:r>
        <w:rPr>
          <w:kern w:val="0"/>
        </w:rPr>
        <w:t xml:space="preserve"> </w:t>
      </w:r>
      <w:r w:rsidRPr="001E4C1B">
        <w:rPr>
          <w:kern w:val="0"/>
        </w:rPr>
        <w:t>2</w:t>
      </w:r>
      <w:r>
        <w:rPr>
          <w:kern w:val="0"/>
        </w:rPr>
        <w:t xml:space="preserve"> </w:t>
      </w:r>
      <w:r w:rsidRPr="001E4C1B">
        <w:rPr>
          <w:kern w:val="0"/>
        </w:rPr>
        <w:t>c) статьи</w:t>
      </w:r>
      <w:r>
        <w:rPr>
          <w:kern w:val="0"/>
        </w:rPr>
        <w:t xml:space="preserve"> </w:t>
      </w:r>
      <w:r w:rsidRPr="001E4C1B">
        <w:rPr>
          <w:kern w:val="0"/>
        </w:rPr>
        <w:t>4 Факультативного пр</w:t>
      </w:r>
      <w:r w:rsidRPr="001E4C1B">
        <w:rPr>
          <w:kern w:val="0"/>
        </w:rPr>
        <w:t>о</w:t>
      </w:r>
      <w:r w:rsidRPr="001E4C1B">
        <w:rPr>
          <w:kern w:val="0"/>
        </w:rPr>
        <w:t>токола не позволяет Комитету объявлять сообщение приемлемым в случае н</w:t>
      </w:r>
      <w:r w:rsidRPr="001E4C1B">
        <w:rPr>
          <w:kern w:val="0"/>
        </w:rPr>
        <w:t>е</w:t>
      </w:r>
      <w:r w:rsidRPr="001E4C1B">
        <w:rPr>
          <w:kern w:val="0"/>
        </w:rPr>
        <w:t>дост</w:t>
      </w:r>
      <w:r w:rsidRPr="001E4C1B">
        <w:rPr>
          <w:kern w:val="0"/>
        </w:rPr>
        <w:t>а</w:t>
      </w:r>
      <w:r w:rsidRPr="001E4C1B">
        <w:rPr>
          <w:kern w:val="0"/>
        </w:rPr>
        <w:t xml:space="preserve">точной степени его обоснованности. Исходя из этого и </w:t>
      </w:r>
      <w:r>
        <w:rPr>
          <w:kern w:val="0"/>
        </w:rPr>
        <w:t>при</w:t>
      </w:r>
      <w:r w:rsidRPr="001E4C1B">
        <w:rPr>
          <w:kern w:val="0"/>
        </w:rPr>
        <w:t xml:space="preserve"> отсутстви</w:t>
      </w:r>
      <w:r>
        <w:rPr>
          <w:kern w:val="0"/>
        </w:rPr>
        <w:t>и</w:t>
      </w:r>
      <w:r w:rsidRPr="001E4C1B">
        <w:rPr>
          <w:kern w:val="0"/>
        </w:rPr>
        <w:t xml:space="preserve"> у него какой-либо иной актуальной информации Комитет считает, что предста</w:t>
      </w:r>
      <w:r w:rsidRPr="001E4C1B">
        <w:rPr>
          <w:kern w:val="0"/>
        </w:rPr>
        <w:t>в</w:t>
      </w:r>
      <w:r w:rsidRPr="001E4C1B">
        <w:rPr>
          <w:kern w:val="0"/>
        </w:rPr>
        <w:t>ленные а</w:t>
      </w:r>
      <w:r w:rsidRPr="001E4C1B">
        <w:rPr>
          <w:kern w:val="0"/>
        </w:rPr>
        <w:t>в</w:t>
      </w:r>
      <w:r w:rsidRPr="001E4C1B">
        <w:rPr>
          <w:kern w:val="0"/>
        </w:rPr>
        <w:t>тором сообщения факты не позволяют ему сделать вывод о том, она в достаточной степени обосновала для целей приемлемости свое заявление о том, что ее в</w:t>
      </w:r>
      <w:r w:rsidRPr="001E4C1B">
        <w:rPr>
          <w:kern w:val="0"/>
        </w:rPr>
        <w:t>ы</w:t>
      </w:r>
      <w:r w:rsidRPr="001E4C1B">
        <w:rPr>
          <w:kern w:val="0"/>
        </w:rPr>
        <w:t>сылка из Канады в Мексику подвергнет ее реальному, личному и предсказуемому риску столкнуться с серьезными формами гендерного нас</w:t>
      </w:r>
      <w:r w:rsidRPr="001E4C1B">
        <w:rPr>
          <w:kern w:val="0"/>
        </w:rPr>
        <w:t>и</w:t>
      </w:r>
      <w:r w:rsidRPr="001E4C1B">
        <w:rPr>
          <w:kern w:val="0"/>
        </w:rPr>
        <w:t xml:space="preserve">лия. Таким образом, автор не предоставила доказательств </w:t>
      </w:r>
      <w:r w:rsidRPr="001E4C1B">
        <w:rPr>
          <w:kern w:val="0"/>
          <w:lang w:val="en-US"/>
        </w:rPr>
        <w:t>prima</w:t>
      </w:r>
      <w:r w:rsidRPr="001E4C1B">
        <w:rPr>
          <w:kern w:val="0"/>
        </w:rPr>
        <w:t xml:space="preserve"> </w:t>
      </w:r>
      <w:r w:rsidRPr="001E4C1B">
        <w:rPr>
          <w:kern w:val="0"/>
          <w:lang w:val="en-US"/>
        </w:rPr>
        <w:t>facie</w:t>
      </w:r>
      <w:r w:rsidRPr="001E4C1B">
        <w:rPr>
          <w:kern w:val="0"/>
        </w:rPr>
        <w:t xml:space="preserve"> для по</w:t>
      </w:r>
      <w:r w:rsidRPr="001E4C1B">
        <w:rPr>
          <w:kern w:val="0"/>
        </w:rPr>
        <w:t>д</w:t>
      </w:r>
      <w:r w:rsidRPr="001E4C1B">
        <w:rPr>
          <w:kern w:val="0"/>
        </w:rPr>
        <w:t>тверждения свих заявл</w:t>
      </w:r>
      <w:r w:rsidRPr="001E4C1B">
        <w:rPr>
          <w:kern w:val="0"/>
        </w:rPr>
        <w:t>е</w:t>
      </w:r>
      <w:r w:rsidRPr="001E4C1B">
        <w:rPr>
          <w:kern w:val="0"/>
        </w:rPr>
        <w:t xml:space="preserve">ний о нарушении государством-участником положений статей 1–3 Конвенции. Соответственно Комитет </w:t>
      </w:r>
      <w:r>
        <w:rPr>
          <w:kern w:val="0"/>
        </w:rPr>
        <w:t>приходит к выводу</w:t>
      </w:r>
      <w:r w:rsidRPr="001E4C1B">
        <w:rPr>
          <w:kern w:val="0"/>
        </w:rPr>
        <w:t xml:space="preserve"> о том, что сообщение является неприемлемым согласно пункту</w:t>
      </w:r>
      <w:r>
        <w:rPr>
          <w:kern w:val="0"/>
        </w:rPr>
        <w:t xml:space="preserve"> </w:t>
      </w:r>
      <w:r w:rsidRPr="001E4C1B">
        <w:rPr>
          <w:kern w:val="0"/>
        </w:rPr>
        <w:t>2</w:t>
      </w:r>
      <w:r>
        <w:rPr>
          <w:kern w:val="0"/>
        </w:rPr>
        <w:t xml:space="preserve"> </w:t>
      </w:r>
      <w:r w:rsidRPr="001E4C1B">
        <w:rPr>
          <w:kern w:val="0"/>
        </w:rPr>
        <w:t>c) статьи 4 Факульт</w:t>
      </w:r>
      <w:r w:rsidRPr="001E4C1B">
        <w:rPr>
          <w:kern w:val="0"/>
        </w:rPr>
        <w:t>а</w:t>
      </w:r>
      <w:r w:rsidRPr="001E4C1B">
        <w:rPr>
          <w:kern w:val="0"/>
        </w:rPr>
        <w:t>тивного прот</w:t>
      </w:r>
      <w:r w:rsidRPr="001E4C1B">
        <w:rPr>
          <w:kern w:val="0"/>
        </w:rPr>
        <w:t>о</w:t>
      </w:r>
      <w:r w:rsidRPr="001E4C1B">
        <w:rPr>
          <w:kern w:val="0"/>
        </w:rPr>
        <w:t>кола</w:t>
      </w:r>
      <w:r w:rsidRPr="001E4C1B">
        <w:rPr>
          <w:rFonts w:eastAsia="Arial Unicode MS"/>
          <w:kern w:val="0"/>
        </w:rPr>
        <w:t>.</w:t>
      </w:r>
    </w:p>
    <w:p w:rsidR="00130086" w:rsidRDefault="00130086" w:rsidP="00A53EA8">
      <w:pPr>
        <w:pStyle w:val="SingleTxt"/>
        <w:rPr>
          <w:kern w:val="0"/>
        </w:rPr>
      </w:pPr>
      <w:r w:rsidRPr="001E4C1B">
        <w:rPr>
          <w:kern w:val="0"/>
        </w:rPr>
        <w:t>10.</w:t>
      </w:r>
      <w:r w:rsidRPr="001E4C1B">
        <w:rPr>
          <w:kern w:val="0"/>
        </w:rPr>
        <w:tab/>
        <w:t>В силу вышеизложенного Комитет постановляет:</w:t>
      </w:r>
    </w:p>
    <w:p w:rsidR="00130086" w:rsidRDefault="00130086" w:rsidP="00A53EA8">
      <w:pPr>
        <w:pStyle w:val="SingleTxt"/>
        <w:rPr>
          <w:kern w:val="0"/>
        </w:rPr>
      </w:pPr>
      <w:r>
        <w:rPr>
          <w:kern w:val="0"/>
        </w:rPr>
        <w:tab/>
        <w:t>а)</w:t>
      </w:r>
      <w:r>
        <w:rPr>
          <w:kern w:val="0"/>
        </w:rPr>
        <w:tab/>
      </w:r>
      <w:r w:rsidRPr="001E4C1B">
        <w:rPr>
          <w:kern w:val="0"/>
        </w:rPr>
        <w:t>считать данное сообщение неприемлемым по смыслу пункта</w:t>
      </w:r>
      <w:r>
        <w:rPr>
          <w:kern w:val="0"/>
        </w:rPr>
        <w:t xml:space="preserve"> </w:t>
      </w:r>
      <w:r w:rsidRPr="001E4C1B">
        <w:rPr>
          <w:kern w:val="0"/>
        </w:rPr>
        <w:t>2</w:t>
      </w:r>
      <w:r w:rsidR="002963E6">
        <w:rPr>
          <w:kern w:val="0"/>
        </w:rPr>
        <w:t> </w:t>
      </w:r>
      <w:r w:rsidRPr="001E4C1B">
        <w:rPr>
          <w:kern w:val="0"/>
        </w:rPr>
        <w:t>с) статьи 4 Факультативного протокола;</w:t>
      </w:r>
    </w:p>
    <w:p w:rsidR="00130086" w:rsidRPr="00E40D4A" w:rsidRDefault="00130086" w:rsidP="003C54C8">
      <w:pPr>
        <w:pStyle w:val="SingleTxt"/>
        <w:rPr>
          <w:u w:val="single"/>
        </w:rPr>
      </w:pPr>
      <w:r w:rsidRPr="001E4C1B">
        <w:rPr>
          <w:kern w:val="0"/>
        </w:rPr>
        <w:tab/>
        <w:t>b)</w:t>
      </w:r>
      <w:r>
        <w:rPr>
          <w:kern w:val="0"/>
        </w:rPr>
        <w:tab/>
      </w:r>
      <w:r w:rsidRPr="001E4C1B">
        <w:rPr>
          <w:kern w:val="0"/>
        </w:rPr>
        <w:t>довести настоящее решение до сведения государства-участника и автора сообщения.</w:t>
      </w:r>
    </w:p>
    <w:p w:rsidR="00130086" w:rsidRPr="003C54C8" w:rsidRDefault="003C54C8" w:rsidP="003C54C8">
      <w:pPr>
        <w:pStyle w:val="SingleTxt"/>
        <w:spacing w:after="0" w:line="240" w:lineRule="auto"/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130086" w:rsidRPr="003C54C8" w:rsidSect="00B818A2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5-01-26T10:47:00Z" w:initials="Start">
    <w:p w:rsidR="00B818A2" w:rsidRPr="00130086" w:rsidRDefault="00B818A2">
      <w:pPr>
        <w:pStyle w:val="CommentText"/>
        <w:rPr>
          <w:lang w:val="en-US"/>
        </w:rPr>
      </w:pPr>
      <w:r>
        <w:fldChar w:fldCharType="begin"/>
      </w:r>
      <w:r w:rsidRPr="00130086">
        <w:rPr>
          <w:rStyle w:val="CommentReference"/>
          <w:lang w:val="en-US"/>
        </w:rPr>
        <w:instrText xml:space="preserve"> </w:instrText>
      </w:r>
      <w:r w:rsidRPr="00130086">
        <w:rPr>
          <w:lang w:val="en-US"/>
        </w:rPr>
        <w:instrText>PAGE \# "'Page: '#'</w:instrText>
      </w:r>
      <w:r w:rsidRPr="00130086">
        <w:rPr>
          <w:lang w:val="en-US"/>
        </w:rPr>
        <w:br/>
        <w:instrText>'"</w:instrText>
      </w:r>
      <w:r w:rsidRPr="0013008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30086">
        <w:rPr>
          <w:lang w:val="en-US"/>
        </w:rPr>
        <w:t>&lt;&lt;ODS JOB NO&gt;&gt;N1470905R&lt;&lt;ODS JOB NO&gt;&gt;</w:t>
      </w:r>
    </w:p>
    <w:p w:rsidR="00B818A2" w:rsidRPr="00130086" w:rsidRDefault="00B818A2">
      <w:pPr>
        <w:pStyle w:val="CommentText"/>
        <w:rPr>
          <w:lang w:val="en-US"/>
        </w:rPr>
      </w:pPr>
      <w:r w:rsidRPr="00130086">
        <w:rPr>
          <w:lang w:val="en-US"/>
        </w:rPr>
        <w:t>&lt;&lt;ODS DOC SYMBOL1&gt;&gt;CEDAW/C/59/D/49/2013&lt;&lt;ODS DOC SYMBOL1&gt;&gt;</w:t>
      </w:r>
    </w:p>
    <w:p w:rsidR="00B818A2" w:rsidRPr="00130086" w:rsidRDefault="00B818A2">
      <w:pPr>
        <w:pStyle w:val="CommentText"/>
        <w:rPr>
          <w:lang w:val="en-US"/>
        </w:rPr>
      </w:pPr>
      <w:r w:rsidRPr="0013008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37" w:rsidRDefault="00474937" w:rsidP="008A1A7A">
      <w:pPr>
        <w:spacing w:line="240" w:lineRule="auto"/>
      </w:pPr>
      <w:r>
        <w:separator/>
      </w:r>
    </w:p>
  </w:endnote>
  <w:endnote w:type="continuationSeparator" w:id="0">
    <w:p w:rsidR="00474937" w:rsidRDefault="0047493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B818A2" w:rsidTr="00B818A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818A2" w:rsidRPr="005C1D81" w:rsidRDefault="00B818A2" w:rsidP="00B818A2">
          <w:pPr>
            <w:pStyle w:val="Footer"/>
            <w:rPr>
              <w:color w:val="000000"/>
              <w:szCs w:val="22"/>
              <w:lang w:eastAsia="en-US"/>
            </w:rPr>
          </w:pPr>
          <w:r w:rsidRPr="005C1D81">
            <w:rPr>
              <w:szCs w:val="22"/>
              <w:lang w:eastAsia="en-US"/>
            </w:rPr>
            <w:fldChar w:fldCharType="begin"/>
          </w:r>
          <w:r w:rsidRPr="005C1D81">
            <w:rPr>
              <w:szCs w:val="22"/>
              <w:lang w:eastAsia="en-US"/>
            </w:rPr>
            <w:instrText xml:space="preserve"> PAGE  \* Arabic  \* MERGEFORMAT </w:instrText>
          </w:r>
          <w:r w:rsidRPr="005C1D81">
            <w:rPr>
              <w:szCs w:val="22"/>
              <w:lang w:eastAsia="en-US"/>
            </w:rPr>
            <w:fldChar w:fldCharType="separate"/>
          </w:r>
          <w:r w:rsidR="00720F61" w:rsidRPr="005C1D81">
            <w:rPr>
              <w:noProof/>
              <w:szCs w:val="22"/>
              <w:lang w:eastAsia="en-US"/>
            </w:rPr>
            <w:t>2</w:t>
          </w:r>
          <w:r w:rsidRPr="005C1D81">
            <w:rPr>
              <w:szCs w:val="22"/>
              <w:lang w:eastAsia="en-US"/>
            </w:rPr>
            <w:fldChar w:fldCharType="end"/>
          </w:r>
          <w:r w:rsidRPr="005C1D81">
            <w:rPr>
              <w:szCs w:val="22"/>
              <w:lang w:eastAsia="en-US"/>
            </w:rPr>
            <w:t>/</w:t>
          </w:r>
          <w:fldSimple w:instr=" NUMPAGES  \* Arabic  \* MERGEFORMAT ">
            <w:r w:rsidR="00720F61" w:rsidRPr="005C1D81">
              <w:rPr>
                <w:noProof/>
                <w:szCs w:val="22"/>
                <w:lang w:eastAsia="en-US"/>
              </w:rPr>
              <w:t>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B818A2" w:rsidRPr="005C1D81" w:rsidRDefault="00130086" w:rsidP="00B818A2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r w:rsidRPr="005C1D81">
            <w:rPr>
              <w:b w:val="0"/>
              <w:color w:val="000000"/>
              <w:sz w:val="14"/>
              <w:szCs w:val="22"/>
              <w:lang w:val="en-US" w:eastAsia="en-US"/>
            </w:rPr>
            <w:t>14-67406X</w:t>
          </w:r>
        </w:p>
      </w:tc>
    </w:tr>
  </w:tbl>
  <w:p w:rsidR="00B818A2" w:rsidRPr="00B818A2" w:rsidRDefault="00B818A2" w:rsidP="00B818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B818A2" w:rsidTr="00B818A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818A2" w:rsidRPr="005C1D81" w:rsidRDefault="00130086" w:rsidP="00B818A2">
          <w:pPr>
            <w:pStyle w:val="Footer"/>
            <w:rPr>
              <w:b w:val="0"/>
              <w:color w:val="000000"/>
              <w:sz w:val="14"/>
              <w:szCs w:val="22"/>
              <w:lang w:val="en-US" w:eastAsia="en-US"/>
            </w:rPr>
          </w:pPr>
          <w:r w:rsidRPr="005C1D81">
            <w:rPr>
              <w:b w:val="0"/>
              <w:color w:val="000000"/>
              <w:sz w:val="14"/>
              <w:szCs w:val="22"/>
              <w:lang w:val="en-US" w:eastAsia="en-US"/>
            </w:rPr>
            <w:t>14-67406X</w:t>
          </w:r>
        </w:p>
      </w:tc>
      <w:tc>
        <w:tcPr>
          <w:tcW w:w="5033" w:type="dxa"/>
          <w:shd w:val="clear" w:color="auto" w:fill="auto"/>
          <w:vAlign w:val="bottom"/>
        </w:tcPr>
        <w:p w:rsidR="00B818A2" w:rsidRPr="005C1D81" w:rsidRDefault="00B818A2" w:rsidP="00B818A2">
          <w:pPr>
            <w:pStyle w:val="Footer"/>
            <w:jc w:val="right"/>
            <w:rPr>
              <w:szCs w:val="22"/>
              <w:lang w:eastAsia="en-US"/>
            </w:rPr>
          </w:pPr>
          <w:r w:rsidRPr="005C1D81">
            <w:rPr>
              <w:szCs w:val="22"/>
              <w:lang w:eastAsia="en-US"/>
            </w:rPr>
            <w:fldChar w:fldCharType="begin"/>
          </w:r>
          <w:r w:rsidRPr="005C1D81">
            <w:rPr>
              <w:szCs w:val="22"/>
              <w:lang w:eastAsia="en-US"/>
            </w:rPr>
            <w:instrText xml:space="preserve"> PAGE  \* Arabic  \* MERGEFORMAT </w:instrText>
          </w:r>
          <w:r w:rsidRPr="005C1D81">
            <w:rPr>
              <w:szCs w:val="22"/>
              <w:lang w:eastAsia="en-US"/>
            </w:rPr>
            <w:fldChar w:fldCharType="separate"/>
          </w:r>
          <w:r w:rsidR="00A03812" w:rsidRPr="005C1D81">
            <w:rPr>
              <w:noProof/>
              <w:szCs w:val="22"/>
              <w:lang w:eastAsia="en-US"/>
            </w:rPr>
            <w:t>17</w:t>
          </w:r>
          <w:r w:rsidRPr="005C1D81">
            <w:rPr>
              <w:szCs w:val="22"/>
              <w:lang w:eastAsia="en-US"/>
            </w:rPr>
            <w:fldChar w:fldCharType="end"/>
          </w:r>
          <w:r w:rsidRPr="005C1D81">
            <w:rPr>
              <w:szCs w:val="22"/>
              <w:lang w:eastAsia="en-US"/>
            </w:rPr>
            <w:t>/</w:t>
          </w:r>
          <w:fldSimple w:instr=" NUMPAGES  \* Arabic  \* MERGEFORMAT ">
            <w:r w:rsidR="00A03812" w:rsidRPr="005C1D81">
              <w:rPr>
                <w:noProof/>
                <w:szCs w:val="22"/>
                <w:lang w:eastAsia="en-US"/>
              </w:rPr>
              <w:t>18</w:t>
            </w:r>
          </w:fldSimple>
        </w:p>
      </w:tc>
    </w:tr>
  </w:tbl>
  <w:p w:rsidR="00B818A2" w:rsidRPr="00B818A2" w:rsidRDefault="00B818A2" w:rsidP="00B818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A2" w:rsidRDefault="00B818A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65pt;margin-top:683.9pt;width:54.9pt;height:54.9pt;z-index:1;mso-position-horizontal-relative:page;mso-position-vertical-relative:page" o:preferrelative="f">
          <v:imagedata r:id="rId1" o:title="2013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B818A2" w:rsidTr="00B818A2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B818A2" w:rsidRDefault="00B818A2" w:rsidP="00B818A2">
          <w:pPr>
            <w:pStyle w:val="ReleaseDate"/>
            <w:rPr>
              <w:color w:val="010000"/>
            </w:rPr>
          </w:pPr>
          <w:r>
            <w:t>14-67406</w:t>
          </w:r>
          <w:r w:rsidR="00130086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260115    260115</w:t>
          </w:r>
        </w:p>
        <w:p w:rsidR="00B818A2" w:rsidRPr="00B818A2" w:rsidRDefault="00B818A2" w:rsidP="00B818A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*1467406(R)*</w:t>
          </w:r>
        </w:p>
      </w:tc>
      <w:tc>
        <w:tcPr>
          <w:tcW w:w="5033" w:type="dxa"/>
        </w:tcPr>
        <w:p w:rsidR="00B818A2" w:rsidRPr="005C1D81" w:rsidRDefault="00B818A2" w:rsidP="00B818A2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5C1D81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B818A2" w:rsidRPr="00B818A2" w:rsidRDefault="00B818A2" w:rsidP="00B818A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37" w:rsidRPr="00AD11F7" w:rsidRDefault="00474937" w:rsidP="00AD11F7">
      <w:pPr>
        <w:pStyle w:val="Footer"/>
        <w:spacing w:after="80"/>
        <w:ind w:left="792"/>
        <w:rPr>
          <w:sz w:val="16"/>
        </w:rPr>
      </w:pPr>
      <w:r w:rsidRPr="00AD11F7">
        <w:rPr>
          <w:sz w:val="16"/>
        </w:rPr>
        <w:t>__________________</w:t>
      </w:r>
    </w:p>
  </w:footnote>
  <w:footnote w:type="continuationSeparator" w:id="0">
    <w:p w:rsidR="00474937" w:rsidRPr="00AD11F7" w:rsidRDefault="00474937" w:rsidP="00AD11F7">
      <w:pPr>
        <w:pStyle w:val="Footer"/>
        <w:spacing w:after="80"/>
        <w:ind w:left="792"/>
        <w:rPr>
          <w:sz w:val="16"/>
        </w:rPr>
      </w:pPr>
      <w:r w:rsidRPr="00AD11F7">
        <w:rPr>
          <w:sz w:val="16"/>
        </w:rPr>
        <w:t>__________________</w:t>
      </w:r>
    </w:p>
  </w:footnote>
  <w:footnote w:id="1">
    <w:p w:rsidR="00AD11F7" w:rsidRPr="00AD11F7" w:rsidRDefault="00AD11F7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AD11F7">
        <w:rPr>
          <w:rStyle w:val="FootnoteReference"/>
        </w:rPr>
        <w:tab/>
      </w:r>
      <w:r w:rsidRPr="00F91284">
        <w:t>В рассмотрении настоящего сообщения принимали участие следующие члены Комитета: Айше Фериде Ачар, Николь Амелин, Олинда Барейро-Бобадилья, Никлас Брун, Наела Габр, Хилари Гбедема, Йоко Хаяси, Исмат Джахан, Даля Лейнарте, Виолета Нойбауэр, Теодора Оби Нванкво, Мария Элена Лопиш ди Жесус Пириш, Бьянкамария Померанци, Патриция Шульц, Дубравка Шимонович и Цзоу Сяоцао.</w:t>
      </w:r>
    </w:p>
  </w:footnote>
  <w:footnote w:id="2">
    <w:p w:rsidR="00130086" w:rsidRPr="00B84B5A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91284">
        <w:tab/>
      </w:r>
      <w:r>
        <w:rPr>
          <w:rStyle w:val="FootnoteReference"/>
        </w:rPr>
        <w:footnoteRef/>
      </w:r>
      <w:r w:rsidRPr="00B84B5A">
        <w:tab/>
        <w:t>7 июня 2013 года государство-участник обратилось к Комитету с просьбой об отмене временных мер. 5 августа 2013 года Комитет информировал государ</w:t>
      </w:r>
      <w:r>
        <w:t>ство-участник</w:t>
      </w:r>
      <w:r w:rsidRPr="00B84B5A">
        <w:t xml:space="preserve"> о своем решении сохранить де</w:t>
      </w:r>
      <w:r>
        <w:t>йствие временных мер до тех пор,</w:t>
      </w:r>
      <w:r w:rsidRPr="00B84B5A">
        <w:t xml:space="preserve"> пока дело автора находится на рассмотрении.</w:t>
      </w:r>
    </w:p>
  </w:footnote>
  <w:footnote w:id="3">
    <w:p w:rsidR="00130086" w:rsidRPr="006F7168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6F7168">
        <w:tab/>
      </w:r>
      <w:r>
        <w:rPr>
          <w:rStyle w:val="FootnoteReference"/>
        </w:rPr>
        <w:footnoteRef/>
      </w:r>
      <w:r w:rsidRPr="006F7168">
        <w:tab/>
        <w:t>В уведомлении о депортации указывается, что она должна вернуться в Мек</w:t>
      </w:r>
      <w:r>
        <w:t>сику до </w:t>
      </w:r>
      <w:r w:rsidRPr="006F7168">
        <w:t>28 февраля 2013 года.</w:t>
      </w:r>
    </w:p>
  </w:footnote>
  <w:footnote w:id="4">
    <w:p w:rsidR="00130086" w:rsidRPr="006A057D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91284">
        <w:tab/>
      </w:r>
      <w:r>
        <w:rPr>
          <w:rStyle w:val="FootnoteReference"/>
        </w:rPr>
        <w:footnoteRef/>
      </w:r>
      <w:r w:rsidRPr="006A057D">
        <w:tab/>
        <w:t xml:space="preserve">Сообщение № 10/2005, </w:t>
      </w:r>
      <w:r w:rsidRPr="006A057D">
        <w:rPr>
          <w:i/>
          <w:iCs/>
        </w:rPr>
        <w:t xml:space="preserve">Н.С.Ф. против </w:t>
      </w:r>
      <w:r w:rsidRPr="006A057D">
        <w:rPr>
          <w:i/>
        </w:rPr>
        <w:t>Соединенного Королевства Великобритании и</w:t>
      </w:r>
      <w:r>
        <w:rPr>
          <w:i/>
        </w:rPr>
        <w:t> </w:t>
      </w:r>
      <w:r w:rsidRPr="006A057D">
        <w:rPr>
          <w:i/>
        </w:rPr>
        <w:t>Северной Ирландии</w:t>
      </w:r>
      <w:r w:rsidRPr="006A057D">
        <w:rPr>
          <w:i/>
          <w:iCs/>
        </w:rPr>
        <w:t>,</w:t>
      </w:r>
      <w:r w:rsidRPr="006A057D">
        <w:t xml:space="preserve"> решение относительно приемлемости сообщения, принятое 30 июня 2007 года. Комитет установил, что автор не исчерпала все внутренние средства правовой защиты, и на этом основании заявил о неприемлемости сообщения в соответствии с пунктом 1 статьи 4 Факультативного протокола. То, что автор не поставила перед национальными властями вопроса о дискриминации по половому признаку, сыграло решающую роль для постановления Комитета, который не вынес решений, связанных с другими критериями приемлемости.</w:t>
      </w:r>
    </w:p>
  </w:footnote>
  <w:footnote w:id="5">
    <w:p w:rsidR="00130086" w:rsidRPr="00C714EC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91284">
        <w:tab/>
      </w:r>
      <w:r>
        <w:rPr>
          <w:rStyle w:val="FootnoteReference"/>
        </w:rPr>
        <w:footnoteRef/>
      </w:r>
      <w:r>
        <w:tab/>
      </w:r>
      <w:r w:rsidRPr="00C714EC">
        <w:t>Государство-участник не утверждает о неисчерпании внутренних средств правовой защиты, поскольку Федеральным судом еще не принято постановление в отношении пересмотра судебного решения. Оно лишь отметило, что судебный процесс не был завершен, и признало, что в любом случае оно не приостановило бы процедуру высылки автора из страны. Как отмечено в пунктах</w:t>
      </w:r>
      <w:r>
        <w:t xml:space="preserve"> </w:t>
      </w:r>
      <w:r w:rsidRPr="00C714EC">
        <w:t>7.7 и 8.6 ниже по тексту, Федеральный суд огласил свое решение 7 июня 2013 года.</w:t>
      </w:r>
    </w:p>
  </w:footnote>
  <w:footnote w:id="6">
    <w:p w:rsidR="00130086" w:rsidRPr="00C714EC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463F4">
        <w:tab/>
      </w:r>
      <w:r>
        <w:rPr>
          <w:rStyle w:val="FootnoteReference"/>
        </w:rPr>
        <w:footnoteRef/>
      </w:r>
      <w:r w:rsidRPr="00C714EC">
        <w:tab/>
        <w:t>Государство-участник заявляет о том, что некоторые примеры такого рода трудностей включают невозможность получения критически важн</w:t>
      </w:r>
      <w:r>
        <w:t>ой медицинской помощи или ухода,</w:t>
      </w:r>
      <w:r w:rsidRPr="00C714EC">
        <w:t xml:space="preserve"> дискриминацию, не представляющую собой пресл</w:t>
      </w:r>
      <w:r>
        <w:t>едования,</w:t>
      </w:r>
      <w:r w:rsidRPr="00C714EC">
        <w:t xml:space="preserve"> и неблагоприятные условия, существующие в стране и оказывающие непосредственное негативное воздействие на заявителя.</w:t>
      </w:r>
    </w:p>
  </w:footnote>
  <w:footnote w:id="7">
    <w:p w:rsidR="00130086" w:rsidRPr="00462F25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91284">
        <w:tab/>
      </w:r>
      <w:r>
        <w:rPr>
          <w:rStyle w:val="FootnoteReference"/>
        </w:rPr>
        <w:footnoteRef/>
      </w:r>
      <w:r w:rsidRPr="00462F25">
        <w:tab/>
        <w:t>Государство-участник ссылается на следующие сообщения, представленные в Комитет против пыток, в которых высказывается мнение о том, что переселение в другую часть страны не представляет собой пытку, хотя и создает трудности: сообщение №</w:t>
      </w:r>
      <w:r>
        <w:t> </w:t>
      </w:r>
      <w:r w:rsidRPr="00462F25">
        <w:t xml:space="preserve">183/2001, </w:t>
      </w:r>
      <w:r w:rsidRPr="00462F25">
        <w:rPr>
          <w:i/>
        </w:rPr>
        <w:t>Б.С.Ш. против Канады</w:t>
      </w:r>
      <w:r w:rsidRPr="00462F25">
        <w:t>, соображения, принятые 12 мая 2004 года, пункт</w:t>
      </w:r>
      <w:r>
        <w:t> 11.5,</w:t>
      </w:r>
      <w:r w:rsidRPr="00462F25">
        <w:t xml:space="preserve"> и сообщение № 245/2004, </w:t>
      </w:r>
      <w:r w:rsidRPr="00462F25">
        <w:rPr>
          <w:i/>
        </w:rPr>
        <w:t>С.С.С. против Канады</w:t>
      </w:r>
      <w:r w:rsidRPr="00462F25">
        <w:t xml:space="preserve">, </w:t>
      </w:r>
      <w:r>
        <w:t>решение</w:t>
      </w:r>
      <w:r w:rsidRPr="00462F25">
        <w:t>, пр</w:t>
      </w:r>
      <w:r>
        <w:t>инято</w:t>
      </w:r>
      <w:r w:rsidRPr="00462F25">
        <w:t>е 16</w:t>
      </w:r>
      <w:r>
        <w:t> </w:t>
      </w:r>
      <w:r w:rsidRPr="00462F25">
        <w:t>ноября 2005 года, пункт 8.5.</w:t>
      </w:r>
    </w:p>
  </w:footnote>
  <w:footnote w:id="8">
    <w:p w:rsidR="00130086" w:rsidRPr="007933A2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C1B88">
        <w:tab/>
      </w:r>
      <w:r>
        <w:rPr>
          <w:rStyle w:val="FootnoteReference"/>
        </w:rPr>
        <w:footnoteRef/>
      </w:r>
      <w:r w:rsidRPr="007933A2">
        <w:tab/>
        <w:t xml:space="preserve">См. сообщение № 1011/2001, </w:t>
      </w:r>
      <w:r w:rsidRPr="007933A2">
        <w:rPr>
          <w:i/>
        </w:rPr>
        <w:t xml:space="preserve">Мадаффери против </w:t>
      </w:r>
      <w:r w:rsidRPr="007933A2">
        <w:rPr>
          <w:i/>
          <w:iCs/>
        </w:rPr>
        <w:t>Австралии</w:t>
      </w:r>
      <w:r w:rsidRPr="007933A2">
        <w:t>, соображе</w:t>
      </w:r>
      <w:r>
        <w:t>ния, принятые 26 июля 2004 года, и</w:t>
      </w:r>
      <w:r w:rsidRPr="007933A2">
        <w:t xml:space="preserve"> сообщение № 930/2000, </w:t>
      </w:r>
      <w:r w:rsidRPr="007933A2">
        <w:rPr>
          <w:i/>
        </w:rPr>
        <w:t>Вината против Австралии</w:t>
      </w:r>
      <w:r w:rsidRPr="007933A2">
        <w:t>, соображения, принятые 26 июля 2001 года.</w:t>
      </w:r>
    </w:p>
  </w:footnote>
  <w:footnote w:id="9">
    <w:p w:rsidR="00130086" w:rsidRPr="0038597F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67123E">
        <w:tab/>
      </w:r>
      <w:r>
        <w:rPr>
          <w:rStyle w:val="FootnoteReference"/>
        </w:rPr>
        <w:footnoteRef/>
      </w:r>
      <w:r w:rsidRPr="0038597F">
        <w:tab/>
      </w:r>
      <w:r>
        <w:rPr>
          <w:w w:val="103"/>
          <w:kern w:val="0"/>
        </w:rPr>
        <w:t xml:space="preserve">См. сообщение № 133/1999, </w:t>
      </w:r>
      <w:r w:rsidRPr="0067123E">
        <w:rPr>
          <w:i/>
          <w:w w:val="103"/>
          <w:kern w:val="0"/>
        </w:rPr>
        <w:t>Фалькон Риос против Канады</w:t>
      </w:r>
      <w:r w:rsidRPr="0038597F">
        <w:rPr>
          <w:w w:val="103"/>
          <w:kern w:val="0"/>
        </w:rPr>
        <w:t xml:space="preserve">, </w:t>
      </w:r>
      <w:r>
        <w:rPr>
          <w:w w:val="103"/>
          <w:kern w:val="0"/>
        </w:rPr>
        <w:t>решение, принято</w:t>
      </w:r>
      <w:r w:rsidRPr="0038597F">
        <w:rPr>
          <w:w w:val="103"/>
          <w:kern w:val="0"/>
        </w:rPr>
        <w:t>е 23</w:t>
      </w:r>
      <w:r w:rsidRPr="002D7E35">
        <w:rPr>
          <w:w w:val="103"/>
          <w:kern w:val="0"/>
        </w:rPr>
        <w:t> </w:t>
      </w:r>
      <w:r w:rsidRPr="0038597F">
        <w:rPr>
          <w:w w:val="103"/>
          <w:kern w:val="0"/>
        </w:rPr>
        <w:t>ноября 2004</w:t>
      </w:r>
      <w:r w:rsidRPr="002D7E35">
        <w:rPr>
          <w:w w:val="103"/>
          <w:kern w:val="0"/>
        </w:rPr>
        <w:t> </w:t>
      </w:r>
      <w:r w:rsidRPr="0038597F">
        <w:rPr>
          <w:w w:val="103"/>
          <w:kern w:val="0"/>
        </w:rPr>
        <w:t>года, пункт</w:t>
      </w:r>
      <w:r w:rsidRPr="002D7E35">
        <w:rPr>
          <w:w w:val="103"/>
          <w:kern w:val="0"/>
        </w:rPr>
        <w:t> </w:t>
      </w:r>
      <w:r w:rsidRPr="0038597F">
        <w:rPr>
          <w:w w:val="103"/>
          <w:kern w:val="0"/>
        </w:rPr>
        <w:t>7.3.</w:t>
      </w:r>
    </w:p>
  </w:footnote>
  <w:footnote w:id="10">
    <w:p w:rsidR="00130086" w:rsidRPr="007641FF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91284">
        <w:tab/>
      </w:r>
      <w:r>
        <w:rPr>
          <w:rStyle w:val="FootnoteReference"/>
        </w:rPr>
        <w:footnoteRef/>
      </w:r>
      <w:r w:rsidRPr="007641FF">
        <w:tab/>
      </w:r>
      <w:r>
        <w:rPr>
          <w:w w:val="103"/>
          <w:kern w:val="0"/>
        </w:rPr>
        <w:t>С</w:t>
      </w:r>
      <w:r w:rsidRPr="007641FF">
        <w:rPr>
          <w:w w:val="103"/>
          <w:kern w:val="0"/>
        </w:rPr>
        <w:t xml:space="preserve">ообщение № 33/2011, </w:t>
      </w:r>
      <w:r w:rsidRPr="007D66FE">
        <w:rPr>
          <w:i/>
          <w:iCs/>
          <w:w w:val="103"/>
          <w:kern w:val="0"/>
        </w:rPr>
        <w:t>М.Н.Н. против Дании</w:t>
      </w:r>
      <w:r w:rsidRPr="007641FF">
        <w:rPr>
          <w:w w:val="103"/>
          <w:kern w:val="0"/>
        </w:rPr>
        <w:t>, решение о неприемлемости, принятое 15</w:t>
      </w:r>
      <w:r w:rsidRPr="002D7E35">
        <w:rPr>
          <w:w w:val="103"/>
          <w:kern w:val="0"/>
        </w:rPr>
        <w:t> </w:t>
      </w:r>
      <w:r w:rsidRPr="007641FF">
        <w:rPr>
          <w:w w:val="103"/>
          <w:kern w:val="0"/>
        </w:rPr>
        <w:t>июля 2013</w:t>
      </w:r>
      <w:r w:rsidRPr="002D7E35">
        <w:rPr>
          <w:w w:val="103"/>
          <w:kern w:val="0"/>
        </w:rPr>
        <w:t> </w:t>
      </w:r>
      <w:r w:rsidRPr="007641FF">
        <w:rPr>
          <w:w w:val="103"/>
          <w:kern w:val="0"/>
        </w:rPr>
        <w:t>года</w:t>
      </w:r>
      <w:r w:rsidRPr="007641FF">
        <w:rPr>
          <w:rFonts w:eastAsia="MS Mincho"/>
          <w:w w:val="103"/>
          <w:kern w:val="0"/>
        </w:rPr>
        <w:t>.</w:t>
      </w:r>
    </w:p>
  </w:footnote>
  <w:footnote w:id="11">
    <w:p w:rsidR="00130086" w:rsidRPr="00D64D3B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91284">
        <w:tab/>
      </w:r>
      <w:r>
        <w:rPr>
          <w:rStyle w:val="FootnoteReference"/>
        </w:rPr>
        <w:footnoteRef/>
      </w:r>
      <w:r w:rsidRPr="00D64D3B">
        <w:tab/>
      </w:r>
      <w:r w:rsidRPr="00D64D3B">
        <w:rPr>
          <w:w w:val="103"/>
          <w:kern w:val="0"/>
        </w:rPr>
        <w:t>Государство-участник ссылается на сообщение</w:t>
      </w:r>
      <w:r w:rsidRPr="002D7E35">
        <w:rPr>
          <w:w w:val="103"/>
          <w:kern w:val="0"/>
        </w:rPr>
        <w:t> </w:t>
      </w:r>
      <w:r w:rsidRPr="00D64D3B">
        <w:rPr>
          <w:w w:val="103"/>
          <w:kern w:val="0"/>
        </w:rPr>
        <w:t>№</w:t>
      </w:r>
      <w:r w:rsidRPr="002D7E35">
        <w:rPr>
          <w:w w:val="103"/>
          <w:kern w:val="0"/>
        </w:rPr>
        <w:t> </w:t>
      </w:r>
      <w:r w:rsidRPr="00D64D3B">
        <w:rPr>
          <w:w w:val="103"/>
          <w:kern w:val="0"/>
        </w:rPr>
        <w:t xml:space="preserve">1302/2004, </w:t>
      </w:r>
      <w:r w:rsidRPr="00D64D3B">
        <w:rPr>
          <w:i/>
          <w:iCs/>
          <w:w w:val="103"/>
          <w:kern w:val="0"/>
        </w:rPr>
        <w:t>Хан против Канады</w:t>
      </w:r>
      <w:r w:rsidRPr="00D64D3B">
        <w:rPr>
          <w:iCs/>
          <w:w w:val="103"/>
          <w:kern w:val="0"/>
        </w:rPr>
        <w:t>, решение о</w:t>
      </w:r>
      <w:r w:rsidRPr="002D7E35">
        <w:rPr>
          <w:iCs/>
          <w:w w:val="103"/>
          <w:kern w:val="0"/>
        </w:rPr>
        <w:t> </w:t>
      </w:r>
      <w:r w:rsidRPr="00D64D3B">
        <w:rPr>
          <w:iCs/>
          <w:w w:val="103"/>
          <w:kern w:val="0"/>
        </w:rPr>
        <w:t>неприемлемости, принятое 25 июля 2006 года</w:t>
      </w:r>
      <w:r w:rsidRPr="00D64D3B">
        <w:rPr>
          <w:w w:val="103"/>
          <w:kern w:val="0"/>
        </w:rPr>
        <w:t xml:space="preserve">, пункт 5.6, </w:t>
      </w:r>
      <w:r>
        <w:rPr>
          <w:w w:val="103"/>
          <w:kern w:val="0"/>
        </w:rPr>
        <w:t>в котором содержится ссылка на з</w:t>
      </w:r>
      <w:r w:rsidRPr="00D64D3B">
        <w:rPr>
          <w:iCs/>
          <w:w w:val="103"/>
          <w:kern w:val="0"/>
        </w:rPr>
        <w:t>амечание общего порядка</w:t>
      </w:r>
      <w:r w:rsidRPr="00D64D3B">
        <w:rPr>
          <w:w w:val="103"/>
          <w:kern w:val="0"/>
        </w:rPr>
        <w:t xml:space="preserve"> Комитета по</w:t>
      </w:r>
      <w:r>
        <w:rPr>
          <w:w w:val="103"/>
          <w:kern w:val="0"/>
        </w:rPr>
        <w:t xml:space="preserve"> правам человека № 31, пункт 12,</w:t>
      </w:r>
      <w:r w:rsidRPr="00D64D3B">
        <w:rPr>
          <w:w w:val="103"/>
          <w:kern w:val="0"/>
        </w:rPr>
        <w:t xml:space="preserve"> и дело </w:t>
      </w:r>
      <w:r w:rsidRPr="00D64D3B">
        <w:rPr>
          <w:i/>
          <w:w w:val="103"/>
          <w:kern w:val="0"/>
        </w:rPr>
        <w:t xml:space="preserve">Соеринг против </w:t>
      </w:r>
      <w:r w:rsidRPr="00D64D3B">
        <w:rPr>
          <w:i/>
          <w:iCs/>
          <w:w w:val="103"/>
          <w:kern w:val="0"/>
        </w:rPr>
        <w:t>Соединенного Королевства</w:t>
      </w:r>
      <w:r w:rsidRPr="00D64D3B">
        <w:rPr>
          <w:iCs/>
          <w:w w:val="103"/>
          <w:kern w:val="0"/>
        </w:rPr>
        <w:t>,</w:t>
      </w:r>
      <w:r w:rsidRPr="00D64D3B">
        <w:rPr>
          <w:rFonts w:eastAsia="MS Mincho"/>
          <w:w w:val="103"/>
          <w:kern w:val="0"/>
        </w:rPr>
        <w:t xml:space="preserve"> судебное решение от 7</w:t>
      </w:r>
      <w:r w:rsidRPr="002D7E35">
        <w:rPr>
          <w:rFonts w:eastAsia="MS Mincho"/>
          <w:w w:val="103"/>
          <w:kern w:val="0"/>
        </w:rPr>
        <w:t> </w:t>
      </w:r>
      <w:r w:rsidRPr="00D64D3B">
        <w:rPr>
          <w:rFonts w:eastAsia="MS Mincho"/>
          <w:w w:val="103"/>
          <w:kern w:val="0"/>
        </w:rPr>
        <w:t>июля 1989</w:t>
      </w:r>
      <w:r w:rsidRPr="002D7E35">
        <w:rPr>
          <w:rFonts w:eastAsia="MS Mincho"/>
          <w:w w:val="103"/>
          <w:kern w:val="0"/>
        </w:rPr>
        <w:t> </w:t>
      </w:r>
      <w:r w:rsidRPr="00D64D3B">
        <w:rPr>
          <w:rFonts w:eastAsia="MS Mincho"/>
          <w:w w:val="103"/>
          <w:kern w:val="0"/>
        </w:rPr>
        <w:t>года.</w:t>
      </w:r>
    </w:p>
  </w:footnote>
  <w:footnote w:id="12">
    <w:p w:rsidR="00130086" w:rsidRPr="00D31CD5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F91284">
        <w:tab/>
      </w:r>
      <w:r>
        <w:rPr>
          <w:rStyle w:val="FootnoteReference"/>
        </w:rPr>
        <w:footnoteRef/>
      </w:r>
      <w:r w:rsidRPr="00130086">
        <w:rPr>
          <w:lang w:val="en-US"/>
        </w:rPr>
        <w:tab/>
      </w:r>
      <w:r w:rsidRPr="00130086">
        <w:rPr>
          <w:w w:val="103"/>
          <w:kern w:val="0"/>
          <w:lang w:val="en-US"/>
        </w:rPr>
        <w:t>Office of the United Nations High Commissioner for Refugees</w:t>
      </w:r>
      <w:r w:rsidRPr="002D7E35">
        <w:rPr>
          <w:w w:val="103"/>
          <w:kern w:val="0"/>
          <w:lang w:val="en-CA"/>
        </w:rPr>
        <w:t xml:space="preserve">, </w:t>
      </w:r>
      <w:r w:rsidR="00A53EA8">
        <w:rPr>
          <w:w w:val="103"/>
          <w:kern w:val="0"/>
          <w:lang w:val="en-US"/>
        </w:rPr>
        <w:t>“</w:t>
      </w:r>
      <w:r w:rsidRPr="002D7E35">
        <w:rPr>
          <w:w w:val="103"/>
          <w:kern w:val="0"/>
          <w:lang w:val="en-CA"/>
        </w:rPr>
        <w:t>Guidelines on International Protection: Internal Flight of Relocation Alternative within the context of Article 1A(2) of the 1951 Convention and/or 1967 Protocol relating to the Status of Refugees</w:t>
      </w:r>
      <w:r w:rsidR="00A53EA8">
        <w:rPr>
          <w:w w:val="103"/>
          <w:kern w:val="0"/>
          <w:lang w:val="en-CA"/>
        </w:rPr>
        <w:t>”</w:t>
      </w:r>
      <w:r w:rsidRPr="002D7E35">
        <w:rPr>
          <w:w w:val="103"/>
          <w:kern w:val="0"/>
          <w:lang w:val="en-CA"/>
        </w:rPr>
        <w:t>, guideline No.</w:t>
      </w:r>
      <w:r w:rsidRPr="00D31CD5">
        <w:rPr>
          <w:w w:val="103"/>
          <w:kern w:val="0"/>
          <w:lang w:val="en-US"/>
        </w:rPr>
        <w:t> </w:t>
      </w:r>
      <w:r w:rsidRPr="002D7E35">
        <w:rPr>
          <w:w w:val="103"/>
          <w:kern w:val="0"/>
          <w:lang w:val="en-CA"/>
        </w:rPr>
        <w:t xml:space="preserve">4 </w:t>
      </w:r>
      <w:r w:rsidRPr="002D7E35">
        <w:rPr>
          <w:w w:val="103"/>
          <w:kern w:val="0"/>
          <w:lang w:val="en-US"/>
        </w:rPr>
        <w:t>(</w:t>
      </w:r>
      <w:r w:rsidRPr="002D7E35">
        <w:rPr>
          <w:w w:val="103"/>
          <w:kern w:val="0"/>
          <w:lang w:val="en-CA"/>
        </w:rPr>
        <w:t>HCR/GIP/03/04</w:t>
      </w:r>
      <w:r w:rsidRPr="002D7E35">
        <w:rPr>
          <w:w w:val="103"/>
          <w:kern w:val="0"/>
          <w:lang w:val="en-US"/>
        </w:rPr>
        <w:t>).</w:t>
      </w:r>
    </w:p>
  </w:footnote>
  <w:footnote w:id="13">
    <w:p w:rsidR="00130086" w:rsidRPr="00C03774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130086">
        <w:rPr>
          <w:lang w:val="en-US"/>
        </w:rPr>
        <w:tab/>
      </w:r>
      <w:r>
        <w:rPr>
          <w:rStyle w:val="FootnoteReference"/>
        </w:rPr>
        <w:footnoteRef/>
      </w:r>
      <w:r w:rsidRPr="00C03774">
        <w:tab/>
      </w:r>
      <w:r w:rsidRPr="00C03774">
        <w:rPr>
          <w:w w:val="103"/>
          <w:kern w:val="0"/>
        </w:rPr>
        <w:t xml:space="preserve">Государство-участник ссылается на дело </w:t>
      </w:r>
      <w:r w:rsidRPr="00C03774">
        <w:rPr>
          <w:i/>
          <w:iCs/>
          <w:w w:val="103"/>
          <w:kern w:val="0"/>
        </w:rPr>
        <w:t>С.С.С. против Канады</w:t>
      </w:r>
      <w:r>
        <w:rPr>
          <w:iCs/>
          <w:w w:val="103"/>
          <w:kern w:val="0"/>
        </w:rPr>
        <w:t xml:space="preserve"> (сноска 6</w:t>
      </w:r>
      <w:r w:rsidRPr="00C03774">
        <w:rPr>
          <w:iCs/>
          <w:w w:val="103"/>
          <w:kern w:val="0"/>
        </w:rPr>
        <w:t xml:space="preserve"> выше)</w:t>
      </w:r>
      <w:r w:rsidRPr="00C03774">
        <w:rPr>
          <w:w w:val="103"/>
          <w:kern w:val="0"/>
        </w:rPr>
        <w:t>, пункт</w:t>
      </w:r>
      <w:r w:rsidRPr="002D7E35">
        <w:rPr>
          <w:w w:val="103"/>
          <w:kern w:val="0"/>
        </w:rPr>
        <w:t> </w:t>
      </w:r>
      <w:r w:rsidRPr="00C03774">
        <w:rPr>
          <w:w w:val="103"/>
          <w:kern w:val="0"/>
        </w:rPr>
        <w:t>8.5, в</w:t>
      </w:r>
      <w:r w:rsidRPr="002D7E35">
        <w:rPr>
          <w:w w:val="103"/>
          <w:kern w:val="0"/>
        </w:rPr>
        <w:t> </w:t>
      </w:r>
      <w:r w:rsidRPr="00C03774">
        <w:rPr>
          <w:w w:val="103"/>
          <w:kern w:val="0"/>
        </w:rPr>
        <w:t xml:space="preserve">котором Комитет против пыток отметил факт наличия альтернативы поиска убежища внутри страны, сделав вывод о том, что заявитель мог бы </w:t>
      </w:r>
      <w:r w:rsidR="00A53EA8">
        <w:rPr>
          <w:w w:val="103"/>
          <w:kern w:val="0"/>
        </w:rPr>
        <w:t>«</w:t>
      </w:r>
      <w:r w:rsidRPr="00C03774">
        <w:rPr>
          <w:w w:val="103"/>
          <w:kern w:val="0"/>
        </w:rPr>
        <w:t>проживать, не опасаясь пыток</w:t>
      </w:r>
      <w:r w:rsidR="00A53EA8">
        <w:rPr>
          <w:w w:val="103"/>
          <w:kern w:val="0"/>
        </w:rPr>
        <w:t>»</w:t>
      </w:r>
      <w:r w:rsidRPr="00C03774">
        <w:rPr>
          <w:w w:val="103"/>
          <w:kern w:val="0"/>
        </w:rPr>
        <w:t>, в других районах Индии.</w:t>
      </w:r>
    </w:p>
  </w:footnote>
  <w:footnote w:id="14">
    <w:p w:rsidR="00130086" w:rsidRPr="00A538AB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91284">
        <w:tab/>
      </w:r>
      <w:r>
        <w:rPr>
          <w:rStyle w:val="FootnoteReference"/>
        </w:rPr>
        <w:footnoteRef/>
      </w:r>
      <w:r w:rsidRPr="00A538AB">
        <w:tab/>
      </w:r>
      <w:r w:rsidRPr="00A538AB">
        <w:rPr>
          <w:w w:val="103"/>
          <w:kern w:val="0"/>
        </w:rPr>
        <w:t xml:space="preserve">Европейский суд по правам человека рассмотрел вопрос о наличии альтернативы поиска убежища внутри страны при выявлении возможных нарушений статьи 3 Конвенции о защите прав человека и основных свобод. В деле </w:t>
      </w:r>
      <w:r w:rsidRPr="00A538AB">
        <w:rPr>
          <w:i/>
          <w:iCs/>
          <w:w w:val="103"/>
          <w:kern w:val="0"/>
        </w:rPr>
        <w:t>Вильвараджа и другие против Соединенного Королевства</w:t>
      </w:r>
      <w:r w:rsidRPr="00A538AB">
        <w:rPr>
          <w:w w:val="103"/>
          <w:kern w:val="0"/>
        </w:rPr>
        <w:t xml:space="preserve"> он признал, что на значительной части территории Шри-Ланки сохранялся мир, и соответственно сделал вывод об отсутствии нарушений положений статьи</w:t>
      </w:r>
      <w:r w:rsidRPr="002D7E35">
        <w:rPr>
          <w:w w:val="103"/>
          <w:kern w:val="0"/>
        </w:rPr>
        <w:t> </w:t>
      </w:r>
      <w:r w:rsidRPr="00A538AB">
        <w:rPr>
          <w:w w:val="103"/>
          <w:kern w:val="0"/>
        </w:rPr>
        <w:t>3 (пункт</w:t>
      </w:r>
      <w:r w:rsidRPr="002D7E35">
        <w:rPr>
          <w:w w:val="103"/>
          <w:kern w:val="0"/>
        </w:rPr>
        <w:t> </w:t>
      </w:r>
      <w:r w:rsidRPr="00A538AB">
        <w:rPr>
          <w:w w:val="103"/>
          <w:kern w:val="0"/>
        </w:rPr>
        <w:t>109).</w:t>
      </w:r>
    </w:p>
  </w:footnote>
  <w:footnote w:id="15">
    <w:p w:rsidR="00130086" w:rsidRPr="00210B48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A538AB">
        <w:tab/>
      </w:r>
      <w:r>
        <w:rPr>
          <w:rStyle w:val="FootnoteReference"/>
        </w:rPr>
        <w:footnoteRef/>
      </w:r>
      <w:r w:rsidRPr="00210B48">
        <w:tab/>
      </w:r>
      <w:r w:rsidRPr="00210B48">
        <w:rPr>
          <w:w w:val="103"/>
          <w:kern w:val="0"/>
        </w:rPr>
        <w:t xml:space="preserve">Государство-участник ссылается на сообщение № 282/2005, </w:t>
      </w:r>
      <w:r w:rsidRPr="00210B48">
        <w:rPr>
          <w:i/>
          <w:w w:val="103"/>
          <w:kern w:val="0"/>
        </w:rPr>
        <w:t>С.П.А против Канады</w:t>
      </w:r>
      <w:r w:rsidRPr="00210B48">
        <w:rPr>
          <w:w w:val="103"/>
          <w:kern w:val="0"/>
        </w:rPr>
        <w:t>, решение, принятое 7</w:t>
      </w:r>
      <w:r w:rsidRPr="002D7E35">
        <w:rPr>
          <w:w w:val="103"/>
          <w:kern w:val="0"/>
        </w:rPr>
        <w:t> </w:t>
      </w:r>
      <w:r>
        <w:rPr>
          <w:w w:val="103"/>
          <w:kern w:val="0"/>
        </w:rPr>
        <w:t>ноября 2006 года, пункт 7.7,</w:t>
      </w:r>
      <w:r w:rsidRPr="00210B48">
        <w:rPr>
          <w:w w:val="103"/>
          <w:kern w:val="0"/>
        </w:rPr>
        <w:t xml:space="preserve"> и сообщение № 203/2002, </w:t>
      </w:r>
      <w:r w:rsidRPr="00210B48">
        <w:rPr>
          <w:i/>
          <w:iCs/>
          <w:w w:val="103"/>
          <w:kern w:val="0"/>
        </w:rPr>
        <w:t>А.Р.</w:t>
      </w:r>
      <w:r w:rsidR="00A53EA8">
        <w:rPr>
          <w:i/>
          <w:iCs/>
          <w:w w:val="103"/>
          <w:kern w:val="0"/>
        </w:rPr>
        <w:t xml:space="preserve"> </w:t>
      </w:r>
      <w:r w:rsidRPr="00210B48">
        <w:rPr>
          <w:i/>
          <w:iCs/>
          <w:w w:val="103"/>
          <w:kern w:val="0"/>
        </w:rPr>
        <w:t>против Нидерландов</w:t>
      </w:r>
      <w:r w:rsidRPr="00210B48">
        <w:rPr>
          <w:w w:val="103"/>
          <w:kern w:val="0"/>
        </w:rPr>
        <w:t>, решение</w:t>
      </w:r>
      <w:r>
        <w:rPr>
          <w:w w:val="103"/>
          <w:kern w:val="0"/>
        </w:rPr>
        <w:t>,</w:t>
      </w:r>
      <w:r w:rsidRPr="00210B48">
        <w:rPr>
          <w:w w:val="103"/>
          <w:kern w:val="0"/>
        </w:rPr>
        <w:t xml:space="preserve"> принятое 14 ноября 2003 года, пункт</w:t>
      </w:r>
      <w:r w:rsidRPr="002D7E35">
        <w:rPr>
          <w:w w:val="103"/>
          <w:kern w:val="0"/>
        </w:rPr>
        <w:t> </w:t>
      </w:r>
      <w:r w:rsidRPr="00210B48">
        <w:rPr>
          <w:w w:val="103"/>
          <w:kern w:val="0"/>
        </w:rPr>
        <w:t>7.3.</w:t>
      </w:r>
    </w:p>
  </w:footnote>
  <w:footnote w:id="16">
    <w:p w:rsidR="00130086" w:rsidRPr="001B699B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91284">
        <w:tab/>
      </w:r>
      <w:r>
        <w:rPr>
          <w:rStyle w:val="FootnoteReference"/>
        </w:rPr>
        <w:footnoteRef/>
      </w:r>
      <w:r w:rsidRPr="00620234">
        <w:tab/>
      </w:r>
      <w:r w:rsidRPr="001B699B">
        <w:rPr>
          <w:w w:val="103"/>
          <w:kern w:val="0"/>
          <w:szCs w:val="18"/>
        </w:rPr>
        <w:t>Государство-участник ссылается на доклад, подготовленный в 2011 году Государственным департаментом Соединенных Штатов Америки, в котором указывается на наличие около 70</w:t>
      </w:r>
      <w:r w:rsidRPr="00B25DA6">
        <w:rPr>
          <w:w w:val="103"/>
          <w:kern w:val="0"/>
          <w:szCs w:val="18"/>
        </w:rPr>
        <w:t> </w:t>
      </w:r>
      <w:r w:rsidRPr="001B699B">
        <w:rPr>
          <w:w w:val="103"/>
          <w:kern w:val="0"/>
          <w:szCs w:val="18"/>
        </w:rPr>
        <w:t>приютов для женщин и их детей, финансируемых, по</w:t>
      </w:r>
      <w:r>
        <w:rPr>
          <w:w w:val="103"/>
          <w:kern w:val="0"/>
          <w:szCs w:val="18"/>
        </w:rPr>
        <w:t> </w:t>
      </w:r>
      <w:r w:rsidRPr="001B699B">
        <w:rPr>
          <w:w w:val="103"/>
          <w:kern w:val="0"/>
          <w:szCs w:val="18"/>
        </w:rPr>
        <w:t>крайней мере частично, правительством и предназначенных главным образом для жертв гендерного насилия.</w:t>
      </w:r>
    </w:p>
  </w:footnote>
  <w:footnote w:id="17">
    <w:p w:rsidR="00130086" w:rsidRPr="00F91284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w w:val="103"/>
          <w:kern w:val="0"/>
        </w:rPr>
      </w:pPr>
      <w:r w:rsidRPr="00F91284">
        <w:rPr>
          <w:w w:val="103"/>
          <w:kern w:val="0"/>
        </w:rPr>
        <w:tab/>
      </w:r>
      <w:r w:rsidRPr="002D7E35">
        <w:rPr>
          <w:rStyle w:val="FootnoteReference"/>
          <w:w w:val="103"/>
          <w:kern w:val="0"/>
          <w:sz w:val="20"/>
        </w:rPr>
        <w:footnoteRef/>
      </w:r>
      <w:r w:rsidRPr="00F91284">
        <w:rPr>
          <w:w w:val="103"/>
          <w:kern w:val="0"/>
        </w:rPr>
        <w:tab/>
        <w:t>См. а</w:t>
      </w:r>
      <w:r w:rsidRPr="00F91284">
        <w:rPr>
          <w:iCs/>
          <w:w w:val="103"/>
          <w:kern w:val="0"/>
        </w:rPr>
        <w:t xml:space="preserve"> </w:t>
      </w:r>
      <w:r w:rsidRPr="008C48BF">
        <w:rPr>
          <w:iCs/>
          <w:w w:val="103"/>
          <w:kern w:val="0"/>
        </w:rPr>
        <w:t>contrario</w:t>
      </w:r>
      <w:r w:rsidRPr="00F91284">
        <w:rPr>
          <w:iCs/>
          <w:w w:val="103"/>
          <w:kern w:val="0"/>
        </w:rPr>
        <w:t>, с</w:t>
      </w:r>
      <w:r w:rsidRPr="00F91284">
        <w:rPr>
          <w:w w:val="103"/>
          <w:kern w:val="0"/>
        </w:rPr>
        <w:t xml:space="preserve">ообщение № 26/2010, </w:t>
      </w:r>
      <w:r w:rsidRPr="00F91284">
        <w:rPr>
          <w:i/>
          <w:iCs/>
          <w:w w:val="103"/>
          <w:kern w:val="0"/>
        </w:rPr>
        <w:t>Херрера Ривера против Канады</w:t>
      </w:r>
      <w:r w:rsidRPr="00F91284">
        <w:rPr>
          <w:w w:val="103"/>
          <w:kern w:val="0"/>
        </w:rPr>
        <w:t>, решение о</w:t>
      </w:r>
      <w:r w:rsidRPr="002D7E35">
        <w:rPr>
          <w:w w:val="103"/>
          <w:kern w:val="0"/>
        </w:rPr>
        <w:t> </w:t>
      </w:r>
      <w:r w:rsidRPr="00F91284">
        <w:rPr>
          <w:w w:val="103"/>
          <w:kern w:val="0"/>
        </w:rPr>
        <w:t>неприемлемости, принятое 18 октября 2011</w:t>
      </w:r>
      <w:r w:rsidRPr="002D7E35">
        <w:rPr>
          <w:w w:val="103"/>
          <w:kern w:val="0"/>
        </w:rPr>
        <w:t> </w:t>
      </w:r>
      <w:r w:rsidRPr="00F91284">
        <w:rPr>
          <w:w w:val="103"/>
          <w:kern w:val="0"/>
        </w:rPr>
        <w:t>года.</w:t>
      </w:r>
    </w:p>
  </w:footnote>
  <w:footnote w:id="18">
    <w:p w:rsidR="00130086" w:rsidRPr="00661190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w w:val="103"/>
          <w:kern w:val="0"/>
        </w:rPr>
      </w:pPr>
      <w:r w:rsidRPr="00F91284">
        <w:rPr>
          <w:w w:val="103"/>
          <w:kern w:val="0"/>
        </w:rPr>
        <w:tab/>
      </w:r>
      <w:r w:rsidRPr="002D7E35">
        <w:rPr>
          <w:rStyle w:val="FootnoteReference"/>
          <w:w w:val="103"/>
          <w:kern w:val="0"/>
          <w:sz w:val="20"/>
        </w:rPr>
        <w:footnoteRef/>
      </w:r>
      <w:r w:rsidRPr="00661190">
        <w:rPr>
          <w:w w:val="103"/>
          <w:kern w:val="0"/>
        </w:rPr>
        <w:tab/>
      </w:r>
      <w:r w:rsidRPr="00661190">
        <w:rPr>
          <w:rFonts w:eastAsia="MS Mincho"/>
          <w:w w:val="103"/>
          <w:kern w:val="0"/>
        </w:rPr>
        <w:t xml:space="preserve">См., например, дело </w:t>
      </w:r>
      <w:r w:rsidRPr="00661190">
        <w:rPr>
          <w:rFonts w:eastAsia="MS Mincho"/>
          <w:i/>
          <w:w w:val="103"/>
          <w:kern w:val="0"/>
        </w:rPr>
        <w:t>М.Н.Н. против</w:t>
      </w:r>
      <w:r w:rsidRPr="00661190">
        <w:rPr>
          <w:rFonts w:eastAsia="MS Mincho"/>
          <w:i/>
          <w:iCs/>
          <w:w w:val="103"/>
          <w:kern w:val="0"/>
        </w:rPr>
        <w:t xml:space="preserve"> Дании</w:t>
      </w:r>
      <w:r>
        <w:rPr>
          <w:rFonts w:eastAsia="MS Mincho"/>
          <w:w w:val="103"/>
          <w:kern w:val="0"/>
        </w:rPr>
        <w:t xml:space="preserve"> (сноска 9</w:t>
      </w:r>
      <w:r w:rsidRPr="00661190">
        <w:rPr>
          <w:rFonts w:eastAsia="MS Mincho"/>
          <w:w w:val="103"/>
          <w:kern w:val="0"/>
        </w:rPr>
        <w:t xml:space="preserve"> выше), пункты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>8.5–8.10; сообщение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>№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 xml:space="preserve">35/2011, </w:t>
      </w:r>
      <w:r w:rsidRPr="00661190">
        <w:rPr>
          <w:rFonts w:eastAsia="MS Mincho"/>
          <w:i/>
          <w:w w:val="103"/>
          <w:kern w:val="0"/>
        </w:rPr>
        <w:t>М.Е.Н. против Дании</w:t>
      </w:r>
      <w:r w:rsidRPr="00661190">
        <w:rPr>
          <w:rFonts w:eastAsia="MS Mincho"/>
          <w:w w:val="103"/>
          <w:kern w:val="0"/>
        </w:rPr>
        <w:t>, решение о неприемлемости, принятое 26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>июля 2013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>года, пункты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>8.4–8.9; и сообщение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>№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 xml:space="preserve">39/2012, </w:t>
      </w:r>
      <w:r w:rsidRPr="00661190">
        <w:rPr>
          <w:rFonts w:eastAsia="MS Mincho"/>
          <w:i/>
          <w:w w:val="103"/>
          <w:kern w:val="0"/>
        </w:rPr>
        <w:t>Н. против Нидерландов</w:t>
      </w:r>
      <w:r w:rsidRPr="00661190">
        <w:rPr>
          <w:rFonts w:eastAsia="MS Mincho"/>
          <w:w w:val="103"/>
          <w:kern w:val="0"/>
        </w:rPr>
        <w:t>, решение о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>неприемлемости, принятое 17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>февраля 2014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>года, пункты</w:t>
      </w:r>
      <w:r w:rsidRPr="002D7E35">
        <w:rPr>
          <w:rFonts w:eastAsia="MS Mincho"/>
          <w:w w:val="103"/>
          <w:kern w:val="0"/>
        </w:rPr>
        <w:t> </w:t>
      </w:r>
      <w:r w:rsidRPr="00661190">
        <w:rPr>
          <w:rFonts w:eastAsia="MS Mincho"/>
          <w:w w:val="103"/>
          <w:kern w:val="0"/>
        </w:rPr>
        <w:t>6.6–6.8.</w:t>
      </w:r>
    </w:p>
  </w:footnote>
  <w:footnote w:id="19">
    <w:p w:rsidR="00130086" w:rsidRPr="00F91284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w w:val="103"/>
          <w:kern w:val="0"/>
        </w:rPr>
      </w:pPr>
      <w:r w:rsidRPr="00661190">
        <w:rPr>
          <w:w w:val="103"/>
          <w:kern w:val="0"/>
        </w:rPr>
        <w:tab/>
      </w:r>
      <w:r w:rsidRPr="002D7E35">
        <w:rPr>
          <w:rStyle w:val="FootnoteReference"/>
          <w:w w:val="103"/>
          <w:kern w:val="0"/>
          <w:sz w:val="20"/>
        </w:rPr>
        <w:footnoteRef/>
      </w:r>
      <w:r w:rsidRPr="00F91284">
        <w:rPr>
          <w:w w:val="103"/>
          <w:kern w:val="0"/>
        </w:rPr>
        <w:tab/>
      </w:r>
      <w:r w:rsidRPr="00F91284">
        <w:rPr>
          <w:rFonts w:eastAsia="MS Mincho"/>
          <w:w w:val="103"/>
          <w:kern w:val="0"/>
        </w:rPr>
        <w:t>См. пункт 6 общей рекомендации № 19.</w:t>
      </w:r>
    </w:p>
  </w:footnote>
  <w:footnote w:id="20">
    <w:p w:rsidR="00130086" w:rsidRPr="00F91284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w w:val="103"/>
          <w:kern w:val="0"/>
        </w:rPr>
      </w:pPr>
      <w:r w:rsidRPr="00F91284">
        <w:rPr>
          <w:w w:val="103"/>
          <w:kern w:val="0"/>
        </w:rPr>
        <w:tab/>
      </w:r>
      <w:r w:rsidRPr="002D7E35">
        <w:rPr>
          <w:rStyle w:val="FootnoteReference"/>
          <w:w w:val="103"/>
          <w:kern w:val="0"/>
          <w:sz w:val="20"/>
        </w:rPr>
        <w:footnoteRef/>
      </w:r>
      <w:r w:rsidRPr="00F91284">
        <w:rPr>
          <w:w w:val="103"/>
          <w:kern w:val="0"/>
        </w:rPr>
        <w:tab/>
        <w:t>См. сноску 17 выше.</w:t>
      </w:r>
    </w:p>
  </w:footnote>
  <w:footnote w:id="21">
    <w:p w:rsidR="00130086" w:rsidRPr="00F91284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w w:val="103"/>
          <w:kern w:val="0"/>
        </w:rPr>
      </w:pPr>
      <w:r w:rsidRPr="00F91284">
        <w:rPr>
          <w:w w:val="103"/>
          <w:kern w:val="0"/>
        </w:rPr>
        <w:tab/>
      </w:r>
      <w:r w:rsidRPr="002D7E35">
        <w:rPr>
          <w:rStyle w:val="FootnoteReference"/>
          <w:w w:val="103"/>
          <w:kern w:val="0"/>
          <w:sz w:val="20"/>
        </w:rPr>
        <w:footnoteRef/>
      </w:r>
      <w:r w:rsidRPr="00F91284">
        <w:rPr>
          <w:w w:val="103"/>
          <w:kern w:val="0"/>
        </w:rPr>
        <w:tab/>
        <w:t>Автор не упоминает ни о каких последующих событиях в своей жалобе по поводу оценки рисков до</w:t>
      </w:r>
      <w:r w:rsidRPr="002D7E35">
        <w:rPr>
          <w:w w:val="103"/>
          <w:kern w:val="0"/>
        </w:rPr>
        <w:t> </w:t>
      </w:r>
      <w:r w:rsidRPr="00F91284">
        <w:rPr>
          <w:w w:val="103"/>
          <w:kern w:val="0"/>
        </w:rPr>
        <w:t>высылки или в материалах, представленных в Комитет.</w:t>
      </w:r>
    </w:p>
  </w:footnote>
  <w:footnote w:id="22">
    <w:p w:rsidR="00130086" w:rsidRPr="006803F4" w:rsidRDefault="00130086" w:rsidP="00AD11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w w:val="103"/>
          <w:kern w:val="0"/>
        </w:rPr>
      </w:pPr>
      <w:r w:rsidRPr="00F91284">
        <w:rPr>
          <w:w w:val="103"/>
          <w:kern w:val="0"/>
        </w:rPr>
        <w:tab/>
      </w:r>
      <w:r w:rsidRPr="002D7E35">
        <w:rPr>
          <w:rStyle w:val="FootnoteReference"/>
          <w:w w:val="103"/>
          <w:kern w:val="0"/>
          <w:sz w:val="20"/>
        </w:rPr>
        <w:footnoteRef/>
      </w:r>
      <w:r w:rsidRPr="006803F4">
        <w:rPr>
          <w:w w:val="103"/>
          <w:kern w:val="0"/>
        </w:rPr>
        <w:tab/>
        <w:t xml:space="preserve">См. сообщение № 40/2012, </w:t>
      </w:r>
      <w:r w:rsidRPr="006803F4">
        <w:rPr>
          <w:i/>
          <w:w w:val="103"/>
          <w:kern w:val="0"/>
        </w:rPr>
        <w:t>М.С. против Дании</w:t>
      </w:r>
      <w:r w:rsidRPr="006803F4">
        <w:rPr>
          <w:w w:val="103"/>
          <w:kern w:val="0"/>
        </w:rPr>
        <w:t>, решение о неприемлемости, принятое 22</w:t>
      </w:r>
      <w:r w:rsidRPr="002D7E35">
        <w:rPr>
          <w:w w:val="103"/>
          <w:kern w:val="0"/>
        </w:rPr>
        <w:t> </w:t>
      </w:r>
      <w:r w:rsidRPr="006803F4">
        <w:rPr>
          <w:w w:val="103"/>
          <w:kern w:val="0"/>
        </w:rPr>
        <w:t>июля 2013</w:t>
      </w:r>
      <w:r w:rsidRPr="002D7E35">
        <w:rPr>
          <w:w w:val="103"/>
          <w:kern w:val="0"/>
        </w:rPr>
        <w:t> </w:t>
      </w:r>
      <w:r w:rsidRPr="006803F4">
        <w:rPr>
          <w:w w:val="103"/>
          <w:kern w:val="0"/>
        </w:rPr>
        <w:t>года, пункт</w:t>
      </w:r>
      <w:r w:rsidRPr="002D7E35">
        <w:rPr>
          <w:w w:val="103"/>
          <w:kern w:val="0"/>
        </w:rPr>
        <w:t> </w:t>
      </w:r>
      <w:r w:rsidRPr="006803F4">
        <w:rPr>
          <w:w w:val="103"/>
          <w:kern w:val="0"/>
        </w:rPr>
        <w:t xml:space="preserve">7.8.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B818A2" w:rsidTr="00B818A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818A2" w:rsidRPr="005C1D81" w:rsidRDefault="00B818A2" w:rsidP="00B818A2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A03812" w:rsidRPr="005C1D81">
              <w:rPr>
                <w:b/>
                <w:szCs w:val="22"/>
                <w:lang w:eastAsia="en-US"/>
              </w:rPr>
              <w:t>CEDAW/C/59/D/49/2013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B818A2" w:rsidRPr="005C1D81" w:rsidRDefault="00B818A2" w:rsidP="00B818A2">
          <w:pPr>
            <w:pStyle w:val="Header"/>
            <w:rPr>
              <w:szCs w:val="22"/>
              <w:lang w:eastAsia="en-US"/>
            </w:rPr>
          </w:pPr>
        </w:p>
      </w:tc>
    </w:tr>
  </w:tbl>
  <w:p w:rsidR="00B818A2" w:rsidRPr="00B818A2" w:rsidRDefault="00B818A2" w:rsidP="00B818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B818A2" w:rsidTr="00B818A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818A2" w:rsidRPr="005C1D81" w:rsidRDefault="00B818A2" w:rsidP="00B818A2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B818A2" w:rsidRPr="005C1D81" w:rsidRDefault="00B818A2" w:rsidP="00B818A2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A03812" w:rsidRPr="005C1D81">
              <w:rPr>
                <w:b/>
                <w:szCs w:val="22"/>
                <w:lang w:eastAsia="en-US"/>
              </w:rPr>
              <w:t>CEDAW/C/59/D/49/2013</w:t>
            </w:r>
          </w:fldSimple>
        </w:p>
      </w:tc>
    </w:tr>
  </w:tbl>
  <w:p w:rsidR="00B818A2" w:rsidRPr="00B818A2" w:rsidRDefault="00B818A2" w:rsidP="00B818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B818A2" w:rsidTr="00B818A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818A2" w:rsidRPr="00B818A2" w:rsidRDefault="00B818A2" w:rsidP="00B818A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818A2" w:rsidRPr="005C1D81" w:rsidRDefault="00B818A2" w:rsidP="00B818A2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818A2" w:rsidRPr="005C1D81" w:rsidRDefault="00B818A2" w:rsidP="00B818A2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5C1D81">
            <w:rPr>
              <w:sz w:val="40"/>
              <w:szCs w:val="22"/>
              <w:lang w:eastAsia="en-US"/>
            </w:rPr>
            <w:t>CEDAW</w:t>
          </w:r>
          <w:r w:rsidRPr="005C1D81">
            <w:rPr>
              <w:sz w:val="20"/>
              <w:szCs w:val="22"/>
              <w:lang w:eastAsia="en-US"/>
            </w:rPr>
            <w:t>/C/59/D/49/2013</w:t>
          </w:r>
        </w:p>
      </w:tc>
    </w:tr>
    <w:tr w:rsidR="00B818A2" w:rsidRPr="00130086" w:rsidTr="00B818A2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818A2" w:rsidRPr="005C1D81" w:rsidRDefault="00B818A2" w:rsidP="00B818A2">
          <w:pPr>
            <w:pStyle w:val="Header"/>
            <w:spacing w:before="109"/>
            <w:rPr>
              <w:szCs w:val="22"/>
              <w:lang w:eastAsia="en-US"/>
            </w:rPr>
          </w:pPr>
          <w:r w:rsidRPr="005C1D81">
            <w:rPr>
              <w:szCs w:val="22"/>
              <w:lang w:eastAsia="en-US"/>
            </w:rPr>
            <w:t xml:space="preserve"> </w:t>
          </w:r>
          <w:r w:rsidRPr="005C1D81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B818A2" w:rsidRPr="005C1D81" w:rsidRDefault="00B818A2" w:rsidP="00B818A2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818A2" w:rsidRPr="00B818A2" w:rsidRDefault="00B818A2" w:rsidP="00B818A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818A2" w:rsidRPr="005C1D81" w:rsidRDefault="00B818A2" w:rsidP="00B818A2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818A2" w:rsidRPr="00130086" w:rsidRDefault="00B818A2" w:rsidP="00B818A2">
          <w:pPr>
            <w:pStyle w:val="Distribution"/>
            <w:rPr>
              <w:color w:val="000000"/>
              <w:lang w:val="en-US"/>
            </w:rPr>
          </w:pPr>
          <w:r w:rsidRPr="00130086">
            <w:rPr>
              <w:color w:val="000000"/>
              <w:lang w:val="en-US"/>
            </w:rPr>
            <w:t>Distr.: General</w:t>
          </w:r>
        </w:p>
        <w:p w:rsidR="00B818A2" w:rsidRPr="00130086" w:rsidRDefault="00130086" w:rsidP="00B818A2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19</w:t>
          </w:r>
          <w:r w:rsidR="00B818A2" w:rsidRPr="00130086">
            <w:rPr>
              <w:color w:val="000000"/>
              <w:lang w:val="en-US"/>
            </w:rPr>
            <w:t xml:space="preserve"> December 2014</w:t>
          </w:r>
        </w:p>
        <w:p w:rsidR="00B818A2" w:rsidRPr="00130086" w:rsidRDefault="00B818A2" w:rsidP="00B818A2">
          <w:pPr>
            <w:rPr>
              <w:color w:val="000000"/>
              <w:lang w:val="en-US"/>
            </w:rPr>
          </w:pPr>
          <w:r w:rsidRPr="00130086">
            <w:rPr>
              <w:color w:val="000000"/>
              <w:lang w:val="en-US"/>
            </w:rPr>
            <w:t>Russian</w:t>
          </w:r>
        </w:p>
        <w:p w:rsidR="00B818A2" w:rsidRPr="00130086" w:rsidRDefault="00B818A2" w:rsidP="00B818A2">
          <w:pPr>
            <w:pStyle w:val="Original"/>
            <w:rPr>
              <w:color w:val="000000"/>
              <w:lang w:val="en-US"/>
            </w:rPr>
          </w:pPr>
          <w:r w:rsidRPr="00130086">
            <w:rPr>
              <w:color w:val="000000"/>
              <w:lang w:val="en-US"/>
            </w:rPr>
            <w:t>Original: English</w:t>
          </w:r>
        </w:p>
        <w:p w:rsidR="00B818A2" w:rsidRPr="00130086" w:rsidRDefault="00B818A2" w:rsidP="00B818A2">
          <w:pPr>
            <w:rPr>
              <w:lang w:val="en-US"/>
            </w:rPr>
          </w:pPr>
        </w:p>
      </w:tc>
    </w:tr>
  </w:tbl>
  <w:p w:rsidR="00B818A2" w:rsidRPr="00130086" w:rsidRDefault="00B818A2" w:rsidP="00B818A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6061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67406*"/>
    <w:docVar w:name="CreationDt" w:val="26/01/2015 10:47 AM"/>
    <w:docVar w:name="DocCategory" w:val="Doc"/>
    <w:docVar w:name="DocType" w:val="Final"/>
    <w:docVar w:name="FooterJN" w:val="14-67406"/>
    <w:docVar w:name="jobn" w:val="14-67406 (R)"/>
    <w:docVar w:name="jobnDT" w:val="14-67406 (R)   260115"/>
    <w:docVar w:name="jobnDTDT" w:val="14-67406 (R)   260115   260115"/>
    <w:docVar w:name="JobNo" w:val="1467406R"/>
    <w:docVar w:name="JobNo2" w:val="1470905R"/>
    <w:docVar w:name="OandT" w:val=" "/>
    <w:docVar w:name="sss1" w:val="CEDAW/C/59/D/49/2013"/>
    <w:docVar w:name="sss2" w:val="-"/>
    <w:docVar w:name="Symbol1" w:val="CEDAW/C/59/D/49/2013"/>
    <w:docVar w:name="Symbol2" w:val="-"/>
  </w:docVars>
  <w:rsids>
    <w:rsidRoot w:val="0031420E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A111E"/>
    <w:rsid w:val="000C67BC"/>
    <w:rsid w:val="000E4411"/>
    <w:rsid w:val="000F1ACD"/>
    <w:rsid w:val="000F5D07"/>
    <w:rsid w:val="00105B0E"/>
    <w:rsid w:val="00130086"/>
    <w:rsid w:val="001444A3"/>
    <w:rsid w:val="00153645"/>
    <w:rsid w:val="00153E8C"/>
    <w:rsid w:val="00161F29"/>
    <w:rsid w:val="00162E88"/>
    <w:rsid w:val="001726A4"/>
    <w:rsid w:val="00177361"/>
    <w:rsid w:val="001A39EE"/>
    <w:rsid w:val="001A6777"/>
    <w:rsid w:val="001C54CE"/>
    <w:rsid w:val="001D1749"/>
    <w:rsid w:val="001E25A2"/>
    <w:rsid w:val="001E61AD"/>
    <w:rsid w:val="00211A7E"/>
    <w:rsid w:val="00217A24"/>
    <w:rsid w:val="00223C57"/>
    <w:rsid w:val="002535D8"/>
    <w:rsid w:val="00254046"/>
    <w:rsid w:val="00261386"/>
    <w:rsid w:val="00261C41"/>
    <w:rsid w:val="00264A43"/>
    <w:rsid w:val="00277697"/>
    <w:rsid w:val="002963E6"/>
    <w:rsid w:val="002B6E2A"/>
    <w:rsid w:val="002C66D0"/>
    <w:rsid w:val="002D4606"/>
    <w:rsid w:val="002E1F79"/>
    <w:rsid w:val="002F5C45"/>
    <w:rsid w:val="002F6149"/>
    <w:rsid w:val="0031420E"/>
    <w:rsid w:val="00326F5F"/>
    <w:rsid w:val="00337D91"/>
    <w:rsid w:val="00350756"/>
    <w:rsid w:val="003658B0"/>
    <w:rsid w:val="0039505F"/>
    <w:rsid w:val="003A150E"/>
    <w:rsid w:val="003C2842"/>
    <w:rsid w:val="003C54C8"/>
    <w:rsid w:val="003D0825"/>
    <w:rsid w:val="003D2003"/>
    <w:rsid w:val="003D5DA2"/>
    <w:rsid w:val="003E1553"/>
    <w:rsid w:val="003E5193"/>
    <w:rsid w:val="00427FE5"/>
    <w:rsid w:val="00433222"/>
    <w:rsid w:val="00436F13"/>
    <w:rsid w:val="004420FB"/>
    <w:rsid w:val="004504A6"/>
    <w:rsid w:val="00460D23"/>
    <w:rsid w:val="004645DD"/>
    <w:rsid w:val="00474937"/>
    <w:rsid w:val="00482473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4A24"/>
    <w:rsid w:val="005251C4"/>
    <w:rsid w:val="00526E12"/>
    <w:rsid w:val="00533411"/>
    <w:rsid w:val="0054563F"/>
    <w:rsid w:val="005469E1"/>
    <w:rsid w:val="00552E08"/>
    <w:rsid w:val="0056579C"/>
    <w:rsid w:val="00567706"/>
    <w:rsid w:val="005734C2"/>
    <w:rsid w:val="00574AA1"/>
    <w:rsid w:val="0057633B"/>
    <w:rsid w:val="00590EDF"/>
    <w:rsid w:val="005933CB"/>
    <w:rsid w:val="005A1D01"/>
    <w:rsid w:val="005C1D81"/>
    <w:rsid w:val="005D38B6"/>
    <w:rsid w:val="005D7642"/>
    <w:rsid w:val="005E0A46"/>
    <w:rsid w:val="005E7DCF"/>
    <w:rsid w:val="005F6E5C"/>
    <w:rsid w:val="00602F9D"/>
    <w:rsid w:val="00616B8D"/>
    <w:rsid w:val="006261A6"/>
    <w:rsid w:val="0063491E"/>
    <w:rsid w:val="00635AF8"/>
    <w:rsid w:val="00646363"/>
    <w:rsid w:val="00655212"/>
    <w:rsid w:val="00657EE4"/>
    <w:rsid w:val="006A1698"/>
    <w:rsid w:val="006A1D06"/>
    <w:rsid w:val="006A3F10"/>
    <w:rsid w:val="006C68B9"/>
    <w:rsid w:val="006F3683"/>
    <w:rsid w:val="00700738"/>
    <w:rsid w:val="00705549"/>
    <w:rsid w:val="0071210D"/>
    <w:rsid w:val="00716BC5"/>
    <w:rsid w:val="00720F61"/>
    <w:rsid w:val="00723115"/>
    <w:rsid w:val="00724550"/>
    <w:rsid w:val="00736A19"/>
    <w:rsid w:val="00745258"/>
    <w:rsid w:val="00781ACA"/>
    <w:rsid w:val="00787748"/>
    <w:rsid w:val="00787B44"/>
    <w:rsid w:val="00795A5A"/>
    <w:rsid w:val="007B098D"/>
    <w:rsid w:val="007B1DE5"/>
    <w:rsid w:val="007B5785"/>
    <w:rsid w:val="007B5CF3"/>
    <w:rsid w:val="007C62D1"/>
    <w:rsid w:val="007C706F"/>
    <w:rsid w:val="007E0E39"/>
    <w:rsid w:val="007E2B60"/>
    <w:rsid w:val="00803EC5"/>
    <w:rsid w:val="00821CE2"/>
    <w:rsid w:val="00830FF8"/>
    <w:rsid w:val="00844407"/>
    <w:rsid w:val="00853E2A"/>
    <w:rsid w:val="008541E9"/>
    <w:rsid w:val="00856EEB"/>
    <w:rsid w:val="008776BB"/>
    <w:rsid w:val="00880540"/>
    <w:rsid w:val="0088396E"/>
    <w:rsid w:val="008A1A7A"/>
    <w:rsid w:val="008B08A3"/>
    <w:rsid w:val="008B709D"/>
    <w:rsid w:val="008C2A03"/>
    <w:rsid w:val="008C6372"/>
    <w:rsid w:val="008D0CE3"/>
    <w:rsid w:val="008F12FD"/>
    <w:rsid w:val="008F13EA"/>
    <w:rsid w:val="00904F3C"/>
    <w:rsid w:val="00907EDB"/>
    <w:rsid w:val="009110C5"/>
    <w:rsid w:val="00915944"/>
    <w:rsid w:val="009327BF"/>
    <w:rsid w:val="00935F33"/>
    <w:rsid w:val="0094745A"/>
    <w:rsid w:val="0095649D"/>
    <w:rsid w:val="00984EE4"/>
    <w:rsid w:val="0099354F"/>
    <w:rsid w:val="009B3444"/>
    <w:rsid w:val="009B5DCD"/>
    <w:rsid w:val="009D6E3D"/>
    <w:rsid w:val="009F0808"/>
    <w:rsid w:val="00A03812"/>
    <w:rsid w:val="00A14F1D"/>
    <w:rsid w:val="00A1703F"/>
    <w:rsid w:val="00A53EA8"/>
    <w:rsid w:val="00A63339"/>
    <w:rsid w:val="00A90F41"/>
    <w:rsid w:val="00A9600A"/>
    <w:rsid w:val="00A96C80"/>
    <w:rsid w:val="00AA0ABF"/>
    <w:rsid w:val="00AA27C2"/>
    <w:rsid w:val="00AD11F7"/>
    <w:rsid w:val="00AD6322"/>
    <w:rsid w:val="00AD78B1"/>
    <w:rsid w:val="00AF0B91"/>
    <w:rsid w:val="00B33139"/>
    <w:rsid w:val="00B5129B"/>
    <w:rsid w:val="00B56376"/>
    <w:rsid w:val="00B606B7"/>
    <w:rsid w:val="00B77FC0"/>
    <w:rsid w:val="00B818A2"/>
    <w:rsid w:val="00BB052D"/>
    <w:rsid w:val="00BB1F92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60105"/>
    <w:rsid w:val="00C623BF"/>
    <w:rsid w:val="00C70D59"/>
    <w:rsid w:val="00C7432F"/>
    <w:rsid w:val="00C77473"/>
    <w:rsid w:val="00CA2CF3"/>
    <w:rsid w:val="00CB519E"/>
    <w:rsid w:val="00CC5B37"/>
    <w:rsid w:val="00CD2ED3"/>
    <w:rsid w:val="00CD3C62"/>
    <w:rsid w:val="00CF021B"/>
    <w:rsid w:val="00CF066B"/>
    <w:rsid w:val="00CF07BE"/>
    <w:rsid w:val="00D028FF"/>
    <w:rsid w:val="00D05963"/>
    <w:rsid w:val="00D1470E"/>
    <w:rsid w:val="00D20AA4"/>
    <w:rsid w:val="00D434AF"/>
    <w:rsid w:val="00D61BB7"/>
    <w:rsid w:val="00D7165D"/>
    <w:rsid w:val="00D75705"/>
    <w:rsid w:val="00D961D6"/>
    <w:rsid w:val="00D97B17"/>
    <w:rsid w:val="00DA1A4A"/>
    <w:rsid w:val="00DA4EA2"/>
    <w:rsid w:val="00DC1E7E"/>
    <w:rsid w:val="00DC7A5F"/>
    <w:rsid w:val="00DD6A66"/>
    <w:rsid w:val="00DF1CF0"/>
    <w:rsid w:val="00E04C73"/>
    <w:rsid w:val="00E079A3"/>
    <w:rsid w:val="00E15D7D"/>
    <w:rsid w:val="00E17234"/>
    <w:rsid w:val="00E261F5"/>
    <w:rsid w:val="00E6111E"/>
    <w:rsid w:val="00E616D0"/>
    <w:rsid w:val="00E62CCE"/>
    <w:rsid w:val="00E65C07"/>
    <w:rsid w:val="00E8225E"/>
    <w:rsid w:val="00E90547"/>
    <w:rsid w:val="00E970B0"/>
    <w:rsid w:val="00EA1656"/>
    <w:rsid w:val="00EA1819"/>
    <w:rsid w:val="00EB646E"/>
    <w:rsid w:val="00EC6F5D"/>
    <w:rsid w:val="00EF1FBD"/>
    <w:rsid w:val="00F07DDF"/>
    <w:rsid w:val="00F16256"/>
    <w:rsid w:val="00F231E8"/>
    <w:rsid w:val="00F33544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aliases w:val="5_GR Char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B8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8A2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B818A2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8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8A2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paragraph" w:styleId="ListBullet5">
    <w:name w:val="List Bullet 5"/>
    <w:basedOn w:val="Normal"/>
    <w:semiHidden/>
    <w:rsid w:val="00130086"/>
    <w:pPr>
      <w:numPr>
        <w:numId w:val="8"/>
      </w:numPr>
      <w:spacing w:line="240" w:lineRule="atLeast"/>
    </w:pPr>
    <w:rPr>
      <w:rFonts w:eastAsia="Times New Roman"/>
      <w:szCs w:val="20"/>
    </w:rPr>
  </w:style>
  <w:style w:type="paragraph" w:customStyle="1" w:styleId="H1GR">
    <w:name w:val="_ H_1_GR"/>
    <w:basedOn w:val="Normal"/>
    <w:next w:val="Normal"/>
    <w:rsid w:val="0013008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13008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ChGR">
    <w:name w:val="_ H _Ch_GR"/>
    <w:basedOn w:val="Normal"/>
    <w:next w:val="Normal"/>
    <w:rsid w:val="0013008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rsid w:val="0013008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styleId="Hyperlink">
    <w:name w:val="Hyperlink"/>
    <w:uiPriority w:val="99"/>
    <w:semiHidden/>
    <w:unhideWhenUsed/>
    <w:rsid w:val="002963E6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2963E6"/>
    <w:rPr>
      <w:color w:val="0000FF"/>
      <w:u w:val="none"/>
    </w:rPr>
  </w:style>
  <w:style w:type="paragraph" w:styleId="Revision">
    <w:name w:val="Revision"/>
    <w:hidden/>
    <w:uiPriority w:val="99"/>
    <w:semiHidden/>
    <w:rsid w:val="006C68B9"/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B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C68B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6975</Words>
  <Characters>39759</Characters>
  <Application>Microsoft Office Outlook</Application>
  <DocSecurity>4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46641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Nina Mouslikova</dc:creator>
  <cp:keywords/>
  <cp:lastModifiedBy>Front Desk</cp:lastModifiedBy>
  <cp:revision>5</cp:revision>
  <cp:lastPrinted>2015-01-26T09:09:00Z</cp:lastPrinted>
  <dcterms:created xsi:type="dcterms:W3CDTF">2015-01-26T09:07:00Z</dcterms:created>
  <dcterms:modified xsi:type="dcterms:W3CDTF">2015-01-26T11:21:00Z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1467406R</vt:lpwstr>
  </property>
  <property fmtid="{D5CDD505-2E9C-101B-9397-08002B2CF9AE}" pid="3" name="ODSRefJobNo">
    <vt:lpwstr>1470905R</vt:lpwstr>
  </property>
  <property fmtid="{D5CDD505-2E9C-101B-9397-08002B2CF9AE}" pid="4" name="Symbol1">
    <vt:lpwstr>CEDAW/C/59/D/49/2013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26 December 2014</vt:lpwstr>
  </property>
  <property fmtid="{D5CDD505-2E9C-101B-9397-08002B2CF9AE}" pid="9" name="Original">
    <vt:lpwstr>English</vt:lpwstr>
  </property>
  <property fmtid="{D5CDD505-2E9C-101B-9397-08002B2CF9AE}" pid="10" name="Release Date">
    <vt:lpwstr>260115</vt:lpwstr>
  </property>
  <property fmtid="{D5CDD505-2E9C-101B-9397-08002B2CF9AE}" pid="11" name="Comment">
    <vt:lpwstr/>
  </property>
  <property fmtid="{D5CDD505-2E9C-101B-9397-08002B2CF9AE}" pid="12" name="DraftPages">
    <vt:lpwstr>18</vt:lpwstr>
  </property>
  <property fmtid="{D5CDD505-2E9C-101B-9397-08002B2CF9AE}" pid="13" name="Operator">
    <vt:lpwstr>Mouslikova</vt:lpwstr>
  </property>
</Properties>
</file>