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C7" w:rsidRDefault="00665BFE" w:rsidP="00665BFE">
      <w:pPr>
        <w:spacing w:line="240" w:lineRule="auto"/>
        <w:jc w:val="left"/>
        <w:rPr>
          <w:szCs w:val="6"/>
          <w:rtl/>
        </w:rPr>
        <w:sectPr w:rsidR="001D5DC7" w:rsidSect="001D5DC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commentRangeStart w:id="0"/>
      <w:r>
        <w:rPr>
          <w:sz w:val="6"/>
          <w:szCs w:val="6"/>
          <w:rtl/>
        </w:rPr>
        <w:t xml:space="preserve">  </w:t>
      </w:r>
      <w:commentRangeEnd w:id="0"/>
      <w:r>
        <w:rPr>
          <w:rStyle w:val="CommentReference"/>
          <w:rtl/>
        </w:rPr>
        <w:commentReference w:id="0"/>
      </w:r>
    </w:p>
    <w:p w:rsidR="00E85FC1" w:rsidRPr="00747A58" w:rsidRDefault="00E85FC1" w:rsidP="00E85FC1">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LB"/>
        </w:rPr>
      </w:pPr>
      <w:r w:rsidRPr="00747A58">
        <w:rPr>
          <w:rtl/>
        </w:rPr>
        <w:t>اللجنة المعنية بالقضاء على التميي</w:t>
      </w:r>
      <w:bookmarkStart w:id="1" w:name="TmpSave"/>
      <w:bookmarkEnd w:id="1"/>
      <w:r w:rsidRPr="00747A58">
        <w:rPr>
          <w:rtl/>
        </w:rPr>
        <w:t>ز ضد المرأة</w:t>
      </w:r>
    </w:p>
    <w:p w:rsidR="00E85FC1" w:rsidRDefault="00E85FC1" w:rsidP="00E85FC1">
      <w:pPr>
        <w:spacing w:line="380" w:lineRule="exact"/>
        <w:rPr>
          <w:rFonts w:hint="cs"/>
          <w:b/>
          <w:bCs/>
          <w:rtl/>
        </w:rPr>
      </w:pPr>
      <w:r>
        <w:rPr>
          <w:rFonts w:hint="cs"/>
          <w:b/>
          <w:bCs/>
          <w:rtl/>
        </w:rPr>
        <w:t xml:space="preserve">الدورة السابعة والخمسون </w:t>
      </w:r>
    </w:p>
    <w:p w:rsidR="00E85FC1" w:rsidRDefault="00E85FC1" w:rsidP="00E85FC1">
      <w:pPr>
        <w:tabs>
          <w:tab w:val="left" w:pos="662"/>
          <w:tab w:val="left" w:pos="1267"/>
          <w:tab w:val="left" w:pos="1987"/>
          <w:tab w:val="left" w:pos="2650"/>
        </w:tabs>
      </w:pPr>
      <w:r>
        <w:rPr>
          <w:rFonts w:hint="cs"/>
          <w:rtl/>
        </w:rPr>
        <w:t>10-28 شباط/فبراير 2014</w:t>
      </w:r>
    </w:p>
    <w:p w:rsidR="00E85FC1" w:rsidRPr="00E85FC1" w:rsidRDefault="00E85FC1" w:rsidP="00E85FC1">
      <w:pPr>
        <w:tabs>
          <w:tab w:val="left" w:pos="662"/>
          <w:tab w:val="left" w:pos="1267"/>
          <w:tab w:val="left" w:pos="1987"/>
          <w:tab w:val="left" w:pos="2650"/>
        </w:tabs>
        <w:spacing w:line="120" w:lineRule="exact"/>
        <w:rPr>
          <w:sz w:val="10"/>
        </w:rPr>
      </w:pPr>
    </w:p>
    <w:p w:rsidR="00E85FC1" w:rsidRPr="00E85FC1" w:rsidRDefault="00E85FC1" w:rsidP="00E85FC1">
      <w:pPr>
        <w:tabs>
          <w:tab w:val="left" w:pos="662"/>
          <w:tab w:val="left" w:pos="1267"/>
          <w:tab w:val="left" w:pos="1987"/>
          <w:tab w:val="left" w:pos="2650"/>
        </w:tabs>
        <w:spacing w:line="120" w:lineRule="exact"/>
        <w:rPr>
          <w:sz w:val="10"/>
          <w:rtl/>
        </w:rPr>
      </w:pPr>
    </w:p>
    <w:p w:rsidR="00E85FC1" w:rsidRPr="00E85FC1" w:rsidRDefault="00E85FC1" w:rsidP="00E85FC1">
      <w:pPr>
        <w:tabs>
          <w:tab w:val="left" w:pos="662"/>
          <w:tab w:val="left" w:pos="1267"/>
          <w:tab w:val="left" w:pos="1987"/>
          <w:tab w:val="left" w:pos="2650"/>
        </w:tabs>
        <w:spacing w:line="120" w:lineRule="exact"/>
        <w:rPr>
          <w:rFonts w:hint="cs"/>
          <w:sz w:val="10"/>
          <w:rtl/>
        </w:rPr>
      </w:pPr>
    </w:p>
    <w:p w:rsidR="00E85FC1" w:rsidRDefault="00E85FC1" w:rsidP="00E85FC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t xml:space="preserve">البلاغ رقم </w:t>
      </w:r>
      <w:hyperlink r:id="rId14" w:history="1">
        <w:r w:rsidRPr="00742B3E">
          <w:rPr>
            <w:rStyle w:val="Hyperlink"/>
            <w:rtl/>
          </w:rPr>
          <w:t>34/201</w:t>
        </w:r>
      </w:hyperlink>
      <w:r>
        <w:rPr>
          <w:rtl/>
        </w:rPr>
        <w:t>1</w:t>
      </w:r>
    </w:p>
    <w:p w:rsidR="00E85FC1" w:rsidRDefault="00E85FC1" w:rsidP="00E85FC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tab/>
      </w:r>
      <w:r>
        <w:rPr>
          <w:rtl/>
        </w:rPr>
        <w:tab/>
      </w:r>
      <w:r>
        <w:rPr>
          <w:rFonts w:hint="cs"/>
          <w:rtl/>
        </w:rPr>
        <w:t xml:space="preserve">الآراء التي اعتمدتها اللجنة في دورتها السابعة والخمسين، 10-28 </w:t>
      </w:r>
      <w:r>
        <w:rPr>
          <w:rFonts w:hint="eastAsia"/>
          <w:rtl/>
        </w:rPr>
        <w:t>شباط</w:t>
      </w:r>
      <w:r>
        <w:rPr>
          <w:rtl/>
        </w:rPr>
        <w:t>/</w:t>
      </w:r>
      <w:r>
        <w:rPr>
          <w:rFonts w:hint="cs"/>
          <w:rtl/>
        </w:rPr>
        <w:t xml:space="preserve"> </w:t>
      </w:r>
      <w:r>
        <w:rPr>
          <w:rtl/>
        </w:rPr>
        <w:t xml:space="preserve">فبراير </w:t>
      </w:r>
      <w:r>
        <w:rPr>
          <w:rFonts w:hint="cs"/>
          <w:rtl/>
        </w:rPr>
        <w:t>2014</w:t>
      </w:r>
    </w:p>
    <w:p w:rsidR="00E85FC1" w:rsidRDefault="00E85FC1" w:rsidP="00E85FC1">
      <w:pPr>
        <w:pStyle w:val="SingleTxtGA"/>
        <w:ind w:left="4649" w:hanging="2721"/>
        <w:rPr>
          <w:rtl/>
        </w:rPr>
      </w:pPr>
      <w:r>
        <w:rPr>
          <w:rFonts w:hint="cs"/>
          <w:i/>
          <w:iCs/>
          <w:rtl/>
        </w:rPr>
        <w:t>المقدم من</w:t>
      </w:r>
      <w:r>
        <w:rPr>
          <w:rtl/>
        </w:rPr>
        <w:t>:</w:t>
      </w:r>
      <w:r>
        <w:rPr>
          <w:rFonts w:hint="cs"/>
          <w:rtl/>
        </w:rPr>
        <w:tab/>
      </w:r>
      <w:r>
        <w:rPr>
          <w:rFonts w:hint="cs"/>
          <w:rtl/>
        </w:rPr>
        <w:tab/>
      </w:r>
      <w:r>
        <w:rPr>
          <w:rtl/>
        </w:rPr>
        <w:tab/>
        <w:t>ر. ب. ب. (</w:t>
      </w:r>
      <w:r>
        <w:rPr>
          <w:rFonts w:hint="cs"/>
          <w:rtl/>
        </w:rPr>
        <w:t>ت</w:t>
      </w:r>
      <w:r>
        <w:rPr>
          <w:rtl/>
        </w:rPr>
        <w:t xml:space="preserve">مثلها المحاميتان </w:t>
      </w:r>
      <w:r w:rsidRPr="001138C5">
        <w:rPr>
          <w:rFonts w:hint="cs"/>
          <w:rtl/>
        </w:rPr>
        <w:t>إ</w:t>
      </w:r>
      <w:r>
        <w:rPr>
          <w:rFonts w:hint="cs"/>
          <w:rtl/>
        </w:rPr>
        <w:t>ي</w:t>
      </w:r>
      <w:r w:rsidRPr="001138C5">
        <w:rPr>
          <w:rFonts w:hint="cs"/>
          <w:rtl/>
        </w:rPr>
        <w:t xml:space="preserve">فلين </w:t>
      </w:r>
      <w:r>
        <w:rPr>
          <w:rtl/>
        </w:rPr>
        <w:t>ج. أورسوا وماريا كارلا ل. إسبينوسا)</w:t>
      </w:r>
    </w:p>
    <w:p w:rsidR="00E85FC1" w:rsidRDefault="00E85FC1" w:rsidP="00E85FC1">
      <w:pPr>
        <w:pStyle w:val="SingleTxtGA"/>
        <w:ind w:left="1928"/>
        <w:rPr>
          <w:rtl/>
        </w:rPr>
      </w:pPr>
      <w:r>
        <w:rPr>
          <w:rFonts w:hint="cs"/>
          <w:i/>
          <w:iCs/>
          <w:rtl/>
        </w:rPr>
        <w:t>الشخص المدعى أنه ضحية:</w:t>
      </w:r>
      <w:r>
        <w:rPr>
          <w:rtl/>
        </w:rPr>
        <w:tab/>
        <w:t>صاحبة البلاغ</w:t>
      </w:r>
    </w:p>
    <w:p w:rsidR="00E85FC1" w:rsidRDefault="00E85FC1" w:rsidP="00E85FC1">
      <w:pPr>
        <w:pStyle w:val="SingleTxtGA"/>
        <w:ind w:left="1928"/>
        <w:rPr>
          <w:rtl/>
        </w:rPr>
      </w:pPr>
      <w:r w:rsidRPr="00747A58">
        <w:rPr>
          <w:i/>
          <w:iCs/>
          <w:rtl/>
        </w:rPr>
        <w:t>الدولة الطرف:</w:t>
      </w:r>
      <w:r>
        <w:rPr>
          <w:rFonts w:hint="cs"/>
          <w:rtl/>
        </w:rPr>
        <w:tab/>
      </w:r>
      <w:r>
        <w:rPr>
          <w:rFonts w:hint="cs"/>
          <w:rtl/>
        </w:rPr>
        <w:tab/>
      </w:r>
      <w:r>
        <w:rPr>
          <w:rtl/>
        </w:rPr>
        <w:tab/>
        <w:t>الفلبين</w:t>
      </w:r>
    </w:p>
    <w:p w:rsidR="00E85FC1" w:rsidRDefault="00E85FC1" w:rsidP="00E85FC1">
      <w:pPr>
        <w:pStyle w:val="SingleTxtGA"/>
        <w:ind w:left="1928"/>
        <w:rPr>
          <w:rtl/>
        </w:rPr>
      </w:pPr>
      <w:r w:rsidRPr="00521600">
        <w:rPr>
          <w:i/>
          <w:iCs/>
          <w:rtl/>
        </w:rPr>
        <w:t xml:space="preserve">تاريخ </w:t>
      </w:r>
      <w:r>
        <w:rPr>
          <w:rFonts w:hint="cs"/>
          <w:i/>
          <w:iCs/>
          <w:rtl/>
        </w:rPr>
        <w:t xml:space="preserve">تقديم </w:t>
      </w:r>
      <w:r w:rsidRPr="00521600">
        <w:rPr>
          <w:i/>
          <w:iCs/>
          <w:rtl/>
        </w:rPr>
        <w:t>البلاغ</w:t>
      </w:r>
      <w:r>
        <w:rPr>
          <w:rtl/>
        </w:rPr>
        <w:t>:</w:t>
      </w:r>
      <w:r>
        <w:rPr>
          <w:rtl/>
        </w:rPr>
        <w:tab/>
      </w:r>
      <w:r>
        <w:rPr>
          <w:rFonts w:hint="cs"/>
          <w:rtl/>
        </w:rPr>
        <w:tab/>
      </w:r>
      <w:r>
        <w:rPr>
          <w:rtl/>
        </w:rPr>
        <w:t>23 أيار/مايو 2011 (تاريخ الرسالة الأولى)</w:t>
      </w:r>
    </w:p>
    <w:p w:rsidR="00E85FC1" w:rsidRDefault="00E85FC1" w:rsidP="00E85FC1">
      <w:pPr>
        <w:pStyle w:val="SingleTxtGA"/>
        <w:ind w:left="4649" w:hanging="2721"/>
        <w:rPr>
          <w:rtl/>
        </w:rPr>
      </w:pPr>
      <w:r w:rsidRPr="00521600">
        <w:rPr>
          <w:i/>
          <w:iCs/>
          <w:rtl/>
        </w:rPr>
        <w:t>الوثائق المرجعية</w:t>
      </w:r>
      <w:r>
        <w:rPr>
          <w:rtl/>
        </w:rPr>
        <w:t>:</w:t>
      </w:r>
      <w:r>
        <w:rPr>
          <w:rFonts w:hint="cs"/>
          <w:rtl/>
        </w:rPr>
        <w:tab/>
      </w:r>
      <w:r>
        <w:rPr>
          <w:rFonts w:hint="cs"/>
          <w:rtl/>
        </w:rPr>
        <w:tab/>
      </w:r>
      <w:r>
        <w:rPr>
          <w:rtl/>
        </w:rPr>
        <w:tab/>
        <w:t>أحيلت إلى الدولة الطرف في 26 آب/</w:t>
      </w:r>
      <w:r>
        <w:rPr>
          <w:rFonts w:hint="cs"/>
          <w:rtl/>
        </w:rPr>
        <w:t xml:space="preserve"> </w:t>
      </w:r>
      <w:r>
        <w:rPr>
          <w:rtl/>
        </w:rPr>
        <w:t>أغسطس</w:t>
      </w:r>
      <w:r>
        <w:rPr>
          <w:rFonts w:hint="cs"/>
          <w:rtl/>
        </w:rPr>
        <w:t> </w:t>
      </w:r>
      <w:r>
        <w:rPr>
          <w:rtl/>
        </w:rPr>
        <w:t>2011 (لم تصدر في شكل وثيقة)</w:t>
      </w:r>
    </w:p>
    <w:p w:rsidR="00E85FC1" w:rsidRDefault="00E85FC1" w:rsidP="00E85FC1">
      <w:pPr>
        <w:pStyle w:val="SingleTxtGA"/>
        <w:ind w:left="1928"/>
        <w:rPr>
          <w:rFonts w:hint="cs"/>
          <w:rtl/>
        </w:rPr>
      </w:pPr>
      <w:r w:rsidRPr="00521600">
        <w:rPr>
          <w:i/>
          <w:iCs/>
          <w:rtl/>
        </w:rPr>
        <w:t>تاريخ اعتماد القرار</w:t>
      </w:r>
      <w:r>
        <w:rPr>
          <w:rtl/>
        </w:rPr>
        <w:t>:</w:t>
      </w:r>
      <w:r>
        <w:rPr>
          <w:rtl/>
        </w:rPr>
        <w:tab/>
      </w:r>
      <w:r>
        <w:rPr>
          <w:rFonts w:hint="cs"/>
          <w:rtl/>
        </w:rPr>
        <w:tab/>
        <w:t xml:space="preserve">21 </w:t>
      </w:r>
      <w:r>
        <w:rPr>
          <w:rtl/>
        </w:rPr>
        <w:t>شباط/فبراير 2014</w:t>
      </w:r>
    </w:p>
    <w:p w:rsidR="00E85FC1" w:rsidRDefault="00665BFE" w:rsidP="00E85FC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noProof/>
          <w:w w:val="100"/>
          <w:szCs w:val="6"/>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pt;margin-top:118.1pt;width:57.6pt;height:57.55pt;z-index:-1">
            <v:imagedata r:id="rId15" o:title="2011&amp;Size =1&amp;Lang = A"/>
          </v:shape>
        </w:pict>
      </w:r>
      <w:r w:rsidR="00E85FC1">
        <w:rPr>
          <w:rtl/>
        </w:rPr>
        <w:br w:type="page"/>
        <w:t>المرفق</w:t>
      </w:r>
    </w:p>
    <w:p w:rsidR="00E85FC1" w:rsidRDefault="00E85FC1" w:rsidP="00E85FC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 xml:space="preserve">آراء اللجنة المعنية بالقضاء على التمييز ضد المرأة بموجب البروتوكول الاختياري </w:t>
      </w:r>
      <w:r>
        <w:rPr>
          <w:rFonts w:hint="cs"/>
          <w:rtl/>
        </w:rPr>
        <w:t>ل</w:t>
      </w:r>
      <w:r>
        <w:rPr>
          <w:rtl/>
        </w:rPr>
        <w:t xml:space="preserve">اتفاقية القضاء على جميع أشكال التمييز ضد المرأة </w:t>
      </w:r>
      <w:r w:rsidRPr="00F05B0F">
        <w:rPr>
          <w:rtl/>
        </w:rPr>
        <w:t>(الدورة</w:t>
      </w:r>
      <w:r>
        <w:rPr>
          <w:rFonts w:hint="cs"/>
          <w:rtl/>
        </w:rPr>
        <w:t xml:space="preserve"> السابعة </w:t>
      </w:r>
      <w:r w:rsidRPr="00F05B0F">
        <w:rPr>
          <w:rtl/>
        </w:rPr>
        <w:t>والخمسون)</w:t>
      </w:r>
    </w:p>
    <w:p w:rsidR="00E85FC1" w:rsidRPr="00E85FC1" w:rsidRDefault="00E85FC1" w:rsidP="00E85FC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E85FC1" w:rsidRPr="001D1352" w:rsidRDefault="00E85FC1" w:rsidP="00E85FC1">
      <w:pPr>
        <w:framePr w:w="9792" w:h="432" w:hSpace="187" w:wrap="around" w:hAnchor="page" w:x="1196" w:yAlign="bottom"/>
        <w:spacing w:line="240" w:lineRule="auto"/>
        <w:rPr>
          <w:szCs w:val="10"/>
          <w:rtl/>
        </w:rPr>
      </w:pPr>
    </w:p>
    <w:p w:rsidR="00E85FC1" w:rsidRPr="001D1352" w:rsidRDefault="00E85FC1" w:rsidP="00E85FC1">
      <w:pPr>
        <w:framePr w:w="9792" w:h="432" w:hSpace="187" w:wrap="around" w:hAnchor="page" w:x="1196" w:yAlign="bottom"/>
        <w:spacing w:line="240" w:lineRule="auto"/>
        <w:rPr>
          <w:szCs w:val="6"/>
          <w:rtl/>
        </w:rPr>
      </w:pPr>
    </w:p>
    <w:p w:rsidR="00E85FC1" w:rsidRPr="001D1352" w:rsidRDefault="00E85FC1" w:rsidP="00E85FC1">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7" style="position:absolute;left:0;text-align:left;z-index:1" from="396pt,-1pt" to="468pt,-1pt"/>
        </w:pict>
      </w:r>
      <w:r>
        <w:rPr>
          <w:rFonts w:hint="cs"/>
          <w:sz w:val="17"/>
          <w:szCs w:val="26"/>
          <w:rtl/>
        </w:rPr>
        <w:tab/>
        <w:t>*</w:t>
      </w:r>
      <w:r>
        <w:rPr>
          <w:rFonts w:hint="cs"/>
          <w:sz w:val="17"/>
          <w:szCs w:val="26"/>
          <w:rtl/>
        </w:rPr>
        <w:tab/>
        <w:t>شاركت عضوات اللجنة التالية أسماؤهن في دراسة هذا البلاغ: أيسيه فريدي آكار، نيكولاين آميلاين، بربارا بايلي، أوليندا باريرو - بوباديلا، نيكلاس برون، نائله جابر، هيلاري غبيدما، نهلة حيدر، يوكو هياشي، عصمت جهان، داليا لينارتيه، فيوليتا نيوبوير، ثيودورا نوانكو</w:t>
      </w:r>
      <w:r w:rsidR="002A3F64">
        <w:rPr>
          <w:rFonts w:hint="cs"/>
          <w:sz w:val="17"/>
          <w:szCs w:val="26"/>
          <w:rtl/>
        </w:rPr>
        <w:t>، باميلا باتين، ماريا هيلينا بايرس، بيانكاماريا بوميرانزي، باتريشيا شولتس، دوبرفكا سيمونوفيتش، زياوكيا زو.</w:t>
      </w:r>
    </w:p>
    <w:p w:rsidR="00E85FC1" w:rsidRPr="00E85FC1" w:rsidRDefault="00E85FC1" w:rsidP="00E85FC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Pr>
          <w:rtl/>
        </w:rPr>
        <w:t xml:space="preserve">البلاغ رقم </w:t>
      </w:r>
      <w:hyperlink r:id="rId16" w:history="1">
        <w:r w:rsidRPr="00742B3E">
          <w:rPr>
            <w:rStyle w:val="Hyperlink"/>
            <w:rtl/>
          </w:rPr>
          <w:t>34/201</w:t>
        </w:r>
      </w:hyperlink>
      <w:r>
        <w:rPr>
          <w:rtl/>
        </w:rPr>
        <w:t>1</w:t>
      </w:r>
      <w:r>
        <w:rPr>
          <w:rFonts w:hint="cs"/>
          <w:rtl/>
        </w:rPr>
        <w:t xml:space="preserve">، </w:t>
      </w:r>
      <w:r>
        <w:rPr>
          <w:rFonts w:hint="cs"/>
          <w:i/>
          <w:iCs/>
          <w:rtl/>
        </w:rPr>
        <w:t>ر. ب. ب. ضد الفلبين</w:t>
      </w:r>
      <w:r>
        <w:rPr>
          <w:rFonts w:hint="cs"/>
          <w:rtl/>
        </w:rPr>
        <w:t>*</w:t>
      </w:r>
    </w:p>
    <w:p w:rsidR="00E85FC1" w:rsidRPr="002A3F64" w:rsidRDefault="00E85FC1" w:rsidP="002A3F64">
      <w:pPr>
        <w:pStyle w:val="SingleTxtGA"/>
        <w:ind w:left="4649" w:hanging="2721"/>
        <w:rPr>
          <w:rFonts w:hint="cs"/>
          <w:w w:val="103"/>
          <w:rtl/>
        </w:rPr>
      </w:pPr>
      <w:r w:rsidRPr="002A3F64">
        <w:rPr>
          <w:rFonts w:hint="cs"/>
          <w:i/>
          <w:iCs/>
          <w:w w:val="103"/>
          <w:rtl/>
        </w:rPr>
        <w:t>المقدم من:</w:t>
      </w:r>
      <w:r w:rsidRPr="002A3F64">
        <w:rPr>
          <w:rFonts w:hint="cs"/>
          <w:i/>
          <w:iCs/>
          <w:w w:val="103"/>
          <w:rtl/>
        </w:rPr>
        <w:tab/>
      </w:r>
      <w:r w:rsidRPr="002A3F64">
        <w:rPr>
          <w:rFonts w:hint="cs"/>
          <w:i/>
          <w:iCs/>
          <w:w w:val="103"/>
          <w:rtl/>
        </w:rPr>
        <w:tab/>
      </w:r>
      <w:r w:rsidRPr="002A3F64">
        <w:rPr>
          <w:rFonts w:hint="cs"/>
          <w:i/>
          <w:iCs/>
          <w:w w:val="103"/>
          <w:rtl/>
        </w:rPr>
        <w:tab/>
      </w:r>
      <w:r w:rsidRPr="002A3F64">
        <w:rPr>
          <w:rFonts w:hint="cs"/>
          <w:w w:val="103"/>
          <w:rtl/>
        </w:rPr>
        <w:t>ر. ب. ب. (تمثلها المحاميتان إ</w:t>
      </w:r>
      <w:r w:rsidR="002A3F64" w:rsidRPr="002A3F64">
        <w:rPr>
          <w:rFonts w:hint="cs"/>
          <w:w w:val="103"/>
          <w:rtl/>
        </w:rPr>
        <w:t>ي</w:t>
      </w:r>
      <w:r w:rsidRPr="002A3F64">
        <w:rPr>
          <w:rFonts w:hint="cs"/>
          <w:w w:val="103"/>
          <w:rtl/>
        </w:rPr>
        <w:t>فلين ج. أورسوا وماريا كارلا ل. إسبينوسا)</w:t>
      </w:r>
    </w:p>
    <w:p w:rsidR="00E85FC1" w:rsidRPr="002A3F64" w:rsidRDefault="00E85FC1" w:rsidP="00E85FC1">
      <w:pPr>
        <w:pStyle w:val="SingleTxtGA"/>
        <w:ind w:left="1928"/>
        <w:rPr>
          <w:rFonts w:hint="cs"/>
          <w:w w:val="103"/>
          <w:rtl/>
        </w:rPr>
      </w:pPr>
      <w:r w:rsidRPr="002A3F64">
        <w:rPr>
          <w:rFonts w:hint="cs"/>
          <w:i/>
          <w:iCs/>
          <w:w w:val="103"/>
          <w:rtl/>
        </w:rPr>
        <w:t>الشخص المدعى أنه ضحية:</w:t>
      </w:r>
      <w:r w:rsidRPr="002A3F64">
        <w:rPr>
          <w:rFonts w:hint="cs"/>
          <w:w w:val="103"/>
          <w:rtl/>
        </w:rPr>
        <w:tab/>
        <w:t>صاحبة البلاغ</w:t>
      </w:r>
    </w:p>
    <w:p w:rsidR="00E85FC1" w:rsidRPr="002A3F64" w:rsidRDefault="00E85FC1" w:rsidP="00E85FC1">
      <w:pPr>
        <w:pStyle w:val="SingleTxtGA"/>
        <w:ind w:left="1928"/>
        <w:rPr>
          <w:rFonts w:hint="cs"/>
          <w:w w:val="103"/>
          <w:rtl/>
        </w:rPr>
      </w:pPr>
      <w:r w:rsidRPr="002A3F64">
        <w:rPr>
          <w:rFonts w:hint="cs"/>
          <w:i/>
          <w:iCs/>
          <w:w w:val="103"/>
          <w:rtl/>
        </w:rPr>
        <w:t>الدولة الطرف:</w:t>
      </w:r>
      <w:r w:rsidRPr="002A3F64">
        <w:rPr>
          <w:rFonts w:hint="cs"/>
          <w:w w:val="103"/>
          <w:rtl/>
        </w:rPr>
        <w:tab/>
      </w:r>
      <w:r w:rsidRPr="002A3F64">
        <w:rPr>
          <w:rFonts w:hint="cs"/>
          <w:w w:val="103"/>
          <w:rtl/>
        </w:rPr>
        <w:tab/>
      </w:r>
      <w:r w:rsidRPr="002A3F64">
        <w:rPr>
          <w:rFonts w:hint="cs"/>
          <w:w w:val="103"/>
          <w:rtl/>
        </w:rPr>
        <w:tab/>
        <w:t>الفلبين</w:t>
      </w:r>
    </w:p>
    <w:p w:rsidR="00E85FC1" w:rsidRPr="002A3F64" w:rsidRDefault="00E85FC1" w:rsidP="00E85FC1">
      <w:pPr>
        <w:pStyle w:val="SingleTxtGA"/>
        <w:ind w:left="1928"/>
        <w:rPr>
          <w:rFonts w:hint="cs"/>
          <w:w w:val="103"/>
          <w:rtl/>
        </w:rPr>
      </w:pPr>
      <w:r w:rsidRPr="002A3F64">
        <w:rPr>
          <w:rFonts w:hint="cs"/>
          <w:i/>
          <w:iCs/>
          <w:w w:val="103"/>
          <w:rtl/>
        </w:rPr>
        <w:t>تاريخ تقديم البلاغ:</w:t>
      </w:r>
      <w:r w:rsidRPr="002A3F64">
        <w:rPr>
          <w:rFonts w:hint="cs"/>
          <w:i/>
          <w:iCs/>
          <w:w w:val="103"/>
          <w:rtl/>
        </w:rPr>
        <w:tab/>
      </w:r>
      <w:r w:rsidRPr="002A3F64">
        <w:rPr>
          <w:rFonts w:hint="cs"/>
          <w:i/>
          <w:iCs/>
          <w:w w:val="103"/>
          <w:rtl/>
        </w:rPr>
        <w:tab/>
      </w:r>
      <w:r w:rsidRPr="002A3F64">
        <w:rPr>
          <w:rFonts w:hint="cs"/>
          <w:w w:val="103"/>
          <w:rtl/>
        </w:rPr>
        <w:t>23 أيار/مايو 2011 (تاريخ الرسالة الأولى)</w:t>
      </w:r>
    </w:p>
    <w:p w:rsidR="00E85FC1" w:rsidRPr="002A3F64" w:rsidRDefault="00E85FC1" w:rsidP="00E85FC1">
      <w:pPr>
        <w:pStyle w:val="SingleTxtGA"/>
        <w:ind w:left="4649" w:hanging="2721"/>
        <w:rPr>
          <w:rFonts w:hint="cs"/>
          <w:w w:val="103"/>
          <w:rtl/>
        </w:rPr>
      </w:pPr>
      <w:r w:rsidRPr="002A3F64">
        <w:rPr>
          <w:rFonts w:hint="cs"/>
          <w:i/>
          <w:iCs/>
          <w:w w:val="103"/>
          <w:rtl/>
        </w:rPr>
        <w:t>الوثائق المرجعية:</w:t>
      </w:r>
      <w:r w:rsidRPr="002A3F64">
        <w:rPr>
          <w:rFonts w:hint="cs"/>
          <w:w w:val="103"/>
          <w:rtl/>
        </w:rPr>
        <w:tab/>
      </w:r>
      <w:r w:rsidRPr="002A3F64">
        <w:rPr>
          <w:rFonts w:hint="cs"/>
          <w:w w:val="103"/>
          <w:rtl/>
        </w:rPr>
        <w:tab/>
      </w:r>
      <w:r w:rsidRPr="002A3F64">
        <w:rPr>
          <w:rFonts w:hint="cs"/>
          <w:i/>
          <w:iCs/>
          <w:w w:val="103"/>
          <w:rtl/>
        </w:rPr>
        <w:tab/>
      </w:r>
      <w:r w:rsidRPr="002A3F64">
        <w:rPr>
          <w:rFonts w:hint="cs"/>
          <w:w w:val="103"/>
          <w:rtl/>
        </w:rPr>
        <w:t>أحيلت إلى الدولة الطرف في 26 آب/ أغسطس</w:t>
      </w:r>
      <w:r w:rsidRPr="002A3F64">
        <w:rPr>
          <w:rFonts w:hint="eastAsia"/>
          <w:w w:val="103"/>
          <w:rtl/>
        </w:rPr>
        <w:t> </w:t>
      </w:r>
      <w:r w:rsidRPr="002A3F64">
        <w:rPr>
          <w:rFonts w:hint="cs"/>
          <w:w w:val="103"/>
          <w:rtl/>
        </w:rPr>
        <w:t>2011 (لم تصدر في شكل وثيقة)</w:t>
      </w:r>
    </w:p>
    <w:p w:rsidR="00E85FC1" w:rsidRPr="002A3F64" w:rsidRDefault="00E85FC1" w:rsidP="00E85FC1">
      <w:pPr>
        <w:pStyle w:val="SingleTxtGA"/>
        <w:rPr>
          <w:rFonts w:hint="cs"/>
          <w:w w:val="103"/>
          <w:rtl/>
        </w:rPr>
      </w:pPr>
      <w:r w:rsidRPr="002A3F64">
        <w:rPr>
          <w:rFonts w:hint="cs"/>
          <w:i/>
          <w:iCs/>
          <w:w w:val="103"/>
          <w:rtl/>
        </w:rPr>
        <w:tab/>
        <w:t>إن اللجنة المعنية بالقضاء على التمييز ضد المرأة</w:t>
      </w:r>
      <w:r w:rsidRPr="002A3F64">
        <w:rPr>
          <w:rFonts w:hint="cs"/>
          <w:w w:val="103"/>
          <w:rtl/>
        </w:rPr>
        <w:t>، المنشأة بموجب المادة 17 من اتفاقية القضاء على جميع أشكال التمييز ضد المرأة،</w:t>
      </w:r>
    </w:p>
    <w:p w:rsidR="00E85FC1" w:rsidRPr="002A3F64" w:rsidRDefault="00E85FC1" w:rsidP="002A3F64">
      <w:pPr>
        <w:pStyle w:val="SingleTxtGA"/>
        <w:rPr>
          <w:rFonts w:hint="cs"/>
          <w:w w:val="103"/>
          <w:rtl/>
        </w:rPr>
      </w:pPr>
      <w:r w:rsidRPr="002A3F64">
        <w:rPr>
          <w:rFonts w:hint="cs"/>
          <w:i/>
          <w:iCs/>
          <w:w w:val="103"/>
          <w:rtl/>
        </w:rPr>
        <w:tab/>
        <w:t>وقد اجتمعت</w:t>
      </w:r>
      <w:r w:rsidRPr="002A3F64">
        <w:rPr>
          <w:rFonts w:hint="cs"/>
          <w:w w:val="103"/>
          <w:rtl/>
        </w:rPr>
        <w:t xml:space="preserve"> في </w:t>
      </w:r>
      <w:r w:rsidR="002A3F64" w:rsidRPr="002A3F64">
        <w:rPr>
          <w:rFonts w:hint="cs"/>
          <w:w w:val="103"/>
          <w:rtl/>
        </w:rPr>
        <w:t xml:space="preserve">21 </w:t>
      </w:r>
      <w:r w:rsidRPr="002A3F64">
        <w:rPr>
          <w:rFonts w:hint="cs"/>
          <w:w w:val="103"/>
          <w:rtl/>
        </w:rPr>
        <w:t>شباط/فبراير 2014،</w:t>
      </w:r>
    </w:p>
    <w:p w:rsidR="00E85FC1" w:rsidRPr="002A3F64" w:rsidRDefault="00E85FC1" w:rsidP="00E85FC1">
      <w:pPr>
        <w:pStyle w:val="SingleTxtGA"/>
        <w:rPr>
          <w:rFonts w:hint="cs"/>
          <w:w w:val="103"/>
          <w:rtl/>
        </w:rPr>
      </w:pPr>
      <w:r w:rsidRPr="002A3F64">
        <w:rPr>
          <w:rFonts w:hint="cs"/>
          <w:w w:val="103"/>
          <w:rtl/>
        </w:rPr>
        <w:tab/>
      </w:r>
      <w:r w:rsidRPr="002A3F64">
        <w:rPr>
          <w:rFonts w:hint="cs"/>
          <w:i/>
          <w:iCs/>
          <w:w w:val="103"/>
          <w:rtl/>
        </w:rPr>
        <w:t xml:space="preserve">تعتمد </w:t>
      </w:r>
      <w:r w:rsidRPr="002A3F64">
        <w:rPr>
          <w:rFonts w:hint="cs"/>
          <w:w w:val="103"/>
          <w:rtl/>
        </w:rPr>
        <w:t>ما يلي:</w:t>
      </w:r>
    </w:p>
    <w:p w:rsidR="002A3F64" w:rsidRPr="002A3F64" w:rsidRDefault="002A3F64" w:rsidP="002A3F6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E85FC1" w:rsidRDefault="00E85FC1" w:rsidP="002A3F64">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sidRPr="00DA6EED">
        <w:rPr>
          <w:rFonts w:hint="cs"/>
          <w:rtl/>
        </w:rPr>
        <w:tab/>
      </w:r>
      <w:r w:rsidRPr="00DA6EED">
        <w:rPr>
          <w:rFonts w:hint="cs"/>
          <w:rtl/>
        </w:rPr>
        <w:tab/>
        <w:t>آراء بموجب الفقرة 3 من المادة 7 من البروتوكول الاختياري</w:t>
      </w:r>
    </w:p>
    <w:p w:rsidR="00E85FC1" w:rsidRDefault="00E85FC1" w:rsidP="002A3F64">
      <w:pPr>
        <w:pStyle w:val="SingleTxt"/>
        <w:rPr>
          <w:rFonts w:hint="cs"/>
          <w:rtl/>
          <w:lang w:val="fr-CH"/>
        </w:rPr>
      </w:pPr>
      <w:r w:rsidRPr="00DA6EED">
        <w:rPr>
          <w:rFonts w:hint="cs"/>
          <w:rtl/>
          <w:lang w:val="fr-CH"/>
        </w:rPr>
        <w:t>1</w:t>
      </w:r>
      <w:r w:rsidR="002A3F64">
        <w:rPr>
          <w:rFonts w:hint="cs"/>
          <w:rtl/>
          <w:lang w:val="fr-CH"/>
        </w:rPr>
        <w:t xml:space="preserve"> </w:t>
      </w:r>
      <w:r w:rsidRPr="00DA6EED">
        <w:rPr>
          <w:rFonts w:hint="cs"/>
          <w:rtl/>
          <w:lang w:val="fr-CH"/>
        </w:rPr>
        <w:t>-</w:t>
      </w:r>
      <w:r w:rsidRPr="00DA6EED">
        <w:rPr>
          <w:rFonts w:hint="cs"/>
          <w:rtl/>
          <w:lang w:val="fr-CH"/>
        </w:rPr>
        <w:tab/>
        <w:t>صاحبة البلاغ</w:t>
      </w:r>
      <w:r>
        <w:rPr>
          <w:rFonts w:hint="cs"/>
          <w:rtl/>
          <w:lang w:val="fr-CH"/>
        </w:rPr>
        <w:t xml:space="preserve"> </w:t>
      </w:r>
      <w:r w:rsidRPr="00DA6EED">
        <w:rPr>
          <w:rFonts w:hint="cs"/>
          <w:rtl/>
          <w:lang w:val="fr-CH"/>
        </w:rPr>
        <w:t xml:space="preserve">هي </w:t>
      </w:r>
      <w:r>
        <w:rPr>
          <w:rFonts w:hint="cs"/>
          <w:rtl/>
          <w:lang w:val="fr-CH"/>
        </w:rPr>
        <w:t>ر. ب. ب.</w:t>
      </w:r>
      <w:r w:rsidRPr="00DA6EED">
        <w:rPr>
          <w:rFonts w:hint="cs"/>
          <w:rtl/>
          <w:lang w:val="fr-CH"/>
        </w:rPr>
        <w:t xml:space="preserve">، وهي </w:t>
      </w:r>
      <w:r>
        <w:rPr>
          <w:rFonts w:hint="cs"/>
          <w:rtl/>
          <w:lang w:val="fr-CH"/>
        </w:rPr>
        <w:t>مواطنة فلبينية وُلدت عام 1989. وتدَّعي أنها ضحية انتهاك الدولة الطرف للمادة 1 والفقرات (ج) و(د) و(و) من المادة</w:t>
      </w:r>
      <w:r>
        <w:rPr>
          <w:rFonts w:hint="eastAsia"/>
          <w:rtl/>
          <w:lang w:val="fr-CH"/>
        </w:rPr>
        <w:t> </w:t>
      </w:r>
      <w:r>
        <w:rPr>
          <w:rFonts w:hint="cs"/>
          <w:rtl/>
          <w:lang w:val="fr-CH"/>
        </w:rPr>
        <w:t>2 من اتفاقية القضاء على جميع أشكال التمييز ضد المرأة. وتمثلها المحاميتان إ</w:t>
      </w:r>
      <w:r w:rsidR="002A3F64">
        <w:rPr>
          <w:rFonts w:hint="cs"/>
          <w:rtl/>
          <w:lang w:val="fr-CH"/>
        </w:rPr>
        <w:t>ي</w:t>
      </w:r>
      <w:r>
        <w:rPr>
          <w:rFonts w:hint="cs"/>
          <w:rtl/>
          <w:lang w:val="fr-CH"/>
        </w:rPr>
        <w:t>فلين ج. أورسوا وماريا كارلا</w:t>
      </w:r>
      <w:r>
        <w:rPr>
          <w:rFonts w:hint="eastAsia"/>
          <w:rtl/>
          <w:lang w:val="fr-CH"/>
        </w:rPr>
        <w:t> </w:t>
      </w:r>
      <w:r>
        <w:rPr>
          <w:rFonts w:hint="cs"/>
          <w:rtl/>
          <w:lang w:val="fr-CH"/>
        </w:rPr>
        <w:t>ل. إسبينوسا. وقد دخلت الاتفاقية حيز النفاذ بالنسبة للفلبين في 4 أيلول/ سبتمبر</w:t>
      </w:r>
      <w:r>
        <w:rPr>
          <w:rFonts w:hint="eastAsia"/>
          <w:rtl/>
          <w:lang w:val="fr-CH"/>
        </w:rPr>
        <w:t> </w:t>
      </w:r>
      <w:r>
        <w:rPr>
          <w:rFonts w:hint="cs"/>
          <w:rtl/>
          <w:lang w:val="fr-CH"/>
        </w:rPr>
        <w:t>1981، وبروتوكولها الاختياري في 12 شباط/فبراير 2004.</w:t>
      </w:r>
    </w:p>
    <w:p w:rsidR="00E85FC1" w:rsidRPr="00DA6EED" w:rsidRDefault="00E85FC1" w:rsidP="002A3F6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fr-CH"/>
        </w:rPr>
      </w:pPr>
      <w:r w:rsidRPr="00DA6EED">
        <w:rPr>
          <w:rFonts w:hint="cs"/>
          <w:rtl/>
          <w:lang w:val="fr-CH"/>
        </w:rPr>
        <w:tab/>
      </w:r>
      <w:r w:rsidRPr="00DA6EED">
        <w:rPr>
          <w:rFonts w:hint="cs"/>
          <w:rtl/>
          <w:lang w:val="fr-CH"/>
        </w:rPr>
        <w:tab/>
        <w:t>الوقائع كما عرضتها صاحبة البلاغ</w:t>
      </w:r>
    </w:p>
    <w:p w:rsidR="00E85FC1" w:rsidRDefault="00E85FC1" w:rsidP="00991DAD">
      <w:pPr>
        <w:pStyle w:val="SingleTxt"/>
        <w:rPr>
          <w:rFonts w:hint="cs"/>
          <w:rtl/>
          <w:lang w:val="fr-CH" w:eastAsia="ar-SA"/>
        </w:rPr>
      </w:pPr>
      <w:r w:rsidRPr="00DA6EED">
        <w:rPr>
          <w:rFonts w:hint="cs"/>
          <w:rtl/>
          <w:lang w:val="fr-CH" w:eastAsia="ar-SA"/>
        </w:rPr>
        <w:t>2-1</w:t>
      </w:r>
      <w:r w:rsidRPr="00DA6EED">
        <w:rPr>
          <w:rFonts w:hint="cs"/>
          <w:rtl/>
          <w:lang w:val="fr-CH" w:eastAsia="ar-SA"/>
        </w:rPr>
        <w:tab/>
        <w:t xml:space="preserve">تنتمي صاحبة البلاغ إلى </w:t>
      </w:r>
      <w:r>
        <w:rPr>
          <w:rFonts w:hint="cs"/>
          <w:rtl/>
          <w:lang w:val="fr-CH" w:eastAsia="ar-SA"/>
        </w:rPr>
        <w:t xml:space="preserve">أسرة فقيرة لديها سبعة أبناء وتعيش في إحدى الضواحي الحضرية </w:t>
      </w:r>
      <w:r w:rsidR="002A3F64">
        <w:rPr>
          <w:rFonts w:hint="cs"/>
          <w:rtl/>
          <w:lang w:val="fr-CH" w:eastAsia="ar-SA"/>
        </w:rPr>
        <w:t>ل</w:t>
      </w:r>
      <w:r>
        <w:rPr>
          <w:rFonts w:hint="cs"/>
          <w:rtl/>
          <w:lang w:val="fr-CH" w:eastAsia="ar-SA"/>
        </w:rPr>
        <w:t>مانيلا. وصاحبة البلاغ مصابة بالبكم والصمم مثلها في ذلك مثل اثنين من أشقائها. وفي يوم 21 حزيران/يونيه 2006، حوالي الساعة الرابعة صباحاً، تعرضت صاحبة البلاغ، التي كان عمرها حينئذ 17 عاماً، للاغتصاب في مسكنها على يد جار يدعى ج.، كان حينئذ في التاسعة عشرة من عمره. وفي اليوم ذاته، في الساعة العاشرة صباحاً، أبلغت صاحبة البلاغ الشرطة بالواقعة. وقد ساعدتها على ذلك أختها ر.، التي تولت ترجمة ما قالته بلغة الإشارة. وأجرى ضابط شرطة مقابلة مع صاحبة البلاغ، في انتهاك للقانون الجمهوري رقم 8505 الذي يستلزم أن تتولى سيدة من أفراد الشرطة إجراء تلك المقابلة. وأعد رجل الشرطة إقراراً باللغة الفلبينية وطلب إلى صاحبة البلاغ وأختها التوقيع عليه. وتدَّ</w:t>
      </w:r>
      <w:r w:rsidR="002A3F64">
        <w:rPr>
          <w:rFonts w:hint="cs"/>
          <w:rtl/>
          <w:lang w:val="fr-CH" w:eastAsia="ar-SA"/>
        </w:rPr>
        <w:t>عي صاحبة البلاغ أنها لم تفهم ما</w:t>
      </w:r>
      <w:r w:rsidR="002A3F64">
        <w:rPr>
          <w:rFonts w:hint="eastAsia"/>
          <w:rtl/>
          <w:lang w:val="fr-CH" w:eastAsia="ar-SA"/>
        </w:rPr>
        <w:t> </w:t>
      </w:r>
      <w:r>
        <w:rPr>
          <w:rFonts w:hint="cs"/>
          <w:rtl/>
          <w:lang w:val="fr-CH" w:eastAsia="ar-SA"/>
        </w:rPr>
        <w:t xml:space="preserve">جاء في الإقرار لأن التعليم الذي يتلقاه الصم يُقدم </w:t>
      </w:r>
      <w:r w:rsidR="002A3F64">
        <w:rPr>
          <w:rFonts w:hint="cs"/>
          <w:rtl/>
          <w:lang w:val="fr-CH" w:eastAsia="ar-SA"/>
        </w:rPr>
        <w:t>في مجمله تقريب</w:t>
      </w:r>
      <w:r>
        <w:rPr>
          <w:rFonts w:hint="cs"/>
          <w:rtl/>
          <w:lang w:val="fr-CH" w:eastAsia="ar-SA"/>
        </w:rPr>
        <w:t xml:space="preserve">اً باللغة الإنكليزية المكتوبة. ومع ذلك لم تُزود بمترجم شفوي كي يتولى ترجمة الإقرار من الفلبينية إلى الإنكليزية. وفي اليوم ذاته، حوالي الساعة </w:t>
      </w:r>
      <w:r w:rsidRPr="00742B3E">
        <w:rPr>
          <w:rFonts w:hint="cs"/>
          <w:rtl/>
          <w:lang w:val="fr-CH" w:eastAsia="ar-SA"/>
        </w:rPr>
        <w:t>30/11</w:t>
      </w:r>
      <w:r>
        <w:rPr>
          <w:rFonts w:hint="cs"/>
          <w:rtl/>
          <w:lang w:val="fr-CH" w:eastAsia="ar-SA"/>
        </w:rPr>
        <w:t xml:space="preserve"> صباحاً، ألقت الشرطة القبض على المدعو ج. وقادته إلى قسم الشرطة. وفي ذلك اليوم أيضاً، أُجري فحص </w:t>
      </w:r>
      <w:r w:rsidRPr="002A3F64">
        <w:rPr>
          <w:rFonts w:hint="cs"/>
          <w:rtl/>
        </w:rPr>
        <w:t>طبي لصاحبة البلاغ في مختبر الجرائم التابع للشرطة الوطنية الفلبينية في منطقة كامب كرام بمدينة</w:t>
      </w:r>
      <w:r>
        <w:rPr>
          <w:rFonts w:hint="cs"/>
          <w:rtl/>
          <w:lang w:val="fr-CH" w:eastAsia="ar-SA"/>
        </w:rPr>
        <w:t xml:space="preserve"> كويزون، حيث تولت أختها ترجمة ما قالته. وأشار تقرير الطب الشرعي الصادر بعد الفحص إلى حدوث</w:t>
      </w:r>
      <w:r w:rsidR="002A3F64">
        <w:rPr>
          <w:rFonts w:hint="cs"/>
          <w:rtl/>
          <w:lang w:val="fr-CH" w:eastAsia="ar-SA"/>
        </w:rPr>
        <w:t xml:space="preserve"> الاعتداء الجنسي المزعوم، وكذلك</w:t>
      </w:r>
      <w:r w:rsidR="002A3F64">
        <w:rPr>
          <w:rFonts w:hint="eastAsia"/>
          <w:rtl/>
          <w:lang w:val="fr-CH" w:eastAsia="ar-SA"/>
        </w:rPr>
        <w:t> </w:t>
      </w:r>
      <w:r>
        <w:rPr>
          <w:rFonts w:hint="cs"/>
          <w:rtl/>
          <w:lang w:val="fr-CH" w:eastAsia="ar-SA"/>
        </w:rPr>
        <w:t xml:space="preserve">توقيته وتاريخ ومكان ارتكابه. وأشار أيضاً إلى أن </w:t>
      </w:r>
      <w:r w:rsidR="00991DAD">
        <w:rPr>
          <w:rFonts w:hint="eastAsia"/>
          <w:rtl/>
          <w:lang w:val="fr-CH" w:eastAsia="ar-SA"/>
        </w:rPr>
        <w:t>”</w:t>
      </w:r>
      <w:r w:rsidR="002A3F64">
        <w:rPr>
          <w:rFonts w:hint="cs"/>
          <w:rtl/>
          <w:lang w:val="fr-CH" w:eastAsia="ar-SA"/>
        </w:rPr>
        <w:t>هناك قرينة واضحة على حدوث</w:t>
      </w:r>
      <w:r w:rsidR="002A3F64">
        <w:rPr>
          <w:rFonts w:hint="eastAsia"/>
          <w:rtl/>
          <w:lang w:val="fr-CH" w:eastAsia="ar-SA"/>
        </w:rPr>
        <w:t> </w:t>
      </w:r>
      <w:r>
        <w:rPr>
          <w:rFonts w:hint="cs"/>
          <w:rtl/>
          <w:lang w:val="fr-CH" w:eastAsia="ar-SA"/>
        </w:rPr>
        <w:t>جرح حديث العهد ناشئ عن إيلاج عنيف داخل الشفرين الصغيرين والغشاء المخاطي الواقع خلفهما</w:t>
      </w:r>
      <w:r w:rsidR="00991DAD">
        <w:rPr>
          <w:rFonts w:hint="cs"/>
          <w:rtl/>
          <w:lang w:val="fr-CH" w:eastAsia="ar-SA"/>
        </w:rPr>
        <w:t>“</w:t>
      </w:r>
      <w:r>
        <w:rPr>
          <w:rFonts w:hint="cs"/>
          <w:rtl/>
          <w:lang w:val="fr-CH" w:eastAsia="ar-SA"/>
        </w:rPr>
        <w:t>.</w:t>
      </w:r>
    </w:p>
    <w:p w:rsidR="00E85FC1" w:rsidRPr="00CB0B4D" w:rsidRDefault="00E85FC1" w:rsidP="00991DAD">
      <w:pPr>
        <w:pStyle w:val="SingleTxt"/>
        <w:rPr>
          <w:rFonts w:hint="cs"/>
          <w:rtl/>
          <w:lang w:eastAsia="ar-SA" w:bidi="ar-EG"/>
        </w:rPr>
      </w:pPr>
      <w:r w:rsidRPr="00CB0B4D">
        <w:rPr>
          <w:rFonts w:hint="cs"/>
          <w:rtl/>
          <w:lang w:val="fr-CH" w:eastAsia="ar-SA"/>
        </w:rPr>
        <w:t>2-2</w:t>
      </w:r>
      <w:r w:rsidRPr="00CB0B4D">
        <w:rPr>
          <w:rFonts w:hint="cs"/>
          <w:rtl/>
          <w:lang w:val="fr-CH" w:eastAsia="ar-SA"/>
        </w:rPr>
        <w:tab/>
        <w:t>وفي 4 تموز/يوليه 2006، رُفعت دعوى صاحبة البلاغ أمام المحكمة الابتدائية الإقليمية في باسيغ سيتي، بمنطقة مانيلا الحضرية. ووُجهت إلى المتهم تهمة الاغتصاب المحددة قانوناً و</w:t>
      </w:r>
      <w:r w:rsidR="002A3F64">
        <w:rPr>
          <w:rFonts w:hint="eastAsia"/>
          <w:rtl/>
          <w:lang w:val="fr-CH" w:eastAsia="ar-SA"/>
        </w:rPr>
        <w:t> </w:t>
      </w:r>
      <w:r w:rsidR="00991DAD">
        <w:rPr>
          <w:rFonts w:hint="eastAsia"/>
          <w:rtl/>
          <w:lang w:val="fr-CH" w:eastAsia="ar-SA"/>
        </w:rPr>
        <w:t>”</w:t>
      </w:r>
      <w:r w:rsidRPr="00CB0B4D">
        <w:rPr>
          <w:rFonts w:hint="cs"/>
          <w:rtl/>
          <w:lang w:val="fr-CH" w:eastAsia="ar-SA"/>
        </w:rPr>
        <w:t>المشددة بملابسات الغدر وإساءة استعمال القوة الجسدية، وحلول الظلام، والجوار في السكن</w:t>
      </w:r>
      <w:r w:rsidR="002A3F64">
        <w:rPr>
          <w:rFonts w:hint="eastAsia"/>
          <w:rtl/>
          <w:lang w:val="fr-CH" w:eastAsia="ar-SA"/>
        </w:rPr>
        <w:t>”</w:t>
      </w:r>
      <w:r w:rsidRPr="00CB0B4D">
        <w:rPr>
          <w:rFonts w:hint="cs"/>
          <w:rtl/>
          <w:lang w:val="fr-CH" w:eastAsia="ar-SA"/>
        </w:rPr>
        <w:t xml:space="preserve">، بمقتضى المادتين </w:t>
      </w:r>
      <w:r w:rsidR="002A3F64">
        <w:rPr>
          <w:rFonts w:hint="cs"/>
          <w:rtl/>
          <w:lang w:val="fr-CH" w:eastAsia="ar-SA"/>
        </w:rPr>
        <w:t xml:space="preserve">266 - ألف، الفقرة 1 (أ)، و 226 - باء، الفقرة 6 (10)، </w:t>
      </w:r>
      <w:r w:rsidRPr="00CB0B4D">
        <w:rPr>
          <w:rFonts w:hint="cs"/>
          <w:rtl/>
          <w:lang w:eastAsia="ar-SA" w:bidi="ar-EG"/>
        </w:rPr>
        <w:t xml:space="preserve">من قانون العقوبات المنقح لعام 1930، والمعدل بالقانون الجمهوري رقم 8353 لعام 1997، </w:t>
      </w:r>
      <w:r w:rsidR="002A3F64">
        <w:rPr>
          <w:rFonts w:hint="cs"/>
          <w:rtl/>
          <w:lang w:eastAsia="ar-SA" w:bidi="ar-EG"/>
        </w:rPr>
        <w:t>والمادة</w:t>
      </w:r>
      <w:r w:rsidR="00140B44">
        <w:rPr>
          <w:rFonts w:hint="cs"/>
          <w:rtl/>
          <w:lang w:eastAsia="ar-SA" w:bidi="ar-EG"/>
        </w:rPr>
        <w:t xml:space="preserve"> </w:t>
      </w:r>
      <w:r w:rsidR="002A3F64">
        <w:rPr>
          <w:rFonts w:hint="cs"/>
          <w:rtl/>
          <w:lang w:eastAsia="ar-SA" w:bidi="ar-EG"/>
        </w:rPr>
        <w:t>5 (أ)</w:t>
      </w:r>
      <w:r w:rsidRPr="00CB0B4D">
        <w:rPr>
          <w:rFonts w:hint="cs"/>
          <w:rtl/>
          <w:lang w:eastAsia="ar-SA" w:bidi="ar-EG"/>
        </w:rPr>
        <w:t xml:space="preserve"> من القانون الجمهوري رقم 8369. وذُكر أن الاغتصاب ارتُكب </w:t>
      </w:r>
      <w:r w:rsidR="00742B3E">
        <w:rPr>
          <w:rFonts w:hint="cs"/>
          <w:rtl/>
          <w:lang w:eastAsia="ar-SA" w:bidi="ar-EG"/>
        </w:rPr>
        <w:t>”</w:t>
      </w:r>
      <w:r w:rsidRPr="00CB0B4D">
        <w:rPr>
          <w:rFonts w:hint="cs"/>
          <w:rtl/>
          <w:lang w:eastAsia="ar-SA" w:bidi="ar-EG"/>
        </w:rPr>
        <w:t>باستعمال القوة والتهديد والترويع</w:t>
      </w:r>
      <w:r w:rsidR="00742B3E">
        <w:rPr>
          <w:rFonts w:hint="eastAsia"/>
          <w:rtl/>
          <w:lang w:eastAsia="ar-SA" w:bidi="ar-EG"/>
        </w:rPr>
        <w:t>“</w:t>
      </w:r>
      <w:r w:rsidRPr="00CB0B4D">
        <w:rPr>
          <w:rFonts w:hint="cs"/>
          <w:rtl/>
          <w:lang w:eastAsia="ar-SA" w:bidi="ar-EG"/>
        </w:rPr>
        <w:t xml:space="preserve"> ضد صاحبة البلاغ، وهي قاصر، وكانت </w:t>
      </w:r>
      <w:r w:rsidR="00742B3E">
        <w:rPr>
          <w:rFonts w:hint="cs"/>
          <w:rtl/>
          <w:lang w:eastAsia="ar-SA" w:bidi="ar-EG"/>
        </w:rPr>
        <w:t>”</w:t>
      </w:r>
      <w:r w:rsidRPr="00CB0B4D">
        <w:rPr>
          <w:rFonts w:hint="cs"/>
          <w:rtl/>
          <w:lang w:eastAsia="ar-SA" w:bidi="ar-EG"/>
        </w:rPr>
        <w:t>إعاقتها الجسدية</w:t>
      </w:r>
      <w:r w:rsidR="00742B3E">
        <w:rPr>
          <w:rFonts w:hint="cs"/>
          <w:rtl/>
          <w:lang w:eastAsia="ar-SA" w:bidi="ar-EG"/>
        </w:rPr>
        <w:t>“</w:t>
      </w:r>
      <w:r w:rsidRPr="00CB0B4D">
        <w:rPr>
          <w:rFonts w:hint="cs"/>
          <w:rtl/>
          <w:lang w:eastAsia="ar-SA" w:bidi="ar-EG"/>
        </w:rPr>
        <w:t xml:space="preserve"> و</w:t>
      </w:r>
      <w:r w:rsidR="002A3F64">
        <w:rPr>
          <w:rFonts w:hint="eastAsia"/>
          <w:rtl/>
          <w:lang w:eastAsia="ar-SA" w:bidi="ar-EG"/>
        </w:rPr>
        <w:t> </w:t>
      </w:r>
      <w:r w:rsidR="00742B3E">
        <w:rPr>
          <w:rFonts w:hint="cs"/>
          <w:rtl/>
          <w:lang w:eastAsia="ar-SA" w:bidi="ar-EG"/>
        </w:rPr>
        <w:t>”</w:t>
      </w:r>
      <w:r w:rsidRPr="00CB0B4D">
        <w:rPr>
          <w:rFonts w:hint="cs"/>
          <w:rtl/>
          <w:lang w:eastAsia="ar-SA" w:bidi="ar-EG"/>
        </w:rPr>
        <w:t>عدم استطاعتها السمع أو الكلام</w:t>
      </w:r>
      <w:r w:rsidR="00742B3E">
        <w:rPr>
          <w:rFonts w:hint="cs"/>
          <w:rtl/>
          <w:lang w:eastAsia="ar-SA" w:bidi="ar-EG"/>
        </w:rPr>
        <w:t>“</w:t>
      </w:r>
      <w:r w:rsidRPr="00CB0B4D">
        <w:rPr>
          <w:rFonts w:hint="cs"/>
          <w:rtl/>
          <w:lang w:eastAsia="ar-SA" w:bidi="ar-EG"/>
        </w:rPr>
        <w:t xml:space="preserve"> أمران معلومان لدى المتهم وقت ارتكاب الجريمة. وقد أنكر المتهم الجريمة.</w:t>
      </w:r>
    </w:p>
    <w:p w:rsidR="00E85FC1" w:rsidRPr="002A3F64" w:rsidRDefault="00E85FC1" w:rsidP="00991DAD">
      <w:pPr>
        <w:pStyle w:val="SingleTxt"/>
        <w:rPr>
          <w:rFonts w:hint="cs"/>
          <w:rtl/>
          <w:lang w:eastAsia="ar-SA"/>
        </w:rPr>
      </w:pPr>
      <w:r w:rsidRPr="002A3F64">
        <w:rPr>
          <w:rFonts w:hint="cs"/>
          <w:rtl/>
          <w:lang w:eastAsia="ar-SA" w:bidi="ar-EG"/>
        </w:rPr>
        <w:t>2-3</w:t>
      </w:r>
      <w:r w:rsidRPr="002A3F64">
        <w:rPr>
          <w:rFonts w:hint="cs"/>
          <w:rtl/>
          <w:lang w:eastAsia="ar-SA" w:bidi="ar-EG"/>
        </w:rPr>
        <w:tab/>
        <w:t>وتقول صاحبة البلاغ إن جلسات الاستماع التي كان مقرراً عقدها عام 2006</w:t>
      </w:r>
      <w:r w:rsidR="00123403" w:rsidRPr="00123403">
        <w:rPr>
          <w:vertAlign w:val="superscript"/>
          <w:rtl/>
          <w:lang w:eastAsia="ar-SA" w:bidi="ar-EG"/>
        </w:rPr>
        <w:t>(</w:t>
      </w:r>
      <w:r w:rsidR="00123403" w:rsidRPr="00123403">
        <w:rPr>
          <w:rStyle w:val="FootnoteReference"/>
          <w:szCs w:val="30"/>
          <w:rtl/>
          <w:lang w:eastAsia="ar-SA"/>
        </w:rPr>
        <w:footnoteReference w:id="1"/>
      </w:r>
      <w:r w:rsidR="00123403" w:rsidRPr="00123403">
        <w:rPr>
          <w:vertAlign w:val="superscript"/>
          <w:rtl/>
          <w:lang w:eastAsia="ar-SA" w:bidi="ar-EG"/>
        </w:rPr>
        <w:t>)</w:t>
      </w:r>
      <w:r w:rsidRPr="002A3F64">
        <w:rPr>
          <w:rFonts w:hint="cs"/>
          <w:rtl/>
          <w:lang w:eastAsia="ar-SA" w:bidi="ar-EG"/>
        </w:rPr>
        <w:t xml:space="preserve"> لم</w:t>
      </w:r>
      <w:r w:rsidRPr="002A3F64">
        <w:rPr>
          <w:rFonts w:hint="eastAsia"/>
          <w:rtl/>
          <w:lang w:eastAsia="ar-SA" w:bidi="ar-EG"/>
        </w:rPr>
        <w:t> </w:t>
      </w:r>
      <w:r w:rsidRPr="002A3F64">
        <w:rPr>
          <w:rFonts w:hint="cs"/>
          <w:rtl/>
          <w:lang w:eastAsia="ar-SA" w:bidi="ar-EG"/>
        </w:rPr>
        <w:t>تُعقد بسبب عدم استطاعة شهود الإثبات الحضور</w:t>
      </w:r>
      <w:r w:rsidR="002A3F64">
        <w:rPr>
          <w:rFonts w:hint="cs"/>
          <w:rtl/>
          <w:lang w:eastAsia="ar-SA" w:bidi="ar-EG"/>
        </w:rPr>
        <w:t xml:space="preserve"> وتعين الانتظار حتى </w:t>
      </w:r>
      <w:r w:rsidRPr="002A3F64">
        <w:rPr>
          <w:rFonts w:hint="cs"/>
          <w:rtl/>
          <w:lang w:eastAsia="ar-SA" w:bidi="ar-EG"/>
        </w:rPr>
        <w:t xml:space="preserve">15 كانون الثاني/يناير 2007 </w:t>
      </w:r>
      <w:r w:rsidR="002A3F64">
        <w:rPr>
          <w:rFonts w:hint="cs"/>
          <w:rtl/>
          <w:lang w:eastAsia="ar-SA" w:bidi="ar-EG"/>
        </w:rPr>
        <w:t xml:space="preserve">لكي تدلي </w:t>
      </w:r>
      <w:r w:rsidRPr="002A3F64">
        <w:rPr>
          <w:rFonts w:hint="cs"/>
          <w:rtl/>
          <w:lang w:eastAsia="ar-SA" w:bidi="ar-EG"/>
        </w:rPr>
        <w:t>أول شاهدة من شهود الإثبات، وهي أم صاحبة البلاغ، بشهادتها أمام المحكمة. وتقرر عقد جلسات الاستماع الأخرى في 13 شباط/فبراير و</w:t>
      </w:r>
      <w:r w:rsidR="00123403">
        <w:rPr>
          <w:rFonts w:hint="eastAsia"/>
          <w:rtl/>
          <w:lang w:eastAsia="ar-SA" w:bidi="ar-EG"/>
        </w:rPr>
        <w:t> </w:t>
      </w:r>
      <w:r w:rsidRPr="002A3F64">
        <w:rPr>
          <w:rFonts w:hint="cs"/>
          <w:rtl/>
          <w:lang w:eastAsia="ar-SA" w:bidi="ar-EG"/>
        </w:rPr>
        <w:t xml:space="preserve">22 آب/أغسطس و6 تشرين الثاني/نوفمبر 2007. وبالنظر إلى عدم توافر مترجمين شفويين عن المتقاضين الصم، جرت الترجمة اعتماداً </w:t>
      </w:r>
      <w:r w:rsidR="00123403">
        <w:rPr>
          <w:rFonts w:hint="cs"/>
          <w:rtl/>
          <w:lang w:eastAsia="ar-SA" w:bidi="ar-EG"/>
        </w:rPr>
        <w:t xml:space="preserve">بشكل حصري </w:t>
      </w:r>
      <w:r w:rsidRPr="002A3F64">
        <w:rPr>
          <w:rFonts w:hint="cs"/>
          <w:rtl/>
          <w:lang w:eastAsia="ar-SA" w:bidi="ar-EG"/>
        </w:rPr>
        <w:t xml:space="preserve">على جهود مركز الفلبين لموارد </w:t>
      </w:r>
      <w:r w:rsidR="00123403">
        <w:rPr>
          <w:rFonts w:hint="cs"/>
          <w:rtl/>
          <w:lang w:eastAsia="ar-SA" w:bidi="ar-EG"/>
        </w:rPr>
        <w:t>ا</w:t>
      </w:r>
      <w:r w:rsidRPr="002A3F64">
        <w:rPr>
          <w:rFonts w:hint="cs"/>
          <w:rtl/>
          <w:lang w:eastAsia="ar-SA" w:bidi="ar-EG"/>
        </w:rPr>
        <w:t>لصم، وهو منظمة غير حكومية</w:t>
      </w:r>
      <w:r w:rsidR="00123403" w:rsidRPr="00123403">
        <w:rPr>
          <w:vertAlign w:val="superscript"/>
          <w:rtl/>
          <w:lang w:eastAsia="ar-SA" w:bidi="ar-EG"/>
        </w:rPr>
        <w:t>(</w:t>
      </w:r>
      <w:r w:rsidR="00123403" w:rsidRPr="00123403">
        <w:rPr>
          <w:rStyle w:val="FootnoteReference"/>
          <w:szCs w:val="30"/>
          <w:rtl/>
          <w:lang w:eastAsia="ar-SA"/>
        </w:rPr>
        <w:footnoteReference w:id="2"/>
      </w:r>
      <w:r w:rsidR="00123403" w:rsidRPr="00123403">
        <w:rPr>
          <w:vertAlign w:val="superscript"/>
          <w:rtl/>
          <w:lang w:eastAsia="ar-SA" w:bidi="ar-EG"/>
        </w:rPr>
        <w:t>)</w:t>
      </w:r>
      <w:r w:rsidRPr="002A3F64">
        <w:rPr>
          <w:rFonts w:hint="cs"/>
          <w:rtl/>
          <w:lang w:eastAsia="ar-SA" w:bidi="ar-EG"/>
        </w:rPr>
        <w:t xml:space="preserve">. وفي 27 أيلول/سبتمبر 2007، قررت المحكمة عقد جلسة استماع يوم 6 تشرين الثاني/نوفمبر 2007 </w:t>
      </w:r>
      <w:r w:rsidR="00991DAD">
        <w:rPr>
          <w:rFonts w:hint="cs"/>
          <w:rtl/>
          <w:lang w:eastAsia="ar-SA" w:bidi="ar-EG"/>
        </w:rPr>
        <w:t>”</w:t>
      </w:r>
      <w:r w:rsidRPr="002A3F64">
        <w:rPr>
          <w:rFonts w:hint="cs"/>
          <w:rtl/>
          <w:lang w:eastAsia="ar-SA" w:bidi="ar-EG"/>
        </w:rPr>
        <w:t xml:space="preserve">على أساس </w:t>
      </w:r>
      <w:r w:rsidR="00123403">
        <w:rPr>
          <w:rFonts w:hint="cs"/>
          <w:rtl/>
          <w:lang w:eastAsia="ar-SA" w:bidi="ar-EG"/>
        </w:rPr>
        <w:t xml:space="preserve">[...] </w:t>
      </w:r>
      <w:r w:rsidRPr="002A3F64">
        <w:rPr>
          <w:rFonts w:hint="cs"/>
          <w:rtl/>
          <w:lang w:eastAsia="ar-SA" w:bidi="ar-EG"/>
        </w:rPr>
        <w:t xml:space="preserve">أن يستدعي الادعاء مترجماً شفوياً ذا صلة بمركز الفلبين لموارد </w:t>
      </w:r>
      <w:r w:rsidR="00123403">
        <w:rPr>
          <w:rFonts w:hint="cs"/>
          <w:rtl/>
          <w:lang w:eastAsia="ar-SA" w:bidi="ar-EG"/>
        </w:rPr>
        <w:t>ا</w:t>
      </w:r>
      <w:r w:rsidRPr="002A3F64">
        <w:rPr>
          <w:rFonts w:hint="cs"/>
          <w:rtl/>
          <w:lang w:eastAsia="ar-SA" w:bidi="ar-EG"/>
        </w:rPr>
        <w:t>لصم كي يتولى الترجمة اللازمة لصاحبة الشكوى التي تعاني الصمم والبكم</w:t>
      </w:r>
      <w:r w:rsidR="00991DAD">
        <w:rPr>
          <w:rFonts w:hint="eastAsia"/>
          <w:rtl/>
          <w:lang w:eastAsia="ar-SA" w:bidi="ar-EG"/>
        </w:rPr>
        <w:t>“</w:t>
      </w:r>
      <w:r w:rsidRPr="002A3F64">
        <w:rPr>
          <w:rFonts w:hint="cs"/>
          <w:rtl/>
          <w:lang w:eastAsia="ar-SA" w:bidi="ar-EG"/>
        </w:rPr>
        <w:t>. وذكرت صاحبة البلاغ أن طول أمد مراسلات المركز مع المحكمة أسهم أيضاً في تأخر المحاكمة.</w:t>
      </w:r>
    </w:p>
    <w:p w:rsidR="00E85FC1" w:rsidRPr="002A3F64" w:rsidRDefault="00E85FC1" w:rsidP="00991DAD">
      <w:pPr>
        <w:pStyle w:val="SingleTxt"/>
        <w:rPr>
          <w:rFonts w:hint="cs"/>
          <w:rtl/>
          <w:lang w:eastAsia="ar-SA" w:bidi="ar-EG"/>
        </w:rPr>
      </w:pPr>
      <w:r w:rsidRPr="002A3F64">
        <w:rPr>
          <w:rFonts w:hint="cs"/>
          <w:rtl/>
          <w:lang w:eastAsia="ar-SA" w:bidi="ar-EG"/>
        </w:rPr>
        <w:t>2-4</w:t>
      </w:r>
      <w:r w:rsidRPr="002A3F64">
        <w:rPr>
          <w:rFonts w:hint="cs"/>
          <w:rtl/>
          <w:lang w:eastAsia="ar-SA" w:bidi="ar-EG"/>
        </w:rPr>
        <w:tab/>
        <w:t>وفي 19 آب/أغسطس 2008، أدلت صاحبة البلاغ بشهادتها أمام المحكمة</w:t>
      </w:r>
      <w:r w:rsidR="00123403" w:rsidRPr="00123403">
        <w:rPr>
          <w:vertAlign w:val="superscript"/>
          <w:rtl/>
          <w:lang w:eastAsia="ar-SA" w:bidi="ar-EG"/>
        </w:rPr>
        <w:t>(</w:t>
      </w:r>
      <w:r w:rsidR="00123403" w:rsidRPr="00123403">
        <w:rPr>
          <w:rStyle w:val="FootnoteReference"/>
          <w:szCs w:val="30"/>
          <w:rtl/>
          <w:lang w:eastAsia="ar-SA"/>
        </w:rPr>
        <w:footnoteReference w:id="3"/>
      </w:r>
      <w:r w:rsidR="00123403" w:rsidRPr="00123403">
        <w:rPr>
          <w:vertAlign w:val="superscript"/>
          <w:rtl/>
          <w:lang w:eastAsia="ar-SA" w:bidi="ar-EG"/>
        </w:rPr>
        <w:t>)</w:t>
      </w:r>
      <w:r w:rsidRPr="002A3F64">
        <w:rPr>
          <w:rFonts w:hint="cs"/>
          <w:rtl/>
          <w:lang w:eastAsia="ar-SA" w:bidi="ar-EG"/>
        </w:rPr>
        <w:t xml:space="preserve">. وتولى مساعدة صاحبة البلاغ وكيل نيابة، بينما تولت وكيلة نيابة مساعدة أمها في 15 كانون الثاني/يناير 2007. ولم يقدم الادعاء شهوداً سوى صاحبة البلاغ وأمها، بينما قدم الدفاع المتهم فقط بلا وثائق إثبات. واتفق الادعاء والدفاع </w:t>
      </w:r>
      <w:r w:rsidR="00991DAD">
        <w:rPr>
          <w:rFonts w:hint="cs"/>
          <w:rtl/>
          <w:lang w:eastAsia="ar-SA" w:bidi="ar-EG"/>
        </w:rPr>
        <w:t>”</w:t>
      </w:r>
      <w:r w:rsidRPr="002A3F64">
        <w:rPr>
          <w:rFonts w:hint="cs"/>
          <w:rtl/>
          <w:lang w:eastAsia="ar-SA" w:bidi="ar-EG"/>
        </w:rPr>
        <w:t>على الإقرار بالحقائق وقبولها فيما</w:t>
      </w:r>
      <w:r w:rsidRPr="002A3F64">
        <w:rPr>
          <w:rFonts w:hint="eastAsia"/>
          <w:rtl/>
          <w:lang w:eastAsia="ar-SA" w:bidi="ar-EG"/>
        </w:rPr>
        <w:t> </w:t>
      </w:r>
      <w:r w:rsidRPr="002A3F64">
        <w:rPr>
          <w:rFonts w:hint="cs"/>
          <w:rtl/>
          <w:lang w:eastAsia="ar-SA" w:bidi="ar-EG"/>
        </w:rPr>
        <w:t>يتعلق بالشهادات المقترح الإدلاء بها</w:t>
      </w:r>
      <w:r w:rsidR="00991DAD">
        <w:rPr>
          <w:rFonts w:hint="cs"/>
          <w:rtl/>
          <w:lang w:eastAsia="ar-SA" w:bidi="ar-EG"/>
        </w:rPr>
        <w:t>“</w:t>
      </w:r>
      <w:r w:rsidRPr="002A3F64">
        <w:rPr>
          <w:rFonts w:hint="cs"/>
          <w:rtl/>
          <w:lang w:eastAsia="ar-SA" w:bidi="ar-EG"/>
        </w:rPr>
        <w:t xml:space="preserve"> التي سيقدمها دون المثول أمام المحكمة شاهدا الإثبات الآخران وهما الطبيب الشرعي الذي فحص صاحبة البلاغ بعد الواقعة، وضابط الشرطة الذي استمع إلى شكواها وألقى القبض على المدعو ج. .</w:t>
      </w:r>
    </w:p>
    <w:p w:rsidR="00E85FC1" w:rsidRPr="002A3F64" w:rsidRDefault="00E85FC1" w:rsidP="00991DAD">
      <w:pPr>
        <w:pStyle w:val="SingleTxt"/>
        <w:rPr>
          <w:rFonts w:hint="cs"/>
          <w:rtl/>
          <w:lang w:eastAsia="ar-SA" w:bidi="ar-EG"/>
        </w:rPr>
      </w:pPr>
      <w:r w:rsidRPr="002A3F64">
        <w:rPr>
          <w:rFonts w:hint="cs"/>
          <w:rtl/>
          <w:lang w:eastAsia="ar-SA" w:bidi="ar-EG"/>
        </w:rPr>
        <w:t>2-5</w:t>
      </w:r>
      <w:r w:rsidRPr="002A3F64">
        <w:rPr>
          <w:rFonts w:hint="cs"/>
          <w:rtl/>
          <w:lang w:eastAsia="ar-SA" w:bidi="ar-EG"/>
        </w:rPr>
        <w:tab/>
        <w:t xml:space="preserve">وفي 31 كانون الثاني/يناير 2011، برأت المحكمة الابتدائية الإقليمية في باسيغ سيتي المدعو ج. واسترشدت المحكمة بالمبادئ الثلاثة التالية المستقاة من الاجتهادات القضائية السابقة </w:t>
      </w:r>
      <w:r w:rsidR="002312FC">
        <w:rPr>
          <w:rFonts w:hint="cs"/>
          <w:rtl/>
          <w:lang w:eastAsia="ar-SA" w:bidi="ar-EG"/>
        </w:rPr>
        <w:t>ل</w:t>
      </w:r>
      <w:r w:rsidRPr="002A3F64">
        <w:rPr>
          <w:rFonts w:hint="cs"/>
          <w:rtl/>
          <w:lang w:eastAsia="ar-SA" w:bidi="ar-EG"/>
        </w:rPr>
        <w:t xml:space="preserve">لمحكمة العليا: (أ) من السهل توجيه اتهام بالتعرض للاغتصاب؛ </w:t>
      </w:r>
      <w:r w:rsidR="002312FC">
        <w:rPr>
          <w:rFonts w:hint="cs"/>
          <w:rtl/>
          <w:lang w:eastAsia="ar-SA" w:bidi="ar-EG"/>
        </w:rPr>
        <w:t xml:space="preserve">ورغم أنه </w:t>
      </w:r>
      <w:r w:rsidRPr="002A3F64">
        <w:rPr>
          <w:rFonts w:hint="cs"/>
          <w:rtl/>
          <w:lang w:eastAsia="ar-SA" w:bidi="ar-EG"/>
        </w:rPr>
        <w:t xml:space="preserve">أمر يصعب إثباته، </w:t>
      </w:r>
      <w:r w:rsidR="002312FC">
        <w:rPr>
          <w:rFonts w:hint="cs"/>
          <w:rtl/>
          <w:lang w:eastAsia="ar-SA" w:bidi="ar-EG"/>
        </w:rPr>
        <w:t xml:space="preserve">فإن </w:t>
      </w:r>
      <w:r w:rsidRPr="002A3F64">
        <w:rPr>
          <w:rFonts w:hint="cs"/>
          <w:rtl/>
          <w:lang w:eastAsia="ar-SA" w:bidi="ar-EG"/>
        </w:rPr>
        <w:t xml:space="preserve">دحضه </w:t>
      </w:r>
      <w:r w:rsidR="002312FC">
        <w:rPr>
          <w:rFonts w:hint="cs"/>
          <w:rtl/>
          <w:lang w:eastAsia="ar-SA" w:bidi="ar-EG"/>
        </w:rPr>
        <w:t xml:space="preserve">يكون </w:t>
      </w:r>
      <w:r w:rsidRPr="002A3F64">
        <w:rPr>
          <w:rFonts w:hint="cs"/>
          <w:rtl/>
          <w:lang w:eastAsia="ar-SA" w:bidi="ar-EG"/>
        </w:rPr>
        <w:t xml:space="preserve">أكثر صعوبة على المتهم إن كان بريئاً؛ (ب) بالنظر إلى السمة المتأصلة في جريمة الاغتصاب، التي تنحصر عادة في شخصين فحسب، يتعين التدقيق بعناية بالغة في الشهادة التي </w:t>
      </w:r>
      <w:r w:rsidR="002312FC">
        <w:rPr>
          <w:rFonts w:hint="cs"/>
          <w:rtl/>
          <w:lang w:eastAsia="ar-SA" w:bidi="ar-EG"/>
        </w:rPr>
        <w:t>يدلي بها صاحب</w:t>
      </w:r>
      <w:r w:rsidRPr="002A3F64">
        <w:rPr>
          <w:rFonts w:hint="cs"/>
          <w:rtl/>
          <w:lang w:eastAsia="ar-SA" w:bidi="ar-EG"/>
        </w:rPr>
        <w:t xml:space="preserve"> الشكوى؛ (ج) يتعين أن يستند الدليل المقدم من الادعاء إلى حيثياته الذاتية وأن ينصب على تلك الحيثيات، ولا </w:t>
      </w:r>
      <w:r w:rsidR="002312FC">
        <w:rPr>
          <w:rFonts w:hint="cs"/>
          <w:rtl/>
          <w:lang w:eastAsia="ar-SA" w:bidi="ar-EG"/>
        </w:rPr>
        <w:t xml:space="preserve">يجوز لهذا </w:t>
      </w:r>
      <w:r w:rsidRPr="002A3F64">
        <w:rPr>
          <w:rFonts w:hint="cs"/>
          <w:rtl/>
          <w:lang w:eastAsia="ar-SA" w:bidi="ar-EG"/>
        </w:rPr>
        <w:t xml:space="preserve">الدليل </w:t>
      </w:r>
      <w:r w:rsidR="002312FC">
        <w:rPr>
          <w:rFonts w:hint="cs"/>
          <w:rtl/>
          <w:lang w:eastAsia="ar-SA" w:bidi="ar-EG"/>
        </w:rPr>
        <w:t xml:space="preserve">أن يتقوى </w:t>
      </w:r>
      <w:r w:rsidRPr="002A3F64">
        <w:rPr>
          <w:rFonts w:hint="cs"/>
          <w:rtl/>
          <w:lang w:eastAsia="ar-SA" w:bidi="ar-EG"/>
        </w:rPr>
        <w:t>بضعف الدليل المقدم من الدفاع. وقد طعنت المحكمة الابتدائية في صدق الشهادة التي أدلت بها صاحبة البلاغ</w:t>
      </w:r>
      <w:r w:rsidR="002312FC" w:rsidRPr="002312FC">
        <w:rPr>
          <w:vertAlign w:val="superscript"/>
          <w:rtl/>
          <w:lang w:eastAsia="ar-SA" w:bidi="ar-EG"/>
        </w:rPr>
        <w:t>(</w:t>
      </w:r>
      <w:r w:rsidR="002312FC" w:rsidRPr="002312FC">
        <w:rPr>
          <w:rStyle w:val="FootnoteReference"/>
          <w:szCs w:val="30"/>
          <w:rtl/>
          <w:lang w:eastAsia="ar-SA"/>
        </w:rPr>
        <w:footnoteReference w:id="4"/>
      </w:r>
      <w:r w:rsidR="002312FC" w:rsidRPr="002312FC">
        <w:rPr>
          <w:vertAlign w:val="superscript"/>
          <w:rtl/>
          <w:lang w:eastAsia="ar-SA" w:bidi="ar-EG"/>
        </w:rPr>
        <w:t>)</w:t>
      </w:r>
      <w:r w:rsidRPr="002A3F64">
        <w:rPr>
          <w:rFonts w:hint="cs"/>
          <w:rtl/>
          <w:lang w:eastAsia="ar-SA" w:bidi="ar-EG"/>
        </w:rPr>
        <w:t xml:space="preserve">، وارتأت أنها عجزت عن إثبات أن الاتصال الجنسي لم يكن برضاها. ولاحظت المحكمة خصوصاً أن صاحبة البلاغ </w:t>
      </w:r>
      <w:r w:rsidR="00742B3E">
        <w:rPr>
          <w:rFonts w:hint="cs"/>
          <w:rtl/>
          <w:lang w:eastAsia="ar-SA" w:bidi="ar-EG"/>
        </w:rPr>
        <w:t>”</w:t>
      </w:r>
      <w:r w:rsidRPr="002A3F64">
        <w:rPr>
          <w:rFonts w:hint="cs"/>
          <w:rtl/>
          <w:lang w:eastAsia="ar-SA" w:bidi="ar-EG"/>
        </w:rPr>
        <w:t>أبدت عموماً خلال محنتها سلوكاً من الصعب فهمه ولا يتسق مع المستوى المعقول للسلوك البشري لدى مواجهة حالة مماثلة</w:t>
      </w:r>
      <w:r w:rsidR="00742B3E">
        <w:rPr>
          <w:rFonts w:hint="cs"/>
          <w:rtl/>
          <w:lang w:eastAsia="ar-SA" w:bidi="ar-EG"/>
        </w:rPr>
        <w:t>“</w:t>
      </w:r>
      <w:r w:rsidRPr="002A3F64">
        <w:rPr>
          <w:rFonts w:hint="cs"/>
          <w:rtl/>
          <w:lang w:eastAsia="ar-SA" w:bidi="ar-EG"/>
        </w:rPr>
        <w:t xml:space="preserve">. وارتأت كذلك أن </w:t>
      </w:r>
      <w:r w:rsidR="00742B3E">
        <w:rPr>
          <w:rFonts w:hint="eastAsia"/>
          <w:rtl/>
          <w:lang w:eastAsia="ar-SA" w:bidi="ar-EG"/>
        </w:rPr>
        <w:t>”</w:t>
      </w:r>
      <w:r w:rsidRPr="002A3F64">
        <w:rPr>
          <w:rFonts w:hint="cs"/>
          <w:rtl/>
          <w:lang w:eastAsia="ar-SA" w:bidi="ar-EG"/>
        </w:rPr>
        <w:t xml:space="preserve">المتهم لم يلجأ إلى استعمال القوة أو الترويع. ولم تُستعمل قوة جسدية لوقف ما زعمت ر. إبداءه من مقاومة. فلم تتعرض لتكميم فمها أو حشر أي شيء فيه. وعجز الادعاء عن إثبات أن صاحبة البلاغ قد قُيدت حركتها، فيما عدا ما زعمت أنه قد جرها من ذراعها، وأنها حاولت </w:t>
      </w:r>
      <w:r w:rsidR="002312FC">
        <w:rPr>
          <w:rFonts w:hint="cs"/>
          <w:rtl/>
          <w:lang w:eastAsia="ar-SA" w:bidi="ar-EG"/>
        </w:rPr>
        <w:t xml:space="preserve">الإفلات </w:t>
      </w:r>
      <w:r w:rsidRPr="002A3F64">
        <w:rPr>
          <w:rFonts w:hint="cs"/>
          <w:rtl/>
          <w:lang w:eastAsia="ar-SA" w:bidi="ar-EG"/>
        </w:rPr>
        <w:t>منه وأبدت غضبها بالفعل إزاء ما حدث. ولم</w:t>
      </w:r>
      <w:r w:rsidRPr="002A3F64">
        <w:rPr>
          <w:rFonts w:hint="eastAsia"/>
          <w:rtl/>
          <w:lang w:eastAsia="ar-SA" w:bidi="ar-EG"/>
        </w:rPr>
        <w:t> </w:t>
      </w:r>
      <w:r w:rsidRPr="002A3F64">
        <w:rPr>
          <w:rFonts w:hint="cs"/>
          <w:rtl/>
          <w:lang w:eastAsia="ar-SA" w:bidi="ar-EG"/>
        </w:rPr>
        <w:t xml:space="preserve">يُستعمل أي ترويع </w:t>
      </w:r>
      <w:r w:rsidR="002312FC">
        <w:rPr>
          <w:rFonts w:hint="cs"/>
          <w:rtl/>
          <w:lang w:eastAsia="ar-SA" w:bidi="ar-EG"/>
        </w:rPr>
        <w:t>نحو</w:t>
      </w:r>
      <w:r w:rsidRPr="002A3F64">
        <w:rPr>
          <w:rFonts w:hint="cs"/>
          <w:rtl/>
          <w:lang w:eastAsia="ar-SA" w:bidi="ar-EG"/>
        </w:rPr>
        <w:t xml:space="preserve">ها. وحتى عندما جرها من ذراعها، فإنها لم تتعرض للتهديد بالإيذاء جسدياً أو فعلياً </w:t>
      </w:r>
      <w:r w:rsidR="002312FC">
        <w:rPr>
          <w:rFonts w:hint="cs"/>
          <w:rtl/>
          <w:lang w:eastAsia="ar-SA" w:bidi="ar-EG"/>
        </w:rPr>
        <w:t xml:space="preserve">[...] </w:t>
      </w:r>
      <w:r w:rsidRPr="002A3F64">
        <w:rPr>
          <w:rFonts w:hint="cs"/>
          <w:rtl/>
          <w:lang w:eastAsia="ar-SA" w:bidi="ar-EG"/>
        </w:rPr>
        <w:t>بأي شيء أو أداة كان بوسع المتهم استعمالهما لبث رهبة حقيقية من إمكان حدوث عواقب وخيمة تتمثل في ضرر جسدي بالغ. والقاعدة الراسخة هي أنه لدى تعرض الضحية للتهديد بإيقاع إيذاء جسدي بها، كما هو الحال عندما يكون مرتكب عملية الاغتصاب مسلحاً بسلاح قاتل [...]، يكون ذلك شكلاً من أشكال الترويع</w:t>
      </w:r>
      <w:r w:rsidR="00991DAD">
        <w:rPr>
          <w:rFonts w:hint="cs"/>
          <w:rtl/>
          <w:lang w:eastAsia="ar-SA" w:bidi="ar-EG"/>
        </w:rPr>
        <w:t>“</w:t>
      </w:r>
      <w:r w:rsidRPr="002A3F64">
        <w:rPr>
          <w:rFonts w:hint="cs"/>
          <w:rtl/>
          <w:lang w:eastAsia="ar-SA" w:bidi="ar-EG"/>
        </w:rPr>
        <w:t xml:space="preserve">. ولاحظت المحكمة كذلك </w:t>
      </w:r>
      <w:r w:rsidR="00991DAD">
        <w:rPr>
          <w:rFonts w:hint="cs"/>
          <w:rtl/>
          <w:lang w:eastAsia="ar-SA" w:bidi="ar-EG"/>
        </w:rPr>
        <w:t>”</w:t>
      </w:r>
      <w:r w:rsidRPr="002A3F64">
        <w:rPr>
          <w:rFonts w:hint="cs"/>
          <w:rtl/>
          <w:lang w:eastAsia="ar-SA" w:bidi="ar-EG"/>
        </w:rPr>
        <w:t>أن سلوك صاحبة البلاغ لا</w:t>
      </w:r>
      <w:r w:rsidRPr="002A3F64">
        <w:rPr>
          <w:rFonts w:hint="eastAsia"/>
          <w:rtl/>
          <w:lang w:eastAsia="ar-SA" w:bidi="ar-EG"/>
        </w:rPr>
        <w:t> </w:t>
      </w:r>
      <w:r w:rsidRPr="002A3F64">
        <w:rPr>
          <w:rFonts w:hint="cs"/>
          <w:rtl/>
          <w:lang w:eastAsia="ar-SA" w:bidi="ar-EG"/>
        </w:rPr>
        <w:t xml:space="preserve">يتوافق مع سلوك الفتاة الفلبينية العادية التي تملي عليها غريزتها اللجوء إلى استعمال كل ذرة من قوتها وشجاعتها لدفع أي محاولة تفضي إلى تلطيخ شرفها والنيل من طهارتها. [...] </w:t>
      </w:r>
      <w:r w:rsidR="002312FC">
        <w:rPr>
          <w:rFonts w:hint="cs"/>
          <w:rtl/>
          <w:lang w:eastAsia="ar-SA" w:bidi="ar-EG"/>
        </w:rPr>
        <w:t>وأنه من غير الطبيعي ألا</w:t>
      </w:r>
      <w:r w:rsidR="002312FC">
        <w:rPr>
          <w:rFonts w:hint="eastAsia"/>
          <w:rtl/>
          <w:lang w:eastAsia="ar-SA" w:bidi="ar-EG"/>
        </w:rPr>
        <w:t> </w:t>
      </w:r>
      <w:r w:rsidRPr="002A3F64">
        <w:rPr>
          <w:rFonts w:hint="cs"/>
          <w:rtl/>
          <w:lang w:eastAsia="ar-SA" w:bidi="ar-EG"/>
        </w:rPr>
        <w:t xml:space="preserve">يصدر عن أي ضحية تتعرض للاغتصاب </w:t>
      </w:r>
      <w:r w:rsidR="002312FC">
        <w:rPr>
          <w:rFonts w:hint="cs"/>
          <w:rtl/>
          <w:lang w:eastAsia="ar-SA" w:bidi="ar-EG"/>
        </w:rPr>
        <w:t xml:space="preserve">ولو </w:t>
      </w:r>
      <w:r w:rsidRPr="002A3F64">
        <w:rPr>
          <w:rFonts w:hint="cs"/>
          <w:rtl/>
          <w:lang w:eastAsia="ar-SA" w:bidi="ar-EG"/>
        </w:rPr>
        <w:t>محاولة طفيفة للانفكاك رغم تنوع الفرص المتاحة لعمل ذلك</w:t>
      </w:r>
      <w:r w:rsidR="00991DAD">
        <w:rPr>
          <w:rFonts w:hint="cs"/>
          <w:rtl/>
          <w:lang w:eastAsia="ar-SA" w:bidi="ar-EG"/>
        </w:rPr>
        <w:t>“</w:t>
      </w:r>
      <w:r w:rsidRPr="002A3F64">
        <w:rPr>
          <w:rFonts w:hint="cs"/>
          <w:rtl/>
          <w:lang w:eastAsia="ar-SA" w:bidi="ar-EG"/>
        </w:rPr>
        <w:t>. لقد كان بوسعها على وجه الخصوص أن تحاول الفرار أو</w:t>
      </w:r>
      <w:r w:rsidRPr="002A3F64">
        <w:rPr>
          <w:rFonts w:hint="eastAsia"/>
          <w:rtl/>
          <w:lang w:eastAsia="ar-SA" w:bidi="ar-EG"/>
        </w:rPr>
        <w:t> </w:t>
      </w:r>
      <w:r w:rsidRPr="002A3F64">
        <w:rPr>
          <w:rFonts w:hint="cs"/>
          <w:rtl/>
          <w:lang w:eastAsia="ar-SA" w:bidi="ar-EG"/>
        </w:rPr>
        <w:t xml:space="preserve">الصياح طلباً للمساعدة، وإن </w:t>
      </w:r>
      <w:r w:rsidR="00991DAD">
        <w:rPr>
          <w:rFonts w:hint="cs"/>
          <w:rtl/>
          <w:lang w:eastAsia="ar-SA" w:bidi="ar-EG"/>
        </w:rPr>
        <w:t>”</w:t>
      </w:r>
      <w:r w:rsidRPr="002A3F64">
        <w:rPr>
          <w:rFonts w:hint="cs"/>
          <w:rtl/>
          <w:lang w:eastAsia="ar-SA" w:bidi="ar-EG"/>
        </w:rPr>
        <w:t>كونها صماء بكماء لا يحول دون قدرتها على إحداث ضوضاء</w:t>
      </w:r>
      <w:r w:rsidR="00991DAD">
        <w:rPr>
          <w:rFonts w:hint="cs"/>
          <w:rtl/>
          <w:lang w:eastAsia="ar-SA" w:bidi="ar-EG"/>
        </w:rPr>
        <w:t>“</w:t>
      </w:r>
      <w:r w:rsidRPr="002A3F64">
        <w:rPr>
          <w:rFonts w:hint="cs"/>
          <w:rtl/>
          <w:lang w:eastAsia="ar-SA" w:bidi="ar-EG"/>
        </w:rPr>
        <w:t xml:space="preserve">؛ لقد كان بوسعها </w:t>
      </w:r>
      <w:r w:rsidR="00991DAD">
        <w:rPr>
          <w:rFonts w:hint="cs"/>
          <w:rtl/>
          <w:lang w:eastAsia="ar-SA" w:bidi="ar-EG"/>
        </w:rPr>
        <w:t>”</w:t>
      </w:r>
      <w:r w:rsidRPr="002A3F64">
        <w:rPr>
          <w:rFonts w:hint="cs"/>
          <w:rtl/>
          <w:lang w:eastAsia="ar-SA" w:bidi="ar-EG"/>
        </w:rPr>
        <w:t>أن تصفع المتهم أو تكيل إليه اللكمات أو ترفسه أو تدفعه</w:t>
      </w:r>
      <w:r w:rsidR="00991DAD">
        <w:rPr>
          <w:rFonts w:hint="cs"/>
          <w:rtl/>
          <w:lang w:eastAsia="ar-SA" w:bidi="ar-EG"/>
        </w:rPr>
        <w:t>“</w:t>
      </w:r>
      <w:r w:rsidRPr="002A3F64">
        <w:rPr>
          <w:rFonts w:hint="cs"/>
          <w:rtl/>
          <w:lang w:eastAsia="ar-SA" w:bidi="ar-EG"/>
        </w:rPr>
        <w:t xml:space="preserve"> لدى محاولته تعريتها، حيث إن حالتها الجسدية كانت تمكنها من إبداء المقاومة؛ علاوة على أن ثيابها كانت سليمة، مما يدل على عدم إبدائها مقاومة.</w:t>
      </w:r>
    </w:p>
    <w:p w:rsidR="00E85FC1" w:rsidRPr="002A3F64" w:rsidRDefault="00E85FC1" w:rsidP="00D867F2">
      <w:pPr>
        <w:pStyle w:val="SingleTxtGA"/>
        <w:rPr>
          <w:rFonts w:hint="cs"/>
          <w:w w:val="103"/>
          <w:rtl/>
          <w:lang w:eastAsia="ar-SA" w:bidi="ar-EG"/>
        </w:rPr>
      </w:pPr>
      <w:r w:rsidRPr="002A3F64">
        <w:rPr>
          <w:rFonts w:hint="cs"/>
          <w:w w:val="103"/>
          <w:rtl/>
          <w:lang w:eastAsia="ar-SA" w:bidi="ar-EG"/>
        </w:rPr>
        <w:t>2-6</w:t>
      </w:r>
      <w:r w:rsidRPr="002A3F64">
        <w:rPr>
          <w:rFonts w:hint="cs"/>
          <w:w w:val="103"/>
          <w:rtl/>
          <w:lang w:eastAsia="ar-SA" w:bidi="ar-EG"/>
        </w:rPr>
        <w:tab/>
        <w:t>وفيما يختص باستنفاد سبل الانتصاف المحلية، تشير صاحبة البلاغ إلى أن قرار البراءة قضى على</w:t>
      </w:r>
      <w:r w:rsidR="00D867F2" w:rsidRPr="00D867F2">
        <w:rPr>
          <w:rFonts w:hint="cs"/>
          <w:w w:val="103"/>
          <w:rtl/>
          <w:lang w:eastAsia="ar-SA" w:bidi="ar-EG"/>
        </w:rPr>
        <w:t xml:space="preserve"> </w:t>
      </w:r>
      <w:r w:rsidR="00D867F2">
        <w:rPr>
          <w:rFonts w:hint="cs"/>
          <w:w w:val="103"/>
          <w:rtl/>
          <w:lang w:eastAsia="ar-SA" w:bidi="ar-EG"/>
        </w:rPr>
        <w:t>هذه</w:t>
      </w:r>
      <w:r w:rsidRPr="002A3F64">
        <w:rPr>
          <w:rFonts w:hint="cs"/>
          <w:w w:val="103"/>
          <w:rtl/>
          <w:lang w:eastAsia="ar-SA" w:bidi="ar-EG"/>
        </w:rPr>
        <w:t xml:space="preserve"> العملية</w:t>
      </w:r>
      <w:r w:rsidR="00D867F2">
        <w:rPr>
          <w:rFonts w:hint="cs"/>
          <w:w w:val="103"/>
          <w:rtl/>
          <w:lang w:eastAsia="ar-SA" w:bidi="ar-EG"/>
        </w:rPr>
        <w:t xml:space="preserve"> بالنسبة للضحية</w:t>
      </w:r>
      <w:r w:rsidRPr="002A3F64">
        <w:rPr>
          <w:rFonts w:hint="cs"/>
          <w:w w:val="103"/>
          <w:rtl/>
          <w:lang w:eastAsia="ar-SA" w:bidi="ar-EG"/>
        </w:rPr>
        <w:t xml:space="preserve">. إذ إنه بمقتضى القانون الفلبيني ستُمنع من الطعن في حكم البراءة لأن الدستور يكفل حق عدم المقاضاة مرتين على ذات الجرم، الذي يحظر تعرض المتهم للمحاكمة مرتين على نفس الجريمة. وفيما يتعلق بمدى وجود الانتصاف الاستثنائي عن طريق مراجعة إجراءات القضية بمقتضى المادة 65 من اللائحة المنقحة للمحكمة، التي يمكن اللجوء إليها في القضايا التي يصدر فيها الحكم بالبراءة في ظل ظروف معينة، تحتج صاحبة البلاغ بأن الشروط غير مستوفاة في القضية الحالية. فأولاً، يتعين إثبات أن قرار المحكمة لاغ وباطل بسبب وقوع خطأ في الحكم أو وجود سبب يدعو لعدم الاختصاص. </w:t>
      </w:r>
      <w:r w:rsidR="00D867F2">
        <w:rPr>
          <w:rFonts w:hint="cs"/>
          <w:w w:val="103"/>
          <w:rtl/>
          <w:lang w:eastAsia="ar-SA" w:bidi="ar-EG"/>
        </w:rPr>
        <w:t>و</w:t>
      </w:r>
      <w:r w:rsidRPr="002A3F64">
        <w:rPr>
          <w:rFonts w:hint="cs"/>
          <w:w w:val="103"/>
          <w:rtl/>
          <w:lang w:eastAsia="ar-SA" w:bidi="ar-EG"/>
        </w:rPr>
        <w:t xml:space="preserve">ثانياً، لا يُتاح الانتصاف إلا للمواطنين الفلبينيين الذين يمثلهم مكتب الوكيل العام، وليس للضحية ذاتها. </w:t>
      </w:r>
      <w:r w:rsidR="00D867F2">
        <w:rPr>
          <w:rFonts w:hint="cs"/>
          <w:w w:val="103"/>
          <w:rtl/>
          <w:lang w:eastAsia="ar-SA" w:bidi="ar-EG"/>
        </w:rPr>
        <w:t>و</w:t>
      </w:r>
      <w:r w:rsidRPr="002A3F64">
        <w:rPr>
          <w:rFonts w:hint="cs"/>
          <w:w w:val="103"/>
          <w:rtl/>
          <w:lang w:eastAsia="ar-SA" w:bidi="ar-EG"/>
        </w:rPr>
        <w:t>ثالثاً، كان ينبغي لمكتب الوكيل العام الاستفادة من الانتصاف في غضون 60 يوماً من تاريخ حكم البراءة ولكنه لم يغتنم هذه الفرصة.</w:t>
      </w:r>
    </w:p>
    <w:p w:rsidR="00E85FC1" w:rsidRPr="002A3F64" w:rsidRDefault="00E85FC1" w:rsidP="00C662D9">
      <w:pPr>
        <w:pStyle w:val="SingleTxt"/>
        <w:rPr>
          <w:rFonts w:hint="cs"/>
          <w:rtl/>
          <w:lang w:eastAsia="ar-SA" w:bidi="ar-EG"/>
        </w:rPr>
      </w:pPr>
      <w:r w:rsidRPr="002A3F64">
        <w:rPr>
          <w:rFonts w:hint="cs"/>
          <w:rtl/>
          <w:lang w:eastAsia="ar-SA" w:bidi="ar-EG"/>
        </w:rPr>
        <w:t>2-7</w:t>
      </w:r>
      <w:r w:rsidRPr="002A3F64">
        <w:rPr>
          <w:rFonts w:hint="cs"/>
          <w:rtl/>
          <w:lang w:eastAsia="ar-SA" w:bidi="ar-EG"/>
        </w:rPr>
        <w:tab/>
      </w:r>
      <w:r w:rsidR="00D867F2">
        <w:rPr>
          <w:rFonts w:hint="cs"/>
          <w:rtl/>
          <w:lang w:eastAsia="ar-SA" w:bidi="ar-EG"/>
        </w:rPr>
        <w:t>و</w:t>
      </w:r>
      <w:r w:rsidRPr="002A3F64">
        <w:rPr>
          <w:rFonts w:hint="cs"/>
          <w:rtl/>
          <w:lang w:eastAsia="ar-SA" w:bidi="ar-EG"/>
        </w:rPr>
        <w:t>ختاماً، أوضحت صاحبة البلاغ أن المسألة لم ينظر فيها ولا يجري النظر فيها حالياً في إطار أي إجراء آخر من إجراءات التحقيق الدولي أو التسوية الدولية.</w:t>
      </w:r>
    </w:p>
    <w:p w:rsidR="00B75FCE" w:rsidRPr="00B75FCE" w:rsidRDefault="00B75FCE" w:rsidP="00B75FCE">
      <w:pPr>
        <w:pStyle w:val="H23GA"/>
        <w:spacing w:before="0" w:after="0" w:line="120" w:lineRule="exact"/>
        <w:rPr>
          <w:rFonts w:hint="cs"/>
          <w:w w:val="103"/>
          <w:kern w:val="16"/>
          <w:sz w:val="10"/>
          <w:rtl/>
        </w:rPr>
      </w:pPr>
    </w:p>
    <w:p w:rsidR="00E85FC1" w:rsidRPr="002A3F64" w:rsidRDefault="00E85FC1" w:rsidP="00B75FC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kern w:val="16"/>
          <w:rtl/>
        </w:rPr>
      </w:pPr>
      <w:r w:rsidRPr="002A3F64">
        <w:rPr>
          <w:rFonts w:hint="cs"/>
          <w:kern w:val="16"/>
          <w:rtl/>
        </w:rPr>
        <w:tab/>
      </w:r>
      <w:r w:rsidRPr="002A3F64">
        <w:rPr>
          <w:rFonts w:hint="cs"/>
          <w:kern w:val="16"/>
          <w:rtl/>
        </w:rPr>
        <w:tab/>
        <w:t>الشكوى</w:t>
      </w:r>
    </w:p>
    <w:p w:rsidR="00E85FC1" w:rsidRPr="002A3F64" w:rsidRDefault="00E85FC1" w:rsidP="00C662D9">
      <w:pPr>
        <w:pStyle w:val="SingleTxt"/>
        <w:rPr>
          <w:rFonts w:hint="cs"/>
          <w:rtl/>
          <w:lang w:eastAsia="ar-SA" w:bidi="ar-EG"/>
        </w:rPr>
      </w:pPr>
      <w:r w:rsidRPr="002A3F64">
        <w:rPr>
          <w:rFonts w:hint="cs"/>
          <w:rtl/>
          <w:lang w:eastAsia="ar-SA" w:bidi="ar-EG"/>
        </w:rPr>
        <w:t>3-1</w:t>
      </w:r>
      <w:r w:rsidRPr="002A3F64">
        <w:rPr>
          <w:rFonts w:hint="cs"/>
          <w:rtl/>
          <w:lang w:eastAsia="ar-SA" w:bidi="ar-EG"/>
        </w:rPr>
        <w:tab/>
        <w:t>تؤكد صاحبة البلاغ أن قرار المحكمة الابتدائية الإقليمية في باسيغ سيتي قرار يشوبه التمييز، في حدود فحوى المادة 1 من الاتفاقية فيما يتعلق بالتوصيتين العامتين رقم 18 و19 الصادرتين عن اللجنة</w:t>
      </w:r>
      <w:r w:rsidR="00B75FCE" w:rsidRPr="00B75FCE">
        <w:rPr>
          <w:vertAlign w:val="superscript"/>
          <w:rtl/>
          <w:lang w:eastAsia="ar-SA" w:bidi="ar-EG"/>
        </w:rPr>
        <w:t>(</w:t>
      </w:r>
      <w:r w:rsidR="00B75FCE" w:rsidRPr="00B75FCE">
        <w:rPr>
          <w:rStyle w:val="FootnoteReference"/>
          <w:szCs w:val="30"/>
          <w:rtl/>
          <w:lang w:eastAsia="ar-SA"/>
        </w:rPr>
        <w:footnoteReference w:id="5"/>
      </w:r>
      <w:r w:rsidR="00B75FCE" w:rsidRPr="00B75FCE">
        <w:rPr>
          <w:vertAlign w:val="superscript"/>
          <w:rtl/>
          <w:lang w:eastAsia="ar-SA" w:bidi="ar-EG"/>
        </w:rPr>
        <w:t>)</w:t>
      </w:r>
      <w:r w:rsidR="00B75FCE">
        <w:rPr>
          <w:rFonts w:hint="cs"/>
          <w:rtl/>
          <w:lang w:eastAsia="ar-SA" w:bidi="ar-EG"/>
        </w:rPr>
        <w:t>، لأ</w:t>
      </w:r>
      <w:r w:rsidRPr="002A3F64">
        <w:rPr>
          <w:rFonts w:hint="cs"/>
          <w:rtl/>
          <w:lang w:eastAsia="ar-SA" w:bidi="ar-EG"/>
        </w:rPr>
        <w:t>نه حال دون حصولها على الإنصاف. فأولاً، لم تقم المحكمة الابتدائية بتقييم الدليل وتطبيق القانون على النحو السليم وإبداء الحرص الواجب؛ وثانياً، اعتمدت المحكمة على الأفكار الوهمية والقوالب النمطية الجنسانية؛ وثالثاً، لم تنظر المحكمة في عملية الاغتصاب في سياق حالة ضعف الضحية بوصفها فتاة صماء. وتزعم صاحبة البلاغ أن الدولة الطرف لم تمنحها فرصة اللجوء إلى هيئة قضائية مختصة على الصعيد الوطني يكون حرياً بها حمايتها من التمييز حماية فعلية، ومن ثم انتهكت الدولة الطرف التزاماتها الإيجابية بمقتضى الفقرات (ج) و</w:t>
      </w:r>
      <w:r w:rsidR="00B75FCE">
        <w:rPr>
          <w:rFonts w:hint="cs"/>
          <w:rtl/>
          <w:lang w:eastAsia="ar-SA" w:bidi="ar-EG"/>
        </w:rPr>
        <w:t xml:space="preserve"> </w:t>
      </w:r>
      <w:r w:rsidRPr="002A3F64">
        <w:rPr>
          <w:rFonts w:hint="cs"/>
          <w:rtl/>
          <w:lang w:eastAsia="ar-SA" w:bidi="ar-EG"/>
        </w:rPr>
        <w:t>(د) و</w:t>
      </w:r>
      <w:r w:rsidR="00B75FCE">
        <w:rPr>
          <w:rFonts w:hint="cs"/>
          <w:rtl/>
          <w:lang w:eastAsia="ar-SA" w:bidi="ar-EG"/>
        </w:rPr>
        <w:t xml:space="preserve"> </w:t>
      </w:r>
      <w:r w:rsidRPr="002A3F64">
        <w:rPr>
          <w:rFonts w:hint="cs"/>
          <w:rtl/>
          <w:lang w:eastAsia="ar-SA" w:bidi="ar-EG"/>
        </w:rPr>
        <w:t>(و) من المادة 2 من</w:t>
      </w:r>
      <w:r w:rsidRPr="002A3F64">
        <w:rPr>
          <w:rFonts w:hint="eastAsia"/>
          <w:rtl/>
          <w:lang w:eastAsia="ar-SA" w:bidi="ar-EG"/>
        </w:rPr>
        <w:t> </w:t>
      </w:r>
      <w:r w:rsidRPr="002A3F64">
        <w:rPr>
          <w:rFonts w:hint="cs"/>
          <w:rtl/>
          <w:lang w:eastAsia="ar-SA" w:bidi="ar-EG"/>
        </w:rPr>
        <w:t>الاتفاقية.</w:t>
      </w:r>
    </w:p>
    <w:p w:rsidR="00E85FC1" w:rsidRPr="002A3F64" w:rsidRDefault="00E85FC1" w:rsidP="00991DAD">
      <w:pPr>
        <w:pStyle w:val="SingleTxt"/>
        <w:rPr>
          <w:rFonts w:hint="cs"/>
          <w:rtl/>
          <w:lang w:eastAsia="ar-SA" w:bidi="ar-EG"/>
        </w:rPr>
      </w:pPr>
      <w:r w:rsidRPr="002A3F64">
        <w:rPr>
          <w:rFonts w:hint="cs"/>
          <w:rtl/>
          <w:lang w:eastAsia="ar-SA" w:bidi="ar-EG"/>
        </w:rPr>
        <w:t>3-2</w:t>
      </w:r>
      <w:r w:rsidRPr="002A3F64">
        <w:rPr>
          <w:rFonts w:hint="cs"/>
          <w:rtl/>
          <w:lang w:eastAsia="ar-SA" w:bidi="ar-EG"/>
        </w:rPr>
        <w:tab/>
        <w:t xml:space="preserve">وفيما يختص بتقييم الدليل وتطبيق القانون، تقول صاحبة البلاغ إن المحكمة الابتدائية قد تجاهلت تجاهلاً صارخاً قولها مراراً إنها حاولت </w:t>
      </w:r>
      <w:r w:rsidR="00B75FCE">
        <w:rPr>
          <w:rFonts w:hint="cs"/>
          <w:rtl/>
          <w:lang w:eastAsia="ar-SA" w:bidi="ar-EG"/>
        </w:rPr>
        <w:t xml:space="preserve">الإفلات </w:t>
      </w:r>
      <w:r w:rsidRPr="002A3F64">
        <w:rPr>
          <w:rFonts w:hint="cs"/>
          <w:rtl/>
          <w:lang w:eastAsia="ar-SA" w:bidi="ar-EG"/>
        </w:rPr>
        <w:t xml:space="preserve">والصياح وأثارت ضوضاء عندما اعتدى عليها المتهم. ولم تأخذ المحكمة على سبيل الدليل أن حركتها الجسدية كانت مقيدة وتجاهلت إيضاحها أن المتهم كان قوياً جداً وأنه لم يكن على الطاولة شيء يمكنها ضربه به. وتغاضت المحكمة عن الشهادة التي أدلت بها أمها وقالت فيها إنها استيقظت على ضوضاء آتية من المكان الذي اغتُصبت فيه ابنتها. واعتمدت المحكمة على اجتهاد قضائي قديم، </w:t>
      </w:r>
      <w:r w:rsidR="00B75FCE">
        <w:rPr>
          <w:rFonts w:hint="cs"/>
          <w:rtl/>
          <w:lang w:eastAsia="ar-SA" w:bidi="ar-EG"/>
        </w:rPr>
        <w:t>و</w:t>
      </w:r>
      <w:r w:rsidRPr="002A3F64">
        <w:rPr>
          <w:rFonts w:hint="cs"/>
          <w:rtl/>
          <w:lang w:eastAsia="ar-SA" w:bidi="ar-EG"/>
        </w:rPr>
        <w:t xml:space="preserve">خاصة القرار الذي أصدرته المحكمة العليا عام 1972 بصدد اشتراط </w:t>
      </w:r>
      <w:r w:rsidR="00B75FCE">
        <w:rPr>
          <w:rFonts w:hint="cs"/>
          <w:rtl/>
          <w:lang w:eastAsia="ar-SA" w:bidi="ar-EG"/>
        </w:rPr>
        <w:t xml:space="preserve">حدوث </w:t>
      </w:r>
      <w:r w:rsidRPr="002A3F64">
        <w:rPr>
          <w:rFonts w:hint="cs"/>
          <w:rtl/>
          <w:lang w:eastAsia="ar-SA" w:bidi="ar-EG"/>
        </w:rPr>
        <w:t xml:space="preserve">اللجوء إلى القوة أو الترويع في قضايا الاغتصاب، والذي يقضي بأنه </w:t>
      </w:r>
      <w:r w:rsidR="00991DAD">
        <w:rPr>
          <w:rFonts w:hint="cs"/>
          <w:rtl/>
          <w:lang w:eastAsia="ar-SA" w:bidi="ar-EG"/>
        </w:rPr>
        <w:t>”</w:t>
      </w:r>
      <w:r w:rsidRPr="002A3F64">
        <w:rPr>
          <w:rFonts w:hint="cs"/>
          <w:rtl/>
          <w:lang w:eastAsia="ar-SA" w:bidi="ar-EG"/>
        </w:rPr>
        <w:t>يتعين أن يحدث لجوء إلى القوة أو</w:t>
      </w:r>
      <w:r w:rsidRPr="002A3F64">
        <w:rPr>
          <w:rFonts w:hint="eastAsia"/>
          <w:rtl/>
          <w:lang w:eastAsia="ar-SA" w:bidi="ar-EG"/>
        </w:rPr>
        <w:t> </w:t>
      </w:r>
      <w:r w:rsidRPr="002A3F64">
        <w:rPr>
          <w:rFonts w:hint="cs"/>
          <w:rtl/>
          <w:lang w:eastAsia="ar-SA" w:bidi="ar-EG"/>
        </w:rPr>
        <w:t>الترويع بشكل يفضي إلى إحداث رهبة حقيقية من إمكان حدوث عواقب وخيمة أو ضرر جسدي بالغ بشكل يطغى على تفكير الضحية ويحول دون إبدائها مقاومة</w:t>
      </w:r>
      <w:r w:rsidR="00991DAD">
        <w:rPr>
          <w:rFonts w:hint="cs"/>
          <w:rtl/>
          <w:lang w:eastAsia="ar-SA" w:bidi="ar-EG"/>
        </w:rPr>
        <w:t>“</w:t>
      </w:r>
      <w:r w:rsidRPr="002A3F64">
        <w:rPr>
          <w:rFonts w:hint="cs"/>
          <w:rtl/>
          <w:lang w:eastAsia="ar-SA" w:bidi="ar-EG"/>
        </w:rPr>
        <w:t xml:space="preserve">. وعلى النقيض من ذلك، تقضي القاعدة السائدة في المادة </w:t>
      </w:r>
      <w:r w:rsidR="00B75FCE">
        <w:rPr>
          <w:rFonts w:hint="cs"/>
          <w:rtl/>
          <w:lang w:eastAsia="ar-SA" w:bidi="ar-EG"/>
        </w:rPr>
        <w:t xml:space="preserve">266 دال </w:t>
      </w:r>
      <w:r w:rsidRPr="002A3F64">
        <w:rPr>
          <w:rFonts w:hint="cs"/>
          <w:rtl/>
          <w:lang w:eastAsia="ar-SA" w:bidi="ar-EG"/>
        </w:rPr>
        <w:t xml:space="preserve">من قانون العقوبات المنقح (انظر القانون الجمهوري رقم 8353) بأنه </w:t>
      </w:r>
      <w:r w:rsidR="00991DAD">
        <w:rPr>
          <w:rFonts w:hint="cs"/>
          <w:rtl/>
          <w:lang w:eastAsia="ar-SA" w:bidi="ar-EG"/>
        </w:rPr>
        <w:t>”</w:t>
      </w:r>
      <w:r w:rsidRPr="002A3F64">
        <w:rPr>
          <w:rFonts w:hint="cs"/>
          <w:rtl/>
          <w:lang w:eastAsia="ar-SA" w:bidi="ar-EG"/>
        </w:rPr>
        <w:t xml:space="preserve">يمكن القبول على سبيل الدليل أي فعل جسماني صريح يشي بوجود أي درجة من درجات مقاومة عملية الاغتصاب من الطرف المعتدى عليه، أو حيثما يكون ذلك الطرف في موقع يجعله عاجزاً عن إبداء </w:t>
      </w:r>
      <w:r w:rsidR="00D6389B">
        <w:rPr>
          <w:rFonts w:hint="cs"/>
          <w:rtl/>
          <w:lang w:eastAsia="ar-SA" w:bidi="ar-EG"/>
        </w:rPr>
        <w:t>رضا صحيح</w:t>
      </w:r>
      <w:r w:rsidR="00991DAD">
        <w:rPr>
          <w:rFonts w:hint="cs"/>
          <w:rtl/>
          <w:lang w:eastAsia="ar-SA" w:bidi="ar-EG"/>
        </w:rPr>
        <w:t>“</w:t>
      </w:r>
      <w:r w:rsidRPr="002A3F64">
        <w:rPr>
          <w:rFonts w:hint="cs"/>
          <w:rtl/>
          <w:lang w:eastAsia="ar-SA" w:bidi="ar-EG"/>
        </w:rPr>
        <w:t xml:space="preserve">. </w:t>
      </w:r>
      <w:r w:rsidR="00D6389B">
        <w:rPr>
          <w:rFonts w:hint="cs"/>
          <w:rtl/>
          <w:lang w:eastAsia="ar-SA" w:bidi="ar-EG"/>
        </w:rPr>
        <w:t>ولذلك</w:t>
      </w:r>
      <w:r w:rsidRPr="002A3F64">
        <w:rPr>
          <w:rFonts w:hint="cs"/>
          <w:rtl/>
          <w:lang w:eastAsia="ar-SA" w:bidi="ar-EG"/>
        </w:rPr>
        <w:t xml:space="preserve"> كان ينبغي للمحكمة أن تنظر في حالة صاحبة البلاغ القاصر البكماء كنظير للحالات التي تكون فيها الضحية عاجزة عن إبداء </w:t>
      </w:r>
      <w:r w:rsidR="00D6389B">
        <w:rPr>
          <w:rFonts w:hint="cs"/>
          <w:rtl/>
          <w:lang w:eastAsia="ar-SA" w:bidi="ar-EG"/>
        </w:rPr>
        <w:t>رضا صحيح</w:t>
      </w:r>
      <w:r w:rsidRPr="002A3F64">
        <w:rPr>
          <w:rFonts w:hint="cs"/>
          <w:rtl/>
          <w:lang w:eastAsia="ar-SA" w:bidi="ar-EG"/>
        </w:rPr>
        <w:t xml:space="preserve">، كما كان ينبغي لها إعطاء مصداقية للشهادة التي أدلت بها وذكرت فيها أنها لم تبد </w:t>
      </w:r>
      <w:r w:rsidR="00D6389B">
        <w:rPr>
          <w:rFonts w:hint="cs"/>
          <w:rtl/>
          <w:lang w:eastAsia="ar-SA" w:bidi="ar-EG"/>
        </w:rPr>
        <w:t xml:space="preserve">رضاها </w:t>
      </w:r>
      <w:r w:rsidRPr="002A3F64">
        <w:rPr>
          <w:rFonts w:hint="cs"/>
          <w:rtl/>
          <w:lang w:eastAsia="ar-SA" w:bidi="ar-EG"/>
        </w:rPr>
        <w:t>وقاومت محاولات المتهم التودد إليها.</w:t>
      </w:r>
    </w:p>
    <w:p w:rsidR="00E85FC1" w:rsidRPr="002A3F64" w:rsidRDefault="00E85FC1" w:rsidP="00D6389B">
      <w:pPr>
        <w:pStyle w:val="SingleTxt"/>
        <w:rPr>
          <w:rFonts w:hint="cs"/>
          <w:rtl/>
          <w:lang w:eastAsia="ar-SA" w:bidi="ar-EG"/>
        </w:rPr>
      </w:pPr>
      <w:r w:rsidRPr="002A3F64">
        <w:rPr>
          <w:rFonts w:hint="cs"/>
          <w:rtl/>
          <w:lang w:eastAsia="ar-SA" w:bidi="ar-EG"/>
        </w:rPr>
        <w:t>3-3</w:t>
      </w:r>
      <w:r w:rsidRPr="002A3F64">
        <w:rPr>
          <w:rFonts w:hint="cs"/>
          <w:rtl/>
          <w:lang w:eastAsia="ar-SA" w:bidi="ar-EG"/>
        </w:rPr>
        <w:tab/>
        <w:t>وفيما يختص بالأفكار الوهمية والقوالب النمطية الجنسانية، ذكرت صاحبة البلاغ أن قضيتها تبين التمييز المنهجي الذي يتعرض له ضحايا العنف الجنسي والقائم في النظام القضائي الفلبيني. وتحتج بأن تلك الأفكار الوهمية والقوالب النمطية تشكل تمييزاً جنسانياً، حيث إنها تمثل أعباء غريبة مفروضة على المرأة بتقديم الأدلة في المحاكمات المتعلقة بالاغتصاب. و</w:t>
      </w:r>
      <w:r w:rsidR="00D6389B">
        <w:rPr>
          <w:rFonts w:hint="cs"/>
          <w:rtl/>
          <w:lang w:eastAsia="ar-SA" w:bidi="ar-EG"/>
        </w:rPr>
        <w:t>ت</w:t>
      </w:r>
      <w:r w:rsidRPr="002A3F64">
        <w:rPr>
          <w:rFonts w:hint="cs"/>
          <w:rtl/>
          <w:lang w:eastAsia="ar-SA" w:bidi="ar-EG"/>
        </w:rPr>
        <w:t xml:space="preserve">ستند مصداقية صاحبة الشكوى في قضايا الاغتصاب </w:t>
      </w:r>
      <w:r w:rsidR="00D6389B">
        <w:rPr>
          <w:rFonts w:hint="cs"/>
          <w:rtl/>
          <w:lang w:eastAsia="ar-SA" w:bidi="ar-EG"/>
        </w:rPr>
        <w:t xml:space="preserve">إلى حد كبير </w:t>
      </w:r>
      <w:r w:rsidRPr="002A3F64">
        <w:rPr>
          <w:rFonts w:hint="cs"/>
          <w:rtl/>
          <w:lang w:eastAsia="ar-SA" w:bidi="ar-EG"/>
        </w:rPr>
        <w:t xml:space="preserve">إلى معيار سلوكي ترى المحاكم أنه ينبغي لضحية الاغتصاب أن تبديه. وأولئك الذي يستوفون تلك القوالب النمطية جديرون بالتصديق، أما الآخرون الذي لا يستوفونه فهم يُعاملون بالريبة والتكذيب، مما يفضي إلى براءة المتهم. وتقول صاحبة البلاغ إن المحكمة لجأت إلى قوالب نمطية وأفكار وهمية جنسانية مثيلة لتلك المستعملة في قضية </w:t>
      </w:r>
      <w:r w:rsidRPr="00D6389B">
        <w:rPr>
          <w:rFonts w:hint="cs"/>
          <w:i/>
          <w:iCs/>
          <w:rtl/>
          <w:lang w:eastAsia="ar-SA" w:bidi="ar-EG"/>
        </w:rPr>
        <w:t>فيرتيدو ضد الفلبين</w:t>
      </w:r>
      <w:r w:rsidRPr="002A3F64">
        <w:rPr>
          <w:rFonts w:hint="cs"/>
          <w:rtl/>
          <w:lang w:eastAsia="ar-SA" w:bidi="ar-EG"/>
        </w:rPr>
        <w:t xml:space="preserve"> رغم أن البت في قضيتها أُعلن بعد عدة شهور من اعتماد آراء اللجنة بصدد قضية </w:t>
      </w:r>
      <w:r w:rsidRPr="00D6389B">
        <w:rPr>
          <w:rFonts w:hint="cs"/>
          <w:i/>
          <w:iCs/>
          <w:rtl/>
          <w:lang w:eastAsia="ar-SA" w:bidi="ar-EG"/>
        </w:rPr>
        <w:t>فيرتيدو</w:t>
      </w:r>
      <w:r w:rsidR="00D6389B" w:rsidRPr="00D6389B">
        <w:rPr>
          <w:vertAlign w:val="superscript"/>
          <w:rtl/>
          <w:lang w:eastAsia="ar-SA" w:bidi="ar-EG"/>
        </w:rPr>
        <w:t>(</w:t>
      </w:r>
      <w:r w:rsidR="00D6389B" w:rsidRPr="00D6389B">
        <w:rPr>
          <w:rStyle w:val="FootnoteReference"/>
          <w:szCs w:val="30"/>
          <w:rtl/>
          <w:lang w:eastAsia="ar-SA"/>
        </w:rPr>
        <w:footnoteReference w:id="6"/>
      </w:r>
      <w:r w:rsidR="00D6389B" w:rsidRPr="00D6389B">
        <w:rPr>
          <w:vertAlign w:val="superscript"/>
          <w:rtl/>
          <w:lang w:eastAsia="ar-SA" w:bidi="ar-EG"/>
        </w:rPr>
        <w:t>)</w:t>
      </w:r>
      <w:r w:rsidRPr="002A3F64">
        <w:rPr>
          <w:rFonts w:hint="cs"/>
          <w:rtl/>
          <w:lang w:eastAsia="ar-SA" w:bidi="ar-EG"/>
        </w:rPr>
        <w:t>.</w:t>
      </w:r>
    </w:p>
    <w:p w:rsidR="00E85FC1" w:rsidRPr="002A3F64" w:rsidRDefault="00E85FC1" w:rsidP="00991DAD">
      <w:pPr>
        <w:pStyle w:val="SingleTxt"/>
        <w:rPr>
          <w:rFonts w:hint="cs"/>
          <w:rtl/>
        </w:rPr>
      </w:pPr>
      <w:r w:rsidRPr="002A3F64">
        <w:rPr>
          <w:rFonts w:hint="cs"/>
          <w:kern w:val="16"/>
          <w:rtl/>
          <w:lang w:bidi="ar-EG"/>
        </w:rPr>
        <w:t>3</w:t>
      </w:r>
      <w:r w:rsidRPr="002A3F64">
        <w:rPr>
          <w:rFonts w:hint="cs"/>
          <w:rtl/>
        </w:rPr>
        <w:t>-4</w:t>
      </w:r>
      <w:r w:rsidRPr="002A3F64">
        <w:rPr>
          <w:rFonts w:hint="cs"/>
          <w:rtl/>
        </w:rPr>
        <w:tab/>
        <w:t xml:space="preserve">وتزعم صاحبة البلاغ أن الأفكار الوهمية والقوالب النمطية الجنسانية التالية استندت إليها المحكمة في قضيتها. أول تلك الأفكار الوهمية والقوالب النمطية أن الضحية كان يتعين عليها استعمال كل ما يخطر على البال من وسائل لتجنب </w:t>
      </w:r>
      <w:r w:rsidR="00D6389B">
        <w:rPr>
          <w:rFonts w:hint="cs"/>
          <w:rtl/>
        </w:rPr>
        <w:t>أ</w:t>
      </w:r>
      <w:r w:rsidRPr="002A3F64">
        <w:rPr>
          <w:rFonts w:hint="cs"/>
          <w:rtl/>
        </w:rPr>
        <w:t>و</w:t>
      </w:r>
      <w:r w:rsidR="00D6389B">
        <w:rPr>
          <w:rFonts w:hint="eastAsia"/>
          <w:rtl/>
        </w:rPr>
        <w:t> </w:t>
      </w:r>
      <w:r w:rsidRPr="002A3F64">
        <w:rPr>
          <w:rFonts w:hint="cs"/>
          <w:rtl/>
        </w:rPr>
        <w:t xml:space="preserve">مقاومة محاولات التودد التي قام بها الجاني، وأن تكون هناك أدلة على محاولتها الفكاك منه من قبيل تمزق ملابسها. وتحتج صاحبة البلاغ بأن قرار المحكمة </w:t>
      </w:r>
      <w:r w:rsidR="00D6389B">
        <w:rPr>
          <w:rFonts w:hint="cs"/>
          <w:rtl/>
        </w:rPr>
        <w:t>ينطوي على تمييز، لأ</w:t>
      </w:r>
      <w:r w:rsidRPr="002A3F64">
        <w:rPr>
          <w:rFonts w:hint="cs"/>
          <w:rtl/>
        </w:rPr>
        <w:t xml:space="preserve">نه يتطلب أن تبدي الضحية </w:t>
      </w:r>
      <w:r w:rsidR="00991DAD">
        <w:rPr>
          <w:rFonts w:hint="cs"/>
          <w:rtl/>
        </w:rPr>
        <w:t>”</w:t>
      </w:r>
      <w:r w:rsidRPr="002A3F64">
        <w:rPr>
          <w:rFonts w:hint="cs"/>
          <w:rtl/>
        </w:rPr>
        <w:t>مستوى معقولاً من السلوك البشري</w:t>
      </w:r>
      <w:r w:rsidR="00991DAD">
        <w:rPr>
          <w:rFonts w:hint="cs"/>
          <w:rtl/>
        </w:rPr>
        <w:t>“</w:t>
      </w:r>
      <w:r w:rsidRPr="002A3F64">
        <w:rPr>
          <w:rFonts w:hint="cs"/>
          <w:rtl/>
        </w:rPr>
        <w:t xml:space="preserve"> في قضايا الاغتصاب، ويتغاضى عن المجموعة الواسعة من وسائل التصدي السلوكية التي تبديها الضحايا اللاتي يتعرضن للاغتصاب، خصوصاً من امرأة تعاني من الإعاقة. وعلاوة على ذلك، فإن التطلع إلى وجود دليل على </w:t>
      </w:r>
      <w:r w:rsidR="00D6389B">
        <w:rPr>
          <w:rFonts w:hint="cs"/>
          <w:rtl/>
        </w:rPr>
        <w:t xml:space="preserve">المقاومة </w:t>
      </w:r>
      <w:r w:rsidRPr="002A3F64">
        <w:rPr>
          <w:rFonts w:hint="cs"/>
          <w:rtl/>
        </w:rPr>
        <w:t>من قبيل تمزق الملابس يحول دون توفير الحماية للضحايا اللاتي يتعرضن لظروف قهرية غير</w:t>
      </w:r>
      <w:r w:rsidRPr="002A3F64">
        <w:rPr>
          <w:rFonts w:hint="eastAsia"/>
          <w:rtl/>
        </w:rPr>
        <w:t> </w:t>
      </w:r>
      <w:r w:rsidRPr="002A3F64">
        <w:rPr>
          <w:rFonts w:hint="cs"/>
          <w:rtl/>
        </w:rPr>
        <w:t>جسدية يستغلها الجناة في إخضاعهن.</w:t>
      </w:r>
    </w:p>
    <w:p w:rsidR="00E85FC1" w:rsidRPr="002A3F64" w:rsidRDefault="00E85FC1" w:rsidP="00D6389B">
      <w:pPr>
        <w:pStyle w:val="SingleTxt"/>
        <w:rPr>
          <w:rFonts w:hint="cs"/>
          <w:rtl/>
        </w:rPr>
      </w:pPr>
      <w:r w:rsidRPr="002A3F64">
        <w:rPr>
          <w:rFonts w:hint="cs"/>
          <w:rtl/>
        </w:rPr>
        <w:t>3-5</w:t>
      </w:r>
      <w:r w:rsidRPr="002A3F64">
        <w:rPr>
          <w:rFonts w:hint="cs"/>
          <w:rtl/>
        </w:rPr>
        <w:tab/>
      </w:r>
      <w:r w:rsidR="00D6389B">
        <w:rPr>
          <w:rFonts w:hint="cs"/>
          <w:rtl/>
        </w:rPr>
        <w:t>و</w:t>
      </w:r>
      <w:r w:rsidRPr="002A3F64">
        <w:rPr>
          <w:rFonts w:hint="cs"/>
          <w:rtl/>
        </w:rPr>
        <w:t>النوع الثاني من الأفكار الوهمية والقوالب النمطية هو أن القوة الجسدية وحدها أو</w:t>
      </w:r>
      <w:r w:rsidRPr="002A3F64">
        <w:rPr>
          <w:rFonts w:hint="eastAsia"/>
          <w:rtl/>
        </w:rPr>
        <w:t> </w:t>
      </w:r>
      <w:r w:rsidRPr="002A3F64">
        <w:rPr>
          <w:rFonts w:hint="cs"/>
          <w:rtl/>
        </w:rPr>
        <w:t xml:space="preserve">استعمال سلاح قاتل هما فحسب الأمران اللذان يمكن بهما نفي </w:t>
      </w:r>
      <w:r w:rsidR="00D6389B">
        <w:rPr>
          <w:rFonts w:hint="cs"/>
          <w:rtl/>
        </w:rPr>
        <w:t xml:space="preserve">رضا </w:t>
      </w:r>
      <w:r w:rsidRPr="002A3F64">
        <w:rPr>
          <w:rFonts w:hint="cs"/>
          <w:rtl/>
        </w:rPr>
        <w:t xml:space="preserve">الضحية محاولات التودد من الجاني. وتؤكد صاحبة البلاغ أن المحكمة لم تقدر وجود دليل آخر على انعدام </w:t>
      </w:r>
      <w:r w:rsidR="00D6389B">
        <w:rPr>
          <w:rFonts w:hint="cs"/>
          <w:rtl/>
        </w:rPr>
        <w:t>الرضا</w:t>
      </w:r>
      <w:r w:rsidRPr="002A3F64">
        <w:rPr>
          <w:rFonts w:hint="cs"/>
          <w:rtl/>
        </w:rPr>
        <w:t xml:space="preserve">. إن ما خلصت إليه المحكمة </w:t>
      </w:r>
      <w:r w:rsidR="00D6389B">
        <w:rPr>
          <w:rFonts w:hint="cs"/>
          <w:rtl/>
        </w:rPr>
        <w:t xml:space="preserve">ينطوي على تمييز </w:t>
      </w:r>
      <w:r w:rsidRPr="002A3F64">
        <w:rPr>
          <w:rFonts w:hint="cs"/>
          <w:rtl/>
        </w:rPr>
        <w:t>ضد الضحايا اللاتي يتعرضن لوسائل القوة أو</w:t>
      </w:r>
      <w:r w:rsidRPr="002A3F64">
        <w:rPr>
          <w:rFonts w:hint="eastAsia"/>
          <w:rtl/>
        </w:rPr>
        <w:t> </w:t>
      </w:r>
      <w:r w:rsidRPr="002A3F64">
        <w:rPr>
          <w:rFonts w:hint="cs"/>
          <w:rtl/>
        </w:rPr>
        <w:t>التهديد أو الترويع غير الجسدية، أو اللاتي يكن، كما هو حال صاحبة البلاغ، في حالات ترقى إلى تعرضهن لتلك الوسائل.</w:t>
      </w:r>
    </w:p>
    <w:p w:rsidR="00E85FC1" w:rsidRPr="002A3F64" w:rsidRDefault="00E85FC1" w:rsidP="00991DAD">
      <w:pPr>
        <w:pStyle w:val="SingleTxt"/>
        <w:rPr>
          <w:rFonts w:hint="cs"/>
          <w:kern w:val="16"/>
          <w:rtl/>
          <w:lang w:bidi="ar-EG"/>
        </w:rPr>
      </w:pPr>
      <w:r w:rsidRPr="002A3F64">
        <w:rPr>
          <w:rFonts w:hint="cs"/>
          <w:kern w:val="16"/>
          <w:rtl/>
          <w:lang w:bidi="ar-EG"/>
        </w:rPr>
        <w:t>3-6</w:t>
      </w:r>
      <w:r w:rsidRPr="002A3F64">
        <w:rPr>
          <w:rFonts w:hint="cs"/>
          <w:kern w:val="16"/>
          <w:rtl/>
          <w:lang w:bidi="ar-EG"/>
        </w:rPr>
        <w:tab/>
      </w:r>
      <w:r w:rsidR="00D6389B">
        <w:rPr>
          <w:rFonts w:hint="cs"/>
          <w:kern w:val="16"/>
          <w:rtl/>
          <w:lang w:bidi="ar-EG"/>
        </w:rPr>
        <w:t>و</w:t>
      </w:r>
      <w:r w:rsidRPr="002A3F64">
        <w:rPr>
          <w:rFonts w:hint="cs"/>
          <w:kern w:val="16"/>
          <w:rtl/>
          <w:lang w:bidi="ar-EG"/>
        </w:rPr>
        <w:t xml:space="preserve">النوع الثالث من الأفكار الوهمية والقوالب النمطية هو أن على الفتاة الفلبينية التي تتعرض للاغتصاب أن </w:t>
      </w:r>
      <w:r w:rsidR="00991DAD">
        <w:rPr>
          <w:rFonts w:hint="cs"/>
          <w:kern w:val="16"/>
          <w:rtl/>
          <w:lang w:bidi="ar-EG"/>
        </w:rPr>
        <w:t>”</w:t>
      </w:r>
      <w:r w:rsidRPr="002A3F64">
        <w:rPr>
          <w:rFonts w:hint="cs"/>
          <w:kern w:val="16"/>
          <w:rtl/>
          <w:lang w:bidi="ar-EG"/>
        </w:rPr>
        <w:t>تستعمل كل ذرة من قوتها وشجاعتها لدفع أي محاولة تفضي إلى تلطيخ شرفها والنيل من طهارتها</w:t>
      </w:r>
      <w:r w:rsidR="00991DAD">
        <w:rPr>
          <w:rFonts w:hint="cs"/>
          <w:kern w:val="16"/>
          <w:rtl/>
          <w:lang w:bidi="ar-EG"/>
        </w:rPr>
        <w:t>“</w:t>
      </w:r>
      <w:r w:rsidRPr="002A3F64">
        <w:rPr>
          <w:rFonts w:hint="cs"/>
          <w:kern w:val="16"/>
          <w:rtl/>
          <w:lang w:bidi="ar-EG"/>
        </w:rPr>
        <w:t xml:space="preserve">. وتحتج صاحبة البلاغ بأنه بذلك يُتوقع من الضحية أن تُصارع لإبداء عدم </w:t>
      </w:r>
      <w:r w:rsidR="00D6389B">
        <w:rPr>
          <w:rFonts w:hint="cs"/>
          <w:kern w:val="16"/>
          <w:rtl/>
          <w:lang w:bidi="ar-EG"/>
        </w:rPr>
        <w:t>رضاها</w:t>
      </w:r>
      <w:r w:rsidRPr="002A3F64">
        <w:rPr>
          <w:rFonts w:hint="cs"/>
          <w:kern w:val="16"/>
          <w:rtl/>
          <w:lang w:bidi="ar-EG"/>
        </w:rPr>
        <w:t>، على سبيل المثال بصفع المعتدي أو لكمه أو رفسه أو دفعه. وخلصت المحكمة إلى أن صاحبة البلاغ لم تفعل ذلك، ومن ثم لا</w:t>
      </w:r>
      <w:r w:rsidRPr="002A3F64">
        <w:rPr>
          <w:rFonts w:hint="eastAsia"/>
          <w:kern w:val="16"/>
          <w:rtl/>
          <w:lang w:bidi="ar-EG"/>
        </w:rPr>
        <w:t> </w:t>
      </w:r>
      <w:r w:rsidRPr="002A3F64">
        <w:rPr>
          <w:rFonts w:hint="cs"/>
          <w:kern w:val="16"/>
          <w:rtl/>
          <w:lang w:bidi="ar-EG"/>
        </w:rPr>
        <w:t xml:space="preserve">يمكن تصديق زعمها التعرض للاغتصاب. وحسب ما قالته صاحبة البلاغ، فإن مثل ذلك المنطق يحول دون توفير الحماية القانونية للضحايا اللاتي لا يتوافقن مع تلك القوالب النمطية، ويلقي باللائمة على الضحية لعدم استعمال الوسائل الكافية </w:t>
      </w:r>
      <w:r w:rsidR="00D6389B">
        <w:rPr>
          <w:rFonts w:hint="cs"/>
          <w:kern w:val="16"/>
          <w:rtl/>
          <w:lang w:bidi="ar-EG"/>
        </w:rPr>
        <w:t>أ</w:t>
      </w:r>
      <w:r w:rsidRPr="002A3F64">
        <w:rPr>
          <w:rFonts w:hint="cs"/>
          <w:kern w:val="16"/>
          <w:rtl/>
          <w:lang w:bidi="ar-EG"/>
        </w:rPr>
        <w:t>و</w:t>
      </w:r>
      <w:r w:rsidR="00D6389B">
        <w:rPr>
          <w:rFonts w:hint="eastAsia"/>
          <w:kern w:val="16"/>
          <w:rtl/>
          <w:lang w:bidi="ar-EG"/>
        </w:rPr>
        <w:t> </w:t>
      </w:r>
      <w:r w:rsidRPr="002A3F64">
        <w:rPr>
          <w:rFonts w:hint="cs"/>
          <w:kern w:val="16"/>
          <w:rtl/>
          <w:lang w:bidi="ar-EG"/>
        </w:rPr>
        <w:t>الملائمة الكفيلة بتجنب الاغتصاب.</w:t>
      </w:r>
    </w:p>
    <w:p w:rsidR="00E85FC1" w:rsidRPr="002A3F64" w:rsidRDefault="00E85FC1" w:rsidP="00D6389B">
      <w:pPr>
        <w:pStyle w:val="SingleTxt"/>
        <w:rPr>
          <w:rFonts w:hint="cs"/>
          <w:kern w:val="16"/>
          <w:rtl/>
          <w:lang w:bidi="ar-EG"/>
        </w:rPr>
      </w:pPr>
      <w:r w:rsidRPr="002A3F64">
        <w:rPr>
          <w:rFonts w:hint="cs"/>
          <w:kern w:val="16"/>
          <w:rtl/>
          <w:lang w:bidi="ar-EG"/>
        </w:rPr>
        <w:t>3-7</w:t>
      </w:r>
      <w:r w:rsidRPr="002A3F64">
        <w:rPr>
          <w:rFonts w:hint="cs"/>
          <w:kern w:val="16"/>
          <w:rtl/>
          <w:lang w:bidi="ar-EG"/>
        </w:rPr>
        <w:tab/>
        <w:t xml:space="preserve">وعلاوة على ذلك، تزعم صاحبة البلاغ أنه بعد مضي قرابة 30 عاماً على تصديق الفلبين على </w:t>
      </w:r>
      <w:r w:rsidR="00D6389B">
        <w:rPr>
          <w:rFonts w:hint="cs"/>
          <w:kern w:val="16"/>
          <w:rtl/>
          <w:lang w:bidi="ar-EG"/>
        </w:rPr>
        <w:t>المعاهدة</w:t>
      </w:r>
      <w:r w:rsidRPr="002A3F64">
        <w:rPr>
          <w:rFonts w:hint="cs"/>
          <w:kern w:val="16"/>
          <w:rtl/>
          <w:lang w:bidi="ar-EG"/>
        </w:rPr>
        <w:t>، وبعد الآراء التي أبدتها اللج</w:t>
      </w:r>
      <w:r w:rsidR="00D25542">
        <w:rPr>
          <w:rFonts w:hint="cs"/>
          <w:kern w:val="16"/>
          <w:rtl/>
          <w:lang w:bidi="ar-EG"/>
        </w:rPr>
        <w:t>نة وخلصت فيها إلى وجود انتهاكات</w:t>
      </w:r>
      <w:r w:rsidR="00D25542">
        <w:rPr>
          <w:rFonts w:hint="eastAsia"/>
          <w:kern w:val="16"/>
          <w:rtl/>
          <w:lang w:bidi="ar-EG"/>
        </w:rPr>
        <w:t> </w:t>
      </w:r>
      <w:r w:rsidRPr="002A3F64">
        <w:rPr>
          <w:rFonts w:hint="cs"/>
          <w:kern w:val="16"/>
          <w:rtl/>
          <w:lang w:bidi="ar-EG"/>
        </w:rPr>
        <w:t>للاتفاقية وقدمت توصيات لمعالجة تلك الانتهاكات، ما</w:t>
      </w:r>
      <w:r w:rsidRPr="002A3F64">
        <w:rPr>
          <w:rFonts w:hint="eastAsia"/>
          <w:kern w:val="16"/>
          <w:rtl/>
          <w:lang w:bidi="ar-EG"/>
        </w:rPr>
        <w:t> </w:t>
      </w:r>
      <w:r w:rsidR="00D25542">
        <w:rPr>
          <w:rFonts w:hint="cs"/>
          <w:kern w:val="16"/>
          <w:rtl/>
          <w:lang w:bidi="ar-EG"/>
        </w:rPr>
        <w:t>زال التمييز القائم والمتمثل</w:t>
      </w:r>
      <w:r w:rsidR="00D25542">
        <w:rPr>
          <w:rFonts w:hint="eastAsia"/>
          <w:kern w:val="16"/>
          <w:rtl/>
          <w:lang w:bidi="ar-EG"/>
        </w:rPr>
        <w:t> </w:t>
      </w:r>
      <w:r w:rsidRPr="002A3F64">
        <w:rPr>
          <w:rFonts w:hint="cs"/>
          <w:kern w:val="16"/>
          <w:rtl/>
          <w:lang w:bidi="ar-EG"/>
        </w:rPr>
        <w:t xml:space="preserve">في الافتراضات والأفكار الوهمية والقوالب النمطية </w:t>
      </w:r>
      <w:r w:rsidR="00D6389B">
        <w:rPr>
          <w:rFonts w:hint="cs"/>
          <w:kern w:val="16"/>
          <w:rtl/>
          <w:lang w:bidi="ar-EG"/>
        </w:rPr>
        <w:t>الموجود</w:t>
      </w:r>
      <w:r w:rsidRPr="002A3F64">
        <w:rPr>
          <w:rFonts w:hint="cs"/>
          <w:kern w:val="16"/>
          <w:rtl/>
          <w:lang w:bidi="ar-EG"/>
        </w:rPr>
        <w:t xml:space="preserve">ة في الاجتهاد القانوني </w:t>
      </w:r>
      <w:r w:rsidR="00D6389B">
        <w:rPr>
          <w:rFonts w:hint="cs"/>
          <w:kern w:val="16"/>
          <w:rtl/>
          <w:lang w:bidi="ar-EG"/>
        </w:rPr>
        <w:t>ي</w:t>
      </w:r>
      <w:r w:rsidRPr="002A3F64">
        <w:rPr>
          <w:rFonts w:hint="cs"/>
          <w:kern w:val="16"/>
          <w:rtl/>
          <w:lang w:bidi="ar-EG"/>
        </w:rPr>
        <w:t>ضعف الوضع القانوني لضحايا الاغتصاب و</w:t>
      </w:r>
      <w:r w:rsidR="00D6389B">
        <w:rPr>
          <w:rFonts w:hint="cs"/>
          <w:kern w:val="16"/>
          <w:rtl/>
          <w:lang w:bidi="ar-EG"/>
        </w:rPr>
        <w:t>ي</w:t>
      </w:r>
      <w:r w:rsidRPr="002A3F64">
        <w:rPr>
          <w:rFonts w:hint="cs"/>
          <w:kern w:val="16"/>
          <w:rtl/>
          <w:lang w:bidi="ar-EG"/>
        </w:rPr>
        <w:t xml:space="preserve">قلل إلى حد بعيد، بل قد </w:t>
      </w:r>
      <w:r w:rsidR="00D6389B">
        <w:rPr>
          <w:rFonts w:hint="cs"/>
          <w:kern w:val="16"/>
          <w:rtl/>
          <w:lang w:bidi="ar-EG"/>
        </w:rPr>
        <w:t>ينه</w:t>
      </w:r>
      <w:r w:rsidRPr="002A3F64">
        <w:rPr>
          <w:rFonts w:hint="cs"/>
          <w:kern w:val="16"/>
          <w:rtl/>
          <w:lang w:bidi="ar-EG"/>
        </w:rPr>
        <w:t>ي، فرص حصولهن على الإنصاف اللازم تعويضاً عما لحق بهن من ضرر. وبالنظر إلى ما</w:t>
      </w:r>
      <w:r w:rsidRPr="002A3F64">
        <w:rPr>
          <w:rFonts w:hint="eastAsia"/>
          <w:kern w:val="16"/>
          <w:rtl/>
          <w:lang w:bidi="ar-EG"/>
        </w:rPr>
        <w:t> </w:t>
      </w:r>
      <w:r w:rsidRPr="002A3F64">
        <w:rPr>
          <w:rFonts w:hint="cs"/>
          <w:kern w:val="16"/>
          <w:rtl/>
          <w:lang w:bidi="ar-EG"/>
        </w:rPr>
        <w:t xml:space="preserve">سلف وبالإحالة إلى قضية </w:t>
      </w:r>
      <w:r w:rsidRPr="00D6389B">
        <w:rPr>
          <w:rFonts w:hint="cs"/>
          <w:i/>
          <w:iCs/>
          <w:kern w:val="16"/>
          <w:rtl/>
          <w:lang w:bidi="ar-EG"/>
        </w:rPr>
        <w:t>فيرتيدو</w:t>
      </w:r>
      <w:r w:rsidRPr="002A3F64">
        <w:rPr>
          <w:rFonts w:hint="cs"/>
          <w:kern w:val="16"/>
          <w:rtl/>
          <w:lang w:bidi="ar-EG"/>
        </w:rPr>
        <w:t>، تدفع صاحبة البلاغ بأن لجوء المحكمة إلى استعمال الأفكار الوهمية والقوالب النمطية الجنسانية قد حرمها من الحق في أن تنظر في قضيتها هيئة قضائية مختصة، الأمر الذي يشكل تمييزاً في إطار فحوى المادة 1 من الاتفاقية فيما يختص بالتوصيتين العامتين رقم</w:t>
      </w:r>
      <w:r w:rsidR="007C4D57">
        <w:rPr>
          <w:rFonts w:hint="cs"/>
          <w:kern w:val="16"/>
          <w:rtl/>
        </w:rPr>
        <w:t>ي</w:t>
      </w:r>
      <w:r w:rsidRPr="002A3F64">
        <w:rPr>
          <w:rFonts w:hint="cs"/>
          <w:kern w:val="16"/>
          <w:rtl/>
          <w:lang w:bidi="ar-EG"/>
        </w:rPr>
        <w:t xml:space="preserve"> 18 و</w:t>
      </w:r>
      <w:r w:rsidR="00D25542">
        <w:rPr>
          <w:rFonts w:hint="eastAsia"/>
          <w:kern w:val="16"/>
          <w:rtl/>
          <w:lang w:bidi="ar-EG"/>
        </w:rPr>
        <w:t> </w:t>
      </w:r>
      <w:r w:rsidRPr="002A3F64">
        <w:rPr>
          <w:rFonts w:hint="cs"/>
          <w:kern w:val="16"/>
          <w:rtl/>
          <w:lang w:bidi="ar-EG"/>
        </w:rPr>
        <w:t>19.</w:t>
      </w:r>
    </w:p>
    <w:p w:rsidR="00E85FC1" w:rsidRPr="00E77A73" w:rsidRDefault="00D25542" w:rsidP="00991DAD">
      <w:pPr>
        <w:pStyle w:val="SingleTxt"/>
        <w:rPr>
          <w:rFonts w:hint="cs"/>
          <w:w w:val="100"/>
          <w:rtl/>
          <w:lang w:eastAsia="ar-SA" w:bidi="ar-EG"/>
        </w:rPr>
      </w:pPr>
      <w:r w:rsidRPr="00E77A73">
        <w:rPr>
          <w:w w:val="100"/>
          <w:kern w:val="16"/>
          <w:rtl/>
          <w:lang w:bidi="ar-EG"/>
        </w:rPr>
        <w:br w:type="page"/>
      </w:r>
      <w:r w:rsidR="00E85FC1" w:rsidRPr="00E77A73">
        <w:rPr>
          <w:rFonts w:hint="cs"/>
          <w:w w:val="100"/>
          <w:kern w:val="16"/>
          <w:rtl/>
          <w:lang w:bidi="ar-EG"/>
        </w:rPr>
        <w:t>3-8</w:t>
      </w:r>
      <w:r w:rsidR="00E85FC1" w:rsidRPr="00E77A73">
        <w:rPr>
          <w:rFonts w:hint="cs"/>
          <w:w w:val="100"/>
          <w:kern w:val="16"/>
          <w:rtl/>
          <w:lang w:bidi="ar-EG"/>
        </w:rPr>
        <w:tab/>
        <w:t>وتؤكد صاحبة البلاغ أن الدولة الطرف تغاضت عن حقوقها الواجبة لها بصفتها معوقة وأنثى، ومن ثم انتهكت التزاماتها القانونية بموجب اتفاقية القضاء على جميع أشكال التمييز ضد المرأة واتفاقية حقوق الأشخاص ذوي الإعاقة على السواء</w:t>
      </w:r>
      <w:r w:rsidR="00D6389B" w:rsidRPr="00E77A73">
        <w:rPr>
          <w:w w:val="100"/>
          <w:kern w:val="16"/>
          <w:vertAlign w:val="superscript"/>
          <w:rtl/>
          <w:lang w:bidi="ar-EG"/>
        </w:rPr>
        <w:t>(</w:t>
      </w:r>
      <w:r w:rsidR="00D6389B" w:rsidRPr="00E77A73">
        <w:rPr>
          <w:rStyle w:val="FootnoteReference"/>
          <w:kern w:val="16"/>
          <w:szCs w:val="30"/>
          <w:rtl/>
        </w:rPr>
        <w:footnoteReference w:id="7"/>
      </w:r>
      <w:r w:rsidR="00D6389B" w:rsidRPr="00E77A73">
        <w:rPr>
          <w:w w:val="100"/>
          <w:kern w:val="16"/>
          <w:vertAlign w:val="superscript"/>
          <w:rtl/>
          <w:lang w:bidi="ar-EG"/>
        </w:rPr>
        <w:t>)</w:t>
      </w:r>
      <w:r w:rsidR="00E85FC1" w:rsidRPr="00E77A73">
        <w:rPr>
          <w:rFonts w:hint="cs"/>
          <w:w w:val="100"/>
          <w:kern w:val="16"/>
          <w:rtl/>
          <w:lang w:bidi="ar-EG"/>
        </w:rPr>
        <w:t xml:space="preserve">. فأولاً، قامت المحكمة ليس </w:t>
      </w:r>
      <w:r w:rsidR="00D6389B" w:rsidRPr="00E77A73">
        <w:rPr>
          <w:rFonts w:hint="cs"/>
          <w:w w:val="100"/>
          <w:kern w:val="16"/>
          <w:rtl/>
          <w:lang w:bidi="ar-EG"/>
        </w:rPr>
        <w:t xml:space="preserve">فقط </w:t>
      </w:r>
      <w:r w:rsidR="00E85FC1" w:rsidRPr="00E77A73">
        <w:rPr>
          <w:rFonts w:hint="cs"/>
          <w:w w:val="100"/>
          <w:kern w:val="16"/>
          <w:rtl/>
          <w:lang w:bidi="ar-EG"/>
        </w:rPr>
        <w:t xml:space="preserve">بإصدار حكم ضد صاحبة البلاغ باستعمال القوالب النمطية والأفكار الوهمية الجنسانية، ولكنها أيضاً عللت ذلك الحكم بتحيز واضح ضدها متجاهلة صفتها كضحية صماء قاصر. وارتأت المحكمة أن صاحبة البلاغ شاهدة لا يمكن تصديقها ومن ثم برأت المتهم، رغم خلو الدليل من </w:t>
      </w:r>
      <w:r w:rsidR="00D6389B" w:rsidRPr="00E77A73">
        <w:rPr>
          <w:rFonts w:hint="cs"/>
          <w:w w:val="100"/>
          <w:kern w:val="16"/>
          <w:rtl/>
          <w:lang w:bidi="ar-EG"/>
        </w:rPr>
        <w:t xml:space="preserve">أي </w:t>
      </w:r>
      <w:r w:rsidR="00E85FC1" w:rsidRPr="00E77A73">
        <w:rPr>
          <w:rFonts w:hint="cs"/>
          <w:w w:val="100"/>
          <w:kern w:val="16"/>
          <w:rtl/>
          <w:lang w:bidi="ar-EG"/>
        </w:rPr>
        <w:t xml:space="preserve">شيء يستدعي عدم </w:t>
      </w:r>
      <w:r w:rsidR="00D6389B" w:rsidRPr="00E77A73">
        <w:rPr>
          <w:rFonts w:hint="cs"/>
          <w:w w:val="100"/>
          <w:kern w:val="16"/>
          <w:rtl/>
          <w:lang w:bidi="ar-EG"/>
        </w:rPr>
        <w:t xml:space="preserve">إقرار </w:t>
      </w:r>
      <w:r w:rsidR="00E85FC1" w:rsidRPr="00E77A73">
        <w:rPr>
          <w:rFonts w:hint="cs"/>
          <w:w w:val="100"/>
          <w:kern w:val="16"/>
          <w:rtl/>
          <w:lang w:bidi="ar-EG"/>
        </w:rPr>
        <w:t xml:space="preserve">روايتها سوى إنكار المتهم فحسب، وأفكار التحيز الجنسي التي تبنتها المحكمة التي تصف الكيفية التي ينبغي أن تتصرف بها في الظروف قيد النظر الفتاة الفلبينية العادية، متغاضية عن كون صاحبة البلاغ قاصراً صماء. وحسبما ذكرته صاحبة البلاغ، </w:t>
      </w:r>
      <w:r w:rsidR="00D6389B" w:rsidRPr="00E77A73">
        <w:rPr>
          <w:rFonts w:hint="cs"/>
          <w:w w:val="100"/>
          <w:kern w:val="16"/>
          <w:rtl/>
          <w:lang w:bidi="ar-EG"/>
        </w:rPr>
        <w:t xml:space="preserve">يكشف </w:t>
      </w:r>
      <w:r w:rsidR="00E85FC1" w:rsidRPr="00E77A73">
        <w:rPr>
          <w:rFonts w:hint="cs"/>
          <w:w w:val="100"/>
          <w:kern w:val="16"/>
          <w:rtl/>
          <w:lang w:bidi="ar-EG"/>
        </w:rPr>
        <w:t>ما سلف عن جهل فاضح بحالة النساء والفتيات الصماوات، ويبرهن على إخفاق الفلبين، بوصفها دولة عضواً في اتفاقية حقوق الأشخاص ذوي الإعاقة، في الوفاء بالتزامها بتوفير التدريب الملائم للعاملين في مجال إقامة العدل لتضمن إتاحة إمكانية اللجوء الفعلي إلى القضاء أمام الأشخاص ذوي الإعاقة</w:t>
      </w:r>
      <w:r w:rsidR="00D6389B" w:rsidRPr="00E77A73">
        <w:rPr>
          <w:w w:val="100"/>
          <w:kern w:val="16"/>
          <w:vertAlign w:val="superscript"/>
          <w:rtl/>
          <w:lang w:bidi="ar-EG"/>
        </w:rPr>
        <w:t>(</w:t>
      </w:r>
      <w:r w:rsidR="00D6389B" w:rsidRPr="00E77A73">
        <w:rPr>
          <w:rStyle w:val="FootnoteReference"/>
          <w:kern w:val="16"/>
          <w:szCs w:val="30"/>
          <w:rtl/>
        </w:rPr>
        <w:footnoteReference w:id="8"/>
      </w:r>
      <w:r w:rsidR="00D6389B" w:rsidRPr="00E77A73">
        <w:rPr>
          <w:w w:val="100"/>
          <w:kern w:val="16"/>
          <w:vertAlign w:val="superscript"/>
          <w:rtl/>
          <w:lang w:bidi="ar-EG"/>
        </w:rPr>
        <w:t>)</w:t>
      </w:r>
      <w:r w:rsidR="00E85FC1" w:rsidRPr="00E77A73">
        <w:rPr>
          <w:rFonts w:hint="cs"/>
          <w:w w:val="100"/>
          <w:kern w:val="16"/>
          <w:rtl/>
          <w:lang w:bidi="ar-EG"/>
        </w:rPr>
        <w:t xml:space="preserve">. </w:t>
      </w:r>
      <w:r w:rsidR="00E85FC1" w:rsidRPr="00E77A73">
        <w:rPr>
          <w:rFonts w:hint="cs"/>
          <w:w w:val="100"/>
          <w:rtl/>
          <w:lang w:eastAsia="ar-SA" w:bidi="ar-EG"/>
        </w:rPr>
        <w:t>وتؤكد صاحبة البلاغ كذلك أن النساء الصماوات، لا سيما الفتيات، يواجهن وضعاً صعباً في المجتمع الفلبيني لأنهن لا يلقين نفس المعاملة التي يُعامل بها الرجال (المصابون بإعاقة أو غير المصابين بها، بما في ذلك الص</w:t>
      </w:r>
      <w:r w:rsidRPr="00E77A73">
        <w:rPr>
          <w:rFonts w:hint="cs"/>
          <w:w w:val="100"/>
          <w:rtl/>
          <w:lang w:eastAsia="ar-SA" w:bidi="ar-EG"/>
        </w:rPr>
        <w:t>م</w:t>
      </w:r>
      <w:r w:rsidR="00E85FC1" w:rsidRPr="00E77A73">
        <w:rPr>
          <w:rFonts w:hint="cs"/>
          <w:w w:val="100"/>
          <w:rtl/>
          <w:lang w:eastAsia="ar-SA" w:bidi="ar-EG"/>
        </w:rPr>
        <w:t>م)، والنساء (المصابات بإعاقة أو غير المصابات بها، باستثناء الصماوات). إضافة إلى ذلك، تعاني عادة النساء والفتيات الصماوات، اللاتي يتعرضن للعنف الجنسي، من الفقر وانعدام فرص حصولهن على التعليم الرسمي. و</w:t>
      </w:r>
      <w:r w:rsidRPr="00E77A73">
        <w:rPr>
          <w:rFonts w:hint="cs"/>
          <w:w w:val="100"/>
          <w:rtl/>
          <w:lang w:eastAsia="ar-SA" w:bidi="ar-EG"/>
        </w:rPr>
        <w:t xml:space="preserve">قد </w:t>
      </w:r>
      <w:r w:rsidR="00E85FC1" w:rsidRPr="00E77A73">
        <w:rPr>
          <w:rFonts w:hint="cs"/>
          <w:w w:val="100"/>
          <w:rtl/>
          <w:lang w:eastAsia="ar-SA" w:bidi="ar-EG"/>
        </w:rPr>
        <w:t xml:space="preserve">تجاهلت المحكمة الحقائق التي أقرت بها الدول الأطراف في اتفاقية </w:t>
      </w:r>
      <w:r w:rsidRPr="00E77A73">
        <w:rPr>
          <w:rFonts w:hint="cs"/>
          <w:w w:val="100"/>
          <w:rtl/>
          <w:lang w:eastAsia="ar-SA" w:bidi="ar-EG"/>
        </w:rPr>
        <w:t xml:space="preserve">حقوق الأشخاص ذوي الإعاقة </w:t>
      </w:r>
      <w:r w:rsidR="00E85FC1" w:rsidRPr="00E77A73">
        <w:rPr>
          <w:rFonts w:hint="cs"/>
          <w:w w:val="100"/>
          <w:rtl/>
          <w:lang w:eastAsia="ar-SA" w:bidi="ar-EG"/>
        </w:rPr>
        <w:t xml:space="preserve">بأن </w:t>
      </w:r>
      <w:r w:rsidR="00991DAD">
        <w:rPr>
          <w:rFonts w:hint="cs"/>
          <w:w w:val="100"/>
          <w:rtl/>
          <w:lang w:eastAsia="ar-SA" w:bidi="ar-EG"/>
        </w:rPr>
        <w:t>”</w:t>
      </w:r>
      <w:r w:rsidR="00E85FC1" w:rsidRPr="00E77A73">
        <w:rPr>
          <w:w w:val="100"/>
          <w:rtl/>
          <w:lang w:eastAsia="ar-SA" w:bidi="ar-EG"/>
        </w:rPr>
        <w:t>النساء والفتيات ذوات الإعاقة غالباً ما يواجهن خطراً أكبر في التعرض</w:t>
      </w:r>
      <w:r w:rsidRPr="00E77A73">
        <w:rPr>
          <w:rFonts w:hint="cs"/>
          <w:w w:val="100"/>
          <w:rtl/>
          <w:lang w:eastAsia="ar-SA" w:bidi="ar-EG"/>
        </w:rPr>
        <w:t xml:space="preserve"> </w:t>
      </w:r>
      <w:r w:rsidR="00E85FC1" w:rsidRPr="00E77A73">
        <w:rPr>
          <w:w w:val="100"/>
          <w:rtl/>
          <w:lang w:eastAsia="ar-SA" w:bidi="ar-EG"/>
        </w:rPr>
        <w:t>داخل المنـزل وخارجه للعنف أو الإصابة أو الاعتداء</w:t>
      </w:r>
      <w:r w:rsidRPr="00E77A73">
        <w:rPr>
          <w:rFonts w:hint="cs"/>
          <w:w w:val="100"/>
          <w:rtl/>
          <w:lang w:eastAsia="ar-SA" w:bidi="ar-EG"/>
        </w:rPr>
        <w:t xml:space="preserve"> </w:t>
      </w:r>
      <w:r w:rsidR="00E85FC1" w:rsidRPr="00E77A73">
        <w:rPr>
          <w:w w:val="100"/>
          <w:rtl/>
          <w:lang w:eastAsia="ar-SA" w:bidi="ar-EG"/>
        </w:rPr>
        <w:t>والإهمال أو المعاملة غير اللائقة</w:t>
      </w:r>
      <w:r w:rsidRPr="00E77A73">
        <w:rPr>
          <w:rFonts w:hint="cs"/>
          <w:w w:val="100"/>
          <w:rtl/>
          <w:lang w:eastAsia="ar-SA" w:bidi="ar-EG"/>
        </w:rPr>
        <w:t xml:space="preserve"> و</w:t>
      </w:r>
      <w:r w:rsidR="00E85FC1" w:rsidRPr="00E77A73">
        <w:rPr>
          <w:w w:val="100"/>
          <w:rtl/>
          <w:lang w:eastAsia="ar-SA" w:bidi="ar-EG"/>
        </w:rPr>
        <w:t>سوء المعاملة أو الاستغلال</w:t>
      </w:r>
      <w:r w:rsidR="00991DAD">
        <w:rPr>
          <w:rFonts w:hint="cs"/>
          <w:w w:val="100"/>
          <w:rtl/>
          <w:lang w:eastAsia="ar-SA" w:bidi="ar-EG"/>
        </w:rPr>
        <w:t>“</w:t>
      </w:r>
      <w:r w:rsidRPr="00E77A73">
        <w:rPr>
          <w:w w:val="100"/>
          <w:vertAlign w:val="superscript"/>
          <w:rtl/>
          <w:lang w:eastAsia="ar-SA" w:bidi="ar-EG"/>
        </w:rPr>
        <w:t>(</w:t>
      </w:r>
      <w:r w:rsidRPr="00E77A73">
        <w:rPr>
          <w:rStyle w:val="FootnoteReference"/>
          <w:szCs w:val="30"/>
          <w:rtl/>
          <w:lang w:eastAsia="ar-SA"/>
        </w:rPr>
        <w:footnoteReference w:id="9"/>
      </w:r>
      <w:r w:rsidRPr="00E77A73">
        <w:rPr>
          <w:w w:val="100"/>
          <w:vertAlign w:val="superscript"/>
          <w:rtl/>
          <w:lang w:eastAsia="ar-SA" w:bidi="ar-EG"/>
        </w:rPr>
        <w:t>)</w:t>
      </w:r>
      <w:r w:rsidR="00E85FC1" w:rsidRPr="00E77A73">
        <w:rPr>
          <w:rFonts w:hint="cs"/>
          <w:w w:val="100"/>
          <w:rtl/>
          <w:lang w:eastAsia="ar-SA" w:bidi="ar-EG"/>
        </w:rPr>
        <w:t xml:space="preserve">. </w:t>
      </w:r>
      <w:r w:rsidR="007C4D57">
        <w:rPr>
          <w:rFonts w:hint="cs"/>
          <w:w w:val="100"/>
          <w:rtl/>
          <w:lang w:eastAsia="ar-SA" w:bidi="ar-EG"/>
        </w:rPr>
        <w:t xml:space="preserve">إضافة إلى أن النساء والفتيات ذوات الإعاقة </w:t>
      </w:r>
      <w:r w:rsidR="00991DAD">
        <w:rPr>
          <w:rFonts w:hint="cs"/>
          <w:w w:val="100"/>
          <w:rtl/>
          <w:lang w:eastAsia="ar-SA" w:bidi="ar-EG"/>
        </w:rPr>
        <w:t>”</w:t>
      </w:r>
      <w:r w:rsidR="00E85FC1" w:rsidRPr="00E77A73">
        <w:rPr>
          <w:rFonts w:hint="cs"/>
          <w:w w:val="100"/>
          <w:rtl/>
          <w:lang w:eastAsia="ar-SA" w:bidi="ar-EG"/>
        </w:rPr>
        <w:t>يتعرضن لأشكال متعددة من التمييز</w:t>
      </w:r>
      <w:r w:rsidR="00991DAD">
        <w:rPr>
          <w:rFonts w:hint="cs"/>
          <w:w w:val="100"/>
          <w:rtl/>
          <w:lang w:eastAsia="ar-SA" w:bidi="ar-EG"/>
        </w:rPr>
        <w:t>“</w:t>
      </w:r>
      <w:r w:rsidRPr="00E77A73">
        <w:rPr>
          <w:w w:val="100"/>
          <w:vertAlign w:val="superscript"/>
          <w:rtl/>
          <w:lang w:eastAsia="ar-SA" w:bidi="ar-EG"/>
        </w:rPr>
        <w:t>(</w:t>
      </w:r>
      <w:r w:rsidRPr="00E77A73">
        <w:rPr>
          <w:rStyle w:val="FootnoteReference"/>
          <w:szCs w:val="30"/>
          <w:rtl/>
          <w:lang w:eastAsia="ar-SA"/>
        </w:rPr>
        <w:footnoteReference w:id="10"/>
      </w:r>
      <w:r w:rsidRPr="00E77A73">
        <w:rPr>
          <w:w w:val="100"/>
          <w:vertAlign w:val="superscript"/>
          <w:rtl/>
          <w:lang w:eastAsia="ar-SA" w:bidi="ar-EG"/>
        </w:rPr>
        <w:t>)</w:t>
      </w:r>
      <w:r w:rsidRPr="00E77A73">
        <w:rPr>
          <w:rFonts w:hint="cs"/>
          <w:w w:val="100"/>
          <w:rtl/>
          <w:lang w:eastAsia="ar-SA" w:bidi="ar-EG"/>
        </w:rPr>
        <w:t>. وبصفة خاصة، فإن</w:t>
      </w:r>
      <w:r w:rsidRPr="00E77A73">
        <w:rPr>
          <w:rFonts w:hint="eastAsia"/>
          <w:w w:val="100"/>
          <w:rtl/>
          <w:lang w:eastAsia="ar-SA" w:bidi="ar-EG"/>
        </w:rPr>
        <w:t> </w:t>
      </w:r>
      <w:r w:rsidR="00E85FC1" w:rsidRPr="00E77A73">
        <w:rPr>
          <w:rFonts w:hint="cs"/>
          <w:w w:val="100"/>
          <w:rtl/>
          <w:lang w:eastAsia="ar-SA" w:bidi="ar-EG"/>
        </w:rPr>
        <w:t xml:space="preserve">المحكمة بقولها إن كون صاحبة البلاغ </w:t>
      </w:r>
      <w:r w:rsidR="00991DAD">
        <w:rPr>
          <w:rFonts w:hint="cs"/>
          <w:w w:val="100"/>
          <w:rtl/>
          <w:lang w:eastAsia="ar-SA" w:bidi="ar-EG"/>
        </w:rPr>
        <w:t>”</w:t>
      </w:r>
      <w:r w:rsidR="00E85FC1" w:rsidRPr="00E77A73">
        <w:rPr>
          <w:rFonts w:hint="cs"/>
          <w:w w:val="100"/>
          <w:rtl/>
          <w:lang w:eastAsia="ar-SA" w:bidi="ar-EG"/>
        </w:rPr>
        <w:t>صماء بكماء لا يعني عجزها عن إثارة الضوضاء [أو ..] مقاومة الاعتداء</w:t>
      </w:r>
      <w:r w:rsidR="00991DAD">
        <w:rPr>
          <w:rFonts w:hint="cs"/>
          <w:w w:val="100"/>
          <w:rtl/>
          <w:lang w:eastAsia="ar-SA" w:bidi="ar-EG"/>
        </w:rPr>
        <w:t>“</w:t>
      </w:r>
      <w:r w:rsidR="00E85FC1" w:rsidRPr="00E77A73">
        <w:rPr>
          <w:rFonts w:hint="cs"/>
          <w:w w:val="100"/>
          <w:rtl/>
          <w:lang w:eastAsia="ar-SA" w:bidi="ar-EG"/>
        </w:rPr>
        <w:t xml:space="preserve">، لا تكون قد تجاهلت فحسب الدليل الذي قدمته صاحبة البلاغ بأنها أثارت ضوضاء وأبدت معارضتها لمحاولات التودد الجنسية، ولكنها برهنت أيضاً على التمييز بتوقعها </w:t>
      </w:r>
      <w:r w:rsidRPr="00E77A73">
        <w:rPr>
          <w:rFonts w:hint="cs"/>
          <w:w w:val="100"/>
          <w:rtl/>
          <w:lang w:eastAsia="ar-SA" w:bidi="ar-EG"/>
        </w:rPr>
        <w:t xml:space="preserve">صدور استجابة معتادة من </w:t>
      </w:r>
      <w:r w:rsidR="00E85FC1" w:rsidRPr="00E77A73">
        <w:rPr>
          <w:rFonts w:hint="cs"/>
          <w:w w:val="100"/>
          <w:rtl/>
          <w:lang w:eastAsia="ar-SA" w:bidi="ar-EG"/>
        </w:rPr>
        <w:t>فتاة صماء قاصر. وتؤكد صاحبة البلاغ أن البيان الصادر عن المحكمة يقلل من شأن حالتها التي تنطوي على صعوبة خاصة ويحرمها من الترتيبات التيسيرية المعقولة</w:t>
      </w:r>
      <w:r w:rsidRPr="00E77A73">
        <w:rPr>
          <w:w w:val="100"/>
          <w:vertAlign w:val="superscript"/>
          <w:rtl/>
          <w:lang w:eastAsia="ar-SA" w:bidi="ar-EG"/>
        </w:rPr>
        <w:t>(</w:t>
      </w:r>
      <w:r w:rsidRPr="00E77A73">
        <w:rPr>
          <w:rStyle w:val="FootnoteReference"/>
          <w:szCs w:val="30"/>
          <w:rtl/>
          <w:lang w:eastAsia="ar-SA"/>
        </w:rPr>
        <w:footnoteReference w:id="11"/>
      </w:r>
      <w:r w:rsidRPr="00E77A73">
        <w:rPr>
          <w:w w:val="100"/>
          <w:vertAlign w:val="superscript"/>
          <w:rtl/>
          <w:lang w:eastAsia="ar-SA" w:bidi="ar-EG"/>
        </w:rPr>
        <w:t>)</w:t>
      </w:r>
      <w:r w:rsidRPr="00E77A73">
        <w:rPr>
          <w:rFonts w:hint="cs"/>
          <w:w w:val="100"/>
          <w:vertAlign w:val="superscript"/>
          <w:rtl/>
          <w:lang w:eastAsia="ar-SA" w:bidi="ar-EG"/>
        </w:rPr>
        <w:t xml:space="preserve"> </w:t>
      </w:r>
      <w:r w:rsidR="00E85FC1" w:rsidRPr="00E77A73">
        <w:rPr>
          <w:rFonts w:hint="cs"/>
          <w:w w:val="100"/>
          <w:rtl/>
          <w:lang w:eastAsia="ar-SA" w:bidi="ar-EG"/>
        </w:rPr>
        <w:t xml:space="preserve">التي لا تخضعها لذات المعايير المطبقة على </w:t>
      </w:r>
      <w:r w:rsidRPr="00E77A73">
        <w:rPr>
          <w:rFonts w:hint="cs"/>
          <w:w w:val="100"/>
          <w:rtl/>
          <w:lang w:eastAsia="ar-SA" w:bidi="ar-EG"/>
        </w:rPr>
        <w:t>المتمتعين بأسماعهم</w:t>
      </w:r>
      <w:r w:rsidR="00E85FC1" w:rsidRPr="00E77A73">
        <w:rPr>
          <w:rFonts w:hint="cs"/>
          <w:w w:val="100"/>
          <w:rtl/>
          <w:lang w:eastAsia="ar-SA" w:bidi="ar-EG"/>
        </w:rPr>
        <w:t>. وتمثل تلك المعايير، المطبقة في حالات العنف الجنسي، قوالب نمطية جنسانية وتنطوي على تمييز ضد المرأة.</w:t>
      </w:r>
    </w:p>
    <w:p w:rsidR="00E85FC1" w:rsidRPr="002A3F64" w:rsidRDefault="00E85FC1" w:rsidP="00E77A73">
      <w:pPr>
        <w:pStyle w:val="SingleTxt"/>
        <w:tabs>
          <w:tab w:val="right" w:pos="3567"/>
        </w:tabs>
        <w:rPr>
          <w:rFonts w:hint="cs"/>
          <w:rtl/>
          <w:lang w:eastAsia="ar-SA" w:bidi="ar-EG"/>
        </w:rPr>
      </w:pPr>
      <w:r w:rsidRPr="002A3F64">
        <w:rPr>
          <w:rFonts w:hint="cs"/>
          <w:rtl/>
          <w:lang w:eastAsia="ar-SA" w:bidi="ar-EG"/>
        </w:rPr>
        <w:t>3-9</w:t>
      </w:r>
      <w:r w:rsidRPr="002A3F64">
        <w:rPr>
          <w:rFonts w:hint="cs"/>
          <w:rtl/>
          <w:lang w:eastAsia="ar-SA" w:bidi="ar-EG"/>
        </w:rPr>
        <w:tab/>
        <w:t xml:space="preserve">وتدعي صاحبة البلاغ أن هناك أوجه قصور ومخالفات هامة أخرى شابت التحقيق الذي أجرته الشرطة وتنطوي على تمييز. فأولاً، لم تُوفر لها ترجمة بلغة الإشارة أثناء التحقيق الذي أجرته الشرطة وخلال عدد من جلسات الاستماع التي عقدتها المحكمة، بما في ذلك خلال النطق بالحكم، في انتهاك للبند 1 من المادة الثالثة من </w:t>
      </w:r>
      <w:r w:rsidR="00D25542">
        <w:rPr>
          <w:rFonts w:hint="cs"/>
          <w:rtl/>
          <w:lang w:eastAsia="ar-SA" w:bidi="ar-EG"/>
        </w:rPr>
        <w:t>دستور الفلبين</w:t>
      </w:r>
      <w:r w:rsidRPr="002A3F64">
        <w:rPr>
          <w:rFonts w:hint="cs"/>
          <w:rtl/>
          <w:lang w:eastAsia="ar-SA" w:bidi="ar-EG"/>
        </w:rPr>
        <w:t xml:space="preserve"> لعام 1987</w:t>
      </w:r>
      <w:r w:rsidR="00D25542" w:rsidRPr="00D25542">
        <w:rPr>
          <w:vertAlign w:val="superscript"/>
          <w:rtl/>
          <w:lang w:eastAsia="ar-SA" w:bidi="ar-EG"/>
        </w:rPr>
        <w:t>(</w:t>
      </w:r>
      <w:r w:rsidR="00D25542" w:rsidRPr="00D25542">
        <w:rPr>
          <w:rStyle w:val="FootnoteReference"/>
          <w:szCs w:val="30"/>
          <w:rtl/>
          <w:lang w:eastAsia="ar-SA"/>
        </w:rPr>
        <w:footnoteReference w:id="12"/>
      </w:r>
      <w:r w:rsidR="00D25542" w:rsidRPr="00D25542">
        <w:rPr>
          <w:vertAlign w:val="superscript"/>
          <w:rtl/>
          <w:lang w:eastAsia="ar-SA" w:bidi="ar-EG"/>
        </w:rPr>
        <w:t>)</w:t>
      </w:r>
      <w:r w:rsidRPr="002A3F64">
        <w:rPr>
          <w:rFonts w:hint="cs"/>
          <w:rtl/>
          <w:lang w:eastAsia="ar-SA" w:bidi="ar-EG"/>
        </w:rPr>
        <w:t>، والفقرة (ب) من المادة 21 من اتفاقية حقوق الأشخاص ذوي الإعاقة</w:t>
      </w:r>
      <w:r w:rsidR="00D25542" w:rsidRPr="00D25542">
        <w:rPr>
          <w:vertAlign w:val="superscript"/>
          <w:rtl/>
          <w:lang w:eastAsia="ar-SA" w:bidi="ar-EG"/>
        </w:rPr>
        <w:t>(</w:t>
      </w:r>
      <w:r w:rsidR="00D25542" w:rsidRPr="00D25542">
        <w:rPr>
          <w:rStyle w:val="FootnoteReference"/>
          <w:szCs w:val="30"/>
          <w:rtl/>
          <w:lang w:eastAsia="ar-SA"/>
        </w:rPr>
        <w:footnoteReference w:id="13"/>
      </w:r>
      <w:r w:rsidR="00D25542" w:rsidRPr="00D25542">
        <w:rPr>
          <w:vertAlign w:val="superscript"/>
          <w:rtl/>
          <w:lang w:eastAsia="ar-SA" w:bidi="ar-EG"/>
        </w:rPr>
        <w:t>)</w:t>
      </w:r>
      <w:r w:rsidRPr="002A3F64">
        <w:rPr>
          <w:rFonts w:hint="cs"/>
          <w:rtl/>
          <w:lang w:eastAsia="ar-SA" w:bidi="ar-EG"/>
        </w:rPr>
        <w:t>، فلم يحضر مترجم بلغة الإشارة و/أو مترجم ترجمة سمعية إلا خلال جلستي الاستماع يومي 19</w:t>
      </w:r>
      <w:r w:rsidRPr="002A3F64">
        <w:rPr>
          <w:rFonts w:hint="eastAsia"/>
          <w:rtl/>
          <w:lang w:eastAsia="ar-SA" w:bidi="ar-EG"/>
        </w:rPr>
        <w:t> </w:t>
      </w:r>
      <w:r w:rsidRPr="002A3F64">
        <w:rPr>
          <w:rFonts w:hint="cs"/>
          <w:rtl/>
          <w:lang w:eastAsia="ar-SA" w:bidi="ar-EG"/>
        </w:rPr>
        <w:t>آب/ أغسطس</w:t>
      </w:r>
      <w:r w:rsidRPr="002A3F64">
        <w:rPr>
          <w:rFonts w:hint="eastAsia"/>
          <w:rtl/>
          <w:lang w:eastAsia="ar-SA" w:bidi="ar-EG"/>
        </w:rPr>
        <w:t> </w:t>
      </w:r>
      <w:r w:rsidRPr="002A3F64">
        <w:rPr>
          <w:rFonts w:hint="cs"/>
          <w:rtl/>
          <w:lang w:eastAsia="ar-SA" w:bidi="ar-EG"/>
        </w:rPr>
        <w:t xml:space="preserve">2008 و1 نيسان/أبريل 2009. وتزعم صاحبة البلاغ أن المحكمة </w:t>
      </w:r>
      <w:r w:rsidR="00E77A73">
        <w:rPr>
          <w:rFonts w:hint="cs"/>
          <w:rtl/>
          <w:lang w:eastAsia="ar-SA" w:bidi="ar-EG"/>
        </w:rPr>
        <w:t xml:space="preserve">لم </w:t>
      </w:r>
      <w:r w:rsidRPr="002A3F64">
        <w:rPr>
          <w:rFonts w:hint="cs"/>
          <w:rtl/>
          <w:lang w:eastAsia="ar-SA" w:bidi="ar-EG"/>
        </w:rPr>
        <w:t xml:space="preserve">تتدخل رسمياً في استقدام مترجمين شفويين كي يتولوا ترجمة إجراءات الدعوى، </w:t>
      </w:r>
      <w:r w:rsidR="00E77A73">
        <w:rPr>
          <w:rFonts w:hint="cs"/>
          <w:rtl/>
          <w:lang w:eastAsia="ar-SA" w:bidi="ar-EG"/>
        </w:rPr>
        <w:t xml:space="preserve">أو تولت </w:t>
      </w:r>
      <w:r w:rsidRPr="002A3F64">
        <w:rPr>
          <w:rFonts w:hint="cs"/>
          <w:rtl/>
          <w:lang w:eastAsia="ar-SA" w:bidi="ar-EG"/>
        </w:rPr>
        <w:t>استدعاءهم. و</w:t>
      </w:r>
      <w:r w:rsidR="00E77A73">
        <w:rPr>
          <w:rFonts w:hint="cs"/>
          <w:rtl/>
          <w:lang w:eastAsia="ar-SA" w:bidi="ar-EG"/>
        </w:rPr>
        <w:t xml:space="preserve">أن </w:t>
      </w:r>
      <w:r w:rsidRPr="002A3F64">
        <w:rPr>
          <w:rFonts w:hint="cs"/>
          <w:rtl/>
          <w:lang w:eastAsia="ar-SA" w:bidi="ar-EG"/>
        </w:rPr>
        <w:t xml:space="preserve">المترجم الشفوي </w:t>
      </w:r>
      <w:r w:rsidR="00E77A73">
        <w:rPr>
          <w:rFonts w:hint="cs"/>
          <w:rtl/>
          <w:lang w:eastAsia="ar-SA" w:bidi="ar-EG"/>
        </w:rPr>
        <w:t xml:space="preserve">لم يكن يحضر </w:t>
      </w:r>
      <w:r w:rsidRPr="002A3F64">
        <w:rPr>
          <w:rFonts w:hint="cs"/>
          <w:rtl/>
          <w:lang w:eastAsia="ar-SA" w:bidi="ar-EG"/>
        </w:rPr>
        <w:t xml:space="preserve">جلسة الاستماع إلا إذا اتصلت به أسرة صاحبة البلاغ أو </w:t>
      </w:r>
      <w:r w:rsidR="00E77A73">
        <w:rPr>
          <w:rFonts w:hint="cs"/>
          <w:rtl/>
          <w:lang w:eastAsia="ar-SA" w:bidi="ar-EG"/>
        </w:rPr>
        <w:t xml:space="preserve">تصادف </w:t>
      </w:r>
      <w:r w:rsidRPr="002A3F64">
        <w:rPr>
          <w:rFonts w:hint="cs"/>
          <w:rtl/>
          <w:lang w:eastAsia="ar-SA" w:bidi="ar-EG"/>
        </w:rPr>
        <w:t>إبلاغه في المحكمة بموعد الجلسة المقبلة. ولم تحضر المترجمة الشفوية الجلسة التي شهدت النطق بالبراءة، حيث لم تبلغها أسرة صاحبة البلاغ</w:t>
      </w:r>
      <w:r w:rsidR="00E77A73" w:rsidRPr="00E77A73">
        <w:rPr>
          <w:rFonts w:hint="cs"/>
          <w:rtl/>
          <w:lang w:eastAsia="ar-SA" w:bidi="ar-EG"/>
        </w:rPr>
        <w:t xml:space="preserve"> </w:t>
      </w:r>
      <w:r w:rsidR="00E77A73" w:rsidRPr="002A3F64">
        <w:rPr>
          <w:rFonts w:hint="cs"/>
          <w:rtl/>
          <w:lang w:eastAsia="ar-SA" w:bidi="ar-EG"/>
        </w:rPr>
        <w:t>بالموعد</w:t>
      </w:r>
      <w:r w:rsidRPr="002A3F64">
        <w:rPr>
          <w:rFonts w:hint="cs"/>
          <w:rtl/>
          <w:lang w:eastAsia="ar-SA" w:bidi="ar-EG"/>
        </w:rPr>
        <w:t xml:space="preserve"> إلا في غضون فترة وجيزة. وتحتج صاحبة البلاغ كذلك بأنه لدى إدلائها بالشهادة، لم تُدرج عملية </w:t>
      </w:r>
      <w:r w:rsidR="00E77A73">
        <w:rPr>
          <w:rFonts w:hint="cs"/>
          <w:rtl/>
          <w:lang w:eastAsia="ar-SA" w:bidi="ar-EG"/>
        </w:rPr>
        <w:t xml:space="preserve">التخاطب </w:t>
      </w:r>
      <w:r w:rsidRPr="002A3F64">
        <w:rPr>
          <w:rFonts w:hint="cs"/>
          <w:rtl/>
          <w:lang w:eastAsia="ar-SA" w:bidi="ar-EG"/>
        </w:rPr>
        <w:t xml:space="preserve">بينها وبين المترجمين الشفويين بكاملها في محضر الجلسة، ولم تتخذ المحكمة التدابير الضرورية التي تكفل دقة ذلك </w:t>
      </w:r>
      <w:r w:rsidR="00E77A73">
        <w:rPr>
          <w:rFonts w:hint="cs"/>
          <w:rtl/>
          <w:lang w:eastAsia="ar-SA" w:bidi="ar-EG"/>
        </w:rPr>
        <w:t>التخاطب</w:t>
      </w:r>
      <w:r w:rsidRPr="002A3F64">
        <w:rPr>
          <w:rFonts w:hint="cs"/>
          <w:rtl/>
          <w:lang w:eastAsia="ar-SA" w:bidi="ar-EG"/>
        </w:rPr>
        <w:t>. وإضافة إلى ذلك، صدق على محضر الجلسة الم</w:t>
      </w:r>
      <w:r w:rsidR="00E77A73">
        <w:rPr>
          <w:rFonts w:hint="cs"/>
          <w:rtl/>
          <w:lang w:eastAsia="ar-SA" w:bidi="ar-EG"/>
        </w:rPr>
        <w:t>ُ</w:t>
      </w:r>
      <w:r w:rsidRPr="002A3F64">
        <w:rPr>
          <w:rFonts w:hint="cs"/>
          <w:rtl/>
          <w:lang w:eastAsia="ar-SA" w:bidi="ar-EG"/>
        </w:rPr>
        <w:t>ختز</w:t>
      </w:r>
      <w:r w:rsidR="00E77A73">
        <w:rPr>
          <w:rFonts w:hint="cs"/>
          <w:rtl/>
          <w:lang w:eastAsia="ar-SA" w:bidi="ar-EG"/>
        </w:rPr>
        <w:t>ِ</w:t>
      </w:r>
      <w:r w:rsidRPr="002A3F64">
        <w:rPr>
          <w:rFonts w:hint="cs"/>
          <w:rtl/>
          <w:lang w:eastAsia="ar-SA" w:bidi="ar-EG"/>
        </w:rPr>
        <w:t xml:space="preserve">ل </w:t>
      </w:r>
      <w:r w:rsidR="00E77A73">
        <w:rPr>
          <w:rFonts w:hint="cs"/>
          <w:rtl/>
          <w:lang w:eastAsia="ar-SA" w:bidi="ar-EG"/>
        </w:rPr>
        <w:t xml:space="preserve">التابع للمحكمة </w:t>
      </w:r>
      <w:r w:rsidRPr="002A3F64">
        <w:rPr>
          <w:rFonts w:hint="cs"/>
          <w:rtl/>
          <w:lang w:eastAsia="ar-SA" w:bidi="ar-EG"/>
        </w:rPr>
        <w:t xml:space="preserve">فحسب </w:t>
      </w:r>
      <w:r w:rsidR="00E77A73">
        <w:rPr>
          <w:rFonts w:hint="cs"/>
          <w:rtl/>
          <w:lang w:eastAsia="ar-SA" w:bidi="ar-EG"/>
        </w:rPr>
        <w:t xml:space="preserve">ولم يصدق عليه </w:t>
      </w:r>
      <w:r w:rsidRPr="002A3F64">
        <w:rPr>
          <w:rFonts w:hint="cs"/>
          <w:rtl/>
          <w:lang w:eastAsia="ar-SA" w:bidi="ar-EG"/>
        </w:rPr>
        <w:t>مترجم شفوي رسمي بلغة الإشارة.</w:t>
      </w:r>
    </w:p>
    <w:p w:rsidR="00E85FC1" w:rsidRPr="002A3F64" w:rsidRDefault="00E85FC1" w:rsidP="00E77A73">
      <w:pPr>
        <w:pStyle w:val="SingleTxt"/>
        <w:rPr>
          <w:rFonts w:hint="cs"/>
          <w:rtl/>
          <w:lang w:eastAsia="ar-SA" w:bidi="ar-EG"/>
        </w:rPr>
      </w:pPr>
      <w:r w:rsidRPr="002A3F64">
        <w:rPr>
          <w:rFonts w:hint="cs"/>
          <w:rtl/>
          <w:lang w:eastAsia="ar-SA" w:bidi="ar-EG"/>
        </w:rPr>
        <w:t>3-10</w:t>
      </w:r>
      <w:r w:rsidRPr="002A3F64">
        <w:rPr>
          <w:rFonts w:hint="cs"/>
          <w:rtl/>
          <w:lang w:eastAsia="ar-SA" w:bidi="ar-EG"/>
        </w:rPr>
        <w:tab/>
      </w:r>
      <w:r w:rsidR="00E77A73">
        <w:rPr>
          <w:rFonts w:hint="cs"/>
          <w:rtl/>
          <w:lang w:eastAsia="ar-SA" w:bidi="ar-EG"/>
        </w:rPr>
        <w:t>و</w:t>
      </w:r>
      <w:r w:rsidRPr="002A3F64">
        <w:rPr>
          <w:rFonts w:hint="cs"/>
          <w:rtl/>
          <w:lang w:eastAsia="ar-SA" w:bidi="ar-EG"/>
        </w:rPr>
        <w:t xml:space="preserve">ثانياً، أخفقت سلطات الدولة الطرف في توفير الخدمات النفسية - الاجتماعية، من قبيل المشورة أو العلاج، وتدابير </w:t>
      </w:r>
      <w:r w:rsidR="00E77A73">
        <w:rPr>
          <w:rFonts w:hint="cs"/>
          <w:rtl/>
          <w:lang w:eastAsia="ar-SA" w:bidi="ar-EG"/>
        </w:rPr>
        <w:t>ال</w:t>
      </w:r>
      <w:r w:rsidRPr="002A3F64">
        <w:rPr>
          <w:rFonts w:hint="cs"/>
          <w:rtl/>
          <w:lang w:eastAsia="ar-SA" w:bidi="ar-EG"/>
        </w:rPr>
        <w:t xml:space="preserve">حماية </w:t>
      </w:r>
      <w:r w:rsidR="00E77A73">
        <w:rPr>
          <w:rFonts w:hint="cs"/>
          <w:rtl/>
          <w:lang w:eastAsia="ar-SA" w:bidi="ar-EG"/>
        </w:rPr>
        <w:t>ل</w:t>
      </w:r>
      <w:r w:rsidRPr="002A3F64">
        <w:rPr>
          <w:rFonts w:hint="cs"/>
          <w:rtl/>
          <w:lang w:eastAsia="ar-SA" w:bidi="ar-EG"/>
        </w:rPr>
        <w:t>صاحبة البلاغ بوصفها ضحية، وهي أمور بالغة الأهمية في شفائها وتعافيها، في انتهاك للمادة 16 من اتفاقية حقوق الأشخاص ذوي الإعاقة</w:t>
      </w:r>
      <w:r w:rsidR="00E77A73" w:rsidRPr="00E77A73">
        <w:rPr>
          <w:vertAlign w:val="superscript"/>
          <w:rtl/>
          <w:lang w:eastAsia="ar-SA" w:bidi="ar-EG"/>
        </w:rPr>
        <w:t>(</w:t>
      </w:r>
      <w:r w:rsidR="00E77A73" w:rsidRPr="00E77A73">
        <w:rPr>
          <w:rStyle w:val="FootnoteReference"/>
          <w:szCs w:val="30"/>
          <w:rtl/>
          <w:lang w:eastAsia="ar-SA"/>
        </w:rPr>
        <w:footnoteReference w:id="14"/>
      </w:r>
      <w:r w:rsidR="00E77A73" w:rsidRPr="00E77A73">
        <w:rPr>
          <w:vertAlign w:val="superscript"/>
          <w:rtl/>
          <w:lang w:eastAsia="ar-SA" w:bidi="ar-EG"/>
        </w:rPr>
        <w:t>)</w:t>
      </w:r>
      <w:r w:rsidRPr="002A3F64">
        <w:rPr>
          <w:rFonts w:hint="cs"/>
          <w:rtl/>
          <w:lang w:eastAsia="ar-SA" w:bidi="ar-EG"/>
        </w:rPr>
        <w:t xml:space="preserve">، والقانون </w:t>
      </w:r>
      <w:r w:rsidR="00E77A73">
        <w:rPr>
          <w:rFonts w:hint="cs"/>
          <w:rtl/>
          <w:lang w:eastAsia="ar-SA" w:bidi="ar-EG"/>
        </w:rPr>
        <w:t>الوطني</w:t>
      </w:r>
      <w:r w:rsidR="00E77A73" w:rsidRPr="00E77A73">
        <w:rPr>
          <w:vertAlign w:val="superscript"/>
          <w:rtl/>
          <w:lang w:eastAsia="ar-SA" w:bidi="ar-EG"/>
        </w:rPr>
        <w:t>(</w:t>
      </w:r>
      <w:r w:rsidR="00E77A73" w:rsidRPr="00E77A73">
        <w:rPr>
          <w:rStyle w:val="FootnoteReference"/>
          <w:szCs w:val="30"/>
          <w:rtl/>
          <w:lang w:eastAsia="ar-SA"/>
        </w:rPr>
        <w:footnoteReference w:id="15"/>
      </w:r>
      <w:r w:rsidR="00E77A73" w:rsidRPr="00E77A73">
        <w:rPr>
          <w:vertAlign w:val="superscript"/>
          <w:rtl/>
          <w:lang w:eastAsia="ar-SA" w:bidi="ar-EG"/>
        </w:rPr>
        <w:t>)</w:t>
      </w:r>
      <w:r w:rsidRPr="002A3F64">
        <w:rPr>
          <w:rFonts w:hint="cs"/>
          <w:rtl/>
          <w:lang w:eastAsia="ar-SA" w:bidi="ar-EG"/>
        </w:rPr>
        <w:t>.</w:t>
      </w:r>
    </w:p>
    <w:p w:rsidR="00E85FC1" w:rsidRPr="002A3F64" w:rsidRDefault="00E85FC1" w:rsidP="00E77A73">
      <w:pPr>
        <w:pStyle w:val="SingleTxt"/>
        <w:rPr>
          <w:rFonts w:hint="cs"/>
          <w:spacing w:val="-2"/>
          <w:rtl/>
          <w:lang w:eastAsia="ar-SA" w:bidi="ar-EG"/>
        </w:rPr>
      </w:pPr>
      <w:r w:rsidRPr="002A3F64">
        <w:rPr>
          <w:rFonts w:hint="cs"/>
          <w:spacing w:val="-2"/>
          <w:rtl/>
          <w:lang w:eastAsia="ar-SA" w:bidi="ar-EG"/>
        </w:rPr>
        <w:t>3-11</w:t>
      </w:r>
      <w:r w:rsidRPr="002A3F64">
        <w:rPr>
          <w:rFonts w:hint="cs"/>
          <w:spacing w:val="-2"/>
          <w:rtl/>
          <w:lang w:eastAsia="ar-SA" w:bidi="ar-EG"/>
        </w:rPr>
        <w:tab/>
      </w:r>
      <w:r w:rsidR="00E77A73">
        <w:rPr>
          <w:rFonts w:hint="cs"/>
          <w:spacing w:val="-2"/>
          <w:rtl/>
          <w:lang w:eastAsia="ar-SA" w:bidi="ar-EG"/>
        </w:rPr>
        <w:t>و</w:t>
      </w:r>
      <w:r w:rsidRPr="002A3F64">
        <w:rPr>
          <w:rFonts w:hint="cs"/>
          <w:spacing w:val="-2"/>
          <w:rtl/>
          <w:lang w:eastAsia="ar-SA" w:bidi="ar-EG"/>
        </w:rPr>
        <w:t xml:space="preserve">ثالثاً، تؤكد صاحبة البلاغ أن المحكمة لم تراع </w:t>
      </w:r>
      <w:r w:rsidR="00E77A73">
        <w:rPr>
          <w:rFonts w:hint="cs"/>
          <w:spacing w:val="-2"/>
          <w:rtl/>
          <w:lang w:eastAsia="ar-SA" w:bidi="ar-EG"/>
        </w:rPr>
        <w:t xml:space="preserve">مطلقاً </w:t>
      </w:r>
      <w:r w:rsidRPr="002A3F64">
        <w:rPr>
          <w:rFonts w:hint="cs"/>
          <w:spacing w:val="-2"/>
          <w:rtl/>
          <w:lang w:eastAsia="ar-SA" w:bidi="ar-EG"/>
        </w:rPr>
        <w:t xml:space="preserve">كونها صماء. ومن ثم، كانت </w:t>
      </w:r>
      <w:r w:rsidR="00E77A73">
        <w:rPr>
          <w:rFonts w:hint="cs"/>
          <w:spacing w:val="-2"/>
          <w:rtl/>
          <w:lang w:eastAsia="ar-SA" w:bidi="ar-EG"/>
        </w:rPr>
        <w:t xml:space="preserve">تُدرج </w:t>
      </w:r>
      <w:r w:rsidRPr="002A3F64">
        <w:rPr>
          <w:rFonts w:hint="cs"/>
          <w:spacing w:val="-2"/>
          <w:rtl/>
          <w:lang w:eastAsia="ar-SA" w:bidi="ar-EG"/>
        </w:rPr>
        <w:t xml:space="preserve">قضيتها </w:t>
      </w:r>
      <w:r w:rsidR="00E77A73">
        <w:rPr>
          <w:rFonts w:hint="cs"/>
          <w:spacing w:val="-2"/>
          <w:rtl/>
          <w:lang w:eastAsia="ar-SA" w:bidi="ar-EG"/>
        </w:rPr>
        <w:t xml:space="preserve">باعتبارها </w:t>
      </w:r>
      <w:r w:rsidRPr="002A3F64">
        <w:rPr>
          <w:rFonts w:hint="cs"/>
          <w:spacing w:val="-2"/>
          <w:rtl/>
          <w:lang w:eastAsia="ar-SA" w:bidi="ar-EG"/>
        </w:rPr>
        <w:t xml:space="preserve">القضية الأخيرة التي </w:t>
      </w:r>
      <w:r w:rsidR="00E77A73">
        <w:rPr>
          <w:rFonts w:hint="cs"/>
          <w:spacing w:val="-2"/>
          <w:rtl/>
          <w:lang w:eastAsia="ar-SA" w:bidi="ar-EG"/>
        </w:rPr>
        <w:t xml:space="preserve">تنظر </w:t>
      </w:r>
      <w:r w:rsidRPr="002A3F64">
        <w:rPr>
          <w:rFonts w:hint="cs"/>
          <w:spacing w:val="-2"/>
          <w:rtl/>
          <w:lang w:eastAsia="ar-SA" w:bidi="ar-EG"/>
        </w:rPr>
        <w:t xml:space="preserve">فيها ضمن القضايا التي </w:t>
      </w:r>
      <w:r w:rsidR="00E77A73">
        <w:rPr>
          <w:rFonts w:hint="cs"/>
          <w:spacing w:val="-2"/>
          <w:rtl/>
          <w:lang w:eastAsia="ar-SA" w:bidi="ar-EG"/>
        </w:rPr>
        <w:t xml:space="preserve">كانت تقرر نظرها خلال </w:t>
      </w:r>
      <w:r w:rsidRPr="002A3F64">
        <w:rPr>
          <w:rFonts w:hint="cs"/>
          <w:spacing w:val="-2"/>
          <w:rtl/>
          <w:lang w:eastAsia="ar-SA" w:bidi="ar-EG"/>
        </w:rPr>
        <w:t xml:space="preserve">اليوم، مما اضطرها إلى الانتظار </w:t>
      </w:r>
      <w:r w:rsidRPr="00C662D9">
        <w:rPr>
          <w:rFonts w:hint="cs"/>
          <w:rtl/>
          <w:lang w:eastAsia="ar-SA" w:bidi="ar-EG"/>
        </w:rPr>
        <w:t>ساعات</w:t>
      </w:r>
      <w:r w:rsidRPr="002A3F64">
        <w:rPr>
          <w:rFonts w:hint="cs"/>
          <w:spacing w:val="-2"/>
          <w:rtl/>
          <w:lang w:eastAsia="ar-SA" w:bidi="ar-EG"/>
        </w:rPr>
        <w:t xml:space="preserve"> طوال في حضور المتهم. وفي ظروف من هذا القبيل، يكون الوقت المتاح لجلسات </w:t>
      </w:r>
      <w:r w:rsidRPr="00C662D9">
        <w:rPr>
          <w:rFonts w:hint="cs"/>
          <w:rtl/>
          <w:lang w:eastAsia="ar-SA" w:bidi="ar-EG"/>
        </w:rPr>
        <w:t>الاستماع</w:t>
      </w:r>
      <w:r w:rsidRPr="002A3F64">
        <w:rPr>
          <w:rFonts w:hint="cs"/>
          <w:spacing w:val="-2"/>
          <w:rtl/>
          <w:lang w:eastAsia="ar-SA" w:bidi="ar-EG"/>
        </w:rPr>
        <w:t xml:space="preserve"> قصيراً جداً، ومن ثم </w:t>
      </w:r>
      <w:r w:rsidR="00E77A73">
        <w:rPr>
          <w:rFonts w:hint="cs"/>
          <w:spacing w:val="-2"/>
          <w:rtl/>
          <w:lang w:eastAsia="ar-SA" w:bidi="ar-EG"/>
        </w:rPr>
        <w:t xml:space="preserve">تُرجأ </w:t>
      </w:r>
      <w:r w:rsidRPr="002A3F64">
        <w:rPr>
          <w:rFonts w:hint="cs"/>
          <w:spacing w:val="-2"/>
          <w:rtl/>
          <w:lang w:eastAsia="ar-SA" w:bidi="ar-EG"/>
        </w:rPr>
        <w:t>تلك الجلسات في أغلب الأحيان. وقد أسهم ذلك إلى حد كبير في تأخر الإجراءات التي استغرقت ما يزيد على خمس سنوات، رغم أن من قدم إفادات في المحكمة هم صاحبة البلاغ وأمها والمتهم فقط</w:t>
      </w:r>
      <w:r w:rsidR="00E77A73" w:rsidRPr="00E77A73">
        <w:rPr>
          <w:spacing w:val="-2"/>
          <w:vertAlign w:val="superscript"/>
          <w:rtl/>
          <w:lang w:eastAsia="ar-SA" w:bidi="ar-EG"/>
        </w:rPr>
        <w:t>(</w:t>
      </w:r>
      <w:r w:rsidR="00E77A73" w:rsidRPr="00E77A73">
        <w:rPr>
          <w:rStyle w:val="FootnoteReference"/>
          <w:szCs w:val="30"/>
          <w:rtl/>
          <w:lang w:eastAsia="ar-SA"/>
        </w:rPr>
        <w:footnoteReference w:id="16"/>
      </w:r>
      <w:r w:rsidR="00E77A73" w:rsidRPr="00E77A73">
        <w:rPr>
          <w:spacing w:val="-2"/>
          <w:vertAlign w:val="superscript"/>
          <w:rtl/>
          <w:lang w:eastAsia="ar-SA" w:bidi="ar-EG"/>
        </w:rPr>
        <w:t>)</w:t>
      </w:r>
      <w:r w:rsidRPr="002A3F64">
        <w:rPr>
          <w:rFonts w:hint="cs"/>
          <w:spacing w:val="-2"/>
          <w:rtl/>
          <w:lang w:eastAsia="ar-SA" w:bidi="ar-EG"/>
        </w:rPr>
        <w:t>.</w:t>
      </w:r>
    </w:p>
    <w:p w:rsidR="00E85FC1" w:rsidRPr="002A3F64" w:rsidRDefault="00E85FC1" w:rsidP="00991DAD">
      <w:pPr>
        <w:pStyle w:val="SingleTxt"/>
        <w:rPr>
          <w:rFonts w:hint="cs"/>
          <w:spacing w:val="-1"/>
          <w:rtl/>
          <w:lang w:bidi="ar-EG"/>
        </w:rPr>
      </w:pPr>
      <w:r w:rsidRPr="002A3F64">
        <w:rPr>
          <w:rFonts w:hint="cs"/>
          <w:spacing w:val="-1"/>
          <w:rtl/>
          <w:lang w:eastAsia="ar-SA" w:bidi="ar-EG"/>
        </w:rPr>
        <w:t>3-12</w:t>
      </w:r>
      <w:r w:rsidRPr="002A3F64">
        <w:rPr>
          <w:rFonts w:hint="cs"/>
          <w:spacing w:val="-1"/>
          <w:rtl/>
          <w:lang w:eastAsia="ar-SA" w:bidi="ar-EG"/>
        </w:rPr>
        <w:tab/>
        <w:t xml:space="preserve">وتزعم صاحبة البلاغ كذلك أن الانتهاكات المذكورة آنفاً لحقوقها أثرت </w:t>
      </w:r>
      <w:r w:rsidR="00E77A73">
        <w:rPr>
          <w:rFonts w:hint="cs"/>
          <w:spacing w:val="-1"/>
          <w:rtl/>
          <w:lang w:eastAsia="ar-SA" w:bidi="ar-EG"/>
        </w:rPr>
        <w:t xml:space="preserve">عليها </w:t>
      </w:r>
      <w:r w:rsidRPr="002A3F64">
        <w:rPr>
          <w:rFonts w:hint="cs"/>
          <w:spacing w:val="-1"/>
          <w:rtl/>
          <w:lang w:eastAsia="ar-SA" w:bidi="ar-EG"/>
        </w:rPr>
        <w:t xml:space="preserve">سلباً. فلم تتلق، على وجه الخصوص، أي خدمات مشورة أو دعم من السلطات بعد الاغتصاب وخلال فترة </w:t>
      </w:r>
      <w:r w:rsidR="00E77A73">
        <w:rPr>
          <w:rFonts w:hint="cs"/>
          <w:spacing w:val="-1"/>
          <w:rtl/>
          <w:lang w:eastAsia="ar-SA" w:bidi="ar-EG"/>
        </w:rPr>
        <w:t xml:space="preserve">السنوات </w:t>
      </w:r>
      <w:r w:rsidRPr="002A3F64">
        <w:rPr>
          <w:rFonts w:hint="cs"/>
          <w:spacing w:val="-1"/>
          <w:rtl/>
          <w:lang w:eastAsia="ar-SA" w:bidi="ar-EG"/>
        </w:rPr>
        <w:t>الخمس التي استغرقتها إجراءات المحكمة، رغم أن السلطات تزعم أن تلك الخدمات متاحة بموجب قانون مساعدة وحماية ضحايا الاغتصاب لعام</w:t>
      </w:r>
      <w:r w:rsidRPr="002A3F64">
        <w:rPr>
          <w:rFonts w:hint="eastAsia"/>
          <w:spacing w:val="-1"/>
          <w:rtl/>
          <w:lang w:eastAsia="ar-SA" w:bidi="ar-EG"/>
        </w:rPr>
        <w:t> </w:t>
      </w:r>
      <w:r w:rsidRPr="002A3F64">
        <w:rPr>
          <w:rFonts w:hint="cs"/>
          <w:spacing w:val="-1"/>
          <w:rtl/>
          <w:lang w:eastAsia="ar-SA" w:bidi="ar-EG"/>
        </w:rPr>
        <w:t xml:space="preserve">1998. </w:t>
      </w:r>
      <w:r w:rsidR="007C4D57">
        <w:rPr>
          <w:rFonts w:hint="cs"/>
          <w:spacing w:val="-1"/>
          <w:rtl/>
          <w:lang w:eastAsia="ar-SA" w:bidi="ar-EG"/>
        </w:rPr>
        <w:t xml:space="preserve">وتسبب </w:t>
      </w:r>
      <w:r w:rsidRPr="002A3F64">
        <w:rPr>
          <w:rFonts w:hint="cs"/>
          <w:spacing w:val="-1"/>
          <w:rtl/>
          <w:lang w:eastAsia="ar-SA" w:bidi="ar-EG"/>
        </w:rPr>
        <w:t xml:space="preserve">عدم تقديم الدعم النفسي </w:t>
      </w:r>
      <w:r w:rsidR="00E77A73">
        <w:rPr>
          <w:rFonts w:hint="cs"/>
          <w:spacing w:val="-1"/>
          <w:rtl/>
          <w:lang w:eastAsia="ar-SA" w:bidi="ar-EG"/>
        </w:rPr>
        <w:t xml:space="preserve">لها </w:t>
      </w:r>
      <w:r w:rsidR="007C4D57">
        <w:rPr>
          <w:rFonts w:hint="cs"/>
          <w:spacing w:val="-1"/>
          <w:rtl/>
          <w:lang w:eastAsia="ar-SA" w:bidi="ar-EG"/>
        </w:rPr>
        <w:t xml:space="preserve">في صعوبة تعايشها </w:t>
      </w:r>
      <w:r w:rsidRPr="002A3F64">
        <w:rPr>
          <w:rFonts w:hint="cs"/>
          <w:spacing w:val="-1"/>
          <w:rtl/>
          <w:lang w:eastAsia="ar-SA" w:bidi="ar-EG"/>
        </w:rPr>
        <w:t xml:space="preserve">مع تجربة تعرضها للإيذاء، بالنظر إلى شبابها وحالتها الاجتماعية - الاقتصادية. وبعد تعرضها للاغتصاب توقفت </w:t>
      </w:r>
      <w:r w:rsidR="00E77A73">
        <w:rPr>
          <w:rFonts w:hint="cs"/>
          <w:spacing w:val="-1"/>
          <w:rtl/>
          <w:lang w:eastAsia="ar-SA" w:bidi="ar-EG"/>
        </w:rPr>
        <w:t xml:space="preserve">على وجه الخصوص </w:t>
      </w:r>
      <w:r w:rsidRPr="002A3F64">
        <w:rPr>
          <w:rFonts w:hint="cs"/>
          <w:spacing w:val="-1"/>
          <w:rtl/>
          <w:lang w:eastAsia="ar-SA" w:bidi="ar-EG"/>
        </w:rPr>
        <w:t xml:space="preserve">عن الدراسة وحُولت بمساعدة من أختها إلى مدرسة كورينو الثانوية الواقعة بعيداً عن سكن والديها. وارتكبت صاحبة البلاغ في المدرسة أخطاء سلوكية وتعرضت للعقاب </w:t>
      </w:r>
      <w:r w:rsidR="00E77A73">
        <w:rPr>
          <w:rFonts w:hint="cs"/>
          <w:spacing w:val="-1"/>
          <w:rtl/>
          <w:lang w:eastAsia="ar-SA" w:bidi="ar-EG"/>
        </w:rPr>
        <w:t xml:space="preserve">عدة </w:t>
      </w:r>
      <w:r w:rsidRPr="002A3F64">
        <w:rPr>
          <w:rFonts w:hint="cs"/>
          <w:spacing w:val="-1"/>
          <w:rtl/>
          <w:lang w:eastAsia="ar-SA" w:bidi="ar-EG"/>
        </w:rPr>
        <w:t xml:space="preserve">مرات. ووصفت إحدى </w:t>
      </w:r>
      <w:r w:rsidR="00E77A73">
        <w:rPr>
          <w:rFonts w:hint="cs"/>
          <w:spacing w:val="-1"/>
          <w:rtl/>
          <w:lang w:eastAsia="ar-SA" w:bidi="ar-EG"/>
        </w:rPr>
        <w:t xml:space="preserve">معلمات المدرسة </w:t>
      </w:r>
      <w:r w:rsidRPr="002A3F64">
        <w:rPr>
          <w:rFonts w:hint="cs"/>
          <w:spacing w:val="-1"/>
          <w:rtl/>
          <w:lang w:eastAsia="ar-SA" w:bidi="ar-EG"/>
        </w:rPr>
        <w:t xml:space="preserve">سلوك صاحبة البلاغ </w:t>
      </w:r>
      <w:r w:rsidR="00E77A73">
        <w:rPr>
          <w:rFonts w:hint="cs"/>
          <w:spacing w:val="-1"/>
          <w:rtl/>
          <w:lang w:eastAsia="ar-SA" w:bidi="ar-EG"/>
        </w:rPr>
        <w:t>ب</w:t>
      </w:r>
      <w:r w:rsidRPr="002A3F64">
        <w:rPr>
          <w:rFonts w:hint="cs"/>
          <w:spacing w:val="-1"/>
          <w:rtl/>
          <w:lang w:eastAsia="ar-SA" w:bidi="ar-EG"/>
        </w:rPr>
        <w:t xml:space="preserve">أنه سلوك شخص يعاني </w:t>
      </w:r>
      <w:r w:rsidR="00991DAD">
        <w:rPr>
          <w:rFonts w:hint="cs"/>
          <w:spacing w:val="-1"/>
          <w:rtl/>
          <w:lang w:eastAsia="ar-SA" w:bidi="ar-EG"/>
        </w:rPr>
        <w:t>”</w:t>
      </w:r>
      <w:r w:rsidRPr="002A3F64">
        <w:rPr>
          <w:rFonts w:hint="cs"/>
          <w:spacing w:val="-1"/>
          <w:rtl/>
          <w:lang w:eastAsia="ar-SA" w:bidi="ar-EG"/>
        </w:rPr>
        <w:t>الاضطراب</w:t>
      </w:r>
      <w:r w:rsidR="00991DAD">
        <w:rPr>
          <w:rFonts w:hint="eastAsia"/>
          <w:spacing w:val="-1"/>
          <w:rtl/>
          <w:lang w:eastAsia="ar-SA" w:bidi="ar-EG"/>
        </w:rPr>
        <w:t>“</w:t>
      </w:r>
      <w:r w:rsidRPr="002A3F64">
        <w:rPr>
          <w:rFonts w:hint="cs"/>
          <w:spacing w:val="-1"/>
          <w:rtl/>
          <w:lang w:eastAsia="ar-SA" w:bidi="ar-EG"/>
        </w:rPr>
        <w:t xml:space="preserve"> وعزت ذلك إلى الاعتداء الجنسي؛ وارتأت أن ما</w:t>
      </w:r>
      <w:r w:rsidRPr="002A3F64">
        <w:rPr>
          <w:spacing w:val="-1"/>
          <w:rtl/>
          <w:lang w:eastAsia="ar-SA" w:bidi="ar-EG"/>
        </w:rPr>
        <w:t> </w:t>
      </w:r>
      <w:r w:rsidRPr="002A3F64">
        <w:rPr>
          <w:rFonts w:hint="cs"/>
          <w:spacing w:val="-1"/>
          <w:rtl/>
          <w:lang w:eastAsia="ar-SA" w:bidi="ar-EG"/>
        </w:rPr>
        <w:t xml:space="preserve">أبدته صاحبة البلاغ من تمرد وصعوبات في الانضباط وتحول بعد أن كانت طالبة هادئة وعلى خُلُق، آلية </w:t>
      </w:r>
      <w:r w:rsidR="00E77A73">
        <w:rPr>
          <w:rFonts w:hint="cs"/>
          <w:spacing w:val="-1"/>
          <w:rtl/>
          <w:lang w:eastAsia="ar-SA" w:bidi="ar-EG"/>
        </w:rPr>
        <w:t>ل</w:t>
      </w:r>
      <w:r w:rsidRPr="002A3F64">
        <w:rPr>
          <w:rFonts w:hint="cs"/>
          <w:spacing w:val="-1"/>
          <w:rtl/>
          <w:lang w:eastAsia="ar-SA" w:bidi="ar-EG"/>
        </w:rPr>
        <w:t xml:space="preserve">لتكيف مع صدمة الاغتصاب. وتزعم صاحبة البلاغ أن المشورة </w:t>
      </w:r>
      <w:r w:rsidRPr="00C662D9">
        <w:rPr>
          <w:rFonts w:hint="cs"/>
          <w:rtl/>
          <w:lang w:eastAsia="ar-SA" w:bidi="ar-EG"/>
        </w:rPr>
        <w:t>التوجيهية</w:t>
      </w:r>
      <w:r w:rsidRPr="002A3F64">
        <w:rPr>
          <w:rFonts w:hint="cs"/>
          <w:spacing w:val="-1"/>
          <w:rtl/>
          <w:lang w:eastAsia="ar-SA" w:bidi="ar-EG"/>
        </w:rPr>
        <w:t xml:space="preserve"> التي قُدمت إليها في المدرسة بعد الاغتصاب كانت غير كافية، لأنها معدة للأغلبية من الطالبات </w:t>
      </w:r>
      <w:r w:rsidR="00E77A73">
        <w:rPr>
          <w:rFonts w:hint="cs"/>
          <w:spacing w:val="-1"/>
          <w:rtl/>
          <w:lang w:eastAsia="ar-SA" w:bidi="ar-EG"/>
        </w:rPr>
        <w:t>المتمتعات ب</w:t>
      </w:r>
      <w:r w:rsidRPr="002A3F64">
        <w:rPr>
          <w:rFonts w:hint="cs"/>
          <w:spacing w:val="-1"/>
          <w:rtl/>
          <w:lang w:eastAsia="ar-SA" w:bidi="ar-EG"/>
        </w:rPr>
        <w:t>السمع. وعلاوة على ذلك، تواجه صاحبة البلاغ الإهانة اليومية المتمثلة في رؤية الجاني في الحي الذي تقطنه؛ فقد تعرضت للإيذاء وأصبحت محل الأقاويل والسخرية. وقد تأثرت أسرتها كثيراً</w:t>
      </w:r>
      <w:r w:rsidR="00E77A73">
        <w:rPr>
          <w:rFonts w:hint="cs"/>
          <w:spacing w:val="-1"/>
          <w:rtl/>
          <w:lang w:eastAsia="ar-SA" w:bidi="ar-EG"/>
        </w:rPr>
        <w:t xml:space="preserve"> و</w:t>
      </w:r>
      <w:r w:rsidRPr="002A3F64">
        <w:rPr>
          <w:rFonts w:hint="cs"/>
          <w:spacing w:val="-1"/>
          <w:rtl/>
          <w:lang w:eastAsia="ar-SA" w:bidi="ar-EG"/>
        </w:rPr>
        <w:t>خاصة أمها بحكم البراءة.</w:t>
      </w:r>
    </w:p>
    <w:p w:rsidR="00E85FC1" w:rsidRPr="002A3F64" w:rsidRDefault="00E85FC1" w:rsidP="00991DAD">
      <w:pPr>
        <w:pStyle w:val="SingleTxt"/>
        <w:rPr>
          <w:rFonts w:hint="cs"/>
          <w:rtl/>
          <w:lang w:eastAsia="ar-SA" w:bidi="ar-EG"/>
        </w:rPr>
      </w:pPr>
      <w:r w:rsidRPr="002A3F64">
        <w:rPr>
          <w:rFonts w:hint="cs"/>
          <w:rtl/>
          <w:lang w:eastAsia="ar-SA" w:bidi="ar-EG"/>
        </w:rPr>
        <w:t>3-13</w:t>
      </w:r>
      <w:r w:rsidRPr="002A3F64">
        <w:rPr>
          <w:rFonts w:hint="cs"/>
          <w:rtl/>
          <w:lang w:eastAsia="ar-SA" w:bidi="ar-EG"/>
        </w:rPr>
        <w:tab/>
        <w:t xml:space="preserve">وتؤكد صاحبة البلاغ أن قضيتها ليست قضية </w:t>
      </w:r>
      <w:r w:rsidR="00E77A73">
        <w:rPr>
          <w:rFonts w:hint="cs"/>
          <w:rtl/>
          <w:lang w:eastAsia="ar-SA" w:bidi="ar-EG"/>
        </w:rPr>
        <w:t xml:space="preserve">منعزلة وأنها تعبير عن </w:t>
      </w:r>
      <w:r w:rsidRPr="002A3F64">
        <w:rPr>
          <w:rFonts w:hint="cs"/>
          <w:rtl/>
          <w:lang w:eastAsia="ar-SA" w:bidi="ar-EG"/>
        </w:rPr>
        <w:t>تمييز منهجي. فقد جاء في التقديرات غير المنشورة عن عام</w:t>
      </w:r>
      <w:r w:rsidRPr="002A3F64">
        <w:rPr>
          <w:rtl/>
          <w:lang w:eastAsia="ar-SA" w:bidi="ar-EG"/>
        </w:rPr>
        <w:t> </w:t>
      </w:r>
      <w:r w:rsidRPr="002A3F64">
        <w:rPr>
          <w:rFonts w:hint="cs"/>
          <w:rtl/>
          <w:lang w:eastAsia="ar-SA" w:bidi="ar-EG"/>
        </w:rPr>
        <w:t xml:space="preserve">2011 التي أعدها مركز الفلبين لموارد </w:t>
      </w:r>
      <w:r w:rsidR="00E77A73">
        <w:rPr>
          <w:rFonts w:hint="cs"/>
          <w:rtl/>
          <w:lang w:eastAsia="ar-SA" w:bidi="ar-EG"/>
        </w:rPr>
        <w:t>ا</w:t>
      </w:r>
      <w:r w:rsidRPr="002A3F64">
        <w:rPr>
          <w:rFonts w:hint="cs"/>
          <w:rtl/>
          <w:lang w:eastAsia="ar-SA" w:bidi="ar-EG"/>
        </w:rPr>
        <w:t>لصم أن واحدة من بين كل ثلاث نساء صماوات تتعرض للاغتصاب، في</w:t>
      </w:r>
      <w:r w:rsidRPr="002A3F64">
        <w:rPr>
          <w:rFonts w:hint="eastAsia"/>
          <w:rtl/>
          <w:lang w:eastAsia="ar-SA" w:bidi="ar-EG"/>
        </w:rPr>
        <w:t> </w:t>
      </w:r>
      <w:r w:rsidRPr="002A3F64">
        <w:rPr>
          <w:rFonts w:hint="cs"/>
          <w:rtl/>
          <w:lang w:eastAsia="ar-SA" w:bidi="ar-EG"/>
        </w:rPr>
        <w:t>حين يتعرض ما</w:t>
      </w:r>
      <w:r w:rsidRPr="002A3F64">
        <w:rPr>
          <w:rtl/>
          <w:lang w:eastAsia="ar-SA" w:bidi="ar-EG"/>
        </w:rPr>
        <w:t> </w:t>
      </w:r>
      <w:r w:rsidRPr="002A3F64">
        <w:rPr>
          <w:rFonts w:hint="cs"/>
          <w:rtl/>
          <w:lang w:eastAsia="ar-SA" w:bidi="ar-EG"/>
        </w:rPr>
        <w:t>بين 65 و70 في المائة من الأطفال الصم للتحرش. ويستمر النظر في كثير من القضايا سنوات طوال ثم تُرفض أو</w:t>
      </w:r>
      <w:r w:rsidRPr="002A3F64">
        <w:rPr>
          <w:rtl/>
          <w:lang w:eastAsia="ar-SA" w:bidi="ar-EG"/>
        </w:rPr>
        <w:t> </w:t>
      </w:r>
      <w:r w:rsidRPr="002A3F64">
        <w:rPr>
          <w:rFonts w:hint="cs"/>
          <w:rtl/>
          <w:lang w:eastAsia="ar-SA" w:bidi="ar-EG"/>
        </w:rPr>
        <w:t>تنتهي بتسوية مالية. وتقول صاحبة البلاغ إنه ليست هناك سياسة شاملة في الفلبين ترمي إلى تعزيز مساواة الأشخاص الصم، خصوصاً النساء والفتيات، بغيرهم وتوفير إمكانية لجوئهم إلى القضاء. وعلاوة على ذلك، ليست هناك معايير أو</w:t>
      </w:r>
      <w:r w:rsidRPr="002A3F64">
        <w:rPr>
          <w:rtl/>
          <w:lang w:eastAsia="ar-SA" w:bidi="ar-EG"/>
        </w:rPr>
        <w:t> </w:t>
      </w:r>
      <w:r w:rsidRPr="002A3F64">
        <w:rPr>
          <w:rFonts w:hint="cs"/>
          <w:rtl/>
          <w:lang w:eastAsia="ar-SA" w:bidi="ar-EG"/>
        </w:rPr>
        <w:t xml:space="preserve">إجراءات كفيلة بتوفير الترجمة الشفوية، خاصة في قاعات المحاكم للمتقاضين الصم. وتحتج صاحبة البلاغ بأن غياب تلك المعايير والإجراءات يشكل تمييزاً وخطورة، </w:t>
      </w:r>
      <w:r w:rsidR="0066608D">
        <w:rPr>
          <w:rFonts w:hint="cs"/>
          <w:rtl/>
          <w:lang w:eastAsia="ar-SA" w:bidi="ar-EG"/>
        </w:rPr>
        <w:t xml:space="preserve">لأن </w:t>
      </w:r>
      <w:r w:rsidRPr="002A3F64">
        <w:rPr>
          <w:rFonts w:hint="cs"/>
          <w:rtl/>
          <w:lang w:eastAsia="ar-SA" w:bidi="ar-EG"/>
        </w:rPr>
        <w:t>الصم مستعملي لغة الإشارة و</w:t>
      </w:r>
      <w:r w:rsidR="0066608D">
        <w:rPr>
          <w:rFonts w:hint="cs"/>
          <w:rtl/>
          <w:lang w:eastAsia="ar-SA" w:bidi="ar-EG"/>
        </w:rPr>
        <w:t xml:space="preserve">ذوي السمع من </w:t>
      </w:r>
      <w:r w:rsidRPr="002A3F64">
        <w:rPr>
          <w:rFonts w:hint="cs"/>
          <w:rtl/>
          <w:lang w:eastAsia="ar-SA" w:bidi="ar-EG"/>
        </w:rPr>
        <w:t>غير مستعمليها لا</w:t>
      </w:r>
      <w:r w:rsidRPr="002A3F64">
        <w:rPr>
          <w:rtl/>
          <w:lang w:eastAsia="ar-SA" w:bidi="ar-EG"/>
        </w:rPr>
        <w:t> </w:t>
      </w:r>
      <w:r w:rsidRPr="002A3F64">
        <w:rPr>
          <w:rFonts w:hint="cs"/>
          <w:rtl/>
          <w:lang w:eastAsia="ar-SA" w:bidi="ar-EG"/>
        </w:rPr>
        <w:t>يعلمون مدى دقة وحياد الترجمة إلى لغة الإشارة والترجمة المسموعة. وتقول إنه ليس هناك سوى سياستين عن القضايا الضالع فيها أطراف أو</w:t>
      </w:r>
      <w:r w:rsidRPr="002A3F64">
        <w:rPr>
          <w:rtl/>
          <w:lang w:eastAsia="ar-SA" w:bidi="ar-EG"/>
        </w:rPr>
        <w:t> </w:t>
      </w:r>
      <w:r w:rsidRPr="002A3F64">
        <w:rPr>
          <w:rFonts w:hint="cs"/>
          <w:rtl/>
          <w:lang w:eastAsia="ar-SA" w:bidi="ar-EG"/>
        </w:rPr>
        <w:t>شهود صم، وهما مذكرة الأمر</w:t>
      </w:r>
      <w:r w:rsidRPr="002A3F64">
        <w:rPr>
          <w:rFonts w:hint="eastAsia"/>
          <w:rtl/>
          <w:lang w:eastAsia="ar-SA" w:bidi="ar-EG"/>
        </w:rPr>
        <w:t> </w:t>
      </w:r>
      <w:r w:rsidRPr="002A3F64">
        <w:rPr>
          <w:rFonts w:hint="cs"/>
          <w:rtl/>
          <w:lang w:eastAsia="ar-SA" w:bidi="ar-EG"/>
        </w:rPr>
        <w:t>رقم 59-2004 الصادر عن المحكمة العليا في 10 أيلول/سبتمبر 2004 والتعميم رقم 104-2007 الصادر عن مكتب مدير شؤون المحكمة العليا في 18 تشرين الأول/أكتوبر 2007، ويتناولان أساساً تعيين مترجمين بلغة الإشارة ولا</w:t>
      </w:r>
      <w:r w:rsidRPr="002A3F64">
        <w:rPr>
          <w:rtl/>
          <w:lang w:eastAsia="ar-SA" w:bidi="ar-EG"/>
        </w:rPr>
        <w:t> </w:t>
      </w:r>
      <w:r w:rsidRPr="002A3F64">
        <w:rPr>
          <w:rFonts w:hint="cs"/>
          <w:rtl/>
          <w:lang w:eastAsia="ar-SA" w:bidi="ar-EG"/>
        </w:rPr>
        <w:t xml:space="preserve">يعالجان الصعوبات في الترجمة بين اللغات المنطوقة ولغة الإشارة. وتحتج صاحبة البلاغ بأن هاتين السياستين </w:t>
      </w:r>
      <w:r w:rsidR="0066608D">
        <w:rPr>
          <w:rFonts w:hint="cs"/>
          <w:rtl/>
          <w:lang w:eastAsia="ar-SA" w:bidi="ar-EG"/>
        </w:rPr>
        <w:t xml:space="preserve">تنطويان على </w:t>
      </w:r>
      <w:r w:rsidRPr="002A3F64">
        <w:rPr>
          <w:rFonts w:hint="cs"/>
          <w:rtl/>
          <w:lang w:eastAsia="ar-SA" w:bidi="ar-EG"/>
        </w:rPr>
        <w:t>تمييز أيضاً</w:t>
      </w:r>
      <w:r w:rsidR="0066608D">
        <w:rPr>
          <w:rFonts w:hint="cs"/>
          <w:rtl/>
          <w:lang w:eastAsia="ar-SA" w:bidi="ar-EG"/>
        </w:rPr>
        <w:t xml:space="preserve"> لأنهما تستلزمان الترجمة فقط </w:t>
      </w:r>
      <w:r w:rsidRPr="002A3F64">
        <w:rPr>
          <w:rFonts w:hint="cs"/>
          <w:rtl/>
          <w:lang w:eastAsia="ar-SA" w:bidi="ar-EG"/>
        </w:rPr>
        <w:t xml:space="preserve">عندما يلزم فهم الشخص الأصم </w:t>
      </w:r>
      <w:r w:rsidR="00991DAD">
        <w:rPr>
          <w:rFonts w:hint="cs"/>
          <w:rtl/>
          <w:lang w:eastAsia="ar-SA" w:bidi="ar-EG"/>
        </w:rPr>
        <w:t>”</w:t>
      </w:r>
      <w:r w:rsidRPr="002A3F64">
        <w:rPr>
          <w:rFonts w:hint="cs"/>
          <w:rtl/>
          <w:lang w:eastAsia="ar-SA" w:bidi="ar-EG"/>
        </w:rPr>
        <w:t>بشكل كامل</w:t>
      </w:r>
      <w:r w:rsidR="00991DAD">
        <w:rPr>
          <w:rFonts w:hint="eastAsia"/>
          <w:rtl/>
          <w:lang w:eastAsia="ar-SA" w:bidi="ar-EG"/>
        </w:rPr>
        <w:t>“</w:t>
      </w:r>
      <w:r w:rsidRPr="002A3F64">
        <w:rPr>
          <w:rFonts w:hint="cs"/>
          <w:rtl/>
          <w:lang w:eastAsia="ar-SA" w:bidi="ar-EG"/>
        </w:rPr>
        <w:t>، مما</w:t>
      </w:r>
      <w:r w:rsidRPr="002A3F64">
        <w:rPr>
          <w:rtl/>
          <w:lang w:eastAsia="ar-SA" w:bidi="ar-EG"/>
        </w:rPr>
        <w:t> </w:t>
      </w:r>
      <w:r w:rsidRPr="002A3F64">
        <w:rPr>
          <w:rFonts w:hint="cs"/>
          <w:rtl/>
          <w:lang w:eastAsia="ar-SA" w:bidi="ar-EG"/>
        </w:rPr>
        <w:t>ينتهك الحق في الحصول على المعلومات، بما</w:t>
      </w:r>
      <w:r w:rsidRPr="002A3F64">
        <w:rPr>
          <w:rtl/>
          <w:lang w:eastAsia="ar-SA" w:bidi="ar-EG"/>
        </w:rPr>
        <w:t> </w:t>
      </w:r>
      <w:r w:rsidRPr="002A3F64">
        <w:rPr>
          <w:rFonts w:hint="cs"/>
          <w:rtl/>
          <w:lang w:eastAsia="ar-SA" w:bidi="ar-EG"/>
        </w:rPr>
        <w:t>في ذلك حق المرء في أن يَفهَم وأن يُفهَم</w:t>
      </w:r>
      <w:r w:rsidR="0066608D" w:rsidRPr="0066608D">
        <w:rPr>
          <w:vertAlign w:val="superscript"/>
          <w:rtl/>
          <w:lang w:eastAsia="ar-SA" w:bidi="ar-EG"/>
        </w:rPr>
        <w:t>(</w:t>
      </w:r>
      <w:r w:rsidR="0066608D" w:rsidRPr="0066608D">
        <w:rPr>
          <w:rStyle w:val="FootnoteReference"/>
          <w:szCs w:val="30"/>
          <w:rtl/>
          <w:lang w:eastAsia="ar-SA"/>
        </w:rPr>
        <w:footnoteReference w:id="17"/>
      </w:r>
      <w:r w:rsidR="0066608D" w:rsidRPr="0066608D">
        <w:rPr>
          <w:vertAlign w:val="superscript"/>
          <w:rtl/>
          <w:lang w:eastAsia="ar-SA" w:bidi="ar-EG"/>
        </w:rPr>
        <w:t>)</w:t>
      </w:r>
      <w:r w:rsidRPr="002A3F64">
        <w:rPr>
          <w:rFonts w:hint="cs"/>
          <w:rtl/>
          <w:lang w:eastAsia="ar-SA" w:bidi="ar-EG"/>
        </w:rPr>
        <w:t>.</w:t>
      </w:r>
    </w:p>
    <w:p w:rsidR="00E85FC1" w:rsidRPr="002A3F64" w:rsidRDefault="00E85FC1" w:rsidP="00991DAD">
      <w:pPr>
        <w:pStyle w:val="SingleTxt"/>
        <w:rPr>
          <w:rFonts w:hint="cs"/>
          <w:spacing w:val="-2"/>
          <w:rtl/>
          <w:lang w:eastAsia="ar-SA" w:bidi="ar-EG"/>
        </w:rPr>
      </w:pPr>
      <w:r w:rsidRPr="002A3F64">
        <w:rPr>
          <w:rFonts w:hint="cs"/>
          <w:spacing w:val="-2"/>
          <w:rtl/>
          <w:lang w:eastAsia="ar-SA" w:bidi="ar-EG"/>
        </w:rPr>
        <w:t>3-14</w:t>
      </w:r>
      <w:r w:rsidRPr="002A3F64">
        <w:rPr>
          <w:rFonts w:hint="cs"/>
          <w:spacing w:val="-2"/>
          <w:rtl/>
          <w:lang w:eastAsia="ar-SA" w:bidi="ar-EG"/>
        </w:rPr>
        <w:tab/>
        <w:t xml:space="preserve">وتؤكد صاحبة البلاغ أنه في ظل غياب أي سياسة رسمية </w:t>
      </w:r>
      <w:r w:rsidR="00023809">
        <w:rPr>
          <w:rFonts w:hint="cs"/>
          <w:spacing w:val="-2"/>
          <w:rtl/>
          <w:lang w:eastAsia="ar-SA" w:bidi="ar-EG"/>
        </w:rPr>
        <w:t xml:space="preserve">بشأن هذه </w:t>
      </w:r>
      <w:r w:rsidRPr="002A3F64">
        <w:rPr>
          <w:rFonts w:hint="cs"/>
          <w:spacing w:val="-2"/>
          <w:rtl/>
          <w:lang w:eastAsia="ar-SA" w:bidi="ar-EG"/>
        </w:rPr>
        <w:t xml:space="preserve">المسألة، فإن عبء معالجة احتياجات الضحايا الصم يقع على عاتق مركز الفلبين لموارد </w:t>
      </w:r>
      <w:r w:rsidR="00023809">
        <w:rPr>
          <w:rFonts w:hint="cs"/>
          <w:spacing w:val="-2"/>
          <w:rtl/>
          <w:lang w:eastAsia="ar-SA" w:bidi="ar-EG"/>
        </w:rPr>
        <w:t>ا</w:t>
      </w:r>
      <w:r w:rsidRPr="002A3F64">
        <w:rPr>
          <w:rFonts w:hint="cs"/>
          <w:spacing w:val="-2"/>
          <w:rtl/>
          <w:lang w:eastAsia="ar-SA" w:bidi="ar-EG"/>
        </w:rPr>
        <w:t>لصم، وهو منظمة غير حكومية تتولى جمع البيانات عن قضايا الصم، لا</w:t>
      </w:r>
      <w:r w:rsidRPr="002A3F64">
        <w:rPr>
          <w:spacing w:val="-2"/>
          <w:rtl/>
          <w:lang w:eastAsia="ar-SA" w:bidi="ar-EG"/>
        </w:rPr>
        <w:t> </w:t>
      </w:r>
      <w:r w:rsidRPr="002A3F64">
        <w:rPr>
          <w:rFonts w:hint="cs"/>
          <w:spacing w:val="-2"/>
          <w:rtl/>
          <w:lang w:eastAsia="ar-SA" w:bidi="ar-EG"/>
        </w:rPr>
        <w:t>سيما عن العنف الجنساني الذي تتعرض له النساء الصماوات. وفي</w:t>
      </w:r>
      <w:r w:rsidRPr="002A3F64">
        <w:rPr>
          <w:spacing w:val="-2"/>
          <w:rtl/>
          <w:lang w:eastAsia="ar-SA" w:bidi="ar-EG"/>
        </w:rPr>
        <w:t> </w:t>
      </w:r>
      <w:r w:rsidRPr="002A3F64">
        <w:rPr>
          <w:rFonts w:hint="cs"/>
          <w:spacing w:val="-2"/>
          <w:rtl/>
          <w:lang w:eastAsia="ar-SA" w:bidi="ar-EG"/>
        </w:rPr>
        <w:t xml:space="preserve">الفترة 2006-2010، وثَّق المركز </w:t>
      </w:r>
      <w:r w:rsidR="00023809">
        <w:rPr>
          <w:rFonts w:hint="cs"/>
          <w:spacing w:val="-2"/>
          <w:rtl/>
          <w:lang w:eastAsia="ar-SA" w:bidi="ar-EG"/>
        </w:rPr>
        <w:t xml:space="preserve">أكثر من </w:t>
      </w:r>
      <w:r w:rsidRPr="002A3F64">
        <w:rPr>
          <w:rFonts w:hint="cs"/>
          <w:spacing w:val="-2"/>
          <w:rtl/>
          <w:lang w:eastAsia="ar-SA" w:bidi="ar-EG"/>
        </w:rPr>
        <w:t>70 قضية يدخل فيها إما طرف أو</w:t>
      </w:r>
      <w:r w:rsidRPr="002A3F64">
        <w:rPr>
          <w:spacing w:val="-2"/>
          <w:rtl/>
          <w:lang w:eastAsia="ar-SA" w:bidi="ar-EG"/>
        </w:rPr>
        <w:t> </w:t>
      </w:r>
      <w:r w:rsidRPr="002A3F64">
        <w:rPr>
          <w:rFonts w:hint="cs"/>
          <w:spacing w:val="-2"/>
          <w:rtl/>
          <w:lang w:eastAsia="ar-SA" w:bidi="ar-EG"/>
        </w:rPr>
        <w:t xml:space="preserve">شاهد أصم، </w:t>
      </w:r>
      <w:r w:rsidR="007C4D57">
        <w:rPr>
          <w:rFonts w:hint="cs"/>
          <w:spacing w:val="-2"/>
          <w:rtl/>
          <w:lang w:eastAsia="ar-SA" w:bidi="ar-EG"/>
        </w:rPr>
        <w:t>و</w:t>
      </w:r>
      <w:r w:rsidRPr="002A3F64">
        <w:rPr>
          <w:rFonts w:hint="cs"/>
          <w:spacing w:val="-2"/>
          <w:rtl/>
          <w:lang w:eastAsia="ar-SA" w:bidi="ar-EG"/>
        </w:rPr>
        <w:t>في الفترة بين عامي</w:t>
      </w:r>
      <w:r w:rsidRPr="002A3F64">
        <w:rPr>
          <w:rFonts w:hint="eastAsia"/>
          <w:spacing w:val="-2"/>
          <w:rtl/>
          <w:lang w:eastAsia="ar-SA" w:bidi="ar-EG"/>
        </w:rPr>
        <w:t> </w:t>
      </w:r>
      <w:r w:rsidRPr="002A3F64">
        <w:rPr>
          <w:rFonts w:hint="cs"/>
          <w:spacing w:val="-2"/>
          <w:rtl/>
          <w:lang w:eastAsia="ar-SA" w:bidi="ar-EG"/>
        </w:rPr>
        <w:t>2006 و</w:t>
      </w:r>
      <w:r w:rsidR="007C4D57">
        <w:rPr>
          <w:rFonts w:hint="cs"/>
          <w:spacing w:val="-2"/>
          <w:rtl/>
          <w:lang w:eastAsia="ar-SA" w:bidi="ar-EG"/>
        </w:rPr>
        <w:t xml:space="preserve"> </w:t>
      </w:r>
      <w:r w:rsidRPr="002A3F64">
        <w:rPr>
          <w:rFonts w:hint="cs"/>
          <w:spacing w:val="-2"/>
          <w:rtl/>
          <w:lang w:eastAsia="ar-SA" w:bidi="ar-EG"/>
        </w:rPr>
        <w:t>2011 رصد وجود 80 قضية من تلك القضايا الموثقة، لم</w:t>
      </w:r>
      <w:r w:rsidRPr="002A3F64">
        <w:rPr>
          <w:spacing w:val="-2"/>
          <w:rtl/>
          <w:lang w:eastAsia="ar-SA" w:bidi="ar-EG"/>
        </w:rPr>
        <w:t> </w:t>
      </w:r>
      <w:r w:rsidRPr="002A3F64">
        <w:rPr>
          <w:rFonts w:hint="cs"/>
          <w:spacing w:val="-2"/>
          <w:rtl/>
          <w:lang w:eastAsia="ar-SA" w:bidi="ar-EG"/>
        </w:rPr>
        <w:t>يُوفَّر مترجمين شفويين إلا</w:t>
      </w:r>
      <w:r w:rsidRPr="002A3F64">
        <w:rPr>
          <w:spacing w:val="-2"/>
          <w:rtl/>
          <w:lang w:eastAsia="ar-SA" w:bidi="ar-EG"/>
        </w:rPr>
        <w:t> </w:t>
      </w:r>
      <w:r w:rsidRPr="002A3F64">
        <w:rPr>
          <w:rFonts w:hint="cs"/>
          <w:spacing w:val="-2"/>
          <w:rtl/>
          <w:lang w:eastAsia="ar-SA" w:bidi="ar-EG"/>
        </w:rPr>
        <w:t>في 28 قضية منها. وفي</w:t>
      </w:r>
      <w:r w:rsidRPr="002A3F64">
        <w:rPr>
          <w:spacing w:val="-2"/>
          <w:rtl/>
          <w:lang w:eastAsia="ar-SA" w:bidi="ar-EG"/>
        </w:rPr>
        <w:t> </w:t>
      </w:r>
      <w:r w:rsidRPr="002A3F64">
        <w:rPr>
          <w:rFonts w:hint="cs"/>
          <w:spacing w:val="-2"/>
          <w:rtl/>
          <w:lang w:eastAsia="ar-SA" w:bidi="ar-EG"/>
        </w:rPr>
        <w:t>القضايا التي يكون المشتكي فيها أصم، تكون نسبة</w:t>
      </w:r>
      <w:r w:rsidRPr="002A3F64">
        <w:rPr>
          <w:rFonts w:hint="eastAsia"/>
          <w:spacing w:val="-2"/>
          <w:rtl/>
          <w:lang w:eastAsia="ar-SA" w:bidi="ar-EG"/>
        </w:rPr>
        <w:t> </w:t>
      </w:r>
      <w:r w:rsidRPr="002A3F64">
        <w:rPr>
          <w:rFonts w:hint="cs"/>
          <w:spacing w:val="-2"/>
          <w:rtl/>
          <w:lang w:eastAsia="ar-SA" w:bidi="ar-EG"/>
        </w:rPr>
        <w:t xml:space="preserve">85 في المائة منها قضايا اغتصاب وحوالي 25 في المائة تتعلق بفتيات صماوات. وبعد ملاحظة وجود عدد من المشاكل في سير إجراءات المحاكمة التي </w:t>
      </w:r>
      <w:r w:rsidR="00023809">
        <w:rPr>
          <w:rFonts w:hint="cs"/>
          <w:spacing w:val="-2"/>
          <w:rtl/>
          <w:lang w:eastAsia="ar-SA" w:bidi="ar-EG"/>
        </w:rPr>
        <w:t xml:space="preserve">تكون متضمنة شخصا </w:t>
      </w:r>
      <w:r w:rsidRPr="002A3F64">
        <w:rPr>
          <w:rFonts w:hint="cs"/>
          <w:spacing w:val="-2"/>
          <w:rtl/>
          <w:lang w:eastAsia="ar-SA" w:bidi="ar-EG"/>
        </w:rPr>
        <w:t xml:space="preserve">أصم، </w:t>
      </w:r>
      <w:r w:rsidR="00023809">
        <w:rPr>
          <w:rFonts w:hint="cs"/>
          <w:spacing w:val="-2"/>
          <w:rtl/>
          <w:lang w:eastAsia="ar-SA" w:bidi="ar-EG"/>
        </w:rPr>
        <w:t xml:space="preserve">استهل </w:t>
      </w:r>
      <w:r w:rsidRPr="002A3F64">
        <w:rPr>
          <w:rFonts w:hint="cs"/>
          <w:spacing w:val="-2"/>
          <w:rtl/>
          <w:lang w:eastAsia="ar-SA" w:bidi="ar-EG"/>
        </w:rPr>
        <w:t xml:space="preserve">المركز مشروعاً لأنشطة الدعوة يستهدف اعتماد سياسة </w:t>
      </w:r>
      <w:r w:rsidR="00023809">
        <w:rPr>
          <w:rFonts w:hint="cs"/>
          <w:spacing w:val="-2"/>
          <w:rtl/>
          <w:lang w:eastAsia="ar-SA" w:bidi="ar-EG"/>
        </w:rPr>
        <w:t xml:space="preserve">عن </w:t>
      </w:r>
      <w:r w:rsidRPr="002A3F64">
        <w:rPr>
          <w:rFonts w:hint="cs"/>
          <w:spacing w:val="-2"/>
          <w:rtl/>
          <w:lang w:eastAsia="ar-SA" w:bidi="ar-EG"/>
        </w:rPr>
        <w:t xml:space="preserve">الترجمة بلغة الإشارة في المحاكم. وبوجه خاص، لاحظ المركز المشاكل التالية، </w:t>
      </w:r>
      <w:r w:rsidR="00023809">
        <w:rPr>
          <w:rFonts w:hint="cs"/>
          <w:spacing w:val="-2"/>
          <w:rtl/>
          <w:lang w:eastAsia="ar-SA" w:bidi="ar-EG"/>
        </w:rPr>
        <w:t xml:space="preserve">ولا سيما </w:t>
      </w:r>
      <w:r w:rsidRPr="002A3F64">
        <w:rPr>
          <w:rFonts w:hint="cs"/>
          <w:spacing w:val="-2"/>
          <w:rtl/>
          <w:lang w:eastAsia="ar-SA" w:bidi="ar-EG"/>
        </w:rPr>
        <w:t>فيما يتعلق بقضايا الاعتداء الجنسي على القصّر الصم في عمر 4 سنوات إلى 16 سنة، بما</w:t>
      </w:r>
      <w:r w:rsidRPr="002A3F64">
        <w:rPr>
          <w:spacing w:val="-2"/>
          <w:rtl/>
          <w:lang w:eastAsia="ar-SA" w:bidi="ar-EG"/>
        </w:rPr>
        <w:t> </w:t>
      </w:r>
      <w:r w:rsidRPr="002A3F64">
        <w:rPr>
          <w:rFonts w:hint="cs"/>
          <w:spacing w:val="-2"/>
          <w:rtl/>
          <w:lang w:eastAsia="ar-SA" w:bidi="ar-EG"/>
        </w:rPr>
        <w:t xml:space="preserve">في ذلك قضية صاحبة البلاغ، في شتى أرجاء البلد: </w:t>
      </w:r>
      <w:r w:rsidR="00023809">
        <w:rPr>
          <w:rFonts w:hint="cs"/>
          <w:spacing w:val="-2"/>
          <w:rtl/>
          <w:lang w:eastAsia="ar-SA" w:bidi="ar-EG"/>
        </w:rPr>
        <w:t xml:space="preserve">يوجد </w:t>
      </w:r>
      <w:r w:rsidRPr="002A3F64">
        <w:rPr>
          <w:rFonts w:hint="cs"/>
          <w:spacing w:val="-2"/>
          <w:rtl/>
          <w:lang w:eastAsia="ar-SA" w:bidi="ar-EG"/>
        </w:rPr>
        <w:t xml:space="preserve">كثير من المحاكم الابتدائية </w:t>
      </w:r>
      <w:r w:rsidR="00023809">
        <w:rPr>
          <w:rFonts w:hint="cs"/>
          <w:spacing w:val="-2"/>
          <w:rtl/>
          <w:lang w:eastAsia="ar-SA" w:bidi="ar-EG"/>
        </w:rPr>
        <w:t xml:space="preserve">على غير </w:t>
      </w:r>
      <w:r w:rsidRPr="002A3F64">
        <w:rPr>
          <w:rFonts w:hint="cs"/>
          <w:spacing w:val="-2"/>
          <w:rtl/>
          <w:lang w:eastAsia="ar-SA" w:bidi="ar-EG"/>
        </w:rPr>
        <w:t>علم بمذكرة الأمر رقم 59-2004 الصادر عن المحكمة العليا وبالتعميم رقم</w:t>
      </w:r>
      <w:r w:rsidRPr="002A3F64">
        <w:rPr>
          <w:rFonts w:hint="eastAsia"/>
          <w:spacing w:val="-2"/>
          <w:rtl/>
          <w:lang w:eastAsia="ar-SA" w:bidi="ar-EG"/>
        </w:rPr>
        <w:t> </w:t>
      </w:r>
      <w:r w:rsidRPr="002A3F64">
        <w:rPr>
          <w:rFonts w:hint="cs"/>
          <w:spacing w:val="-2"/>
          <w:rtl/>
          <w:lang w:eastAsia="ar-SA" w:bidi="ar-EG"/>
        </w:rPr>
        <w:t>104-2007؛ وهناك بعض المحاكم والوكالات لا</w:t>
      </w:r>
      <w:r w:rsidRPr="002A3F64">
        <w:rPr>
          <w:spacing w:val="-2"/>
          <w:rtl/>
          <w:lang w:eastAsia="ar-SA" w:bidi="ar-EG"/>
        </w:rPr>
        <w:t> </w:t>
      </w:r>
      <w:r w:rsidR="00023809">
        <w:rPr>
          <w:rFonts w:hint="cs"/>
          <w:spacing w:val="-2"/>
          <w:rtl/>
          <w:lang w:eastAsia="ar-SA" w:bidi="ar-EG"/>
        </w:rPr>
        <w:t>ي</w:t>
      </w:r>
      <w:r w:rsidRPr="002A3F64">
        <w:rPr>
          <w:rFonts w:hint="cs"/>
          <w:spacing w:val="-2"/>
          <w:rtl/>
          <w:lang w:eastAsia="ar-SA" w:bidi="ar-EG"/>
        </w:rPr>
        <w:t>سمح بتوفير ترجمة بلغة الإشارة للطرف الأصم في القضايا</w:t>
      </w:r>
      <w:r w:rsidR="00023809">
        <w:rPr>
          <w:rFonts w:hint="cs"/>
          <w:spacing w:val="-2"/>
          <w:rtl/>
          <w:lang w:eastAsia="ar-SA" w:bidi="ar-EG"/>
        </w:rPr>
        <w:t xml:space="preserve"> معتبراً </w:t>
      </w:r>
      <w:r w:rsidRPr="002A3F64">
        <w:rPr>
          <w:rFonts w:hint="cs"/>
          <w:spacing w:val="-2"/>
          <w:rtl/>
          <w:lang w:eastAsia="ar-SA" w:bidi="ar-EG"/>
        </w:rPr>
        <w:t xml:space="preserve">الترجمة بلغة الإشارة </w:t>
      </w:r>
      <w:r w:rsidR="00991DAD">
        <w:rPr>
          <w:rFonts w:hint="cs"/>
          <w:spacing w:val="-2"/>
          <w:rtl/>
          <w:lang w:eastAsia="ar-SA" w:bidi="ar-EG"/>
        </w:rPr>
        <w:t>”</w:t>
      </w:r>
      <w:r w:rsidRPr="002A3F64">
        <w:rPr>
          <w:rFonts w:hint="cs"/>
          <w:spacing w:val="-2"/>
          <w:rtl/>
          <w:lang w:eastAsia="ar-SA" w:bidi="ar-EG"/>
        </w:rPr>
        <w:t>غير</w:t>
      </w:r>
      <w:r w:rsidRPr="002A3F64">
        <w:rPr>
          <w:rFonts w:hint="eastAsia"/>
          <w:spacing w:val="-2"/>
          <w:rtl/>
          <w:lang w:eastAsia="ar-SA" w:bidi="ar-EG"/>
        </w:rPr>
        <w:t> </w:t>
      </w:r>
      <w:r w:rsidRPr="002A3F64">
        <w:rPr>
          <w:rFonts w:hint="cs"/>
          <w:spacing w:val="-2"/>
          <w:rtl/>
          <w:lang w:eastAsia="ar-SA" w:bidi="ar-EG"/>
        </w:rPr>
        <w:t>دقيقة</w:t>
      </w:r>
      <w:r w:rsidR="00991DAD">
        <w:rPr>
          <w:rFonts w:hint="eastAsia"/>
          <w:spacing w:val="-2"/>
          <w:rtl/>
          <w:lang w:eastAsia="ar-SA" w:bidi="ar-EG"/>
        </w:rPr>
        <w:t>“</w:t>
      </w:r>
      <w:r w:rsidRPr="002A3F64">
        <w:rPr>
          <w:rFonts w:hint="cs"/>
          <w:spacing w:val="-2"/>
          <w:rtl/>
          <w:lang w:eastAsia="ar-SA" w:bidi="ar-EG"/>
        </w:rPr>
        <w:t xml:space="preserve">؛ ويعتبر كثير من المحاكم أن توفير الترجمة بلغة الإشارة خدمة تُقدم إلى المتقاضين الصم الذين يتعين عليهم إيجاد مترجم ودفع تكاليف تلك الخدمة؛ </w:t>
      </w:r>
      <w:r w:rsidR="00023809">
        <w:rPr>
          <w:rFonts w:hint="cs"/>
          <w:spacing w:val="-2"/>
          <w:rtl/>
          <w:lang w:eastAsia="ar-SA" w:bidi="ar-EG"/>
        </w:rPr>
        <w:t xml:space="preserve">ولا يعترف </w:t>
      </w:r>
      <w:r w:rsidRPr="002A3F64">
        <w:rPr>
          <w:rFonts w:hint="cs"/>
          <w:spacing w:val="-2"/>
          <w:rtl/>
          <w:lang w:eastAsia="ar-SA" w:bidi="ar-EG"/>
        </w:rPr>
        <w:t>بعض المحاكم بالحاجة إلى مترجم بلغة الإشارة أو</w:t>
      </w:r>
      <w:r w:rsidRPr="002A3F64">
        <w:rPr>
          <w:spacing w:val="-2"/>
          <w:rtl/>
          <w:lang w:eastAsia="ar-SA" w:bidi="ar-EG"/>
        </w:rPr>
        <w:t> </w:t>
      </w:r>
      <w:r w:rsidRPr="002A3F64">
        <w:rPr>
          <w:rFonts w:hint="cs"/>
          <w:spacing w:val="-2"/>
          <w:rtl/>
          <w:lang w:eastAsia="ar-SA" w:bidi="ar-EG"/>
        </w:rPr>
        <w:t>مترجم ترجمة سمعية</w:t>
      </w:r>
      <w:r w:rsidR="00023809">
        <w:rPr>
          <w:rFonts w:hint="cs"/>
          <w:spacing w:val="-2"/>
          <w:rtl/>
          <w:lang w:eastAsia="ar-SA" w:bidi="ar-EG"/>
        </w:rPr>
        <w:t>،</w:t>
      </w:r>
      <w:r w:rsidRPr="002A3F64">
        <w:rPr>
          <w:rFonts w:hint="cs"/>
          <w:spacing w:val="-2"/>
          <w:rtl/>
          <w:lang w:eastAsia="ar-SA" w:bidi="ar-EG"/>
        </w:rPr>
        <w:t xml:space="preserve"> ولا</w:t>
      </w:r>
      <w:r w:rsidRPr="002A3F64">
        <w:rPr>
          <w:spacing w:val="-2"/>
          <w:rtl/>
          <w:lang w:eastAsia="ar-SA" w:bidi="ar-EG"/>
        </w:rPr>
        <w:t> </w:t>
      </w:r>
      <w:r w:rsidRPr="002A3F64">
        <w:rPr>
          <w:rFonts w:hint="cs"/>
          <w:spacing w:val="-2"/>
          <w:rtl/>
          <w:lang w:eastAsia="ar-SA" w:bidi="ar-EG"/>
        </w:rPr>
        <w:t>توجد قواعد للترجمة بلغة الإشارة في المراحل الأخرى من الدعاوى، من قبيل التحقيقات؛ وفي</w:t>
      </w:r>
      <w:r w:rsidRPr="002A3F64">
        <w:rPr>
          <w:spacing w:val="-2"/>
          <w:rtl/>
          <w:lang w:eastAsia="ar-SA" w:bidi="ar-EG"/>
        </w:rPr>
        <w:t> </w:t>
      </w:r>
      <w:r w:rsidRPr="002A3F64">
        <w:rPr>
          <w:rFonts w:hint="cs"/>
          <w:spacing w:val="-2"/>
          <w:rtl/>
          <w:lang w:eastAsia="ar-SA" w:bidi="ar-EG"/>
        </w:rPr>
        <w:t xml:space="preserve">ظل عدم توفير تدريب قانوني رسمي للمترجمين اللازمين للصم، فإن بعض المترجمين </w:t>
      </w:r>
      <w:r w:rsidR="00023809">
        <w:rPr>
          <w:rFonts w:hint="cs"/>
          <w:spacing w:val="-2"/>
          <w:rtl/>
          <w:lang w:eastAsia="ar-SA" w:bidi="ar-EG"/>
        </w:rPr>
        <w:t xml:space="preserve">لا يحوزون </w:t>
      </w:r>
      <w:r w:rsidRPr="002A3F64">
        <w:rPr>
          <w:rFonts w:hint="cs"/>
          <w:spacing w:val="-2"/>
          <w:rtl/>
          <w:lang w:eastAsia="ar-SA" w:bidi="ar-EG"/>
        </w:rPr>
        <w:t>ما</w:t>
      </w:r>
      <w:r w:rsidRPr="002A3F64">
        <w:rPr>
          <w:spacing w:val="-2"/>
          <w:rtl/>
          <w:lang w:eastAsia="ar-SA" w:bidi="ar-EG"/>
        </w:rPr>
        <w:t> </w:t>
      </w:r>
      <w:r w:rsidRPr="002A3F64">
        <w:rPr>
          <w:rFonts w:hint="cs"/>
          <w:spacing w:val="-2"/>
          <w:rtl/>
          <w:lang w:eastAsia="ar-SA" w:bidi="ar-EG"/>
        </w:rPr>
        <w:t>يكفي من المهارات.</w:t>
      </w:r>
    </w:p>
    <w:p w:rsidR="00E85FC1" w:rsidRPr="002A3F64" w:rsidRDefault="00E85FC1" w:rsidP="00802932">
      <w:pPr>
        <w:pStyle w:val="SingleTxt"/>
        <w:rPr>
          <w:rFonts w:hint="cs"/>
          <w:rtl/>
          <w:lang w:eastAsia="ar-SA" w:bidi="ar-EG"/>
        </w:rPr>
      </w:pPr>
      <w:r w:rsidRPr="002A3F64">
        <w:rPr>
          <w:rFonts w:hint="cs"/>
          <w:rtl/>
          <w:lang w:eastAsia="ar-SA" w:bidi="ar-EG"/>
        </w:rPr>
        <w:t>3-15</w:t>
      </w:r>
      <w:r w:rsidRPr="002A3F64">
        <w:rPr>
          <w:rFonts w:hint="cs"/>
          <w:rtl/>
          <w:lang w:eastAsia="ar-SA" w:bidi="ar-EG"/>
        </w:rPr>
        <w:tab/>
        <w:t>وتؤكد صاحبة البلاغ افتقار المهنيين الضالعين في إقامة العدل للمعارف والقدرات التي تتيح تناول قضايا النساء والأطفال ذوي الإعاقة، من قبيل ضحايا الاعتداء الجنسي الصم. وتزعم أن</w:t>
      </w:r>
      <w:r w:rsidR="00802932">
        <w:rPr>
          <w:rFonts w:hint="cs"/>
          <w:rtl/>
          <w:lang w:eastAsia="ar-SA" w:bidi="ar-EG"/>
        </w:rPr>
        <w:t xml:space="preserve">ه يتعين على </w:t>
      </w:r>
      <w:r w:rsidRPr="002A3F64">
        <w:rPr>
          <w:rFonts w:hint="cs"/>
          <w:rtl/>
          <w:lang w:eastAsia="ar-SA" w:bidi="ar-EG"/>
        </w:rPr>
        <w:t xml:space="preserve">السلطات </w:t>
      </w:r>
      <w:r w:rsidR="00802932">
        <w:rPr>
          <w:rFonts w:hint="cs"/>
          <w:rtl/>
          <w:lang w:eastAsia="ar-SA" w:bidi="ar-EG"/>
        </w:rPr>
        <w:t xml:space="preserve">الوطنية </w:t>
      </w:r>
      <w:r w:rsidRPr="002A3F64">
        <w:rPr>
          <w:rFonts w:hint="cs"/>
          <w:rtl/>
          <w:lang w:eastAsia="ar-SA" w:bidi="ar-EG"/>
        </w:rPr>
        <w:t>معالجة هذه المشكلة الخطيرة. وتشير إلى أنه رغم أن الأكاديمية القضائية الفلبينية نظمت حلقات عمل عن الاتفاقية وقامت بتوفير التدريب على مراعاة الجانب الجنساني، لم</w:t>
      </w:r>
      <w:r w:rsidRPr="002A3F64">
        <w:rPr>
          <w:rtl/>
          <w:lang w:eastAsia="ar-SA" w:bidi="ar-EG"/>
        </w:rPr>
        <w:t> </w:t>
      </w:r>
      <w:r w:rsidRPr="002A3F64">
        <w:rPr>
          <w:rFonts w:hint="cs"/>
          <w:rtl/>
          <w:lang w:eastAsia="ar-SA" w:bidi="ar-EG"/>
        </w:rPr>
        <w:t xml:space="preserve">يتناول أي من ذلك الاحتياجات والشواغل الخاصة للنساء والفتيات </w:t>
      </w:r>
      <w:r w:rsidR="00802932">
        <w:rPr>
          <w:rFonts w:hint="cs"/>
          <w:rtl/>
          <w:lang w:eastAsia="ar-SA" w:bidi="ar-EG"/>
        </w:rPr>
        <w:t>ذوات الإعاقة</w:t>
      </w:r>
      <w:r w:rsidRPr="002A3F64">
        <w:rPr>
          <w:rFonts w:hint="cs"/>
          <w:rtl/>
          <w:lang w:eastAsia="ar-SA" w:bidi="ar-EG"/>
        </w:rPr>
        <w:t xml:space="preserve">. </w:t>
      </w:r>
    </w:p>
    <w:p w:rsidR="00E85FC1" w:rsidRPr="002A3F64" w:rsidRDefault="00E85FC1" w:rsidP="007C4D57">
      <w:pPr>
        <w:pStyle w:val="SingleTxt"/>
        <w:rPr>
          <w:rFonts w:hint="cs"/>
          <w:rtl/>
          <w:lang w:eastAsia="ar-SA" w:bidi="ar-EG"/>
        </w:rPr>
      </w:pPr>
      <w:r w:rsidRPr="002A3F64">
        <w:rPr>
          <w:rFonts w:hint="cs"/>
          <w:rtl/>
          <w:lang w:eastAsia="ar-SA" w:bidi="ar-EG"/>
        </w:rPr>
        <w:t>3-16</w:t>
      </w:r>
      <w:r w:rsidRPr="002A3F64">
        <w:rPr>
          <w:rFonts w:hint="cs"/>
          <w:rtl/>
          <w:lang w:eastAsia="ar-SA" w:bidi="ar-EG"/>
        </w:rPr>
        <w:tab/>
        <w:t xml:space="preserve">وتطلب صاحبة البلاغ من اللجنة أن تقرر أنها ضحية </w:t>
      </w:r>
      <w:r w:rsidR="00802932">
        <w:rPr>
          <w:rFonts w:hint="cs"/>
          <w:rtl/>
          <w:lang w:eastAsia="ar-SA" w:bidi="ar-EG"/>
        </w:rPr>
        <w:t>ل</w:t>
      </w:r>
      <w:r w:rsidRPr="002A3F64">
        <w:rPr>
          <w:rFonts w:hint="cs"/>
          <w:rtl/>
          <w:lang w:eastAsia="ar-SA" w:bidi="ar-EG"/>
        </w:rPr>
        <w:t xml:space="preserve">لتمييز بوصفها فتاة صماء ضحية </w:t>
      </w:r>
      <w:r w:rsidR="007C4D57">
        <w:rPr>
          <w:rFonts w:hint="cs"/>
          <w:rtl/>
          <w:lang w:eastAsia="ar-SA" w:bidi="ar-EG"/>
        </w:rPr>
        <w:t>ل</w:t>
      </w:r>
      <w:r w:rsidRPr="002A3F64">
        <w:rPr>
          <w:rFonts w:hint="cs"/>
          <w:rtl/>
          <w:lang w:eastAsia="ar-SA" w:bidi="ar-EG"/>
        </w:rPr>
        <w:t>عملية اغتصاب، بسبب إخفاق الدولة الطرف في الوفاء بالالتزامات التي تقع عليها بمقتضى الاتفاقية وغيرها من صكوك حقوق الإنسان. وتدعو اللجنة إلى أن توصي بأن تقدم الدولة الطرف إليها تعويضاً يتناسب مع الضرر البدن</w:t>
      </w:r>
      <w:r w:rsidR="00802932">
        <w:rPr>
          <w:rFonts w:hint="cs"/>
          <w:rtl/>
          <w:lang w:eastAsia="ar-SA" w:bidi="ar-EG"/>
        </w:rPr>
        <w:t>ي والنفسي والاجتماعي الذي تعرضت</w:t>
      </w:r>
      <w:r w:rsidR="00802932">
        <w:rPr>
          <w:rFonts w:hint="eastAsia"/>
          <w:rtl/>
          <w:lang w:eastAsia="ar-SA" w:bidi="ar-EG"/>
        </w:rPr>
        <w:t> </w:t>
      </w:r>
      <w:r w:rsidRPr="002A3F64">
        <w:rPr>
          <w:rFonts w:hint="cs"/>
          <w:rtl/>
          <w:lang w:eastAsia="ar-SA" w:bidi="ar-EG"/>
        </w:rPr>
        <w:t xml:space="preserve">له ومع جسامة الانتهاك الذي تعرضت له حقوقها. وتطلب أيضاً أن توفر الدولة الطرف </w:t>
      </w:r>
      <w:r w:rsidR="00802932">
        <w:rPr>
          <w:rFonts w:hint="cs"/>
          <w:rtl/>
          <w:lang w:eastAsia="ar-SA" w:bidi="ar-EG"/>
        </w:rPr>
        <w:t xml:space="preserve">لها </w:t>
      </w:r>
      <w:r w:rsidRPr="002A3F64">
        <w:rPr>
          <w:rFonts w:hint="cs"/>
          <w:rtl/>
          <w:lang w:eastAsia="ar-SA" w:bidi="ar-EG"/>
        </w:rPr>
        <w:t>المشورة والعلاج مجاناً، بما</w:t>
      </w:r>
      <w:r w:rsidRPr="002A3F64">
        <w:rPr>
          <w:rtl/>
          <w:lang w:eastAsia="ar-SA" w:bidi="ar-EG"/>
        </w:rPr>
        <w:t> </w:t>
      </w:r>
      <w:r w:rsidRPr="002A3F64">
        <w:rPr>
          <w:rFonts w:hint="cs"/>
          <w:rtl/>
          <w:lang w:eastAsia="ar-SA" w:bidi="ar-EG"/>
        </w:rPr>
        <w:t>يشمل الترجمة بلغة الإشارة؛ و</w:t>
      </w:r>
      <w:r w:rsidR="00802932">
        <w:rPr>
          <w:rFonts w:hint="cs"/>
          <w:rtl/>
          <w:lang w:eastAsia="ar-SA" w:bidi="ar-EG"/>
        </w:rPr>
        <w:t>ال</w:t>
      </w:r>
      <w:r w:rsidRPr="002A3F64">
        <w:rPr>
          <w:rFonts w:hint="cs"/>
          <w:rtl/>
          <w:lang w:eastAsia="ar-SA" w:bidi="ar-EG"/>
        </w:rPr>
        <w:t xml:space="preserve">تعليم </w:t>
      </w:r>
      <w:r w:rsidR="00802932">
        <w:rPr>
          <w:rFonts w:hint="cs"/>
          <w:rtl/>
          <w:lang w:eastAsia="ar-SA" w:bidi="ar-EG"/>
        </w:rPr>
        <w:t xml:space="preserve">غير المعاق بالحواجز المقرون بالترجمة؛ وفرص العمل </w:t>
      </w:r>
      <w:r w:rsidRPr="002A3F64">
        <w:rPr>
          <w:rFonts w:hint="cs"/>
          <w:rtl/>
          <w:lang w:eastAsia="ar-SA" w:bidi="ar-EG"/>
        </w:rPr>
        <w:t>بعد الانتهاء من الدراسة. وتطلب كذلك إسداء المشورة النفسية مجاناً لأسرتها، عملاً بالبند 3(</w:t>
      </w:r>
      <w:r w:rsidRPr="002A3F64">
        <w:rPr>
          <w:rFonts w:hint="cs"/>
          <w:sz w:val="30"/>
          <w:rtl/>
          <w:lang w:eastAsia="ar-SA" w:bidi="ar-EG"/>
        </w:rPr>
        <w:t>ﻫ</w:t>
      </w:r>
      <w:r w:rsidRPr="002A3F64">
        <w:rPr>
          <w:rFonts w:hint="cs"/>
          <w:rtl/>
          <w:lang w:eastAsia="ar-SA" w:bidi="ar-EG"/>
        </w:rPr>
        <w:t xml:space="preserve">) من القانون الجمهوري رقم 8505، </w:t>
      </w:r>
      <w:r w:rsidR="00802932">
        <w:rPr>
          <w:rFonts w:hint="cs"/>
          <w:rtl/>
          <w:lang w:eastAsia="ar-SA" w:bidi="ar-EG"/>
        </w:rPr>
        <w:t xml:space="preserve">حتى مع </w:t>
      </w:r>
      <w:r w:rsidRPr="002A3F64">
        <w:rPr>
          <w:rFonts w:hint="cs"/>
          <w:rtl/>
          <w:lang w:eastAsia="ar-SA" w:bidi="ar-EG"/>
        </w:rPr>
        <w:t xml:space="preserve">عدم وجود مركز حكومي </w:t>
      </w:r>
      <w:r w:rsidR="00802932">
        <w:rPr>
          <w:rFonts w:hint="cs"/>
          <w:rtl/>
          <w:lang w:eastAsia="ar-SA" w:bidi="ar-EG"/>
        </w:rPr>
        <w:t xml:space="preserve">معني </w:t>
      </w:r>
      <w:r w:rsidR="007C4D57">
        <w:rPr>
          <w:rFonts w:hint="cs"/>
          <w:rtl/>
          <w:lang w:eastAsia="ar-SA" w:bidi="ar-EG"/>
        </w:rPr>
        <w:t xml:space="preserve">بمحنة </w:t>
      </w:r>
      <w:r w:rsidRPr="002A3F64">
        <w:rPr>
          <w:rFonts w:hint="cs"/>
          <w:rtl/>
          <w:lang w:eastAsia="ar-SA" w:bidi="ar-EG"/>
        </w:rPr>
        <w:t>الاغتصاب في منطقة مانيلا الحضرية.</w:t>
      </w:r>
    </w:p>
    <w:p w:rsidR="00E85FC1" w:rsidRPr="002A3F64" w:rsidRDefault="00E85FC1" w:rsidP="00AD6651">
      <w:pPr>
        <w:pStyle w:val="SingleTxt"/>
        <w:rPr>
          <w:rFonts w:hint="cs"/>
          <w:spacing w:val="-2"/>
          <w:rtl/>
          <w:lang w:eastAsia="ar-SA" w:bidi="ar-EG"/>
        </w:rPr>
      </w:pPr>
      <w:r w:rsidRPr="002A3F64">
        <w:rPr>
          <w:rFonts w:hint="cs"/>
          <w:spacing w:val="-2"/>
          <w:rtl/>
          <w:lang w:eastAsia="ar-SA" w:bidi="ar-EG"/>
        </w:rPr>
        <w:t>3-17</w:t>
      </w:r>
      <w:r w:rsidRPr="002A3F64">
        <w:rPr>
          <w:rFonts w:hint="cs"/>
          <w:spacing w:val="-2"/>
          <w:rtl/>
          <w:lang w:eastAsia="ar-SA" w:bidi="ar-EG"/>
        </w:rPr>
        <w:tab/>
        <w:t xml:space="preserve">وتطلب صاحبة البلاغ أيضاً من اللجنة أن توصي بأن تتخذ الدولة الطرف تدابير في فروعها القضائية والتشريعية والتنفيذية، تتوافق مع التدابير المطلوبة في قضية </w:t>
      </w:r>
      <w:r w:rsidRPr="002A3F64">
        <w:rPr>
          <w:rFonts w:hint="cs"/>
          <w:i/>
          <w:iCs/>
          <w:spacing w:val="-2"/>
          <w:rtl/>
          <w:lang w:eastAsia="ar-SA" w:bidi="ar-EG"/>
        </w:rPr>
        <w:t>فيرتيدو ضد الفلبين</w:t>
      </w:r>
      <w:r w:rsidR="00802932" w:rsidRPr="00802932">
        <w:rPr>
          <w:spacing w:val="-2"/>
          <w:vertAlign w:val="superscript"/>
          <w:rtl/>
          <w:lang w:eastAsia="ar-SA" w:bidi="ar-EG"/>
        </w:rPr>
        <w:t>(</w:t>
      </w:r>
      <w:r w:rsidR="00802932" w:rsidRPr="00802932">
        <w:rPr>
          <w:rStyle w:val="FootnoteReference"/>
          <w:szCs w:val="30"/>
          <w:rtl/>
          <w:lang w:eastAsia="ar-SA"/>
        </w:rPr>
        <w:footnoteReference w:id="18"/>
      </w:r>
      <w:r w:rsidR="00802932" w:rsidRPr="00802932">
        <w:rPr>
          <w:spacing w:val="-2"/>
          <w:vertAlign w:val="superscript"/>
          <w:rtl/>
          <w:lang w:eastAsia="ar-SA" w:bidi="ar-EG"/>
        </w:rPr>
        <w:t>)</w:t>
      </w:r>
      <w:r w:rsidRPr="002A3F64">
        <w:rPr>
          <w:rFonts w:hint="cs"/>
          <w:spacing w:val="-2"/>
          <w:rtl/>
          <w:lang w:eastAsia="ar-SA" w:bidi="ar-EG"/>
        </w:rPr>
        <w:t>، مع التركيز خصوصاً على التداخل القائم بين الجانب الجنساني والإعاقة و</w:t>
      </w:r>
      <w:r w:rsidR="00AD6651">
        <w:rPr>
          <w:rFonts w:hint="cs"/>
          <w:spacing w:val="-2"/>
          <w:rtl/>
          <w:lang w:eastAsia="ar-SA" w:bidi="ar-EG"/>
        </w:rPr>
        <w:t>السن</w:t>
      </w:r>
      <w:r w:rsidRPr="002A3F64">
        <w:rPr>
          <w:rFonts w:hint="cs"/>
          <w:spacing w:val="-2"/>
          <w:rtl/>
          <w:lang w:eastAsia="ar-SA" w:bidi="ar-EG"/>
        </w:rPr>
        <w:t xml:space="preserve">. وتطلب كذلك سن قانون يلزم الاستعانة بالترجمة </w:t>
      </w:r>
      <w:r w:rsidRPr="00C662D9">
        <w:rPr>
          <w:rFonts w:hint="cs"/>
          <w:rtl/>
          <w:lang w:eastAsia="ar-SA" w:bidi="ar-EG"/>
        </w:rPr>
        <w:t>الشفوية</w:t>
      </w:r>
      <w:r w:rsidRPr="002A3F64">
        <w:rPr>
          <w:rFonts w:hint="cs"/>
          <w:spacing w:val="-2"/>
          <w:rtl/>
          <w:lang w:eastAsia="ar-SA" w:bidi="ar-EG"/>
        </w:rPr>
        <w:t xml:space="preserve"> في جميع الإجراءات القضائية وشبه القضائية والتحقيقات وجلسات الاستماع العلنية، التي </w:t>
      </w:r>
      <w:r w:rsidR="00AD6651">
        <w:rPr>
          <w:rFonts w:hint="cs"/>
          <w:spacing w:val="-2"/>
          <w:rtl/>
          <w:lang w:eastAsia="ar-SA" w:bidi="ar-EG"/>
        </w:rPr>
        <w:t>ت</w:t>
      </w:r>
      <w:r w:rsidR="00802932">
        <w:rPr>
          <w:rFonts w:hint="cs"/>
          <w:spacing w:val="-2"/>
          <w:rtl/>
          <w:lang w:eastAsia="ar-SA" w:bidi="ar-EG"/>
        </w:rPr>
        <w:t>تضمن أفراد</w:t>
      </w:r>
      <w:r w:rsidR="00AD6651">
        <w:rPr>
          <w:rFonts w:hint="cs"/>
          <w:spacing w:val="-2"/>
          <w:rtl/>
          <w:lang w:eastAsia="ar-SA" w:bidi="ar-EG"/>
        </w:rPr>
        <w:t>اً</w:t>
      </w:r>
      <w:r w:rsidR="00802932">
        <w:rPr>
          <w:rFonts w:hint="cs"/>
          <w:spacing w:val="-2"/>
          <w:rtl/>
          <w:lang w:eastAsia="ar-SA" w:bidi="ar-EG"/>
        </w:rPr>
        <w:t xml:space="preserve"> من الصم</w:t>
      </w:r>
      <w:r w:rsidRPr="002A3F64">
        <w:rPr>
          <w:rFonts w:hint="cs"/>
          <w:spacing w:val="-2"/>
          <w:rtl/>
          <w:lang w:eastAsia="ar-SA" w:bidi="ar-EG"/>
        </w:rPr>
        <w:t>؛ ومعالجة المسائل الناشئة عن التداخل بين الجانب الجنساني والإعاقة و</w:t>
      </w:r>
      <w:r w:rsidR="00AD6651">
        <w:rPr>
          <w:rFonts w:hint="cs"/>
          <w:spacing w:val="-2"/>
          <w:rtl/>
          <w:lang w:eastAsia="ar-SA" w:bidi="ar-EG"/>
        </w:rPr>
        <w:t>السن</w:t>
      </w:r>
      <w:r w:rsidRPr="002A3F64">
        <w:rPr>
          <w:rFonts w:hint="cs"/>
          <w:spacing w:val="-2"/>
          <w:rtl/>
          <w:lang w:eastAsia="ar-SA" w:bidi="ar-EG"/>
        </w:rPr>
        <w:t xml:space="preserve"> في البرامج والخدمات التي تقدمها الوكالات المعنية في الدولة الطرف؛ وإنشاء خط هاتفي مباشر لمساعدة ضحايا العنف الجنساني من الصم </w:t>
      </w:r>
      <w:r w:rsidR="00802932">
        <w:rPr>
          <w:rFonts w:hint="cs"/>
          <w:spacing w:val="-2"/>
          <w:rtl/>
          <w:lang w:eastAsia="ar-SA" w:bidi="ar-EG"/>
        </w:rPr>
        <w:t>ب</w:t>
      </w:r>
      <w:r w:rsidRPr="002A3F64">
        <w:rPr>
          <w:rFonts w:hint="cs"/>
          <w:spacing w:val="-2"/>
          <w:rtl/>
          <w:lang w:eastAsia="ar-SA" w:bidi="ar-EG"/>
        </w:rPr>
        <w:t xml:space="preserve">الرسائل </w:t>
      </w:r>
      <w:r w:rsidR="00802932">
        <w:rPr>
          <w:rFonts w:hint="cs"/>
          <w:spacing w:val="-2"/>
          <w:rtl/>
          <w:lang w:eastAsia="ar-SA" w:bidi="ar-EG"/>
        </w:rPr>
        <w:t xml:space="preserve">النصيّة التي تُرسل </w:t>
      </w:r>
      <w:r w:rsidRPr="002A3F64">
        <w:rPr>
          <w:rFonts w:hint="cs"/>
          <w:spacing w:val="-2"/>
          <w:rtl/>
          <w:lang w:eastAsia="ar-SA" w:bidi="ar-EG"/>
        </w:rPr>
        <w:t xml:space="preserve">عبر الهاتف المحمول </w:t>
      </w:r>
      <w:r w:rsidR="00802932">
        <w:rPr>
          <w:rFonts w:hint="cs"/>
          <w:spacing w:val="-2"/>
          <w:rtl/>
          <w:lang w:eastAsia="ar-SA" w:bidi="ar-EG"/>
        </w:rPr>
        <w:t xml:space="preserve">وتوفير </w:t>
      </w:r>
      <w:r w:rsidRPr="002A3F64">
        <w:rPr>
          <w:rFonts w:hint="cs"/>
          <w:spacing w:val="-2"/>
          <w:rtl/>
          <w:lang w:eastAsia="ar-SA" w:bidi="ar-EG"/>
        </w:rPr>
        <w:t>استعماله في شتى أرجاء البلد؛ وإصدار التكليف اللازم بإنشاء نظام مهني للترجمة الشفوية، مع إيلاء الأولوية لتوفير الترجمة الشفوية في عمليات إسداء المشورة في مجالي القانون والصحة النفسية؛ والاعتراف بلغة الإشارة الفلبينية باعتبارها لغة الإشارة على الصعيد الوطني؛ وإدراج دراسات عن العنف الجنسي في مناهج التعليم بالكليات والجامعات؛ وإلزام المدارس التي تقدم برامج تعليمية خاصة للفتيات والنساء الصماوات بأن تتيح إمكانية تامة لتلقي التوجيه والمشورة، بما</w:t>
      </w:r>
      <w:r w:rsidRPr="002A3F64">
        <w:rPr>
          <w:spacing w:val="-2"/>
          <w:rtl/>
          <w:lang w:eastAsia="ar-SA" w:bidi="ar-EG"/>
        </w:rPr>
        <w:t> </w:t>
      </w:r>
      <w:r w:rsidRPr="002A3F64">
        <w:rPr>
          <w:rFonts w:hint="cs"/>
          <w:spacing w:val="-2"/>
          <w:rtl/>
          <w:lang w:eastAsia="ar-SA" w:bidi="ar-EG"/>
        </w:rPr>
        <w:t>في ذلك است</w:t>
      </w:r>
      <w:r w:rsidR="00802932">
        <w:rPr>
          <w:rFonts w:hint="cs"/>
          <w:spacing w:val="-2"/>
          <w:rtl/>
          <w:lang w:eastAsia="ar-SA" w:bidi="ar-EG"/>
        </w:rPr>
        <w:t>خ</w:t>
      </w:r>
      <w:r w:rsidRPr="002A3F64">
        <w:rPr>
          <w:rFonts w:hint="cs"/>
          <w:spacing w:val="-2"/>
          <w:rtl/>
          <w:lang w:eastAsia="ar-SA" w:bidi="ar-EG"/>
        </w:rPr>
        <w:t xml:space="preserve">دام أخصائيين في تقديم المشورة إلى الصم، </w:t>
      </w:r>
      <w:r w:rsidR="00802932">
        <w:rPr>
          <w:rFonts w:hint="cs"/>
          <w:spacing w:val="-2"/>
          <w:rtl/>
          <w:lang w:eastAsia="ar-SA" w:bidi="ar-EG"/>
        </w:rPr>
        <w:t xml:space="preserve">فضلا عن </w:t>
      </w:r>
      <w:r w:rsidRPr="002A3F64">
        <w:rPr>
          <w:rFonts w:hint="cs"/>
          <w:spacing w:val="-2"/>
          <w:rtl/>
          <w:lang w:eastAsia="ar-SA" w:bidi="ar-EG"/>
        </w:rPr>
        <w:t xml:space="preserve">توفير </w:t>
      </w:r>
      <w:r w:rsidRPr="00C662D9">
        <w:rPr>
          <w:rFonts w:hint="cs"/>
          <w:rtl/>
          <w:lang w:eastAsia="ar-SA" w:bidi="ar-EG"/>
        </w:rPr>
        <w:t>إمكانية</w:t>
      </w:r>
      <w:r w:rsidRPr="002A3F64">
        <w:rPr>
          <w:rFonts w:hint="cs"/>
          <w:spacing w:val="-2"/>
          <w:rtl/>
          <w:lang w:eastAsia="ar-SA" w:bidi="ar-EG"/>
        </w:rPr>
        <w:t xml:space="preserve"> تامة للحصول على التثقيف المناسب </w:t>
      </w:r>
      <w:r w:rsidR="00AD6651">
        <w:rPr>
          <w:rFonts w:hint="cs"/>
          <w:spacing w:val="-2"/>
          <w:rtl/>
          <w:lang w:eastAsia="ar-SA" w:bidi="ar-EG"/>
        </w:rPr>
        <w:t xml:space="preserve">للسن </w:t>
      </w:r>
      <w:r w:rsidRPr="002A3F64">
        <w:rPr>
          <w:rFonts w:hint="cs"/>
          <w:spacing w:val="-2"/>
          <w:rtl/>
          <w:lang w:eastAsia="ar-SA" w:bidi="ar-EG"/>
        </w:rPr>
        <w:t>في مجال الجنس والقيم الجنسانية؛ وتكليف جامعة الفلبين بإنشاء برنامج أكاديمي وطني عن الترجمة بلغة الإشارة، بما</w:t>
      </w:r>
      <w:r w:rsidRPr="002A3F64">
        <w:rPr>
          <w:spacing w:val="-2"/>
          <w:rtl/>
          <w:lang w:eastAsia="ar-SA" w:bidi="ar-EG"/>
        </w:rPr>
        <w:t> </w:t>
      </w:r>
      <w:r w:rsidRPr="002A3F64">
        <w:rPr>
          <w:rFonts w:hint="cs"/>
          <w:spacing w:val="-2"/>
          <w:rtl/>
          <w:lang w:eastAsia="ar-SA" w:bidi="ar-EG"/>
        </w:rPr>
        <w:t>في ذلك الترجمة الشفوية في مجالي القانون والصحة النفسية؛ وإدراج الاجتهادات القضائية عن مسائل الصم في جميع مناهج كليات الحقوق.</w:t>
      </w:r>
    </w:p>
    <w:p w:rsidR="00802932" w:rsidRPr="00802932" w:rsidRDefault="00802932" w:rsidP="0080293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EG"/>
        </w:rPr>
      </w:pPr>
    </w:p>
    <w:p w:rsidR="00E85FC1" w:rsidRPr="002A3F64" w:rsidRDefault="00E85FC1" w:rsidP="008029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2A3F64">
        <w:rPr>
          <w:rFonts w:hint="cs"/>
          <w:rtl/>
          <w:lang w:bidi="ar-EG"/>
        </w:rPr>
        <w:tab/>
      </w:r>
      <w:r w:rsidRPr="002A3F64">
        <w:rPr>
          <w:rFonts w:hint="cs"/>
          <w:rtl/>
          <w:lang w:bidi="ar-EG"/>
        </w:rPr>
        <w:tab/>
        <w:t>ملاحظات الدولة الطرف بشأن المقبولية</w:t>
      </w:r>
    </w:p>
    <w:p w:rsidR="00E85FC1" w:rsidRPr="002A3F64" w:rsidRDefault="00E85FC1" w:rsidP="00802932">
      <w:pPr>
        <w:pStyle w:val="SingleTxt"/>
        <w:rPr>
          <w:rFonts w:hint="cs"/>
          <w:rtl/>
          <w:lang w:eastAsia="ar-SA" w:bidi="ar-EG"/>
        </w:rPr>
      </w:pPr>
      <w:r w:rsidRPr="002A3F64">
        <w:rPr>
          <w:rFonts w:hint="cs"/>
          <w:rtl/>
          <w:lang w:eastAsia="ar-SA" w:bidi="ar-EG"/>
        </w:rPr>
        <w:t>4-1</w:t>
      </w:r>
      <w:r w:rsidRPr="002A3F64">
        <w:rPr>
          <w:rFonts w:hint="cs"/>
          <w:rtl/>
          <w:lang w:eastAsia="ar-SA" w:bidi="ar-EG"/>
        </w:rPr>
        <w:tab/>
        <w:t xml:space="preserve">في 18 حزيران/يونيه 2012، </w:t>
      </w:r>
      <w:r w:rsidR="00802932">
        <w:rPr>
          <w:rFonts w:hint="cs"/>
          <w:rtl/>
          <w:lang w:eastAsia="ar-SA" w:bidi="ar-EG"/>
        </w:rPr>
        <w:t xml:space="preserve">حاججت </w:t>
      </w:r>
      <w:r w:rsidRPr="002A3F64">
        <w:rPr>
          <w:rFonts w:hint="cs"/>
          <w:rtl/>
          <w:lang w:eastAsia="ar-SA" w:bidi="ar-EG"/>
        </w:rPr>
        <w:t xml:space="preserve">الدولة الطرف بأن البلاغ غير مقبول بمقتضى الفقرة 1 من المادة 4 من البروتوكول الاختياري </w:t>
      </w:r>
      <w:r w:rsidR="00802932">
        <w:rPr>
          <w:rFonts w:hint="cs"/>
          <w:rtl/>
          <w:lang w:eastAsia="ar-SA" w:bidi="ar-EG"/>
        </w:rPr>
        <w:t xml:space="preserve">للاتفاقية لأن </w:t>
      </w:r>
      <w:r w:rsidRPr="002A3F64">
        <w:rPr>
          <w:rFonts w:hint="cs"/>
          <w:rtl/>
          <w:lang w:eastAsia="ar-SA" w:bidi="ar-EG"/>
        </w:rPr>
        <w:t>صاحبة البلاغ لم</w:t>
      </w:r>
      <w:r w:rsidRPr="002A3F64">
        <w:rPr>
          <w:rtl/>
          <w:lang w:eastAsia="ar-SA" w:bidi="ar-EG"/>
        </w:rPr>
        <w:t> </w:t>
      </w:r>
      <w:r w:rsidRPr="002A3F64">
        <w:rPr>
          <w:rFonts w:hint="cs"/>
          <w:rtl/>
          <w:lang w:eastAsia="ar-SA" w:bidi="ar-EG"/>
        </w:rPr>
        <w:t xml:space="preserve">تستنفد سبل الانتصاف المحلية برفع التماس تطلب فيه مراجعة إجراءات </w:t>
      </w:r>
      <w:r w:rsidRPr="002A3F64">
        <w:rPr>
          <w:rFonts w:hint="cs"/>
          <w:i/>
          <w:iCs/>
          <w:rtl/>
          <w:lang w:eastAsia="ar-SA" w:bidi="ar-EG"/>
        </w:rPr>
        <w:t>القضية</w:t>
      </w:r>
      <w:r w:rsidRPr="002A3F64">
        <w:rPr>
          <w:rFonts w:hint="cs"/>
          <w:rtl/>
          <w:lang w:eastAsia="ar-SA" w:bidi="ar-EG"/>
        </w:rPr>
        <w:t>. وتطعن الدولة الطرف في الحجة التي ساقتها صاحبة البلاغ بأن وسيلة الانتصاف المذكورة لم</w:t>
      </w:r>
      <w:r w:rsidRPr="002A3F64">
        <w:rPr>
          <w:rtl/>
          <w:lang w:eastAsia="ar-SA" w:bidi="ar-EG"/>
        </w:rPr>
        <w:t> </w:t>
      </w:r>
      <w:r w:rsidRPr="002A3F64">
        <w:rPr>
          <w:rFonts w:hint="cs"/>
          <w:rtl/>
          <w:lang w:eastAsia="ar-SA" w:bidi="ar-EG"/>
        </w:rPr>
        <w:t>تكن فعالة ولم</w:t>
      </w:r>
      <w:r w:rsidRPr="002A3F64">
        <w:rPr>
          <w:rtl/>
          <w:lang w:eastAsia="ar-SA" w:bidi="ar-EG"/>
        </w:rPr>
        <w:t> </w:t>
      </w:r>
      <w:r w:rsidRPr="002A3F64">
        <w:rPr>
          <w:rFonts w:hint="cs"/>
          <w:rtl/>
          <w:lang w:eastAsia="ar-SA" w:bidi="ar-EG"/>
        </w:rPr>
        <w:t>تتح لها</w:t>
      </w:r>
      <w:r w:rsidR="00802932">
        <w:rPr>
          <w:rFonts w:hint="cs"/>
          <w:rtl/>
          <w:lang w:eastAsia="ar-SA" w:bidi="ar-EG"/>
        </w:rPr>
        <w:t xml:space="preserve"> مؤكدة </w:t>
      </w:r>
      <w:r w:rsidRPr="002A3F64">
        <w:rPr>
          <w:rFonts w:hint="cs"/>
          <w:rtl/>
          <w:lang w:eastAsia="ar-SA" w:bidi="ar-EG"/>
        </w:rPr>
        <w:t xml:space="preserve">أن الالتماس بطلب مراجعة إجراءات </w:t>
      </w:r>
      <w:r w:rsidRPr="002A3F64">
        <w:rPr>
          <w:rFonts w:hint="cs"/>
          <w:i/>
          <w:iCs/>
          <w:rtl/>
          <w:lang w:eastAsia="ar-SA" w:bidi="ar-EG"/>
        </w:rPr>
        <w:t>القضية</w:t>
      </w:r>
      <w:r w:rsidRPr="002A3F64">
        <w:rPr>
          <w:rFonts w:hint="cs"/>
          <w:rtl/>
          <w:lang w:eastAsia="ar-SA" w:bidi="ar-EG"/>
        </w:rPr>
        <w:t xml:space="preserve"> وسيلة كافية من وسائل الانتصاف. وتقول </w:t>
      </w:r>
      <w:r w:rsidR="00802932">
        <w:rPr>
          <w:rFonts w:hint="cs"/>
          <w:rtl/>
          <w:lang w:eastAsia="ar-SA" w:bidi="ar-EG"/>
        </w:rPr>
        <w:t xml:space="preserve">الدولة الطرف </w:t>
      </w:r>
      <w:r w:rsidRPr="002A3F64">
        <w:rPr>
          <w:rFonts w:hint="cs"/>
          <w:rtl/>
          <w:lang w:eastAsia="ar-SA" w:bidi="ar-EG"/>
        </w:rPr>
        <w:t>إنه بموجب المادة 65 من لائحة المحكمة، يمكن أن يُنحى جانباً الحكم بالبراءة إذا ما</w:t>
      </w:r>
      <w:r w:rsidRPr="002A3F64">
        <w:rPr>
          <w:rtl/>
          <w:lang w:eastAsia="ar-SA" w:bidi="ar-EG"/>
        </w:rPr>
        <w:t> </w:t>
      </w:r>
      <w:r w:rsidRPr="002A3F64">
        <w:rPr>
          <w:rFonts w:hint="cs"/>
          <w:rtl/>
          <w:lang w:eastAsia="ar-SA" w:bidi="ar-EG"/>
        </w:rPr>
        <w:t xml:space="preserve">أظهر مقدم الالتماس المذكور أن المحكمة الأدنى درجة </w:t>
      </w:r>
      <w:r w:rsidR="00802932">
        <w:rPr>
          <w:rFonts w:hint="cs"/>
          <w:rtl/>
          <w:lang w:eastAsia="ar-SA" w:bidi="ar-EG"/>
        </w:rPr>
        <w:t xml:space="preserve">لم ترتكب فقط </w:t>
      </w:r>
      <w:r w:rsidRPr="002A3F64">
        <w:rPr>
          <w:rFonts w:hint="cs"/>
          <w:rtl/>
          <w:lang w:eastAsia="ar-SA" w:bidi="ar-EG"/>
        </w:rPr>
        <w:t>لدى الحكم ببراءة المتهم</w:t>
      </w:r>
      <w:r w:rsidR="00802932">
        <w:rPr>
          <w:rFonts w:hint="cs"/>
          <w:rtl/>
          <w:lang w:eastAsia="ar-SA" w:bidi="ar-EG"/>
        </w:rPr>
        <w:t xml:space="preserve"> </w:t>
      </w:r>
      <w:r w:rsidRPr="002A3F64">
        <w:rPr>
          <w:rFonts w:hint="cs"/>
          <w:rtl/>
          <w:lang w:eastAsia="ar-SA" w:bidi="ar-EG"/>
        </w:rPr>
        <w:t>أخطاءً قابلة للرد في الحكم، بل أبدت أيضاً إساءة تقدير جسيمة ترقى إلى عدم الاختصاص أو</w:t>
      </w:r>
      <w:r w:rsidRPr="002A3F64">
        <w:rPr>
          <w:rtl/>
          <w:lang w:eastAsia="ar-SA" w:bidi="ar-EG"/>
        </w:rPr>
        <w:t> </w:t>
      </w:r>
      <w:r w:rsidRPr="002A3F64">
        <w:rPr>
          <w:rFonts w:hint="cs"/>
          <w:rtl/>
          <w:lang w:eastAsia="ar-SA" w:bidi="ar-EG"/>
        </w:rPr>
        <w:t>تجاوز الاختصاص أو</w:t>
      </w:r>
      <w:r w:rsidRPr="002A3F64">
        <w:rPr>
          <w:rtl/>
          <w:lang w:eastAsia="ar-SA" w:bidi="ar-EG"/>
        </w:rPr>
        <w:t> </w:t>
      </w:r>
      <w:r w:rsidRPr="002A3F64">
        <w:rPr>
          <w:rFonts w:hint="cs"/>
          <w:rtl/>
          <w:lang w:eastAsia="ar-SA" w:bidi="ar-EG"/>
        </w:rPr>
        <w:t>عدم مراعاة الأصول القانونية، ومن ثم يُعتبر الحكم باطلاً. وعليه، لا</w:t>
      </w:r>
      <w:r w:rsidRPr="002A3F64">
        <w:rPr>
          <w:rtl/>
          <w:lang w:eastAsia="ar-SA" w:bidi="ar-EG"/>
        </w:rPr>
        <w:t> </w:t>
      </w:r>
      <w:r w:rsidRPr="002A3F64">
        <w:rPr>
          <w:rFonts w:hint="cs"/>
          <w:rtl/>
          <w:lang w:eastAsia="ar-SA" w:bidi="ar-EG"/>
        </w:rPr>
        <w:t xml:space="preserve">يمكن اعتبار أن المتهم معرض للمحاكمة على نفس الجرم مرتين. وقد قضت المحكمة العليا في قضية </w:t>
      </w:r>
      <w:r w:rsidRPr="002A3F64">
        <w:rPr>
          <w:rFonts w:hint="cs"/>
          <w:i/>
          <w:iCs/>
          <w:rtl/>
          <w:lang w:eastAsia="ar-SA" w:bidi="ar-EG"/>
        </w:rPr>
        <w:t>شعب الفلبين ضد دي غرانو وآخرين</w:t>
      </w:r>
      <w:r w:rsidRPr="002A3F64">
        <w:rPr>
          <w:rFonts w:hint="cs"/>
          <w:rtl/>
          <w:lang w:eastAsia="ar-SA" w:bidi="ar-EG"/>
        </w:rPr>
        <w:t>، بأن التصرف القضائي يعتبر إساءة تقدير جسيمة إذا جاء نتيجة اتباع نزوة أو</w:t>
      </w:r>
      <w:r w:rsidRPr="002A3F64">
        <w:rPr>
          <w:rtl/>
          <w:lang w:eastAsia="ar-SA" w:bidi="ar-EG"/>
        </w:rPr>
        <w:t> </w:t>
      </w:r>
      <w:r w:rsidRPr="002A3F64">
        <w:rPr>
          <w:rFonts w:hint="cs"/>
          <w:rtl/>
          <w:lang w:eastAsia="ar-SA" w:bidi="ar-EG"/>
        </w:rPr>
        <w:t>هوى في إصدار الحكم بحيث يرقى إلى عدم الاختصاص. ويتعين أن يكون سوء التقدير جلياً وبالغاً بحيث يرقى إلى الإخلال بواجب مباشر أو</w:t>
      </w:r>
      <w:r w:rsidRPr="002A3F64">
        <w:rPr>
          <w:rtl/>
          <w:lang w:eastAsia="ar-SA" w:bidi="ar-EG"/>
        </w:rPr>
        <w:t> </w:t>
      </w:r>
      <w:r w:rsidRPr="002A3F64">
        <w:rPr>
          <w:rFonts w:hint="cs"/>
          <w:rtl/>
          <w:lang w:eastAsia="ar-SA" w:bidi="ar-EG"/>
        </w:rPr>
        <w:t>إلى رفض فعلي لأداء واجب منصوص عليه في القانون، كما</w:t>
      </w:r>
      <w:r w:rsidRPr="002A3F64">
        <w:rPr>
          <w:rtl/>
          <w:lang w:eastAsia="ar-SA" w:bidi="ar-EG"/>
        </w:rPr>
        <w:t> </w:t>
      </w:r>
      <w:r w:rsidRPr="002A3F64">
        <w:rPr>
          <w:rFonts w:hint="cs"/>
          <w:rtl/>
          <w:lang w:eastAsia="ar-SA" w:bidi="ar-EG"/>
        </w:rPr>
        <w:t>هو الحال لدى ممارسة السلطة بصورة تعسفية أو</w:t>
      </w:r>
      <w:r w:rsidRPr="002A3F64">
        <w:rPr>
          <w:rtl/>
          <w:lang w:eastAsia="ar-SA" w:bidi="ar-EG"/>
        </w:rPr>
        <w:t> </w:t>
      </w:r>
      <w:r w:rsidRPr="002A3F64">
        <w:rPr>
          <w:rFonts w:hint="cs"/>
          <w:rtl/>
          <w:lang w:eastAsia="ar-SA" w:bidi="ar-EG"/>
        </w:rPr>
        <w:t>استبدادية اتباعاً للهوى أو</w:t>
      </w:r>
      <w:r w:rsidRPr="002A3F64">
        <w:rPr>
          <w:rtl/>
          <w:lang w:eastAsia="ar-SA" w:bidi="ar-EG"/>
        </w:rPr>
        <w:t> </w:t>
      </w:r>
      <w:r w:rsidRPr="002A3F64">
        <w:rPr>
          <w:rFonts w:hint="cs"/>
          <w:rtl/>
          <w:lang w:eastAsia="ar-SA" w:bidi="ar-EG"/>
        </w:rPr>
        <w:t>بسبب العداء</w:t>
      </w:r>
      <w:r w:rsidR="00802932" w:rsidRPr="00802932">
        <w:rPr>
          <w:vertAlign w:val="superscript"/>
          <w:rtl/>
          <w:lang w:eastAsia="ar-SA" w:bidi="ar-EG"/>
        </w:rPr>
        <w:t>(</w:t>
      </w:r>
      <w:r w:rsidR="00802932" w:rsidRPr="00802932">
        <w:rPr>
          <w:rStyle w:val="FootnoteReference"/>
          <w:szCs w:val="30"/>
          <w:rtl/>
          <w:lang w:eastAsia="ar-SA"/>
        </w:rPr>
        <w:footnoteReference w:id="19"/>
      </w:r>
      <w:r w:rsidR="00802932" w:rsidRPr="00802932">
        <w:rPr>
          <w:vertAlign w:val="superscript"/>
          <w:rtl/>
          <w:lang w:eastAsia="ar-SA" w:bidi="ar-EG"/>
        </w:rPr>
        <w:t>)</w:t>
      </w:r>
      <w:r w:rsidRPr="002A3F64">
        <w:rPr>
          <w:rFonts w:hint="cs"/>
          <w:rtl/>
          <w:lang w:eastAsia="ar-SA" w:bidi="ar-EG"/>
        </w:rPr>
        <w:t>.</w:t>
      </w:r>
    </w:p>
    <w:p w:rsidR="00E85FC1" w:rsidRPr="002A3F64" w:rsidRDefault="00E85FC1" w:rsidP="00802932">
      <w:pPr>
        <w:pStyle w:val="SingleTxt"/>
        <w:rPr>
          <w:rFonts w:hint="cs"/>
          <w:rtl/>
          <w:lang w:eastAsia="ar-SA" w:bidi="ar-EG"/>
        </w:rPr>
      </w:pPr>
      <w:r w:rsidRPr="002A3F64">
        <w:rPr>
          <w:rFonts w:hint="cs"/>
          <w:rtl/>
          <w:lang w:eastAsia="ar-SA" w:bidi="ar-EG"/>
        </w:rPr>
        <w:t>4-2</w:t>
      </w:r>
      <w:r w:rsidRPr="002A3F64">
        <w:rPr>
          <w:rFonts w:hint="cs"/>
          <w:rtl/>
          <w:lang w:eastAsia="ar-SA" w:bidi="ar-EG"/>
        </w:rPr>
        <w:tab/>
        <w:t xml:space="preserve">وتقول الدولة الطرف إنه في حالة ارتكاب المحكمة الابتدائية تمييزاً جنسانياً في قضية صاحبة البلاغ يرقى إلى </w:t>
      </w:r>
      <w:r w:rsidR="00802932">
        <w:rPr>
          <w:rFonts w:hint="cs"/>
          <w:rtl/>
          <w:lang w:eastAsia="ar-SA" w:bidi="ar-EG"/>
        </w:rPr>
        <w:t xml:space="preserve">حرمانها من </w:t>
      </w:r>
      <w:r w:rsidRPr="002A3F64">
        <w:rPr>
          <w:rFonts w:hint="cs"/>
          <w:rtl/>
          <w:lang w:eastAsia="ar-SA" w:bidi="ar-EG"/>
        </w:rPr>
        <w:t>اتباع الأصول القانونية الواجبة إزاءها، يجوز حينئذ تنحية حكم المحكمة الابتدائية باعتباره باطلاً لعدم الاختصاص. وكان ينبغي لصاحبة البلاغ إحالة الحكم إلى مكتب الوكيل العام للتأكد مما</w:t>
      </w:r>
      <w:r w:rsidRPr="002A3F64">
        <w:rPr>
          <w:rtl/>
          <w:lang w:eastAsia="ar-SA" w:bidi="ar-EG"/>
        </w:rPr>
        <w:t> </w:t>
      </w:r>
      <w:r w:rsidRPr="002A3F64">
        <w:rPr>
          <w:rFonts w:hint="cs"/>
          <w:rtl/>
          <w:lang w:eastAsia="ar-SA" w:bidi="ar-EG"/>
        </w:rPr>
        <w:t xml:space="preserve">إذا كانت هناك أسباب كافية تسوغ رفع التماس بمراجعة إجراءات </w:t>
      </w:r>
      <w:r w:rsidRPr="002A3F64">
        <w:rPr>
          <w:rFonts w:hint="cs"/>
          <w:i/>
          <w:iCs/>
          <w:rtl/>
          <w:lang w:eastAsia="ar-SA" w:bidi="ar-EG"/>
        </w:rPr>
        <w:t>القضية</w:t>
      </w:r>
      <w:r w:rsidRPr="002A3F64">
        <w:rPr>
          <w:rFonts w:hint="cs"/>
          <w:rtl/>
          <w:lang w:eastAsia="ar-SA" w:bidi="ar-EG"/>
        </w:rPr>
        <w:t>.</w:t>
      </w:r>
    </w:p>
    <w:p w:rsidR="00802932" w:rsidRPr="00802932" w:rsidRDefault="00802932" w:rsidP="00802932">
      <w:pPr>
        <w:pStyle w:val="H23GA"/>
        <w:spacing w:before="0" w:after="0" w:line="120" w:lineRule="exact"/>
        <w:rPr>
          <w:rFonts w:hint="cs"/>
          <w:w w:val="103"/>
          <w:sz w:val="10"/>
          <w:rtl/>
          <w:lang w:bidi="ar-EG"/>
        </w:rPr>
      </w:pPr>
    </w:p>
    <w:p w:rsidR="00E85FC1" w:rsidRPr="002A3F64" w:rsidRDefault="00E85FC1" w:rsidP="0080293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2A3F64">
        <w:rPr>
          <w:rFonts w:hint="cs"/>
          <w:rtl/>
          <w:lang w:bidi="ar-EG"/>
        </w:rPr>
        <w:tab/>
      </w:r>
      <w:r w:rsidRPr="002A3F64">
        <w:rPr>
          <w:rFonts w:hint="cs"/>
          <w:rtl/>
          <w:lang w:bidi="ar-EG"/>
        </w:rPr>
        <w:tab/>
        <w:t xml:space="preserve">تعليقات صاحبة البلاغ على ملاحظات الدولة الطرف </w:t>
      </w:r>
    </w:p>
    <w:p w:rsidR="00E85FC1" w:rsidRPr="002A3F64" w:rsidRDefault="00E85FC1" w:rsidP="00914CB6">
      <w:pPr>
        <w:pStyle w:val="SingleTxt"/>
        <w:rPr>
          <w:rFonts w:hint="cs"/>
          <w:rtl/>
          <w:lang w:eastAsia="ar-SA" w:bidi="ar-EG"/>
        </w:rPr>
      </w:pPr>
      <w:r w:rsidRPr="002A3F64">
        <w:rPr>
          <w:rFonts w:hint="cs"/>
          <w:rtl/>
          <w:lang w:eastAsia="ar-SA" w:bidi="ar-EG"/>
        </w:rPr>
        <w:t>5</w:t>
      </w:r>
      <w:r w:rsidR="00802932">
        <w:rPr>
          <w:rFonts w:hint="cs"/>
          <w:rtl/>
          <w:lang w:eastAsia="ar-SA" w:bidi="ar-EG"/>
        </w:rPr>
        <w:t xml:space="preserve"> </w:t>
      </w:r>
      <w:r w:rsidRPr="002A3F64">
        <w:rPr>
          <w:rFonts w:hint="cs"/>
          <w:rtl/>
          <w:lang w:eastAsia="ar-SA" w:bidi="ar-EG"/>
        </w:rPr>
        <w:t>-</w:t>
      </w:r>
      <w:r w:rsidRPr="002A3F64">
        <w:rPr>
          <w:rFonts w:hint="cs"/>
          <w:rtl/>
          <w:lang w:eastAsia="ar-SA" w:bidi="ar-EG"/>
        </w:rPr>
        <w:tab/>
        <w:t xml:space="preserve">في 22 تشرين الأول/أكتوبر 2012، طعنت صاحبة البلاغ في ملاحظات الدولة الطرف بشأن المقبولية. وأشارت إلى أن الدولة الطرف قدمت ذات الحجج المقدمة في قضية </w:t>
      </w:r>
      <w:r w:rsidRPr="002A3F64">
        <w:rPr>
          <w:rFonts w:hint="cs"/>
          <w:i/>
          <w:iCs/>
          <w:rtl/>
          <w:lang w:eastAsia="ar-SA" w:bidi="ar-EG"/>
        </w:rPr>
        <w:t>فيرتيدو ضد الفلبين</w:t>
      </w:r>
      <w:r w:rsidRPr="002A3F64">
        <w:rPr>
          <w:rFonts w:hint="cs"/>
          <w:rtl/>
          <w:lang w:eastAsia="ar-SA" w:bidi="ar-EG"/>
        </w:rPr>
        <w:t xml:space="preserve">. وتشير صاحبة البلاغ </w:t>
      </w:r>
      <w:r w:rsidR="00914CB6">
        <w:rPr>
          <w:rFonts w:hint="cs"/>
          <w:rtl/>
          <w:lang w:eastAsia="ar-SA" w:bidi="ar-EG"/>
        </w:rPr>
        <w:t xml:space="preserve">من ثم </w:t>
      </w:r>
      <w:r w:rsidRPr="002A3F64">
        <w:rPr>
          <w:rFonts w:hint="cs"/>
          <w:rtl/>
          <w:lang w:eastAsia="ar-SA" w:bidi="ar-EG"/>
        </w:rPr>
        <w:t xml:space="preserve">إلى الحجج المتعلقة بعدم إتاحة وعدم فعالية وسيلة الانتصاف التي تقضي بمراجعة إجراءات </w:t>
      </w:r>
      <w:r w:rsidRPr="002A3F64">
        <w:rPr>
          <w:rFonts w:hint="cs"/>
          <w:i/>
          <w:iCs/>
          <w:rtl/>
          <w:lang w:eastAsia="ar-SA" w:bidi="ar-EG"/>
        </w:rPr>
        <w:t>القضية</w:t>
      </w:r>
      <w:r w:rsidRPr="002A3F64">
        <w:rPr>
          <w:rFonts w:hint="cs"/>
          <w:rtl/>
          <w:lang w:eastAsia="ar-SA" w:bidi="ar-EG"/>
        </w:rPr>
        <w:t xml:space="preserve"> التي ساقتها صاحبة البلاغ في قضية </w:t>
      </w:r>
      <w:r w:rsidRPr="002A3F64">
        <w:rPr>
          <w:rFonts w:hint="cs"/>
          <w:i/>
          <w:iCs/>
          <w:rtl/>
          <w:lang w:eastAsia="ar-SA" w:bidi="ar-EG"/>
        </w:rPr>
        <w:t>فيرتيدو</w:t>
      </w:r>
      <w:r w:rsidR="00914CB6" w:rsidRPr="00914CB6">
        <w:rPr>
          <w:vertAlign w:val="superscript"/>
          <w:rtl/>
          <w:lang w:eastAsia="ar-SA" w:bidi="ar-EG"/>
        </w:rPr>
        <w:t>(</w:t>
      </w:r>
      <w:r w:rsidR="00914CB6" w:rsidRPr="00914CB6">
        <w:rPr>
          <w:rStyle w:val="FootnoteReference"/>
          <w:szCs w:val="30"/>
          <w:rtl/>
          <w:lang w:eastAsia="ar-SA"/>
        </w:rPr>
        <w:footnoteReference w:id="20"/>
      </w:r>
      <w:r w:rsidR="00914CB6" w:rsidRPr="00914CB6">
        <w:rPr>
          <w:vertAlign w:val="superscript"/>
          <w:rtl/>
          <w:lang w:eastAsia="ar-SA" w:bidi="ar-EG"/>
        </w:rPr>
        <w:t>)</w:t>
      </w:r>
      <w:r w:rsidRPr="002A3F64">
        <w:rPr>
          <w:rFonts w:hint="cs"/>
          <w:rtl/>
          <w:lang w:eastAsia="ar-SA" w:bidi="ar-EG"/>
        </w:rPr>
        <w:t>، كما</w:t>
      </w:r>
      <w:r w:rsidRPr="002A3F64">
        <w:rPr>
          <w:rtl/>
          <w:lang w:eastAsia="ar-SA" w:bidi="ar-EG"/>
        </w:rPr>
        <w:t> </w:t>
      </w:r>
      <w:r w:rsidRPr="002A3F64">
        <w:rPr>
          <w:rFonts w:hint="cs"/>
          <w:rtl/>
          <w:lang w:eastAsia="ar-SA" w:bidi="ar-EG"/>
        </w:rPr>
        <w:t>تحتج بأن نفس الشيء ينطبق على قضيتها.</w:t>
      </w:r>
    </w:p>
    <w:p w:rsidR="00914CB6" w:rsidRPr="00914CB6" w:rsidRDefault="00914CB6" w:rsidP="00914CB6">
      <w:pPr>
        <w:pStyle w:val="H23GA"/>
        <w:spacing w:before="0" w:after="0" w:line="120" w:lineRule="exact"/>
        <w:rPr>
          <w:rFonts w:hint="cs"/>
          <w:w w:val="103"/>
          <w:sz w:val="10"/>
          <w:rtl/>
          <w:lang w:bidi="ar-EG"/>
        </w:rPr>
      </w:pPr>
    </w:p>
    <w:p w:rsidR="00E85FC1" w:rsidRPr="002A3F64" w:rsidRDefault="00E85FC1" w:rsidP="00914CB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2A3F64">
        <w:rPr>
          <w:rFonts w:hint="cs"/>
          <w:rtl/>
          <w:lang w:bidi="ar-EG"/>
        </w:rPr>
        <w:tab/>
      </w:r>
      <w:r w:rsidRPr="002A3F64">
        <w:rPr>
          <w:rFonts w:hint="cs"/>
          <w:rtl/>
          <w:lang w:bidi="ar-EG"/>
        </w:rPr>
        <w:tab/>
        <w:t xml:space="preserve">ملاحظات إضافية من الدولة الطرف </w:t>
      </w:r>
    </w:p>
    <w:p w:rsidR="00E85FC1" w:rsidRPr="002A3F64" w:rsidRDefault="00E85FC1" w:rsidP="00914CB6">
      <w:pPr>
        <w:pStyle w:val="SingleTxt"/>
        <w:rPr>
          <w:rFonts w:hint="cs"/>
          <w:rtl/>
          <w:lang w:eastAsia="ar-SA" w:bidi="ar-EG"/>
        </w:rPr>
      </w:pPr>
      <w:r w:rsidRPr="002A3F64">
        <w:rPr>
          <w:rFonts w:hint="cs"/>
          <w:rtl/>
          <w:lang w:eastAsia="ar-SA" w:bidi="ar-EG"/>
        </w:rPr>
        <w:t>6-1</w:t>
      </w:r>
      <w:r w:rsidRPr="002A3F64">
        <w:rPr>
          <w:rFonts w:hint="cs"/>
          <w:rtl/>
          <w:lang w:eastAsia="ar-SA" w:bidi="ar-EG"/>
        </w:rPr>
        <w:tab/>
        <w:t>دُعيت الدولة الطرف، بمذكرتين شفويتين مؤرختين 5 كانون الأول/ديسمبر 2012 و17 أيلول/سبتمبر 2013، إلى أن تقدم إلى اللجنة ملاحظات على الأسس الموضوعية للبلاغ. وكررت الدولة الطرف، بمذكرة شفوية مؤرخة 10 تشرين الأول/أكتوبر 2013، ملاحظاتها السابقة بأن صاحبة البلاغ لم</w:t>
      </w:r>
      <w:r w:rsidRPr="002A3F64">
        <w:rPr>
          <w:rtl/>
          <w:lang w:eastAsia="ar-SA" w:bidi="ar-EG"/>
        </w:rPr>
        <w:t> </w:t>
      </w:r>
      <w:r w:rsidRPr="002A3F64">
        <w:rPr>
          <w:rFonts w:hint="cs"/>
          <w:rtl/>
          <w:lang w:eastAsia="ar-SA" w:bidi="ar-EG"/>
        </w:rPr>
        <w:t xml:space="preserve">تلجأ إلى الاستفادة من وسيلة الانتصاف التي تقضي بمراجعة إجراءات </w:t>
      </w:r>
      <w:r w:rsidRPr="002A3F64">
        <w:rPr>
          <w:rFonts w:hint="cs"/>
          <w:i/>
          <w:iCs/>
          <w:rtl/>
          <w:lang w:eastAsia="ar-SA" w:bidi="ar-EG"/>
        </w:rPr>
        <w:t>القضية</w:t>
      </w:r>
      <w:r w:rsidRPr="002A3F64">
        <w:rPr>
          <w:rFonts w:hint="cs"/>
          <w:rtl/>
          <w:lang w:eastAsia="ar-SA" w:bidi="ar-EG"/>
        </w:rPr>
        <w:t>. وتحتج بأنه سبق وأن طلب عدد من أصحاب الشكاوي الخاصة في قضايا جنائية من مكتب الوكيل العام رفع التماس بمراجعة إجراءات قضايا حُكم فيها بالبراءة، أو</w:t>
      </w:r>
      <w:r w:rsidRPr="002A3F64">
        <w:rPr>
          <w:rtl/>
          <w:lang w:eastAsia="ar-SA" w:bidi="ar-EG"/>
        </w:rPr>
        <w:t> </w:t>
      </w:r>
      <w:r w:rsidRPr="002A3F64">
        <w:rPr>
          <w:rFonts w:hint="cs"/>
          <w:rtl/>
          <w:lang w:eastAsia="ar-SA" w:bidi="ar-EG"/>
        </w:rPr>
        <w:t>أن مكتب الوكيل العام انضم بالفعل إلى الالتماسات التي رفعها أصحاب الشكاوي الخاصة واعتمد تلك الالتماسات</w:t>
      </w:r>
      <w:r w:rsidR="00914CB6" w:rsidRPr="00914CB6">
        <w:rPr>
          <w:vertAlign w:val="superscript"/>
          <w:rtl/>
          <w:lang w:eastAsia="ar-SA" w:bidi="ar-EG"/>
        </w:rPr>
        <w:t>(</w:t>
      </w:r>
      <w:r w:rsidR="00914CB6" w:rsidRPr="00914CB6">
        <w:rPr>
          <w:rStyle w:val="FootnoteReference"/>
          <w:szCs w:val="30"/>
          <w:rtl/>
          <w:lang w:eastAsia="ar-SA"/>
        </w:rPr>
        <w:footnoteReference w:id="21"/>
      </w:r>
      <w:r w:rsidR="00914CB6" w:rsidRPr="00914CB6">
        <w:rPr>
          <w:vertAlign w:val="superscript"/>
          <w:rtl/>
          <w:lang w:eastAsia="ar-SA" w:bidi="ar-EG"/>
        </w:rPr>
        <w:t>)</w:t>
      </w:r>
      <w:r w:rsidRPr="002A3F64">
        <w:rPr>
          <w:rFonts w:hint="cs"/>
          <w:rtl/>
          <w:lang w:eastAsia="ar-SA" w:bidi="ar-EG"/>
        </w:rPr>
        <w:t>.</w:t>
      </w:r>
    </w:p>
    <w:p w:rsidR="00E85FC1" w:rsidRPr="002A3F64" w:rsidRDefault="00E85FC1" w:rsidP="00C662D9">
      <w:pPr>
        <w:pStyle w:val="SingleTxt"/>
        <w:rPr>
          <w:rFonts w:hint="cs"/>
          <w:rtl/>
          <w:lang w:eastAsia="ar-SA" w:bidi="ar-EG"/>
        </w:rPr>
      </w:pPr>
      <w:r w:rsidRPr="002A3F64">
        <w:rPr>
          <w:rFonts w:hint="cs"/>
          <w:rtl/>
          <w:lang w:eastAsia="ar-SA" w:bidi="ar-EG"/>
        </w:rPr>
        <w:t>6-2</w:t>
      </w:r>
      <w:r w:rsidRPr="002A3F64">
        <w:rPr>
          <w:rFonts w:hint="cs"/>
          <w:rtl/>
          <w:lang w:eastAsia="ar-SA" w:bidi="ar-EG"/>
        </w:rPr>
        <w:tab/>
        <w:t>وتقول الدولة الطرف إن صاحبة البلاغ يتسنى لها أيضاً أن ترفع دعوى مدنية، مستقلة عن القضية الجنائية. وتحتج بأن حكم البراءة الصادر لصالح المتهم لا</w:t>
      </w:r>
      <w:r w:rsidRPr="002A3F64">
        <w:rPr>
          <w:rtl/>
          <w:lang w:eastAsia="ar-SA" w:bidi="ar-EG"/>
        </w:rPr>
        <w:t> </w:t>
      </w:r>
      <w:r w:rsidRPr="002A3F64">
        <w:rPr>
          <w:rFonts w:hint="cs"/>
          <w:rtl/>
          <w:lang w:eastAsia="ar-SA" w:bidi="ar-EG"/>
        </w:rPr>
        <w:t>يحول تلقائياً دون صدور حكم مدني ضده بالنظر إلى أن الأدلة المطلوبة تكون أقل في القضايا المدنية (رجحان الأدلة) مقارنة بالقضايا الجنائية (دليل يتجاوز أي شك معقول).</w:t>
      </w:r>
    </w:p>
    <w:p w:rsidR="00E85FC1" w:rsidRPr="002A3F64" w:rsidRDefault="00E85FC1" w:rsidP="00AD6651">
      <w:pPr>
        <w:pStyle w:val="SingleTxt"/>
        <w:rPr>
          <w:rFonts w:hint="cs"/>
          <w:rtl/>
          <w:lang w:eastAsia="ar-SA" w:bidi="ar-EG"/>
        </w:rPr>
      </w:pPr>
      <w:r w:rsidRPr="002A3F64">
        <w:rPr>
          <w:rFonts w:hint="cs"/>
          <w:rtl/>
          <w:lang w:eastAsia="ar-SA" w:bidi="ar-EG"/>
        </w:rPr>
        <w:t>6-3</w:t>
      </w:r>
      <w:r w:rsidRPr="002A3F64">
        <w:rPr>
          <w:rFonts w:hint="cs"/>
          <w:rtl/>
          <w:lang w:eastAsia="ar-SA" w:bidi="ar-EG"/>
        </w:rPr>
        <w:tab/>
        <w:t>وتدفع الدولة الطرف</w:t>
      </w:r>
      <w:r w:rsidR="00914CB6" w:rsidRPr="00914CB6">
        <w:rPr>
          <w:rFonts w:hint="cs"/>
          <w:rtl/>
          <w:lang w:eastAsia="ar-SA" w:bidi="ar-EG"/>
        </w:rPr>
        <w:t xml:space="preserve"> </w:t>
      </w:r>
      <w:r w:rsidR="00914CB6" w:rsidRPr="002A3F64">
        <w:rPr>
          <w:rFonts w:hint="cs"/>
          <w:rtl/>
          <w:lang w:eastAsia="ar-SA" w:bidi="ar-EG"/>
        </w:rPr>
        <w:t>أيضاً</w:t>
      </w:r>
      <w:r w:rsidRPr="002A3F64">
        <w:rPr>
          <w:rFonts w:hint="cs"/>
          <w:rtl/>
          <w:lang w:eastAsia="ar-SA" w:bidi="ar-EG"/>
        </w:rPr>
        <w:t xml:space="preserve"> بأنه لا</w:t>
      </w:r>
      <w:r w:rsidRPr="002A3F64">
        <w:rPr>
          <w:rtl/>
          <w:lang w:eastAsia="ar-SA" w:bidi="ar-EG"/>
        </w:rPr>
        <w:t> </w:t>
      </w:r>
      <w:r w:rsidRPr="002A3F64">
        <w:rPr>
          <w:rFonts w:hint="cs"/>
          <w:rtl/>
          <w:lang w:eastAsia="ar-SA" w:bidi="ar-EG"/>
        </w:rPr>
        <w:t xml:space="preserve">أساس لادعاء صاحبة البلاغ بحدوث خطأ قضائي </w:t>
      </w:r>
      <w:r w:rsidR="00AD6651">
        <w:rPr>
          <w:rFonts w:hint="cs"/>
          <w:rtl/>
          <w:lang w:eastAsia="ar-SA" w:bidi="ar-EG"/>
        </w:rPr>
        <w:t xml:space="preserve">على أساس </w:t>
      </w:r>
      <w:r w:rsidRPr="002A3F64">
        <w:rPr>
          <w:rFonts w:hint="cs"/>
          <w:rtl/>
          <w:lang w:eastAsia="ar-SA" w:bidi="ar-EG"/>
        </w:rPr>
        <w:t>عدم تقدير المحكمة الابتدائية للدليل الذي قدمته و</w:t>
      </w:r>
      <w:r w:rsidR="00AD6651">
        <w:rPr>
          <w:rFonts w:hint="cs"/>
          <w:rtl/>
          <w:lang w:eastAsia="ar-SA" w:bidi="ar-EG"/>
        </w:rPr>
        <w:t xml:space="preserve">استنادها </w:t>
      </w:r>
      <w:r w:rsidRPr="002A3F64">
        <w:rPr>
          <w:rFonts w:hint="cs"/>
          <w:rtl/>
          <w:lang w:eastAsia="ar-SA" w:bidi="ar-EG"/>
        </w:rPr>
        <w:t>إلى الأفكار الوهمية والقوالب النمطية الجنسانية.</w:t>
      </w:r>
    </w:p>
    <w:p w:rsidR="00E85FC1" w:rsidRPr="002A3F64" w:rsidRDefault="00E85FC1" w:rsidP="00914CB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sidRPr="002A3F64">
        <w:rPr>
          <w:rFonts w:hint="cs"/>
          <w:rtl/>
          <w:lang w:bidi="ar-EG"/>
        </w:rPr>
        <w:tab/>
      </w:r>
      <w:r w:rsidRPr="002A3F64">
        <w:rPr>
          <w:rFonts w:hint="cs"/>
          <w:rtl/>
          <w:lang w:bidi="ar-EG"/>
        </w:rPr>
        <w:tab/>
        <w:t>المسائل والإجراءات المعروضة على اللجنة فيما يتعلق بالمقبولية</w:t>
      </w:r>
    </w:p>
    <w:p w:rsidR="00E85FC1" w:rsidRPr="002A3F64" w:rsidRDefault="00E85FC1" w:rsidP="00C662D9">
      <w:pPr>
        <w:pStyle w:val="SingleTxt"/>
        <w:rPr>
          <w:rFonts w:hint="cs"/>
          <w:rtl/>
          <w:lang w:eastAsia="ar-SA" w:bidi="ar-EG"/>
        </w:rPr>
      </w:pPr>
      <w:r w:rsidRPr="002A3F64">
        <w:rPr>
          <w:rFonts w:hint="cs"/>
          <w:rtl/>
          <w:lang w:eastAsia="ar-SA" w:bidi="ar-EG"/>
        </w:rPr>
        <w:t>7-1</w:t>
      </w:r>
      <w:r w:rsidRPr="002A3F64">
        <w:rPr>
          <w:rFonts w:hint="cs"/>
          <w:rtl/>
          <w:lang w:eastAsia="ar-SA" w:bidi="ar-EG"/>
        </w:rPr>
        <w:tab/>
        <w:t xml:space="preserve">وفقاً للمادة 64 من نظام اللجنة الداخلي، يتعين عليها أن تقرر مدى مقبولية البلاغ بموجب البروتوكول الاختياري. وعملاً بالفقرة 4 من المادة 72 من النظام الداخلي، </w:t>
      </w:r>
      <w:r w:rsidR="00914CB6">
        <w:rPr>
          <w:rFonts w:hint="cs"/>
          <w:rtl/>
          <w:lang w:eastAsia="ar-SA" w:bidi="ar-EG"/>
        </w:rPr>
        <w:t xml:space="preserve">يتعين أن </w:t>
      </w:r>
      <w:r w:rsidRPr="002A3F64">
        <w:rPr>
          <w:rFonts w:hint="cs"/>
          <w:rtl/>
          <w:lang w:eastAsia="ar-SA" w:bidi="ar-EG"/>
        </w:rPr>
        <w:t>تقوم اللجنة بذلك قبل النظر في الأسس الموضوعية للبلاغ.</w:t>
      </w:r>
    </w:p>
    <w:p w:rsidR="00E85FC1" w:rsidRPr="002A3F64" w:rsidRDefault="00E85FC1" w:rsidP="00DB3291">
      <w:pPr>
        <w:pStyle w:val="SingleTxt"/>
        <w:rPr>
          <w:rFonts w:hint="cs"/>
          <w:spacing w:val="-3"/>
          <w:rtl/>
          <w:lang w:eastAsia="ar-SA" w:bidi="ar-EG"/>
        </w:rPr>
      </w:pPr>
      <w:r w:rsidRPr="002A3F64">
        <w:rPr>
          <w:rFonts w:hint="cs"/>
          <w:spacing w:val="-3"/>
          <w:rtl/>
          <w:lang w:eastAsia="ar-SA" w:bidi="ar-EG"/>
        </w:rPr>
        <w:t>7-2</w:t>
      </w:r>
      <w:r w:rsidRPr="002A3F64">
        <w:rPr>
          <w:rFonts w:hint="cs"/>
          <w:spacing w:val="-3"/>
          <w:rtl/>
          <w:lang w:eastAsia="ar-SA" w:bidi="ar-EG"/>
        </w:rPr>
        <w:tab/>
        <w:t xml:space="preserve">وفيما يختص بالفقرة 1 من المادة 4 من البروتوكول الاختياري التي تستلزم استنفاد سبل الانتصاف المحلية، تشير اللجنة إلى أن مقدمي البلاغات يتعين عليهم الاستفادة من سبل الانتصاف المتاحة لهم في النظام القانوني </w:t>
      </w:r>
      <w:r w:rsidR="00DB3291">
        <w:rPr>
          <w:rFonts w:hint="cs"/>
          <w:spacing w:val="-3"/>
          <w:rtl/>
          <w:lang w:eastAsia="ar-SA" w:bidi="ar-EG"/>
        </w:rPr>
        <w:t xml:space="preserve">الوطني </w:t>
      </w:r>
      <w:r w:rsidRPr="002A3F64">
        <w:rPr>
          <w:rFonts w:hint="cs"/>
          <w:spacing w:val="-3"/>
          <w:rtl/>
          <w:lang w:eastAsia="ar-SA" w:bidi="ar-EG"/>
        </w:rPr>
        <w:t>والتي تمكنهم من الحصول على الإنصاف إزاء الانتهاكات المزعومة</w:t>
      </w:r>
      <w:r w:rsidR="00DB3291" w:rsidRPr="00DB3291">
        <w:rPr>
          <w:spacing w:val="-3"/>
          <w:vertAlign w:val="superscript"/>
          <w:rtl/>
          <w:lang w:eastAsia="ar-SA" w:bidi="ar-EG"/>
        </w:rPr>
        <w:t>(</w:t>
      </w:r>
      <w:r w:rsidR="00DB3291" w:rsidRPr="00DB3291">
        <w:rPr>
          <w:rStyle w:val="FootnoteReference"/>
          <w:szCs w:val="30"/>
          <w:rtl/>
          <w:lang w:eastAsia="ar-SA"/>
        </w:rPr>
        <w:footnoteReference w:id="22"/>
      </w:r>
      <w:r w:rsidR="00DB3291" w:rsidRPr="00DB3291">
        <w:rPr>
          <w:spacing w:val="-3"/>
          <w:vertAlign w:val="superscript"/>
          <w:rtl/>
          <w:lang w:eastAsia="ar-SA" w:bidi="ar-EG"/>
        </w:rPr>
        <w:t>)</w:t>
      </w:r>
      <w:r w:rsidRPr="002A3F64">
        <w:rPr>
          <w:rFonts w:hint="cs"/>
          <w:spacing w:val="-3"/>
          <w:rtl/>
          <w:lang w:eastAsia="ar-SA" w:bidi="ar-EG"/>
        </w:rPr>
        <w:t xml:space="preserve">. وتعتبر اللجنة أن جوهر شكاوي صاحبة البلاغ يتصل بالأفكار الوهمية والقوالب النمطية الجنسانية المزعومة عن الاغتصاب وضحاياه، </w:t>
      </w:r>
      <w:r w:rsidR="00DB3291">
        <w:rPr>
          <w:rFonts w:hint="cs"/>
          <w:spacing w:val="-3"/>
          <w:rtl/>
          <w:lang w:eastAsia="ar-SA" w:bidi="ar-EG"/>
        </w:rPr>
        <w:t>و</w:t>
      </w:r>
      <w:r w:rsidRPr="002A3F64">
        <w:rPr>
          <w:rFonts w:hint="cs"/>
          <w:spacing w:val="-3"/>
          <w:rtl/>
          <w:lang w:eastAsia="ar-SA" w:bidi="ar-EG"/>
        </w:rPr>
        <w:t xml:space="preserve">خصوصاً </w:t>
      </w:r>
      <w:r w:rsidR="00DB3291">
        <w:rPr>
          <w:rFonts w:hint="cs"/>
          <w:spacing w:val="-3"/>
          <w:rtl/>
          <w:lang w:eastAsia="ar-SA" w:bidi="ar-EG"/>
        </w:rPr>
        <w:t>ذوات الإعاقة</w:t>
      </w:r>
      <w:r w:rsidRPr="002A3F64">
        <w:rPr>
          <w:rFonts w:hint="cs"/>
          <w:spacing w:val="-3"/>
          <w:rtl/>
          <w:lang w:eastAsia="ar-SA" w:bidi="ar-EG"/>
        </w:rPr>
        <w:t xml:space="preserve">، </w:t>
      </w:r>
      <w:r w:rsidR="00DB3291">
        <w:rPr>
          <w:rFonts w:hint="cs"/>
          <w:spacing w:val="-3"/>
          <w:rtl/>
          <w:lang w:eastAsia="ar-SA" w:bidi="ar-EG"/>
        </w:rPr>
        <w:t xml:space="preserve">التي </w:t>
      </w:r>
      <w:r w:rsidRPr="002A3F64">
        <w:rPr>
          <w:rFonts w:hint="cs"/>
          <w:spacing w:val="-3"/>
          <w:rtl/>
          <w:lang w:eastAsia="ar-SA" w:bidi="ar-EG"/>
        </w:rPr>
        <w:t>استند إليها حكم المحكمة الابتدائية وأفضى إلى تبرئة المتهم. وتلاحظ الإيضاحات المقدمة من صاحبة البلاغ والدولة الطرف على السواء، التي تفيد بأن حكم البراءة نهائي وغير قابل للطعن. وتلاحظ أيضاً الحجة التي ساقتها الدولة الطرف بأنه يتعين إعلان عدم مقبولية البلاغ بموجب الفقرة 1 من المادة 4 من البروتوكول الاختياري استناداً إلى عدم استنفاد سبل الانتصاف المحلية نظراً إلى أن صاحبة البلاغ لم</w:t>
      </w:r>
      <w:r w:rsidRPr="002A3F64">
        <w:rPr>
          <w:spacing w:val="-3"/>
          <w:rtl/>
          <w:lang w:eastAsia="ar-SA" w:bidi="ar-EG"/>
        </w:rPr>
        <w:t> </w:t>
      </w:r>
      <w:r w:rsidRPr="002A3F64">
        <w:rPr>
          <w:rFonts w:hint="cs"/>
          <w:spacing w:val="-3"/>
          <w:rtl/>
          <w:lang w:eastAsia="ar-SA" w:bidi="ar-EG"/>
        </w:rPr>
        <w:t xml:space="preserve">تلجأ إلى الاستفادة من وسيلة الانتصاف الخاصة التي تقضي بمراجعة إجراءات </w:t>
      </w:r>
      <w:r w:rsidRPr="002A3F64">
        <w:rPr>
          <w:rFonts w:hint="cs"/>
          <w:i/>
          <w:iCs/>
          <w:spacing w:val="-3"/>
          <w:rtl/>
          <w:lang w:eastAsia="ar-SA" w:bidi="ar-EG"/>
        </w:rPr>
        <w:t>القضية</w:t>
      </w:r>
      <w:r w:rsidRPr="002A3F64">
        <w:rPr>
          <w:rFonts w:hint="cs"/>
          <w:spacing w:val="-3"/>
          <w:rtl/>
          <w:lang w:eastAsia="ar-SA" w:bidi="ar-EG"/>
        </w:rPr>
        <w:t xml:space="preserve"> والمنصوص عليها في البند 1 من المادة 65 من لائحة المحكمة.</w:t>
      </w:r>
    </w:p>
    <w:p w:rsidR="00E85FC1" w:rsidRPr="002A3F64" w:rsidRDefault="00E85FC1" w:rsidP="00DB3291">
      <w:pPr>
        <w:pStyle w:val="SingleTxt"/>
        <w:rPr>
          <w:rFonts w:hint="cs"/>
          <w:rtl/>
          <w:lang w:eastAsia="ar-SA" w:bidi="ar-EG"/>
        </w:rPr>
      </w:pPr>
      <w:r w:rsidRPr="002A3F64">
        <w:rPr>
          <w:rFonts w:hint="cs"/>
          <w:rtl/>
          <w:lang w:eastAsia="ar-SA" w:bidi="ar-EG"/>
        </w:rPr>
        <w:t>7-3</w:t>
      </w:r>
      <w:r w:rsidRPr="002A3F64">
        <w:rPr>
          <w:rFonts w:hint="cs"/>
          <w:rtl/>
          <w:lang w:eastAsia="ar-SA" w:bidi="ar-EG"/>
        </w:rPr>
        <w:tab/>
        <w:t xml:space="preserve">وتشير اللجنة إلى اجتهادها القضائي، خاصة في قضية </w:t>
      </w:r>
      <w:r w:rsidRPr="002A3F64">
        <w:rPr>
          <w:rFonts w:hint="cs"/>
          <w:i/>
          <w:iCs/>
          <w:rtl/>
          <w:lang w:eastAsia="ar-SA" w:bidi="ar-EG"/>
        </w:rPr>
        <w:t>فيرتيدو ضد الفلبين</w:t>
      </w:r>
      <w:r w:rsidRPr="002A3F64">
        <w:rPr>
          <w:rFonts w:hint="cs"/>
          <w:rtl/>
          <w:lang w:eastAsia="ar-SA" w:bidi="ar-EG"/>
        </w:rPr>
        <w:t xml:space="preserve">، حيث قررت أن وسيلة الانتصاف التي تقضي بمراجعة إجراءات </w:t>
      </w:r>
      <w:r w:rsidRPr="002A3F64">
        <w:rPr>
          <w:rFonts w:hint="cs"/>
          <w:i/>
          <w:iCs/>
          <w:rtl/>
          <w:lang w:eastAsia="ar-SA" w:bidi="ar-EG"/>
        </w:rPr>
        <w:t>القضية</w:t>
      </w:r>
      <w:r w:rsidRPr="002A3F64">
        <w:rPr>
          <w:rFonts w:hint="cs"/>
          <w:rtl/>
          <w:lang w:eastAsia="ar-SA" w:bidi="ar-EG"/>
        </w:rPr>
        <w:t xml:space="preserve"> لم</w:t>
      </w:r>
      <w:r w:rsidRPr="002A3F64">
        <w:rPr>
          <w:rtl/>
          <w:lang w:eastAsia="ar-SA" w:bidi="ar-EG"/>
        </w:rPr>
        <w:t> </w:t>
      </w:r>
      <w:r w:rsidRPr="002A3F64">
        <w:rPr>
          <w:rFonts w:hint="cs"/>
          <w:rtl/>
          <w:lang w:eastAsia="ar-SA" w:bidi="ar-EG"/>
        </w:rPr>
        <w:t>تكن متاحة أمام صاحبة البلاغ، خصوصاً لأنها متاحة فحسب أمام شعب الفلبين الذي يمثله مكتب الوكيل العام؛ وأن المقصود منها تصحيح ما</w:t>
      </w:r>
      <w:r w:rsidRPr="002A3F64">
        <w:rPr>
          <w:rtl/>
          <w:lang w:eastAsia="ar-SA" w:bidi="ar-EG"/>
        </w:rPr>
        <w:t> </w:t>
      </w:r>
      <w:r w:rsidRPr="002A3F64">
        <w:rPr>
          <w:rFonts w:hint="cs"/>
          <w:rtl/>
          <w:lang w:eastAsia="ar-SA" w:bidi="ar-EG"/>
        </w:rPr>
        <w:t>يقع من أخطاء في الاختصاص وليس ما</w:t>
      </w:r>
      <w:r w:rsidRPr="002A3F64">
        <w:rPr>
          <w:rtl/>
          <w:lang w:eastAsia="ar-SA" w:bidi="ar-EG"/>
        </w:rPr>
        <w:t> </w:t>
      </w:r>
      <w:r w:rsidRPr="002A3F64">
        <w:rPr>
          <w:rFonts w:hint="cs"/>
          <w:rtl/>
          <w:lang w:eastAsia="ar-SA" w:bidi="ar-EG"/>
        </w:rPr>
        <w:t xml:space="preserve">يقع من أخطاء في الحكم، في حين أن التمييز الجنساني يرجح اعتباره خطأ في الحكم؛ وأن مراجعة إجراءات </w:t>
      </w:r>
      <w:r w:rsidRPr="002A3F64">
        <w:rPr>
          <w:rFonts w:hint="cs"/>
          <w:i/>
          <w:iCs/>
          <w:rtl/>
          <w:lang w:eastAsia="ar-SA" w:bidi="ar-EG"/>
        </w:rPr>
        <w:t>القضية</w:t>
      </w:r>
      <w:r w:rsidRPr="002A3F64">
        <w:rPr>
          <w:rFonts w:hint="cs"/>
          <w:rtl/>
          <w:lang w:eastAsia="ar-SA" w:bidi="ar-EG"/>
        </w:rPr>
        <w:t xml:space="preserve"> هي وسيلة انتصاف مدنية</w:t>
      </w:r>
      <w:r w:rsidR="00DB3291" w:rsidRPr="00DB3291">
        <w:rPr>
          <w:vertAlign w:val="superscript"/>
          <w:rtl/>
          <w:lang w:eastAsia="ar-SA" w:bidi="ar-EG"/>
        </w:rPr>
        <w:t>(</w:t>
      </w:r>
      <w:r w:rsidR="00DB3291" w:rsidRPr="00DB3291">
        <w:rPr>
          <w:rStyle w:val="FootnoteReference"/>
          <w:szCs w:val="30"/>
          <w:rtl/>
          <w:lang w:eastAsia="ar-SA"/>
        </w:rPr>
        <w:footnoteReference w:id="23"/>
      </w:r>
      <w:r w:rsidR="00DB3291" w:rsidRPr="00DB3291">
        <w:rPr>
          <w:vertAlign w:val="superscript"/>
          <w:rtl/>
          <w:lang w:eastAsia="ar-SA" w:bidi="ar-EG"/>
        </w:rPr>
        <w:t>)</w:t>
      </w:r>
      <w:r w:rsidRPr="002A3F64">
        <w:rPr>
          <w:rFonts w:hint="cs"/>
          <w:rtl/>
          <w:lang w:eastAsia="ar-SA" w:bidi="ar-EG"/>
        </w:rPr>
        <w:t xml:space="preserve">. وتلاحظ اللجنة أن وجود تماثل بين خلفيات الوقائع والإجراءات في القضيتين، وانعدام </w:t>
      </w:r>
      <w:r w:rsidR="00DB3291">
        <w:rPr>
          <w:rFonts w:hint="cs"/>
          <w:rtl/>
          <w:lang w:eastAsia="ar-SA" w:bidi="ar-EG"/>
        </w:rPr>
        <w:t xml:space="preserve">وجود </w:t>
      </w:r>
      <w:r w:rsidRPr="002A3F64">
        <w:rPr>
          <w:rFonts w:hint="cs"/>
          <w:rtl/>
          <w:lang w:eastAsia="ar-SA" w:bidi="ar-EG"/>
        </w:rPr>
        <w:t>معلومات جديدة وثيقة الصلة من الدولة الطرف بصدد المسألة لا</w:t>
      </w:r>
      <w:r w:rsidRPr="002A3F64">
        <w:rPr>
          <w:rtl/>
          <w:lang w:eastAsia="ar-SA" w:bidi="ar-EG"/>
        </w:rPr>
        <w:t> </w:t>
      </w:r>
      <w:r w:rsidRPr="002A3F64">
        <w:rPr>
          <w:rFonts w:hint="cs"/>
          <w:rtl/>
          <w:lang w:eastAsia="ar-SA" w:bidi="ar-EG"/>
        </w:rPr>
        <w:t xml:space="preserve">يسوغان الخروج باستنتاج </w:t>
      </w:r>
      <w:r w:rsidR="00DB3291">
        <w:rPr>
          <w:rFonts w:hint="cs"/>
          <w:rtl/>
          <w:lang w:eastAsia="ar-SA" w:bidi="ar-EG"/>
        </w:rPr>
        <w:t xml:space="preserve">آخر </w:t>
      </w:r>
      <w:r w:rsidRPr="002A3F64">
        <w:rPr>
          <w:rFonts w:hint="cs"/>
          <w:rtl/>
          <w:lang w:eastAsia="ar-SA" w:bidi="ar-EG"/>
        </w:rPr>
        <w:t>في هذه القضية. وفي</w:t>
      </w:r>
      <w:r w:rsidRPr="002A3F64">
        <w:rPr>
          <w:rtl/>
          <w:lang w:eastAsia="ar-SA" w:bidi="ar-EG"/>
        </w:rPr>
        <w:t> </w:t>
      </w:r>
      <w:r w:rsidRPr="002A3F64">
        <w:rPr>
          <w:rFonts w:hint="cs"/>
          <w:rtl/>
          <w:lang w:eastAsia="ar-SA" w:bidi="ar-EG"/>
        </w:rPr>
        <w:t>ظل هذه الظروف، تعتبر اللجنة أن الفقرة 1 من المادة 4 من البروتوكول الاختياري لا</w:t>
      </w:r>
      <w:r w:rsidRPr="002A3F64">
        <w:rPr>
          <w:rtl/>
          <w:lang w:eastAsia="ar-SA" w:bidi="ar-EG"/>
        </w:rPr>
        <w:t> </w:t>
      </w:r>
      <w:r w:rsidRPr="002A3F64">
        <w:rPr>
          <w:rFonts w:hint="cs"/>
          <w:rtl/>
          <w:lang w:eastAsia="ar-SA" w:bidi="ar-EG"/>
        </w:rPr>
        <w:t>تحول دون نظرها في ه</w:t>
      </w:r>
      <w:r w:rsidR="00DB3291">
        <w:rPr>
          <w:rFonts w:hint="cs"/>
          <w:rtl/>
          <w:lang w:eastAsia="ar-SA" w:bidi="ar-EG"/>
        </w:rPr>
        <w:t>ذا </w:t>
      </w:r>
      <w:r w:rsidRPr="002A3F64">
        <w:rPr>
          <w:rFonts w:hint="cs"/>
          <w:rtl/>
          <w:lang w:eastAsia="ar-SA" w:bidi="ar-EG"/>
        </w:rPr>
        <w:t>البلاغ.</w:t>
      </w:r>
    </w:p>
    <w:p w:rsidR="00E85FC1" w:rsidRPr="002A3F64" w:rsidRDefault="00E85FC1" w:rsidP="00C662D9">
      <w:pPr>
        <w:pStyle w:val="SingleTxt"/>
        <w:rPr>
          <w:rFonts w:hint="cs"/>
          <w:rtl/>
          <w:lang w:eastAsia="ar-SA" w:bidi="ar-EG"/>
        </w:rPr>
      </w:pPr>
      <w:r w:rsidRPr="002A3F64">
        <w:rPr>
          <w:rFonts w:hint="cs"/>
          <w:rtl/>
          <w:lang w:eastAsia="ar-SA" w:bidi="ar-EG"/>
        </w:rPr>
        <w:t>7-4</w:t>
      </w:r>
      <w:r w:rsidRPr="002A3F64">
        <w:rPr>
          <w:rFonts w:hint="cs"/>
          <w:rtl/>
          <w:lang w:eastAsia="ar-SA" w:bidi="ar-EG"/>
        </w:rPr>
        <w:tab/>
        <w:t>وقد اطمأنت اللجنة، وفقاً للفقرة 2(أ) من المادة 4 من البروتوكول الاختياري، إلى أن المسألة ذاتها لم</w:t>
      </w:r>
      <w:r w:rsidRPr="002A3F64">
        <w:rPr>
          <w:rtl/>
          <w:lang w:eastAsia="ar-SA" w:bidi="ar-EG"/>
        </w:rPr>
        <w:t> </w:t>
      </w:r>
      <w:r w:rsidRPr="002A3F64">
        <w:rPr>
          <w:rFonts w:hint="cs"/>
          <w:rtl/>
          <w:lang w:eastAsia="ar-SA" w:bidi="ar-EG"/>
        </w:rPr>
        <w:t>يُنظر فيها ولا</w:t>
      </w:r>
      <w:r w:rsidRPr="002A3F64">
        <w:rPr>
          <w:rtl/>
          <w:lang w:eastAsia="ar-SA" w:bidi="ar-EG"/>
        </w:rPr>
        <w:t> </w:t>
      </w:r>
      <w:r w:rsidRPr="002A3F64">
        <w:rPr>
          <w:rFonts w:hint="cs"/>
          <w:rtl/>
          <w:lang w:eastAsia="ar-SA" w:bidi="ar-EG"/>
        </w:rPr>
        <w:t>يجري النظر فيها في إطار إجراء آخر من إجراءات التحقيق الدولي أو</w:t>
      </w:r>
      <w:r w:rsidRPr="002A3F64">
        <w:rPr>
          <w:rtl/>
          <w:lang w:eastAsia="ar-SA" w:bidi="ar-EG"/>
        </w:rPr>
        <w:t> </w:t>
      </w:r>
      <w:r w:rsidRPr="002A3F64">
        <w:rPr>
          <w:rFonts w:hint="cs"/>
          <w:rtl/>
          <w:lang w:eastAsia="ar-SA" w:bidi="ar-EG"/>
        </w:rPr>
        <w:t>التسوية الدولية.</w:t>
      </w:r>
    </w:p>
    <w:p w:rsidR="00E85FC1" w:rsidRPr="002A3F64" w:rsidRDefault="00E85FC1" w:rsidP="00242C83">
      <w:pPr>
        <w:pStyle w:val="SingleTxt"/>
        <w:rPr>
          <w:rFonts w:hint="cs"/>
          <w:rtl/>
          <w:lang w:eastAsia="ar-SA" w:bidi="ar-EG"/>
        </w:rPr>
      </w:pPr>
      <w:r w:rsidRPr="002A3F64">
        <w:rPr>
          <w:rFonts w:hint="cs"/>
          <w:rtl/>
          <w:lang w:eastAsia="ar-SA" w:bidi="ar-EG"/>
        </w:rPr>
        <w:t>7-5</w:t>
      </w:r>
      <w:r w:rsidRPr="002A3F64">
        <w:rPr>
          <w:rFonts w:hint="cs"/>
          <w:rtl/>
          <w:lang w:eastAsia="ar-SA" w:bidi="ar-EG"/>
        </w:rPr>
        <w:tab/>
        <w:t>وتشير اللجنة إلى أنها لا</w:t>
      </w:r>
      <w:r w:rsidRPr="002A3F64">
        <w:rPr>
          <w:rtl/>
          <w:lang w:eastAsia="ar-SA" w:bidi="ar-EG"/>
        </w:rPr>
        <w:t> </w:t>
      </w:r>
      <w:r w:rsidRPr="002A3F64">
        <w:rPr>
          <w:rFonts w:hint="cs"/>
          <w:rtl/>
          <w:lang w:eastAsia="ar-SA" w:bidi="ar-EG"/>
        </w:rPr>
        <w:t xml:space="preserve">تحل محل السلطات </w:t>
      </w:r>
      <w:r w:rsidR="00242C83">
        <w:rPr>
          <w:rFonts w:hint="cs"/>
          <w:rtl/>
          <w:lang w:eastAsia="ar-SA" w:bidi="ar-EG"/>
        </w:rPr>
        <w:t xml:space="preserve">الوطنية </w:t>
      </w:r>
      <w:r w:rsidRPr="002A3F64">
        <w:rPr>
          <w:rFonts w:hint="cs"/>
          <w:rtl/>
          <w:lang w:eastAsia="ar-SA" w:bidi="ar-EG"/>
        </w:rPr>
        <w:t>في تقييم الحقائق، ولا</w:t>
      </w:r>
      <w:r w:rsidRPr="002A3F64">
        <w:rPr>
          <w:rtl/>
          <w:lang w:eastAsia="ar-SA" w:bidi="ar-EG"/>
        </w:rPr>
        <w:t> </w:t>
      </w:r>
      <w:r w:rsidRPr="002A3F64">
        <w:rPr>
          <w:rFonts w:hint="cs"/>
          <w:rtl/>
          <w:lang w:eastAsia="ar-SA" w:bidi="ar-EG"/>
        </w:rPr>
        <w:t>تبت بشأن المسؤولية الجنائية للجاني المزعوم</w:t>
      </w:r>
      <w:r w:rsidR="00242C83" w:rsidRPr="00242C83">
        <w:rPr>
          <w:vertAlign w:val="superscript"/>
          <w:rtl/>
          <w:lang w:eastAsia="ar-SA" w:bidi="ar-EG"/>
        </w:rPr>
        <w:t>(</w:t>
      </w:r>
      <w:r w:rsidR="00242C83" w:rsidRPr="00242C83">
        <w:rPr>
          <w:rStyle w:val="FootnoteReference"/>
          <w:szCs w:val="30"/>
          <w:rtl/>
          <w:lang w:eastAsia="ar-SA"/>
        </w:rPr>
        <w:footnoteReference w:id="24"/>
      </w:r>
      <w:r w:rsidR="00242C83" w:rsidRPr="00242C83">
        <w:rPr>
          <w:vertAlign w:val="superscript"/>
          <w:rtl/>
          <w:lang w:eastAsia="ar-SA" w:bidi="ar-EG"/>
        </w:rPr>
        <w:t>)</w:t>
      </w:r>
      <w:r w:rsidRPr="002A3F64">
        <w:rPr>
          <w:rFonts w:hint="cs"/>
          <w:rtl/>
          <w:lang w:eastAsia="ar-SA" w:bidi="ar-EG"/>
        </w:rPr>
        <w:t>.</w:t>
      </w:r>
    </w:p>
    <w:p w:rsidR="00E85FC1" w:rsidRPr="002A3F64" w:rsidRDefault="00E85FC1" w:rsidP="00C662D9">
      <w:pPr>
        <w:pStyle w:val="SingleTxt"/>
        <w:rPr>
          <w:rFonts w:hint="cs"/>
          <w:rtl/>
          <w:lang w:eastAsia="ar-SA" w:bidi="ar-EG"/>
        </w:rPr>
      </w:pPr>
      <w:r w:rsidRPr="002A3F64">
        <w:rPr>
          <w:rFonts w:hint="cs"/>
          <w:rtl/>
          <w:lang w:eastAsia="ar-SA" w:bidi="ar-EG"/>
        </w:rPr>
        <w:t>7-6</w:t>
      </w:r>
      <w:r w:rsidRPr="002A3F64">
        <w:rPr>
          <w:rFonts w:hint="cs"/>
          <w:rtl/>
          <w:lang w:eastAsia="ar-SA" w:bidi="ar-EG"/>
        </w:rPr>
        <w:tab/>
        <w:t>وتعتبر اللجنة أن المزاعم التي أوردتها صاحبة البلاغ في إطار المادة 1 والفقرات (ج) و(د) و(و) من المادة 2 من الاتفاقية مدع</w:t>
      </w:r>
      <w:r w:rsidR="00242C83">
        <w:rPr>
          <w:rFonts w:hint="cs"/>
          <w:rtl/>
          <w:lang w:eastAsia="ar-SA" w:bidi="ar-EG"/>
        </w:rPr>
        <w:t>و</w:t>
      </w:r>
      <w:r w:rsidRPr="002A3F64">
        <w:rPr>
          <w:rFonts w:hint="cs"/>
          <w:rtl/>
          <w:lang w:eastAsia="ar-SA" w:bidi="ar-EG"/>
        </w:rPr>
        <w:t>مة ببراهين كافية لأغراض المقبولية. وعليه، تعلن اللجنة أن البلاغ مقبول وتمضي قدماً في النظر في أسسه الموضوعية.</w:t>
      </w:r>
    </w:p>
    <w:p w:rsidR="00242C83" w:rsidRPr="00242C83" w:rsidRDefault="00242C83" w:rsidP="00242C83">
      <w:pPr>
        <w:pStyle w:val="H23GA"/>
        <w:spacing w:before="0" w:after="0" w:line="120" w:lineRule="exact"/>
        <w:rPr>
          <w:rFonts w:hint="cs"/>
          <w:w w:val="103"/>
          <w:sz w:val="10"/>
          <w:rtl/>
          <w:lang w:bidi="ar-EG"/>
        </w:rPr>
      </w:pPr>
    </w:p>
    <w:p w:rsidR="00E85FC1" w:rsidRPr="002A3F64" w:rsidRDefault="00E85FC1" w:rsidP="00242C83">
      <w:pPr>
        <w:pStyle w:val="H23"/>
        <w:tabs>
          <w:tab w:val="left" w:pos="662"/>
          <w:tab w:val="left" w:pos="1325"/>
          <w:tab w:val="left" w:pos="1987"/>
          <w:tab w:val="left" w:pos="2650"/>
          <w:tab w:val="left" w:pos="3312"/>
          <w:tab w:val="left" w:pos="3974"/>
          <w:tab w:val="left" w:pos="4637"/>
        </w:tabs>
        <w:ind w:left="662" w:hanging="662"/>
        <w:jc w:val="lowKashida"/>
        <w:rPr>
          <w:rFonts w:hint="cs"/>
          <w:rtl/>
          <w:lang w:bidi="ar-EG"/>
        </w:rPr>
      </w:pPr>
      <w:r w:rsidRPr="002A3F64">
        <w:rPr>
          <w:rFonts w:hint="cs"/>
          <w:rtl/>
          <w:lang w:bidi="ar-EG"/>
        </w:rPr>
        <w:tab/>
      </w:r>
      <w:r w:rsidRPr="002A3F64">
        <w:rPr>
          <w:rFonts w:hint="cs"/>
          <w:rtl/>
          <w:lang w:bidi="ar-EG"/>
        </w:rPr>
        <w:tab/>
        <w:t>النظر في الأسس الموضوعية</w:t>
      </w:r>
    </w:p>
    <w:p w:rsidR="00E85FC1" w:rsidRPr="002A3F64" w:rsidRDefault="00E85FC1" w:rsidP="00242C83">
      <w:pPr>
        <w:pStyle w:val="SingleTxt"/>
        <w:rPr>
          <w:rFonts w:hint="cs"/>
          <w:rtl/>
          <w:lang w:eastAsia="ar-SA" w:bidi="ar-EG"/>
        </w:rPr>
      </w:pPr>
      <w:r w:rsidRPr="002A3F64">
        <w:rPr>
          <w:rFonts w:hint="cs"/>
          <w:rtl/>
          <w:lang w:eastAsia="ar-SA" w:bidi="ar-EG"/>
        </w:rPr>
        <w:t>8-1</w:t>
      </w:r>
      <w:r w:rsidRPr="002A3F64">
        <w:rPr>
          <w:rFonts w:hint="cs"/>
          <w:rtl/>
          <w:lang w:eastAsia="ar-SA" w:bidi="ar-EG"/>
        </w:rPr>
        <w:tab/>
        <w:t>نظرت اللجنة في هذا البلاغ في ضوء جميع المعلومات التي أتاحتها لها صاحبة البلاغ والدولة الطرف، وفقاً للفقرة 1 من المادة 7 من البروتوكول الاختياري.</w:t>
      </w:r>
    </w:p>
    <w:p w:rsidR="00E85FC1" w:rsidRPr="002A3F64" w:rsidRDefault="00E85FC1" w:rsidP="00242C83">
      <w:pPr>
        <w:pStyle w:val="SingleTxt"/>
        <w:rPr>
          <w:rFonts w:hint="cs"/>
          <w:rtl/>
          <w:lang w:eastAsia="ar-SA" w:bidi="ar-EG"/>
        </w:rPr>
      </w:pPr>
      <w:r w:rsidRPr="002A3F64">
        <w:rPr>
          <w:rFonts w:hint="cs"/>
          <w:rtl/>
          <w:lang w:eastAsia="ar-SA" w:bidi="ar-EG"/>
        </w:rPr>
        <w:t>8-2</w:t>
      </w:r>
      <w:r w:rsidRPr="002A3F64">
        <w:rPr>
          <w:rFonts w:hint="cs"/>
          <w:rtl/>
          <w:lang w:eastAsia="ar-SA" w:bidi="ar-EG"/>
        </w:rPr>
        <w:tab/>
        <w:t>وتلاحظ اللجنة المزاعم التي أوردتها صاحبة البلاغ بأن الدولة الطرف لم</w:t>
      </w:r>
      <w:r w:rsidRPr="002A3F64">
        <w:rPr>
          <w:rtl/>
          <w:lang w:eastAsia="ar-SA" w:bidi="ar-EG"/>
        </w:rPr>
        <w:t> </w:t>
      </w:r>
      <w:r w:rsidRPr="002A3F64">
        <w:rPr>
          <w:rFonts w:hint="cs"/>
          <w:rtl/>
          <w:lang w:eastAsia="ar-SA" w:bidi="ar-EG"/>
        </w:rPr>
        <w:t>توفر الحماية لها من التمييز الجنساني، خصوصاً بعدم تقديم تسهيلات لها في المحكمة كامرأة صماء بكماء، على قدم المساواة مع غيرها من الضحايا. وفي</w:t>
      </w:r>
      <w:r w:rsidRPr="002A3F64">
        <w:rPr>
          <w:rtl/>
          <w:lang w:eastAsia="ar-SA" w:bidi="ar-EG"/>
        </w:rPr>
        <w:t> </w:t>
      </w:r>
      <w:r w:rsidRPr="002A3F64">
        <w:rPr>
          <w:rFonts w:hint="cs"/>
          <w:rtl/>
          <w:lang w:eastAsia="ar-SA" w:bidi="ar-EG"/>
        </w:rPr>
        <w:t>هذا الصدد، تلاحظ اللجنة أن الادعاءات المحددة التي ساقتها صاحبة البلاغ في هذا الصدد تتصل بوجه خاص باستعمال المحكمة الابتدائية أفكاراً وهمية وقوالب نمطية جنسانية عن الاغتصاب وضحاياه، مما</w:t>
      </w:r>
      <w:r w:rsidRPr="002A3F64">
        <w:rPr>
          <w:rtl/>
          <w:lang w:eastAsia="ar-SA" w:bidi="ar-EG"/>
        </w:rPr>
        <w:t> </w:t>
      </w:r>
      <w:r w:rsidRPr="002A3F64">
        <w:rPr>
          <w:rFonts w:hint="cs"/>
          <w:rtl/>
          <w:lang w:eastAsia="ar-SA" w:bidi="ar-EG"/>
        </w:rPr>
        <w:t xml:space="preserve">أفضى إلى تبرئة الجاني المفترض؛ وإخفاق المحكمة في النظر في وضعها الضعيف كفتاة صماء وعدم تزويدها </w:t>
      </w:r>
      <w:r w:rsidR="00242C83">
        <w:rPr>
          <w:rFonts w:hint="cs"/>
          <w:rtl/>
          <w:lang w:eastAsia="ar-SA" w:bidi="ar-EG"/>
        </w:rPr>
        <w:t xml:space="preserve">بالترتيبات </w:t>
      </w:r>
      <w:r w:rsidRPr="002A3F64">
        <w:rPr>
          <w:rFonts w:hint="cs"/>
          <w:rtl/>
          <w:lang w:eastAsia="ar-SA" w:bidi="ar-EG"/>
        </w:rPr>
        <w:t>التيسيرية المعقولة على ذلك الأساس، من قبيل الترجمة بلغة الإشارة؛ وكذلك إخفاق المحكمة في تسيير الإجراءات دون تأخير غير مبرر. وسوف تقرر اللجنة ما</w:t>
      </w:r>
      <w:r w:rsidRPr="002A3F64">
        <w:rPr>
          <w:rtl/>
          <w:lang w:eastAsia="ar-SA" w:bidi="ar-EG"/>
        </w:rPr>
        <w:t> </w:t>
      </w:r>
      <w:r w:rsidRPr="002A3F64">
        <w:rPr>
          <w:rFonts w:hint="cs"/>
          <w:rtl/>
          <w:lang w:eastAsia="ar-SA" w:bidi="ar-EG"/>
        </w:rPr>
        <w:t>إذا كان ما</w:t>
      </w:r>
      <w:r w:rsidRPr="002A3F64">
        <w:rPr>
          <w:rtl/>
          <w:lang w:eastAsia="ar-SA" w:bidi="ar-EG"/>
        </w:rPr>
        <w:t> </w:t>
      </w:r>
      <w:r w:rsidRPr="002A3F64">
        <w:rPr>
          <w:rFonts w:hint="cs"/>
          <w:rtl/>
          <w:lang w:eastAsia="ar-SA" w:bidi="ar-EG"/>
        </w:rPr>
        <w:t>سلف ذكره يرقى إلى انتهاك لحقوق صاحبة البلاغ وإخلال بالالتزامات المقابلة الواقعة على كاهل الدولة الطرف بأن تعمل على إنهاء التمييز في العملية القانونية بمقتضى المادة 1 والفقرات (ج) و(د) و(و) من المادة 2 من الاتفاقية.</w:t>
      </w:r>
    </w:p>
    <w:p w:rsidR="00E85FC1" w:rsidRPr="002A3F64" w:rsidRDefault="00E85FC1" w:rsidP="00991DAD">
      <w:pPr>
        <w:pStyle w:val="SingleTxt"/>
        <w:rPr>
          <w:rFonts w:hint="cs"/>
          <w:rtl/>
          <w:lang w:eastAsia="ar-SA" w:bidi="ar-EG"/>
        </w:rPr>
      </w:pPr>
      <w:r w:rsidRPr="002A3F64">
        <w:rPr>
          <w:rFonts w:hint="cs"/>
          <w:rtl/>
          <w:lang w:eastAsia="ar-SA" w:bidi="ar-EG"/>
        </w:rPr>
        <w:t>8-3</w:t>
      </w:r>
      <w:r w:rsidRPr="002A3F64">
        <w:rPr>
          <w:rFonts w:hint="cs"/>
          <w:rtl/>
          <w:lang w:eastAsia="ar-SA" w:bidi="ar-EG"/>
        </w:rPr>
        <w:tab/>
        <w:t>وفيما يختص بادعاء صاحبة البلاغ المتصل بالمادة 2</w:t>
      </w:r>
      <w:r w:rsidR="00242C83">
        <w:rPr>
          <w:rFonts w:hint="cs"/>
          <w:rtl/>
          <w:lang w:eastAsia="ar-SA" w:bidi="ar-EG"/>
        </w:rPr>
        <w:t xml:space="preserve"> </w:t>
      </w:r>
      <w:r w:rsidRPr="002A3F64">
        <w:rPr>
          <w:rFonts w:hint="cs"/>
          <w:rtl/>
          <w:lang w:eastAsia="ar-SA" w:bidi="ar-EG"/>
        </w:rPr>
        <w:t>(ج) من الاتفاقية، تشير اللجنة إلى أن الحق في الحماية الفعالة، الذي يشمل أيضاً الحق في وسيلة انتصاف فعالة، مكرس في الاتفاقية</w:t>
      </w:r>
      <w:r w:rsidR="00242C83" w:rsidRPr="00242C83">
        <w:rPr>
          <w:vertAlign w:val="superscript"/>
          <w:rtl/>
          <w:lang w:eastAsia="ar-SA" w:bidi="ar-EG"/>
        </w:rPr>
        <w:t>(</w:t>
      </w:r>
      <w:r w:rsidR="00242C83" w:rsidRPr="00242C83">
        <w:rPr>
          <w:rStyle w:val="FootnoteReference"/>
          <w:szCs w:val="30"/>
          <w:rtl/>
          <w:lang w:eastAsia="ar-SA"/>
        </w:rPr>
        <w:footnoteReference w:id="25"/>
      </w:r>
      <w:r w:rsidR="00242C83" w:rsidRPr="00242C83">
        <w:rPr>
          <w:vertAlign w:val="superscript"/>
          <w:rtl/>
          <w:lang w:eastAsia="ar-SA" w:bidi="ar-EG"/>
        </w:rPr>
        <w:t>)</w:t>
      </w:r>
      <w:r w:rsidRPr="002A3F64">
        <w:rPr>
          <w:rFonts w:hint="cs"/>
          <w:rtl/>
          <w:lang w:eastAsia="ar-SA" w:bidi="ar-EG"/>
        </w:rPr>
        <w:t>. ويندرج ذلك الحق ضمن نطاق المادة 2</w:t>
      </w:r>
      <w:r w:rsidR="00242C83">
        <w:rPr>
          <w:rFonts w:hint="cs"/>
          <w:rtl/>
          <w:lang w:eastAsia="ar-SA" w:bidi="ar-EG"/>
        </w:rPr>
        <w:t xml:space="preserve"> </w:t>
      </w:r>
      <w:r w:rsidRPr="002A3F64">
        <w:rPr>
          <w:rFonts w:hint="cs"/>
          <w:rtl/>
          <w:lang w:eastAsia="ar-SA" w:bidi="ar-EG"/>
        </w:rPr>
        <w:t xml:space="preserve">(ج)، التي تستلزم بأن تعمل الدول الأطراف على </w:t>
      </w:r>
      <w:r w:rsidR="00991DAD">
        <w:rPr>
          <w:rFonts w:hint="cs"/>
          <w:rtl/>
          <w:lang w:eastAsia="ar-SA" w:bidi="ar-EG"/>
        </w:rPr>
        <w:t>”</w:t>
      </w:r>
      <w:r w:rsidRPr="002A3F64">
        <w:rPr>
          <w:rFonts w:hint="cs"/>
          <w:rtl/>
          <w:lang w:eastAsia="ar-SA" w:bidi="ar-EG"/>
        </w:rPr>
        <w:t>إقرار الحماية القانونية لحقوق المرأة على قدم المساواة مع الرجل وضمان الحماية الفعالة للمرأة، عن طريق المحاكم الوطنية ذات الاختصاص والمؤسسات العامة الأخرى، من أي عمل تمييزي</w:t>
      </w:r>
      <w:r w:rsidR="00991DAD">
        <w:rPr>
          <w:rFonts w:hint="cs"/>
          <w:rtl/>
          <w:lang w:eastAsia="ar-SA" w:bidi="ar-EG"/>
        </w:rPr>
        <w:t>“</w:t>
      </w:r>
      <w:r w:rsidRPr="002A3F64">
        <w:rPr>
          <w:rFonts w:hint="cs"/>
          <w:rtl/>
          <w:lang w:eastAsia="ar-SA" w:bidi="ar-EG"/>
        </w:rPr>
        <w:t>، بالاقتران مع الفقرتين 24</w:t>
      </w:r>
      <w:r w:rsidR="00C662D9">
        <w:rPr>
          <w:rFonts w:hint="cs"/>
          <w:rtl/>
          <w:lang w:eastAsia="ar-SA" w:bidi="ar-EG"/>
        </w:rPr>
        <w:t xml:space="preserve"> </w:t>
      </w:r>
      <w:r w:rsidRPr="002A3F64">
        <w:rPr>
          <w:rFonts w:hint="cs"/>
          <w:rtl/>
          <w:lang w:eastAsia="ar-SA" w:bidi="ar-EG"/>
        </w:rPr>
        <w:t>(ب) و</w:t>
      </w:r>
      <w:r w:rsidR="00C662D9">
        <w:rPr>
          <w:rFonts w:hint="cs"/>
          <w:rtl/>
          <w:lang w:eastAsia="ar-SA" w:bidi="ar-EG"/>
        </w:rPr>
        <w:t xml:space="preserve"> </w:t>
      </w:r>
      <w:r w:rsidRPr="002A3F64">
        <w:rPr>
          <w:rFonts w:hint="cs"/>
          <w:rtl/>
          <w:lang w:eastAsia="ar-SA" w:bidi="ar-EG"/>
        </w:rPr>
        <w:t>(ط) من التوصية العامة رقم</w:t>
      </w:r>
      <w:r w:rsidRPr="002A3F64">
        <w:rPr>
          <w:rFonts w:hint="eastAsia"/>
          <w:rtl/>
          <w:lang w:eastAsia="ar-SA" w:bidi="ar-EG"/>
        </w:rPr>
        <w:t> </w:t>
      </w:r>
      <w:r w:rsidRPr="002A3F64">
        <w:rPr>
          <w:rFonts w:hint="cs"/>
          <w:rtl/>
          <w:lang w:eastAsia="ar-SA" w:bidi="ar-EG"/>
        </w:rPr>
        <w:t xml:space="preserve">19، اللتين ينبغي بموجبهما للدول الأطراف ضمان </w:t>
      </w:r>
      <w:r w:rsidR="00991DAD">
        <w:rPr>
          <w:rFonts w:hint="cs"/>
          <w:rtl/>
          <w:lang w:eastAsia="ar-SA" w:bidi="ar-EG"/>
        </w:rPr>
        <w:t>”</w:t>
      </w:r>
      <w:r w:rsidRPr="002A3F64">
        <w:rPr>
          <w:rFonts w:hint="cs"/>
          <w:rtl/>
          <w:lang w:eastAsia="ar-SA" w:bidi="ar-EG"/>
        </w:rPr>
        <w:t>أن تتيح القوانين التي تناهض العنف وإساءة المعاملة في الأسرة والاغتصاب والاعتداء الجنسي وغير ذلك من العنف القائم على أساس الجنس، حماية كافية لجميع النساء، واحترام سلامتهن وكرامتهن</w:t>
      </w:r>
      <w:r w:rsidR="00991DAD">
        <w:rPr>
          <w:rFonts w:hint="cs"/>
          <w:rtl/>
          <w:lang w:eastAsia="ar-SA" w:bidi="ar-EG"/>
        </w:rPr>
        <w:t>“</w:t>
      </w:r>
      <w:r w:rsidRPr="002A3F64">
        <w:rPr>
          <w:rFonts w:hint="cs"/>
          <w:rtl/>
          <w:lang w:eastAsia="ar-SA" w:bidi="ar-EG"/>
        </w:rPr>
        <w:t xml:space="preserve"> وكفالة </w:t>
      </w:r>
      <w:r w:rsidR="00991DAD">
        <w:rPr>
          <w:rFonts w:hint="cs"/>
          <w:rtl/>
          <w:lang w:eastAsia="ar-SA" w:bidi="ar-EG"/>
        </w:rPr>
        <w:t>”</w:t>
      </w:r>
      <w:r w:rsidRPr="002A3F64">
        <w:rPr>
          <w:rFonts w:hint="cs"/>
          <w:rtl/>
          <w:lang w:eastAsia="ar-SA" w:bidi="ar-EG"/>
        </w:rPr>
        <w:t>إجراءات التظلم وسبل الانتصاف الفعالة، بما</w:t>
      </w:r>
      <w:r w:rsidRPr="002A3F64">
        <w:rPr>
          <w:rtl/>
          <w:lang w:eastAsia="ar-SA" w:bidi="ar-EG"/>
        </w:rPr>
        <w:t> </w:t>
      </w:r>
      <w:r w:rsidRPr="002A3F64">
        <w:rPr>
          <w:rFonts w:hint="cs"/>
          <w:rtl/>
          <w:lang w:eastAsia="ar-SA" w:bidi="ar-EG"/>
        </w:rPr>
        <w:t>في ذلك التعويض</w:t>
      </w:r>
      <w:r w:rsidR="00991DAD">
        <w:rPr>
          <w:rFonts w:hint="cs"/>
          <w:rtl/>
          <w:lang w:eastAsia="ar-SA" w:bidi="ar-EG"/>
        </w:rPr>
        <w:t>“</w:t>
      </w:r>
      <w:r w:rsidRPr="002A3F64">
        <w:rPr>
          <w:rFonts w:hint="cs"/>
          <w:rtl/>
          <w:lang w:eastAsia="ar-SA" w:bidi="ar-EG"/>
        </w:rPr>
        <w:t>، للتغلب على جميع أشكال العنف الجنساني. وتشير اللجنة أيضاً إلى أن فعالية سبل الانتصاف تستدعي النزاهة والحياد والسرعة وحسن التوقيت عند البت في قضية تتضمن مزاعم بحدوث اغتصاب وجرائم جنسية</w:t>
      </w:r>
      <w:r w:rsidR="00242C83" w:rsidRPr="00242C83">
        <w:rPr>
          <w:vertAlign w:val="superscript"/>
          <w:rtl/>
          <w:lang w:eastAsia="ar-SA" w:bidi="ar-EG"/>
        </w:rPr>
        <w:t>(</w:t>
      </w:r>
      <w:r w:rsidR="00242C83" w:rsidRPr="00242C83">
        <w:rPr>
          <w:rStyle w:val="FootnoteReference"/>
          <w:szCs w:val="30"/>
          <w:rtl/>
          <w:lang w:eastAsia="ar-SA"/>
        </w:rPr>
        <w:footnoteReference w:id="26"/>
      </w:r>
      <w:r w:rsidR="00242C83" w:rsidRPr="00242C83">
        <w:rPr>
          <w:vertAlign w:val="superscript"/>
          <w:rtl/>
          <w:lang w:eastAsia="ar-SA" w:bidi="ar-EG"/>
        </w:rPr>
        <w:t>)</w:t>
      </w:r>
      <w:r w:rsidRPr="002A3F64">
        <w:rPr>
          <w:rFonts w:hint="cs"/>
          <w:rtl/>
          <w:lang w:eastAsia="ar-SA" w:bidi="ar-EG"/>
        </w:rPr>
        <w:t>. وتشير كذلك إلى توصيتها العامة رقم</w:t>
      </w:r>
      <w:r w:rsidRPr="002A3F64">
        <w:rPr>
          <w:rFonts w:hint="eastAsia"/>
          <w:rtl/>
          <w:lang w:eastAsia="ar-SA" w:bidi="ar-EG"/>
        </w:rPr>
        <w:t> </w:t>
      </w:r>
      <w:r w:rsidRPr="002A3F64">
        <w:rPr>
          <w:rFonts w:hint="cs"/>
          <w:rtl/>
          <w:lang w:eastAsia="ar-SA" w:bidi="ar-EG"/>
        </w:rPr>
        <w:t xml:space="preserve">18، التي لاحظت فيها أن </w:t>
      </w:r>
      <w:r w:rsidR="00991DAD">
        <w:rPr>
          <w:rFonts w:hint="cs"/>
          <w:rtl/>
          <w:lang w:eastAsia="ar-SA" w:bidi="ar-EG"/>
        </w:rPr>
        <w:t>”</w:t>
      </w:r>
      <w:r w:rsidRPr="002A3F64">
        <w:rPr>
          <w:rFonts w:hint="cs"/>
          <w:rtl/>
          <w:lang w:eastAsia="ar-SA" w:bidi="ar-EG"/>
        </w:rPr>
        <w:t xml:space="preserve">المعاقات </w:t>
      </w:r>
      <w:r w:rsidR="00242C83">
        <w:rPr>
          <w:rFonts w:hint="cs"/>
          <w:rtl/>
          <w:lang w:eastAsia="ar-SA" w:bidi="ar-EG"/>
        </w:rPr>
        <w:t>ت</w:t>
      </w:r>
      <w:r w:rsidRPr="002A3F64">
        <w:rPr>
          <w:rFonts w:hint="cs"/>
          <w:rtl/>
          <w:lang w:eastAsia="ar-SA" w:bidi="ar-EG"/>
        </w:rPr>
        <w:t>عتبرن من الفئات الضعيفة، و</w:t>
      </w:r>
      <w:r w:rsidR="00242C83">
        <w:rPr>
          <w:rFonts w:hint="cs"/>
          <w:rtl/>
          <w:lang w:eastAsia="ar-SA" w:bidi="ar-EG"/>
        </w:rPr>
        <w:t>أنه</w:t>
      </w:r>
      <w:r w:rsidR="00AD6651">
        <w:rPr>
          <w:rFonts w:hint="cs"/>
          <w:rtl/>
          <w:lang w:eastAsia="ar-SA" w:bidi="ar-EG"/>
        </w:rPr>
        <w:t>ن</w:t>
      </w:r>
      <w:r w:rsidR="00242C83">
        <w:rPr>
          <w:rFonts w:hint="cs"/>
          <w:rtl/>
          <w:lang w:eastAsia="ar-SA" w:bidi="ar-EG"/>
        </w:rPr>
        <w:t xml:space="preserve"> ت</w:t>
      </w:r>
      <w:r w:rsidRPr="002A3F64">
        <w:rPr>
          <w:rFonts w:hint="cs"/>
          <w:rtl/>
          <w:lang w:eastAsia="ar-SA" w:bidi="ar-EG"/>
        </w:rPr>
        <w:t>عانين من تمييز مضاعف يتصل بظروفهن المعيشية الخاصة</w:t>
      </w:r>
      <w:r w:rsidR="00991DAD">
        <w:rPr>
          <w:rFonts w:hint="cs"/>
          <w:rtl/>
          <w:lang w:eastAsia="ar-SA" w:bidi="ar-EG"/>
        </w:rPr>
        <w:t>“</w:t>
      </w:r>
      <w:r w:rsidRPr="002A3F64">
        <w:rPr>
          <w:rFonts w:hint="cs"/>
          <w:rtl/>
          <w:lang w:eastAsia="ar-SA" w:bidi="ar-EG"/>
        </w:rPr>
        <w:t>. وفي</w:t>
      </w:r>
      <w:r w:rsidRPr="002A3F64">
        <w:rPr>
          <w:rtl/>
          <w:lang w:eastAsia="ar-SA" w:bidi="ar-EG"/>
        </w:rPr>
        <w:t> </w:t>
      </w:r>
      <w:r w:rsidRPr="002A3F64">
        <w:rPr>
          <w:rFonts w:hint="cs"/>
          <w:rtl/>
          <w:lang w:eastAsia="ar-SA" w:bidi="ar-EG"/>
        </w:rPr>
        <w:t>هذا الصدد، تؤكد اللجنة على أن</w:t>
      </w:r>
      <w:r w:rsidR="00AD6651">
        <w:rPr>
          <w:rFonts w:hint="cs"/>
          <w:rtl/>
          <w:lang w:eastAsia="ar-SA" w:bidi="ar-EG"/>
        </w:rPr>
        <w:t>ه</w:t>
      </w:r>
      <w:r w:rsidRPr="002A3F64">
        <w:rPr>
          <w:rFonts w:hint="cs"/>
          <w:rtl/>
          <w:lang w:eastAsia="ar-SA" w:bidi="ar-EG"/>
        </w:rPr>
        <w:t xml:space="preserve"> من المهم للغاية كفالة تمتع </w:t>
      </w:r>
      <w:r w:rsidR="00242C83">
        <w:rPr>
          <w:rFonts w:hint="cs"/>
          <w:rtl/>
          <w:lang w:eastAsia="ar-SA" w:bidi="ar-EG"/>
        </w:rPr>
        <w:t xml:space="preserve">النساء ذوات الإعاقة </w:t>
      </w:r>
      <w:r w:rsidRPr="002A3F64">
        <w:rPr>
          <w:rFonts w:hint="cs"/>
          <w:rtl/>
          <w:lang w:eastAsia="ar-SA" w:bidi="ar-EG"/>
        </w:rPr>
        <w:t>بحماية فعالة من التمييز الجنسي والجنساني توفرها الدول الأطراف، وإتاحة إمكانية حصولهن على سبل الانتصاف الفعالة.</w:t>
      </w:r>
    </w:p>
    <w:p w:rsidR="00E85FC1" w:rsidRPr="002A3F64" w:rsidRDefault="00E85FC1" w:rsidP="00242C83">
      <w:pPr>
        <w:pStyle w:val="SingleTxt"/>
        <w:rPr>
          <w:rFonts w:hint="cs"/>
          <w:spacing w:val="-2"/>
          <w:rtl/>
          <w:lang w:eastAsia="ar-SA" w:bidi="ar-EG"/>
        </w:rPr>
      </w:pPr>
      <w:r w:rsidRPr="002A3F64">
        <w:rPr>
          <w:rFonts w:hint="cs"/>
          <w:spacing w:val="-2"/>
          <w:rtl/>
          <w:lang w:eastAsia="ar-SA" w:bidi="ar-EG"/>
        </w:rPr>
        <w:t>8-4</w:t>
      </w:r>
      <w:r w:rsidRPr="002A3F64">
        <w:rPr>
          <w:rFonts w:hint="cs"/>
          <w:spacing w:val="-2"/>
          <w:rtl/>
          <w:lang w:eastAsia="ar-SA" w:bidi="ar-EG"/>
        </w:rPr>
        <w:tab/>
        <w:t>وبالنظر إلى ما</w:t>
      </w:r>
      <w:r w:rsidRPr="002A3F64">
        <w:rPr>
          <w:spacing w:val="-2"/>
          <w:rtl/>
          <w:lang w:eastAsia="ar-SA" w:bidi="ar-EG"/>
        </w:rPr>
        <w:t> </w:t>
      </w:r>
      <w:r w:rsidRPr="002A3F64">
        <w:rPr>
          <w:rFonts w:hint="cs"/>
          <w:spacing w:val="-2"/>
          <w:rtl/>
          <w:lang w:eastAsia="ar-SA" w:bidi="ar-EG"/>
        </w:rPr>
        <w:t>سلف، تلاحظ اللجنة الحقيقة التي لا</w:t>
      </w:r>
      <w:r w:rsidRPr="002A3F64">
        <w:rPr>
          <w:spacing w:val="-2"/>
          <w:rtl/>
          <w:lang w:eastAsia="ar-SA" w:bidi="ar-EG"/>
        </w:rPr>
        <w:t> </w:t>
      </w:r>
      <w:r w:rsidRPr="002A3F64">
        <w:rPr>
          <w:rFonts w:hint="cs"/>
          <w:spacing w:val="-2"/>
          <w:rtl/>
          <w:lang w:eastAsia="ar-SA" w:bidi="ar-EG"/>
        </w:rPr>
        <w:t>مراء فيها بأن قضية صاحبة البلاغ، التي استُمع فيها إلى إفادة صاحبة البلاغ وأمها والمتهم فحسب، ظلت قيد نظر المحكمة الابتدائية من عام</w:t>
      </w:r>
      <w:r w:rsidRPr="002A3F64">
        <w:rPr>
          <w:spacing w:val="-2"/>
          <w:rtl/>
          <w:lang w:eastAsia="ar-SA" w:bidi="ar-EG"/>
        </w:rPr>
        <w:t> </w:t>
      </w:r>
      <w:r w:rsidRPr="002A3F64">
        <w:rPr>
          <w:rFonts w:hint="cs"/>
          <w:spacing w:val="-2"/>
          <w:rtl/>
          <w:lang w:eastAsia="ar-SA" w:bidi="ar-EG"/>
        </w:rPr>
        <w:t>2006 حتى عام</w:t>
      </w:r>
      <w:r w:rsidRPr="002A3F64">
        <w:rPr>
          <w:spacing w:val="-2"/>
          <w:rtl/>
          <w:lang w:eastAsia="ar-SA" w:bidi="ar-EG"/>
        </w:rPr>
        <w:t> </w:t>
      </w:r>
      <w:r w:rsidRPr="002A3F64">
        <w:rPr>
          <w:rFonts w:hint="cs"/>
          <w:spacing w:val="-2"/>
          <w:rtl/>
          <w:lang w:eastAsia="ar-SA" w:bidi="ar-EG"/>
        </w:rPr>
        <w:t>2011. وتلاحظ أيضاً أن الدولة الطرف لم</w:t>
      </w:r>
      <w:r w:rsidRPr="002A3F64">
        <w:rPr>
          <w:spacing w:val="-2"/>
          <w:rtl/>
          <w:lang w:eastAsia="ar-SA" w:bidi="ar-EG"/>
        </w:rPr>
        <w:t> </w:t>
      </w:r>
      <w:r w:rsidRPr="002A3F64">
        <w:rPr>
          <w:rFonts w:hint="cs"/>
          <w:spacing w:val="-2"/>
          <w:rtl/>
          <w:lang w:eastAsia="ar-SA" w:bidi="ar-EG"/>
        </w:rPr>
        <w:t>تفند ادعاء صاحبة البلاغ بأن عدم قيام المحكمة الابتدائية بالتخطيط الكافي</w:t>
      </w:r>
      <w:r w:rsidR="00242C83">
        <w:rPr>
          <w:rFonts w:hint="cs"/>
          <w:spacing w:val="-2"/>
          <w:rtl/>
          <w:lang w:eastAsia="ar-SA" w:bidi="ar-EG"/>
        </w:rPr>
        <w:t xml:space="preserve"> إضافة إلى </w:t>
      </w:r>
      <w:r w:rsidRPr="002A3F64">
        <w:rPr>
          <w:rFonts w:hint="cs"/>
          <w:spacing w:val="-2"/>
          <w:rtl/>
          <w:lang w:eastAsia="ar-SA" w:bidi="ar-EG"/>
        </w:rPr>
        <w:t xml:space="preserve">مراسلات المحكمة على مدار فترة طويلة من الزمن مع مركز الفلبين لموارد </w:t>
      </w:r>
      <w:r w:rsidR="00242C83">
        <w:rPr>
          <w:rFonts w:hint="cs"/>
          <w:spacing w:val="-2"/>
          <w:rtl/>
          <w:lang w:eastAsia="ar-SA" w:bidi="ar-EG"/>
        </w:rPr>
        <w:t xml:space="preserve">الصم لكي </w:t>
      </w:r>
      <w:r w:rsidRPr="002A3F64">
        <w:rPr>
          <w:rFonts w:hint="cs"/>
          <w:spacing w:val="-2"/>
          <w:rtl/>
          <w:lang w:eastAsia="ar-SA" w:bidi="ar-EG"/>
        </w:rPr>
        <w:t xml:space="preserve">يوفر لصاحبة البلاغ الترجمة الشفوية اللازمة، قد أسهما إلى حد بعيد في تأخر إجراءات </w:t>
      </w:r>
      <w:r w:rsidRPr="002A3F64">
        <w:rPr>
          <w:rFonts w:hint="cs"/>
          <w:i/>
          <w:iCs/>
          <w:spacing w:val="-2"/>
          <w:rtl/>
          <w:lang w:eastAsia="ar-SA" w:bidi="ar-EG"/>
        </w:rPr>
        <w:t>القضية</w:t>
      </w:r>
      <w:r w:rsidRPr="002A3F64">
        <w:rPr>
          <w:rFonts w:hint="cs"/>
          <w:spacing w:val="-2"/>
          <w:rtl/>
          <w:lang w:eastAsia="ar-SA" w:bidi="ar-EG"/>
        </w:rPr>
        <w:t xml:space="preserve"> بلا</w:t>
      </w:r>
      <w:r w:rsidRPr="002A3F64">
        <w:rPr>
          <w:spacing w:val="-2"/>
          <w:rtl/>
          <w:lang w:eastAsia="ar-SA" w:bidi="ar-EG"/>
        </w:rPr>
        <w:t> </w:t>
      </w:r>
      <w:r w:rsidRPr="002A3F64">
        <w:rPr>
          <w:rFonts w:hint="cs"/>
          <w:spacing w:val="-2"/>
          <w:rtl/>
          <w:lang w:eastAsia="ar-SA" w:bidi="ar-EG"/>
        </w:rPr>
        <w:t>مسوغ.</w:t>
      </w:r>
    </w:p>
    <w:p w:rsidR="00E85FC1" w:rsidRPr="002A3F64" w:rsidRDefault="00E85FC1" w:rsidP="00242C83">
      <w:pPr>
        <w:pStyle w:val="SingleTxt"/>
        <w:rPr>
          <w:rFonts w:hint="cs"/>
          <w:rtl/>
          <w:lang w:eastAsia="ar-SA" w:bidi="ar-EG"/>
        </w:rPr>
      </w:pPr>
      <w:r w:rsidRPr="002A3F64">
        <w:rPr>
          <w:rFonts w:hint="cs"/>
          <w:rtl/>
          <w:lang w:eastAsia="ar-SA" w:bidi="ar-EG"/>
        </w:rPr>
        <w:t>8-5</w:t>
      </w:r>
      <w:r w:rsidRPr="002A3F64">
        <w:rPr>
          <w:rFonts w:hint="cs"/>
          <w:rtl/>
          <w:lang w:eastAsia="ar-SA" w:bidi="ar-EG"/>
        </w:rPr>
        <w:tab/>
        <w:t>وتلاحظ اللجنة أن توفير المساعدة المجانية من مترجم شفوي في القضايا التي لا</w:t>
      </w:r>
      <w:r w:rsidRPr="002A3F64">
        <w:rPr>
          <w:rtl/>
          <w:lang w:eastAsia="ar-SA" w:bidi="ar-EG"/>
        </w:rPr>
        <w:t> </w:t>
      </w:r>
      <w:r w:rsidRPr="002A3F64">
        <w:rPr>
          <w:rFonts w:hint="cs"/>
          <w:rtl/>
          <w:lang w:eastAsia="ar-SA" w:bidi="ar-EG"/>
        </w:rPr>
        <w:t>يكون بوسع أطرافها، من قبيل المتهمين أو</w:t>
      </w:r>
      <w:r w:rsidRPr="002A3F64">
        <w:rPr>
          <w:rtl/>
          <w:lang w:eastAsia="ar-SA" w:bidi="ar-EG"/>
        </w:rPr>
        <w:t> </w:t>
      </w:r>
      <w:r w:rsidRPr="002A3F64">
        <w:rPr>
          <w:rFonts w:hint="cs"/>
          <w:rtl/>
          <w:lang w:eastAsia="ar-SA" w:bidi="ar-EG"/>
        </w:rPr>
        <w:t>الشهود، فهم اللغة المستعملة في المحكمة أو</w:t>
      </w:r>
      <w:r w:rsidRPr="002A3F64">
        <w:rPr>
          <w:rtl/>
          <w:lang w:eastAsia="ar-SA" w:bidi="ar-EG"/>
        </w:rPr>
        <w:t> </w:t>
      </w:r>
      <w:r w:rsidRPr="002A3F64">
        <w:rPr>
          <w:rFonts w:hint="cs"/>
          <w:rtl/>
          <w:lang w:eastAsia="ar-SA" w:bidi="ar-EG"/>
        </w:rPr>
        <w:t>التكلم بها، هو ضمانة أساسية من ضمانات المحاكمة العادلة المكرسة في معاهدات حقوق الإنسان</w:t>
      </w:r>
      <w:r w:rsidR="00242C83" w:rsidRPr="00242C83">
        <w:rPr>
          <w:vertAlign w:val="superscript"/>
          <w:rtl/>
          <w:lang w:eastAsia="ar-SA" w:bidi="ar-EG"/>
        </w:rPr>
        <w:t>(</w:t>
      </w:r>
      <w:r w:rsidR="00242C83" w:rsidRPr="00242C83">
        <w:rPr>
          <w:rStyle w:val="FootnoteReference"/>
          <w:szCs w:val="30"/>
          <w:rtl/>
          <w:lang w:eastAsia="ar-SA"/>
        </w:rPr>
        <w:footnoteReference w:id="27"/>
      </w:r>
      <w:r w:rsidR="00242C83" w:rsidRPr="00242C83">
        <w:rPr>
          <w:vertAlign w:val="superscript"/>
          <w:rtl/>
          <w:lang w:eastAsia="ar-SA" w:bidi="ar-EG"/>
        </w:rPr>
        <w:t>)</w:t>
      </w:r>
      <w:r w:rsidRPr="002A3F64">
        <w:rPr>
          <w:rFonts w:hint="cs"/>
          <w:rtl/>
          <w:lang w:eastAsia="ar-SA" w:bidi="ar-EG"/>
        </w:rPr>
        <w:t>، والتي تطورت بقدر أكبر في الاجتهادات القضائية لهيئات المعاهدات</w:t>
      </w:r>
      <w:r w:rsidR="00242C83" w:rsidRPr="00242C83">
        <w:rPr>
          <w:vertAlign w:val="superscript"/>
          <w:rtl/>
          <w:lang w:eastAsia="ar-SA" w:bidi="ar-EG"/>
        </w:rPr>
        <w:t>(</w:t>
      </w:r>
      <w:r w:rsidR="00242C83" w:rsidRPr="00242C83">
        <w:rPr>
          <w:rStyle w:val="FootnoteReference"/>
          <w:szCs w:val="30"/>
          <w:rtl/>
          <w:lang w:eastAsia="ar-SA"/>
        </w:rPr>
        <w:footnoteReference w:id="28"/>
      </w:r>
      <w:r w:rsidR="00242C83" w:rsidRPr="00242C83">
        <w:rPr>
          <w:vertAlign w:val="superscript"/>
          <w:rtl/>
          <w:lang w:eastAsia="ar-SA" w:bidi="ar-EG"/>
        </w:rPr>
        <w:t>)</w:t>
      </w:r>
      <w:r w:rsidRPr="002A3F64">
        <w:rPr>
          <w:rFonts w:hint="cs"/>
          <w:rtl/>
          <w:lang w:eastAsia="ar-SA" w:bidi="ar-EG"/>
        </w:rPr>
        <w:t xml:space="preserve">. وتلاحظ </w:t>
      </w:r>
      <w:r w:rsidR="00242C83">
        <w:rPr>
          <w:rFonts w:hint="cs"/>
          <w:rtl/>
          <w:lang w:eastAsia="ar-SA" w:bidi="ar-EG"/>
        </w:rPr>
        <w:t xml:space="preserve">اللجنة </w:t>
      </w:r>
      <w:r w:rsidRPr="002A3F64">
        <w:rPr>
          <w:rFonts w:hint="cs"/>
          <w:rtl/>
          <w:lang w:eastAsia="ar-SA" w:bidi="ar-EG"/>
        </w:rPr>
        <w:t xml:space="preserve">أن صاحبة البلاغ في هذه القضية، وهي شابة صماء، كانت عاجزة عن السمع ولكنها تفهم اللغة الإنكليزية المكتوبة، في الوقت الذي سارت فيه إجراءات </w:t>
      </w:r>
      <w:r w:rsidRPr="00242C83">
        <w:rPr>
          <w:rFonts w:hint="cs"/>
          <w:rtl/>
          <w:lang w:eastAsia="ar-SA" w:bidi="ar-EG"/>
        </w:rPr>
        <w:t>القضية</w:t>
      </w:r>
      <w:r w:rsidRPr="002A3F64">
        <w:rPr>
          <w:rFonts w:hint="cs"/>
          <w:rtl/>
          <w:lang w:eastAsia="ar-SA" w:bidi="ar-EG"/>
        </w:rPr>
        <w:t>، بما</w:t>
      </w:r>
      <w:r w:rsidRPr="002A3F64">
        <w:rPr>
          <w:rtl/>
          <w:lang w:eastAsia="ar-SA" w:bidi="ar-EG"/>
        </w:rPr>
        <w:t> </w:t>
      </w:r>
      <w:r w:rsidRPr="002A3F64">
        <w:rPr>
          <w:rFonts w:hint="cs"/>
          <w:rtl/>
          <w:lang w:eastAsia="ar-SA" w:bidi="ar-EG"/>
        </w:rPr>
        <w:t>فيها جلسات الاستماع التي عقدتها المحكمة، باللغتين الفلبينية والإنكليزية شفاهةً وكتابةً.</w:t>
      </w:r>
    </w:p>
    <w:p w:rsidR="00E85FC1" w:rsidRPr="002A3F64" w:rsidRDefault="00E85FC1" w:rsidP="00991DAD">
      <w:pPr>
        <w:pStyle w:val="SingleTxt"/>
        <w:rPr>
          <w:rFonts w:hint="cs"/>
          <w:rtl/>
          <w:lang w:eastAsia="ar-SA" w:bidi="ar-EG"/>
        </w:rPr>
      </w:pPr>
      <w:r w:rsidRPr="002A3F64">
        <w:rPr>
          <w:rFonts w:hint="cs"/>
          <w:rtl/>
          <w:lang w:eastAsia="ar-SA" w:bidi="ar-EG"/>
        </w:rPr>
        <w:t>8-6</w:t>
      </w:r>
      <w:r w:rsidRPr="002A3F64">
        <w:rPr>
          <w:rFonts w:hint="cs"/>
          <w:rtl/>
          <w:lang w:eastAsia="ar-SA" w:bidi="ar-EG"/>
        </w:rPr>
        <w:tab/>
        <w:t>وتحيط اللجنة علماً كذلك بادعاء صاحبة البلاغ بأنه لم</w:t>
      </w:r>
      <w:r w:rsidRPr="002A3F64">
        <w:rPr>
          <w:rtl/>
          <w:lang w:eastAsia="ar-SA" w:bidi="ar-EG"/>
        </w:rPr>
        <w:t> </w:t>
      </w:r>
      <w:r w:rsidRPr="002A3F64">
        <w:rPr>
          <w:rFonts w:hint="cs"/>
          <w:rtl/>
          <w:lang w:eastAsia="ar-SA" w:bidi="ar-EG"/>
        </w:rPr>
        <w:t>تتح لها ترجمة شفوية بلغة الإشارة في سياق التحقيق وخلال جانب من جلسات الاستماع التي عقدتها المحكمة، بما</w:t>
      </w:r>
      <w:r w:rsidRPr="002A3F64">
        <w:rPr>
          <w:rtl/>
          <w:lang w:eastAsia="ar-SA" w:bidi="ar-EG"/>
        </w:rPr>
        <w:t> </w:t>
      </w:r>
      <w:r w:rsidRPr="002A3F64">
        <w:rPr>
          <w:rFonts w:hint="cs"/>
          <w:rtl/>
          <w:lang w:eastAsia="ar-SA" w:bidi="ar-EG"/>
        </w:rPr>
        <w:t xml:space="preserve">في ذلك </w:t>
      </w:r>
      <w:r w:rsidR="00242C83">
        <w:rPr>
          <w:rFonts w:hint="cs"/>
          <w:rtl/>
          <w:lang w:eastAsia="ar-SA" w:bidi="ar-EG"/>
        </w:rPr>
        <w:t xml:space="preserve">في أثناء </w:t>
      </w:r>
      <w:r w:rsidRPr="002A3F64">
        <w:rPr>
          <w:rFonts w:hint="cs"/>
          <w:rtl/>
          <w:lang w:eastAsia="ar-SA" w:bidi="ar-EG"/>
        </w:rPr>
        <w:t>النطق ببراءة المتهم، رغم أنها حضرت جميع جلسات الاستماع؛ وبأن عبء إيجاد مترجمين بلغة الإشارة وكفالة حضورهم إلى المحكمة أُلقي على كاهلها على الأقل جزئياً</w:t>
      </w:r>
      <w:r w:rsidR="00242C83" w:rsidRPr="00242C83">
        <w:rPr>
          <w:vertAlign w:val="superscript"/>
          <w:rtl/>
          <w:lang w:eastAsia="ar-SA" w:bidi="ar-EG"/>
        </w:rPr>
        <w:t>(</w:t>
      </w:r>
      <w:r w:rsidR="00242C83" w:rsidRPr="00242C83">
        <w:rPr>
          <w:rStyle w:val="FootnoteReference"/>
          <w:szCs w:val="30"/>
          <w:rtl/>
          <w:lang w:eastAsia="ar-SA"/>
        </w:rPr>
        <w:footnoteReference w:id="29"/>
      </w:r>
      <w:r w:rsidR="00242C83" w:rsidRPr="00242C83">
        <w:rPr>
          <w:vertAlign w:val="superscript"/>
          <w:rtl/>
          <w:lang w:eastAsia="ar-SA" w:bidi="ar-EG"/>
        </w:rPr>
        <w:t>)</w:t>
      </w:r>
      <w:r w:rsidRPr="002A3F64">
        <w:rPr>
          <w:rFonts w:hint="cs"/>
          <w:rtl/>
          <w:lang w:eastAsia="ar-SA" w:bidi="ar-EG"/>
        </w:rPr>
        <w:t>. كما</w:t>
      </w:r>
      <w:r w:rsidRPr="002A3F64">
        <w:rPr>
          <w:rtl/>
          <w:lang w:eastAsia="ar-SA" w:bidi="ar-EG"/>
        </w:rPr>
        <w:t> </w:t>
      </w:r>
      <w:r w:rsidRPr="002A3F64">
        <w:rPr>
          <w:rFonts w:hint="cs"/>
          <w:rtl/>
          <w:lang w:eastAsia="ar-SA" w:bidi="ar-EG"/>
        </w:rPr>
        <w:t>تلاحظ اللجنة أن الدولة الطرف لم</w:t>
      </w:r>
      <w:r w:rsidRPr="002A3F64">
        <w:rPr>
          <w:rtl/>
          <w:lang w:eastAsia="ar-SA" w:bidi="ar-EG"/>
        </w:rPr>
        <w:t> </w:t>
      </w:r>
      <w:r w:rsidRPr="002A3F64">
        <w:rPr>
          <w:rFonts w:hint="cs"/>
          <w:rtl/>
          <w:lang w:eastAsia="ar-SA" w:bidi="ar-EG"/>
        </w:rPr>
        <w:t>تطعن في ادعاء صاحبة البلاغ. ولم</w:t>
      </w:r>
      <w:r w:rsidRPr="002A3F64">
        <w:rPr>
          <w:rtl/>
          <w:lang w:eastAsia="ar-SA" w:bidi="ar-EG"/>
        </w:rPr>
        <w:t> </w:t>
      </w:r>
      <w:r w:rsidRPr="002A3F64">
        <w:rPr>
          <w:rFonts w:hint="cs"/>
          <w:rtl/>
          <w:lang w:eastAsia="ar-SA" w:bidi="ar-EG"/>
        </w:rPr>
        <w:t>تبين الدولة الطرف كذلك الكيفية التي طُبقت بها عملياً على القضية الراهنة الأحكام المتعلقة بالمترجمين بلغة الإشارة، الواردة في مذكرة الأمر رقم 59-2004 الصادر عن المحكمة العليا، والتعميم رقم 104-2007 الصادر عن مكتب مدير شؤون المحكمة العليا. وفي</w:t>
      </w:r>
      <w:r w:rsidRPr="002A3F64">
        <w:rPr>
          <w:rtl/>
          <w:lang w:eastAsia="ar-SA" w:bidi="ar-EG"/>
        </w:rPr>
        <w:t> </w:t>
      </w:r>
      <w:r w:rsidRPr="002A3F64">
        <w:rPr>
          <w:rFonts w:hint="cs"/>
          <w:rtl/>
          <w:lang w:eastAsia="ar-SA" w:bidi="ar-EG"/>
        </w:rPr>
        <w:t>هذا الصدد، تلاحظ اللجنة أنه حسبما</w:t>
      </w:r>
      <w:r w:rsidR="00242C83">
        <w:rPr>
          <w:rFonts w:hint="cs"/>
          <w:rtl/>
          <w:lang w:eastAsia="ar-SA" w:bidi="ar-EG"/>
        </w:rPr>
        <w:t xml:space="preserve"> </w:t>
      </w:r>
      <w:r w:rsidRPr="002A3F64">
        <w:rPr>
          <w:rFonts w:hint="cs"/>
          <w:rtl/>
          <w:lang w:eastAsia="ar-SA" w:bidi="ar-EG"/>
        </w:rPr>
        <w:t>أشارت إليه صاحبة البلاغ ولم</w:t>
      </w:r>
      <w:r w:rsidRPr="002A3F64">
        <w:rPr>
          <w:rtl/>
          <w:lang w:eastAsia="ar-SA" w:bidi="ar-EG"/>
        </w:rPr>
        <w:t> </w:t>
      </w:r>
      <w:r w:rsidRPr="002A3F64">
        <w:rPr>
          <w:rFonts w:hint="cs"/>
          <w:rtl/>
          <w:lang w:eastAsia="ar-SA" w:bidi="ar-EG"/>
        </w:rPr>
        <w:t xml:space="preserve">تعارضه الدولة الطرف، </w:t>
      </w:r>
      <w:r w:rsidR="00242C83">
        <w:rPr>
          <w:rFonts w:hint="cs"/>
          <w:rtl/>
          <w:lang w:eastAsia="ar-SA" w:bidi="ar-EG"/>
        </w:rPr>
        <w:t xml:space="preserve">أوردت </w:t>
      </w:r>
      <w:r w:rsidRPr="002A3F64">
        <w:rPr>
          <w:rFonts w:hint="cs"/>
          <w:rtl/>
          <w:lang w:eastAsia="ar-SA" w:bidi="ar-EG"/>
        </w:rPr>
        <w:t>دراسة أجراها مركز الفلبين لموارد الصم أن الغالبية العظمى من القضايا التي رفعها أصحاب الشكاوى الصم في الفلبين في الفترة 2006-2010 كانت تتعلق بالاغتصاب، وأن أقل من واحدة من كل ثلاث ضحايا أتيحت لها ترجمة بلغة الإشارة</w:t>
      </w:r>
      <w:r w:rsidR="00242C83" w:rsidRPr="00242C83">
        <w:rPr>
          <w:vertAlign w:val="superscript"/>
          <w:rtl/>
          <w:lang w:eastAsia="ar-SA" w:bidi="ar-EG"/>
        </w:rPr>
        <w:t>(</w:t>
      </w:r>
      <w:r w:rsidR="00242C83" w:rsidRPr="00242C83">
        <w:rPr>
          <w:rStyle w:val="FootnoteReference"/>
          <w:szCs w:val="30"/>
          <w:rtl/>
          <w:lang w:eastAsia="ar-SA"/>
        </w:rPr>
        <w:footnoteReference w:id="30"/>
      </w:r>
      <w:r w:rsidR="00242C83" w:rsidRPr="00242C83">
        <w:rPr>
          <w:vertAlign w:val="superscript"/>
          <w:rtl/>
          <w:lang w:eastAsia="ar-SA" w:bidi="ar-EG"/>
        </w:rPr>
        <w:t>)</w:t>
      </w:r>
      <w:r w:rsidRPr="002A3F64">
        <w:rPr>
          <w:rFonts w:hint="cs"/>
          <w:rtl/>
          <w:lang w:eastAsia="ar-SA" w:bidi="ar-EG"/>
        </w:rPr>
        <w:t>. وتحيط اللجنة علماً بادعاء صاحبة البلاغ بعدم وجود سياسة شاملة في الفلبين لتعزيز مساواة الصم، لا</w:t>
      </w:r>
      <w:r w:rsidRPr="002A3F64">
        <w:rPr>
          <w:rtl/>
          <w:lang w:eastAsia="ar-SA" w:bidi="ar-EG"/>
        </w:rPr>
        <w:t> </w:t>
      </w:r>
      <w:r w:rsidRPr="002A3F64">
        <w:rPr>
          <w:rFonts w:hint="cs"/>
          <w:rtl/>
          <w:lang w:eastAsia="ar-SA" w:bidi="ar-EG"/>
        </w:rPr>
        <w:t xml:space="preserve">سيما النساء والفتيات، بغيرهم وتوفير إمكانية لجوئهم إلى </w:t>
      </w:r>
      <w:r w:rsidR="00242C83">
        <w:rPr>
          <w:rFonts w:hint="cs"/>
          <w:rtl/>
          <w:lang w:eastAsia="ar-SA" w:bidi="ar-EG"/>
        </w:rPr>
        <w:t xml:space="preserve">النظام </w:t>
      </w:r>
      <w:r w:rsidRPr="002A3F64">
        <w:rPr>
          <w:rFonts w:hint="cs"/>
          <w:rtl/>
          <w:lang w:eastAsia="ar-SA" w:bidi="ar-EG"/>
        </w:rPr>
        <w:t>القضا</w:t>
      </w:r>
      <w:r w:rsidR="00242C83">
        <w:rPr>
          <w:rFonts w:hint="cs"/>
          <w:rtl/>
          <w:lang w:eastAsia="ar-SA" w:bidi="ar-EG"/>
        </w:rPr>
        <w:t>ئي</w:t>
      </w:r>
      <w:r w:rsidRPr="002A3F64">
        <w:rPr>
          <w:rFonts w:hint="cs"/>
          <w:rtl/>
          <w:lang w:eastAsia="ar-SA" w:bidi="ar-EG"/>
        </w:rPr>
        <w:t xml:space="preserve">، وكذلك غياب المعايير والإجراءات المتعلقة بتوفير الترجمة </w:t>
      </w:r>
      <w:r w:rsidR="00242C83">
        <w:rPr>
          <w:rFonts w:hint="cs"/>
          <w:rtl/>
          <w:lang w:eastAsia="ar-SA" w:bidi="ar-EG"/>
        </w:rPr>
        <w:t xml:space="preserve">الشفوية </w:t>
      </w:r>
      <w:r w:rsidRPr="002A3F64">
        <w:rPr>
          <w:rFonts w:hint="cs"/>
          <w:rtl/>
          <w:lang w:eastAsia="ar-SA" w:bidi="ar-EG"/>
        </w:rPr>
        <w:t>لأولئك المتقاضين. وتلاحظ كذلك أن السياسة المتبعة في الدولة الطرف لا تقتضي توفير ترجمة شفوية إلا</w:t>
      </w:r>
      <w:r w:rsidRPr="002A3F64">
        <w:rPr>
          <w:rtl/>
          <w:lang w:eastAsia="ar-SA" w:bidi="ar-EG"/>
        </w:rPr>
        <w:t> </w:t>
      </w:r>
      <w:r w:rsidRPr="002A3F64">
        <w:rPr>
          <w:rFonts w:hint="cs"/>
          <w:rtl/>
          <w:lang w:eastAsia="ar-SA" w:bidi="ar-EG"/>
        </w:rPr>
        <w:t xml:space="preserve">عندما يلزم فهم الشخص الأصم </w:t>
      </w:r>
      <w:r w:rsidR="00991DAD">
        <w:rPr>
          <w:rFonts w:hint="cs"/>
          <w:rtl/>
          <w:lang w:eastAsia="ar-SA" w:bidi="ar-EG"/>
        </w:rPr>
        <w:t>”</w:t>
      </w:r>
      <w:r w:rsidRPr="002A3F64">
        <w:rPr>
          <w:rFonts w:hint="cs"/>
          <w:rtl/>
          <w:lang w:eastAsia="ar-SA" w:bidi="ar-EG"/>
        </w:rPr>
        <w:t>بشكل كامل</w:t>
      </w:r>
      <w:r w:rsidR="00991DAD">
        <w:rPr>
          <w:rFonts w:hint="eastAsia"/>
          <w:rtl/>
          <w:lang w:eastAsia="ar-SA" w:bidi="ar-EG"/>
        </w:rPr>
        <w:t>“</w:t>
      </w:r>
      <w:r w:rsidRPr="002A3F64">
        <w:rPr>
          <w:rFonts w:hint="cs"/>
          <w:rtl/>
          <w:lang w:eastAsia="ar-SA" w:bidi="ar-EG"/>
        </w:rPr>
        <w:t>. وتلاحظ أيضاً، فيما ي</w:t>
      </w:r>
      <w:r w:rsidR="00242C83">
        <w:rPr>
          <w:rFonts w:hint="cs"/>
          <w:rtl/>
          <w:lang w:eastAsia="ar-SA" w:bidi="ar-EG"/>
        </w:rPr>
        <w:t>تصل بالدراسة التي أجراها المركز</w:t>
      </w:r>
      <w:r w:rsidRPr="002A3F64">
        <w:rPr>
          <w:rFonts w:hint="cs"/>
          <w:rtl/>
          <w:lang w:eastAsia="ar-SA" w:bidi="ar-EG"/>
        </w:rPr>
        <w:t>، أن بعض المحاكم غير مدركة لهذا الشرط ولا</w:t>
      </w:r>
      <w:r w:rsidRPr="002A3F64">
        <w:rPr>
          <w:rtl/>
          <w:lang w:eastAsia="ar-SA" w:bidi="ar-EG"/>
        </w:rPr>
        <w:t> </w:t>
      </w:r>
      <w:r w:rsidRPr="002A3F64">
        <w:rPr>
          <w:rFonts w:hint="cs"/>
          <w:rtl/>
          <w:lang w:eastAsia="ar-SA" w:bidi="ar-EG"/>
        </w:rPr>
        <w:t xml:space="preserve">تأذن بتوفير ترجمة بلغة الإشارة للطرف الأصم، حيث تعتبر تلك الترجمة </w:t>
      </w:r>
      <w:r w:rsidR="00991DAD">
        <w:rPr>
          <w:rFonts w:hint="cs"/>
          <w:rtl/>
          <w:lang w:eastAsia="ar-SA" w:bidi="ar-EG"/>
        </w:rPr>
        <w:t>”</w:t>
      </w:r>
      <w:r w:rsidRPr="002A3F64">
        <w:rPr>
          <w:rFonts w:hint="cs"/>
          <w:rtl/>
          <w:lang w:eastAsia="ar-SA" w:bidi="ar-EG"/>
        </w:rPr>
        <w:t>غير دقيقة</w:t>
      </w:r>
      <w:r w:rsidR="00991DAD">
        <w:rPr>
          <w:rFonts w:hint="eastAsia"/>
          <w:rtl/>
          <w:lang w:eastAsia="ar-SA" w:bidi="ar-EG"/>
        </w:rPr>
        <w:t>“</w:t>
      </w:r>
      <w:r w:rsidRPr="002A3F64">
        <w:rPr>
          <w:rFonts w:hint="cs"/>
          <w:rtl/>
          <w:lang w:eastAsia="ar-SA" w:bidi="ar-EG"/>
        </w:rPr>
        <w:t xml:space="preserve"> أو</w:t>
      </w:r>
      <w:r w:rsidRPr="002A3F64">
        <w:rPr>
          <w:rtl/>
          <w:lang w:eastAsia="ar-SA" w:bidi="ar-EG"/>
        </w:rPr>
        <w:t> </w:t>
      </w:r>
      <w:r w:rsidRPr="002A3F64">
        <w:rPr>
          <w:rFonts w:hint="cs"/>
          <w:rtl/>
          <w:lang w:eastAsia="ar-SA" w:bidi="ar-EG"/>
        </w:rPr>
        <w:t xml:space="preserve">خدمة إضافية </w:t>
      </w:r>
      <w:r w:rsidR="00242C83">
        <w:rPr>
          <w:rFonts w:hint="cs"/>
          <w:rtl/>
          <w:lang w:eastAsia="ar-SA" w:bidi="ar-EG"/>
        </w:rPr>
        <w:t xml:space="preserve">يتعين </w:t>
      </w:r>
      <w:r w:rsidRPr="002A3F64">
        <w:rPr>
          <w:rFonts w:hint="cs"/>
          <w:rtl/>
          <w:lang w:eastAsia="ar-SA" w:bidi="ar-EG"/>
        </w:rPr>
        <w:t>على المتقاضين الصم تحمل عبئها.</w:t>
      </w:r>
    </w:p>
    <w:p w:rsidR="00E85FC1" w:rsidRPr="002A3F64" w:rsidRDefault="00E85FC1" w:rsidP="00A45495">
      <w:pPr>
        <w:pStyle w:val="SingleTxt"/>
        <w:rPr>
          <w:rFonts w:hint="cs"/>
          <w:rtl/>
          <w:lang w:eastAsia="ar-SA" w:bidi="ar-EG"/>
        </w:rPr>
      </w:pPr>
      <w:r w:rsidRPr="002A3F64">
        <w:rPr>
          <w:rFonts w:hint="cs"/>
          <w:rtl/>
          <w:lang w:eastAsia="ar-SA" w:bidi="ar-EG"/>
        </w:rPr>
        <w:t>8-7</w:t>
      </w:r>
      <w:r w:rsidRPr="002A3F64">
        <w:rPr>
          <w:rFonts w:hint="cs"/>
          <w:rtl/>
          <w:lang w:eastAsia="ar-SA" w:bidi="ar-EG"/>
        </w:rPr>
        <w:tab/>
        <w:t>وتلاحظ اللجنة أن المعلومات والادعاءات المذكورة آنفاً لم</w:t>
      </w:r>
      <w:r w:rsidRPr="002A3F64">
        <w:rPr>
          <w:rtl/>
          <w:lang w:eastAsia="ar-SA" w:bidi="ar-EG"/>
        </w:rPr>
        <w:t> </w:t>
      </w:r>
      <w:r w:rsidRPr="002A3F64">
        <w:rPr>
          <w:rFonts w:hint="cs"/>
          <w:rtl/>
          <w:lang w:eastAsia="ar-SA" w:bidi="ar-EG"/>
        </w:rPr>
        <w:t>تطعن فيها الدولة الطرف. وفي</w:t>
      </w:r>
      <w:r w:rsidRPr="002A3F64">
        <w:rPr>
          <w:rtl/>
          <w:lang w:eastAsia="ar-SA" w:bidi="ar-EG"/>
        </w:rPr>
        <w:t> </w:t>
      </w:r>
      <w:r w:rsidRPr="002A3F64">
        <w:rPr>
          <w:rFonts w:hint="cs"/>
          <w:rtl/>
          <w:lang w:eastAsia="ar-SA" w:bidi="ar-EG"/>
        </w:rPr>
        <w:t>ضوء ما</w:t>
      </w:r>
      <w:r w:rsidRPr="002A3F64">
        <w:rPr>
          <w:rtl/>
          <w:lang w:eastAsia="ar-SA" w:bidi="ar-EG"/>
        </w:rPr>
        <w:t> </w:t>
      </w:r>
      <w:r w:rsidRPr="002A3F64">
        <w:rPr>
          <w:rFonts w:hint="cs"/>
          <w:rtl/>
          <w:lang w:eastAsia="ar-SA" w:bidi="ar-EG"/>
        </w:rPr>
        <w:t xml:space="preserve">سلف، تعتبر اللجنة أنه في ظل ظروف القضية الراهنة، كان من الضروري توفير ترجمة بلغة الإشارة </w:t>
      </w:r>
      <w:r w:rsidR="00242C83">
        <w:rPr>
          <w:rFonts w:hint="cs"/>
          <w:rtl/>
          <w:lang w:eastAsia="ar-SA" w:bidi="ar-EG"/>
        </w:rPr>
        <w:t>ل</w:t>
      </w:r>
      <w:r w:rsidRPr="002A3F64">
        <w:rPr>
          <w:rFonts w:hint="cs"/>
          <w:rtl/>
          <w:lang w:eastAsia="ar-SA" w:bidi="ar-EG"/>
        </w:rPr>
        <w:t xml:space="preserve">ضمان مشاركة صاحبة البلاغ بشكل تام ومتكافئ في إجراءات </w:t>
      </w:r>
      <w:r w:rsidRPr="00AD6651">
        <w:rPr>
          <w:rFonts w:hint="cs"/>
          <w:rtl/>
          <w:lang w:eastAsia="ar-SA" w:bidi="ar-EG"/>
        </w:rPr>
        <w:t>القضية</w:t>
      </w:r>
      <w:r w:rsidRPr="002A3F64">
        <w:rPr>
          <w:rFonts w:hint="cs"/>
          <w:rtl/>
          <w:lang w:eastAsia="ar-SA" w:bidi="ar-EG"/>
        </w:rPr>
        <w:t>، امتثالاً لمبدأ تكافؤ وسائل الدفاع، ومن ثم ضمان تمتعها بالحماية الفعالة من التمييز في إطار فحوى الفقرتين 2</w:t>
      </w:r>
      <w:r w:rsidR="00242C83">
        <w:rPr>
          <w:rFonts w:hint="cs"/>
          <w:rtl/>
          <w:lang w:eastAsia="ar-SA" w:bidi="ar-EG"/>
        </w:rPr>
        <w:t xml:space="preserve"> </w:t>
      </w:r>
      <w:r w:rsidRPr="002A3F64">
        <w:rPr>
          <w:rFonts w:hint="cs"/>
          <w:rtl/>
          <w:lang w:eastAsia="ar-SA" w:bidi="ar-EG"/>
        </w:rPr>
        <w:t>(ج) و</w:t>
      </w:r>
      <w:r w:rsidR="00242C83">
        <w:rPr>
          <w:rFonts w:hint="cs"/>
          <w:rtl/>
          <w:lang w:eastAsia="ar-SA" w:bidi="ar-EG"/>
        </w:rPr>
        <w:t xml:space="preserve"> </w:t>
      </w:r>
      <w:r w:rsidRPr="002A3F64">
        <w:rPr>
          <w:rFonts w:hint="cs"/>
          <w:rtl/>
          <w:lang w:eastAsia="ar-SA" w:bidi="ar-EG"/>
        </w:rPr>
        <w:t>(د) من المادة 2 من الاتفاقية</w:t>
      </w:r>
      <w:r w:rsidR="00242C83">
        <w:rPr>
          <w:rFonts w:hint="cs"/>
          <w:rtl/>
          <w:lang w:eastAsia="ar-SA" w:bidi="ar-EG"/>
        </w:rPr>
        <w:t>،</w:t>
      </w:r>
      <w:r w:rsidRPr="002A3F64">
        <w:rPr>
          <w:rFonts w:hint="cs"/>
          <w:rtl/>
          <w:lang w:eastAsia="ar-SA" w:bidi="ar-EG"/>
        </w:rPr>
        <w:t xml:space="preserve"> بالاقتران مع نص التوصية العامة رقم 19 الصادرة عن اللجنة</w:t>
      </w:r>
      <w:r w:rsidR="00242C83" w:rsidRPr="00242C83">
        <w:rPr>
          <w:vertAlign w:val="superscript"/>
          <w:rtl/>
          <w:lang w:eastAsia="ar-SA" w:bidi="ar-EG"/>
        </w:rPr>
        <w:t>(</w:t>
      </w:r>
      <w:r w:rsidR="00242C83" w:rsidRPr="00242C83">
        <w:rPr>
          <w:rStyle w:val="FootnoteReference"/>
          <w:szCs w:val="30"/>
          <w:rtl/>
          <w:lang w:eastAsia="ar-SA"/>
        </w:rPr>
        <w:footnoteReference w:id="31"/>
      </w:r>
      <w:r w:rsidR="00242C83" w:rsidRPr="00242C83">
        <w:rPr>
          <w:vertAlign w:val="superscript"/>
          <w:rtl/>
          <w:lang w:eastAsia="ar-SA" w:bidi="ar-EG"/>
        </w:rPr>
        <w:t>)</w:t>
      </w:r>
      <w:r w:rsidRPr="002A3F64">
        <w:rPr>
          <w:rFonts w:hint="cs"/>
          <w:rtl/>
          <w:lang w:eastAsia="ar-SA" w:bidi="ar-EG"/>
        </w:rPr>
        <w:t>.</w:t>
      </w:r>
    </w:p>
    <w:p w:rsidR="00E85FC1" w:rsidRPr="002A3F64" w:rsidRDefault="00E85FC1" w:rsidP="00A45495">
      <w:pPr>
        <w:pStyle w:val="SingleTxt"/>
        <w:rPr>
          <w:rFonts w:hint="cs"/>
          <w:rtl/>
          <w:lang w:eastAsia="ar-SA" w:bidi="ar-EG"/>
        </w:rPr>
      </w:pPr>
      <w:r w:rsidRPr="002A3F64">
        <w:rPr>
          <w:rFonts w:hint="cs"/>
          <w:rtl/>
          <w:lang w:eastAsia="ar-SA" w:bidi="ar-EG"/>
        </w:rPr>
        <w:t>8-8</w:t>
      </w:r>
      <w:r w:rsidRPr="002A3F64">
        <w:rPr>
          <w:rFonts w:hint="cs"/>
          <w:rtl/>
          <w:lang w:eastAsia="ar-SA" w:bidi="ar-EG"/>
        </w:rPr>
        <w:tab/>
        <w:t>وفيما يختص بادعاء صاحبة البلاغ المطروح في إطار المادة 2(و) من الاتفاقية، تشير اللجنة إلى أن الاتفاقية ترسي التزامات على كاهل جميع سلطات الدولة، وأن الدول الأطراف مسؤولة عن القرارات القضائية التي تشكل انتهاكاً لأحكام الاتفاقية. و</w:t>
      </w:r>
      <w:r w:rsidR="00A45495">
        <w:rPr>
          <w:rFonts w:hint="cs"/>
          <w:rtl/>
          <w:lang w:eastAsia="ar-SA" w:bidi="ar-EG"/>
        </w:rPr>
        <w:t xml:space="preserve">تنوّه </w:t>
      </w:r>
      <w:r w:rsidRPr="002A3F64">
        <w:rPr>
          <w:rFonts w:hint="cs"/>
          <w:rtl/>
          <w:lang w:eastAsia="ar-SA" w:bidi="ar-EG"/>
        </w:rPr>
        <w:t>إلى أنه بمقتضى ذلك البند من الاتفاقية، يكون على الدولة الطرف اتخاذ التدابير الملائمة الكفيلة بتعديل أو</w:t>
      </w:r>
      <w:r w:rsidRPr="002A3F64">
        <w:rPr>
          <w:rtl/>
          <w:lang w:eastAsia="ar-SA" w:bidi="ar-EG"/>
        </w:rPr>
        <w:t> </w:t>
      </w:r>
      <w:r w:rsidRPr="002A3F64">
        <w:rPr>
          <w:rFonts w:hint="cs"/>
          <w:rtl/>
          <w:lang w:eastAsia="ar-SA" w:bidi="ar-EG"/>
        </w:rPr>
        <w:t xml:space="preserve">إلغاء ليس </w:t>
      </w:r>
      <w:r w:rsidR="00A45495">
        <w:rPr>
          <w:rFonts w:hint="cs"/>
          <w:rtl/>
          <w:lang w:eastAsia="ar-SA" w:bidi="ar-EG"/>
        </w:rPr>
        <w:t xml:space="preserve">فقط </w:t>
      </w:r>
      <w:r w:rsidRPr="002A3F64">
        <w:rPr>
          <w:rFonts w:hint="cs"/>
          <w:rtl/>
          <w:lang w:eastAsia="ar-SA" w:bidi="ar-EG"/>
        </w:rPr>
        <w:t>القوانين والأنظمة القائمة، ولكن أيضاً الأعراف والممارسات التي تشكل تمييزاً ضد المرأة. وفي</w:t>
      </w:r>
      <w:r w:rsidRPr="002A3F64">
        <w:rPr>
          <w:rtl/>
          <w:lang w:eastAsia="ar-SA" w:bidi="ar-EG"/>
        </w:rPr>
        <w:t> </w:t>
      </w:r>
      <w:r w:rsidRPr="002A3F64">
        <w:rPr>
          <w:rFonts w:hint="cs"/>
          <w:rtl/>
          <w:lang w:eastAsia="ar-SA" w:bidi="ar-EG"/>
        </w:rPr>
        <w:t>هذا الصدد، تشدد اللجنة على أن القوالب النمطية تؤثر في حق المرأة في المحاكمة النزيهة والعادلة، وأن السلطة القضائية يتعين عليها تجنب وضع معايير جامدة لما</w:t>
      </w:r>
      <w:r w:rsidRPr="002A3F64">
        <w:rPr>
          <w:rtl/>
          <w:lang w:eastAsia="ar-SA" w:bidi="ar-EG"/>
        </w:rPr>
        <w:t> </w:t>
      </w:r>
      <w:r w:rsidRPr="002A3F64">
        <w:rPr>
          <w:rFonts w:hint="cs"/>
          <w:rtl/>
          <w:lang w:eastAsia="ar-SA" w:bidi="ar-EG"/>
        </w:rPr>
        <w:t>ينبغي للنساء أو</w:t>
      </w:r>
      <w:r w:rsidRPr="002A3F64">
        <w:rPr>
          <w:rtl/>
          <w:lang w:eastAsia="ar-SA" w:bidi="ar-EG"/>
        </w:rPr>
        <w:t> </w:t>
      </w:r>
      <w:r w:rsidRPr="002A3F64">
        <w:rPr>
          <w:rFonts w:hint="cs"/>
          <w:rtl/>
          <w:lang w:eastAsia="ar-SA" w:bidi="ar-EG"/>
        </w:rPr>
        <w:t>الفتيات أن يكنّ عليه أو</w:t>
      </w:r>
      <w:r w:rsidRPr="002A3F64">
        <w:rPr>
          <w:rtl/>
          <w:lang w:eastAsia="ar-SA" w:bidi="ar-EG"/>
        </w:rPr>
        <w:t xml:space="preserve"> ما </w:t>
      </w:r>
      <w:r w:rsidRPr="002A3F64">
        <w:rPr>
          <w:rFonts w:hint="cs"/>
          <w:rtl/>
          <w:lang w:eastAsia="ar-SA" w:bidi="ar-EG"/>
        </w:rPr>
        <w:t>كان ينبغي عليهن عمله في مواجهة حالة الاغتصاب بمجرد الاستناد إلى أفكار مسبقة عن كيفية تعريف ضحية الاغتصاب</w:t>
      </w:r>
      <w:r w:rsidR="00A45495" w:rsidRPr="00A45495">
        <w:rPr>
          <w:vertAlign w:val="superscript"/>
          <w:rtl/>
          <w:lang w:eastAsia="ar-SA" w:bidi="ar-EG"/>
        </w:rPr>
        <w:t>(</w:t>
      </w:r>
      <w:r w:rsidR="00A45495" w:rsidRPr="00A45495">
        <w:rPr>
          <w:rStyle w:val="FootnoteReference"/>
          <w:szCs w:val="30"/>
          <w:rtl/>
          <w:lang w:eastAsia="ar-SA"/>
        </w:rPr>
        <w:footnoteReference w:id="32"/>
      </w:r>
      <w:r w:rsidR="00A45495" w:rsidRPr="00A45495">
        <w:rPr>
          <w:vertAlign w:val="superscript"/>
          <w:rtl/>
          <w:lang w:eastAsia="ar-SA" w:bidi="ar-EG"/>
        </w:rPr>
        <w:t>)</w:t>
      </w:r>
      <w:r w:rsidRPr="002A3F64">
        <w:rPr>
          <w:rFonts w:hint="cs"/>
          <w:rtl/>
          <w:lang w:eastAsia="ar-SA" w:bidi="ar-EG"/>
        </w:rPr>
        <w:t>. وفي</w:t>
      </w:r>
      <w:r w:rsidRPr="002A3F64">
        <w:rPr>
          <w:rtl/>
          <w:lang w:eastAsia="ar-SA" w:bidi="ar-EG"/>
        </w:rPr>
        <w:t> </w:t>
      </w:r>
      <w:r w:rsidRPr="002A3F64">
        <w:rPr>
          <w:rFonts w:hint="cs"/>
          <w:rtl/>
          <w:lang w:eastAsia="ar-SA" w:bidi="ar-EG"/>
        </w:rPr>
        <w:t>القضية قيد البحث، ثمة حاجة إلى تقييم مدى امتثال الدولة الطرف للالتزام بالقضاء على القوالب النمطية الجنسانية، استناداً إلى المادة</w:t>
      </w:r>
      <w:r w:rsidRPr="002A3F64">
        <w:rPr>
          <w:rFonts w:hint="eastAsia"/>
          <w:rtl/>
          <w:lang w:eastAsia="ar-SA" w:bidi="ar-EG"/>
        </w:rPr>
        <w:t> </w:t>
      </w:r>
      <w:r w:rsidRPr="002A3F64">
        <w:rPr>
          <w:rFonts w:hint="cs"/>
          <w:rtl/>
          <w:lang w:eastAsia="ar-SA" w:bidi="ar-EG"/>
        </w:rPr>
        <w:t>2</w:t>
      </w:r>
      <w:r w:rsidR="00A45495">
        <w:rPr>
          <w:rFonts w:hint="cs"/>
          <w:rtl/>
          <w:lang w:eastAsia="ar-SA" w:bidi="ar-EG"/>
        </w:rPr>
        <w:t xml:space="preserve"> </w:t>
      </w:r>
      <w:r w:rsidRPr="002A3F64">
        <w:rPr>
          <w:rFonts w:hint="cs"/>
          <w:rtl/>
          <w:lang w:eastAsia="ar-SA" w:bidi="ar-EG"/>
        </w:rPr>
        <w:t xml:space="preserve">(و)، وذلك في ضوء مدى مراعاة الجانب الجنساني </w:t>
      </w:r>
      <w:r w:rsidR="00A45495">
        <w:rPr>
          <w:rFonts w:hint="cs"/>
          <w:rtl/>
          <w:lang w:eastAsia="ar-SA" w:bidi="ar-EG"/>
        </w:rPr>
        <w:t xml:space="preserve">والسن </w:t>
      </w:r>
      <w:r w:rsidRPr="002A3F64">
        <w:rPr>
          <w:rFonts w:hint="cs"/>
          <w:rtl/>
          <w:lang w:eastAsia="ar-SA" w:bidi="ar-EG"/>
        </w:rPr>
        <w:t>وحالة الإعاقة في المعالجة القضائية لقضية صاحبة البلاغ.</w:t>
      </w:r>
    </w:p>
    <w:p w:rsidR="00E85FC1" w:rsidRPr="002A3F64" w:rsidRDefault="00E85FC1" w:rsidP="00991DAD">
      <w:pPr>
        <w:pStyle w:val="SingleTxt"/>
        <w:rPr>
          <w:rFonts w:hint="cs"/>
          <w:rtl/>
          <w:lang w:eastAsia="ar-SA" w:bidi="ar-EG"/>
        </w:rPr>
      </w:pPr>
      <w:r w:rsidRPr="002A3F64">
        <w:rPr>
          <w:rFonts w:hint="cs"/>
          <w:rtl/>
          <w:lang w:eastAsia="ar-SA" w:bidi="ar-EG"/>
        </w:rPr>
        <w:t>8-9</w:t>
      </w:r>
      <w:r w:rsidRPr="002A3F64">
        <w:rPr>
          <w:rFonts w:hint="cs"/>
          <w:rtl/>
          <w:lang w:eastAsia="ar-SA" w:bidi="ar-EG"/>
        </w:rPr>
        <w:tab/>
        <w:t xml:space="preserve">وتلاحظ اللجنة أن المحكمة، بمقتضى مبدأ </w:t>
      </w:r>
      <w:r w:rsidRPr="00A45495">
        <w:rPr>
          <w:rFonts w:hint="cs"/>
          <w:rtl/>
          <w:lang w:eastAsia="ar-SA" w:bidi="ar-EG"/>
        </w:rPr>
        <w:t>مراعاة السوابق القضائية</w:t>
      </w:r>
      <w:r w:rsidRPr="002A3F64">
        <w:rPr>
          <w:rFonts w:hint="cs"/>
          <w:rtl/>
          <w:lang w:eastAsia="ar-SA" w:bidi="ar-EG"/>
        </w:rPr>
        <w:t>، أحالت إلى المبادئ التوجيهية المستقاة من السوابق القضائية في تطبيق الأحكام المتعلقة بالاغتصاب والمنصوص عليها في قانون العقوبات المنقح لعام</w:t>
      </w:r>
      <w:r w:rsidRPr="002A3F64">
        <w:rPr>
          <w:rtl/>
          <w:lang w:eastAsia="ar-SA" w:bidi="ar-EG"/>
        </w:rPr>
        <w:t> </w:t>
      </w:r>
      <w:r w:rsidRPr="002A3F64">
        <w:rPr>
          <w:rFonts w:hint="cs"/>
          <w:rtl/>
          <w:lang w:eastAsia="ar-SA" w:bidi="ar-EG"/>
        </w:rPr>
        <w:t>1930، وفي</w:t>
      </w:r>
      <w:r w:rsidRPr="002A3F64">
        <w:rPr>
          <w:rtl/>
          <w:lang w:eastAsia="ar-SA" w:bidi="ar-EG"/>
        </w:rPr>
        <w:t> </w:t>
      </w:r>
      <w:r w:rsidRPr="002A3F64">
        <w:rPr>
          <w:rFonts w:hint="cs"/>
          <w:rtl/>
          <w:lang w:eastAsia="ar-SA" w:bidi="ar-EG"/>
        </w:rPr>
        <w:t>البت في قضايا الاغتصاب ذات الأنماط المماثلة. وفي</w:t>
      </w:r>
      <w:r w:rsidRPr="002A3F64">
        <w:rPr>
          <w:rtl/>
          <w:lang w:eastAsia="ar-SA" w:bidi="ar-EG"/>
        </w:rPr>
        <w:t> </w:t>
      </w:r>
      <w:r w:rsidRPr="002A3F64">
        <w:rPr>
          <w:rFonts w:hint="cs"/>
          <w:rtl/>
          <w:lang w:eastAsia="ar-SA" w:bidi="ar-EG"/>
        </w:rPr>
        <w:t xml:space="preserve">بداية منطوق الحكم، تلاحظ اللجنة أن ثمة إحالة إلى ثلاثة مبادئ توجيهية عامة يُسترشد بها في استعراض قضايا الاغتصاب. وفيما يختص بالأفكار الوهمية والقوالب النمطية الجنسانية المزعومة </w:t>
      </w:r>
      <w:r w:rsidR="00A45495">
        <w:rPr>
          <w:rFonts w:hint="cs"/>
          <w:rtl/>
          <w:lang w:eastAsia="ar-SA" w:bidi="ar-EG"/>
        </w:rPr>
        <w:t xml:space="preserve">المنتشرة </w:t>
      </w:r>
      <w:r w:rsidRPr="002A3F64">
        <w:rPr>
          <w:rFonts w:hint="cs"/>
          <w:rtl/>
          <w:lang w:eastAsia="ar-SA" w:bidi="ar-EG"/>
        </w:rPr>
        <w:t>في شتى أجزاء الحكم</w:t>
      </w:r>
      <w:r w:rsidR="00A45495" w:rsidRPr="00A45495">
        <w:rPr>
          <w:vertAlign w:val="superscript"/>
          <w:rtl/>
          <w:lang w:eastAsia="ar-SA" w:bidi="ar-EG"/>
        </w:rPr>
        <w:t>(</w:t>
      </w:r>
      <w:r w:rsidR="00A45495" w:rsidRPr="00A45495">
        <w:rPr>
          <w:rStyle w:val="FootnoteReference"/>
          <w:szCs w:val="30"/>
          <w:rtl/>
          <w:lang w:eastAsia="ar-SA"/>
        </w:rPr>
        <w:footnoteReference w:id="33"/>
      </w:r>
      <w:r w:rsidR="00A45495" w:rsidRPr="00A45495">
        <w:rPr>
          <w:vertAlign w:val="superscript"/>
          <w:rtl/>
          <w:lang w:eastAsia="ar-SA" w:bidi="ar-EG"/>
        </w:rPr>
        <w:t>)</w:t>
      </w:r>
      <w:r w:rsidRPr="002A3F64">
        <w:rPr>
          <w:rFonts w:hint="cs"/>
          <w:rtl/>
          <w:lang w:eastAsia="ar-SA" w:bidi="ar-EG"/>
        </w:rPr>
        <w:t xml:space="preserve">، فإن اللجنة، وبعد العناية في فحص النقاط الأساسية المستند إليها في الحكم، تلاحظ أولاً، أن المحكمة الابتدائية توقعت من صاحبة البلاغ أن تسلك سلوكاً معيناً يتعين على الأنثى الفلبينية العادية التي تقع ضحية للاغتصاب أن تسلكه في مثل تلك الظروف، أي </w:t>
      </w:r>
      <w:r w:rsidR="00991DAD">
        <w:rPr>
          <w:rFonts w:hint="cs"/>
          <w:rtl/>
          <w:lang w:eastAsia="ar-SA" w:bidi="ar-EG"/>
        </w:rPr>
        <w:t>”</w:t>
      </w:r>
      <w:r w:rsidRPr="002A3F64">
        <w:rPr>
          <w:rFonts w:hint="cs"/>
          <w:rtl/>
          <w:lang w:eastAsia="ar-SA" w:bidi="ar-EG"/>
        </w:rPr>
        <w:t>استعمال كل ذرة من قوتها وشجاعتها لدفع أي محاولة تفضي إلى تلطيخ شرفها والنيل من طهارتها</w:t>
      </w:r>
      <w:r w:rsidR="00991DAD">
        <w:rPr>
          <w:rFonts w:hint="eastAsia"/>
          <w:rtl/>
          <w:lang w:eastAsia="ar-SA" w:bidi="ar-EG"/>
        </w:rPr>
        <w:t>“</w:t>
      </w:r>
      <w:r w:rsidRPr="002A3F64">
        <w:rPr>
          <w:rFonts w:hint="cs"/>
          <w:rtl/>
          <w:lang w:eastAsia="ar-SA" w:bidi="ar-EG"/>
        </w:rPr>
        <w:t>. وثانياً، قيّمت المحكمة سلوك صاحبة البلاغ قياساً على ذلك المعيار وخلصت إلى أن سلوكها لم</w:t>
      </w:r>
      <w:r w:rsidRPr="002A3F64">
        <w:rPr>
          <w:rtl/>
          <w:lang w:eastAsia="ar-SA" w:bidi="ar-EG"/>
        </w:rPr>
        <w:t> </w:t>
      </w:r>
      <w:r w:rsidRPr="002A3F64">
        <w:rPr>
          <w:rFonts w:hint="cs"/>
          <w:rtl/>
          <w:lang w:eastAsia="ar-SA" w:bidi="ar-EG"/>
        </w:rPr>
        <w:t xml:space="preserve">يكن متوافقاً </w:t>
      </w:r>
      <w:r w:rsidR="00991DAD">
        <w:rPr>
          <w:rFonts w:hint="cs"/>
          <w:rtl/>
          <w:lang w:eastAsia="ar-SA" w:bidi="ar-EG"/>
        </w:rPr>
        <w:t>”</w:t>
      </w:r>
      <w:r w:rsidRPr="002A3F64">
        <w:rPr>
          <w:rFonts w:hint="cs"/>
          <w:rtl/>
          <w:lang w:eastAsia="ar-SA" w:bidi="ar-EG"/>
        </w:rPr>
        <w:t>مع سلوك الفتاة الفلبينية العادية</w:t>
      </w:r>
      <w:r w:rsidR="00991DAD">
        <w:rPr>
          <w:rFonts w:hint="eastAsia"/>
          <w:rtl/>
          <w:lang w:eastAsia="ar-SA" w:bidi="ar-EG"/>
        </w:rPr>
        <w:t>“</w:t>
      </w:r>
      <w:r w:rsidRPr="002A3F64">
        <w:rPr>
          <w:rFonts w:hint="cs"/>
          <w:rtl/>
          <w:lang w:eastAsia="ar-SA" w:bidi="ar-EG"/>
        </w:rPr>
        <w:t xml:space="preserve"> ومع </w:t>
      </w:r>
      <w:r w:rsidR="00991DAD">
        <w:rPr>
          <w:rFonts w:hint="eastAsia"/>
          <w:rtl/>
          <w:lang w:eastAsia="ar-SA" w:bidi="ar-EG"/>
        </w:rPr>
        <w:t>”</w:t>
      </w:r>
      <w:r w:rsidRPr="002A3F64">
        <w:rPr>
          <w:rFonts w:hint="cs"/>
          <w:rtl/>
          <w:lang w:eastAsia="ar-SA" w:bidi="ar-EG"/>
        </w:rPr>
        <w:t>المستوى المعقول للسلوك البشري</w:t>
      </w:r>
      <w:r w:rsidR="00991DAD">
        <w:rPr>
          <w:rFonts w:hint="cs"/>
          <w:rtl/>
          <w:lang w:eastAsia="ar-SA" w:bidi="ar-EG"/>
        </w:rPr>
        <w:t>“</w:t>
      </w:r>
      <w:r w:rsidRPr="002A3F64">
        <w:rPr>
          <w:rFonts w:hint="cs"/>
          <w:rtl/>
          <w:lang w:eastAsia="ar-SA" w:bidi="ar-EG"/>
        </w:rPr>
        <w:t xml:space="preserve"> </w:t>
      </w:r>
      <w:r w:rsidR="00A45495">
        <w:rPr>
          <w:rFonts w:hint="cs"/>
          <w:rtl/>
          <w:lang w:eastAsia="ar-SA" w:bidi="ar-EG"/>
        </w:rPr>
        <w:t>لأ</w:t>
      </w:r>
      <w:r w:rsidRPr="002A3F64">
        <w:rPr>
          <w:rFonts w:hint="cs"/>
          <w:rtl/>
          <w:lang w:eastAsia="ar-SA" w:bidi="ar-EG"/>
        </w:rPr>
        <w:t>نها لم</w:t>
      </w:r>
      <w:r w:rsidRPr="002A3F64">
        <w:rPr>
          <w:rtl/>
          <w:lang w:eastAsia="ar-SA" w:bidi="ar-EG"/>
        </w:rPr>
        <w:t> </w:t>
      </w:r>
      <w:r w:rsidRPr="002A3F64">
        <w:rPr>
          <w:rFonts w:hint="cs"/>
          <w:rtl/>
          <w:lang w:eastAsia="ar-SA" w:bidi="ar-EG"/>
        </w:rPr>
        <w:t>تحاول الفرار من المعتدي أو</w:t>
      </w:r>
      <w:r w:rsidRPr="002A3F64">
        <w:rPr>
          <w:rtl/>
          <w:lang w:eastAsia="ar-SA" w:bidi="ar-EG"/>
        </w:rPr>
        <w:t> </w:t>
      </w:r>
      <w:r w:rsidRPr="002A3F64">
        <w:rPr>
          <w:rFonts w:hint="cs"/>
          <w:rtl/>
          <w:lang w:eastAsia="ar-SA" w:bidi="ar-EG"/>
        </w:rPr>
        <w:t>مقاومته، لا</w:t>
      </w:r>
      <w:r w:rsidRPr="002A3F64">
        <w:rPr>
          <w:rtl/>
          <w:lang w:eastAsia="ar-SA" w:bidi="ar-EG"/>
        </w:rPr>
        <w:t> </w:t>
      </w:r>
      <w:r w:rsidRPr="002A3F64">
        <w:rPr>
          <w:rFonts w:hint="cs"/>
          <w:rtl/>
          <w:lang w:eastAsia="ar-SA" w:bidi="ar-EG"/>
        </w:rPr>
        <w:t>سيما بإثارة الضوضاء أو</w:t>
      </w:r>
      <w:r w:rsidRPr="002A3F64">
        <w:rPr>
          <w:rtl/>
          <w:lang w:eastAsia="ar-SA" w:bidi="ar-EG"/>
        </w:rPr>
        <w:t> </w:t>
      </w:r>
      <w:r w:rsidRPr="002A3F64">
        <w:rPr>
          <w:rFonts w:hint="cs"/>
          <w:rtl/>
          <w:lang w:eastAsia="ar-SA" w:bidi="ar-EG"/>
        </w:rPr>
        <w:t xml:space="preserve">استعمال القوة. وذكرت المحكمة </w:t>
      </w:r>
      <w:r w:rsidR="00A45495">
        <w:rPr>
          <w:rFonts w:hint="cs"/>
          <w:rtl/>
          <w:lang w:eastAsia="ar-SA" w:bidi="ar-EG"/>
        </w:rPr>
        <w:t>أن</w:t>
      </w:r>
      <w:r w:rsidRPr="002A3F64">
        <w:rPr>
          <w:rFonts w:hint="cs"/>
          <w:rtl/>
          <w:lang w:eastAsia="ar-SA" w:bidi="ar-EG"/>
        </w:rPr>
        <w:t xml:space="preserve"> </w:t>
      </w:r>
      <w:r w:rsidR="00991DAD">
        <w:rPr>
          <w:rFonts w:hint="cs"/>
          <w:rtl/>
          <w:lang w:eastAsia="ar-SA" w:bidi="ar-EG"/>
        </w:rPr>
        <w:t>”</w:t>
      </w:r>
      <w:r w:rsidRPr="002A3F64">
        <w:rPr>
          <w:rFonts w:hint="cs"/>
          <w:rtl/>
          <w:lang w:eastAsia="ar-SA" w:bidi="ar-EG"/>
        </w:rPr>
        <w:t xml:space="preserve">عدم </w:t>
      </w:r>
      <w:r w:rsidR="00A45495">
        <w:rPr>
          <w:rFonts w:hint="cs"/>
          <w:rtl/>
          <w:lang w:eastAsia="ar-SA" w:bidi="ar-EG"/>
        </w:rPr>
        <w:t xml:space="preserve">قيامها حتى بمحاولة </w:t>
      </w:r>
      <w:r w:rsidRPr="002A3F64">
        <w:rPr>
          <w:rFonts w:hint="cs"/>
          <w:rtl/>
          <w:lang w:eastAsia="ar-SA" w:bidi="ar-EG"/>
        </w:rPr>
        <w:t>الفرار [...] أو</w:t>
      </w:r>
      <w:r w:rsidRPr="002A3F64">
        <w:rPr>
          <w:rtl/>
          <w:lang w:eastAsia="ar-SA" w:bidi="ar-EG"/>
        </w:rPr>
        <w:t> </w:t>
      </w:r>
      <w:r w:rsidRPr="002A3F64">
        <w:rPr>
          <w:rFonts w:hint="cs"/>
          <w:rtl/>
          <w:lang w:eastAsia="ar-SA" w:bidi="ar-EG"/>
        </w:rPr>
        <w:t xml:space="preserve">الصياح </w:t>
      </w:r>
      <w:r w:rsidR="00A45495" w:rsidRPr="002A3F64">
        <w:rPr>
          <w:rFonts w:hint="cs"/>
          <w:rtl/>
          <w:lang w:eastAsia="ar-SA" w:bidi="ar-EG"/>
        </w:rPr>
        <w:t xml:space="preserve">على الأقل </w:t>
      </w:r>
      <w:r w:rsidRPr="002A3F64">
        <w:rPr>
          <w:rFonts w:hint="cs"/>
          <w:rtl/>
          <w:lang w:eastAsia="ar-SA" w:bidi="ar-EG"/>
        </w:rPr>
        <w:t>طلباً للمساعدة، رغم الفرص المتاحة أمامها لفعل ذلك يلقي بظلال الشك على مدي صدقها ويجعل من الصعب تصديق زعمها بعدم رغبتها فيما</w:t>
      </w:r>
      <w:r w:rsidRPr="002A3F64">
        <w:rPr>
          <w:rFonts w:hint="eastAsia"/>
          <w:rtl/>
          <w:lang w:eastAsia="ar-SA" w:bidi="ar-EG"/>
        </w:rPr>
        <w:t> </w:t>
      </w:r>
      <w:r w:rsidRPr="002A3F64">
        <w:rPr>
          <w:rFonts w:hint="cs"/>
          <w:rtl/>
          <w:lang w:eastAsia="ar-SA" w:bidi="ar-EG"/>
        </w:rPr>
        <w:t>حدث أو</w:t>
      </w:r>
      <w:r w:rsidRPr="002A3F64">
        <w:rPr>
          <w:rtl/>
          <w:lang w:eastAsia="ar-SA" w:bidi="ar-EG"/>
        </w:rPr>
        <w:t> </w:t>
      </w:r>
      <w:r w:rsidRPr="002A3F64">
        <w:rPr>
          <w:rFonts w:hint="cs"/>
          <w:rtl/>
          <w:lang w:eastAsia="ar-SA" w:bidi="ar-EG"/>
        </w:rPr>
        <w:t xml:space="preserve">عدم </w:t>
      </w:r>
      <w:r w:rsidR="00A45495">
        <w:rPr>
          <w:rFonts w:hint="cs"/>
          <w:rtl/>
          <w:lang w:eastAsia="ar-SA" w:bidi="ar-EG"/>
        </w:rPr>
        <w:t>رضاها ب</w:t>
      </w:r>
      <w:r w:rsidRPr="002A3F64">
        <w:rPr>
          <w:rFonts w:hint="cs"/>
          <w:rtl/>
          <w:lang w:eastAsia="ar-SA" w:bidi="ar-EG"/>
        </w:rPr>
        <w:t>ه</w:t>
      </w:r>
      <w:r w:rsidR="00991DAD">
        <w:rPr>
          <w:rFonts w:hint="cs"/>
          <w:rtl/>
          <w:lang w:eastAsia="ar-SA" w:bidi="ar-EG"/>
        </w:rPr>
        <w:t>“</w:t>
      </w:r>
      <w:r w:rsidRPr="002A3F64">
        <w:rPr>
          <w:rFonts w:hint="cs"/>
          <w:rtl/>
          <w:lang w:eastAsia="ar-SA" w:bidi="ar-EG"/>
        </w:rPr>
        <w:t xml:space="preserve">. وتخلص اللجنة إلى أن تلك الاستنتاجات تكشف في حد ذاتها عن وجود </w:t>
      </w:r>
      <w:r w:rsidR="00A45495">
        <w:rPr>
          <w:rFonts w:hint="cs"/>
          <w:rtl/>
          <w:lang w:eastAsia="ar-SA" w:bidi="ar-EG"/>
        </w:rPr>
        <w:t xml:space="preserve">قولبة نمطية جنسانية قوية نجم عنها </w:t>
      </w:r>
      <w:r w:rsidRPr="002A3F64">
        <w:rPr>
          <w:rFonts w:hint="cs"/>
          <w:rtl/>
          <w:lang w:eastAsia="ar-SA" w:bidi="ar-EG"/>
        </w:rPr>
        <w:t>تحيز جنسي وتمييز جنساني وتغاض عن الظروف الفردية في القضية، من قبيل</w:t>
      </w:r>
      <w:r w:rsidR="00A45495">
        <w:rPr>
          <w:rFonts w:hint="cs"/>
          <w:rtl/>
          <w:lang w:eastAsia="ar-SA" w:bidi="ar-EG"/>
        </w:rPr>
        <w:t xml:space="preserve"> معاناة صاحبة البلاغ من الإعاقة أو بالنظر إلى </w:t>
      </w:r>
      <w:r w:rsidR="00AD6651">
        <w:rPr>
          <w:rFonts w:hint="cs"/>
          <w:rtl/>
          <w:lang w:eastAsia="ar-SA" w:bidi="ar-EG"/>
        </w:rPr>
        <w:t>سنِّه</w:t>
      </w:r>
      <w:r w:rsidR="00A45495">
        <w:rPr>
          <w:rFonts w:hint="cs"/>
          <w:rtl/>
          <w:lang w:eastAsia="ar-SA" w:bidi="ar-EG"/>
        </w:rPr>
        <w:t>ا.</w:t>
      </w:r>
    </w:p>
    <w:p w:rsidR="00E85FC1" w:rsidRPr="002A3F64" w:rsidRDefault="00E85FC1" w:rsidP="00991DAD">
      <w:pPr>
        <w:pStyle w:val="SingleTxt"/>
        <w:spacing w:line="380" w:lineRule="exact"/>
        <w:rPr>
          <w:rFonts w:hint="cs"/>
          <w:rtl/>
          <w:lang w:eastAsia="ar-SA" w:bidi="ar-EG"/>
        </w:rPr>
      </w:pPr>
      <w:r w:rsidRPr="002A3F64">
        <w:rPr>
          <w:rFonts w:hint="cs"/>
          <w:rtl/>
          <w:lang w:eastAsia="ar-SA" w:bidi="ar-EG"/>
        </w:rPr>
        <w:t>8-10</w:t>
      </w:r>
      <w:r w:rsidRPr="002A3F64">
        <w:rPr>
          <w:rFonts w:hint="cs"/>
          <w:rtl/>
          <w:lang w:eastAsia="ar-SA" w:bidi="ar-EG"/>
        </w:rPr>
        <w:tab/>
        <w:t xml:space="preserve">وتلاحظ اللجنة كذلك أن القوالب النمطية الجنسانية والتصورات المغلوطة التي استعانت بها المحكمة الابتدائية تضمنت، بوجه خاص، عدم إبداء ضحية الاغتصاب المقاومة </w:t>
      </w:r>
      <w:r w:rsidR="001D4907">
        <w:rPr>
          <w:rFonts w:hint="cs"/>
          <w:rtl/>
          <w:lang w:eastAsia="ar-SA" w:bidi="ar-EG"/>
        </w:rPr>
        <w:t xml:space="preserve">ورضاها به ومدى </w:t>
      </w:r>
      <w:r w:rsidRPr="002A3F64">
        <w:rPr>
          <w:rFonts w:hint="cs"/>
          <w:rtl/>
          <w:lang w:eastAsia="ar-SA" w:bidi="ar-EG"/>
        </w:rPr>
        <w:t>استعمال الجاني القوة والترويع. وتشير إلى اجتهادها القانوني بأن التوقع من صاحبة البلاغ أن تكون قد أبدت مقاومة في الحالة قيد البحث يعزز بوجه خاص الفكرة الوهمية بأن المرأة يتعين عليها أن تقاوم جسدياً الاعتداء الجنسي. وتكرر اللجنة أنه لا</w:t>
      </w:r>
      <w:r w:rsidRPr="002A3F64">
        <w:rPr>
          <w:rtl/>
          <w:lang w:eastAsia="ar-SA" w:bidi="ar-EG"/>
        </w:rPr>
        <w:t> </w:t>
      </w:r>
      <w:r w:rsidRPr="002A3F64">
        <w:rPr>
          <w:rFonts w:hint="cs"/>
          <w:rtl/>
          <w:lang w:eastAsia="ar-SA" w:bidi="ar-EG"/>
        </w:rPr>
        <w:t>ينبغي الافتراض في القانون أو</w:t>
      </w:r>
      <w:r w:rsidRPr="002A3F64">
        <w:rPr>
          <w:rtl/>
          <w:lang w:eastAsia="ar-SA" w:bidi="ar-EG"/>
        </w:rPr>
        <w:t> </w:t>
      </w:r>
      <w:r w:rsidRPr="002A3F64">
        <w:rPr>
          <w:rFonts w:hint="cs"/>
          <w:rtl/>
          <w:lang w:eastAsia="ar-SA" w:bidi="ar-EG"/>
        </w:rPr>
        <w:t xml:space="preserve">في الواقع العملي أن المرأة تكون قد أبدت </w:t>
      </w:r>
      <w:r w:rsidR="001D4907">
        <w:rPr>
          <w:rFonts w:hint="cs"/>
          <w:rtl/>
          <w:lang w:eastAsia="ar-SA" w:bidi="ar-EG"/>
        </w:rPr>
        <w:t xml:space="preserve">رضاها </w:t>
      </w:r>
      <w:r w:rsidRPr="002A3F64">
        <w:rPr>
          <w:rFonts w:hint="cs"/>
          <w:rtl/>
          <w:lang w:eastAsia="ar-SA" w:bidi="ar-EG"/>
        </w:rPr>
        <w:t>لمجرد أنها لم</w:t>
      </w:r>
      <w:r w:rsidRPr="002A3F64">
        <w:rPr>
          <w:rtl/>
          <w:lang w:eastAsia="ar-SA" w:bidi="ar-EG"/>
        </w:rPr>
        <w:t> </w:t>
      </w:r>
      <w:r w:rsidRPr="002A3F64">
        <w:rPr>
          <w:rFonts w:hint="cs"/>
          <w:rtl/>
          <w:lang w:eastAsia="ar-SA" w:bidi="ar-EG"/>
        </w:rPr>
        <w:t xml:space="preserve">تقاوم </w:t>
      </w:r>
      <w:r w:rsidR="001D4907">
        <w:rPr>
          <w:rFonts w:hint="cs"/>
          <w:rtl/>
          <w:lang w:eastAsia="ar-SA" w:bidi="ar-EG"/>
        </w:rPr>
        <w:t xml:space="preserve">بدنيا </w:t>
      </w:r>
      <w:r w:rsidRPr="002A3F64">
        <w:rPr>
          <w:rFonts w:hint="cs"/>
          <w:rtl/>
          <w:lang w:eastAsia="ar-SA" w:bidi="ar-EG"/>
        </w:rPr>
        <w:t>سلوكاً جنسياً غير مرغوب فيه، بغض النظر عن ما</w:t>
      </w:r>
      <w:r w:rsidRPr="002A3F64">
        <w:rPr>
          <w:rtl/>
          <w:lang w:eastAsia="ar-SA" w:bidi="ar-EG"/>
        </w:rPr>
        <w:t> </w:t>
      </w:r>
      <w:r w:rsidRPr="002A3F64">
        <w:rPr>
          <w:rFonts w:hint="cs"/>
          <w:rtl/>
          <w:lang w:eastAsia="ar-SA" w:bidi="ar-EG"/>
        </w:rPr>
        <w:t>إذا كان الجاني قد هدد باستعمال العنف الجسدي أو</w:t>
      </w:r>
      <w:r w:rsidRPr="002A3F64">
        <w:rPr>
          <w:rtl/>
          <w:lang w:eastAsia="ar-SA" w:bidi="ar-EG"/>
        </w:rPr>
        <w:t> </w:t>
      </w:r>
      <w:r w:rsidRPr="002A3F64">
        <w:rPr>
          <w:rFonts w:hint="cs"/>
          <w:rtl/>
          <w:lang w:eastAsia="ar-SA" w:bidi="ar-EG"/>
        </w:rPr>
        <w:t xml:space="preserve">استعمله </w:t>
      </w:r>
      <w:r w:rsidR="00AD6651">
        <w:rPr>
          <w:rFonts w:hint="cs"/>
          <w:rtl/>
          <w:lang w:eastAsia="ar-SA" w:bidi="ar-EG"/>
        </w:rPr>
        <w:t>فعلاً</w:t>
      </w:r>
      <w:r w:rsidRPr="002A3F64">
        <w:rPr>
          <w:rFonts w:hint="cs"/>
          <w:vertAlign w:val="superscript"/>
          <w:rtl/>
          <w:lang w:eastAsia="ar-SA" w:bidi="ar-EG"/>
        </w:rPr>
        <w:t>ً</w:t>
      </w:r>
      <w:r w:rsidR="001D4907" w:rsidRPr="001D4907">
        <w:rPr>
          <w:vertAlign w:val="superscript"/>
          <w:rtl/>
          <w:lang w:eastAsia="ar-SA" w:bidi="ar-EG"/>
        </w:rPr>
        <w:t>(</w:t>
      </w:r>
      <w:r w:rsidR="001D4907" w:rsidRPr="001D4907">
        <w:rPr>
          <w:rStyle w:val="FootnoteReference"/>
          <w:szCs w:val="30"/>
          <w:rtl/>
          <w:lang w:eastAsia="ar-SA"/>
        </w:rPr>
        <w:footnoteReference w:id="34"/>
      </w:r>
      <w:r w:rsidR="001D4907" w:rsidRPr="001D4907">
        <w:rPr>
          <w:vertAlign w:val="superscript"/>
          <w:rtl/>
          <w:lang w:eastAsia="ar-SA" w:bidi="ar-EG"/>
        </w:rPr>
        <w:t>)</w:t>
      </w:r>
      <w:r w:rsidRPr="002A3F64">
        <w:rPr>
          <w:rFonts w:hint="cs"/>
          <w:rtl/>
          <w:lang w:eastAsia="ar-SA" w:bidi="ar-EG"/>
        </w:rPr>
        <w:t xml:space="preserve">. وتكرر اللجنة أيضاً أن عدم </w:t>
      </w:r>
      <w:r w:rsidR="001D4907">
        <w:rPr>
          <w:rFonts w:hint="cs"/>
          <w:rtl/>
          <w:lang w:eastAsia="ar-SA" w:bidi="ar-EG"/>
        </w:rPr>
        <w:t xml:space="preserve">الرضا </w:t>
      </w:r>
      <w:r w:rsidRPr="002A3F64">
        <w:rPr>
          <w:rFonts w:hint="cs"/>
          <w:rtl/>
          <w:lang w:eastAsia="ar-SA" w:bidi="ar-EG"/>
        </w:rPr>
        <w:t>هو عنصر ضروري من عناصر جريمة الاغتصاب، التي تشكل انتهاكاً لحق المرأة في الأمن الشخصي والسلامة البدنية</w:t>
      </w:r>
      <w:r w:rsidR="001D4907" w:rsidRPr="001D4907">
        <w:rPr>
          <w:vertAlign w:val="superscript"/>
          <w:rtl/>
          <w:lang w:eastAsia="ar-SA" w:bidi="ar-EG"/>
        </w:rPr>
        <w:t>(</w:t>
      </w:r>
      <w:r w:rsidR="001D4907" w:rsidRPr="001D4907">
        <w:rPr>
          <w:rStyle w:val="FootnoteReference"/>
          <w:szCs w:val="30"/>
          <w:rtl/>
          <w:lang w:eastAsia="ar-SA"/>
        </w:rPr>
        <w:footnoteReference w:id="35"/>
      </w:r>
      <w:r w:rsidR="001D4907" w:rsidRPr="001D4907">
        <w:rPr>
          <w:vertAlign w:val="superscript"/>
          <w:rtl/>
          <w:lang w:eastAsia="ar-SA" w:bidi="ar-EG"/>
        </w:rPr>
        <w:t>)</w:t>
      </w:r>
      <w:r w:rsidRPr="002A3F64">
        <w:rPr>
          <w:rFonts w:hint="cs"/>
          <w:rtl/>
          <w:lang w:eastAsia="ar-SA" w:bidi="ar-EG"/>
        </w:rPr>
        <w:t>. وفي</w:t>
      </w:r>
      <w:r w:rsidRPr="002A3F64">
        <w:rPr>
          <w:rtl/>
          <w:lang w:eastAsia="ar-SA" w:bidi="ar-EG"/>
        </w:rPr>
        <w:t> </w:t>
      </w:r>
      <w:r w:rsidRPr="002A3F64">
        <w:rPr>
          <w:rFonts w:hint="cs"/>
          <w:rtl/>
          <w:lang w:eastAsia="ar-SA" w:bidi="ar-EG"/>
        </w:rPr>
        <w:t xml:space="preserve">هذا الصدد، تلاحظ اللجنة أنه رغم التوصية المحددة الصادرة إلى الدولة الطرف بإدراج عنصر </w:t>
      </w:r>
      <w:r w:rsidR="00991DAD">
        <w:rPr>
          <w:rFonts w:hint="cs"/>
          <w:rtl/>
          <w:lang w:eastAsia="ar-SA" w:bidi="ar-EG"/>
        </w:rPr>
        <w:t>”</w:t>
      </w:r>
      <w:r w:rsidRPr="002A3F64">
        <w:rPr>
          <w:rFonts w:hint="cs"/>
          <w:rtl/>
          <w:lang w:eastAsia="ar-SA" w:bidi="ar-EG"/>
        </w:rPr>
        <w:t xml:space="preserve">عدم </w:t>
      </w:r>
      <w:r w:rsidR="001D4907">
        <w:rPr>
          <w:rFonts w:hint="cs"/>
          <w:rtl/>
          <w:lang w:eastAsia="ar-SA" w:bidi="ar-EG"/>
        </w:rPr>
        <w:t>الرضا</w:t>
      </w:r>
      <w:r w:rsidR="00991DAD">
        <w:rPr>
          <w:rFonts w:hint="eastAsia"/>
          <w:rtl/>
          <w:lang w:eastAsia="ar-SA" w:bidi="ar-EG"/>
        </w:rPr>
        <w:t>“</w:t>
      </w:r>
      <w:r w:rsidRPr="002A3F64">
        <w:rPr>
          <w:rFonts w:hint="cs"/>
          <w:rtl/>
          <w:lang w:eastAsia="ar-SA" w:bidi="ar-EG"/>
        </w:rPr>
        <w:t xml:space="preserve"> في تعريف الاغتصاب بقانون العقوبات المنقح لعام</w:t>
      </w:r>
      <w:r w:rsidRPr="002A3F64">
        <w:rPr>
          <w:rtl/>
          <w:lang w:eastAsia="ar-SA" w:bidi="ar-EG"/>
        </w:rPr>
        <w:t> </w:t>
      </w:r>
      <w:r w:rsidRPr="002A3F64">
        <w:rPr>
          <w:rFonts w:hint="cs"/>
          <w:rtl/>
          <w:lang w:eastAsia="ar-SA" w:bidi="ar-EG"/>
        </w:rPr>
        <w:t>1930</w:t>
      </w:r>
      <w:r w:rsidR="001D4907" w:rsidRPr="001D4907">
        <w:rPr>
          <w:vertAlign w:val="superscript"/>
          <w:rtl/>
          <w:lang w:eastAsia="ar-SA" w:bidi="ar-EG"/>
        </w:rPr>
        <w:t>(</w:t>
      </w:r>
      <w:r w:rsidR="001D4907" w:rsidRPr="001D4907">
        <w:rPr>
          <w:rStyle w:val="FootnoteReference"/>
          <w:szCs w:val="30"/>
          <w:rtl/>
          <w:lang w:eastAsia="ar-SA"/>
        </w:rPr>
        <w:footnoteReference w:id="36"/>
      </w:r>
      <w:r w:rsidR="001D4907" w:rsidRPr="001D4907">
        <w:rPr>
          <w:vertAlign w:val="superscript"/>
          <w:rtl/>
          <w:lang w:eastAsia="ar-SA" w:bidi="ar-EG"/>
        </w:rPr>
        <w:t>)</w:t>
      </w:r>
      <w:r w:rsidRPr="002A3F64">
        <w:rPr>
          <w:rFonts w:hint="cs"/>
          <w:rtl/>
          <w:lang w:eastAsia="ar-SA" w:bidi="ar-EG"/>
        </w:rPr>
        <w:t>، لم</w:t>
      </w:r>
      <w:r w:rsidRPr="002A3F64">
        <w:rPr>
          <w:rtl/>
          <w:lang w:eastAsia="ar-SA" w:bidi="ar-EG"/>
        </w:rPr>
        <w:t> </w:t>
      </w:r>
      <w:r w:rsidRPr="002A3F64">
        <w:rPr>
          <w:rFonts w:hint="cs"/>
          <w:rtl/>
          <w:lang w:eastAsia="ar-SA" w:bidi="ar-EG"/>
        </w:rPr>
        <w:t>تقم الدولة الطرف بمراجعة تشريعاتها.</w:t>
      </w:r>
    </w:p>
    <w:p w:rsidR="00E85FC1" w:rsidRPr="002A3F64" w:rsidRDefault="00E85FC1" w:rsidP="00140B44">
      <w:pPr>
        <w:pStyle w:val="SingleTxt"/>
        <w:spacing w:line="380" w:lineRule="exact"/>
        <w:rPr>
          <w:rFonts w:hint="cs"/>
          <w:rtl/>
          <w:lang w:eastAsia="ar-SA" w:bidi="ar-EG"/>
        </w:rPr>
      </w:pPr>
      <w:r w:rsidRPr="002A3F64">
        <w:rPr>
          <w:rFonts w:hint="cs"/>
          <w:rtl/>
          <w:lang w:eastAsia="ar-SA" w:bidi="ar-EG"/>
        </w:rPr>
        <w:t>8-11</w:t>
      </w:r>
      <w:r w:rsidRPr="002A3F64">
        <w:rPr>
          <w:rFonts w:hint="cs"/>
          <w:rtl/>
          <w:lang w:eastAsia="ar-SA" w:bidi="ar-EG"/>
        </w:rPr>
        <w:tab/>
        <w:t>وتقر اللجنة كذلك بأن صاحبة البلاغ عانت من ضرر مادي ومعنوي ومن أوجه تحيُّز، خصوصاً بسبب الطول المفرط في سير إجراءات المحاكمة، وبإخفاق المحكمة في توفير الترجمة الشفوية بلغة الإشارة مجاناً، وباستعمال القوالب النمطية والأفكار الوهمية الجنسانية، والتغاضي لدى إصدار الحكم عن حالتها الخاصة المتمثلة في كونها فتاة بكماء</w:t>
      </w:r>
      <w:r w:rsidRPr="002A3F64">
        <w:rPr>
          <w:rFonts w:hint="eastAsia"/>
          <w:rtl/>
          <w:lang w:eastAsia="ar-SA" w:bidi="ar-EG"/>
        </w:rPr>
        <w:t> </w:t>
      </w:r>
      <w:r w:rsidRPr="002A3F64">
        <w:rPr>
          <w:rFonts w:hint="cs"/>
          <w:rtl/>
          <w:lang w:eastAsia="ar-SA" w:bidi="ar-EG"/>
        </w:rPr>
        <w:t>صماء.</w:t>
      </w:r>
    </w:p>
    <w:p w:rsidR="00E85FC1" w:rsidRPr="002A3F64" w:rsidRDefault="006B6933" w:rsidP="00140B44">
      <w:pPr>
        <w:pStyle w:val="SingleTxt"/>
        <w:spacing w:line="380" w:lineRule="exact"/>
        <w:rPr>
          <w:rFonts w:hint="cs"/>
          <w:spacing w:val="-2"/>
          <w:rtl/>
          <w:lang w:eastAsia="ar-SA" w:bidi="ar-EG"/>
        </w:rPr>
      </w:pPr>
      <w:r>
        <w:rPr>
          <w:rFonts w:hint="cs"/>
          <w:spacing w:val="-2"/>
          <w:rtl/>
          <w:lang w:eastAsia="ar-SA" w:bidi="ar-EG"/>
        </w:rPr>
        <w:t>9 -</w:t>
      </w:r>
      <w:r w:rsidR="00E85FC1" w:rsidRPr="002A3F64">
        <w:rPr>
          <w:rFonts w:hint="cs"/>
          <w:spacing w:val="-2"/>
          <w:rtl/>
          <w:lang w:eastAsia="ar-SA" w:bidi="ar-EG"/>
        </w:rPr>
        <w:tab/>
        <w:t xml:space="preserve">وإعمالاً للفقرة 3 من المادة 7 من البروتوكول الاختياري </w:t>
      </w:r>
      <w:r w:rsidR="001D4907">
        <w:rPr>
          <w:rFonts w:hint="cs"/>
          <w:spacing w:val="-2"/>
          <w:rtl/>
          <w:lang w:eastAsia="ar-SA" w:bidi="ar-EG"/>
        </w:rPr>
        <w:t>ل</w:t>
      </w:r>
      <w:r w:rsidR="00E85FC1" w:rsidRPr="002A3F64">
        <w:rPr>
          <w:rFonts w:hint="cs"/>
          <w:spacing w:val="-2"/>
          <w:rtl/>
          <w:lang w:eastAsia="ar-SA" w:bidi="ar-EG"/>
        </w:rPr>
        <w:t>لاتفاقية</w:t>
      </w:r>
      <w:r w:rsidR="001D4907">
        <w:rPr>
          <w:rFonts w:hint="cs"/>
          <w:spacing w:val="-2"/>
          <w:rtl/>
          <w:lang w:eastAsia="ar-SA" w:bidi="ar-EG"/>
        </w:rPr>
        <w:t>،</w:t>
      </w:r>
      <w:r w:rsidR="00E85FC1" w:rsidRPr="002A3F64">
        <w:rPr>
          <w:rFonts w:hint="cs"/>
          <w:spacing w:val="-2"/>
          <w:rtl/>
          <w:lang w:eastAsia="ar-SA" w:bidi="ar-EG"/>
        </w:rPr>
        <w:t xml:space="preserve"> وفي</w:t>
      </w:r>
      <w:r w:rsidR="00E85FC1" w:rsidRPr="002A3F64">
        <w:rPr>
          <w:spacing w:val="-2"/>
          <w:rtl/>
          <w:lang w:eastAsia="ar-SA" w:bidi="ar-EG"/>
        </w:rPr>
        <w:t> </w:t>
      </w:r>
      <w:r w:rsidR="00E85FC1" w:rsidRPr="002A3F64">
        <w:rPr>
          <w:rFonts w:hint="cs"/>
          <w:spacing w:val="-2"/>
          <w:rtl/>
          <w:lang w:eastAsia="ar-SA" w:bidi="ar-EG"/>
        </w:rPr>
        <w:t xml:space="preserve">ضوء كافة الاعتبارات </w:t>
      </w:r>
      <w:r w:rsidR="00E85FC1" w:rsidRPr="00C662D9">
        <w:rPr>
          <w:rFonts w:hint="cs"/>
          <w:rtl/>
          <w:lang w:eastAsia="ar-SA" w:bidi="ar-EG"/>
        </w:rPr>
        <w:t>المذكورة</w:t>
      </w:r>
      <w:r w:rsidR="00E85FC1" w:rsidRPr="002A3F64">
        <w:rPr>
          <w:rFonts w:hint="cs"/>
          <w:spacing w:val="-2"/>
          <w:rtl/>
          <w:lang w:eastAsia="ar-SA" w:bidi="ar-EG"/>
        </w:rPr>
        <w:t xml:space="preserve"> آنفاً، ترى اللجنة أن الدولة الطرف لم</w:t>
      </w:r>
      <w:r w:rsidR="00E85FC1" w:rsidRPr="002A3F64">
        <w:rPr>
          <w:spacing w:val="-2"/>
          <w:rtl/>
          <w:lang w:eastAsia="ar-SA" w:bidi="ar-EG"/>
        </w:rPr>
        <w:t> </w:t>
      </w:r>
      <w:r w:rsidR="00E85FC1" w:rsidRPr="002A3F64">
        <w:rPr>
          <w:rFonts w:hint="cs"/>
          <w:spacing w:val="-2"/>
          <w:rtl/>
          <w:lang w:eastAsia="ar-SA" w:bidi="ar-EG"/>
        </w:rPr>
        <w:t>تمتثل لالتزاماتها، ومن ثم انتهكت الحقوق المكفولة لصاحبة البلاغ بمقتضى الفقرات (ج) و</w:t>
      </w:r>
      <w:r w:rsidR="001D4907">
        <w:rPr>
          <w:rFonts w:hint="cs"/>
          <w:spacing w:val="-2"/>
          <w:rtl/>
          <w:lang w:eastAsia="ar-SA" w:bidi="ar-EG"/>
        </w:rPr>
        <w:t xml:space="preserve"> </w:t>
      </w:r>
      <w:r w:rsidR="00E85FC1" w:rsidRPr="002A3F64">
        <w:rPr>
          <w:rFonts w:hint="cs"/>
          <w:spacing w:val="-2"/>
          <w:rtl/>
          <w:lang w:eastAsia="ar-SA" w:bidi="ar-EG"/>
        </w:rPr>
        <w:t>(د) و</w:t>
      </w:r>
      <w:r w:rsidR="001D4907">
        <w:rPr>
          <w:rFonts w:hint="cs"/>
          <w:spacing w:val="-2"/>
          <w:rtl/>
          <w:lang w:eastAsia="ar-SA" w:bidi="ar-EG"/>
        </w:rPr>
        <w:t xml:space="preserve"> </w:t>
      </w:r>
      <w:r w:rsidR="00E85FC1" w:rsidRPr="002A3F64">
        <w:rPr>
          <w:rFonts w:hint="cs"/>
          <w:spacing w:val="-2"/>
          <w:rtl/>
          <w:lang w:eastAsia="ar-SA" w:bidi="ar-EG"/>
        </w:rPr>
        <w:t>(و) من المادة 2، مقروءة بالاقتران مع المادة 1 من الاتفاقية والتوصيتين العامتين</w:t>
      </w:r>
      <w:r w:rsidR="00E85FC1" w:rsidRPr="002A3F64">
        <w:rPr>
          <w:rFonts w:hint="eastAsia"/>
          <w:spacing w:val="-2"/>
          <w:rtl/>
          <w:lang w:eastAsia="ar-SA" w:bidi="ar-EG"/>
        </w:rPr>
        <w:t> </w:t>
      </w:r>
      <w:r w:rsidR="001D4907">
        <w:rPr>
          <w:rFonts w:hint="cs"/>
          <w:spacing w:val="-2"/>
          <w:rtl/>
          <w:lang w:eastAsia="ar-SA" w:bidi="ar-EG"/>
        </w:rPr>
        <w:t xml:space="preserve">رقمي </w:t>
      </w:r>
      <w:r w:rsidR="00E85FC1" w:rsidRPr="002A3F64">
        <w:rPr>
          <w:rFonts w:hint="cs"/>
          <w:spacing w:val="-2"/>
          <w:rtl/>
          <w:lang w:eastAsia="ar-SA" w:bidi="ar-EG"/>
        </w:rPr>
        <w:t>18 و</w:t>
      </w:r>
      <w:r w:rsidR="001D4907">
        <w:rPr>
          <w:rFonts w:hint="eastAsia"/>
          <w:spacing w:val="-2"/>
          <w:rtl/>
          <w:lang w:eastAsia="ar-SA" w:bidi="ar-EG"/>
        </w:rPr>
        <w:t> </w:t>
      </w:r>
      <w:r w:rsidR="00E85FC1" w:rsidRPr="002A3F64">
        <w:rPr>
          <w:rFonts w:hint="cs"/>
          <w:spacing w:val="-2"/>
          <w:rtl/>
          <w:lang w:eastAsia="ar-SA" w:bidi="ar-EG"/>
        </w:rPr>
        <w:t>19 الصادرتين عن اللجنة. وتطرح اللجنة على الدولة الطرف التوصيات التالية:</w:t>
      </w:r>
    </w:p>
    <w:p w:rsidR="00E85FC1" w:rsidRDefault="00E85FC1" w:rsidP="00140B44">
      <w:pPr>
        <w:pStyle w:val="SingleTxt"/>
        <w:spacing w:line="380" w:lineRule="exact"/>
        <w:rPr>
          <w:rFonts w:hint="cs"/>
          <w:rtl/>
          <w:lang w:eastAsia="ar-SA" w:bidi="ar-EG"/>
        </w:rPr>
      </w:pPr>
      <w:r w:rsidRPr="002A3F64">
        <w:rPr>
          <w:rFonts w:hint="cs"/>
          <w:rtl/>
          <w:lang w:eastAsia="ar-SA" w:bidi="ar-EG"/>
        </w:rPr>
        <w:tab/>
        <w:t>(أ)</w:t>
      </w:r>
      <w:r w:rsidRPr="002A3F64">
        <w:rPr>
          <w:rFonts w:hint="cs"/>
          <w:rtl/>
          <w:lang w:eastAsia="ar-SA" w:bidi="ar-EG"/>
        </w:rPr>
        <w:tab/>
        <w:t>فيما يتعلق بصاحبة البلاغ</w:t>
      </w:r>
      <w:r w:rsidR="006B6933">
        <w:rPr>
          <w:rFonts w:hint="cs"/>
          <w:rtl/>
          <w:lang w:eastAsia="ar-SA" w:bidi="ar-EG"/>
        </w:rPr>
        <w:t>:</w:t>
      </w:r>
    </w:p>
    <w:p w:rsidR="00E85FC1" w:rsidRDefault="006B6933" w:rsidP="00140B44">
      <w:pPr>
        <w:pStyle w:val="SingleTxt"/>
        <w:spacing w:line="380" w:lineRule="exact"/>
        <w:ind w:left="3254" w:hanging="1987"/>
        <w:rPr>
          <w:rFonts w:hint="cs"/>
          <w:rtl/>
          <w:lang w:eastAsia="ar-SA" w:bidi="ar-EG"/>
        </w:rPr>
      </w:pPr>
      <w:r>
        <w:rPr>
          <w:rFonts w:hint="cs"/>
          <w:rtl/>
          <w:lang w:eastAsia="ar-SA" w:bidi="ar-EG"/>
        </w:rPr>
        <w:tab/>
      </w:r>
      <w:r>
        <w:rPr>
          <w:rFonts w:hint="cs"/>
          <w:rtl/>
          <w:lang w:eastAsia="ar-SA" w:bidi="ar-EG"/>
        </w:rPr>
        <w:tab/>
        <w:t>‘1’</w:t>
      </w:r>
      <w:r>
        <w:rPr>
          <w:rFonts w:hint="cs"/>
          <w:rtl/>
          <w:lang w:eastAsia="ar-SA" w:bidi="ar-EG"/>
        </w:rPr>
        <w:tab/>
      </w:r>
      <w:r w:rsidR="00E85FC1" w:rsidRPr="002A3F64">
        <w:rPr>
          <w:rFonts w:hint="cs"/>
          <w:rtl/>
          <w:lang w:eastAsia="ar-SA" w:bidi="ar-EG"/>
        </w:rPr>
        <w:t>تقديم تعويض، بما</w:t>
      </w:r>
      <w:r w:rsidR="00E85FC1" w:rsidRPr="002A3F64">
        <w:rPr>
          <w:rtl/>
          <w:lang w:eastAsia="ar-SA" w:bidi="ar-EG"/>
        </w:rPr>
        <w:t> </w:t>
      </w:r>
      <w:r w:rsidR="00E85FC1" w:rsidRPr="002A3F64">
        <w:rPr>
          <w:rFonts w:hint="cs"/>
          <w:rtl/>
          <w:lang w:eastAsia="ar-SA" w:bidi="ar-EG"/>
        </w:rPr>
        <w:t>يشمل التعويض النقدي، يتناسب مع جسامة الانتهاكات التي تعرضت لها حقوق صاحبة البلاغ؛</w:t>
      </w:r>
    </w:p>
    <w:p w:rsidR="00E85FC1" w:rsidRDefault="006B6933" w:rsidP="006B6933">
      <w:pPr>
        <w:pStyle w:val="SingleTxt"/>
        <w:ind w:left="3254" w:hanging="1987"/>
        <w:rPr>
          <w:rFonts w:hint="cs"/>
          <w:rtl/>
          <w:lang w:eastAsia="ar-SA" w:bidi="ar-EG"/>
        </w:rPr>
      </w:pPr>
      <w:r>
        <w:rPr>
          <w:rFonts w:hint="cs"/>
          <w:rtl/>
          <w:lang w:eastAsia="ar-SA" w:bidi="ar-EG"/>
        </w:rPr>
        <w:tab/>
      </w:r>
      <w:r>
        <w:rPr>
          <w:rFonts w:hint="cs"/>
          <w:rtl/>
          <w:lang w:eastAsia="ar-SA" w:bidi="ar-EG"/>
        </w:rPr>
        <w:tab/>
        <w:t>‘2’</w:t>
      </w:r>
      <w:r>
        <w:rPr>
          <w:rFonts w:hint="cs"/>
          <w:rtl/>
          <w:lang w:eastAsia="ar-SA" w:bidi="ar-EG"/>
        </w:rPr>
        <w:tab/>
      </w:r>
      <w:r w:rsidR="00E85FC1" w:rsidRPr="002A3F64">
        <w:rPr>
          <w:rFonts w:hint="cs"/>
          <w:rtl/>
          <w:lang w:eastAsia="ar-SA" w:bidi="ar-EG"/>
        </w:rPr>
        <w:t>توفير المشورة والعلاج النفسي</w:t>
      </w:r>
      <w:r>
        <w:rPr>
          <w:rFonts w:hint="cs"/>
          <w:rtl/>
          <w:lang w:eastAsia="ar-SA" w:bidi="ar-EG"/>
        </w:rPr>
        <w:t>ين مجاناً لصاحبة البلاغ وأسرتها؛</w:t>
      </w:r>
    </w:p>
    <w:p w:rsidR="006B6933" w:rsidRPr="002A3F64" w:rsidRDefault="006B6933" w:rsidP="006B6933">
      <w:pPr>
        <w:pStyle w:val="SingleTxt"/>
        <w:ind w:left="3254" w:hanging="1987"/>
        <w:rPr>
          <w:rFonts w:hint="cs"/>
          <w:rtl/>
          <w:lang w:eastAsia="ar-SA" w:bidi="ar-EG"/>
        </w:rPr>
      </w:pPr>
      <w:r>
        <w:rPr>
          <w:rFonts w:hint="cs"/>
          <w:rtl/>
          <w:lang w:eastAsia="ar-SA" w:bidi="ar-EG"/>
        </w:rPr>
        <w:tab/>
      </w:r>
      <w:r>
        <w:rPr>
          <w:rFonts w:hint="cs"/>
          <w:rtl/>
          <w:lang w:eastAsia="ar-SA" w:bidi="ar-EG"/>
        </w:rPr>
        <w:tab/>
        <w:t>‘3’</w:t>
      </w:r>
      <w:r>
        <w:rPr>
          <w:rFonts w:hint="cs"/>
          <w:rtl/>
          <w:lang w:eastAsia="ar-SA" w:bidi="ar-EG"/>
        </w:rPr>
        <w:tab/>
        <w:t>توفير تعليم لصاحبة البلاغ غير معاق بالحواجز ومقرون بترجمة شفوية؛</w:t>
      </w:r>
    </w:p>
    <w:p w:rsidR="00E85FC1" w:rsidRDefault="00E85FC1" w:rsidP="006B6933">
      <w:pPr>
        <w:pStyle w:val="SingleTxt"/>
        <w:rPr>
          <w:rFonts w:hint="cs"/>
          <w:rtl/>
          <w:lang w:bidi="ar-EG"/>
        </w:rPr>
      </w:pPr>
      <w:r w:rsidRPr="002A3F64">
        <w:rPr>
          <w:rFonts w:hint="cs"/>
          <w:rtl/>
          <w:lang w:bidi="ar-EG"/>
        </w:rPr>
        <w:tab/>
        <w:t>(ب)</w:t>
      </w:r>
      <w:r w:rsidRPr="002A3F64">
        <w:rPr>
          <w:rFonts w:hint="cs"/>
          <w:rtl/>
          <w:lang w:bidi="ar-EG"/>
        </w:rPr>
        <w:tab/>
        <w:t>توصيات عامة</w:t>
      </w:r>
      <w:r w:rsidR="006B6933">
        <w:rPr>
          <w:rFonts w:hint="cs"/>
          <w:rtl/>
          <w:lang w:bidi="ar-EG"/>
        </w:rPr>
        <w:t>:</w:t>
      </w:r>
    </w:p>
    <w:p w:rsidR="00E85FC1" w:rsidRDefault="006B6933" w:rsidP="006B6933">
      <w:pPr>
        <w:pStyle w:val="SingleTxt"/>
        <w:ind w:left="3254" w:hanging="1987"/>
        <w:rPr>
          <w:rFonts w:hint="cs"/>
          <w:rtl/>
          <w:lang w:eastAsia="ar-SA" w:bidi="ar-EG"/>
        </w:rPr>
      </w:pPr>
      <w:r>
        <w:rPr>
          <w:rFonts w:hint="cs"/>
          <w:rtl/>
          <w:lang w:bidi="ar-EG"/>
        </w:rPr>
        <w:tab/>
      </w:r>
      <w:r>
        <w:rPr>
          <w:rFonts w:hint="cs"/>
          <w:rtl/>
          <w:lang w:bidi="ar-EG"/>
        </w:rPr>
        <w:tab/>
        <w:t>‘1’</w:t>
      </w:r>
      <w:r>
        <w:rPr>
          <w:rFonts w:hint="cs"/>
          <w:rtl/>
          <w:lang w:bidi="ar-EG"/>
        </w:rPr>
        <w:tab/>
      </w:r>
      <w:r w:rsidR="00E85FC1" w:rsidRPr="002A3F64">
        <w:rPr>
          <w:rFonts w:hint="cs"/>
          <w:rtl/>
          <w:lang w:eastAsia="ar-SA" w:bidi="ar-EG"/>
        </w:rPr>
        <w:t>مر</w:t>
      </w:r>
      <w:r>
        <w:rPr>
          <w:rFonts w:hint="cs"/>
          <w:rtl/>
          <w:lang w:eastAsia="ar-SA" w:bidi="ar-EG"/>
        </w:rPr>
        <w:t>اجعة التشريع المتعلق بالاغتصاب ل</w:t>
      </w:r>
      <w:r w:rsidR="00E85FC1" w:rsidRPr="002A3F64">
        <w:rPr>
          <w:rFonts w:hint="cs"/>
          <w:rtl/>
          <w:lang w:eastAsia="ar-SA" w:bidi="ar-EG"/>
        </w:rPr>
        <w:t>حذف أي اشتراط بأن يكون الاعتداء الجنسي قد ارتُكب باستعمال القوة أو</w:t>
      </w:r>
      <w:r w:rsidR="00E85FC1" w:rsidRPr="002A3F64">
        <w:rPr>
          <w:rtl/>
          <w:lang w:eastAsia="ar-SA" w:bidi="ar-EG"/>
        </w:rPr>
        <w:t> </w:t>
      </w:r>
      <w:r w:rsidR="00E85FC1" w:rsidRPr="002A3F64">
        <w:rPr>
          <w:rFonts w:hint="cs"/>
          <w:rtl/>
          <w:lang w:eastAsia="ar-SA" w:bidi="ar-EG"/>
        </w:rPr>
        <w:t xml:space="preserve">العنف، وأي اشتراط بوجود دليل على الإيلاج، </w:t>
      </w:r>
      <w:r>
        <w:rPr>
          <w:rFonts w:hint="cs"/>
          <w:rtl/>
          <w:lang w:eastAsia="ar-SA" w:bidi="ar-EG"/>
        </w:rPr>
        <w:t>ل</w:t>
      </w:r>
      <w:r w:rsidR="00E85FC1" w:rsidRPr="002A3F64">
        <w:rPr>
          <w:rFonts w:hint="cs"/>
          <w:rtl/>
          <w:lang w:eastAsia="ar-SA" w:bidi="ar-EG"/>
        </w:rPr>
        <w:t xml:space="preserve">كي يكون انعدام </w:t>
      </w:r>
      <w:r>
        <w:rPr>
          <w:rFonts w:hint="cs"/>
          <w:rtl/>
          <w:lang w:eastAsia="ar-SA" w:bidi="ar-EG"/>
        </w:rPr>
        <w:t>الرضا هو محور التركيز فيه؛</w:t>
      </w:r>
    </w:p>
    <w:p w:rsidR="00E85FC1" w:rsidRDefault="006B6933" w:rsidP="006B6933">
      <w:pPr>
        <w:pStyle w:val="SingleTxt"/>
        <w:ind w:left="3254" w:hanging="1987"/>
        <w:rPr>
          <w:rFonts w:hint="cs"/>
          <w:rtl/>
          <w:lang w:eastAsia="ar-SA" w:bidi="ar-EG"/>
        </w:rPr>
      </w:pPr>
      <w:r>
        <w:rPr>
          <w:rFonts w:hint="cs"/>
          <w:rtl/>
          <w:lang w:eastAsia="ar-SA" w:bidi="ar-EG"/>
        </w:rPr>
        <w:tab/>
      </w:r>
      <w:r>
        <w:rPr>
          <w:rFonts w:hint="cs"/>
          <w:rtl/>
          <w:lang w:eastAsia="ar-SA" w:bidi="ar-EG"/>
        </w:rPr>
        <w:tab/>
        <w:t>‘2’</w:t>
      </w:r>
      <w:r>
        <w:rPr>
          <w:rFonts w:hint="cs"/>
          <w:rtl/>
          <w:lang w:eastAsia="ar-SA" w:bidi="ar-EG"/>
        </w:rPr>
        <w:tab/>
      </w:r>
      <w:r w:rsidR="00E85FC1" w:rsidRPr="002A3F64">
        <w:rPr>
          <w:rFonts w:hint="cs"/>
          <w:rtl/>
          <w:lang w:eastAsia="ar-SA" w:bidi="ar-EG"/>
        </w:rPr>
        <w:t>استعراض التشريعات والممارسات ذات الصلة من أجل ضمان توفير المساعدة المجانية الملائمة من المترجمين الشفويين، بما</w:t>
      </w:r>
      <w:r w:rsidR="00E85FC1" w:rsidRPr="002A3F64">
        <w:rPr>
          <w:rtl/>
          <w:lang w:eastAsia="ar-SA" w:bidi="ar-EG"/>
        </w:rPr>
        <w:t> </w:t>
      </w:r>
      <w:r w:rsidR="00E85FC1" w:rsidRPr="002A3F64">
        <w:rPr>
          <w:rFonts w:hint="cs"/>
          <w:rtl/>
          <w:lang w:eastAsia="ar-SA" w:bidi="ar-EG"/>
        </w:rPr>
        <w:t xml:space="preserve">يشمل لغة الإشارة، في جميع مراحل </w:t>
      </w:r>
      <w:r>
        <w:rPr>
          <w:rFonts w:hint="cs"/>
          <w:rtl/>
          <w:lang w:eastAsia="ar-SA" w:bidi="ar-EG"/>
        </w:rPr>
        <w:t xml:space="preserve">سير </w:t>
      </w:r>
      <w:r w:rsidR="00E85FC1" w:rsidRPr="002A3F64">
        <w:rPr>
          <w:rFonts w:hint="cs"/>
          <w:rtl/>
          <w:lang w:eastAsia="ar-SA" w:bidi="ar-EG"/>
        </w:rPr>
        <w:t>الدعاوى، عند الا</w:t>
      </w:r>
      <w:r>
        <w:rPr>
          <w:rFonts w:hint="cs"/>
          <w:rtl/>
          <w:lang w:eastAsia="ar-SA" w:bidi="ar-EG"/>
        </w:rPr>
        <w:t>قتضاء؛</w:t>
      </w:r>
    </w:p>
    <w:p w:rsidR="00E85FC1" w:rsidRDefault="006B6933" w:rsidP="00AD6651">
      <w:pPr>
        <w:pStyle w:val="SingleTxt"/>
        <w:ind w:left="3254" w:hanging="1987"/>
        <w:rPr>
          <w:rFonts w:hint="cs"/>
          <w:rtl/>
          <w:lang w:eastAsia="ar-SA" w:bidi="ar-EG"/>
        </w:rPr>
      </w:pPr>
      <w:r>
        <w:rPr>
          <w:rFonts w:hint="cs"/>
          <w:rtl/>
          <w:lang w:eastAsia="ar-SA" w:bidi="ar-EG"/>
        </w:rPr>
        <w:tab/>
      </w:r>
      <w:r>
        <w:rPr>
          <w:rFonts w:hint="cs"/>
          <w:rtl/>
          <w:lang w:eastAsia="ar-SA" w:bidi="ar-EG"/>
        </w:rPr>
        <w:tab/>
        <w:t>‘3’</w:t>
      </w:r>
      <w:r>
        <w:rPr>
          <w:rFonts w:hint="cs"/>
          <w:rtl/>
          <w:lang w:eastAsia="ar-SA" w:bidi="ar-EG"/>
        </w:rPr>
        <w:tab/>
      </w:r>
      <w:r w:rsidR="00E85FC1" w:rsidRPr="002A3F64">
        <w:rPr>
          <w:rFonts w:hint="cs"/>
          <w:rtl/>
          <w:lang w:eastAsia="ar-SA" w:bidi="ar-EG"/>
        </w:rPr>
        <w:t>كفالة سير جميع الدعاوى الجنائية التي يدخل فيها الاغتصاب وغيره من الجرائم الجنسية بحياد ونزاهة دون تحيزات أو</w:t>
      </w:r>
      <w:r w:rsidR="00E85FC1" w:rsidRPr="002A3F64">
        <w:rPr>
          <w:rtl/>
          <w:lang w:eastAsia="ar-SA" w:bidi="ar-EG"/>
        </w:rPr>
        <w:t> </w:t>
      </w:r>
      <w:r w:rsidR="00E85FC1" w:rsidRPr="002A3F64">
        <w:rPr>
          <w:rFonts w:hint="cs"/>
          <w:rtl/>
          <w:lang w:eastAsia="ar-SA" w:bidi="ar-EG"/>
        </w:rPr>
        <w:t>أفكار نمطية عن جنس الضحية أو</w:t>
      </w:r>
      <w:r w:rsidR="00E85FC1" w:rsidRPr="002A3F64">
        <w:rPr>
          <w:rtl/>
          <w:lang w:eastAsia="ar-SA" w:bidi="ar-EG"/>
        </w:rPr>
        <w:t> </w:t>
      </w:r>
      <w:r w:rsidR="00AD6651">
        <w:rPr>
          <w:rFonts w:hint="cs"/>
          <w:rtl/>
          <w:lang w:eastAsia="ar-SA" w:bidi="ar-EG"/>
        </w:rPr>
        <w:t xml:space="preserve">سنِّها </w:t>
      </w:r>
      <w:r w:rsidR="00E85FC1" w:rsidRPr="002A3F64">
        <w:rPr>
          <w:rFonts w:hint="cs"/>
          <w:rtl/>
          <w:lang w:eastAsia="ar-SA" w:bidi="ar-EG"/>
        </w:rPr>
        <w:t>أو </w:t>
      </w:r>
      <w:r w:rsidR="00E85FC1" w:rsidRPr="002A3F64">
        <w:rPr>
          <w:rtl/>
          <w:lang w:eastAsia="ar-SA" w:bidi="ar-EG"/>
        </w:rPr>
        <w:t>ما </w:t>
      </w:r>
      <w:r>
        <w:rPr>
          <w:rFonts w:hint="cs"/>
          <w:rtl/>
          <w:lang w:eastAsia="ar-SA" w:bidi="ar-EG"/>
        </w:rPr>
        <w:t>تعانيه من إعاقة؛</w:t>
      </w:r>
    </w:p>
    <w:p w:rsidR="00E85FC1" w:rsidRPr="002A3F64" w:rsidRDefault="006B6933" w:rsidP="006B6933">
      <w:pPr>
        <w:pStyle w:val="SingleTxt"/>
        <w:ind w:left="3254" w:hanging="1987"/>
        <w:rPr>
          <w:rFonts w:hint="cs"/>
          <w:rtl/>
          <w:lang w:eastAsia="ar-SA" w:bidi="ar-EG"/>
        </w:rPr>
      </w:pPr>
      <w:r>
        <w:rPr>
          <w:rFonts w:hint="cs"/>
          <w:rtl/>
          <w:lang w:eastAsia="ar-SA" w:bidi="ar-EG"/>
        </w:rPr>
        <w:tab/>
      </w:r>
      <w:r>
        <w:rPr>
          <w:rFonts w:hint="cs"/>
          <w:rtl/>
          <w:lang w:eastAsia="ar-SA" w:bidi="ar-EG"/>
        </w:rPr>
        <w:tab/>
        <w:t>‘4’</w:t>
      </w:r>
      <w:r>
        <w:rPr>
          <w:rFonts w:hint="cs"/>
          <w:rtl/>
          <w:lang w:eastAsia="ar-SA" w:bidi="ar-EG"/>
        </w:rPr>
        <w:tab/>
      </w:r>
      <w:r w:rsidR="00E85FC1" w:rsidRPr="002A3F64">
        <w:rPr>
          <w:rFonts w:hint="cs"/>
          <w:rtl/>
          <w:lang w:eastAsia="ar-SA" w:bidi="ar-EG"/>
        </w:rPr>
        <w:t xml:space="preserve">توفير التدريب الملائم والمنتظم عن </w:t>
      </w:r>
      <w:r>
        <w:rPr>
          <w:rFonts w:hint="cs"/>
          <w:rtl/>
          <w:lang w:eastAsia="ar-SA" w:bidi="ar-EG"/>
        </w:rPr>
        <w:t>ال</w:t>
      </w:r>
      <w:r w:rsidR="00E85FC1" w:rsidRPr="002A3F64">
        <w:rPr>
          <w:rFonts w:hint="cs"/>
          <w:rtl/>
          <w:lang w:eastAsia="ar-SA" w:bidi="ar-EG"/>
        </w:rPr>
        <w:t>اتفاقية وبروتوكولها الاختياري و</w:t>
      </w:r>
      <w:r>
        <w:rPr>
          <w:rFonts w:hint="cs"/>
          <w:rtl/>
          <w:lang w:eastAsia="ar-SA" w:bidi="ar-EG"/>
        </w:rPr>
        <w:t>ال</w:t>
      </w:r>
      <w:r w:rsidR="00E85FC1" w:rsidRPr="002A3F64">
        <w:rPr>
          <w:rFonts w:hint="cs"/>
          <w:rtl/>
          <w:lang w:eastAsia="ar-SA" w:bidi="ar-EG"/>
        </w:rPr>
        <w:t xml:space="preserve">توصيات </w:t>
      </w:r>
      <w:r>
        <w:rPr>
          <w:rFonts w:hint="cs"/>
          <w:rtl/>
          <w:lang w:eastAsia="ar-SA" w:bidi="ar-EG"/>
        </w:rPr>
        <w:t>ال</w:t>
      </w:r>
      <w:r w:rsidR="00E85FC1" w:rsidRPr="002A3F64">
        <w:rPr>
          <w:rFonts w:hint="cs"/>
          <w:rtl/>
          <w:lang w:eastAsia="ar-SA" w:bidi="ar-EG"/>
        </w:rPr>
        <w:t>عامة</w:t>
      </w:r>
      <w:r>
        <w:rPr>
          <w:rFonts w:hint="cs"/>
          <w:rtl/>
          <w:lang w:eastAsia="ar-SA" w:bidi="ar-EG"/>
        </w:rPr>
        <w:t xml:space="preserve"> للجنة</w:t>
      </w:r>
      <w:r w:rsidR="00E85FC1" w:rsidRPr="002A3F64">
        <w:rPr>
          <w:rFonts w:hint="cs"/>
          <w:rtl/>
          <w:lang w:eastAsia="ar-SA" w:bidi="ar-EG"/>
        </w:rPr>
        <w:t xml:space="preserve">، </w:t>
      </w:r>
      <w:r>
        <w:rPr>
          <w:rFonts w:hint="cs"/>
          <w:rtl/>
          <w:lang w:eastAsia="ar-SA" w:bidi="ar-EG"/>
        </w:rPr>
        <w:t>و</w:t>
      </w:r>
      <w:r w:rsidR="00E85FC1" w:rsidRPr="002A3F64">
        <w:rPr>
          <w:rFonts w:hint="cs"/>
          <w:rtl/>
          <w:lang w:eastAsia="ar-SA" w:bidi="ar-EG"/>
        </w:rPr>
        <w:t>لا</w:t>
      </w:r>
      <w:r w:rsidR="00E85FC1" w:rsidRPr="002A3F64">
        <w:rPr>
          <w:rtl/>
          <w:lang w:eastAsia="ar-SA" w:bidi="ar-EG"/>
        </w:rPr>
        <w:t> </w:t>
      </w:r>
      <w:r w:rsidR="00E85FC1" w:rsidRPr="002A3F64">
        <w:rPr>
          <w:rFonts w:hint="cs"/>
          <w:rtl/>
          <w:lang w:eastAsia="ar-SA" w:bidi="ar-EG"/>
        </w:rPr>
        <w:t>سيما التوصيتان 18 و19، للعاملين في السلك القضائي والاختصاصيي</w:t>
      </w:r>
      <w:r w:rsidR="00991DAD">
        <w:rPr>
          <w:rFonts w:hint="cs"/>
          <w:rtl/>
          <w:lang w:eastAsia="ar-SA" w:bidi="ar-EG"/>
        </w:rPr>
        <w:t>ن في المجال القانوني لضمان ألاّ</w:t>
      </w:r>
      <w:r w:rsidR="00991DAD">
        <w:rPr>
          <w:rFonts w:hint="eastAsia"/>
          <w:rtl/>
          <w:lang w:eastAsia="ar-SA" w:bidi="ar-EG"/>
        </w:rPr>
        <w:t> </w:t>
      </w:r>
      <w:r w:rsidR="00E85FC1" w:rsidRPr="002A3F64">
        <w:rPr>
          <w:rFonts w:hint="cs"/>
          <w:rtl/>
          <w:lang w:eastAsia="ar-SA" w:bidi="ar-EG"/>
        </w:rPr>
        <w:t xml:space="preserve">تؤثر التصورات النمطية وأوجه التحيُّز الجنساني </w:t>
      </w:r>
      <w:r>
        <w:rPr>
          <w:rFonts w:hint="cs"/>
          <w:rtl/>
          <w:lang w:eastAsia="ar-SA" w:bidi="ar-EG"/>
        </w:rPr>
        <w:t xml:space="preserve">في </w:t>
      </w:r>
      <w:r w:rsidR="00E85FC1" w:rsidRPr="002A3F64">
        <w:rPr>
          <w:rFonts w:hint="cs"/>
          <w:rtl/>
          <w:lang w:eastAsia="ar-SA" w:bidi="ar-EG"/>
        </w:rPr>
        <w:t xml:space="preserve">سير </w:t>
      </w:r>
      <w:r>
        <w:rPr>
          <w:rFonts w:hint="cs"/>
          <w:rtl/>
          <w:lang w:eastAsia="ar-SA" w:bidi="ar-EG"/>
        </w:rPr>
        <w:t xml:space="preserve">الدعاوى </w:t>
      </w:r>
      <w:r w:rsidR="00E85FC1" w:rsidRPr="002A3F64">
        <w:rPr>
          <w:rFonts w:hint="cs"/>
          <w:rtl/>
          <w:lang w:eastAsia="ar-SA" w:bidi="ar-EG"/>
        </w:rPr>
        <w:t>واتخاذ القرارات في المحاكم.</w:t>
      </w:r>
    </w:p>
    <w:p w:rsidR="00E85FC1" w:rsidRPr="002A3F64" w:rsidRDefault="006B6933" w:rsidP="006B6933">
      <w:pPr>
        <w:pStyle w:val="SingleTxt"/>
        <w:rPr>
          <w:rFonts w:hint="cs"/>
          <w:rtl/>
          <w:lang w:eastAsia="ar-SA" w:bidi="ar-EG"/>
        </w:rPr>
      </w:pPr>
      <w:r>
        <w:rPr>
          <w:rFonts w:hint="cs"/>
          <w:rtl/>
          <w:lang w:eastAsia="ar-SA" w:bidi="ar-EG"/>
        </w:rPr>
        <w:t>10 -</w:t>
      </w:r>
      <w:r w:rsidR="00E85FC1" w:rsidRPr="002A3F64">
        <w:rPr>
          <w:rFonts w:hint="cs"/>
          <w:rtl/>
          <w:lang w:eastAsia="ar-SA" w:bidi="ar-EG"/>
        </w:rPr>
        <w:tab/>
      </w:r>
      <w:r>
        <w:rPr>
          <w:rFonts w:hint="cs"/>
          <w:rtl/>
          <w:lang w:eastAsia="ar-SA" w:bidi="ar-EG"/>
        </w:rPr>
        <w:t xml:space="preserve">ويتعين على </w:t>
      </w:r>
      <w:r w:rsidR="00E85FC1" w:rsidRPr="002A3F64">
        <w:rPr>
          <w:rFonts w:hint="cs"/>
          <w:rtl/>
          <w:lang w:eastAsia="ar-SA" w:bidi="ar-EG"/>
        </w:rPr>
        <w:t xml:space="preserve">الدولة الطرف، بمقتضى الفقرة 4 من المادة 7 من البروتوكول الاختياري، </w:t>
      </w:r>
      <w:r>
        <w:rPr>
          <w:rFonts w:hint="cs"/>
          <w:rtl/>
          <w:lang w:eastAsia="ar-SA" w:bidi="ar-EG"/>
        </w:rPr>
        <w:t xml:space="preserve">أن تولي </w:t>
      </w:r>
      <w:r w:rsidR="00E85FC1" w:rsidRPr="002A3F64">
        <w:rPr>
          <w:rFonts w:hint="cs"/>
          <w:rtl/>
          <w:lang w:eastAsia="ar-SA" w:bidi="ar-EG"/>
        </w:rPr>
        <w:t>الاعتبار الواجب لما</w:t>
      </w:r>
      <w:r w:rsidR="00E85FC1" w:rsidRPr="002A3F64">
        <w:rPr>
          <w:rtl/>
          <w:lang w:eastAsia="ar-SA" w:bidi="ar-EG"/>
        </w:rPr>
        <w:t> </w:t>
      </w:r>
      <w:r w:rsidR="00E85FC1" w:rsidRPr="002A3F64">
        <w:rPr>
          <w:rFonts w:hint="cs"/>
          <w:rtl/>
          <w:lang w:eastAsia="ar-SA" w:bidi="ar-EG"/>
        </w:rPr>
        <w:t>أعربت عنه اللجنة من آراء وكذلك ما</w:t>
      </w:r>
      <w:r w:rsidR="00E85FC1" w:rsidRPr="002A3F64">
        <w:rPr>
          <w:rtl/>
          <w:lang w:eastAsia="ar-SA" w:bidi="ar-EG"/>
        </w:rPr>
        <w:t> </w:t>
      </w:r>
      <w:r w:rsidR="00E85FC1" w:rsidRPr="002A3F64">
        <w:rPr>
          <w:rFonts w:hint="cs"/>
          <w:rtl/>
          <w:lang w:eastAsia="ar-SA" w:bidi="ar-EG"/>
        </w:rPr>
        <w:t>قدمته من توصيات، و</w:t>
      </w:r>
      <w:r>
        <w:rPr>
          <w:rFonts w:hint="cs"/>
          <w:rtl/>
          <w:lang w:eastAsia="ar-SA" w:bidi="ar-EG"/>
        </w:rPr>
        <w:t xml:space="preserve">أن </w:t>
      </w:r>
      <w:r w:rsidR="00E85FC1" w:rsidRPr="002A3F64">
        <w:rPr>
          <w:rFonts w:hint="cs"/>
          <w:rtl/>
          <w:lang w:eastAsia="ar-SA" w:bidi="ar-EG"/>
        </w:rPr>
        <w:t xml:space="preserve">تقدم إلى اللجنة في غضون ستة أشهر رداً خطياً يتضمن معلومات عن أي إجراء تتخذه في ضوء آراء اللجنة وتوصياتها. </w:t>
      </w:r>
      <w:r>
        <w:rPr>
          <w:rFonts w:hint="cs"/>
          <w:rtl/>
          <w:lang w:eastAsia="ar-SA" w:bidi="ar-EG"/>
        </w:rPr>
        <w:t xml:space="preserve">ويطلب </w:t>
      </w:r>
      <w:r w:rsidR="00E85FC1" w:rsidRPr="002A3F64">
        <w:rPr>
          <w:rFonts w:hint="cs"/>
          <w:rtl/>
          <w:lang w:eastAsia="ar-SA" w:bidi="ar-EG"/>
        </w:rPr>
        <w:t xml:space="preserve">أيضاً </w:t>
      </w:r>
      <w:r>
        <w:rPr>
          <w:rFonts w:hint="cs"/>
          <w:rtl/>
          <w:lang w:eastAsia="ar-SA" w:bidi="ar-EG"/>
        </w:rPr>
        <w:t xml:space="preserve">إلى </w:t>
      </w:r>
      <w:r w:rsidR="00E85FC1" w:rsidRPr="002A3F64">
        <w:rPr>
          <w:rFonts w:hint="cs"/>
          <w:rtl/>
          <w:lang w:eastAsia="ar-SA" w:bidi="ar-EG"/>
        </w:rPr>
        <w:t xml:space="preserve">الدولة الطرف أن تنشر آراء وتوصيات اللجنة وأن تترجمها إلى الفلبينية واللغات الإقليمية </w:t>
      </w:r>
      <w:r>
        <w:rPr>
          <w:rFonts w:hint="cs"/>
          <w:rtl/>
          <w:lang w:eastAsia="ar-SA" w:bidi="ar-EG"/>
        </w:rPr>
        <w:t xml:space="preserve">الأخرى </w:t>
      </w:r>
      <w:r w:rsidR="00E85FC1" w:rsidRPr="002A3F64">
        <w:rPr>
          <w:rFonts w:hint="cs"/>
          <w:rtl/>
          <w:lang w:eastAsia="ar-SA" w:bidi="ar-EG"/>
        </w:rPr>
        <w:t>المعترف بها، حسب الاقتضاء، وتوزعها على نطاق واسع بغية وصولها إلى جميع القطاعات المعنية في المجتمع.</w:t>
      </w:r>
    </w:p>
    <w:p w:rsidR="006B6933" w:rsidRPr="006B6933" w:rsidRDefault="00140B44" w:rsidP="00140B44">
      <w:pPr>
        <w:pStyle w:val="SingleTxt"/>
        <w:rPr>
          <w:rFonts w:hint="cs"/>
          <w:rtl/>
          <w:lang w:eastAsia="ar-SA"/>
        </w:rPr>
      </w:pPr>
      <w:r>
        <w:rPr>
          <w:rFonts w:hint="cs"/>
          <w:noProof/>
          <w:w w:val="100"/>
          <w:rtl/>
        </w:rPr>
        <w:pict>
          <v:line id="_x0000_s1028" style="position:absolute;left:0;text-align:left;z-index:2" from="211.15pt,70.4pt" to="283.15pt,70.4pt" strokeweight=".25pt"/>
        </w:pict>
      </w:r>
      <w:r w:rsidR="00E85FC1" w:rsidRPr="002A3F64">
        <w:rPr>
          <w:rFonts w:hint="cs"/>
          <w:rtl/>
          <w:lang w:eastAsia="ar-SA" w:bidi="ar-EG"/>
        </w:rPr>
        <w:t>[اعتُمِدت باللغات الإسبانية والإنكليزية والروسية والصينية والعربية والفرنسية، علماً بأن النص الإنكليزي هو النص الأصلي.]</w:t>
      </w:r>
    </w:p>
    <w:sectPr w:rsidR="006B6933" w:rsidRPr="006B6933" w:rsidSect="001D5DC7">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4T12:22:00Z" w:initials="Start">
    <w:p w:rsidR="00665BFE" w:rsidRDefault="00665BFE">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NO&gt;&gt;N1400591A&lt;&lt;ODS JOB NO&gt;&gt;</w:t>
      </w:r>
    </w:p>
    <w:p w:rsidR="00665BFE" w:rsidRDefault="00665BFE">
      <w:pPr>
        <w:pStyle w:val="CommentText"/>
      </w:pPr>
      <w:r>
        <w:t>&lt;&lt;ODS DOC SYMBOL1&gt;&gt;CEDAW/C/57/D/34/2011&lt;&lt;ODS DOC SYMBOL1&gt;&gt;</w:t>
      </w:r>
    </w:p>
    <w:p w:rsidR="00665BFE" w:rsidRDefault="00665BF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6C3" w:rsidRDefault="005A56C3">
      <w:r>
        <w:separator/>
      </w:r>
    </w:p>
  </w:endnote>
  <w:endnote w:type="continuationSeparator" w:id="0">
    <w:p w:rsidR="005A56C3" w:rsidRDefault="005A5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3296F" w:rsidTr="001D5DC7">
      <w:tblPrEx>
        <w:tblCellMar>
          <w:top w:w="0" w:type="dxa"/>
          <w:bottom w:w="0" w:type="dxa"/>
        </w:tblCellMar>
      </w:tblPrEx>
      <w:tc>
        <w:tcPr>
          <w:tcW w:w="5033" w:type="dxa"/>
          <w:shd w:val="clear" w:color="auto" w:fill="auto"/>
        </w:tcPr>
        <w:p w:rsidR="00E3296F" w:rsidRPr="001D5DC7" w:rsidRDefault="00E3296F" w:rsidP="001D5DC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F0238">
            <w:rPr>
              <w:w w:val="103"/>
            </w:rPr>
            <w:t>24</w:t>
          </w:r>
          <w:r>
            <w:rPr>
              <w:w w:val="103"/>
            </w:rPr>
            <w:fldChar w:fldCharType="end"/>
          </w:r>
          <w:r>
            <w:rPr>
              <w:w w:val="103"/>
            </w:rPr>
            <w:t>/</w:t>
          </w:r>
          <w:fldSimple w:instr=" NUMPAGES  \* Arabic  \* MERGEFORMAT ">
            <w:r w:rsidR="009F0238">
              <w:rPr>
                <w:w w:val="103"/>
              </w:rPr>
              <w:t>24</w:t>
            </w:r>
          </w:fldSimple>
        </w:p>
      </w:tc>
      <w:tc>
        <w:tcPr>
          <w:tcW w:w="5033" w:type="dxa"/>
          <w:shd w:val="clear" w:color="auto" w:fill="auto"/>
        </w:tcPr>
        <w:p w:rsidR="00E3296F" w:rsidRPr="001D5DC7" w:rsidRDefault="00E3296F" w:rsidP="001D5DC7">
          <w:pPr>
            <w:pStyle w:val="Footer"/>
            <w:rPr>
              <w:b w:val="0"/>
              <w:w w:val="103"/>
            </w:rPr>
          </w:pPr>
          <w:fldSimple w:instr=" DOCVARIABLE &quot;FooterJN&quot; \* MERGEFORMAT ">
            <w:r w:rsidR="009F0238">
              <w:rPr>
                <w:b w:val="0"/>
                <w:w w:val="103"/>
              </w:rPr>
              <w:t>14-00591</w:t>
            </w:r>
          </w:fldSimple>
        </w:p>
      </w:tc>
    </w:tr>
  </w:tbl>
  <w:p w:rsidR="00E3296F" w:rsidRPr="001D5DC7" w:rsidRDefault="00E3296F" w:rsidP="001D5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3296F" w:rsidTr="001D5DC7">
      <w:tblPrEx>
        <w:tblCellMar>
          <w:top w:w="0" w:type="dxa"/>
          <w:bottom w:w="0" w:type="dxa"/>
        </w:tblCellMar>
      </w:tblPrEx>
      <w:tc>
        <w:tcPr>
          <w:tcW w:w="5033" w:type="dxa"/>
          <w:shd w:val="clear" w:color="auto" w:fill="auto"/>
        </w:tcPr>
        <w:p w:rsidR="00E3296F" w:rsidRPr="001D5DC7" w:rsidRDefault="00E3296F" w:rsidP="001D5DC7">
          <w:pPr>
            <w:pStyle w:val="Footer"/>
            <w:jc w:val="right"/>
            <w:rPr>
              <w:b w:val="0"/>
              <w:w w:val="103"/>
            </w:rPr>
          </w:pPr>
          <w:fldSimple w:instr=" DOCVARIABLE &quot;FooterJN&quot; \* MERGEFORMAT ">
            <w:r w:rsidR="009F0238">
              <w:rPr>
                <w:b w:val="0"/>
                <w:w w:val="103"/>
              </w:rPr>
              <w:t>14-00591</w:t>
            </w:r>
          </w:fldSimple>
        </w:p>
      </w:tc>
      <w:tc>
        <w:tcPr>
          <w:tcW w:w="5033" w:type="dxa"/>
          <w:shd w:val="clear" w:color="auto" w:fill="auto"/>
        </w:tcPr>
        <w:p w:rsidR="00E3296F" w:rsidRPr="001D5DC7" w:rsidRDefault="00E3296F" w:rsidP="001D5DC7">
          <w:pPr>
            <w:pStyle w:val="Footer"/>
            <w:rPr>
              <w:w w:val="103"/>
            </w:rPr>
          </w:pPr>
          <w:r>
            <w:rPr>
              <w:w w:val="103"/>
            </w:rPr>
            <w:fldChar w:fldCharType="begin"/>
          </w:r>
          <w:r>
            <w:rPr>
              <w:w w:val="103"/>
            </w:rPr>
            <w:instrText xml:space="preserve"> PAGE  \* Arabic  \* MERGEFORMAT </w:instrText>
          </w:r>
          <w:r>
            <w:rPr>
              <w:w w:val="103"/>
            </w:rPr>
            <w:fldChar w:fldCharType="separate"/>
          </w:r>
          <w:r w:rsidR="009F0238">
            <w:rPr>
              <w:w w:val="103"/>
            </w:rPr>
            <w:t>23</w:t>
          </w:r>
          <w:r>
            <w:rPr>
              <w:w w:val="103"/>
            </w:rPr>
            <w:fldChar w:fldCharType="end"/>
          </w:r>
          <w:r>
            <w:rPr>
              <w:w w:val="103"/>
            </w:rPr>
            <w:t>/</w:t>
          </w:r>
          <w:fldSimple w:instr=" NUMPAGES  \* Arabic  \* MERGEFORMAT ">
            <w:r w:rsidR="009F0238">
              <w:rPr>
                <w:w w:val="103"/>
              </w:rPr>
              <w:t>24</w:t>
            </w:r>
          </w:fldSimple>
        </w:p>
      </w:tc>
    </w:tr>
  </w:tbl>
  <w:p w:rsidR="00E3296F" w:rsidRPr="001D5DC7" w:rsidRDefault="00E3296F" w:rsidP="001D5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E3296F" w:rsidTr="00E85FC1">
      <w:tblPrEx>
        <w:tblCellMar>
          <w:top w:w="0" w:type="dxa"/>
          <w:bottom w:w="0" w:type="dxa"/>
        </w:tblCellMar>
      </w:tblPrEx>
      <w:trPr>
        <w:jc w:val="right"/>
      </w:trPr>
      <w:tc>
        <w:tcPr>
          <w:tcW w:w="3744" w:type="dxa"/>
        </w:tcPr>
        <w:p w:rsidR="00E3296F" w:rsidRDefault="00E3296F" w:rsidP="001D5DC7">
          <w:pPr>
            <w:pStyle w:val="Footer"/>
            <w:spacing w:line="240" w:lineRule="atLeast"/>
            <w:rPr>
              <w:rFonts w:cs="Times New Roman"/>
              <w:b w:val="0"/>
              <w:w w:val="103"/>
              <w:sz w:val="20"/>
            </w:rPr>
          </w:pPr>
          <w:r w:rsidRPr="001D5DC7">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E3296F" w:rsidRDefault="00E3296F" w:rsidP="001D5DC7">
          <w:pPr>
            <w:pStyle w:val="Footer"/>
            <w:jc w:val="right"/>
            <w:rPr>
              <w:rFonts w:cs="Times New Roman"/>
              <w:b w:val="0"/>
              <w:w w:val="103"/>
              <w:sz w:val="20"/>
            </w:rPr>
          </w:pPr>
          <w:r>
            <w:rPr>
              <w:rFonts w:cs="Times New Roman"/>
              <w:b w:val="0"/>
              <w:w w:val="103"/>
              <w:sz w:val="20"/>
            </w:rPr>
            <w:t>250314    250314    14-00591</w:t>
          </w:r>
          <w:r w:rsidR="00742B3E">
            <w:rPr>
              <w:rFonts w:cs="Times New Roman"/>
              <w:b w:val="0"/>
              <w:w w:val="103"/>
              <w:sz w:val="20"/>
            </w:rPr>
            <w:t>X</w:t>
          </w:r>
          <w:r>
            <w:rPr>
              <w:rFonts w:cs="Times New Roman"/>
              <w:b w:val="0"/>
              <w:w w:val="103"/>
              <w:sz w:val="20"/>
            </w:rPr>
            <w:t xml:space="preserve"> (A)</w:t>
          </w:r>
        </w:p>
        <w:p w:rsidR="00E3296F" w:rsidRPr="001D5DC7" w:rsidRDefault="00E3296F" w:rsidP="001D5DC7">
          <w:pPr>
            <w:pStyle w:val="Footer"/>
            <w:spacing w:before="80"/>
            <w:jc w:val="right"/>
            <w:rPr>
              <w:rFonts w:ascii="Barcode 3 of 9 by request" w:hAnsi="Barcode 3 of 9 by request" w:cs="Times New Roman"/>
              <w:b w:val="0"/>
              <w:sz w:val="24"/>
            </w:rPr>
          </w:pPr>
          <w:fldSimple w:instr=" DOCVARIABLE &quot;Barcode&quot; \* MERGEFORMAT ">
            <w:r w:rsidR="009F0238">
              <w:rPr>
                <w:rFonts w:ascii="Barcode 3 of 9 by request" w:hAnsi="Barcode 3 of 9 by request" w:cs="Times New Roman"/>
                <w:b w:val="0"/>
                <w:sz w:val="24"/>
              </w:rPr>
              <w:t>*1400591*</w:t>
            </w:r>
          </w:fldSimple>
        </w:p>
      </w:tc>
    </w:tr>
  </w:tbl>
  <w:p w:rsidR="00E3296F" w:rsidRPr="001D5DC7" w:rsidRDefault="00E3296F" w:rsidP="001D5DC7">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6C3" w:rsidRPr="001D4907" w:rsidRDefault="005A56C3" w:rsidP="001D4907">
      <w:pPr>
        <w:pStyle w:val="Footer"/>
        <w:bidi/>
        <w:spacing w:after="80"/>
        <w:ind w:left="792"/>
        <w:rPr>
          <w:sz w:val="16"/>
        </w:rPr>
      </w:pPr>
      <w:r w:rsidRPr="001D4907">
        <w:rPr>
          <w:sz w:val="16"/>
          <w:rtl/>
        </w:rPr>
        <w:t>__________</w:t>
      </w:r>
    </w:p>
  </w:footnote>
  <w:footnote w:type="continuationSeparator" w:id="0">
    <w:p w:rsidR="005A56C3" w:rsidRPr="001D4907" w:rsidRDefault="005A56C3" w:rsidP="001D4907">
      <w:pPr>
        <w:pStyle w:val="Footer"/>
        <w:bidi/>
        <w:spacing w:after="80"/>
        <w:ind w:left="792"/>
        <w:rPr>
          <w:sz w:val="16"/>
        </w:rPr>
      </w:pPr>
      <w:r w:rsidRPr="001D4907">
        <w:rPr>
          <w:sz w:val="16"/>
          <w:rtl/>
        </w:rPr>
        <w:t>__________</w:t>
      </w:r>
    </w:p>
  </w:footnote>
  <w:footnote w:id="1">
    <w:p w:rsidR="00E3296F" w:rsidRPr="00B75FCE" w:rsidRDefault="00E3296F" w:rsidP="00B75FCE">
      <w:pPr>
        <w:pStyle w:val="FootnoteText"/>
        <w:tabs>
          <w:tab w:val="clear" w:pos="418"/>
          <w:tab w:val="right" w:pos="1195"/>
          <w:tab w:val="left" w:pos="1267"/>
          <w:tab w:val="left" w:pos="1656"/>
          <w:tab w:val="left" w:pos="2088"/>
        </w:tabs>
        <w:spacing w:after="80"/>
        <w:ind w:left="1267" w:right="1267" w:hanging="547"/>
        <w:rPr>
          <w:rFonts w:hint="cs"/>
          <w:w w:val="103"/>
        </w:rPr>
      </w:pPr>
      <w:r w:rsidRPr="00B75FCE">
        <w:rPr>
          <w:rtl/>
        </w:rPr>
        <w:tab/>
      </w:r>
      <w:r w:rsidRPr="00B75FCE">
        <w:rPr>
          <w:w w:val="103"/>
          <w:rtl/>
          <w:lang w:eastAsia="ar-SA" w:bidi="ar-EG"/>
        </w:rPr>
        <w:t>(</w:t>
      </w:r>
      <w:r w:rsidRPr="00B75FCE">
        <w:rPr>
          <w:rStyle w:val="FootnoteReference"/>
          <w:spacing w:val="0"/>
          <w:w w:val="103"/>
          <w:vertAlign w:val="baseline"/>
          <w:rtl/>
          <w:lang w:eastAsia="ar-SA"/>
        </w:rPr>
        <w:footnoteRef/>
      </w:r>
      <w:r w:rsidRPr="00B75FCE">
        <w:rPr>
          <w:w w:val="103"/>
          <w:rtl/>
          <w:lang w:eastAsia="ar-SA" w:bidi="ar-EG"/>
        </w:rPr>
        <w:t>)</w:t>
      </w:r>
      <w:r w:rsidRPr="00B75FCE">
        <w:rPr>
          <w:w w:val="103"/>
          <w:rtl/>
        </w:rPr>
        <w:tab/>
      </w:r>
      <w:r w:rsidRPr="00B75FCE">
        <w:rPr>
          <w:rFonts w:hint="cs"/>
          <w:rtl/>
        </w:rPr>
        <w:t>كان مقرراً عقد جلسات الاستماع أيام 23 تشرين الأول/أكتوبر و8 و27 تشرين الثاني/نوفمبر و12 كانون الأول/ديسمبر 2006.</w:t>
      </w:r>
    </w:p>
  </w:footnote>
  <w:footnote w:id="2">
    <w:p w:rsidR="00E3296F" w:rsidRPr="00B75FCE" w:rsidRDefault="00E3296F" w:rsidP="00B75FCE">
      <w:pPr>
        <w:pStyle w:val="FootnoteText"/>
        <w:tabs>
          <w:tab w:val="clear" w:pos="418"/>
          <w:tab w:val="right" w:pos="1195"/>
          <w:tab w:val="left" w:pos="1267"/>
          <w:tab w:val="left" w:pos="1656"/>
          <w:tab w:val="left" w:pos="2088"/>
        </w:tabs>
        <w:spacing w:after="80"/>
        <w:ind w:left="1267" w:right="1267" w:hanging="547"/>
        <w:rPr>
          <w:rFonts w:hint="cs"/>
          <w:w w:val="103"/>
        </w:rPr>
      </w:pPr>
      <w:r w:rsidRPr="00B75FCE">
        <w:rPr>
          <w:rtl/>
        </w:rPr>
        <w:tab/>
      </w:r>
      <w:r w:rsidRPr="00B75FCE">
        <w:rPr>
          <w:w w:val="103"/>
          <w:rtl/>
          <w:lang w:eastAsia="ar-SA" w:bidi="ar-EG"/>
        </w:rPr>
        <w:t>(</w:t>
      </w:r>
      <w:r w:rsidRPr="00B75FCE">
        <w:rPr>
          <w:rStyle w:val="FootnoteReference"/>
          <w:spacing w:val="0"/>
          <w:w w:val="103"/>
          <w:vertAlign w:val="baseline"/>
          <w:rtl/>
          <w:lang w:eastAsia="ar-SA"/>
        </w:rPr>
        <w:footnoteRef/>
      </w:r>
      <w:r w:rsidRPr="00B75FCE">
        <w:rPr>
          <w:w w:val="103"/>
          <w:rtl/>
          <w:lang w:eastAsia="ar-SA" w:bidi="ar-EG"/>
        </w:rPr>
        <w:t>)</w:t>
      </w:r>
      <w:r w:rsidRPr="00B75FCE">
        <w:rPr>
          <w:w w:val="103"/>
          <w:rtl/>
        </w:rPr>
        <w:tab/>
      </w:r>
      <w:r w:rsidRPr="00B75FCE">
        <w:rPr>
          <w:rFonts w:hint="cs"/>
          <w:rtl/>
          <w:lang w:bidi="ar-EG"/>
        </w:rPr>
        <w:t>يقدم المركز خدمات مباشرة ويضطلع بأنشطة دعوة لصالح الصم. وتحيل المحكمة العليا تلقائياً إلى المركز طلبات الترجمة بلغة الإشارة المقدمة من المحاكم الابتدائية، في ظل عدم وجود سياسة شاملة بصدد المسألة.</w:t>
      </w:r>
    </w:p>
  </w:footnote>
  <w:footnote w:id="3">
    <w:p w:rsidR="00E3296F" w:rsidRPr="00B75FCE" w:rsidRDefault="00E3296F" w:rsidP="00B75FCE">
      <w:pPr>
        <w:pStyle w:val="FootnoteText"/>
        <w:tabs>
          <w:tab w:val="clear" w:pos="418"/>
          <w:tab w:val="right" w:pos="1195"/>
          <w:tab w:val="left" w:pos="1267"/>
          <w:tab w:val="left" w:pos="1656"/>
          <w:tab w:val="left" w:pos="2088"/>
        </w:tabs>
        <w:spacing w:after="80"/>
        <w:ind w:left="1267" w:right="1267" w:hanging="547"/>
        <w:rPr>
          <w:rFonts w:hint="cs"/>
          <w:w w:val="103"/>
        </w:rPr>
      </w:pPr>
      <w:r w:rsidRPr="00B75FCE">
        <w:rPr>
          <w:rtl/>
        </w:rPr>
        <w:tab/>
      </w:r>
      <w:r w:rsidRPr="00B75FCE">
        <w:rPr>
          <w:w w:val="103"/>
          <w:rtl/>
          <w:lang w:eastAsia="ar-SA" w:bidi="ar-EG"/>
        </w:rPr>
        <w:t>(</w:t>
      </w:r>
      <w:r w:rsidRPr="00B75FCE">
        <w:rPr>
          <w:rStyle w:val="FootnoteReference"/>
          <w:spacing w:val="0"/>
          <w:w w:val="103"/>
          <w:vertAlign w:val="baseline"/>
          <w:rtl/>
          <w:lang w:eastAsia="ar-SA"/>
        </w:rPr>
        <w:footnoteRef/>
      </w:r>
      <w:r w:rsidRPr="00B75FCE">
        <w:rPr>
          <w:w w:val="103"/>
          <w:rtl/>
          <w:lang w:eastAsia="ar-SA" w:bidi="ar-EG"/>
        </w:rPr>
        <w:t>)</w:t>
      </w:r>
      <w:r w:rsidRPr="00B75FCE">
        <w:rPr>
          <w:w w:val="103"/>
          <w:rtl/>
        </w:rPr>
        <w:tab/>
      </w:r>
      <w:r w:rsidRPr="00B75FCE">
        <w:rPr>
          <w:rFonts w:hint="cs"/>
          <w:rtl/>
          <w:lang w:bidi="ar-EG"/>
        </w:rPr>
        <w:t>بلغت صاحبة البلاغ حينئذ سن الرشد (18 عاماً) بمقتضى القانون الفلبيني.</w:t>
      </w:r>
    </w:p>
  </w:footnote>
  <w:footnote w:id="4">
    <w:p w:rsidR="00E3296F" w:rsidRPr="00B75FCE" w:rsidRDefault="00E3296F" w:rsidP="00B75FCE">
      <w:pPr>
        <w:pStyle w:val="FootnoteText"/>
        <w:tabs>
          <w:tab w:val="clear" w:pos="418"/>
          <w:tab w:val="right" w:pos="1195"/>
          <w:tab w:val="left" w:pos="1267"/>
          <w:tab w:val="left" w:pos="1656"/>
          <w:tab w:val="left" w:pos="2088"/>
        </w:tabs>
        <w:spacing w:after="80"/>
        <w:ind w:left="1267" w:right="1267" w:hanging="547"/>
        <w:rPr>
          <w:rFonts w:hint="cs"/>
          <w:w w:val="103"/>
        </w:rPr>
      </w:pPr>
      <w:r w:rsidRPr="00B75FCE">
        <w:rPr>
          <w:rtl/>
        </w:rPr>
        <w:tab/>
      </w:r>
      <w:r w:rsidRPr="00B75FCE">
        <w:rPr>
          <w:w w:val="103"/>
          <w:rtl/>
          <w:lang w:eastAsia="ar-SA" w:bidi="ar-EG"/>
        </w:rPr>
        <w:t>(</w:t>
      </w:r>
      <w:r w:rsidRPr="00B75FCE">
        <w:rPr>
          <w:rStyle w:val="FootnoteReference"/>
          <w:spacing w:val="0"/>
          <w:w w:val="103"/>
          <w:vertAlign w:val="baseline"/>
          <w:rtl/>
          <w:lang w:eastAsia="ar-SA"/>
        </w:rPr>
        <w:footnoteRef/>
      </w:r>
      <w:r w:rsidRPr="00B75FCE">
        <w:rPr>
          <w:w w:val="103"/>
          <w:rtl/>
          <w:lang w:eastAsia="ar-SA" w:bidi="ar-EG"/>
        </w:rPr>
        <w:t>)</w:t>
      </w:r>
      <w:r w:rsidRPr="00B75FCE">
        <w:rPr>
          <w:w w:val="103"/>
          <w:rtl/>
        </w:rPr>
        <w:tab/>
      </w:r>
      <w:r w:rsidRPr="00B75FCE">
        <w:rPr>
          <w:rFonts w:hint="cs"/>
          <w:w w:val="103"/>
          <w:rtl/>
        </w:rPr>
        <w:t xml:space="preserve">شهدت </w:t>
      </w:r>
      <w:r w:rsidRPr="00B75FCE">
        <w:rPr>
          <w:rFonts w:hint="cs"/>
          <w:rtl/>
          <w:lang w:bidi="ar-EG"/>
        </w:rPr>
        <w:t>صاحبة البلاغ بوجه محدد أنه في وقت مبكر من صباح يوم 21 حزيران/يونيه 2006، كانت تغسل الأطباق، عندما اقترب منها المتهم ولمس يدها ثم جذبها من ذراعها إلى الطاولة. وعندئذ أرخى سروالها القصير ثم قام بالإيلاج فيها. وقد حاولت أن تفلت منه وأبدت غضبها إزاء ما</w:t>
      </w:r>
      <w:r w:rsidRPr="00B75FCE">
        <w:rPr>
          <w:rFonts w:hint="eastAsia"/>
          <w:rtl/>
          <w:lang w:bidi="ar-EG"/>
        </w:rPr>
        <w:t> </w:t>
      </w:r>
      <w:r w:rsidRPr="00B75FCE">
        <w:rPr>
          <w:rFonts w:hint="cs"/>
          <w:rtl/>
          <w:lang w:bidi="ar-EG"/>
        </w:rPr>
        <w:t>حدث لكنه كان أقوى منها بكثير. ولم يكن على الطاولة شيء يمكنها استعماله لضربه به. وبعد فترة شاهدتهما أمها وأبدت غضبها على صاحبة البلاغ التي بدأت في البكاء ثم رفعت سروالها لترتديه. وتوجهت الأم إلى منزل ج. وأنكرت صاحبة البلاغ معرفتها بالمدعو ج. قبل الواقعة، بيد أن أمها وكذلك ج. شهدا بأنهما جاران.</w:t>
      </w:r>
    </w:p>
  </w:footnote>
  <w:footnote w:id="5">
    <w:p w:rsidR="00E3296F" w:rsidRPr="00B75FCE" w:rsidRDefault="00E3296F" w:rsidP="00B75FCE">
      <w:pPr>
        <w:pStyle w:val="FootnoteText"/>
        <w:tabs>
          <w:tab w:val="clear" w:pos="418"/>
          <w:tab w:val="right" w:pos="1195"/>
          <w:tab w:val="left" w:pos="1267"/>
          <w:tab w:val="left" w:pos="1656"/>
          <w:tab w:val="left" w:pos="2088"/>
        </w:tabs>
        <w:spacing w:after="80"/>
        <w:ind w:left="1267" w:right="1267" w:hanging="547"/>
        <w:rPr>
          <w:rFonts w:hint="cs"/>
          <w:w w:val="103"/>
        </w:rPr>
      </w:pPr>
      <w:r w:rsidRPr="00B75FCE">
        <w:rPr>
          <w:rtl/>
        </w:rPr>
        <w:tab/>
      </w:r>
      <w:r w:rsidRPr="00B75FCE">
        <w:rPr>
          <w:w w:val="103"/>
          <w:rtl/>
          <w:lang w:eastAsia="ar-SA" w:bidi="ar-EG"/>
        </w:rPr>
        <w:t>(</w:t>
      </w:r>
      <w:r w:rsidRPr="00B75FCE">
        <w:rPr>
          <w:rStyle w:val="FootnoteReference"/>
          <w:spacing w:val="0"/>
          <w:w w:val="103"/>
          <w:vertAlign w:val="baseline"/>
          <w:rtl/>
          <w:lang w:eastAsia="ar-SA"/>
        </w:rPr>
        <w:footnoteRef/>
      </w:r>
      <w:r w:rsidRPr="00B75FCE">
        <w:rPr>
          <w:w w:val="103"/>
          <w:rtl/>
          <w:lang w:eastAsia="ar-SA" w:bidi="ar-EG"/>
        </w:rPr>
        <w:t>)</w:t>
      </w:r>
      <w:r w:rsidRPr="00B75FCE">
        <w:rPr>
          <w:w w:val="103"/>
          <w:rtl/>
        </w:rPr>
        <w:tab/>
      </w:r>
      <w:r w:rsidRPr="00B75FCE">
        <w:rPr>
          <w:rFonts w:hint="cs"/>
          <w:rtl/>
          <w:lang w:bidi="ar-EG"/>
        </w:rPr>
        <w:t>انظر تقريري اللجنة المعنية بالقضاء على التمييز ضد المرأة، الدورة العاشرة، 30 كانون الثاني/يناير 1992 (</w:t>
      </w:r>
      <w:r w:rsidRPr="00B75FCE">
        <w:rPr>
          <w:lang w:bidi="ar-EG"/>
        </w:rPr>
        <w:t>A/46/38</w:t>
      </w:r>
      <w:r w:rsidRPr="00B75FCE">
        <w:rPr>
          <w:rFonts w:hint="cs"/>
          <w:rtl/>
          <w:lang w:bidi="ar-EG"/>
        </w:rPr>
        <w:t>)؛ والدورة الحادية عشرة، 1 شباط/فبراير 1992 (</w:t>
      </w:r>
      <w:r w:rsidRPr="00B75FCE">
        <w:rPr>
          <w:lang w:bidi="ar-EG"/>
        </w:rPr>
        <w:t>A/47/38</w:t>
      </w:r>
      <w:r w:rsidRPr="00B75FCE">
        <w:rPr>
          <w:rFonts w:hint="cs"/>
          <w:rtl/>
          <w:lang w:bidi="ar-EG"/>
        </w:rPr>
        <w:t>).</w:t>
      </w:r>
    </w:p>
  </w:footnote>
  <w:footnote w:id="6">
    <w:p w:rsidR="00E3296F" w:rsidRPr="00D6389B" w:rsidRDefault="00E3296F" w:rsidP="00D6389B">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6389B">
        <w:rPr>
          <w:w w:val="103"/>
          <w:rtl/>
          <w:lang w:eastAsia="ar-SA" w:bidi="ar-EG"/>
        </w:rPr>
        <w:t>(</w:t>
      </w:r>
      <w:r w:rsidRPr="00D6389B">
        <w:rPr>
          <w:rStyle w:val="FootnoteReference"/>
          <w:spacing w:val="0"/>
          <w:w w:val="103"/>
          <w:vertAlign w:val="baseline"/>
          <w:rtl/>
          <w:lang w:eastAsia="ar-SA"/>
        </w:rPr>
        <w:footnoteRef/>
      </w:r>
      <w:r w:rsidRPr="00D6389B">
        <w:rPr>
          <w:w w:val="103"/>
          <w:rtl/>
          <w:lang w:eastAsia="ar-SA" w:bidi="ar-EG"/>
        </w:rPr>
        <w:t>)</w:t>
      </w:r>
      <w:r w:rsidRPr="00D6389B">
        <w:rPr>
          <w:w w:val="103"/>
          <w:rtl/>
        </w:rPr>
        <w:tab/>
      </w:r>
      <w:r w:rsidRPr="00B75FCE">
        <w:rPr>
          <w:rFonts w:hint="cs"/>
          <w:spacing w:val="-4"/>
          <w:rtl/>
          <w:lang w:bidi="ar-EG"/>
        </w:rPr>
        <w:t xml:space="preserve">البلاغ رقم 18/2008، </w:t>
      </w:r>
      <w:r w:rsidRPr="00B75FCE">
        <w:rPr>
          <w:rFonts w:hint="cs"/>
          <w:i/>
          <w:iCs/>
          <w:spacing w:val="-4"/>
          <w:rtl/>
          <w:lang w:bidi="ar-EG"/>
        </w:rPr>
        <w:t xml:space="preserve">فيرتيدو ضد الفلبين، </w:t>
      </w:r>
      <w:r w:rsidRPr="00B75FCE">
        <w:rPr>
          <w:rFonts w:hint="cs"/>
          <w:spacing w:val="-4"/>
          <w:rtl/>
          <w:lang w:bidi="ar-EG"/>
        </w:rPr>
        <w:t>الآراء المعتمدة في 22 أيلول/سبتمبر 2010.</w:t>
      </w:r>
    </w:p>
  </w:footnote>
  <w:footnote w:id="7">
    <w:p w:rsidR="00E3296F" w:rsidRPr="00D6389B" w:rsidRDefault="00E3296F" w:rsidP="00D6389B">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6389B">
        <w:rPr>
          <w:w w:val="103"/>
          <w:rtl/>
          <w:lang w:bidi="ar-EG"/>
        </w:rPr>
        <w:t>(</w:t>
      </w:r>
      <w:r w:rsidRPr="00D6389B">
        <w:rPr>
          <w:rStyle w:val="FootnoteReference"/>
          <w:spacing w:val="0"/>
          <w:w w:val="103"/>
          <w:vertAlign w:val="baseline"/>
          <w:rtl/>
        </w:rPr>
        <w:footnoteRef/>
      </w:r>
      <w:r w:rsidRPr="00D6389B">
        <w:rPr>
          <w:w w:val="103"/>
          <w:rtl/>
          <w:lang w:bidi="ar-EG"/>
        </w:rPr>
        <w:t>)</w:t>
      </w:r>
      <w:r w:rsidRPr="00D6389B">
        <w:rPr>
          <w:w w:val="103"/>
          <w:rtl/>
        </w:rPr>
        <w:tab/>
      </w:r>
      <w:r w:rsidRPr="00B75FCE">
        <w:rPr>
          <w:rFonts w:hint="cs"/>
          <w:rtl/>
          <w:lang w:bidi="ar-EG"/>
        </w:rPr>
        <w:t xml:space="preserve">صدقت الفلبين على اتفاقية حقوق الأشخاص ذوي الإعاقة في 15 نيسان/أبريل 2008 </w:t>
      </w:r>
      <w:r>
        <w:rPr>
          <w:rFonts w:hint="cs"/>
          <w:rtl/>
          <w:lang w:bidi="ar-EG"/>
        </w:rPr>
        <w:t>لكن</w:t>
      </w:r>
      <w:r w:rsidRPr="00B75FCE">
        <w:rPr>
          <w:rFonts w:hint="cs"/>
          <w:rtl/>
          <w:lang w:bidi="ar-EG"/>
        </w:rPr>
        <w:t>ها ليست طرفاً في البروتوكول الاختياري الملحق بالاتفاقية.</w:t>
      </w:r>
    </w:p>
  </w:footnote>
  <w:footnote w:id="8">
    <w:p w:rsidR="00E3296F" w:rsidRPr="00D6389B"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6389B">
        <w:rPr>
          <w:w w:val="103"/>
          <w:rtl/>
          <w:lang w:bidi="ar-EG"/>
        </w:rPr>
        <w:t>(</w:t>
      </w:r>
      <w:r w:rsidRPr="00D6389B">
        <w:rPr>
          <w:rStyle w:val="FootnoteReference"/>
          <w:spacing w:val="0"/>
          <w:w w:val="103"/>
          <w:vertAlign w:val="baseline"/>
          <w:rtl/>
        </w:rPr>
        <w:footnoteRef/>
      </w:r>
      <w:r w:rsidRPr="00D6389B">
        <w:rPr>
          <w:w w:val="103"/>
          <w:rtl/>
          <w:lang w:bidi="ar-EG"/>
        </w:rPr>
        <w:t>)</w:t>
      </w:r>
      <w:r w:rsidRPr="00D6389B">
        <w:rPr>
          <w:w w:val="103"/>
          <w:rtl/>
        </w:rPr>
        <w:tab/>
      </w:r>
      <w:r>
        <w:rPr>
          <w:rFonts w:hint="cs"/>
          <w:w w:val="103"/>
          <w:rtl/>
        </w:rPr>
        <w:t xml:space="preserve">يحال </w:t>
      </w:r>
      <w:r w:rsidRPr="00B75FCE">
        <w:rPr>
          <w:rFonts w:hint="cs"/>
          <w:spacing w:val="-2"/>
          <w:rtl/>
          <w:lang w:bidi="ar-EG"/>
        </w:rPr>
        <w:t xml:space="preserve">في هذا إلى المادة 13 من اتفاقية حقوق الأشخاص ذوي الإعاقة التي تنص على أن: </w:t>
      </w:r>
      <w:r w:rsidR="00991DAD">
        <w:rPr>
          <w:rFonts w:hint="cs"/>
          <w:spacing w:val="-2"/>
          <w:rtl/>
          <w:lang w:val="fr-CH" w:eastAsia="ar-SA"/>
        </w:rPr>
        <w:t>”</w:t>
      </w:r>
      <w:r w:rsidRPr="00B75FCE">
        <w:rPr>
          <w:rFonts w:hint="cs"/>
          <w:spacing w:val="-2"/>
          <w:rtl/>
          <w:lang w:bidi="ar-EG"/>
        </w:rPr>
        <w:t>1- تكفل الدول الأطراف سبلاً فعالة للأشخاص ذوي الإعاقة للجوء إلى القضاء على قدم المساواة مع الآخرين، بما</w:t>
      </w:r>
      <w:r w:rsidRPr="00B75FCE">
        <w:rPr>
          <w:rFonts w:hint="eastAsia"/>
          <w:spacing w:val="-2"/>
          <w:rtl/>
          <w:lang w:bidi="ar-EG"/>
        </w:rPr>
        <w:t> </w:t>
      </w:r>
      <w:r w:rsidRPr="00B75FCE">
        <w:rPr>
          <w:rFonts w:hint="cs"/>
          <w:spacing w:val="-2"/>
          <w:rtl/>
          <w:lang w:bidi="ar-EG"/>
        </w:rPr>
        <w:t>في ذلك من خلال توفير التيسيرات الإجرائية التي تتناسب مع أعمارهم، بغرض تيسير دورهم الفعال في المشاركة المباشرة وغير المباشرة، بما في ذلك بصفتهم شهودا، في جميع الإجراءات القانونية، بما فيها مراحل التحقيق والمراحل التمهيدية الأخرى. 2- لكفالة إمكانية لجوء الأشخاص ذوي الإعاقة إلى القضاء فعليا، تشجع الدول الأطراف التدريب المناسب للعاملين في مجال إقامة العدل، ومن ضمنهم الشرطة وموظفو السجون</w:t>
      </w:r>
      <w:r w:rsidR="00991DAD">
        <w:rPr>
          <w:rFonts w:hint="cs"/>
          <w:spacing w:val="-2"/>
          <w:rtl/>
          <w:lang w:bidi="ar-EG"/>
        </w:rPr>
        <w:t>“</w:t>
      </w:r>
      <w:r w:rsidRPr="00B75FCE">
        <w:rPr>
          <w:rFonts w:hint="cs"/>
          <w:spacing w:val="-2"/>
          <w:rtl/>
          <w:lang w:bidi="ar-EG"/>
        </w:rPr>
        <w:t>.</w:t>
      </w:r>
    </w:p>
  </w:footnote>
  <w:footnote w:id="9">
    <w:p w:rsidR="00E3296F" w:rsidRPr="00D25542"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25542">
        <w:rPr>
          <w:w w:val="103"/>
          <w:rtl/>
          <w:lang w:eastAsia="ar-SA" w:bidi="ar-EG"/>
        </w:rPr>
        <w:t>(</w:t>
      </w:r>
      <w:r w:rsidRPr="00D25542">
        <w:rPr>
          <w:rStyle w:val="FootnoteReference"/>
          <w:spacing w:val="0"/>
          <w:w w:val="103"/>
          <w:vertAlign w:val="baseline"/>
          <w:rtl/>
          <w:lang w:eastAsia="ar-SA"/>
        </w:rPr>
        <w:footnoteRef/>
      </w:r>
      <w:r w:rsidRPr="00D25542">
        <w:rPr>
          <w:w w:val="103"/>
          <w:rtl/>
          <w:lang w:eastAsia="ar-SA" w:bidi="ar-EG"/>
        </w:rPr>
        <w:t>)</w:t>
      </w:r>
      <w:r w:rsidRPr="00D25542">
        <w:rPr>
          <w:w w:val="103"/>
          <w:rtl/>
        </w:rPr>
        <w:tab/>
      </w:r>
      <w:r>
        <w:rPr>
          <w:rFonts w:hint="cs"/>
          <w:w w:val="103"/>
          <w:rtl/>
        </w:rPr>
        <w:t xml:space="preserve">يحال </w:t>
      </w:r>
      <w:r w:rsidRPr="00B75FCE">
        <w:rPr>
          <w:rFonts w:hint="cs"/>
          <w:rtl/>
        </w:rPr>
        <w:t xml:space="preserve">في هذا إلى الفقرة (ف) من ديباجة اتفاقية حقوق الأشخاص ذوي الإعاقة التي تعترف الدول الأطراف بموجبها بأن </w:t>
      </w:r>
      <w:r w:rsidR="00991DAD">
        <w:rPr>
          <w:rFonts w:hint="cs"/>
          <w:rtl/>
          <w:lang w:val="fr-CH" w:eastAsia="ar-SA"/>
        </w:rPr>
        <w:t>”</w:t>
      </w:r>
      <w:r w:rsidRPr="00B75FCE">
        <w:rPr>
          <w:rtl/>
        </w:rPr>
        <w:t>النساء والفتيات ذوات الإعاقة غالباً ما يواجهن خطراً أكبر في التعرض، سواء داخل المنـزل أو خارجه، للعنف أو الإصابة أو الاعتداء والإهمال أو المعاملة غير اللائقة وسوء المعاملة أو الاستغلال</w:t>
      </w:r>
      <w:r w:rsidR="00991DAD">
        <w:rPr>
          <w:rFonts w:hint="cs"/>
          <w:rtl/>
          <w:lang w:val="fr-CH" w:eastAsia="ar-SA"/>
        </w:rPr>
        <w:t>“</w:t>
      </w:r>
      <w:r w:rsidRPr="00B75FCE">
        <w:rPr>
          <w:rFonts w:hint="cs"/>
          <w:rtl/>
        </w:rPr>
        <w:t>.</w:t>
      </w:r>
    </w:p>
  </w:footnote>
  <w:footnote w:id="10">
    <w:p w:rsidR="00E3296F" w:rsidRPr="00D25542"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25542">
        <w:rPr>
          <w:w w:val="103"/>
          <w:rtl/>
          <w:lang w:eastAsia="ar-SA" w:bidi="ar-EG"/>
        </w:rPr>
        <w:t>(</w:t>
      </w:r>
      <w:r w:rsidRPr="00D25542">
        <w:rPr>
          <w:rStyle w:val="FootnoteReference"/>
          <w:spacing w:val="0"/>
          <w:w w:val="103"/>
          <w:vertAlign w:val="baseline"/>
          <w:rtl/>
          <w:lang w:eastAsia="ar-SA"/>
        </w:rPr>
        <w:footnoteRef/>
      </w:r>
      <w:r w:rsidRPr="00D25542">
        <w:rPr>
          <w:w w:val="103"/>
          <w:rtl/>
          <w:lang w:eastAsia="ar-SA" w:bidi="ar-EG"/>
        </w:rPr>
        <w:t>)</w:t>
      </w:r>
      <w:r w:rsidRPr="00D25542">
        <w:rPr>
          <w:w w:val="103"/>
          <w:rtl/>
        </w:rPr>
        <w:tab/>
      </w:r>
      <w:r>
        <w:rPr>
          <w:rFonts w:hint="cs"/>
          <w:w w:val="103"/>
          <w:rtl/>
        </w:rPr>
        <w:t xml:space="preserve">يحال </w:t>
      </w:r>
      <w:r w:rsidRPr="00B75FCE">
        <w:rPr>
          <w:rFonts w:hint="cs"/>
          <w:w w:val="103"/>
          <w:rtl/>
        </w:rPr>
        <w:t>في هذا إلى المادة 6 من اتفاقية حقوق الأشخاص ذوي الإعاقة التي تنص على</w:t>
      </w:r>
      <w:r w:rsidRPr="00B75FCE">
        <w:rPr>
          <w:w w:val="103"/>
          <w:rtl/>
        </w:rPr>
        <w:t xml:space="preserve"> </w:t>
      </w:r>
      <w:r w:rsidR="00991DAD">
        <w:rPr>
          <w:rFonts w:hint="cs"/>
          <w:rtl/>
          <w:lang w:val="fr-CH" w:eastAsia="ar-SA"/>
        </w:rPr>
        <w:t>”</w:t>
      </w:r>
      <w:r w:rsidRPr="00B75FCE">
        <w:rPr>
          <w:rFonts w:hint="cs"/>
          <w:w w:val="103"/>
          <w:rtl/>
        </w:rPr>
        <w:t xml:space="preserve">1- </w:t>
      </w:r>
      <w:r w:rsidRPr="00B75FCE">
        <w:rPr>
          <w:w w:val="103"/>
          <w:rtl/>
        </w:rPr>
        <w:t>تقر الدول الأطراف بأن النساء والفتيات ذوات الإعاقة يتعرضن لأشكال متعددة من التمييز، وأنها ستتخذ في هذا الصدد التدابير اللازمة لضمان تمتعهن تمتعاً كاملاً وعلى قدم المساواة بجميع حقوق الإنسان والحريات الأساسية.</w:t>
      </w:r>
      <w:r w:rsidRPr="00B75FCE">
        <w:rPr>
          <w:rFonts w:hint="cs"/>
          <w:w w:val="103"/>
          <w:rtl/>
        </w:rPr>
        <w:t xml:space="preserve"> </w:t>
      </w:r>
      <w:r w:rsidRPr="00B75FCE">
        <w:rPr>
          <w:w w:val="103"/>
          <w:rtl/>
        </w:rPr>
        <w:t>2-</w:t>
      </w:r>
      <w:r w:rsidRPr="00B75FCE">
        <w:rPr>
          <w:rFonts w:hint="cs"/>
          <w:w w:val="103"/>
          <w:rtl/>
        </w:rPr>
        <w:t xml:space="preserve"> </w:t>
      </w:r>
      <w:r w:rsidRPr="00B75FCE">
        <w:rPr>
          <w:w w:val="103"/>
          <w:rtl/>
        </w:rPr>
        <w:t>تتخذ الدول الأطراف جميع التدابير الملائمة لكفالة التطور الكامل والتقدم والتمكين للمرأة، بغرض ضمان ممارستها حقوق الإنسان والحريات الأساسية المبينة في هذه الاتفاقية والتمتع بها</w:t>
      </w:r>
      <w:r w:rsidR="00991DAD">
        <w:rPr>
          <w:rFonts w:hint="cs"/>
          <w:rtl/>
          <w:lang w:val="fr-CH" w:eastAsia="ar-SA"/>
        </w:rPr>
        <w:t>“</w:t>
      </w:r>
      <w:r w:rsidRPr="00B75FCE">
        <w:rPr>
          <w:rFonts w:hint="cs"/>
          <w:w w:val="103"/>
          <w:rtl/>
        </w:rPr>
        <w:t>.</w:t>
      </w:r>
    </w:p>
  </w:footnote>
  <w:footnote w:id="11">
    <w:p w:rsidR="00E3296F" w:rsidRPr="00D25542"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25542">
        <w:rPr>
          <w:w w:val="103"/>
          <w:rtl/>
          <w:lang w:eastAsia="ar-SA" w:bidi="ar-EG"/>
        </w:rPr>
        <w:t>(</w:t>
      </w:r>
      <w:r w:rsidRPr="00D25542">
        <w:rPr>
          <w:rStyle w:val="FootnoteReference"/>
          <w:spacing w:val="0"/>
          <w:w w:val="103"/>
          <w:vertAlign w:val="baseline"/>
          <w:rtl/>
          <w:lang w:eastAsia="ar-SA"/>
        </w:rPr>
        <w:footnoteRef/>
      </w:r>
      <w:r w:rsidRPr="00D25542">
        <w:rPr>
          <w:w w:val="103"/>
          <w:rtl/>
          <w:lang w:eastAsia="ar-SA" w:bidi="ar-EG"/>
        </w:rPr>
        <w:t>)</w:t>
      </w:r>
      <w:r w:rsidRPr="00D25542">
        <w:rPr>
          <w:w w:val="103"/>
          <w:rtl/>
        </w:rPr>
        <w:tab/>
      </w:r>
      <w:r w:rsidRPr="00B75FCE">
        <w:rPr>
          <w:rFonts w:hint="cs"/>
          <w:w w:val="103"/>
          <w:rtl/>
          <w:lang w:bidi="ar-EG"/>
        </w:rPr>
        <w:t xml:space="preserve">بمقتضى المادة 2 من اتفاقية حقوق الأشخاص ذوي الإعاقة فإن </w:t>
      </w:r>
      <w:r w:rsidR="00991DAD">
        <w:rPr>
          <w:rFonts w:hint="cs"/>
          <w:w w:val="103"/>
          <w:rtl/>
        </w:rPr>
        <w:t>”</w:t>
      </w:r>
      <w:r w:rsidRPr="00B75FCE">
        <w:rPr>
          <w:rFonts w:hint="cs"/>
          <w:w w:val="103"/>
          <w:rtl/>
        </w:rPr>
        <w:t>ا</w:t>
      </w:r>
      <w:r w:rsidRPr="00B75FCE">
        <w:rPr>
          <w:w w:val="103"/>
          <w:rtl/>
        </w:rPr>
        <w:t>لترتيبات التيسيرية المعقولة تعني التعديلات والترتيبات اللازمة والمناسبة التي لا</w:t>
      </w:r>
      <w:r w:rsidRPr="00B75FCE">
        <w:rPr>
          <w:rFonts w:hint="cs"/>
          <w:w w:val="103"/>
          <w:rtl/>
        </w:rPr>
        <w:t> </w:t>
      </w:r>
      <w:r w:rsidRPr="00B75FCE">
        <w:rPr>
          <w:w w:val="103"/>
          <w:rtl/>
        </w:rPr>
        <w:t>تفرض عبئاً غير متناسب أو غير ضروري، والتي تكون هناك حاجة إليها في حالة محددة، لكفالة تمتع الأشخاص ذوي الإعاقة</w:t>
      </w:r>
      <w:r w:rsidRPr="00B75FCE">
        <w:rPr>
          <w:rFonts w:hint="cs"/>
          <w:w w:val="103"/>
          <w:rtl/>
        </w:rPr>
        <w:t>،</w:t>
      </w:r>
      <w:r w:rsidRPr="00B75FCE">
        <w:rPr>
          <w:w w:val="103"/>
          <w:rtl/>
        </w:rPr>
        <w:t xml:space="preserve"> على أساس المساواة مع الآخرين</w:t>
      </w:r>
      <w:r w:rsidRPr="00B75FCE">
        <w:rPr>
          <w:rFonts w:hint="cs"/>
          <w:w w:val="103"/>
          <w:rtl/>
        </w:rPr>
        <w:t>،</w:t>
      </w:r>
      <w:r w:rsidRPr="00B75FCE">
        <w:rPr>
          <w:w w:val="103"/>
          <w:rtl/>
        </w:rPr>
        <w:t xml:space="preserve"> بجميع حقوق الإنسان والحريات الأساسية وممارستها</w:t>
      </w:r>
      <w:r w:rsidR="00991DAD">
        <w:rPr>
          <w:rFonts w:hint="cs"/>
          <w:rtl/>
          <w:lang w:val="fr-CH" w:eastAsia="ar-SA"/>
        </w:rPr>
        <w:t>“</w:t>
      </w:r>
      <w:r w:rsidRPr="00B75FCE">
        <w:rPr>
          <w:rFonts w:hint="cs"/>
          <w:w w:val="103"/>
          <w:rtl/>
        </w:rPr>
        <w:t>.</w:t>
      </w:r>
    </w:p>
  </w:footnote>
  <w:footnote w:id="12">
    <w:p w:rsidR="00E3296F" w:rsidRPr="00D25542"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25542">
        <w:rPr>
          <w:w w:val="103"/>
          <w:rtl/>
          <w:lang w:eastAsia="ar-SA" w:bidi="ar-EG"/>
        </w:rPr>
        <w:t>(</w:t>
      </w:r>
      <w:r w:rsidRPr="00D25542">
        <w:rPr>
          <w:rStyle w:val="FootnoteReference"/>
          <w:spacing w:val="0"/>
          <w:w w:val="103"/>
          <w:vertAlign w:val="baseline"/>
          <w:rtl/>
          <w:lang w:eastAsia="ar-SA"/>
        </w:rPr>
        <w:footnoteRef/>
      </w:r>
      <w:r w:rsidRPr="00D25542">
        <w:rPr>
          <w:w w:val="103"/>
          <w:rtl/>
          <w:lang w:eastAsia="ar-SA" w:bidi="ar-EG"/>
        </w:rPr>
        <w:t>)</w:t>
      </w:r>
      <w:r w:rsidRPr="00D25542">
        <w:rPr>
          <w:w w:val="103"/>
          <w:rtl/>
        </w:rPr>
        <w:tab/>
      </w:r>
      <w:r>
        <w:rPr>
          <w:rFonts w:hint="cs"/>
          <w:w w:val="103"/>
          <w:rtl/>
        </w:rPr>
        <w:t xml:space="preserve">ينص </w:t>
      </w:r>
      <w:r w:rsidRPr="00B75FCE">
        <w:rPr>
          <w:rFonts w:hint="cs"/>
          <w:rtl/>
          <w:lang w:bidi="ar-EG"/>
        </w:rPr>
        <w:t xml:space="preserve">البند الأول من المادة الثالثة من </w:t>
      </w:r>
      <w:r>
        <w:rPr>
          <w:rFonts w:hint="cs"/>
          <w:rtl/>
          <w:lang w:bidi="ar-EG"/>
        </w:rPr>
        <w:t>دستور الفلبين</w:t>
      </w:r>
      <w:r w:rsidRPr="00B75FCE">
        <w:rPr>
          <w:rFonts w:hint="cs"/>
          <w:rtl/>
          <w:lang w:bidi="ar-EG"/>
        </w:rPr>
        <w:t xml:space="preserve"> على </w:t>
      </w:r>
      <w:r w:rsidR="00991DAD">
        <w:rPr>
          <w:rFonts w:hint="cs"/>
          <w:rtl/>
          <w:lang w:val="fr-CH" w:eastAsia="ar-SA"/>
        </w:rPr>
        <w:t>”</w:t>
      </w:r>
      <w:r w:rsidRPr="00B75FCE">
        <w:rPr>
          <w:rFonts w:hint="cs"/>
          <w:rtl/>
          <w:lang w:bidi="ar-EG"/>
        </w:rPr>
        <w:t>[...] ولا يحرم أي شخص من الحماية المتكافئة التي تكفلها القوانين</w:t>
      </w:r>
      <w:r w:rsidR="00991DAD">
        <w:rPr>
          <w:rFonts w:hint="cs"/>
          <w:rtl/>
          <w:lang w:val="fr-CH" w:eastAsia="ar-SA"/>
        </w:rPr>
        <w:t>“</w:t>
      </w:r>
      <w:r w:rsidRPr="00B75FCE">
        <w:rPr>
          <w:rFonts w:hint="cs"/>
          <w:rtl/>
          <w:lang w:bidi="ar-EG"/>
        </w:rPr>
        <w:t>.</w:t>
      </w:r>
    </w:p>
  </w:footnote>
  <w:footnote w:id="13">
    <w:p w:rsidR="00E3296F" w:rsidRPr="00D25542"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25542">
        <w:rPr>
          <w:w w:val="103"/>
          <w:rtl/>
          <w:lang w:eastAsia="ar-SA" w:bidi="ar-EG"/>
        </w:rPr>
        <w:t>(</w:t>
      </w:r>
      <w:r w:rsidRPr="00D25542">
        <w:rPr>
          <w:rStyle w:val="FootnoteReference"/>
          <w:spacing w:val="0"/>
          <w:w w:val="103"/>
          <w:vertAlign w:val="baseline"/>
          <w:rtl/>
          <w:lang w:eastAsia="ar-SA"/>
        </w:rPr>
        <w:footnoteRef/>
      </w:r>
      <w:r w:rsidRPr="00D25542">
        <w:rPr>
          <w:w w:val="103"/>
          <w:rtl/>
          <w:lang w:eastAsia="ar-SA" w:bidi="ar-EG"/>
        </w:rPr>
        <w:t>)</w:t>
      </w:r>
      <w:r w:rsidRPr="00D25542">
        <w:rPr>
          <w:w w:val="103"/>
          <w:rtl/>
        </w:rPr>
        <w:tab/>
      </w:r>
      <w:r w:rsidRPr="00B75FCE">
        <w:rPr>
          <w:rFonts w:hint="cs"/>
          <w:w w:val="103"/>
          <w:rtl/>
          <w:lang w:bidi="ar-EG"/>
        </w:rPr>
        <w:t xml:space="preserve">تنص المادة 21 من اتفاقية حقوق الأشخاص ذوي الإعاقة على أن: </w:t>
      </w:r>
      <w:r w:rsidR="00991DAD">
        <w:rPr>
          <w:rFonts w:hint="cs"/>
          <w:rtl/>
          <w:lang w:val="fr-CH" w:eastAsia="ar-SA"/>
        </w:rPr>
        <w:t>”</w:t>
      </w:r>
      <w:r w:rsidRPr="00B75FCE">
        <w:rPr>
          <w:w w:val="103"/>
          <w:rtl/>
        </w:rPr>
        <w:t>تتخذ الدول الأطراف جميع التدابير المناسبة التي تكفل ممارسة الأشخاص ذوي الإعاقة لحقهم في حرية التعبير والرأي، بما في ذلك الحق في طلب معلومات وأفكار، وتلقيها، والإفصاح عنها، على قدم المساواة مع الآخرين، وعن طريق جميع وسائل الاتصال التي يختارونها بأنفسهم</w:t>
      </w:r>
      <w:r w:rsidRPr="00B75FCE">
        <w:rPr>
          <w:rFonts w:hint="cs"/>
          <w:w w:val="103"/>
          <w:rtl/>
        </w:rPr>
        <w:t xml:space="preserve"> [...]</w:t>
      </w:r>
      <w:r w:rsidRPr="00B75FCE">
        <w:rPr>
          <w:w w:val="103"/>
          <w:rtl/>
        </w:rPr>
        <w:t>، بما في ذلك ما يلي: (ب)</w:t>
      </w:r>
      <w:r w:rsidRPr="00B75FCE">
        <w:rPr>
          <w:rFonts w:hint="cs"/>
          <w:w w:val="103"/>
          <w:rtl/>
        </w:rPr>
        <w:t xml:space="preserve"> </w:t>
      </w:r>
      <w:r w:rsidRPr="00B75FCE">
        <w:rPr>
          <w:w w:val="103"/>
          <w:rtl/>
        </w:rPr>
        <w:t xml:space="preserve">قبول وتيسير قيام الأشخاص ذوي الإعاقة في معاملتهم الرسمية باستعمال لغة الإشارة </w:t>
      </w:r>
      <w:r w:rsidRPr="00B75FCE">
        <w:rPr>
          <w:rFonts w:hint="cs"/>
          <w:w w:val="103"/>
          <w:rtl/>
        </w:rPr>
        <w:t xml:space="preserve">[...] </w:t>
      </w:r>
      <w:r w:rsidRPr="00B75FCE">
        <w:rPr>
          <w:w w:val="103"/>
          <w:rtl/>
        </w:rPr>
        <w:t>وجميع وسائل وطرق وأشكال الاتصال الأخرى سهلة المنال التي يختارونها بأنفسهم</w:t>
      </w:r>
      <w:r w:rsidR="00991DAD">
        <w:rPr>
          <w:rFonts w:hint="cs"/>
          <w:rtl/>
          <w:lang w:val="fr-CH" w:eastAsia="ar-SA"/>
        </w:rPr>
        <w:t>“</w:t>
      </w:r>
      <w:r w:rsidRPr="00B75FCE">
        <w:rPr>
          <w:rFonts w:hint="cs"/>
          <w:w w:val="103"/>
          <w:rtl/>
        </w:rPr>
        <w:t>.</w:t>
      </w:r>
    </w:p>
  </w:footnote>
  <w:footnote w:id="14">
    <w:p w:rsidR="00E3296F" w:rsidRPr="00E77A73"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77A73">
        <w:rPr>
          <w:w w:val="103"/>
          <w:rtl/>
          <w:lang w:eastAsia="ar-SA" w:bidi="ar-EG"/>
        </w:rPr>
        <w:t>(</w:t>
      </w:r>
      <w:r w:rsidRPr="00E77A73">
        <w:rPr>
          <w:rStyle w:val="FootnoteReference"/>
          <w:spacing w:val="0"/>
          <w:w w:val="103"/>
          <w:vertAlign w:val="baseline"/>
          <w:rtl/>
          <w:lang w:eastAsia="ar-SA"/>
        </w:rPr>
        <w:footnoteRef/>
      </w:r>
      <w:r w:rsidRPr="00E77A73">
        <w:rPr>
          <w:w w:val="103"/>
          <w:rtl/>
          <w:lang w:eastAsia="ar-SA" w:bidi="ar-EG"/>
        </w:rPr>
        <w:t>)</w:t>
      </w:r>
      <w:r w:rsidRPr="00E77A73">
        <w:rPr>
          <w:w w:val="103"/>
          <w:rtl/>
        </w:rPr>
        <w:tab/>
      </w:r>
      <w:r w:rsidRPr="00B75FCE">
        <w:rPr>
          <w:rFonts w:hint="cs"/>
          <w:spacing w:val="-2"/>
          <w:w w:val="103"/>
          <w:rtl/>
          <w:lang w:bidi="ar-EG"/>
        </w:rPr>
        <w:t xml:space="preserve">بمقتضى المادة 16 من اتفاقية حقوق الأشخاص ذوي الإعاقة ينبغي أن: </w:t>
      </w:r>
      <w:r w:rsidR="00991DAD">
        <w:rPr>
          <w:rFonts w:hint="cs"/>
          <w:spacing w:val="-2"/>
          <w:rtl/>
          <w:lang w:val="fr-CH" w:eastAsia="ar-SA"/>
        </w:rPr>
        <w:t>”</w:t>
      </w:r>
      <w:r w:rsidRPr="00B75FCE">
        <w:rPr>
          <w:spacing w:val="-2"/>
          <w:w w:val="103"/>
          <w:rtl/>
        </w:rPr>
        <w:t>1 -</w:t>
      </w:r>
      <w:r w:rsidRPr="00B75FCE">
        <w:rPr>
          <w:rFonts w:hint="cs"/>
          <w:spacing w:val="-2"/>
          <w:w w:val="103"/>
          <w:rtl/>
        </w:rPr>
        <w:t xml:space="preserve"> </w:t>
      </w:r>
      <w:r w:rsidRPr="00B75FCE">
        <w:rPr>
          <w:spacing w:val="-2"/>
          <w:w w:val="103"/>
          <w:rtl/>
        </w:rPr>
        <w:t>تتخذ الدول الأطراف جميع التدابير التشريعية والإدارية والاجتماعية والتعليمية وغيرها من التدابير المناسبة لحماية الأشخاص ذوي الإعاقة، داخل منازلهم وخارجها على السواء، من جميع أشكال الاستغلال والعنف والاعتداء، بما في ذلك جوانبها القائمة على نوع الجنس.2 -</w:t>
      </w:r>
      <w:r w:rsidRPr="00B75FCE">
        <w:rPr>
          <w:rFonts w:hint="cs"/>
          <w:spacing w:val="-2"/>
          <w:w w:val="103"/>
          <w:rtl/>
        </w:rPr>
        <w:t xml:space="preserve"> </w:t>
      </w:r>
      <w:r w:rsidRPr="00B75FCE">
        <w:rPr>
          <w:spacing w:val="-2"/>
          <w:w w:val="103"/>
          <w:rtl/>
        </w:rPr>
        <w:t>تتخذ الدول الأطراف أيضاً جميع التدابير المناسبة لمنع جميع أشكال الاستغلال والعنف والاعتداء بكفالة أمور منها توفير أشكال مناسبة من المساعدة والدعم للأشخاص ذوي</w:t>
      </w:r>
      <w:r w:rsidRPr="00B75FCE">
        <w:rPr>
          <w:rFonts w:hint="cs"/>
          <w:spacing w:val="-2"/>
          <w:w w:val="103"/>
          <w:rtl/>
        </w:rPr>
        <w:t> </w:t>
      </w:r>
      <w:r w:rsidRPr="00B75FCE">
        <w:rPr>
          <w:spacing w:val="-2"/>
          <w:w w:val="103"/>
          <w:rtl/>
        </w:rPr>
        <w:t>الإعاقة وأسرهم ومقدمي الرعاية لهم تراعي نوع جنس الأشخاص ذوي الإعاقة وسنهم، بما في ذلك عن طريق توفير المعلومات والتثقيف بشأن كيفية تجنب حالات الاستغلال والعنف والاعتداء والتعرف عليها والإبلاغ عنها. وتكفل الدول الأطراف أن يراعى في توفير خدمات الحماية سن الأشخاص ذوي</w:t>
      </w:r>
      <w:r w:rsidRPr="00B75FCE">
        <w:rPr>
          <w:rFonts w:hint="cs"/>
          <w:spacing w:val="-2"/>
          <w:w w:val="103"/>
          <w:rtl/>
        </w:rPr>
        <w:t> </w:t>
      </w:r>
      <w:r w:rsidRPr="00B75FCE">
        <w:rPr>
          <w:spacing w:val="-2"/>
          <w:w w:val="103"/>
          <w:rtl/>
        </w:rPr>
        <w:t>الإعاقة ونوع جنسهم وإعاقتهم.</w:t>
      </w:r>
      <w:r w:rsidRPr="00B75FCE">
        <w:rPr>
          <w:rFonts w:hint="cs"/>
          <w:spacing w:val="-2"/>
          <w:w w:val="103"/>
          <w:rtl/>
        </w:rPr>
        <w:t xml:space="preserve"> [...] </w:t>
      </w:r>
      <w:r w:rsidRPr="00B75FCE">
        <w:rPr>
          <w:spacing w:val="-2"/>
          <w:w w:val="103"/>
          <w:rtl/>
        </w:rPr>
        <w:t>4 -</w:t>
      </w:r>
      <w:r w:rsidRPr="00B75FCE">
        <w:rPr>
          <w:rFonts w:hint="cs"/>
          <w:spacing w:val="-2"/>
          <w:w w:val="103"/>
          <w:rtl/>
        </w:rPr>
        <w:t xml:space="preserve"> </w:t>
      </w:r>
      <w:r w:rsidRPr="00B75FCE">
        <w:rPr>
          <w:spacing w:val="-2"/>
          <w:w w:val="103"/>
          <w:rtl/>
        </w:rPr>
        <w:t>تتخذ الدول الأطراف جميع التدابير المناسبة لتشجيع استعادة الأشخاص ذوي الإعاقة عافيتهم البدنية والإدراكية والنفسية، وإعادة تأهيلهم، وإعادة إدماجهم في المجتمع عندما يتعرضون لأي شكل من أشكال الاستغلال أو العنف أو الاعتداء، بما في ذلك عن طريق توفير خدمات الحماية لهم. وتتحقق استعادة العافية وإعادة الإدماج في بيئة تعزز صحة الفرد ورفاهيته واحترامه لنفسه وكرامته واستقلاله الذاتي وتراعي الاحتياجات الخاصة بكل من نوع الجنس والسن</w:t>
      </w:r>
      <w:r w:rsidR="00991DAD">
        <w:rPr>
          <w:rFonts w:hint="cs"/>
          <w:spacing w:val="-2"/>
          <w:rtl/>
          <w:lang w:val="fr-CH" w:eastAsia="ar-SA"/>
        </w:rPr>
        <w:t>“</w:t>
      </w:r>
      <w:r w:rsidRPr="00B75FCE">
        <w:rPr>
          <w:spacing w:val="-2"/>
          <w:w w:val="103"/>
          <w:rtl/>
        </w:rPr>
        <w:t>.</w:t>
      </w:r>
    </w:p>
  </w:footnote>
  <w:footnote w:id="15">
    <w:p w:rsidR="00E3296F" w:rsidRPr="00E77A73"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77A73">
        <w:rPr>
          <w:w w:val="103"/>
          <w:rtl/>
          <w:lang w:eastAsia="ar-SA" w:bidi="ar-EG"/>
        </w:rPr>
        <w:t>(</w:t>
      </w:r>
      <w:r w:rsidRPr="00E77A73">
        <w:rPr>
          <w:rStyle w:val="FootnoteReference"/>
          <w:spacing w:val="0"/>
          <w:w w:val="103"/>
          <w:vertAlign w:val="baseline"/>
          <w:rtl/>
          <w:lang w:eastAsia="ar-SA"/>
        </w:rPr>
        <w:footnoteRef/>
      </w:r>
      <w:r w:rsidRPr="00E77A73">
        <w:rPr>
          <w:w w:val="103"/>
          <w:rtl/>
          <w:lang w:eastAsia="ar-SA" w:bidi="ar-EG"/>
        </w:rPr>
        <w:t>)</w:t>
      </w:r>
      <w:r w:rsidRPr="00E77A73">
        <w:rPr>
          <w:w w:val="103"/>
          <w:rtl/>
        </w:rPr>
        <w:tab/>
      </w:r>
      <w:r>
        <w:rPr>
          <w:rFonts w:hint="cs"/>
          <w:w w:val="103"/>
          <w:rtl/>
        </w:rPr>
        <w:t xml:space="preserve">يحال </w:t>
      </w:r>
      <w:r w:rsidRPr="00B75FCE">
        <w:rPr>
          <w:rFonts w:hint="cs"/>
          <w:rtl/>
          <w:lang w:bidi="ar-EG"/>
        </w:rPr>
        <w:t xml:space="preserve">في هذا إلى القانون الجمهوري رقم 9710(2012) المسمى ميثاق المرأة والذي يخول لصاحبة البلاغ الحصول على الخدمات والإجراءات من قبيل المشورة واستقاء المعلومات الضرورية عن الإجهاد الناشئ عن الحادث، نظراً إلى أنها تنتمي إلى فئة </w:t>
      </w:r>
      <w:r w:rsidR="00991DAD">
        <w:rPr>
          <w:rFonts w:hint="cs"/>
          <w:rtl/>
          <w:lang w:val="fr-CH" w:eastAsia="ar-SA"/>
        </w:rPr>
        <w:t>”</w:t>
      </w:r>
      <w:r w:rsidRPr="00B75FCE">
        <w:rPr>
          <w:rFonts w:hint="cs"/>
          <w:rtl/>
          <w:lang w:bidi="ar-EG"/>
        </w:rPr>
        <w:t>النساء اللاتي يعانين من صعوبات خاصة</w:t>
      </w:r>
      <w:r w:rsidR="00991DAD">
        <w:rPr>
          <w:rFonts w:hint="cs"/>
          <w:rtl/>
          <w:lang w:val="fr-CH" w:eastAsia="ar-SA"/>
        </w:rPr>
        <w:t>“</w:t>
      </w:r>
      <w:r w:rsidRPr="00B75FCE">
        <w:rPr>
          <w:rFonts w:hint="cs"/>
          <w:rtl/>
          <w:lang w:bidi="ar-EG"/>
        </w:rPr>
        <w:t xml:space="preserve"> ومن بينهن </w:t>
      </w:r>
      <w:r w:rsidR="00991DAD">
        <w:rPr>
          <w:rFonts w:hint="cs"/>
          <w:rtl/>
          <w:lang w:val="fr-CH" w:eastAsia="ar-SA"/>
        </w:rPr>
        <w:t>”</w:t>
      </w:r>
      <w:r w:rsidRPr="00B75FCE">
        <w:rPr>
          <w:rFonts w:hint="cs"/>
          <w:rtl/>
          <w:lang w:bidi="ar-EG"/>
        </w:rPr>
        <w:t>ضحايا حوادث الاعتداء الجنسي والبدني [...] والاغتصاب وسفاح المحارم، والناجيات منها، والظروف الأخرى المماثلة التي تفضي إلى سلب قدرتهن على التصرف</w:t>
      </w:r>
      <w:r w:rsidR="00991DAD">
        <w:rPr>
          <w:rFonts w:hint="cs"/>
          <w:rtl/>
          <w:lang w:val="fr-CH" w:eastAsia="ar-SA"/>
        </w:rPr>
        <w:t>“</w:t>
      </w:r>
      <w:r w:rsidRPr="00B75FCE">
        <w:rPr>
          <w:rFonts w:hint="cs"/>
          <w:rtl/>
          <w:lang w:bidi="ar-EG"/>
        </w:rPr>
        <w:t xml:space="preserve"> (الفرعان 30 و31).</w:t>
      </w:r>
    </w:p>
  </w:footnote>
  <w:footnote w:id="16">
    <w:p w:rsidR="00E3296F" w:rsidRPr="00E77A73" w:rsidRDefault="00E3296F" w:rsidP="00E77A73">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E77A73">
        <w:rPr>
          <w:w w:val="103"/>
          <w:rtl/>
          <w:lang w:eastAsia="ar-SA" w:bidi="ar-EG"/>
        </w:rPr>
        <w:t>(</w:t>
      </w:r>
      <w:r w:rsidRPr="00E77A73">
        <w:rPr>
          <w:rStyle w:val="FootnoteReference"/>
          <w:spacing w:val="0"/>
          <w:w w:val="103"/>
          <w:vertAlign w:val="baseline"/>
          <w:rtl/>
          <w:lang w:eastAsia="ar-SA"/>
        </w:rPr>
        <w:footnoteRef/>
      </w:r>
      <w:r w:rsidRPr="00E77A73">
        <w:rPr>
          <w:w w:val="103"/>
          <w:rtl/>
          <w:lang w:eastAsia="ar-SA" w:bidi="ar-EG"/>
        </w:rPr>
        <w:t>)</w:t>
      </w:r>
      <w:r w:rsidRPr="00E77A73">
        <w:rPr>
          <w:w w:val="103"/>
          <w:rtl/>
        </w:rPr>
        <w:tab/>
      </w:r>
      <w:r w:rsidRPr="00B75FCE">
        <w:rPr>
          <w:rFonts w:hint="cs"/>
          <w:rtl/>
          <w:lang w:bidi="ar-EG"/>
        </w:rPr>
        <w:t>انظر الفقرة 2-4.</w:t>
      </w:r>
    </w:p>
  </w:footnote>
  <w:footnote w:id="17">
    <w:p w:rsidR="00E3296F" w:rsidRPr="0066608D"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66608D">
        <w:rPr>
          <w:w w:val="103"/>
          <w:rtl/>
          <w:lang w:eastAsia="ar-SA" w:bidi="ar-EG"/>
        </w:rPr>
        <w:t>(</w:t>
      </w:r>
      <w:r w:rsidRPr="0066608D">
        <w:rPr>
          <w:rStyle w:val="FootnoteReference"/>
          <w:spacing w:val="0"/>
          <w:w w:val="103"/>
          <w:vertAlign w:val="baseline"/>
          <w:rtl/>
          <w:lang w:eastAsia="ar-SA"/>
        </w:rPr>
        <w:footnoteRef/>
      </w:r>
      <w:r w:rsidRPr="0066608D">
        <w:rPr>
          <w:w w:val="103"/>
          <w:rtl/>
          <w:lang w:eastAsia="ar-SA" w:bidi="ar-EG"/>
        </w:rPr>
        <w:t>)</w:t>
      </w:r>
      <w:r w:rsidRPr="0066608D">
        <w:rPr>
          <w:w w:val="103"/>
          <w:rtl/>
        </w:rPr>
        <w:tab/>
      </w:r>
      <w:r w:rsidRPr="00B75FCE">
        <w:rPr>
          <w:rFonts w:hint="cs"/>
          <w:rtl/>
          <w:lang w:bidi="ar-EG"/>
        </w:rPr>
        <w:t xml:space="preserve">تقر مذكرة الأمر رقم 59-2004 الصادر عن المحكمة العليا بأن </w:t>
      </w:r>
      <w:r w:rsidR="00991DAD">
        <w:rPr>
          <w:rFonts w:hint="cs"/>
          <w:rtl/>
          <w:lang w:bidi="ar-EG"/>
        </w:rPr>
        <w:t>”</w:t>
      </w:r>
      <w:r w:rsidRPr="00B75FCE">
        <w:rPr>
          <w:rFonts w:hint="cs"/>
          <w:rtl/>
          <w:lang w:bidi="ar-EG"/>
        </w:rPr>
        <w:t xml:space="preserve">هناك بعض القضايا المعروضة </w:t>
      </w:r>
      <w:r>
        <w:rPr>
          <w:rFonts w:hint="cs"/>
          <w:rtl/>
          <w:lang w:bidi="ar-EG"/>
        </w:rPr>
        <w:t xml:space="preserve">أمام </w:t>
      </w:r>
      <w:r w:rsidRPr="00B75FCE">
        <w:rPr>
          <w:rFonts w:hint="cs"/>
          <w:rtl/>
          <w:lang w:bidi="ar-EG"/>
        </w:rPr>
        <w:t>المحاكم الابتدائية قد يدخل فيها أطراف، أو</w:t>
      </w:r>
      <w:r w:rsidRPr="00B75FCE">
        <w:rPr>
          <w:rtl/>
          <w:lang w:bidi="ar-EG"/>
        </w:rPr>
        <w:t> </w:t>
      </w:r>
      <w:r w:rsidRPr="00B75FCE">
        <w:rPr>
          <w:rFonts w:hint="cs"/>
          <w:rtl/>
          <w:lang w:bidi="ar-EG"/>
        </w:rPr>
        <w:t xml:space="preserve">تستلزم وجود شهود، ربما يحتاجون إلى مترجم بلغة الإشارة بهدف فهمهم فهماً تاماً والحيلولة دون </w:t>
      </w:r>
      <w:r>
        <w:rPr>
          <w:rFonts w:hint="cs"/>
          <w:rtl/>
          <w:lang w:bidi="ar-EG"/>
        </w:rPr>
        <w:t xml:space="preserve">إمكانية تعطيل </w:t>
      </w:r>
      <w:r w:rsidRPr="00B75FCE">
        <w:rPr>
          <w:rFonts w:hint="cs"/>
          <w:rtl/>
          <w:lang w:bidi="ar-EG"/>
        </w:rPr>
        <w:t>إقامة العدل</w:t>
      </w:r>
      <w:r w:rsidR="00991DAD">
        <w:rPr>
          <w:rFonts w:hint="cs"/>
          <w:rtl/>
          <w:lang w:bidi="ar-EG"/>
        </w:rPr>
        <w:t>“</w:t>
      </w:r>
      <w:r w:rsidRPr="00B75FCE">
        <w:rPr>
          <w:rFonts w:hint="cs"/>
          <w:rtl/>
          <w:lang w:bidi="ar-EG"/>
        </w:rPr>
        <w:t xml:space="preserve"> وأن </w:t>
      </w:r>
      <w:r w:rsidR="00991DAD">
        <w:rPr>
          <w:rFonts w:hint="eastAsia"/>
          <w:rtl/>
          <w:lang w:bidi="ar-EG"/>
        </w:rPr>
        <w:t>”</w:t>
      </w:r>
      <w:r w:rsidRPr="00B75FCE">
        <w:rPr>
          <w:rFonts w:hint="cs"/>
          <w:rtl/>
          <w:lang w:bidi="ar-EG"/>
        </w:rPr>
        <w:t xml:space="preserve">الإجراء [المتعلق </w:t>
      </w:r>
      <w:r>
        <w:rPr>
          <w:rFonts w:hint="cs"/>
          <w:rtl/>
          <w:lang w:bidi="ar-EG"/>
        </w:rPr>
        <w:t xml:space="preserve">باستخدام </w:t>
      </w:r>
      <w:r w:rsidRPr="00B75FCE">
        <w:rPr>
          <w:rFonts w:hint="cs"/>
          <w:rtl/>
          <w:lang w:bidi="ar-EG"/>
        </w:rPr>
        <w:t>مترجم بلغة الإشارة] قد يحدث تأخيرات</w:t>
      </w:r>
      <w:r w:rsidR="00991DAD">
        <w:rPr>
          <w:rFonts w:hint="cs"/>
          <w:rtl/>
          <w:lang w:bidi="ar-EG"/>
        </w:rPr>
        <w:t>“</w:t>
      </w:r>
      <w:r w:rsidRPr="00B75FCE">
        <w:rPr>
          <w:rFonts w:hint="cs"/>
          <w:rtl/>
          <w:lang w:bidi="ar-EG"/>
        </w:rPr>
        <w:t xml:space="preserve">. وتتولى المحاكم تحمل مصاريف الترجمة بلغة الإشارة. وينص التعميم رقم 104-2007 الصادر عن مكتب مدير شؤون المحكمة العليا على المبادئ التوجيهية بشأن سداد تكلفة خدمات </w:t>
      </w:r>
      <w:r>
        <w:rPr>
          <w:rFonts w:hint="cs"/>
          <w:rtl/>
          <w:lang w:bidi="ar-EG"/>
        </w:rPr>
        <w:t xml:space="preserve">استخدام </w:t>
      </w:r>
      <w:r w:rsidRPr="00B75FCE">
        <w:rPr>
          <w:rFonts w:hint="cs"/>
          <w:rtl/>
          <w:lang w:bidi="ar-EG"/>
        </w:rPr>
        <w:t>مترجم بلغة الإشارة.</w:t>
      </w:r>
    </w:p>
  </w:footnote>
  <w:footnote w:id="18">
    <w:p w:rsidR="00E3296F" w:rsidRPr="00802932" w:rsidRDefault="00E3296F" w:rsidP="00802932">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02932">
        <w:rPr>
          <w:w w:val="103"/>
          <w:rtl/>
          <w:lang w:eastAsia="ar-SA" w:bidi="ar-EG"/>
        </w:rPr>
        <w:t>(</w:t>
      </w:r>
      <w:r w:rsidRPr="00802932">
        <w:rPr>
          <w:rStyle w:val="FootnoteReference"/>
          <w:spacing w:val="0"/>
          <w:w w:val="103"/>
          <w:vertAlign w:val="baseline"/>
          <w:rtl/>
          <w:lang w:eastAsia="ar-SA"/>
        </w:rPr>
        <w:footnoteRef/>
      </w:r>
      <w:r w:rsidRPr="00802932">
        <w:rPr>
          <w:w w:val="103"/>
          <w:rtl/>
          <w:lang w:eastAsia="ar-SA" w:bidi="ar-EG"/>
        </w:rPr>
        <w:t>)</w:t>
      </w:r>
      <w:r w:rsidRPr="00802932">
        <w:rPr>
          <w:w w:val="103"/>
          <w:rtl/>
        </w:rPr>
        <w:tab/>
      </w:r>
      <w:r w:rsidRPr="00802932">
        <w:rPr>
          <w:rFonts w:hint="cs"/>
          <w:i/>
          <w:iCs/>
          <w:w w:val="103"/>
          <w:rtl/>
        </w:rPr>
        <w:t>فيرتيدو ضد الفلبين</w:t>
      </w:r>
      <w:r>
        <w:rPr>
          <w:rFonts w:hint="cs"/>
          <w:w w:val="103"/>
          <w:rtl/>
        </w:rPr>
        <w:t xml:space="preserve">، </w:t>
      </w:r>
      <w:r w:rsidRPr="00B75FCE">
        <w:rPr>
          <w:rFonts w:hint="cs"/>
          <w:rtl/>
          <w:lang w:bidi="ar-EG"/>
        </w:rPr>
        <w:t>الفقرات 3-15 إلى 3-17.</w:t>
      </w:r>
    </w:p>
  </w:footnote>
  <w:footnote w:id="19">
    <w:p w:rsidR="00E3296F" w:rsidRPr="00802932" w:rsidRDefault="00E3296F" w:rsidP="00802932">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802932">
        <w:rPr>
          <w:w w:val="103"/>
          <w:rtl/>
          <w:lang w:eastAsia="ar-SA" w:bidi="ar-EG"/>
        </w:rPr>
        <w:t>(</w:t>
      </w:r>
      <w:r w:rsidRPr="00802932">
        <w:rPr>
          <w:rStyle w:val="FootnoteReference"/>
          <w:spacing w:val="0"/>
          <w:w w:val="103"/>
          <w:vertAlign w:val="baseline"/>
          <w:rtl/>
          <w:lang w:eastAsia="ar-SA"/>
        </w:rPr>
        <w:footnoteRef/>
      </w:r>
      <w:r w:rsidRPr="00802932">
        <w:rPr>
          <w:w w:val="103"/>
          <w:rtl/>
          <w:lang w:eastAsia="ar-SA" w:bidi="ar-EG"/>
        </w:rPr>
        <w:t>)</w:t>
      </w:r>
      <w:r w:rsidRPr="00802932">
        <w:rPr>
          <w:w w:val="103"/>
          <w:rtl/>
        </w:rPr>
        <w:tab/>
      </w:r>
      <w:r w:rsidRPr="00B75FCE">
        <w:rPr>
          <w:rFonts w:hint="cs"/>
          <w:rtl/>
          <w:lang w:bidi="ar-EG"/>
        </w:rPr>
        <w:t xml:space="preserve">المحكمة العليا، قضية </w:t>
      </w:r>
      <w:r w:rsidRPr="00B75FCE">
        <w:rPr>
          <w:rFonts w:hint="cs"/>
          <w:i/>
          <w:iCs/>
          <w:rtl/>
          <w:lang w:bidi="ar-EG"/>
        </w:rPr>
        <w:t xml:space="preserve">شعب الفلبين ضد دي غرانو وآخرين، </w:t>
      </w:r>
      <w:r>
        <w:rPr>
          <w:rFonts w:hint="cs"/>
          <w:rtl/>
          <w:lang w:bidi="ar-EG"/>
        </w:rPr>
        <w:t>رقم 167710 في السجل العام.</w:t>
      </w:r>
    </w:p>
  </w:footnote>
  <w:footnote w:id="20">
    <w:p w:rsidR="00E3296F" w:rsidRPr="00914CB6" w:rsidRDefault="00E3296F" w:rsidP="00914CB6">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14CB6">
        <w:rPr>
          <w:w w:val="103"/>
          <w:rtl/>
          <w:lang w:eastAsia="ar-SA" w:bidi="ar-EG"/>
        </w:rPr>
        <w:t>(</w:t>
      </w:r>
      <w:r w:rsidRPr="00914CB6">
        <w:rPr>
          <w:rStyle w:val="FootnoteReference"/>
          <w:spacing w:val="0"/>
          <w:w w:val="103"/>
          <w:vertAlign w:val="baseline"/>
          <w:rtl/>
          <w:lang w:eastAsia="ar-SA"/>
        </w:rPr>
        <w:footnoteRef/>
      </w:r>
      <w:r w:rsidRPr="00914CB6">
        <w:rPr>
          <w:w w:val="103"/>
          <w:rtl/>
          <w:lang w:eastAsia="ar-SA" w:bidi="ar-EG"/>
        </w:rPr>
        <w:t>)</w:t>
      </w:r>
      <w:r w:rsidRPr="00914CB6">
        <w:rPr>
          <w:w w:val="103"/>
          <w:rtl/>
        </w:rPr>
        <w:tab/>
      </w:r>
      <w:r>
        <w:rPr>
          <w:rFonts w:hint="cs"/>
          <w:i/>
          <w:iCs/>
          <w:w w:val="103"/>
          <w:rtl/>
        </w:rPr>
        <w:t>فيرتيدو ضد الأرجنتين</w:t>
      </w:r>
      <w:r>
        <w:rPr>
          <w:rFonts w:hint="cs"/>
          <w:w w:val="103"/>
          <w:rtl/>
        </w:rPr>
        <w:t xml:space="preserve">، </w:t>
      </w:r>
      <w:r w:rsidRPr="00B75FCE">
        <w:rPr>
          <w:rFonts w:hint="cs"/>
          <w:rtl/>
          <w:lang w:bidi="ar-EG"/>
        </w:rPr>
        <w:t>الفقرات 5-1 إلى 5-5.</w:t>
      </w:r>
    </w:p>
  </w:footnote>
  <w:footnote w:id="21">
    <w:p w:rsidR="00E3296F" w:rsidRPr="00914CB6" w:rsidRDefault="00E3296F" w:rsidP="00AD665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914CB6">
        <w:rPr>
          <w:w w:val="103"/>
          <w:rtl/>
          <w:lang w:eastAsia="ar-SA" w:bidi="ar-EG"/>
        </w:rPr>
        <w:t>(</w:t>
      </w:r>
      <w:r w:rsidRPr="00914CB6">
        <w:rPr>
          <w:rStyle w:val="FootnoteReference"/>
          <w:spacing w:val="0"/>
          <w:w w:val="103"/>
          <w:vertAlign w:val="baseline"/>
          <w:rtl/>
          <w:lang w:eastAsia="ar-SA"/>
        </w:rPr>
        <w:footnoteRef/>
      </w:r>
      <w:r w:rsidRPr="00914CB6">
        <w:rPr>
          <w:w w:val="103"/>
          <w:rtl/>
          <w:lang w:eastAsia="ar-SA" w:bidi="ar-EG"/>
        </w:rPr>
        <w:t>)</w:t>
      </w:r>
      <w:r w:rsidRPr="00914CB6">
        <w:rPr>
          <w:w w:val="103"/>
          <w:rtl/>
        </w:rPr>
        <w:tab/>
      </w:r>
      <w:r>
        <w:rPr>
          <w:rFonts w:hint="cs"/>
          <w:w w:val="103"/>
          <w:rtl/>
        </w:rPr>
        <w:t xml:space="preserve">يحال </w:t>
      </w:r>
      <w:r w:rsidRPr="00B75FCE">
        <w:rPr>
          <w:rFonts w:hint="cs"/>
          <w:rtl/>
          <w:lang w:bidi="ar-EG"/>
        </w:rPr>
        <w:t xml:space="preserve">في هذا إلى قضايا </w:t>
      </w:r>
      <w:r w:rsidRPr="00B75FCE">
        <w:rPr>
          <w:rFonts w:hint="cs"/>
          <w:i/>
          <w:iCs/>
          <w:rtl/>
          <w:lang w:bidi="ar-EG"/>
        </w:rPr>
        <w:t>شعب الفلبين وآخرين ضد مانغاليندان الابن</w:t>
      </w:r>
      <w:r w:rsidRPr="00B75FCE">
        <w:rPr>
          <w:rFonts w:hint="cs"/>
          <w:rtl/>
          <w:lang w:bidi="ar-EG"/>
        </w:rPr>
        <w:t xml:space="preserve"> (إجراء مدني خاص</w:t>
      </w:r>
      <w:r w:rsidRPr="00B75FCE">
        <w:rPr>
          <w:lang w:bidi="ar-EG"/>
        </w:rPr>
        <w:t>PSY-03250, RTC B</w:t>
      </w:r>
      <w:r>
        <w:rPr>
          <w:lang w:bidi="ar-EG"/>
        </w:rPr>
        <w:t>r</w:t>
      </w:r>
      <w:r w:rsidRPr="00B75FCE">
        <w:rPr>
          <w:lang w:bidi="ar-EG"/>
        </w:rPr>
        <w:t>-119, Pasay City</w:t>
      </w:r>
      <w:r w:rsidRPr="00B75FCE">
        <w:rPr>
          <w:rFonts w:hint="cs"/>
          <w:rtl/>
          <w:lang w:bidi="ar-EG"/>
        </w:rPr>
        <w:t xml:space="preserve">)؛ </w:t>
      </w:r>
      <w:r w:rsidRPr="00B75FCE">
        <w:rPr>
          <w:rFonts w:hint="cs"/>
          <w:i/>
          <w:iCs/>
          <w:rtl/>
          <w:lang w:bidi="ar-EG"/>
        </w:rPr>
        <w:t>وشعب الفلبين ضد ناتانييل موندجار وآخرين</w:t>
      </w:r>
      <w:r w:rsidRPr="00B75FCE">
        <w:rPr>
          <w:rFonts w:hint="cs"/>
          <w:rtl/>
          <w:lang w:bidi="ar-EG"/>
        </w:rPr>
        <w:t xml:space="preserve"> (</w:t>
      </w:r>
      <w:r w:rsidRPr="00B75FCE">
        <w:rPr>
          <w:lang w:bidi="ar-EG"/>
        </w:rPr>
        <w:t>CA-GR SP. No. 04073, CA-Cebu City</w:t>
      </w:r>
      <w:r w:rsidRPr="00B75FCE">
        <w:rPr>
          <w:rFonts w:hint="cs"/>
          <w:rtl/>
          <w:lang w:bidi="ar-EG"/>
        </w:rPr>
        <w:t xml:space="preserve">)؛ </w:t>
      </w:r>
      <w:r w:rsidRPr="00B75FCE">
        <w:rPr>
          <w:rFonts w:hint="cs"/>
          <w:i/>
          <w:iCs/>
          <w:rtl/>
          <w:lang w:bidi="ar-EG"/>
        </w:rPr>
        <w:t>وشعب الفلبين ضد الأونرابل أناستاسيو د. أنغاد</w:t>
      </w:r>
      <w:r w:rsidRPr="00B75FCE">
        <w:rPr>
          <w:rFonts w:hint="cs"/>
          <w:rtl/>
          <w:lang w:bidi="ar-EG"/>
        </w:rPr>
        <w:t xml:space="preserve"> (</w:t>
      </w:r>
      <w:r w:rsidRPr="00B75FCE">
        <w:rPr>
          <w:lang w:bidi="ar-EG"/>
        </w:rPr>
        <w:t>CA-GR SP. No. 81209, CA-Manila</w:t>
      </w:r>
      <w:r w:rsidRPr="00B75FCE">
        <w:rPr>
          <w:rFonts w:hint="cs"/>
          <w:rtl/>
          <w:lang w:bidi="ar-EG"/>
        </w:rPr>
        <w:t>).</w:t>
      </w:r>
    </w:p>
  </w:footnote>
  <w:footnote w:id="22">
    <w:p w:rsidR="00E3296F" w:rsidRPr="00DB3291" w:rsidRDefault="00E3296F" w:rsidP="00DB329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B3291">
        <w:rPr>
          <w:w w:val="103"/>
          <w:rtl/>
          <w:lang w:eastAsia="ar-SA" w:bidi="ar-EG"/>
        </w:rPr>
        <w:t>(</w:t>
      </w:r>
      <w:r w:rsidRPr="00DB3291">
        <w:rPr>
          <w:rStyle w:val="FootnoteReference"/>
          <w:spacing w:val="0"/>
          <w:w w:val="103"/>
          <w:vertAlign w:val="baseline"/>
          <w:rtl/>
          <w:lang w:eastAsia="ar-SA"/>
        </w:rPr>
        <w:footnoteRef/>
      </w:r>
      <w:r w:rsidRPr="00DB3291">
        <w:rPr>
          <w:w w:val="103"/>
          <w:rtl/>
          <w:lang w:eastAsia="ar-SA" w:bidi="ar-EG"/>
        </w:rPr>
        <w:t>)</w:t>
      </w:r>
      <w:r w:rsidRPr="00DB3291">
        <w:rPr>
          <w:w w:val="103"/>
          <w:rtl/>
        </w:rPr>
        <w:tab/>
      </w:r>
      <w:r w:rsidRPr="00B75FCE">
        <w:rPr>
          <w:rFonts w:hint="cs"/>
          <w:rtl/>
          <w:lang w:bidi="ar-EG"/>
        </w:rPr>
        <w:t xml:space="preserve">انظر قضية </w:t>
      </w:r>
      <w:r w:rsidRPr="00B75FCE">
        <w:rPr>
          <w:rFonts w:hint="cs"/>
          <w:i/>
          <w:iCs/>
          <w:rtl/>
          <w:lang w:bidi="ar-EG"/>
        </w:rPr>
        <w:t>فيرتيدو ضد الفلبين،</w:t>
      </w:r>
      <w:r w:rsidRPr="00B75FCE">
        <w:rPr>
          <w:rFonts w:hint="cs"/>
          <w:rtl/>
          <w:lang w:bidi="ar-EG"/>
        </w:rPr>
        <w:t xml:space="preserve"> الفقرة 6-2.</w:t>
      </w:r>
    </w:p>
  </w:footnote>
  <w:footnote w:id="23">
    <w:p w:rsidR="00E3296F" w:rsidRPr="00DB3291" w:rsidRDefault="00E3296F" w:rsidP="00DB3291">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DB3291">
        <w:rPr>
          <w:w w:val="103"/>
          <w:rtl/>
          <w:lang w:eastAsia="ar-SA" w:bidi="ar-EG"/>
        </w:rPr>
        <w:t>(</w:t>
      </w:r>
      <w:r w:rsidRPr="00DB3291">
        <w:rPr>
          <w:rStyle w:val="FootnoteReference"/>
          <w:spacing w:val="0"/>
          <w:w w:val="103"/>
          <w:vertAlign w:val="baseline"/>
          <w:rtl/>
          <w:lang w:eastAsia="ar-SA"/>
        </w:rPr>
        <w:footnoteRef/>
      </w:r>
      <w:r w:rsidRPr="00DB3291">
        <w:rPr>
          <w:w w:val="103"/>
          <w:rtl/>
          <w:lang w:eastAsia="ar-SA" w:bidi="ar-EG"/>
        </w:rPr>
        <w:t>)</w:t>
      </w:r>
      <w:r w:rsidRPr="00DB3291">
        <w:rPr>
          <w:w w:val="103"/>
          <w:rtl/>
        </w:rPr>
        <w:tab/>
      </w:r>
      <w:r w:rsidRPr="00B75FCE">
        <w:rPr>
          <w:rFonts w:hint="cs"/>
          <w:i/>
          <w:iCs/>
          <w:rtl/>
          <w:lang w:bidi="ar-EG"/>
        </w:rPr>
        <w:t>المرجع نفسه</w:t>
      </w:r>
      <w:r w:rsidRPr="00B75FCE">
        <w:rPr>
          <w:rFonts w:hint="cs"/>
          <w:rtl/>
          <w:lang w:bidi="ar-EG"/>
        </w:rPr>
        <w:t>.</w:t>
      </w:r>
    </w:p>
  </w:footnote>
  <w:footnote w:id="24">
    <w:p w:rsidR="00E3296F" w:rsidRPr="00242C83" w:rsidRDefault="00E3296F" w:rsidP="00242C83">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42C83">
        <w:rPr>
          <w:w w:val="103"/>
          <w:rtl/>
          <w:lang w:eastAsia="ar-SA" w:bidi="ar-EG"/>
        </w:rPr>
        <w:t>(</w:t>
      </w:r>
      <w:r w:rsidRPr="00242C83">
        <w:rPr>
          <w:rStyle w:val="FootnoteReference"/>
          <w:spacing w:val="0"/>
          <w:w w:val="103"/>
          <w:vertAlign w:val="baseline"/>
          <w:rtl/>
          <w:lang w:eastAsia="ar-SA"/>
        </w:rPr>
        <w:footnoteRef/>
      </w:r>
      <w:r w:rsidRPr="00242C83">
        <w:rPr>
          <w:w w:val="103"/>
          <w:rtl/>
          <w:lang w:eastAsia="ar-SA" w:bidi="ar-EG"/>
        </w:rPr>
        <w:t>)</w:t>
      </w:r>
      <w:r w:rsidRPr="00242C83">
        <w:rPr>
          <w:w w:val="103"/>
          <w:rtl/>
        </w:rPr>
        <w:tab/>
      </w:r>
      <w:r w:rsidRPr="00B75FCE">
        <w:rPr>
          <w:rFonts w:hint="cs"/>
          <w:i/>
          <w:iCs/>
          <w:rtl/>
          <w:lang w:bidi="ar-EG"/>
        </w:rPr>
        <w:t>المرجع نفسه</w:t>
      </w:r>
      <w:r w:rsidRPr="00B75FCE">
        <w:rPr>
          <w:rFonts w:hint="cs"/>
          <w:rtl/>
          <w:lang w:bidi="ar-EG"/>
        </w:rPr>
        <w:t>، الفقرة 8-2.</w:t>
      </w:r>
    </w:p>
  </w:footnote>
  <w:footnote w:id="25">
    <w:p w:rsidR="00E3296F" w:rsidRPr="00242C83" w:rsidRDefault="00E3296F" w:rsidP="00242C83">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42C83">
        <w:rPr>
          <w:w w:val="103"/>
          <w:rtl/>
          <w:lang w:eastAsia="ar-SA" w:bidi="ar-EG"/>
        </w:rPr>
        <w:t>(</w:t>
      </w:r>
      <w:r w:rsidRPr="00242C83">
        <w:rPr>
          <w:rStyle w:val="FootnoteReference"/>
          <w:spacing w:val="0"/>
          <w:w w:val="103"/>
          <w:vertAlign w:val="baseline"/>
          <w:rtl/>
          <w:lang w:eastAsia="ar-SA"/>
        </w:rPr>
        <w:footnoteRef/>
      </w:r>
      <w:r w:rsidRPr="00242C83">
        <w:rPr>
          <w:w w:val="103"/>
          <w:rtl/>
          <w:lang w:eastAsia="ar-SA" w:bidi="ar-EG"/>
        </w:rPr>
        <w:t>)</w:t>
      </w:r>
      <w:r w:rsidRPr="00242C83">
        <w:rPr>
          <w:w w:val="103"/>
          <w:rtl/>
        </w:rPr>
        <w:tab/>
      </w:r>
      <w:r w:rsidRPr="00B75FCE">
        <w:rPr>
          <w:rFonts w:hint="cs"/>
          <w:rtl/>
          <w:lang w:bidi="ar-EG"/>
        </w:rPr>
        <w:t xml:space="preserve">قضية </w:t>
      </w:r>
      <w:r w:rsidRPr="00B75FCE">
        <w:rPr>
          <w:rFonts w:hint="cs"/>
          <w:i/>
          <w:iCs/>
          <w:rtl/>
          <w:lang w:bidi="ar-EG"/>
        </w:rPr>
        <w:t>فيرتيدو ضد الفلبين،</w:t>
      </w:r>
      <w:r w:rsidRPr="00B75FCE">
        <w:rPr>
          <w:rFonts w:hint="cs"/>
          <w:rtl/>
          <w:lang w:bidi="ar-EG"/>
        </w:rPr>
        <w:t xml:space="preserve"> الفقرة 8-4.</w:t>
      </w:r>
    </w:p>
  </w:footnote>
  <w:footnote w:id="26">
    <w:p w:rsidR="00E3296F" w:rsidRPr="00242C83" w:rsidRDefault="00E3296F" w:rsidP="00242C83">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42C83">
        <w:rPr>
          <w:w w:val="103"/>
          <w:rtl/>
          <w:lang w:eastAsia="ar-SA" w:bidi="ar-EG"/>
        </w:rPr>
        <w:t>(</w:t>
      </w:r>
      <w:r w:rsidRPr="00242C83">
        <w:rPr>
          <w:rStyle w:val="FootnoteReference"/>
          <w:spacing w:val="0"/>
          <w:w w:val="103"/>
          <w:vertAlign w:val="baseline"/>
          <w:rtl/>
          <w:lang w:eastAsia="ar-SA"/>
        </w:rPr>
        <w:footnoteRef/>
      </w:r>
      <w:r w:rsidRPr="00242C83">
        <w:rPr>
          <w:w w:val="103"/>
          <w:rtl/>
          <w:lang w:eastAsia="ar-SA" w:bidi="ar-EG"/>
        </w:rPr>
        <w:t>)</w:t>
      </w:r>
      <w:r w:rsidRPr="00242C83">
        <w:rPr>
          <w:w w:val="103"/>
          <w:rtl/>
        </w:rPr>
        <w:tab/>
      </w:r>
      <w:r w:rsidRPr="00B75FCE">
        <w:rPr>
          <w:rFonts w:hint="cs"/>
          <w:i/>
          <w:iCs/>
          <w:rtl/>
          <w:lang w:bidi="ar-EG"/>
        </w:rPr>
        <w:t>المرجع نفسه</w:t>
      </w:r>
      <w:r w:rsidRPr="00B75FCE">
        <w:rPr>
          <w:rFonts w:hint="cs"/>
          <w:rtl/>
          <w:lang w:bidi="ar-EG"/>
        </w:rPr>
        <w:t>، الفقرة 8-3.</w:t>
      </w:r>
    </w:p>
  </w:footnote>
  <w:footnote w:id="27">
    <w:p w:rsidR="00E3296F" w:rsidRPr="00242C83" w:rsidRDefault="00E3296F" w:rsidP="00991DAD">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42C83">
        <w:rPr>
          <w:w w:val="103"/>
          <w:rtl/>
          <w:lang w:eastAsia="ar-SA" w:bidi="ar-EG"/>
        </w:rPr>
        <w:t>(</w:t>
      </w:r>
      <w:r w:rsidRPr="00242C83">
        <w:rPr>
          <w:rStyle w:val="FootnoteReference"/>
          <w:spacing w:val="0"/>
          <w:w w:val="103"/>
          <w:vertAlign w:val="baseline"/>
          <w:rtl/>
          <w:lang w:eastAsia="ar-SA"/>
        </w:rPr>
        <w:footnoteRef/>
      </w:r>
      <w:r w:rsidRPr="00242C83">
        <w:rPr>
          <w:w w:val="103"/>
          <w:rtl/>
          <w:lang w:eastAsia="ar-SA" w:bidi="ar-EG"/>
        </w:rPr>
        <w:t>)</w:t>
      </w:r>
      <w:r w:rsidRPr="00242C83">
        <w:rPr>
          <w:w w:val="103"/>
          <w:rtl/>
        </w:rPr>
        <w:tab/>
      </w:r>
      <w:r w:rsidRPr="00B75FCE">
        <w:rPr>
          <w:rFonts w:hint="cs"/>
          <w:spacing w:val="-4"/>
          <w:rtl/>
          <w:lang w:bidi="ar-EG"/>
        </w:rPr>
        <w:t>انظر على سبيل المثال الفقرة 3(و) من المادة 14 من العهد الدولي الخاص بالحقوق المدنية والسياسية لعام</w:t>
      </w:r>
      <w:r w:rsidRPr="00B75FCE">
        <w:rPr>
          <w:spacing w:val="-4"/>
          <w:rtl/>
          <w:lang w:bidi="ar-EG"/>
        </w:rPr>
        <w:t> </w:t>
      </w:r>
      <w:r w:rsidRPr="00B75FCE">
        <w:rPr>
          <w:rFonts w:hint="cs"/>
          <w:spacing w:val="-4"/>
          <w:rtl/>
          <w:lang w:bidi="ar-EG"/>
        </w:rPr>
        <w:t>1966 (صدقت عليه الفلبين عام</w:t>
      </w:r>
      <w:r w:rsidRPr="00B75FCE">
        <w:rPr>
          <w:spacing w:val="-4"/>
          <w:rtl/>
          <w:lang w:bidi="ar-EG"/>
        </w:rPr>
        <w:t> </w:t>
      </w:r>
      <w:r w:rsidRPr="00B75FCE">
        <w:rPr>
          <w:rFonts w:hint="cs"/>
          <w:spacing w:val="-4"/>
          <w:rtl/>
          <w:lang w:bidi="ar-EG"/>
        </w:rPr>
        <w:t>1986)؛ والفقرة 2‘6‘ من المادة 40 من اتفاقية حقوق الطفل لعام</w:t>
      </w:r>
      <w:r w:rsidRPr="00B75FCE">
        <w:rPr>
          <w:spacing w:val="-4"/>
          <w:rtl/>
          <w:lang w:bidi="ar-EG"/>
        </w:rPr>
        <w:t> </w:t>
      </w:r>
      <w:r w:rsidRPr="00B75FCE">
        <w:rPr>
          <w:rFonts w:hint="cs"/>
          <w:spacing w:val="-4"/>
          <w:rtl/>
          <w:lang w:bidi="ar-EG"/>
        </w:rPr>
        <w:t>1989 (صدقت</w:t>
      </w:r>
      <w:r w:rsidRPr="00B75FCE">
        <w:rPr>
          <w:rFonts w:hint="eastAsia"/>
          <w:spacing w:val="-4"/>
          <w:rtl/>
          <w:lang w:bidi="ar-EG"/>
        </w:rPr>
        <w:t> </w:t>
      </w:r>
      <w:r w:rsidRPr="00B75FCE">
        <w:rPr>
          <w:rFonts w:hint="cs"/>
          <w:spacing w:val="-4"/>
          <w:rtl/>
          <w:lang w:bidi="ar-EG"/>
        </w:rPr>
        <w:t>عليها الفلبين عام</w:t>
      </w:r>
      <w:r w:rsidRPr="00B75FCE">
        <w:rPr>
          <w:spacing w:val="-4"/>
          <w:rtl/>
          <w:lang w:bidi="ar-EG"/>
        </w:rPr>
        <w:t> </w:t>
      </w:r>
      <w:r w:rsidRPr="00B75FCE">
        <w:rPr>
          <w:rFonts w:hint="cs"/>
          <w:spacing w:val="-4"/>
          <w:rtl/>
          <w:lang w:bidi="ar-EG"/>
        </w:rPr>
        <w:t>1990)؛ والفقرة 3</w:t>
      </w:r>
      <w:r>
        <w:rPr>
          <w:rFonts w:hint="eastAsia"/>
          <w:spacing w:val="-4"/>
          <w:rtl/>
          <w:lang w:bidi="ar-EG"/>
        </w:rPr>
        <w:t> </w:t>
      </w:r>
      <w:r w:rsidRPr="00B75FCE">
        <w:rPr>
          <w:rFonts w:hint="cs"/>
          <w:spacing w:val="-4"/>
          <w:rtl/>
          <w:lang w:bidi="ar-EG"/>
        </w:rPr>
        <w:t>(و) من المادة 18 من الاتفاقية الدولة لحماية حقوق جميع العمال المهاجرين وأفراد أسرهم لعام</w:t>
      </w:r>
      <w:r w:rsidRPr="00B75FCE">
        <w:rPr>
          <w:spacing w:val="-4"/>
          <w:rtl/>
          <w:lang w:bidi="ar-EG"/>
        </w:rPr>
        <w:t> </w:t>
      </w:r>
      <w:r w:rsidRPr="00B75FCE">
        <w:rPr>
          <w:rFonts w:hint="cs"/>
          <w:spacing w:val="-4"/>
          <w:rtl/>
          <w:lang w:bidi="ar-EG"/>
        </w:rPr>
        <w:t>1990 (صدقت عليها الفلبين عام</w:t>
      </w:r>
      <w:r w:rsidRPr="00B75FCE">
        <w:rPr>
          <w:spacing w:val="-4"/>
          <w:rtl/>
          <w:lang w:bidi="ar-EG"/>
        </w:rPr>
        <w:t> </w:t>
      </w:r>
      <w:r w:rsidRPr="00B75FCE">
        <w:rPr>
          <w:rFonts w:hint="cs"/>
          <w:spacing w:val="-4"/>
          <w:rtl/>
          <w:lang w:bidi="ar-EG"/>
        </w:rPr>
        <w:t>1995). وتقضي الفقرة (ب) من المادة</w:t>
      </w:r>
      <w:r w:rsidRPr="00B75FCE">
        <w:rPr>
          <w:rFonts w:hint="eastAsia"/>
          <w:spacing w:val="-4"/>
          <w:rtl/>
          <w:lang w:bidi="ar-EG"/>
        </w:rPr>
        <w:t> </w:t>
      </w:r>
      <w:r w:rsidRPr="00B75FCE">
        <w:rPr>
          <w:rFonts w:hint="cs"/>
          <w:spacing w:val="-4"/>
          <w:rtl/>
          <w:lang w:bidi="ar-EG"/>
        </w:rPr>
        <w:t>21 من اتفاقية حقوق الأشخاص ذوي الإعاقة لعام</w:t>
      </w:r>
      <w:r w:rsidRPr="00B75FCE">
        <w:rPr>
          <w:spacing w:val="-4"/>
          <w:rtl/>
          <w:lang w:bidi="ar-EG"/>
        </w:rPr>
        <w:t> </w:t>
      </w:r>
      <w:r w:rsidRPr="00B75FCE">
        <w:rPr>
          <w:rFonts w:hint="cs"/>
          <w:spacing w:val="-4"/>
          <w:rtl/>
          <w:lang w:bidi="ar-EG"/>
        </w:rPr>
        <w:t>2006، التي صدقت عليها الفلبين عام</w:t>
      </w:r>
      <w:r w:rsidRPr="00B75FCE">
        <w:rPr>
          <w:spacing w:val="-4"/>
          <w:rtl/>
          <w:lang w:bidi="ar-EG"/>
        </w:rPr>
        <w:t> </w:t>
      </w:r>
      <w:r w:rsidRPr="00B75FCE">
        <w:rPr>
          <w:rFonts w:hint="cs"/>
          <w:spacing w:val="-4"/>
          <w:rtl/>
          <w:lang w:bidi="ar-EG"/>
        </w:rPr>
        <w:t>2008، بأن تقبل الدول</w:t>
      </w:r>
      <w:r w:rsidRPr="00B75FCE">
        <w:rPr>
          <w:rFonts w:hint="eastAsia"/>
          <w:spacing w:val="-4"/>
          <w:rtl/>
          <w:lang w:bidi="ar-EG"/>
        </w:rPr>
        <w:t> </w:t>
      </w:r>
      <w:r w:rsidRPr="00B75FCE">
        <w:rPr>
          <w:rFonts w:hint="cs"/>
          <w:spacing w:val="-4"/>
          <w:rtl/>
          <w:lang w:bidi="ar-EG"/>
        </w:rPr>
        <w:t xml:space="preserve">الأطراف وتيسر </w:t>
      </w:r>
      <w:r w:rsidR="00991DAD">
        <w:rPr>
          <w:rFonts w:hint="cs"/>
          <w:spacing w:val="-4"/>
          <w:rtl/>
          <w:lang w:bidi="ar-EG"/>
        </w:rPr>
        <w:t>”</w:t>
      </w:r>
      <w:r w:rsidRPr="00B75FCE">
        <w:rPr>
          <w:rFonts w:hint="cs"/>
          <w:spacing w:val="-4"/>
          <w:rtl/>
          <w:lang w:bidi="ar-EG"/>
        </w:rPr>
        <w:t>قيام الأشخاص ذوي الإعاقة باستعمال لغة الإشارة في معاملتهم الرسمية</w:t>
      </w:r>
      <w:r w:rsidR="00991DAD">
        <w:rPr>
          <w:rFonts w:hint="cs"/>
          <w:spacing w:val="-4"/>
          <w:rtl/>
          <w:lang w:bidi="ar-EG"/>
        </w:rPr>
        <w:t>“</w:t>
      </w:r>
      <w:r w:rsidRPr="00B75FCE">
        <w:rPr>
          <w:rFonts w:hint="cs"/>
          <w:spacing w:val="-4"/>
          <w:rtl/>
          <w:lang w:bidi="ar-EG"/>
        </w:rPr>
        <w:t>.</w:t>
      </w:r>
    </w:p>
  </w:footnote>
  <w:footnote w:id="28">
    <w:p w:rsidR="00E3296F" w:rsidRPr="00242C83" w:rsidRDefault="00E3296F" w:rsidP="00242C83">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42C83">
        <w:rPr>
          <w:w w:val="103"/>
          <w:rtl/>
          <w:lang w:eastAsia="ar-SA" w:bidi="ar-EG"/>
        </w:rPr>
        <w:t>(</w:t>
      </w:r>
      <w:r w:rsidRPr="00242C83">
        <w:rPr>
          <w:rStyle w:val="FootnoteReference"/>
          <w:spacing w:val="0"/>
          <w:w w:val="103"/>
          <w:vertAlign w:val="baseline"/>
          <w:rtl/>
          <w:lang w:eastAsia="ar-SA"/>
        </w:rPr>
        <w:footnoteRef/>
      </w:r>
      <w:r w:rsidRPr="00242C83">
        <w:rPr>
          <w:w w:val="103"/>
          <w:rtl/>
          <w:lang w:eastAsia="ar-SA" w:bidi="ar-EG"/>
        </w:rPr>
        <w:t>)</w:t>
      </w:r>
      <w:r w:rsidRPr="00242C83">
        <w:rPr>
          <w:w w:val="103"/>
          <w:rtl/>
        </w:rPr>
        <w:tab/>
      </w:r>
      <w:r w:rsidRPr="00B75FCE">
        <w:rPr>
          <w:rFonts w:hint="cs"/>
          <w:rtl/>
          <w:lang w:bidi="ar-EG"/>
        </w:rPr>
        <w:t>على سبيل المثال، يبين الاجتهاد القضائي للجنة المعنية بحقوق الإنسان أن الفقرة 3(و) من المادة 14 من العهد الدولي الخاص بالحقوق المدنية والسياسية لا</w:t>
      </w:r>
      <w:r w:rsidRPr="00B75FCE">
        <w:rPr>
          <w:rtl/>
          <w:lang w:bidi="ar-EG"/>
        </w:rPr>
        <w:t> </w:t>
      </w:r>
      <w:r w:rsidRPr="00B75FCE">
        <w:rPr>
          <w:rFonts w:hint="cs"/>
          <w:rtl/>
          <w:lang w:bidi="ar-EG"/>
        </w:rPr>
        <w:t xml:space="preserve">تتضمن الحق في تسيير إجراءات المحكمة بلغة من اختيار الفرد (انظر على سبيل المثال البلاغين رقم 221/1987 و323/1988، </w:t>
      </w:r>
      <w:r w:rsidRPr="00B75FCE">
        <w:rPr>
          <w:rFonts w:hint="cs"/>
          <w:i/>
          <w:iCs/>
          <w:rtl/>
          <w:lang w:bidi="ar-EG"/>
        </w:rPr>
        <w:t>إيف كادوريه وإرفيه لو بيهان ضد فرنسا،</w:t>
      </w:r>
      <w:r w:rsidRPr="00B75FCE">
        <w:rPr>
          <w:rFonts w:hint="cs"/>
          <w:rtl/>
          <w:lang w:bidi="ar-EG"/>
        </w:rPr>
        <w:t xml:space="preserve"> الآراء المعتمدة في 11 نيسان/أبريل 1991، الفقرة 5-7؛ والبلاغ رقم 327/1988، </w:t>
      </w:r>
      <w:r w:rsidRPr="00B75FCE">
        <w:rPr>
          <w:rFonts w:hint="cs"/>
          <w:i/>
          <w:iCs/>
          <w:rtl/>
          <w:lang w:bidi="ar-EG"/>
        </w:rPr>
        <w:t>إرفيه بارزيغ ضد فرنسا،</w:t>
      </w:r>
      <w:r w:rsidRPr="00B75FCE">
        <w:rPr>
          <w:rFonts w:hint="cs"/>
          <w:rtl/>
          <w:lang w:bidi="ar-EG"/>
        </w:rPr>
        <w:t xml:space="preserve"> الآراء المعتمدة في 11 نيسان/أبريل 1991، الفقرة 5-6). ويكون إلزامياً توفير خدمات الترجمة الشفوية فقط في حالة ما</w:t>
      </w:r>
      <w:r w:rsidRPr="00B75FCE">
        <w:rPr>
          <w:rtl/>
          <w:lang w:bidi="ar-EG"/>
        </w:rPr>
        <w:t> </w:t>
      </w:r>
      <w:r w:rsidRPr="00B75FCE">
        <w:rPr>
          <w:rFonts w:hint="cs"/>
          <w:rtl/>
          <w:lang w:bidi="ar-EG"/>
        </w:rPr>
        <w:t>إذا كان المتهم أو</w:t>
      </w:r>
      <w:r w:rsidRPr="00B75FCE">
        <w:rPr>
          <w:rtl/>
          <w:lang w:bidi="ar-EG"/>
        </w:rPr>
        <w:t> </w:t>
      </w:r>
      <w:r w:rsidRPr="00B75FCE">
        <w:rPr>
          <w:rFonts w:hint="cs"/>
          <w:rtl/>
          <w:lang w:bidi="ar-EG"/>
        </w:rPr>
        <w:t>الشهود يلاقون صعوبة في الفهم أو</w:t>
      </w:r>
      <w:r w:rsidRPr="00B75FCE">
        <w:rPr>
          <w:rtl/>
          <w:lang w:bidi="ar-EG"/>
        </w:rPr>
        <w:t> </w:t>
      </w:r>
      <w:r w:rsidRPr="00B75FCE">
        <w:rPr>
          <w:rFonts w:hint="cs"/>
          <w:rtl/>
          <w:lang w:bidi="ar-EG"/>
        </w:rPr>
        <w:t>في التعبير</w:t>
      </w:r>
      <w:r w:rsidRPr="00B75FCE">
        <w:rPr>
          <w:rFonts w:hint="eastAsia"/>
          <w:rtl/>
          <w:lang w:bidi="ar-EG"/>
        </w:rPr>
        <w:t> </w:t>
      </w:r>
      <w:r w:rsidRPr="00B75FCE">
        <w:rPr>
          <w:rFonts w:hint="cs"/>
          <w:rtl/>
          <w:lang w:bidi="ar-EG"/>
        </w:rPr>
        <w:t xml:space="preserve">عن أنفسهم باللغة المستعملة في المحكمة (انظر على سبيل المثال البلاغ رقم 327/1988، </w:t>
      </w:r>
      <w:r w:rsidRPr="00B75FCE">
        <w:rPr>
          <w:rFonts w:hint="cs"/>
          <w:i/>
          <w:iCs/>
          <w:rtl/>
          <w:lang w:bidi="ar-EG"/>
        </w:rPr>
        <w:t>أدناه،</w:t>
      </w:r>
      <w:r w:rsidRPr="00B75FCE">
        <w:rPr>
          <w:rFonts w:hint="cs"/>
          <w:rtl/>
          <w:lang w:bidi="ar-EG"/>
        </w:rPr>
        <w:t xml:space="preserve"> الفقرة 5-5). وتنص الفقرة 3(و) من المادة 14 على الحق في وجود مترجم شفوي خلال جلسات الاستماع فحسب بالمحكمة (انظر على سبيل المثال البلاغات رقم 273/1988، </w:t>
      </w:r>
      <w:r w:rsidRPr="00B75FCE">
        <w:rPr>
          <w:rFonts w:hint="cs"/>
          <w:i/>
          <w:iCs/>
          <w:rtl/>
          <w:lang w:bidi="ar-EG"/>
        </w:rPr>
        <w:t>ب. د. ب. وآخرون ضد هولندا،</w:t>
      </w:r>
      <w:r w:rsidRPr="00B75FCE">
        <w:rPr>
          <w:rFonts w:hint="cs"/>
          <w:rtl/>
          <w:lang w:bidi="ar-EG"/>
        </w:rPr>
        <w:t xml:space="preserve"> القرار المؤرخ 30 آذار/مارس 1989؛ و221/1987، </w:t>
      </w:r>
      <w:r w:rsidRPr="00B75FCE">
        <w:rPr>
          <w:rFonts w:hint="cs"/>
          <w:i/>
          <w:iCs/>
          <w:rtl/>
          <w:lang w:bidi="ar-EG"/>
        </w:rPr>
        <w:t>إيف كادوريه ضد فرنسا،</w:t>
      </w:r>
      <w:r w:rsidRPr="00B75FCE">
        <w:rPr>
          <w:rFonts w:hint="cs"/>
          <w:rtl/>
          <w:lang w:bidi="ar-EG"/>
        </w:rPr>
        <w:t xml:space="preserve"> القرار المؤرخ</w:t>
      </w:r>
      <w:r w:rsidRPr="00B75FCE">
        <w:rPr>
          <w:rFonts w:hint="eastAsia"/>
          <w:rtl/>
          <w:lang w:bidi="ar-EG"/>
        </w:rPr>
        <w:t> </w:t>
      </w:r>
      <w:r w:rsidRPr="00B75FCE">
        <w:rPr>
          <w:rFonts w:hint="cs"/>
          <w:rtl/>
          <w:lang w:bidi="ar-EG"/>
        </w:rPr>
        <w:t>11</w:t>
      </w:r>
      <w:r w:rsidRPr="00B75FCE">
        <w:rPr>
          <w:rFonts w:hint="eastAsia"/>
          <w:rtl/>
          <w:lang w:bidi="ar-EG"/>
        </w:rPr>
        <w:t> </w:t>
      </w:r>
      <w:r w:rsidRPr="00B75FCE">
        <w:rPr>
          <w:rFonts w:hint="cs"/>
          <w:rtl/>
          <w:lang w:bidi="ar-EG"/>
        </w:rPr>
        <w:t xml:space="preserve">نيسان/أبريل 1991؛ و323/1988، </w:t>
      </w:r>
      <w:r w:rsidRPr="00B75FCE">
        <w:rPr>
          <w:rFonts w:hint="cs"/>
          <w:i/>
          <w:iCs/>
          <w:rtl/>
          <w:lang w:bidi="ar-EG"/>
        </w:rPr>
        <w:t>إرفيه لو بيهان ضد فرنسا،</w:t>
      </w:r>
      <w:r w:rsidRPr="00B75FCE">
        <w:rPr>
          <w:rFonts w:hint="cs"/>
          <w:rtl/>
          <w:lang w:bidi="ar-EG"/>
        </w:rPr>
        <w:t xml:space="preserve"> القرار المؤرخ 9 تشرين الثاني/نوفمبر 1989). بيد أن اللجنة خلصت إلى أن الاعتراف الذي يتم في وجود ضابطين فقط من ضباط الت</w:t>
      </w:r>
      <w:r>
        <w:rPr>
          <w:rFonts w:hint="cs"/>
          <w:rtl/>
          <w:lang w:bidi="ar-EG"/>
        </w:rPr>
        <w:t>حقيق، يقوم أحدهما بطباعة البيان</w:t>
      </w:r>
      <w:r>
        <w:rPr>
          <w:rFonts w:hint="eastAsia"/>
          <w:rtl/>
          <w:lang w:bidi="ar-EG"/>
        </w:rPr>
        <w:t> </w:t>
      </w:r>
      <w:r w:rsidRPr="00B75FCE">
        <w:rPr>
          <w:rFonts w:hint="cs"/>
          <w:rtl/>
          <w:lang w:bidi="ar-EG"/>
        </w:rPr>
        <w:t>ويقدم الآخر الترجمة الشفوية بلغة صاحب البلاغ، يحرم الأخير من المحاكمة العادلة، بمقتضى الفقرة 1 من المادة 14 من العهد الدولي الخاص بالحقوق المدنية والسياسية (</w:t>
      </w:r>
      <w:r>
        <w:rPr>
          <w:rFonts w:hint="cs"/>
          <w:rtl/>
          <w:lang w:bidi="ar-EG"/>
        </w:rPr>
        <w:t>انظر على سبيل المثال البلاغ رقم</w:t>
      </w:r>
      <w:r>
        <w:rPr>
          <w:rFonts w:hint="eastAsia"/>
          <w:rtl/>
          <w:lang w:bidi="ar-EG"/>
        </w:rPr>
        <w:t> </w:t>
      </w:r>
      <w:r w:rsidRPr="00B75FCE">
        <w:rPr>
          <w:rFonts w:hint="cs"/>
          <w:rtl/>
          <w:lang w:bidi="ar-EG"/>
        </w:rPr>
        <w:t xml:space="preserve">1033/2001، </w:t>
      </w:r>
      <w:r w:rsidRPr="00B75FCE">
        <w:rPr>
          <w:rFonts w:hint="cs"/>
          <w:i/>
          <w:iCs/>
          <w:rtl/>
          <w:lang w:bidi="ar-EG"/>
        </w:rPr>
        <w:t>نالاراتنام سينغاراسا ضد سري</w:t>
      </w:r>
      <w:r w:rsidRPr="00B75FCE">
        <w:rPr>
          <w:i/>
          <w:iCs/>
          <w:rtl/>
          <w:lang w:bidi="ar-EG"/>
        </w:rPr>
        <w:t> </w:t>
      </w:r>
      <w:r w:rsidRPr="00B75FCE">
        <w:rPr>
          <w:rFonts w:hint="cs"/>
          <w:i/>
          <w:iCs/>
          <w:rtl/>
          <w:lang w:bidi="ar-EG"/>
        </w:rPr>
        <w:t>لانكا</w:t>
      </w:r>
      <w:r w:rsidRPr="00B75FCE">
        <w:rPr>
          <w:rFonts w:hint="cs"/>
          <w:rtl/>
          <w:lang w:bidi="ar-EG"/>
        </w:rPr>
        <w:t>، الآراء المعتمدة في 21 تموز/يوليه 2004، ا</w:t>
      </w:r>
      <w:r>
        <w:rPr>
          <w:rFonts w:hint="cs"/>
          <w:rtl/>
          <w:lang w:bidi="ar-EG"/>
        </w:rPr>
        <w:t>لفقرة</w:t>
      </w:r>
      <w:r>
        <w:rPr>
          <w:rFonts w:hint="eastAsia"/>
          <w:rtl/>
          <w:lang w:bidi="ar-EG"/>
        </w:rPr>
        <w:t> </w:t>
      </w:r>
      <w:r w:rsidRPr="00B75FCE">
        <w:rPr>
          <w:rFonts w:hint="cs"/>
          <w:rtl/>
          <w:lang w:bidi="ar-EG"/>
        </w:rPr>
        <w:t>7-2).</w:t>
      </w:r>
    </w:p>
  </w:footnote>
  <w:footnote w:id="29">
    <w:p w:rsidR="00E3296F" w:rsidRPr="00242C83" w:rsidRDefault="00E3296F" w:rsidP="00242C83">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42C83">
        <w:rPr>
          <w:w w:val="103"/>
          <w:rtl/>
          <w:lang w:eastAsia="ar-SA" w:bidi="ar-EG"/>
        </w:rPr>
        <w:t>(</w:t>
      </w:r>
      <w:r w:rsidRPr="00242C83">
        <w:rPr>
          <w:rStyle w:val="FootnoteReference"/>
          <w:spacing w:val="0"/>
          <w:w w:val="103"/>
          <w:vertAlign w:val="baseline"/>
          <w:rtl/>
          <w:lang w:eastAsia="ar-SA"/>
        </w:rPr>
        <w:footnoteRef/>
      </w:r>
      <w:r w:rsidRPr="00242C83">
        <w:rPr>
          <w:w w:val="103"/>
          <w:rtl/>
          <w:lang w:eastAsia="ar-SA" w:bidi="ar-EG"/>
        </w:rPr>
        <w:t>)</w:t>
      </w:r>
      <w:r w:rsidRPr="00242C83">
        <w:rPr>
          <w:w w:val="103"/>
          <w:rtl/>
        </w:rPr>
        <w:tab/>
      </w:r>
      <w:r w:rsidRPr="00B75FCE">
        <w:rPr>
          <w:rFonts w:hint="cs"/>
          <w:rtl/>
          <w:lang w:bidi="ar-EG"/>
        </w:rPr>
        <w:t>انظر الفقرات 2-3 و3-9 و3-14 أعلاه.</w:t>
      </w:r>
    </w:p>
  </w:footnote>
  <w:footnote w:id="30">
    <w:p w:rsidR="00E3296F" w:rsidRPr="00242C83" w:rsidRDefault="00E3296F" w:rsidP="00242C83">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42C83">
        <w:rPr>
          <w:w w:val="103"/>
          <w:rtl/>
          <w:lang w:eastAsia="ar-SA" w:bidi="ar-EG"/>
        </w:rPr>
        <w:t>(</w:t>
      </w:r>
      <w:r w:rsidRPr="00242C83">
        <w:rPr>
          <w:rStyle w:val="FootnoteReference"/>
          <w:spacing w:val="0"/>
          <w:w w:val="103"/>
          <w:vertAlign w:val="baseline"/>
          <w:rtl/>
          <w:lang w:eastAsia="ar-SA"/>
        </w:rPr>
        <w:footnoteRef/>
      </w:r>
      <w:r w:rsidRPr="00242C83">
        <w:rPr>
          <w:w w:val="103"/>
          <w:rtl/>
          <w:lang w:eastAsia="ar-SA" w:bidi="ar-EG"/>
        </w:rPr>
        <w:t>)</w:t>
      </w:r>
      <w:r w:rsidRPr="00242C83">
        <w:rPr>
          <w:w w:val="103"/>
          <w:rtl/>
        </w:rPr>
        <w:tab/>
      </w:r>
      <w:r w:rsidRPr="00B75FCE">
        <w:rPr>
          <w:rFonts w:hint="cs"/>
          <w:rtl/>
          <w:lang w:bidi="ar-EG"/>
        </w:rPr>
        <w:t xml:space="preserve">انظر الفقرة 3-14 أعلاه. </w:t>
      </w:r>
      <w:r>
        <w:rPr>
          <w:rFonts w:hint="cs"/>
          <w:rtl/>
          <w:lang w:bidi="ar-EG"/>
        </w:rPr>
        <w:t xml:space="preserve">وقد </w:t>
      </w:r>
      <w:r w:rsidRPr="00B75FCE">
        <w:rPr>
          <w:rFonts w:hint="cs"/>
          <w:rtl/>
          <w:lang w:bidi="ar-EG"/>
        </w:rPr>
        <w:t xml:space="preserve">أشارت الدراسة التي أجراها مركز الفلبين لموارد الصم </w:t>
      </w:r>
      <w:r>
        <w:rPr>
          <w:rFonts w:hint="cs"/>
          <w:rtl/>
          <w:lang w:bidi="ar-EG"/>
        </w:rPr>
        <w:t xml:space="preserve">تحديداً </w:t>
      </w:r>
      <w:r w:rsidRPr="00B75FCE">
        <w:rPr>
          <w:rFonts w:hint="cs"/>
          <w:rtl/>
          <w:lang w:bidi="ar-EG"/>
        </w:rPr>
        <w:t xml:space="preserve">إلى أنه تم توفير مترجمين </w:t>
      </w:r>
      <w:r>
        <w:rPr>
          <w:rFonts w:hint="cs"/>
          <w:rtl/>
          <w:lang w:bidi="ar-EG"/>
        </w:rPr>
        <w:t xml:space="preserve">شفويين </w:t>
      </w:r>
      <w:r w:rsidRPr="00B75FCE">
        <w:rPr>
          <w:rFonts w:hint="cs"/>
          <w:rtl/>
          <w:lang w:bidi="ar-EG"/>
        </w:rPr>
        <w:t xml:space="preserve">في 28 قضية فحسب من 80 قضية </w:t>
      </w:r>
      <w:r>
        <w:rPr>
          <w:rFonts w:hint="cs"/>
          <w:rtl/>
          <w:lang w:bidi="ar-EG"/>
        </w:rPr>
        <w:t>تضمنت أطرافا أو شهود من الصم</w:t>
      </w:r>
      <w:r w:rsidRPr="00B75FCE">
        <w:rPr>
          <w:rFonts w:hint="cs"/>
          <w:rtl/>
          <w:lang w:bidi="ar-EG"/>
        </w:rPr>
        <w:t>.</w:t>
      </w:r>
    </w:p>
  </w:footnote>
  <w:footnote w:id="31">
    <w:p w:rsidR="00E3296F" w:rsidRPr="00242C83" w:rsidRDefault="00E3296F" w:rsidP="00242C83">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242C83">
        <w:rPr>
          <w:w w:val="103"/>
          <w:rtl/>
          <w:lang w:eastAsia="ar-SA" w:bidi="ar-EG"/>
        </w:rPr>
        <w:t>(</w:t>
      </w:r>
      <w:r w:rsidRPr="00242C83">
        <w:rPr>
          <w:rStyle w:val="FootnoteReference"/>
          <w:spacing w:val="0"/>
          <w:w w:val="103"/>
          <w:vertAlign w:val="baseline"/>
          <w:rtl/>
          <w:lang w:eastAsia="ar-SA"/>
        </w:rPr>
        <w:footnoteRef/>
      </w:r>
      <w:r w:rsidRPr="00242C83">
        <w:rPr>
          <w:w w:val="103"/>
          <w:rtl/>
          <w:lang w:eastAsia="ar-SA" w:bidi="ar-EG"/>
        </w:rPr>
        <w:t>)</w:t>
      </w:r>
      <w:r w:rsidRPr="00242C83">
        <w:rPr>
          <w:w w:val="103"/>
          <w:rtl/>
        </w:rPr>
        <w:tab/>
      </w:r>
      <w:r w:rsidRPr="00B75FCE">
        <w:rPr>
          <w:rFonts w:hint="cs"/>
          <w:rtl/>
          <w:lang w:bidi="ar-EG"/>
        </w:rPr>
        <w:t>انظر الفقرة 8-3 أعلاه.</w:t>
      </w:r>
    </w:p>
  </w:footnote>
  <w:footnote w:id="32">
    <w:p w:rsidR="00E3296F" w:rsidRPr="00A45495" w:rsidRDefault="00E3296F" w:rsidP="00A45495">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A45495">
        <w:rPr>
          <w:w w:val="103"/>
          <w:rtl/>
          <w:lang w:eastAsia="ar-SA" w:bidi="ar-EG"/>
        </w:rPr>
        <w:t>(</w:t>
      </w:r>
      <w:r w:rsidRPr="00A45495">
        <w:rPr>
          <w:rStyle w:val="FootnoteReference"/>
          <w:spacing w:val="0"/>
          <w:w w:val="103"/>
          <w:vertAlign w:val="baseline"/>
          <w:rtl/>
          <w:lang w:eastAsia="ar-SA"/>
        </w:rPr>
        <w:footnoteRef/>
      </w:r>
      <w:r w:rsidRPr="00A45495">
        <w:rPr>
          <w:w w:val="103"/>
          <w:rtl/>
          <w:lang w:eastAsia="ar-SA" w:bidi="ar-EG"/>
        </w:rPr>
        <w:t>)</w:t>
      </w:r>
      <w:r w:rsidRPr="00A45495">
        <w:rPr>
          <w:w w:val="103"/>
          <w:rtl/>
        </w:rPr>
        <w:tab/>
      </w:r>
      <w:r w:rsidRPr="00B75FCE">
        <w:rPr>
          <w:rFonts w:hint="cs"/>
          <w:rtl/>
          <w:lang w:bidi="ar-EG"/>
        </w:rPr>
        <w:t xml:space="preserve">قضية </w:t>
      </w:r>
      <w:r w:rsidRPr="00B75FCE">
        <w:rPr>
          <w:rFonts w:hint="cs"/>
          <w:i/>
          <w:iCs/>
          <w:rtl/>
          <w:lang w:bidi="ar-EG"/>
        </w:rPr>
        <w:t>فيرتيدو ضد الفلبين،</w:t>
      </w:r>
      <w:r w:rsidRPr="00B75FCE">
        <w:rPr>
          <w:rFonts w:hint="cs"/>
          <w:rtl/>
          <w:lang w:bidi="ar-EG"/>
        </w:rPr>
        <w:t xml:space="preserve"> الفقرة 8-4.</w:t>
      </w:r>
    </w:p>
  </w:footnote>
  <w:footnote w:id="33">
    <w:p w:rsidR="00E3296F" w:rsidRPr="00A45495" w:rsidRDefault="00E3296F" w:rsidP="00A45495">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A45495">
        <w:rPr>
          <w:w w:val="103"/>
          <w:rtl/>
          <w:lang w:eastAsia="ar-SA" w:bidi="ar-EG"/>
        </w:rPr>
        <w:t>(</w:t>
      </w:r>
      <w:r w:rsidRPr="00A45495">
        <w:rPr>
          <w:rStyle w:val="FootnoteReference"/>
          <w:spacing w:val="0"/>
          <w:w w:val="103"/>
          <w:vertAlign w:val="baseline"/>
          <w:rtl/>
          <w:lang w:eastAsia="ar-SA"/>
        </w:rPr>
        <w:footnoteRef/>
      </w:r>
      <w:r w:rsidRPr="00A45495">
        <w:rPr>
          <w:w w:val="103"/>
          <w:rtl/>
          <w:lang w:eastAsia="ar-SA" w:bidi="ar-EG"/>
        </w:rPr>
        <w:t>)</w:t>
      </w:r>
      <w:r w:rsidRPr="00A45495">
        <w:rPr>
          <w:w w:val="103"/>
          <w:rtl/>
        </w:rPr>
        <w:tab/>
      </w:r>
      <w:r w:rsidRPr="00B75FCE">
        <w:rPr>
          <w:rFonts w:hint="cs"/>
          <w:rtl/>
          <w:lang w:bidi="ar-EG"/>
        </w:rPr>
        <w:t>انظر الفقرات 3-3 إلى 3-6 أعلاه.</w:t>
      </w:r>
    </w:p>
  </w:footnote>
  <w:footnote w:id="34">
    <w:p w:rsidR="00E3296F" w:rsidRPr="001D4907" w:rsidRDefault="00E3296F" w:rsidP="001D4907">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D4907">
        <w:rPr>
          <w:w w:val="103"/>
          <w:rtl/>
          <w:lang w:eastAsia="ar-SA" w:bidi="ar-EG"/>
        </w:rPr>
        <w:t>(</w:t>
      </w:r>
      <w:r w:rsidRPr="001D4907">
        <w:rPr>
          <w:rStyle w:val="FootnoteReference"/>
          <w:spacing w:val="0"/>
          <w:w w:val="103"/>
          <w:vertAlign w:val="baseline"/>
          <w:rtl/>
          <w:lang w:eastAsia="ar-SA"/>
        </w:rPr>
        <w:footnoteRef/>
      </w:r>
      <w:r w:rsidRPr="001D4907">
        <w:rPr>
          <w:w w:val="103"/>
          <w:rtl/>
          <w:lang w:eastAsia="ar-SA" w:bidi="ar-EG"/>
        </w:rPr>
        <w:t>)</w:t>
      </w:r>
      <w:r w:rsidRPr="001D4907">
        <w:rPr>
          <w:w w:val="103"/>
          <w:rtl/>
        </w:rPr>
        <w:tab/>
      </w:r>
      <w:r w:rsidRPr="00B75FCE">
        <w:rPr>
          <w:rFonts w:hint="cs"/>
          <w:rtl/>
          <w:lang w:bidi="ar-EG"/>
        </w:rPr>
        <w:t xml:space="preserve">انظر قضية </w:t>
      </w:r>
      <w:r w:rsidRPr="00B75FCE">
        <w:rPr>
          <w:rFonts w:hint="cs"/>
          <w:i/>
          <w:iCs/>
          <w:rtl/>
          <w:lang w:bidi="ar-EG"/>
        </w:rPr>
        <w:t>فيرتيدو ضد الفلبين،</w:t>
      </w:r>
      <w:r w:rsidRPr="00B75FCE">
        <w:rPr>
          <w:rFonts w:hint="cs"/>
          <w:rtl/>
          <w:lang w:bidi="ar-EG"/>
        </w:rPr>
        <w:t xml:space="preserve"> الفقرة 8-5.</w:t>
      </w:r>
    </w:p>
  </w:footnote>
  <w:footnote w:id="35">
    <w:p w:rsidR="00E3296F" w:rsidRPr="001D4907" w:rsidRDefault="00E3296F" w:rsidP="001D4907">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1D4907">
        <w:rPr>
          <w:w w:val="103"/>
          <w:rtl/>
          <w:lang w:eastAsia="ar-SA" w:bidi="ar-EG"/>
        </w:rPr>
        <w:t>(</w:t>
      </w:r>
      <w:r w:rsidRPr="001D4907">
        <w:rPr>
          <w:rStyle w:val="FootnoteReference"/>
          <w:spacing w:val="0"/>
          <w:w w:val="103"/>
          <w:vertAlign w:val="baseline"/>
          <w:rtl/>
          <w:lang w:eastAsia="ar-SA"/>
        </w:rPr>
        <w:footnoteRef/>
      </w:r>
      <w:r w:rsidRPr="001D4907">
        <w:rPr>
          <w:w w:val="103"/>
          <w:rtl/>
          <w:lang w:eastAsia="ar-SA" w:bidi="ar-EG"/>
        </w:rPr>
        <w:t>)</w:t>
      </w:r>
      <w:r w:rsidRPr="001D4907">
        <w:rPr>
          <w:w w:val="103"/>
          <w:rtl/>
        </w:rPr>
        <w:tab/>
      </w:r>
      <w:r w:rsidRPr="00B75FCE">
        <w:rPr>
          <w:rFonts w:hint="cs"/>
          <w:i/>
          <w:iCs/>
          <w:rtl/>
          <w:lang w:bidi="ar-EG"/>
        </w:rPr>
        <w:t>المرجع نفسه</w:t>
      </w:r>
      <w:r w:rsidRPr="00B75FCE">
        <w:rPr>
          <w:rFonts w:hint="cs"/>
          <w:rtl/>
          <w:lang w:bidi="ar-EG"/>
        </w:rPr>
        <w:t>، الفقرة 8-7.</w:t>
      </w:r>
    </w:p>
  </w:footnote>
  <w:footnote w:id="36">
    <w:p w:rsidR="00E3296F" w:rsidRDefault="00E3296F" w:rsidP="00991DAD">
      <w:pPr>
        <w:pStyle w:val="FootnoteText"/>
        <w:tabs>
          <w:tab w:val="clear" w:pos="418"/>
          <w:tab w:val="right" w:pos="1195"/>
          <w:tab w:val="left" w:pos="1267"/>
          <w:tab w:val="left" w:pos="1656"/>
          <w:tab w:val="left" w:pos="2088"/>
        </w:tabs>
        <w:spacing w:after="80"/>
        <w:ind w:left="1267" w:right="1267" w:hanging="547"/>
        <w:rPr>
          <w:rFonts w:hint="cs"/>
          <w:rtl/>
          <w:lang w:bidi="ar-EG"/>
        </w:rPr>
      </w:pPr>
      <w:r>
        <w:rPr>
          <w:rtl/>
        </w:rPr>
        <w:tab/>
      </w:r>
      <w:r w:rsidRPr="001D4907">
        <w:rPr>
          <w:w w:val="103"/>
          <w:rtl/>
          <w:lang w:eastAsia="ar-SA" w:bidi="ar-EG"/>
        </w:rPr>
        <w:t>(</w:t>
      </w:r>
      <w:r w:rsidRPr="001D4907">
        <w:rPr>
          <w:rStyle w:val="FootnoteReference"/>
          <w:spacing w:val="0"/>
          <w:w w:val="103"/>
          <w:vertAlign w:val="baseline"/>
          <w:rtl/>
          <w:lang w:eastAsia="ar-SA"/>
        </w:rPr>
        <w:footnoteRef/>
      </w:r>
      <w:r w:rsidRPr="001D4907">
        <w:rPr>
          <w:w w:val="103"/>
          <w:rtl/>
          <w:lang w:eastAsia="ar-SA" w:bidi="ar-EG"/>
        </w:rPr>
        <w:t>)</w:t>
      </w:r>
      <w:r w:rsidRPr="001D4907">
        <w:rPr>
          <w:w w:val="103"/>
          <w:rtl/>
        </w:rPr>
        <w:tab/>
      </w:r>
      <w:r w:rsidRPr="00B75FCE">
        <w:rPr>
          <w:rFonts w:hint="cs"/>
          <w:i/>
          <w:iCs/>
          <w:rtl/>
          <w:lang w:bidi="ar-EG"/>
        </w:rPr>
        <w:t>المرجع نفسه</w:t>
      </w:r>
      <w:r w:rsidRPr="00B75FCE">
        <w:rPr>
          <w:rFonts w:hint="cs"/>
          <w:rtl/>
          <w:lang w:bidi="ar-EG"/>
        </w:rPr>
        <w:t>، الفقرة 8-9 (</w:t>
      </w:r>
      <w:r>
        <w:rPr>
          <w:rFonts w:hint="cs"/>
          <w:rtl/>
          <w:lang w:bidi="ar-EG"/>
        </w:rPr>
        <w:t>بإيجاز</w:t>
      </w:r>
      <w:r w:rsidRPr="00B75FCE">
        <w:rPr>
          <w:rFonts w:hint="cs"/>
          <w:rtl/>
          <w:lang w:bidi="ar-EG"/>
        </w:rPr>
        <w:t xml:space="preserve">). </w:t>
      </w:r>
      <w:r>
        <w:rPr>
          <w:rFonts w:hint="cs"/>
          <w:rtl/>
          <w:lang w:bidi="ar-EG"/>
        </w:rPr>
        <w:t>ت</w:t>
      </w:r>
      <w:r w:rsidRPr="00B75FCE">
        <w:rPr>
          <w:rFonts w:hint="cs"/>
          <w:rtl/>
          <w:lang w:bidi="ar-EG"/>
        </w:rPr>
        <w:t xml:space="preserve">نص المادة </w:t>
      </w:r>
      <w:r>
        <w:rPr>
          <w:rFonts w:hint="cs"/>
          <w:rtl/>
          <w:lang w:bidi="ar-EG"/>
        </w:rPr>
        <w:t xml:space="preserve">226 - ألف </w:t>
      </w:r>
      <w:r w:rsidRPr="00B75FCE">
        <w:rPr>
          <w:rFonts w:hint="cs"/>
          <w:rtl/>
          <w:lang w:bidi="ar-EG"/>
        </w:rPr>
        <w:t>من قانون العقوبات المنقح الساري في الفلبين بصيغتها المعدلة بموجب القانون الجمهوري رقم 8353 لعام</w:t>
      </w:r>
      <w:r w:rsidRPr="00B75FCE">
        <w:rPr>
          <w:rtl/>
          <w:lang w:bidi="ar-EG"/>
        </w:rPr>
        <w:t> </w:t>
      </w:r>
      <w:r w:rsidRPr="00B75FCE">
        <w:rPr>
          <w:rFonts w:hint="cs"/>
          <w:rtl/>
          <w:lang w:bidi="ar-EG"/>
        </w:rPr>
        <w:t xml:space="preserve">1997 كالتالي: </w:t>
      </w:r>
      <w:r w:rsidR="00991DAD">
        <w:rPr>
          <w:rFonts w:hint="cs"/>
          <w:rtl/>
          <w:lang w:bidi="ar-EG"/>
        </w:rPr>
        <w:t>”</w:t>
      </w:r>
      <w:r w:rsidRPr="00B75FCE">
        <w:rPr>
          <w:rFonts w:hint="cs"/>
          <w:rtl/>
          <w:lang w:bidi="ar-EG"/>
        </w:rPr>
        <w:t xml:space="preserve">الاغتصاب: </w:t>
      </w:r>
      <w:r>
        <w:rPr>
          <w:rFonts w:hint="cs"/>
          <w:rtl/>
          <w:lang w:bidi="ar-EG"/>
        </w:rPr>
        <w:t>متى وكيف يُرتكب:</w:t>
      </w:r>
    </w:p>
    <w:p w:rsidR="00E3296F" w:rsidRDefault="00E3296F" w:rsidP="001D4907">
      <w:pPr>
        <w:pStyle w:val="FootnoteText"/>
        <w:tabs>
          <w:tab w:val="clear" w:pos="418"/>
          <w:tab w:val="right" w:pos="1195"/>
          <w:tab w:val="left" w:pos="1267"/>
          <w:tab w:val="left" w:pos="1656"/>
          <w:tab w:val="left" w:pos="2088"/>
        </w:tabs>
        <w:spacing w:after="80"/>
        <w:ind w:left="1267" w:right="1267" w:hanging="547"/>
        <w:rPr>
          <w:rFonts w:hint="cs"/>
          <w:rtl/>
          <w:lang w:bidi="ar-EG"/>
        </w:rPr>
      </w:pPr>
      <w:r>
        <w:rPr>
          <w:rFonts w:hint="cs"/>
          <w:rtl/>
          <w:lang w:bidi="ar-EG"/>
        </w:rPr>
        <w:tab/>
      </w:r>
      <w:r>
        <w:rPr>
          <w:rFonts w:hint="cs"/>
          <w:rtl/>
          <w:lang w:bidi="ar-EG"/>
        </w:rPr>
        <w:tab/>
        <w:t xml:space="preserve">1 </w:t>
      </w:r>
      <w:r w:rsidRPr="00B75FCE">
        <w:rPr>
          <w:rFonts w:hint="cs"/>
          <w:rtl/>
          <w:lang w:bidi="ar-EG"/>
        </w:rPr>
        <w:t>-</w:t>
      </w:r>
      <w:r w:rsidRPr="00B75FCE">
        <w:rPr>
          <w:rFonts w:hint="cs"/>
          <w:rtl/>
          <w:lang w:bidi="ar-EG"/>
        </w:rPr>
        <w:tab/>
      </w:r>
      <w:r>
        <w:rPr>
          <w:rFonts w:hint="cs"/>
          <w:rtl/>
          <w:lang w:bidi="ar-EG"/>
        </w:rPr>
        <w:t xml:space="preserve">من قِبَل </w:t>
      </w:r>
      <w:r w:rsidRPr="00B75FCE">
        <w:rPr>
          <w:rFonts w:hint="cs"/>
          <w:rtl/>
          <w:lang w:bidi="ar-EG"/>
        </w:rPr>
        <w:t xml:space="preserve">رجل يتصل </w:t>
      </w:r>
      <w:r>
        <w:rPr>
          <w:rFonts w:hint="cs"/>
          <w:rtl/>
          <w:lang w:bidi="ar-EG"/>
        </w:rPr>
        <w:t>جسدي</w:t>
      </w:r>
      <w:r w:rsidRPr="00B75FCE">
        <w:rPr>
          <w:rFonts w:hint="cs"/>
          <w:rtl/>
          <w:lang w:bidi="ar-EG"/>
        </w:rPr>
        <w:t>اً بامرأة تحت أي ظرف من الظروف التالية:</w:t>
      </w:r>
    </w:p>
    <w:p w:rsidR="00E3296F" w:rsidRPr="00B75FCE" w:rsidRDefault="00E3296F" w:rsidP="001D4907">
      <w:pPr>
        <w:pStyle w:val="FootnoteText"/>
        <w:tabs>
          <w:tab w:val="clear" w:pos="418"/>
          <w:tab w:val="right" w:pos="1195"/>
          <w:tab w:val="left" w:pos="1267"/>
          <w:tab w:val="left" w:pos="1656"/>
          <w:tab w:val="left" w:pos="2088"/>
        </w:tabs>
        <w:spacing w:after="80"/>
        <w:ind w:left="1267" w:right="1267" w:hanging="547"/>
        <w:rPr>
          <w:rFonts w:hint="cs"/>
          <w:rtl/>
          <w:lang w:bidi="ar-EG"/>
        </w:rPr>
      </w:pPr>
      <w:r>
        <w:rPr>
          <w:rFonts w:hint="cs"/>
          <w:rtl/>
          <w:lang w:bidi="ar-EG"/>
        </w:rPr>
        <w:tab/>
      </w:r>
      <w:r>
        <w:rPr>
          <w:rFonts w:hint="cs"/>
          <w:rtl/>
          <w:lang w:bidi="ar-EG"/>
        </w:rPr>
        <w:tab/>
      </w:r>
      <w:r>
        <w:rPr>
          <w:rFonts w:hint="cs"/>
          <w:rtl/>
          <w:lang w:bidi="ar-EG"/>
        </w:rPr>
        <w:tab/>
      </w:r>
      <w:r w:rsidRPr="00B75FCE">
        <w:rPr>
          <w:rFonts w:hint="cs"/>
          <w:rtl/>
          <w:lang w:bidi="ar-EG"/>
        </w:rPr>
        <w:t>(أ)</w:t>
      </w:r>
      <w:r w:rsidRPr="00B75FCE">
        <w:rPr>
          <w:rFonts w:hint="cs"/>
          <w:rtl/>
          <w:lang w:bidi="ar-EG"/>
        </w:rPr>
        <w:tab/>
        <w:t>استعمال القوة أو</w:t>
      </w:r>
      <w:r w:rsidRPr="00B75FCE">
        <w:rPr>
          <w:rtl/>
          <w:lang w:bidi="ar-EG"/>
        </w:rPr>
        <w:t> </w:t>
      </w:r>
      <w:r w:rsidRPr="00B75FCE">
        <w:rPr>
          <w:rFonts w:hint="cs"/>
          <w:rtl/>
          <w:lang w:bidi="ar-EG"/>
        </w:rPr>
        <w:t>التهديد أو</w:t>
      </w:r>
      <w:r w:rsidRPr="00B75FCE">
        <w:rPr>
          <w:rtl/>
          <w:lang w:bidi="ar-EG"/>
        </w:rPr>
        <w:t> </w:t>
      </w:r>
      <w:r w:rsidRPr="00B75FCE">
        <w:rPr>
          <w:rFonts w:hint="cs"/>
          <w:rtl/>
          <w:lang w:bidi="ar-EG"/>
        </w:rPr>
        <w:t>الترويع؛</w:t>
      </w:r>
    </w:p>
    <w:p w:rsidR="00E3296F" w:rsidRPr="00B75FCE" w:rsidRDefault="00E3296F" w:rsidP="001D4907">
      <w:pPr>
        <w:pStyle w:val="FootnoteText"/>
        <w:tabs>
          <w:tab w:val="clear" w:pos="418"/>
          <w:tab w:val="right" w:pos="1195"/>
          <w:tab w:val="left" w:pos="1267"/>
          <w:tab w:val="left" w:pos="1656"/>
          <w:tab w:val="left" w:pos="2088"/>
        </w:tabs>
        <w:spacing w:after="80"/>
        <w:ind w:left="1267" w:right="1267" w:hanging="547"/>
        <w:rPr>
          <w:rFonts w:hint="cs"/>
          <w:rtl/>
          <w:lang w:bidi="ar-EG"/>
        </w:rPr>
      </w:pPr>
      <w:r>
        <w:rPr>
          <w:rFonts w:hint="cs"/>
          <w:rtl/>
          <w:lang w:bidi="ar-EG"/>
        </w:rPr>
        <w:tab/>
      </w:r>
      <w:r>
        <w:rPr>
          <w:rFonts w:hint="cs"/>
          <w:rtl/>
          <w:lang w:bidi="ar-EG"/>
        </w:rPr>
        <w:tab/>
      </w:r>
      <w:r>
        <w:rPr>
          <w:rFonts w:hint="cs"/>
          <w:rtl/>
          <w:lang w:bidi="ar-EG"/>
        </w:rPr>
        <w:tab/>
      </w:r>
      <w:r w:rsidRPr="00B75FCE">
        <w:rPr>
          <w:rFonts w:hint="cs"/>
          <w:rtl/>
          <w:lang w:bidi="ar-EG"/>
        </w:rPr>
        <w:t>(ب)</w:t>
      </w:r>
      <w:r w:rsidRPr="00B75FCE">
        <w:rPr>
          <w:rFonts w:hint="cs"/>
          <w:rtl/>
          <w:lang w:bidi="ar-EG"/>
        </w:rPr>
        <w:tab/>
        <w:t>عندما يكون الطرف المعتدى عليه فاقداً الإدراك أو</w:t>
      </w:r>
      <w:r w:rsidRPr="00B75FCE">
        <w:rPr>
          <w:rtl/>
          <w:lang w:bidi="ar-EG"/>
        </w:rPr>
        <w:t> </w:t>
      </w:r>
      <w:r w:rsidRPr="00B75FCE">
        <w:rPr>
          <w:rFonts w:hint="cs"/>
          <w:rtl/>
          <w:lang w:bidi="ar-EG"/>
        </w:rPr>
        <w:t>فاقداً الوعي بطريقة أخرى؛</w:t>
      </w:r>
    </w:p>
    <w:p w:rsidR="00E3296F" w:rsidRPr="00B75FCE" w:rsidRDefault="00E3296F" w:rsidP="001D4907">
      <w:pPr>
        <w:pStyle w:val="FootnoteText"/>
        <w:tabs>
          <w:tab w:val="clear" w:pos="418"/>
          <w:tab w:val="right" w:pos="1195"/>
          <w:tab w:val="left" w:pos="1267"/>
          <w:tab w:val="left" w:pos="1656"/>
          <w:tab w:val="left" w:pos="2088"/>
        </w:tabs>
        <w:spacing w:after="80"/>
        <w:ind w:left="1267" w:right="1267" w:hanging="547"/>
        <w:rPr>
          <w:rFonts w:hint="cs"/>
          <w:rtl/>
          <w:lang w:bidi="ar-EG"/>
        </w:rPr>
      </w:pPr>
      <w:r>
        <w:rPr>
          <w:rFonts w:hint="cs"/>
          <w:rtl/>
          <w:lang w:bidi="ar-EG"/>
        </w:rPr>
        <w:tab/>
      </w:r>
      <w:r>
        <w:rPr>
          <w:rFonts w:hint="cs"/>
          <w:rtl/>
          <w:lang w:bidi="ar-EG"/>
        </w:rPr>
        <w:tab/>
      </w:r>
      <w:r>
        <w:rPr>
          <w:rFonts w:hint="cs"/>
          <w:rtl/>
          <w:lang w:bidi="ar-EG"/>
        </w:rPr>
        <w:tab/>
      </w:r>
      <w:r w:rsidRPr="00B75FCE">
        <w:rPr>
          <w:rFonts w:hint="cs"/>
          <w:rtl/>
          <w:lang w:bidi="ar-EG"/>
        </w:rPr>
        <w:t>(ج)</w:t>
      </w:r>
      <w:r w:rsidRPr="00B75FCE">
        <w:rPr>
          <w:rFonts w:hint="cs"/>
          <w:rtl/>
          <w:lang w:bidi="ar-EG"/>
        </w:rPr>
        <w:tab/>
        <w:t>استعمال الخديعة والحيلة أو</w:t>
      </w:r>
      <w:r w:rsidRPr="00B75FCE">
        <w:rPr>
          <w:rtl/>
          <w:lang w:bidi="ar-EG"/>
        </w:rPr>
        <w:t> </w:t>
      </w:r>
      <w:r w:rsidRPr="00B75FCE">
        <w:rPr>
          <w:rFonts w:hint="cs"/>
          <w:rtl/>
          <w:lang w:bidi="ar-EG"/>
        </w:rPr>
        <w:t>إساءة استعمال السلطة بصورة جسيمة؛</w:t>
      </w:r>
    </w:p>
    <w:p w:rsidR="00E3296F" w:rsidRDefault="00E3296F" w:rsidP="001D4907">
      <w:pPr>
        <w:pStyle w:val="FootnoteText"/>
        <w:tabs>
          <w:tab w:val="clear" w:pos="418"/>
          <w:tab w:val="right" w:pos="1195"/>
          <w:tab w:val="left" w:pos="1267"/>
          <w:tab w:val="left" w:pos="1656"/>
          <w:tab w:val="left" w:pos="2088"/>
        </w:tabs>
        <w:spacing w:after="80"/>
        <w:ind w:left="2088" w:right="1267" w:hanging="1368"/>
        <w:rPr>
          <w:rFonts w:hint="cs"/>
          <w:rtl/>
          <w:lang w:bidi="ar-EG"/>
        </w:rPr>
      </w:pPr>
      <w:r>
        <w:rPr>
          <w:rFonts w:hint="cs"/>
          <w:rtl/>
          <w:lang w:bidi="ar-EG"/>
        </w:rPr>
        <w:tab/>
      </w:r>
      <w:r>
        <w:rPr>
          <w:rFonts w:hint="cs"/>
          <w:rtl/>
          <w:lang w:bidi="ar-EG"/>
        </w:rPr>
        <w:tab/>
      </w:r>
      <w:r>
        <w:rPr>
          <w:rFonts w:hint="cs"/>
          <w:rtl/>
          <w:lang w:bidi="ar-EG"/>
        </w:rPr>
        <w:tab/>
      </w:r>
      <w:r w:rsidRPr="00B75FCE">
        <w:rPr>
          <w:rFonts w:hint="cs"/>
          <w:rtl/>
          <w:lang w:bidi="ar-EG"/>
        </w:rPr>
        <w:t>(د)</w:t>
      </w:r>
      <w:r w:rsidRPr="00B75FCE">
        <w:rPr>
          <w:rFonts w:hint="cs"/>
          <w:rtl/>
          <w:lang w:bidi="ar-EG"/>
        </w:rPr>
        <w:tab/>
        <w:t>عندما يكون عمر الطرف المعتدى عليه أقل من 12 عاماً أو</w:t>
      </w:r>
      <w:r w:rsidRPr="00B75FCE">
        <w:rPr>
          <w:rtl/>
          <w:lang w:bidi="ar-EG"/>
        </w:rPr>
        <w:t> </w:t>
      </w:r>
      <w:r w:rsidRPr="00B75FCE">
        <w:rPr>
          <w:rFonts w:hint="cs"/>
          <w:rtl/>
          <w:lang w:bidi="ar-EG"/>
        </w:rPr>
        <w:t>مختل العقل، حتى في غياب أي من الظروف المذكورة</w:t>
      </w:r>
      <w:r w:rsidRPr="00B75FCE">
        <w:rPr>
          <w:rFonts w:hint="eastAsia"/>
          <w:rtl/>
          <w:lang w:bidi="ar-EG"/>
        </w:rPr>
        <w:t> </w:t>
      </w:r>
      <w:r w:rsidRPr="00B75FCE">
        <w:rPr>
          <w:rFonts w:hint="cs"/>
          <w:rtl/>
          <w:lang w:bidi="ar-EG"/>
        </w:rPr>
        <w:t>آنفاً.</w:t>
      </w:r>
    </w:p>
    <w:p w:rsidR="00E3296F" w:rsidRPr="001D4907" w:rsidRDefault="00E3296F" w:rsidP="00991DAD">
      <w:pPr>
        <w:pStyle w:val="FootnoteText"/>
        <w:tabs>
          <w:tab w:val="clear" w:pos="418"/>
          <w:tab w:val="right" w:pos="1195"/>
          <w:tab w:val="left" w:pos="1267"/>
          <w:tab w:val="left" w:pos="1656"/>
          <w:tab w:val="left" w:pos="2088"/>
        </w:tabs>
        <w:spacing w:after="80"/>
        <w:ind w:left="1656" w:right="1267" w:hanging="936"/>
        <w:rPr>
          <w:rFonts w:hint="cs"/>
          <w:w w:val="103"/>
        </w:rPr>
      </w:pPr>
      <w:r>
        <w:rPr>
          <w:rFonts w:hint="cs"/>
          <w:rtl/>
          <w:lang w:bidi="ar-EG"/>
        </w:rPr>
        <w:tab/>
      </w:r>
      <w:r>
        <w:rPr>
          <w:rFonts w:hint="cs"/>
          <w:rtl/>
          <w:lang w:bidi="ar-EG"/>
        </w:rPr>
        <w:tab/>
        <w:t>2 -</w:t>
      </w:r>
      <w:r>
        <w:rPr>
          <w:rFonts w:hint="cs"/>
          <w:rtl/>
          <w:lang w:bidi="ar-EG"/>
        </w:rPr>
        <w:tab/>
        <w:t xml:space="preserve">من قِبَل </w:t>
      </w:r>
      <w:r w:rsidRPr="00B75FCE">
        <w:rPr>
          <w:rFonts w:hint="cs"/>
          <w:rtl/>
          <w:lang w:bidi="ar-EG"/>
        </w:rPr>
        <w:t>أي شخص يرتكب، في ظل أي ظرف من الظروف المذكورة آنفاً في الفقرة 1، اعتداء جنسياً بإيلاج قضيبه في فم شخص آخر أو</w:t>
      </w:r>
      <w:r w:rsidRPr="00B75FCE">
        <w:rPr>
          <w:rtl/>
          <w:lang w:bidi="ar-EG"/>
        </w:rPr>
        <w:t> </w:t>
      </w:r>
      <w:r w:rsidRPr="00B75FCE">
        <w:rPr>
          <w:rFonts w:hint="cs"/>
          <w:rtl/>
          <w:lang w:bidi="ar-EG"/>
        </w:rPr>
        <w:t>في فتحة شرجه، أو</w:t>
      </w:r>
      <w:r w:rsidRPr="00B75FCE">
        <w:rPr>
          <w:rtl/>
          <w:lang w:bidi="ar-EG"/>
        </w:rPr>
        <w:t> </w:t>
      </w:r>
      <w:r w:rsidRPr="00B75FCE">
        <w:rPr>
          <w:rFonts w:hint="cs"/>
          <w:rtl/>
          <w:lang w:bidi="ar-EG"/>
        </w:rPr>
        <w:t>إيلاج أي أداة أو</w:t>
      </w:r>
      <w:r w:rsidRPr="00B75FCE">
        <w:rPr>
          <w:rtl/>
          <w:lang w:bidi="ar-EG"/>
        </w:rPr>
        <w:t> </w:t>
      </w:r>
      <w:r w:rsidRPr="00B75FCE">
        <w:rPr>
          <w:rFonts w:hint="cs"/>
          <w:rtl/>
          <w:lang w:bidi="ar-EG"/>
        </w:rPr>
        <w:t>جسم في الفتحة التناسلية أو</w:t>
      </w:r>
      <w:r w:rsidRPr="00B75FCE">
        <w:rPr>
          <w:rtl/>
          <w:lang w:bidi="ar-EG"/>
        </w:rPr>
        <w:t> </w:t>
      </w:r>
      <w:r w:rsidRPr="00B75FCE">
        <w:rPr>
          <w:rFonts w:hint="cs"/>
          <w:rtl/>
          <w:lang w:bidi="ar-EG"/>
        </w:rPr>
        <w:t>فتحة الشرج لشخص آخر</w:t>
      </w:r>
      <w:r w:rsidR="00991DAD">
        <w:rPr>
          <w:rFonts w:hint="cs"/>
          <w:rtl/>
          <w:lang w:bidi="ar-EG"/>
        </w:rPr>
        <w:t>“</w:t>
      </w:r>
      <w:r w:rsidRPr="00B75FCE">
        <w:rPr>
          <w:rFonts w:hint="cs"/>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E3296F" w:rsidTr="001D5DC7">
      <w:tblPrEx>
        <w:tblCellMar>
          <w:top w:w="0" w:type="dxa"/>
          <w:bottom w:w="0" w:type="dxa"/>
        </w:tblCellMar>
      </w:tblPrEx>
      <w:trPr>
        <w:trHeight w:hRule="exact" w:val="864"/>
        <w:jc w:val="center"/>
      </w:trPr>
      <w:tc>
        <w:tcPr>
          <w:tcW w:w="4925" w:type="dxa"/>
          <w:shd w:val="clear" w:color="auto" w:fill="auto"/>
          <w:vAlign w:val="bottom"/>
        </w:tcPr>
        <w:p w:rsidR="00E3296F" w:rsidRDefault="00E3296F" w:rsidP="001D5DC7">
          <w:pPr>
            <w:pStyle w:val="Header"/>
            <w:bidi/>
            <w:jc w:val="right"/>
          </w:pPr>
        </w:p>
      </w:tc>
      <w:tc>
        <w:tcPr>
          <w:tcW w:w="4925" w:type="dxa"/>
          <w:shd w:val="clear" w:color="auto" w:fill="auto"/>
          <w:vAlign w:val="bottom"/>
        </w:tcPr>
        <w:p w:rsidR="00E3296F" w:rsidRPr="001D5DC7" w:rsidRDefault="00E3296F" w:rsidP="001D5DC7">
          <w:pPr>
            <w:pStyle w:val="Header"/>
            <w:spacing w:after="80"/>
            <w:jc w:val="right"/>
            <w:rPr>
              <w:w w:val="103"/>
            </w:rPr>
          </w:pPr>
          <w:fldSimple w:instr=" DOCVARIABLE sss1  \* MERGEFORMAT ">
            <w:r w:rsidR="009F0238">
              <w:rPr>
                <w:w w:val="103"/>
              </w:rPr>
              <w:t>CEDAW/C/57/D/34/2011</w:t>
            </w:r>
          </w:fldSimple>
        </w:p>
      </w:tc>
    </w:tr>
  </w:tbl>
  <w:p w:rsidR="00E3296F" w:rsidRPr="001D5DC7" w:rsidRDefault="00E3296F" w:rsidP="001D5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E3296F" w:rsidTr="001D5DC7">
      <w:tblPrEx>
        <w:tblCellMar>
          <w:top w:w="0" w:type="dxa"/>
          <w:bottom w:w="0" w:type="dxa"/>
        </w:tblCellMar>
      </w:tblPrEx>
      <w:trPr>
        <w:trHeight w:hRule="exact" w:val="864"/>
        <w:jc w:val="center"/>
      </w:trPr>
      <w:tc>
        <w:tcPr>
          <w:tcW w:w="4925" w:type="dxa"/>
          <w:shd w:val="clear" w:color="auto" w:fill="auto"/>
          <w:vAlign w:val="bottom"/>
        </w:tcPr>
        <w:p w:rsidR="00E3296F" w:rsidRPr="001D5DC7" w:rsidRDefault="00E3296F" w:rsidP="001D5DC7">
          <w:pPr>
            <w:pStyle w:val="Header"/>
            <w:spacing w:after="80"/>
            <w:rPr>
              <w:rFonts w:hint="cs"/>
              <w:w w:val="103"/>
              <w:rtl/>
            </w:rPr>
          </w:pPr>
          <w:fldSimple w:instr=" DOCVARIABLE sss1  \* MERGEFORMAT ">
            <w:r w:rsidR="009F0238">
              <w:rPr>
                <w:w w:val="103"/>
              </w:rPr>
              <w:t>CEDAW/C/57/D/34/2011</w:t>
            </w:r>
          </w:fldSimple>
        </w:p>
      </w:tc>
      <w:tc>
        <w:tcPr>
          <w:tcW w:w="4925" w:type="dxa"/>
          <w:shd w:val="clear" w:color="auto" w:fill="auto"/>
          <w:vAlign w:val="bottom"/>
        </w:tcPr>
        <w:p w:rsidR="00E3296F" w:rsidRDefault="00E3296F" w:rsidP="001D5DC7">
          <w:pPr>
            <w:pStyle w:val="Header"/>
          </w:pPr>
        </w:p>
      </w:tc>
    </w:tr>
  </w:tbl>
  <w:p w:rsidR="00E3296F" w:rsidRPr="001D5DC7" w:rsidRDefault="00E3296F" w:rsidP="001D5D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E3296F" w:rsidTr="001D5DC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3296F" w:rsidRDefault="00E3296F" w:rsidP="001D5DC7">
          <w:pPr>
            <w:pStyle w:val="Header"/>
            <w:spacing w:after="120"/>
          </w:pPr>
        </w:p>
      </w:tc>
      <w:tc>
        <w:tcPr>
          <w:tcW w:w="1786" w:type="dxa"/>
          <w:tcBorders>
            <w:bottom w:val="single" w:sz="4" w:space="0" w:color="auto"/>
          </w:tcBorders>
          <w:shd w:val="clear" w:color="auto" w:fill="auto"/>
          <w:vAlign w:val="bottom"/>
        </w:tcPr>
        <w:p w:rsidR="00E3296F" w:rsidRPr="001D5DC7" w:rsidRDefault="00E3296F" w:rsidP="001D5DC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3296F" w:rsidRDefault="00E3296F" w:rsidP="001D5DC7">
          <w:pPr>
            <w:pStyle w:val="Header"/>
            <w:spacing w:after="120"/>
          </w:pPr>
        </w:p>
      </w:tc>
      <w:tc>
        <w:tcPr>
          <w:tcW w:w="6523" w:type="dxa"/>
          <w:gridSpan w:val="3"/>
          <w:tcBorders>
            <w:bottom w:val="single" w:sz="4" w:space="0" w:color="auto"/>
          </w:tcBorders>
          <w:shd w:val="clear" w:color="auto" w:fill="auto"/>
          <w:vAlign w:val="bottom"/>
        </w:tcPr>
        <w:p w:rsidR="00E3296F" w:rsidRPr="00665BFE" w:rsidRDefault="00665BFE" w:rsidP="00665BFE">
          <w:pPr>
            <w:spacing w:line="240" w:lineRule="auto"/>
            <w:jc w:val="right"/>
            <w:rPr>
              <w:position w:val="-4"/>
            </w:rPr>
          </w:pPr>
          <w:r>
            <w:rPr>
              <w:position w:val="-4"/>
              <w:sz w:val="40"/>
            </w:rPr>
            <w:t>CEDAW</w:t>
          </w:r>
          <w:r>
            <w:rPr>
              <w:position w:val="-4"/>
            </w:rPr>
            <w:t>/C/57/D/34/2011</w:t>
          </w:r>
        </w:p>
      </w:tc>
    </w:tr>
    <w:tr w:rsidR="00E3296F" w:rsidRPr="001D5DC7" w:rsidTr="001D5DC7">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3296F" w:rsidRDefault="00E3296F" w:rsidP="001D5DC7">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3296F" w:rsidRPr="001D5DC7" w:rsidRDefault="00E3296F" w:rsidP="001D5DC7">
          <w:pPr>
            <w:pStyle w:val="Header"/>
            <w:spacing w:before="109"/>
            <w:jc w:val="right"/>
          </w:pPr>
        </w:p>
      </w:tc>
      <w:tc>
        <w:tcPr>
          <w:tcW w:w="5227" w:type="dxa"/>
          <w:gridSpan w:val="3"/>
          <w:tcBorders>
            <w:top w:val="single" w:sz="4" w:space="0" w:color="auto"/>
            <w:bottom w:val="single" w:sz="12" w:space="0" w:color="auto"/>
          </w:tcBorders>
          <w:shd w:val="clear" w:color="auto" w:fill="auto"/>
        </w:tcPr>
        <w:p w:rsidR="00E3296F" w:rsidRPr="001D5DC7" w:rsidRDefault="00E3296F" w:rsidP="001D5DC7">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E3296F" w:rsidRPr="001D5DC7" w:rsidRDefault="00E3296F" w:rsidP="001D5DC7">
          <w:pPr>
            <w:pStyle w:val="Header"/>
            <w:spacing w:before="109"/>
          </w:pPr>
        </w:p>
      </w:tc>
      <w:tc>
        <w:tcPr>
          <w:tcW w:w="3100" w:type="dxa"/>
          <w:gridSpan w:val="2"/>
          <w:tcBorders>
            <w:top w:val="single" w:sz="4" w:space="0" w:color="auto"/>
            <w:bottom w:val="single" w:sz="12" w:space="0" w:color="auto"/>
          </w:tcBorders>
          <w:shd w:val="clear" w:color="auto" w:fill="auto"/>
        </w:tcPr>
        <w:p w:rsidR="00E3296F" w:rsidRDefault="00E3296F" w:rsidP="00E85FC1">
          <w:pPr>
            <w:bidi w:val="0"/>
            <w:spacing w:before="240" w:line="240" w:lineRule="exact"/>
          </w:pPr>
          <w:r>
            <w:t>Distr.: General</w:t>
          </w:r>
        </w:p>
        <w:p w:rsidR="00E3296F" w:rsidRDefault="00E3296F" w:rsidP="001D5DC7">
          <w:pPr>
            <w:bidi w:val="0"/>
            <w:spacing w:line="240" w:lineRule="exact"/>
            <w:jc w:val="left"/>
          </w:pPr>
          <w:r>
            <w:t>12 March 2014</w:t>
          </w:r>
        </w:p>
        <w:p w:rsidR="00E3296F" w:rsidRDefault="00E3296F" w:rsidP="001D5DC7">
          <w:pPr>
            <w:bidi w:val="0"/>
            <w:spacing w:line="240" w:lineRule="exact"/>
            <w:jc w:val="left"/>
          </w:pPr>
          <w:r>
            <w:t>Arabic</w:t>
          </w:r>
        </w:p>
        <w:p w:rsidR="00E3296F" w:rsidRPr="001D5DC7" w:rsidRDefault="00E3296F" w:rsidP="001D5DC7">
          <w:pPr>
            <w:bidi w:val="0"/>
            <w:spacing w:line="240" w:lineRule="exact"/>
            <w:jc w:val="left"/>
          </w:pPr>
          <w:r>
            <w:t>Original: English</w:t>
          </w:r>
        </w:p>
      </w:tc>
    </w:tr>
  </w:tbl>
  <w:p w:rsidR="00E3296F" w:rsidRPr="001D5DC7" w:rsidRDefault="00E3296F" w:rsidP="001D5DC7">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37E7B"/>
    <w:multiLevelType w:val="hybridMultilevel"/>
    <w:tmpl w:val="5AF4DF26"/>
    <w:lvl w:ilvl="0" w:tplc="3FCCD026">
      <w:start w:val="1"/>
      <w:numFmt w:val="decimal"/>
      <w:lvlRestart w:val="0"/>
      <w:lvlText w:val="(%1)"/>
      <w:lvlJc w:val="right"/>
      <w:pPr>
        <w:tabs>
          <w:tab w:val="num" w:pos="1307"/>
        </w:tabs>
        <w:ind w:left="1307" w:hanging="227"/>
      </w:pPr>
      <w:rPr>
        <w:rFonts w:cs="Traditional Arabic" w:hint="cs"/>
        <w:szCs w:val="26"/>
        <w:vertAlign w:val="baseline"/>
        <w:lang w:val="en-US" w:bidi="ar-S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revisionView w:markup="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0591*"/>
    <w:docVar w:name="CreationDt" w:val="3/25/2014 12:35 PM"/>
    <w:docVar w:name="DocCategory" w:val="Doc"/>
    <w:docVar w:name="DocType" w:val="Final"/>
    <w:docVar w:name="FooterJN" w:val="14-00591"/>
    <w:docVar w:name="Jobn" w:val="14-00591 (A)"/>
    <w:docVar w:name="jobnDT" w:val="14-00591 (A)   250314"/>
    <w:docVar w:name="jobnDTDT" w:val="14-00591 (A)   250314   250314"/>
    <w:docVar w:name="JobNo" w:val="1400591A"/>
    <w:docVar w:name="OandT" w:val=" "/>
    <w:docVar w:name="sss1" w:val="CEDAW/C/57/D/34/2011"/>
    <w:docVar w:name="sss2" w:val="-"/>
    <w:docVar w:name="Symbol1" w:val="CEDAW/C/57/D/34/2011"/>
    <w:docVar w:name="Symbol2" w:val="-"/>
  </w:docVars>
  <w:rsids>
    <w:rsidRoot w:val="00EA7926"/>
    <w:rsid w:val="000170D3"/>
    <w:rsid w:val="00023809"/>
    <w:rsid w:val="000311C9"/>
    <w:rsid w:val="00042425"/>
    <w:rsid w:val="00047F6A"/>
    <w:rsid w:val="0006648F"/>
    <w:rsid w:val="00087310"/>
    <w:rsid w:val="0009732C"/>
    <w:rsid w:val="000B6CEE"/>
    <w:rsid w:val="000C4EED"/>
    <w:rsid w:val="000D2CEC"/>
    <w:rsid w:val="00101EE8"/>
    <w:rsid w:val="00113349"/>
    <w:rsid w:val="00123403"/>
    <w:rsid w:val="0012522B"/>
    <w:rsid w:val="00140B44"/>
    <w:rsid w:val="001519A9"/>
    <w:rsid w:val="001568A8"/>
    <w:rsid w:val="00165F18"/>
    <w:rsid w:val="001737F8"/>
    <w:rsid w:val="001775EA"/>
    <w:rsid w:val="0018030C"/>
    <w:rsid w:val="00187870"/>
    <w:rsid w:val="00196CD9"/>
    <w:rsid w:val="001B71CC"/>
    <w:rsid w:val="001D4907"/>
    <w:rsid w:val="001D5DC7"/>
    <w:rsid w:val="001E5A5A"/>
    <w:rsid w:val="001E5A7A"/>
    <w:rsid w:val="001F6786"/>
    <w:rsid w:val="002312FC"/>
    <w:rsid w:val="00236A29"/>
    <w:rsid w:val="002416C5"/>
    <w:rsid w:val="00242C83"/>
    <w:rsid w:val="0025002E"/>
    <w:rsid w:val="00252D19"/>
    <w:rsid w:val="00263D87"/>
    <w:rsid w:val="00266F59"/>
    <w:rsid w:val="00272B6C"/>
    <w:rsid w:val="0027623A"/>
    <w:rsid w:val="00290F2F"/>
    <w:rsid w:val="002937DA"/>
    <w:rsid w:val="002A09C6"/>
    <w:rsid w:val="002A3F64"/>
    <w:rsid w:val="002B14AE"/>
    <w:rsid w:val="002C2AF2"/>
    <w:rsid w:val="002C4E1B"/>
    <w:rsid w:val="002C718A"/>
    <w:rsid w:val="002D58BC"/>
    <w:rsid w:val="002E1490"/>
    <w:rsid w:val="002F0573"/>
    <w:rsid w:val="00312162"/>
    <w:rsid w:val="003501D5"/>
    <w:rsid w:val="003676A8"/>
    <w:rsid w:val="00371AC4"/>
    <w:rsid w:val="00376CFA"/>
    <w:rsid w:val="00383A67"/>
    <w:rsid w:val="00383CA8"/>
    <w:rsid w:val="003A65ED"/>
    <w:rsid w:val="003D4612"/>
    <w:rsid w:val="003E26D7"/>
    <w:rsid w:val="003E61A1"/>
    <w:rsid w:val="003F4B8C"/>
    <w:rsid w:val="00401BDF"/>
    <w:rsid w:val="00411BBD"/>
    <w:rsid w:val="00415922"/>
    <w:rsid w:val="00423BD7"/>
    <w:rsid w:val="0042757D"/>
    <w:rsid w:val="00437C14"/>
    <w:rsid w:val="004527C9"/>
    <w:rsid w:val="00453069"/>
    <w:rsid w:val="004679D1"/>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6427"/>
    <w:rsid w:val="0057078E"/>
    <w:rsid w:val="005838F5"/>
    <w:rsid w:val="00591B45"/>
    <w:rsid w:val="00596606"/>
    <w:rsid w:val="005A0F73"/>
    <w:rsid w:val="005A2EA3"/>
    <w:rsid w:val="005A56C3"/>
    <w:rsid w:val="005B4C28"/>
    <w:rsid w:val="005C2ECE"/>
    <w:rsid w:val="005C7ED8"/>
    <w:rsid w:val="006007BD"/>
    <w:rsid w:val="00616E82"/>
    <w:rsid w:val="006218A3"/>
    <w:rsid w:val="006564CE"/>
    <w:rsid w:val="00663F64"/>
    <w:rsid w:val="00665BFE"/>
    <w:rsid w:val="0066608D"/>
    <w:rsid w:val="00692B46"/>
    <w:rsid w:val="00696B7A"/>
    <w:rsid w:val="006A1E4E"/>
    <w:rsid w:val="006B6933"/>
    <w:rsid w:val="006C38EE"/>
    <w:rsid w:val="006E7E51"/>
    <w:rsid w:val="00700F06"/>
    <w:rsid w:val="0071531E"/>
    <w:rsid w:val="0071645B"/>
    <w:rsid w:val="00716E9D"/>
    <w:rsid w:val="00742B3E"/>
    <w:rsid w:val="00747B9E"/>
    <w:rsid w:val="007524BE"/>
    <w:rsid w:val="007525FA"/>
    <w:rsid w:val="00770CF8"/>
    <w:rsid w:val="00774FF0"/>
    <w:rsid w:val="0079046D"/>
    <w:rsid w:val="0079753A"/>
    <w:rsid w:val="007A296C"/>
    <w:rsid w:val="007A4244"/>
    <w:rsid w:val="007A6C4E"/>
    <w:rsid w:val="007A6DD9"/>
    <w:rsid w:val="007B03DD"/>
    <w:rsid w:val="007B1CA6"/>
    <w:rsid w:val="007C4D57"/>
    <w:rsid w:val="007D60E0"/>
    <w:rsid w:val="007D6B8D"/>
    <w:rsid w:val="007E32B9"/>
    <w:rsid w:val="00802932"/>
    <w:rsid w:val="0081284F"/>
    <w:rsid w:val="00814843"/>
    <w:rsid w:val="008170DE"/>
    <w:rsid w:val="00824819"/>
    <w:rsid w:val="00825C26"/>
    <w:rsid w:val="00830E32"/>
    <w:rsid w:val="00842E5E"/>
    <w:rsid w:val="00845A14"/>
    <w:rsid w:val="0085331D"/>
    <w:rsid w:val="00853F0F"/>
    <w:rsid w:val="00873A11"/>
    <w:rsid w:val="00873AF9"/>
    <w:rsid w:val="0088317F"/>
    <w:rsid w:val="008A3FCA"/>
    <w:rsid w:val="008D1C04"/>
    <w:rsid w:val="008F04A0"/>
    <w:rsid w:val="008F419C"/>
    <w:rsid w:val="008F64A7"/>
    <w:rsid w:val="0090012B"/>
    <w:rsid w:val="0090351F"/>
    <w:rsid w:val="00914CB6"/>
    <w:rsid w:val="00964FA8"/>
    <w:rsid w:val="00970BAD"/>
    <w:rsid w:val="009768D1"/>
    <w:rsid w:val="00981E99"/>
    <w:rsid w:val="009829B7"/>
    <w:rsid w:val="00984CAB"/>
    <w:rsid w:val="00991DAD"/>
    <w:rsid w:val="009927C0"/>
    <w:rsid w:val="009961E6"/>
    <w:rsid w:val="009B6C65"/>
    <w:rsid w:val="009B752D"/>
    <w:rsid w:val="009C0017"/>
    <w:rsid w:val="009C15F4"/>
    <w:rsid w:val="009D62A3"/>
    <w:rsid w:val="009E2A1F"/>
    <w:rsid w:val="009E5241"/>
    <w:rsid w:val="009F0238"/>
    <w:rsid w:val="009F231F"/>
    <w:rsid w:val="009F5698"/>
    <w:rsid w:val="00A30E63"/>
    <w:rsid w:val="00A37C4B"/>
    <w:rsid w:val="00A45495"/>
    <w:rsid w:val="00A47282"/>
    <w:rsid w:val="00A508F1"/>
    <w:rsid w:val="00A53DB1"/>
    <w:rsid w:val="00A56F63"/>
    <w:rsid w:val="00A66F66"/>
    <w:rsid w:val="00A71AE5"/>
    <w:rsid w:val="00A77F16"/>
    <w:rsid w:val="00A84BBF"/>
    <w:rsid w:val="00A90909"/>
    <w:rsid w:val="00AA1E16"/>
    <w:rsid w:val="00AC002C"/>
    <w:rsid w:val="00AC2EE0"/>
    <w:rsid w:val="00AC6CDD"/>
    <w:rsid w:val="00AD38D0"/>
    <w:rsid w:val="00AD6651"/>
    <w:rsid w:val="00AE108C"/>
    <w:rsid w:val="00AE3034"/>
    <w:rsid w:val="00AE5AE2"/>
    <w:rsid w:val="00AF1A53"/>
    <w:rsid w:val="00AF7AC7"/>
    <w:rsid w:val="00B034A3"/>
    <w:rsid w:val="00B05ADC"/>
    <w:rsid w:val="00B272BE"/>
    <w:rsid w:val="00B5784C"/>
    <w:rsid w:val="00B75FCE"/>
    <w:rsid w:val="00B9542C"/>
    <w:rsid w:val="00B95560"/>
    <w:rsid w:val="00BA7FAB"/>
    <w:rsid w:val="00BC2F4C"/>
    <w:rsid w:val="00BC4A05"/>
    <w:rsid w:val="00BC567D"/>
    <w:rsid w:val="00BF0B15"/>
    <w:rsid w:val="00C0247A"/>
    <w:rsid w:val="00C12CBB"/>
    <w:rsid w:val="00C25A2D"/>
    <w:rsid w:val="00C260F8"/>
    <w:rsid w:val="00C43FBE"/>
    <w:rsid w:val="00C449C6"/>
    <w:rsid w:val="00C47956"/>
    <w:rsid w:val="00C500EC"/>
    <w:rsid w:val="00C564B0"/>
    <w:rsid w:val="00C6283F"/>
    <w:rsid w:val="00C662D9"/>
    <w:rsid w:val="00C71487"/>
    <w:rsid w:val="00C814A5"/>
    <w:rsid w:val="00C84B2B"/>
    <w:rsid w:val="00C855F6"/>
    <w:rsid w:val="00C96573"/>
    <w:rsid w:val="00CA4791"/>
    <w:rsid w:val="00CD0BB8"/>
    <w:rsid w:val="00CD3849"/>
    <w:rsid w:val="00CF7384"/>
    <w:rsid w:val="00D2343D"/>
    <w:rsid w:val="00D25542"/>
    <w:rsid w:val="00D30EAE"/>
    <w:rsid w:val="00D318F1"/>
    <w:rsid w:val="00D40B0E"/>
    <w:rsid w:val="00D44FE0"/>
    <w:rsid w:val="00D54DD2"/>
    <w:rsid w:val="00D6389B"/>
    <w:rsid w:val="00D66413"/>
    <w:rsid w:val="00D6799D"/>
    <w:rsid w:val="00D867F2"/>
    <w:rsid w:val="00DA66B7"/>
    <w:rsid w:val="00DB0865"/>
    <w:rsid w:val="00DB3291"/>
    <w:rsid w:val="00DB5207"/>
    <w:rsid w:val="00DB7206"/>
    <w:rsid w:val="00DC5C1E"/>
    <w:rsid w:val="00DE5433"/>
    <w:rsid w:val="00DE68A7"/>
    <w:rsid w:val="00DF5A43"/>
    <w:rsid w:val="00DF5F38"/>
    <w:rsid w:val="00E23336"/>
    <w:rsid w:val="00E31661"/>
    <w:rsid w:val="00E3296F"/>
    <w:rsid w:val="00E32B52"/>
    <w:rsid w:val="00E35D91"/>
    <w:rsid w:val="00E3652F"/>
    <w:rsid w:val="00E47EB8"/>
    <w:rsid w:val="00E52811"/>
    <w:rsid w:val="00E52B93"/>
    <w:rsid w:val="00E704FD"/>
    <w:rsid w:val="00E750E1"/>
    <w:rsid w:val="00E7795A"/>
    <w:rsid w:val="00E77A73"/>
    <w:rsid w:val="00E85FC1"/>
    <w:rsid w:val="00E9114A"/>
    <w:rsid w:val="00EA0D5B"/>
    <w:rsid w:val="00EA3948"/>
    <w:rsid w:val="00EA489C"/>
    <w:rsid w:val="00EA7926"/>
    <w:rsid w:val="00EA7B59"/>
    <w:rsid w:val="00EB0CA7"/>
    <w:rsid w:val="00EB4992"/>
    <w:rsid w:val="00EF2E52"/>
    <w:rsid w:val="00F031FB"/>
    <w:rsid w:val="00F32E4A"/>
    <w:rsid w:val="00F36D8C"/>
    <w:rsid w:val="00F53AB7"/>
    <w:rsid w:val="00F93545"/>
    <w:rsid w:val="00F96FBA"/>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Dual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aliases w:val="4_GA"/>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1D5DC7"/>
    <w:rPr>
      <w:szCs w:val="20"/>
    </w:rPr>
  </w:style>
  <w:style w:type="paragraph" w:styleId="CommentSubject">
    <w:name w:val="annotation subject"/>
    <w:basedOn w:val="CommentText"/>
    <w:next w:val="CommentText"/>
    <w:semiHidden/>
    <w:rsid w:val="001D5DC7"/>
    <w:rPr>
      <w:b/>
      <w:bCs/>
    </w:rPr>
  </w:style>
  <w:style w:type="paragraph" w:customStyle="1" w:styleId="HChGA">
    <w:name w:val="_ H _Ch_GA"/>
    <w:basedOn w:val="Normal"/>
    <w:next w:val="Normal"/>
    <w:rsid w:val="00E85FC1"/>
    <w:pPr>
      <w:keepNext/>
      <w:keepLines/>
      <w:tabs>
        <w:tab w:val="right" w:pos="1021"/>
      </w:tabs>
      <w:suppressAutoHyphens/>
      <w:spacing w:before="360" w:after="240" w:line="440" w:lineRule="exact"/>
      <w:ind w:left="1247" w:right="1247" w:hanging="1247"/>
    </w:pPr>
    <w:rPr>
      <w:b/>
      <w:bCs/>
      <w:w w:val="100"/>
      <w:kern w:val="0"/>
      <w:sz w:val="28"/>
      <w:szCs w:val="38"/>
    </w:rPr>
  </w:style>
  <w:style w:type="paragraph" w:customStyle="1" w:styleId="H1GA">
    <w:name w:val="_ H_1_GA"/>
    <w:basedOn w:val="Normal"/>
    <w:next w:val="Normal"/>
    <w:rsid w:val="00E85FC1"/>
    <w:pPr>
      <w:keepNext/>
      <w:keepLines/>
      <w:tabs>
        <w:tab w:val="right" w:pos="1021"/>
      </w:tabs>
      <w:suppressAutoHyphens/>
      <w:spacing w:before="240" w:after="240"/>
      <w:ind w:left="1247" w:right="1247" w:hanging="1247"/>
    </w:pPr>
    <w:rPr>
      <w:b/>
      <w:bCs/>
      <w:w w:val="100"/>
      <w:kern w:val="0"/>
      <w:sz w:val="24"/>
      <w:szCs w:val="34"/>
    </w:rPr>
  </w:style>
  <w:style w:type="paragraph" w:customStyle="1" w:styleId="H23GA">
    <w:name w:val="_ H_2/3_GA"/>
    <w:basedOn w:val="Normal"/>
    <w:next w:val="Normal"/>
    <w:rsid w:val="00E85FC1"/>
    <w:pPr>
      <w:keepNext/>
      <w:keepLines/>
      <w:tabs>
        <w:tab w:val="right" w:pos="1021"/>
      </w:tabs>
      <w:spacing w:before="120" w:after="120" w:line="380" w:lineRule="exact"/>
      <w:ind w:left="1247" w:right="1247" w:hanging="1247"/>
    </w:pPr>
    <w:rPr>
      <w:b/>
      <w:bCs/>
      <w:w w:val="100"/>
      <w:kern w:val="0"/>
      <w:lang w:eastAsia="ar-SA"/>
    </w:rPr>
  </w:style>
  <w:style w:type="paragraph" w:customStyle="1" w:styleId="H4GA">
    <w:name w:val="_ H_4_GA"/>
    <w:basedOn w:val="Normal"/>
    <w:next w:val="Normal"/>
    <w:rsid w:val="00E85FC1"/>
    <w:pPr>
      <w:keepNext/>
      <w:keepLines/>
      <w:tabs>
        <w:tab w:val="right" w:pos="1021"/>
      </w:tabs>
      <w:suppressAutoHyphens/>
      <w:spacing w:before="120" w:after="120" w:line="380" w:lineRule="exact"/>
      <w:ind w:left="1247" w:right="1247" w:hanging="1247"/>
    </w:pPr>
    <w:rPr>
      <w:i/>
      <w:iCs/>
      <w:w w:val="100"/>
      <w:kern w:val="0"/>
    </w:rPr>
  </w:style>
  <w:style w:type="paragraph" w:customStyle="1" w:styleId="SingleTxtGA">
    <w:name w:val="_ Single Txt_GA"/>
    <w:basedOn w:val="Normal"/>
    <w:rsid w:val="00E85FC1"/>
    <w:pPr>
      <w:tabs>
        <w:tab w:val="left" w:pos="1928"/>
        <w:tab w:val="left" w:pos="2608"/>
        <w:tab w:val="left" w:pos="3289"/>
        <w:tab w:val="left" w:pos="3969"/>
        <w:tab w:val="left" w:pos="4649"/>
        <w:tab w:val="left" w:pos="5330"/>
      </w:tabs>
      <w:spacing w:after="120" w:line="380" w:lineRule="exact"/>
      <w:ind w:left="1247" w:right="1247"/>
    </w:pPr>
    <w:rPr>
      <w:w w:val="100"/>
      <w:kern w:val="0"/>
    </w:rPr>
  </w:style>
  <w:style w:type="paragraph" w:customStyle="1" w:styleId="footnoteText0">
    <w:name w:val="footnote Text"/>
    <w:aliases w:val="5_GA"/>
    <w:basedOn w:val="Normal"/>
    <w:rsid w:val="00E85FC1"/>
    <w:pPr>
      <w:tabs>
        <w:tab w:val="right" w:pos="1021"/>
      </w:tabs>
      <w:spacing w:after="60" w:line="300" w:lineRule="exact"/>
      <w:ind w:left="1247" w:right="1247" w:hanging="1247"/>
    </w:pPr>
    <w:rPr>
      <w:w w:val="100"/>
      <w:kern w:val="0"/>
      <w:sz w:val="18"/>
      <w:szCs w:val="26"/>
    </w:rPr>
  </w:style>
  <w:style w:type="character" w:customStyle="1" w:styleId="FootnoteTextChar">
    <w:name w:val="Footnote Text Char"/>
    <w:link w:val="FootnoteText"/>
    <w:semiHidden/>
    <w:rsid w:val="00E85FC1"/>
    <w:rPr>
      <w:rFonts w:cs="Traditional Arabic"/>
      <w:kern w:val="14"/>
      <w:sz w:val="17"/>
      <w:szCs w:val="26"/>
      <w:lang w:val="en-US" w:eastAsia="en-US" w:bidi="ar-SA"/>
    </w:rPr>
  </w:style>
  <w:style w:type="character" w:styleId="Hyperlink">
    <w:name w:val="Hyperlink"/>
    <w:rsid w:val="00742B3E"/>
    <w:rPr>
      <w:color w:val="0000FF"/>
      <w:u w:val="single"/>
    </w:rPr>
  </w:style>
  <w:style w:type="character" w:styleId="FollowedHyperlink">
    <w:name w:val="FollowedHyperlink"/>
    <w:rsid w:val="00742B3E"/>
    <w:rPr>
      <w:color w:val="0000FF"/>
      <w:u w:val="single"/>
    </w:rPr>
  </w:style>
  <w:style w:type="paragraph" w:styleId="Revision">
    <w:name w:val="Revision"/>
    <w:hidden/>
    <w:uiPriority w:val="99"/>
    <w:semiHidden/>
    <w:rsid w:val="002C718A"/>
    <w:rPr>
      <w:w w:val="103"/>
      <w:kern w:val="14"/>
      <w:szCs w:val="30"/>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ar/A/RES/34/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ar/A/RES/34/20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24</Pages>
  <Words>7115</Words>
  <Characters>35295</Characters>
  <Application>Microsoft Office Outlook</Application>
  <DocSecurity>4</DocSecurity>
  <Lines>588</Lines>
  <Paragraphs>109</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42301</CharactersWithSpaces>
  <SharedDoc>false</SharedDoc>
  <HLinks>
    <vt:vector size="12" baseType="variant">
      <vt:variant>
        <vt:i4>1310814</vt:i4>
      </vt:variant>
      <vt:variant>
        <vt:i4>3</vt:i4>
      </vt:variant>
      <vt:variant>
        <vt:i4>0</vt:i4>
      </vt:variant>
      <vt:variant>
        <vt:i4>5</vt:i4>
      </vt:variant>
      <vt:variant>
        <vt:lpwstr>http://undocs.org/ar/A/RES/34/201</vt:lpwstr>
      </vt:variant>
      <vt:variant>
        <vt:lpwstr/>
      </vt:variant>
      <vt:variant>
        <vt:i4>1310814</vt:i4>
      </vt:variant>
      <vt:variant>
        <vt:i4>0</vt:i4>
      </vt:variant>
      <vt:variant>
        <vt:i4>0</vt:i4>
      </vt:variant>
      <vt:variant>
        <vt:i4>5</vt:i4>
      </vt:variant>
      <vt:variant>
        <vt:lpwstr>http://undocs.org/ar/A/RES/34/201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aa</dc:creator>
  <cp:keywords/>
  <cp:lastModifiedBy>Fady Gergis</cp:lastModifiedBy>
  <cp:revision>11</cp:revision>
  <cp:lastPrinted>2014-04-04T10:26:00Z</cp:lastPrinted>
  <dcterms:created xsi:type="dcterms:W3CDTF">2014-04-04T09:53:00Z</dcterms:created>
  <dcterms:modified xsi:type="dcterms:W3CDTF">2014-04-04T10:26:00Z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1400591A</vt:lpwstr>
  </property>
  <property fmtid="{D5CDD505-2E9C-101B-9397-08002B2CF9AE}" pid="5" name="Symbol1">
    <vt:lpwstr>CEDAW/C/57/D/34/2011</vt:lpwstr>
  </property>
  <property fmtid="{D5CDD505-2E9C-101B-9397-08002B2CF9AE}" pid="6" name="sss1">
    <vt:lpwstr>CEDAW/C/57/D/34/2011</vt:lpwstr>
  </property>
  <property fmtid="{D5CDD505-2E9C-101B-9397-08002B2CF9AE}" pid="7" name="Comment">
    <vt:lpwstr/>
  </property>
  <property fmtid="{D5CDD505-2E9C-101B-9397-08002B2CF9AE}" pid="8" name="DraftPages">
    <vt:lpwstr>24</vt:lpwstr>
  </property>
  <property fmtid="{D5CDD505-2E9C-101B-9397-08002B2CF9AE}" pid="9" name="Operator">
    <vt:lpwstr>FADY - FINAL - X</vt:lpwstr>
  </property>
</Properties>
</file>