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46" w:rsidRDefault="000E1346" w:rsidP="000E1346">
      <w:pPr>
        <w:spacing w:line="60" w:lineRule="exact"/>
        <w:rPr>
          <w:sz w:val="6"/>
        </w:rPr>
        <w:sectPr w:rsidR="000E1346" w:rsidSect="000E13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195" w:bottom="1898" w:left="1195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453F22" w:rsidRPr="00453F22" w:rsidRDefault="00453F22" w:rsidP="00453F2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53F22">
        <w:t>Комитет по ликвидации дискриминации</w:t>
      </w:r>
      <w:r w:rsidRPr="00453F22">
        <w:br/>
        <w:t>в отношении женщин</w:t>
      </w:r>
    </w:p>
    <w:p w:rsidR="00453F22" w:rsidRPr="00453F22" w:rsidRDefault="00453F22" w:rsidP="00453F2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53F22">
        <w:t>Пятьдесят седьмая сессия</w:t>
      </w:r>
    </w:p>
    <w:p w:rsidR="00453F22" w:rsidRDefault="00453F22" w:rsidP="00453F2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453F22">
        <w:t>10</w:t>
      </w:r>
      <w:r>
        <w:rPr>
          <w:lang w:val="en-US"/>
        </w:rPr>
        <w:t>–</w:t>
      </w:r>
      <w:r w:rsidRPr="00453F22">
        <w:t>28</w:t>
      </w:r>
      <w:r>
        <w:rPr>
          <w:lang w:val="en-US"/>
        </w:rPr>
        <w:t> </w:t>
      </w:r>
      <w:r w:rsidRPr="00453F22">
        <w:t>февраля 2014</w:t>
      </w:r>
      <w:r>
        <w:rPr>
          <w:lang w:val="en-US"/>
        </w:rPr>
        <w:t> </w:t>
      </w:r>
      <w:r w:rsidRPr="00453F22">
        <w:t>года</w:t>
      </w:r>
    </w:p>
    <w:p w:rsidR="00453F22" w:rsidRPr="00453F22" w:rsidRDefault="00453F22" w:rsidP="00453F22">
      <w:pPr>
        <w:pStyle w:val="SingleTxt"/>
        <w:spacing w:after="0" w:line="120" w:lineRule="exact"/>
        <w:rPr>
          <w:sz w:val="10"/>
          <w:lang w:val="en-US"/>
        </w:rPr>
      </w:pPr>
    </w:p>
    <w:p w:rsidR="00453F22" w:rsidRPr="00453F22" w:rsidRDefault="00453F22" w:rsidP="00453F22">
      <w:pPr>
        <w:pStyle w:val="SingleTxt"/>
        <w:spacing w:after="0" w:line="120" w:lineRule="exact"/>
        <w:rPr>
          <w:sz w:val="10"/>
          <w:lang w:val="en-US"/>
        </w:rPr>
      </w:pPr>
    </w:p>
    <w:p w:rsidR="00453F22" w:rsidRPr="00453F22" w:rsidRDefault="00453F22" w:rsidP="00453F22">
      <w:pPr>
        <w:pStyle w:val="SingleTxt"/>
        <w:spacing w:after="0" w:line="120" w:lineRule="exact"/>
        <w:rPr>
          <w:sz w:val="10"/>
          <w:lang w:val="en-US"/>
        </w:rPr>
      </w:pPr>
    </w:p>
    <w:p w:rsidR="00453F22" w:rsidRDefault="00453F22" w:rsidP="00453F2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453F22">
        <w:tab/>
      </w:r>
      <w:r w:rsidRPr="00453F22">
        <w:tab/>
        <w:t xml:space="preserve">Сообщение № </w:t>
      </w:r>
      <w:hyperlink r:id="rId14" w:history="1">
        <w:r w:rsidRPr="00D23F5B">
          <w:rPr>
            <w:rStyle w:val="Hyperlink"/>
          </w:rPr>
          <w:t>34/201</w:t>
        </w:r>
      </w:hyperlink>
      <w:r w:rsidRPr="00453F22">
        <w:t>1</w:t>
      </w:r>
    </w:p>
    <w:p w:rsidR="00453F22" w:rsidRPr="00453F22" w:rsidRDefault="00453F22" w:rsidP="00453F22">
      <w:pPr>
        <w:pStyle w:val="SingleTxt"/>
        <w:spacing w:after="0" w:line="120" w:lineRule="exact"/>
        <w:rPr>
          <w:sz w:val="10"/>
          <w:lang w:val="en-US"/>
        </w:rPr>
      </w:pPr>
    </w:p>
    <w:p w:rsidR="00453F22" w:rsidRPr="00453F22" w:rsidRDefault="00453F22" w:rsidP="00453F22">
      <w:pPr>
        <w:pStyle w:val="SingleTxt"/>
        <w:spacing w:after="0" w:line="120" w:lineRule="exact"/>
        <w:rPr>
          <w:sz w:val="10"/>
          <w:lang w:val="en-US"/>
        </w:rPr>
      </w:pPr>
    </w:p>
    <w:p w:rsidR="00453F22" w:rsidRPr="00453F22" w:rsidRDefault="00453F22" w:rsidP="00453F2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53F22">
        <w:tab/>
      </w:r>
      <w:r w:rsidRPr="00453F22">
        <w:tab/>
        <w:t>Мнения, принятые Комитетом на его пятьдесят седьмой сессии 10–28</w:t>
      </w:r>
      <w:r>
        <w:rPr>
          <w:lang w:val="en-US"/>
        </w:rPr>
        <w:t> </w:t>
      </w:r>
      <w:r w:rsidRPr="00453F22">
        <w:t>февраля 2014</w:t>
      </w:r>
      <w:r>
        <w:rPr>
          <w:lang w:val="en-US"/>
        </w:rPr>
        <w:t> </w:t>
      </w:r>
      <w:r w:rsidRPr="00453F22">
        <w:t>года</w:t>
      </w:r>
    </w:p>
    <w:p w:rsidR="000E1346" w:rsidRPr="00453F22" w:rsidRDefault="000E1346" w:rsidP="00453F22">
      <w:pPr>
        <w:pStyle w:val="SingleTxt"/>
        <w:spacing w:after="0" w:line="120" w:lineRule="exact"/>
        <w:rPr>
          <w:sz w:val="10"/>
        </w:rPr>
      </w:pPr>
    </w:p>
    <w:p w:rsidR="00453F22" w:rsidRPr="00453F22" w:rsidRDefault="00453F22" w:rsidP="00453F22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9"/>
        <w:gridCol w:w="4612"/>
      </w:tblGrid>
      <w:tr w:rsidR="00453F22" w:rsidRPr="00482253" w:rsidTr="00453F22">
        <w:tblPrEx>
          <w:tblCellMar>
            <w:top w:w="0" w:type="dxa"/>
            <w:bottom w:w="0" w:type="dxa"/>
          </w:tblCellMar>
        </w:tblPrEx>
        <w:tc>
          <w:tcPr>
            <w:tcW w:w="2709" w:type="dxa"/>
            <w:shd w:val="clear" w:color="auto" w:fill="auto"/>
          </w:tcPr>
          <w:p w:rsidR="00453F22" w:rsidRPr="00482253" w:rsidRDefault="00453F22" w:rsidP="00453F22">
            <w:pPr>
              <w:pStyle w:val="DualTxt"/>
              <w:jc w:val="left"/>
              <w:rPr>
                <w:i/>
              </w:rPr>
            </w:pPr>
            <w:r w:rsidRPr="00482253">
              <w:rPr>
                <w:i/>
              </w:rPr>
              <w:t>Представлено:</w:t>
            </w:r>
          </w:p>
        </w:tc>
        <w:tc>
          <w:tcPr>
            <w:tcW w:w="4612" w:type="dxa"/>
            <w:shd w:val="clear" w:color="auto" w:fill="auto"/>
          </w:tcPr>
          <w:p w:rsidR="00453F22" w:rsidRPr="00482253" w:rsidRDefault="00453F22" w:rsidP="00453F22">
            <w:pPr>
              <w:pStyle w:val="DualTxt"/>
              <w:jc w:val="left"/>
            </w:pPr>
            <w:r w:rsidRPr="00482253">
              <w:t>Р.П.Б. (представлена адвокатами Эв</w:t>
            </w:r>
            <w:r w:rsidRPr="00482253">
              <w:t>е</w:t>
            </w:r>
            <w:r w:rsidRPr="00482253">
              <w:t>лин Г. Урсуа и Марией Карлой Л. Э</w:t>
            </w:r>
            <w:r w:rsidRPr="00482253">
              <w:t>с</w:t>
            </w:r>
            <w:r w:rsidRPr="00482253">
              <w:t>пиносой)</w:t>
            </w:r>
          </w:p>
        </w:tc>
      </w:tr>
      <w:tr w:rsidR="00453F22" w:rsidRPr="00482253" w:rsidTr="00453F22">
        <w:tblPrEx>
          <w:tblCellMar>
            <w:top w:w="0" w:type="dxa"/>
            <w:bottom w:w="0" w:type="dxa"/>
          </w:tblCellMar>
        </w:tblPrEx>
        <w:tc>
          <w:tcPr>
            <w:tcW w:w="2709" w:type="dxa"/>
            <w:shd w:val="clear" w:color="auto" w:fill="auto"/>
          </w:tcPr>
          <w:p w:rsidR="00453F22" w:rsidRPr="00482253" w:rsidRDefault="00453F22" w:rsidP="00453F22">
            <w:pPr>
              <w:pStyle w:val="DualTxt"/>
              <w:jc w:val="left"/>
              <w:rPr>
                <w:i/>
              </w:rPr>
            </w:pPr>
            <w:r w:rsidRPr="00482253">
              <w:rPr>
                <w:i/>
              </w:rPr>
              <w:t>Предполагаемая жер</w:t>
            </w:r>
            <w:r w:rsidRPr="00482253">
              <w:rPr>
                <w:i/>
              </w:rPr>
              <w:t>т</w:t>
            </w:r>
            <w:r w:rsidRPr="00482253">
              <w:rPr>
                <w:i/>
              </w:rPr>
              <w:t>ва:</w:t>
            </w:r>
          </w:p>
        </w:tc>
        <w:tc>
          <w:tcPr>
            <w:tcW w:w="4612" w:type="dxa"/>
            <w:shd w:val="clear" w:color="auto" w:fill="auto"/>
          </w:tcPr>
          <w:p w:rsidR="00453F22" w:rsidRPr="00482253" w:rsidRDefault="00453F22" w:rsidP="00453F22">
            <w:pPr>
              <w:pStyle w:val="DualTxt"/>
              <w:jc w:val="left"/>
            </w:pPr>
            <w:r w:rsidRPr="00482253">
              <w:t>автор</w:t>
            </w:r>
          </w:p>
        </w:tc>
      </w:tr>
      <w:tr w:rsidR="00453F22" w:rsidRPr="00482253" w:rsidTr="00453F22">
        <w:tblPrEx>
          <w:tblCellMar>
            <w:top w:w="0" w:type="dxa"/>
            <w:bottom w:w="0" w:type="dxa"/>
          </w:tblCellMar>
        </w:tblPrEx>
        <w:tc>
          <w:tcPr>
            <w:tcW w:w="2709" w:type="dxa"/>
            <w:shd w:val="clear" w:color="auto" w:fill="auto"/>
          </w:tcPr>
          <w:p w:rsidR="00453F22" w:rsidRPr="00482253" w:rsidRDefault="00453F22" w:rsidP="00453F22">
            <w:pPr>
              <w:pStyle w:val="DualTxt"/>
              <w:jc w:val="left"/>
              <w:rPr>
                <w:i/>
              </w:rPr>
            </w:pPr>
            <w:r w:rsidRPr="00482253">
              <w:rPr>
                <w:i/>
              </w:rPr>
              <w:t>Государство-участник:</w:t>
            </w:r>
          </w:p>
        </w:tc>
        <w:tc>
          <w:tcPr>
            <w:tcW w:w="4612" w:type="dxa"/>
            <w:shd w:val="clear" w:color="auto" w:fill="auto"/>
          </w:tcPr>
          <w:p w:rsidR="00453F22" w:rsidRPr="00482253" w:rsidRDefault="00453F22" w:rsidP="00453F22">
            <w:pPr>
              <w:pStyle w:val="DualTxt"/>
              <w:jc w:val="left"/>
            </w:pPr>
            <w:r w:rsidRPr="00482253">
              <w:t>Филиппины</w:t>
            </w:r>
          </w:p>
        </w:tc>
      </w:tr>
      <w:tr w:rsidR="00453F22" w:rsidRPr="00482253" w:rsidTr="00453F22">
        <w:tblPrEx>
          <w:tblCellMar>
            <w:top w:w="0" w:type="dxa"/>
            <w:bottom w:w="0" w:type="dxa"/>
          </w:tblCellMar>
        </w:tblPrEx>
        <w:tc>
          <w:tcPr>
            <w:tcW w:w="2709" w:type="dxa"/>
            <w:shd w:val="clear" w:color="auto" w:fill="auto"/>
          </w:tcPr>
          <w:p w:rsidR="00453F22" w:rsidRPr="00482253" w:rsidRDefault="00453F22" w:rsidP="00453F22">
            <w:pPr>
              <w:pStyle w:val="DualTxt"/>
              <w:jc w:val="left"/>
              <w:rPr>
                <w:i/>
              </w:rPr>
            </w:pPr>
            <w:r w:rsidRPr="00482253">
              <w:rPr>
                <w:i/>
              </w:rPr>
              <w:t>Дата сообщения:</w:t>
            </w:r>
          </w:p>
        </w:tc>
        <w:tc>
          <w:tcPr>
            <w:tcW w:w="4612" w:type="dxa"/>
            <w:shd w:val="clear" w:color="auto" w:fill="auto"/>
          </w:tcPr>
          <w:p w:rsidR="00453F22" w:rsidRPr="00482253" w:rsidRDefault="00453F22" w:rsidP="00453F22">
            <w:pPr>
              <w:pStyle w:val="DualTxt"/>
              <w:jc w:val="left"/>
            </w:pPr>
            <w:r w:rsidRPr="00482253">
              <w:t>23 мая 2011 года (первоначальное представл</w:t>
            </w:r>
            <w:r w:rsidRPr="00482253">
              <w:t>е</w:t>
            </w:r>
            <w:r w:rsidRPr="00482253">
              <w:t>ние)</w:t>
            </w:r>
          </w:p>
        </w:tc>
      </w:tr>
      <w:tr w:rsidR="00453F22" w:rsidRPr="00482253" w:rsidTr="00453F22">
        <w:tblPrEx>
          <w:tblCellMar>
            <w:top w:w="0" w:type="dxa"/>
            <w:bottom w:w="0" w:type="dxa"/>
          </w:tblCellMar>
        </w:tblPrEx>
        <w:tc>
          <w:tcPr>
            <w:tcW w:w="2709" w:type="dxa"/>
            <w:shd w:val="clear" w:color="auto" w:fill="auto"/>
          </w:tcPr>
          <w:p w:rsidR="00453F22" w:rsidRPr="00482253" w:rsidRDefault="00453F22" w:rsidP="00453F22">
            <w:pPr>
              <w:pStyle w:val="DualTxt"/>
              <w:jc w:val="left"/>
              <w:rPr>
                <w:i/>
              </w:rPr>
            </w:pPr>
            <w:r w:rsidRPr="00482253">
              <w:rPr>
                <w:i/>
              </w:rPr>
              <w:t>Справочная документация:</w:t>
            </w:r>
          </w:p>
        </w:tc>
        <w:tc>
          <w:tcPr>
            <w:tcW w:w="4612" w:type="dxa"/>
            <w:shd w:val="clear" w:color="auto" w:fill="auto"/>
          </w:tcPr>
          <w:p w:rsidR="00453F22" w:rsidRPr="00482253" w:rsidRDefault="00453F22" w:rsidP="00453F22">
            <w:pPr>
              <w:pStyle w:val="DualTxt"/>
              <w:jc w:val="left"/>
            </w:pPr>
            <w:r w:rsidRPr="00482253">
              <w:t>препровождена государству-участнику 26 августа 2011 года (в в</w:t>
            </w:r>
            <w:r w:rsidRPr="00482253">
              <w:t>и</w:t>
            </w:r>
            <w:r w:rsidRPr="00482253">
              <w:t>де документа не издавалась)</w:t>
            </w:r>
          </w:p>
        </w:tc>
      </w:tr>
      <w:tr w:rsidR="00453F22" w:rsidRPr="00482253" w:rsidTr="00453F22">
        <w:tblPrEx>
          <w:tblCellMar>
            <w:top w:w="0" w:type="dxa"/>
            <w:bottom w:w="0" w:type="dxa"/>
          </w:tblCellMar>
        </w:tblPrEx>
        <w:tc>
          <w:tcPr>
            <w:tcW w:w="2709" w:type="dxa"/>
            <w:shd w:val="clear" w:color="auto" w:fill="auto"/>
          </w:tcPr>
          <w:p w:rsidR="00453F22" w:rsidRPr="00482253" w:rsidRDefault="00453F22" w:rsidP="00453F22">
            <w:pPr>
              <w:pStyle w:val="DualTxt"/>
              <w:jc w:val="left"/>
              <w:rPr>
                <w:i/>
              </w:rPr>
            </w:pPr>
            <w:r w:rsidRPr="00482253">
              <w:rPr>
                <w:i/>
              </w:rPr>
              <w:t>Дата принятия решения:</w:t>
            </w:r>
          </w:p>
        </w:tc>
        <w:tc>
          <w:tcPr>
            <w:tcW w:w="4612" w:type="dxa"/>
            <w:shd w:val="clear" w:color="auto" w:fill="auto"/>
          </w:tcPr>
          <w:p w:rsidR="00453F22" w:rsidRPr="00482253" w:rsidRDefault="00453F22" w:rsidP="00453F22">
            <w:pPr>
              <w:pStyle w:val="DualTxt"/>
              <w:jc w:val="left"/>
            </w:pPr>
            <w:r w:rsidRPr="00482253">
              <w:t>21 февраля 2014 года</w:t>
            </w:r>
          </w:p>
        </w:tc>
      </w:tr>
    </w:tbl>
    <w:p w:rsidR="00453F22" w:rsidRDefault="00453F22" w:rsidP="000E1346">
      <w:pPr>
        <w:pStyle w:val="SingleTxt"/>
      </w:pPr>
    </w:p>
    <w:p w:rsidR="00453F22" w:rsidRDefault="00453F22" w:rsidP="007A1FB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>
        <w:br w:type="page"/>
      </w:r>
      <w:r w:rsidRPr="00453F22">
        <w:t>Приложение</w:t>
      </w:r>
    </w:p>
    <w:p w:rsidR="00453F22" w:rsidRPr="00453F22" w:rsidRDefault="00453F22" w:rsidP="00453F22">
      <w:pPr>
        <w:pStyle w:val="SingleTxt"/>
        <w:spacing w:after="0" w:line="120" w:lineRule="exact"/>
        <w:rPr>
          <w:sz w:val="10"/>
          <w:lang w:val="en-US"/>
        </w:rPr>
      </w:pPr>
    </w:p>
    <w:p w:rsidR="00453F22" w:rsidRPr="00453F22" w:rsidRDefault="00453F22" w:rsidP="00453F2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53F22">
        <w:tab/>
      </w:r>
      <w:r w:rsidRPr="00453F22">
        <w:tab/>
        <w:t>Мнения Комитета по ликвидации дискриминации</w:t>
      </w:r>
      <w:r w:rsidRPr="00453F22">
        <w:br/>
        <w:t>в отношении женщин в соответствии с</w:t>
      </w:r>
      <w:r>
        <w:rPr>
          <w:lang w:val="en-US"/>
        </w:rPr>
        <w:t> </w:t>
      </w:r>
      <w:r w:rsidRPr="00453F22">
        <w:t>Факультативным протоколом к Конвенции о</w:t>
      </w:r>
      <w:r>
        <w:rPr>
          <w:lang w:val="en-US"/>
        </w:rPr>
        <w:t> </w:t>
      </w:r>
      <w:r w:rsidRPr="00453F22">
        <w:t>ликвидации всех форм дискриминации в отношении женщин (пятьдесят седьмая сессия)</w:t>
      </w:r>
    </w:p>
    <w:p w:rsidR="00453F22" w:rsidRPr="00453F22" w:rsidRDefault="00453F22" w:rsidP="00453F22">
      <w:pPr>
        <w:pStyle w:val="SingleTxt"/>
        <w:spacing w:after="0" w:line="120" w:lineRule="exact"/>
        <w:rPr>
          <w:sz w:val="10"/>
        </w:rPr>
      </w:pPr>
    </w:p>
    <w:p w:rsidR="00453F22" w:rsidRPr="00453F22" w:rsidRDefault="00453F22" w:rsidP="00453F22">
      <w:pPr>
        <w:pStyle w:val="SingleTxt"/>
        <w:spacing w:after="0" w:line="120" w:lineRule="exact"/>
        <w:rPr>
          <w:sz w:val="10"/>
        </w:rPr>
      </w:pPr>
    </w:p>
    <w:p w:rsidR="00453F22" w:rsidRPr="00453F22" w:rsidRDefault="00453F22" w:rsidP="00453F2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53F22">
        <w:tab/>
      </w:r>
      <w:r w:rsidRPr="00453F22">
        <w:tab/>
        <w:t xml:space="preserve">Сообщение № </w:t>
      </w:r>
      <w:hyperlink r:id="rId15" w:history="1">
        <w:r w:rsidRPr="00D23F5B">
          <w:rPr>
            <w:rStyle w:val="Hyperlink"/>
          </w:rPr>
          <w:t>34/201</w:t>
        </w:r>
      </w:hyperlink>
      <w:r w:rsidRPr="00453F22">
        <w:t xml:space="preserve">1, </w:t>
      </w:r>
      <w:r w:rsidRPr="00453F22">
        <w:rPr>
          <w:i/>
        </w:rPr>
        <w:t>Р.П.Б. против Филиппин</w:t>
      </w:r>
      <w:r w:rsidRPr="00453F22">
        <w:rPr>
          <w:rStyle w:val="FootnoteReference"/>
          <w:b w:val="0"/>
          <w:sz w:val="20"/>
        </w:rPr>
        <w:footnoteReference w:customMarkFollows="1" w:id="1"/>
        <w:t>*</w:t>
      </w:r>
    </w:p>
    <w:p w:rsidR="00453F22" w:rsidRPr="00453F22" w:rsidRDefault="00453F22" w:rsidP="00453F22">
      <w:pPr>
        <w:pStyle w:val="SingleTxt"/>
        <w:spacing w:after="0" w:line="120" w:lineRule="exact"/>
        <w:rPr>
          <w:sz w:val="10"/>
        </w:rPr>
      </w:pPr>
    </w:p>
    <w:p w:rsidR="00453F22" w:rsidRPr="00453F22" w:rsidRDefault="00453F22" w:rsidP="00453F22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9"/>
        <w:gridCol w:w="4612"/>
      </w:tblGrid>
      <w:tr w:rsidR="00453F22" w:rsidRPr="00482253" w:rsidTr="00700E01">
        <w:tblPrEx>
          <w:tblCellMar>
            <w:top w:w="0" w:type="dxa"/>
            <w:bottom w:w="0" w:type="dxa"/>
          </w:tblCellMar>
        </w:tblPrEx>
        <w:tc>
          <w:tcPr>
            <w:tcW w:w="2709" w:type="dxa"/>
            <w:shd w:val="clear" w:color="auto" w:fill="auto"/>
          </w:tcPr>
          <w:p w:rsidR="00453F22" w:rsidRPr="00482253" w:rsidRDefault="00453F22" w:rsidP="00453F22">
            <w:pPr>
              <w:pStyle w:val="DualTxt"/>
              <w:jc w:val="left"/>
              <w:rPr>
                <w:i/>
              </w:rPr>
            </w:pPr>
            <w:r w:rsidRPr="00482253">
              <w:rPr>
                <w:i/>
              </w:rPr>
              <w:t>Представлено:</w:t>
            </w:r>
          </w:p>
        </w:tc>
        <w:tc>
          <w:tcPr>
            <w:tcW w:w="4612" w:type="dxa"/>
            <w:shd w:val="clear" w:color="auto" w:fill="auto"/>
          </w:tcPr>
          <w:p w:rsidR="00453F22" w:rsidRPr="00482253" w:rsidRDefault="00453F22" w:rsidP="00453F22">
            <w:pPr>
              <w:pStyle w:val="DualTxt"/>
              <w:jc w:val="left"/>
            </w:pPr>
            <w:r w:rsidRPr="00482253">
              <w:t>Р.П.Б. (представлена адвокатами Эв</w:t>
            </w:r>
            <w:r w:rsidRPr="00482253">
              <w:t>е</w:t>
            </w:r>
            <w:r w:rsidRPr="00482253">
              <w:t>лин</w:t>
            </w:r>
            <w:r w:rsidRPr="00482253">
              <w:br/>
              <w:t>Г. Урсуа и Марией Карлой Л. Эсп</w:t>
            </w:r>
            <w:r w:rsidRPr="00482253">
              <w:t>и</w:t>
            </w:r>
            <w:r w:rsidRPr="00482253">
              <w:t>носой)</w:t>
            </w:r>
          </w:p>
        </w:tc>
      </w:tr>
      <w:tr w:rsidR="00453F22" w:rsidRPr="00482253" w:rsidTr="00700E01">
        <w:tblPrEx>
          <w:tblCellMar>
            <w:top w:w="0" w:type="dxa"/>
            <w:bottom w:w="0" w:type="dxa"/>
          </w:tblCellMar>
        </w:tblPrEx>
        <w:tc>
          <w:tcPr>
            <w:tcW w:w="2709" w:type="dxa"/>
            <w:shd w:val="clear" w:color="auto" w:fill="auto"/>
          </w:tcPr>
          <w:p w:rsidR="00453F22" w:rsidRPr="00482253" w:rsidRDefault="00453F22" w:rsidP="00453F22">
            <w:pPr>
              <w:pStyle w:val="DualTxt"/>
              <w:jc w:val="left"/>
              <w:rPr>
                <w:i/>
              </w:rPr>
            </w:pPr>
            <w:r w:rsidRPr="00482253">
              <w:rPr>
                <w:i/>
              </w:rPr>
              <w:t>Предполагаемая жер</w:t>
            </w:r>
            <w:r w:rsidRPr="00482253">
              <w:rPr>
                <w:i/>
              </w:rPr>
              <w:t>т</w:t>
            </w:r>
            <w:r w:rsidRPr="00482253">
              <w:rPr>
                <w:i/>
              </w:rPr>
              <w:t>ва:</w:t>
            </w:r>
          </w:p>
        </w:tc>
        <w:tc>
          <w:tcPr>
            <w:tcW w:w="4612" w:type="dxa"/>
            <w:shd w:val="clear" w:color="auto" w:fill="auto"/>
          </w:tcPr>
          <w:p w:rsidR="00453F22" w:rsidRPr="00482253" w:rsidRDefault="00453F22" w:rsidP="00453F22">
            <w:pPr>
              <w:pStyle w:val="DualTxt"/>
              <w:jc w:val="left"/>
            </w:pPr>
            <w:r w:rsidRPr="00482253">
              <w:t>автор</w:t>
            </w:r>
          </w:p>
        </w:tc>
      </w:tr>
      <w:tr w:rsidR="00453F22" w:rsidRPr="00482253" w:rsidTr="00700E01">
        <w:tblPrEx>
          <w:tblCellMar>
            <w:top w:w="0" w:type="dxa"/>
            <w:bottom w:w="0" w:type="dxa"/>
          </w:tblCellMar>
        </w:tblPrEx>
        <w:tc>
          <w:tcPr>
            <w:tcW w:w="2709" w:type="dxa"/>
            <w:shd w:val="clear" w:color="auto" w:fill="auto"/>
          </w:tcPr>
          <w:p w:rsidR="00453F22" w:rsidRPr="00482253" w:rsidRDefault="00453F22" w:rsidP="00453F22">
            <w:pPr>
              <w:pStyle w:val="DualTxt"/>
              <w:jc w:val="left"/>
              <w:rPr>
                <w:i/>
              </w:rPr>
            </w:pPr>
            <w:r w:rsidRPr="00482253">
              <w:rPr>
                <w:i/>
              </w:rPr>
              <w:t>Государство-участник:</w:t>
            </w:r>
          </w:p>
        </w:tc>
        <w:tc>
          <w:tcPr>
            <w:tcW w:w="4612" w:type="dxa"/>
            <w:shd w:val="clear" w:color="auto" w:fill="auto"/>
          </w:tcPr>
          <w:p w:rsidR="00453F22" w:rsidRPr="00482253" w:rsidRDefault="00453F22" w:rsidP="00453F22">
            <w:pPr>
              <w:pStyle w:val="DualTxt"/>
              <w:jc w:val="left"/>
            </w:pPr>
            <w:r w:rsidRPr="00482253">
              <w:t>Филиппины</w:t>
            </w:r>
          </w:p>
        </w:tc>
      </w:tr>
      <w:tr w:rsidR="00453F22" w:rsidRPr="00482253" w:rsidTr="00700E01">
        <w:tblPrEx>
          <w:tblCellMar>
            <w:top w:w="0" w:type="dxa"/>
            <w:bottom w:w="0" w:type="dxa"/>
          </w:tblCellMar>
        </w:tblPrEx>
        <w:tc>
          <w:tcPr>
            <w:tcW w:w="2709" w:type="dxa"/>
            <w:shd w:val="clear" w:color="auto" w:fill="auto"/>
          </w:tcPr>
          <w:p w:rsidR="00453F22" w:rsidRPr="00482253" w:rsidRDefault="00453F22" w:rsidP="00453F22">
            <w:pPr>
              <w:pStyle w:val="DualTxt"/>
              <w:jc w:val="left"/>
              <w:rPr>
                <w:i/>
              </w:rPr>
            </w:pPr>
            <w:r w:rsidRPr="00482253">
              <w:rPr>
                <w:i/>
              </w:rPr>
              <w:t>Дата сообщения:</w:t>
            </w:r>
          </w:p>
        </w:tc>
        <w:tc>
          <w:tcPr>
            <w:tcW w:w="4612" w:type="dxa"/>
            <w:shd w:val="clear" w:color="auto" w:fill="auto"/>
          </w:tcPr>
          <w:p w:rsidR="00453F22" w:rsidRPr="00482253" w:rsidRDefault="00453F22" w:rsidP="00453F22">
            <w:pPr>
              <w:pStyle w:val="DualTxt"/>
              <w:jc w:val="left"/>
            </w:pPr>
            <w:r w:rsidRPr="00482253">
              <w:t>23 мая 2011 года (первоначальное представл</w:t>
            </w:r>
            <w:r w:rsidRPr="00482253">
              <w:t>е</w:t>
            </w:r>
            <w:r w:rsidRPr="00482253">
              <w:t>ние)</w:t>
            </w:r>
          </w:p>
        </w:tc>
      </w:tr>
      <w:tr w:rsidR="00453F22" w:rsidRPr="00482253" w:rsidTr="00700E01">
        <w:tblPrEx>
          <w:tblCellMar>
            <w:top w:w="0" w:type="dxa"/>
            <w:bottom w:w="0" w:type="dxa"/>
          </w:tblCellMar>
        </w:tblPrEx>
        <w:tc>
          <w:tcPr>
            <w:tcW w:w="2709" w:type="dxa"/>
            <w:shd w:val="clear" w:color="auto" w:fill="auto"/>
          </w:tcPr>
          <w:p w:rsidR="00453F22" w:rsidRPr="00482253" w:rsidRDefault="00453F22" w:rsidP="00453F22">
            <w:pPr>
              <w:pStyle w:val="DualTxt"/>
              <w:jc w:val="left"/>
              <w:rPr>
                <w:i/>
              </w:rPr>
            </w:pPr>
            <w:r w:rsidRPr="00482253">
              <w:rPr>
                <w:i/>
              </w:rPr>
              <w:t>Справочная документация:</w:t>
            </w:r>
          </w:p>
        </w:tc>
        <w:tc>
          <w:tcPr>
            <w:tcW w:w="4612" w:type="dxa"/>
            <w:shd w:val="clear" w:color="auto" w:fill="auto"/>
          </w:tcPr>
          <w:p w:rsidR="00453F22" w:rsidRPr="00482253" w:rsidRDefault="00453F22" w:rsidP="00453F22">
            <w:pPr>
              <w:pStyle w:val="DualTxt"/>
              <w:jc w:val="left"/>
            </w:pPr>
            <w:r w:rsidRPr="00482253">
              <w:t>препровождена государству-участнику 26 августа 2011 года (в в</w:t>
            </w:r>
            <w:r w:rsidRPr="00482253">
              <w:t>и</w:t>
            </w:r>
            <w:r w:rsidRPr="00482253">
              <w:t>де документа не издавалась)</w:t>
            </w:r>
          </w:p>
        </w:tc>
      </w:tr>
    </w:tbl>
    <w:p w:rsidR="00453F22" w:rsidRPr="00453F22" w:rsidRDefault="00453F22" w:rsidP="00453F22">
      <w:pPr>
        <w:pStyle w:val="SingleTxt"/>
        <w:spacing w:after="0" w:line="120" w:lineRule="exact"/>
        <w:rPr>
          <w:sz w:val="10"/>
        </w:rPr>
      </w:pPr>
    </w:p>
    <w:p w:rsidR="00453F22" w:rsidRPr="00453F22" w:rsidRDefault="00453F22" w:rsidP="00453F22">
      <w:pPr>
        <w:pStyle w:val="SingleTxt"/>
        <w:spacing w:after="0" w:line="120" w:lineRule="exact"/>
        <w:rPr>
          <w:sz w:val="10"/>
        </w:rPr>
      </w:pPr>
    </w:p>
    <w:p w:rsidR="00E321CE" w:rsidRPr="00E321CE" w:rsidRDefault="00E321CE" w:rsidP="00E321CE">
      <w:pPr>
        <w:pStyle w:val="SingleTxt"/>
      </w:pPr>
      <w:r w:rsidRPr="00E321CE">
        <w:tab/>
      </w:r>
      <w:r w:rsidRPr="00E321CE">
        <w:rPr>
          <w:i/>
          <w:iCs/>
        </w:rPr>
        <w:t>Комитет по ликвидации дискриминации в отношении женщин</w:t>
      </w:r>
      <w:r w:rsidRPr="00E321CE">
        <w:rPr>
          <w:i/>
        </w:rPr>
        <w:t>,</w:t>
      </w:r>
      <w:r w:rsidRPr="00E321CE">
        <w:t xml:space="preserve"> учр</w:t>
      </w:r>
      <w:r w:rsidRPr="00E321CE">
        <w:t>е</w:t>
      </w:r>
      <w:r w:rsidRPr="00E321CE">
        <w:t>жденный согласно статье</w:t>
      </w:r>
      <w:r>
        <w:rPr>
          <w:lang w:val="en-US"/>
        </w:rPr>
        <w:t> </w:t>
      </w:r>
      <w:r w:rsidRPr="00E321CE">
        <w:t>17 Конвенции о ликвидации всех форм дискримин</w:t>
      </w:r>
      <w:r w:rsidRPr="00E321CE">
        <w:t>а</w:t>
      </w:r>
      <w:r w:rsidRPr="00E321CE">
        <w:t>ции в отношении женщин,</w:t>
      </w:r>
    </w:p>
    <w:p w:rsidR="00E321CE" w:rsidRPr="00E321CE" w:rsidRDefault="00E321CE" w:rsidP="00E321CE">
      <w:pPr>
        <w:pStyle w:val="SingleTxt"/>
      </w:pPr>
      <w:r w:rsidRPr="00E321CE">
        <w:tab/>
      </w:r>
      <w:r w:rsidRPr="00E321CE">
        <w:rPr>
          <w:i/>
          <w:iCs/>
        </w:rPr>
        <w:t>на своем заседании</w:t>
      </w:r>
      <w:r w:rsidRPr="00E321CE">
        <w:t xml:space="preserve"> 21 февраля 2014 года</w:t>
      </w:r>
    </w:p>
    <w:p w:rsidR="00E321CE" w:rsidRDefault="00E321CE" w:rsidP="00E321CE">
      <w:pPr>
        <w:pStyle w:val="SingleTxt"/>
        <w:rPr>
          <w:lang w:val="en-US"/>
        </w:rPr>
      </w:pPr>
      <w:r w:rsidRPr="00E321CE">
        <w:tab/>
      </w:r>
      <w:r w:rsidRPr="00E321CE">
        <w:rPr>
          <w:i/>
        </w:rPr>
        <w:t>принимает</w:t>
      </w:r>
      <w:r w:rsidRPr="00E321CE">
        <w:t xml:space="preserve"> следующее:</w:t>
      </w:r>
    </w:p>
    <w:p w:rsidR="00E321CE" w:rsidRPr="00E321CE" w:rsidRDefault="00E321CE" w:rsidP="00E321CE">
      <w:pPr>
        <w:pStyle w:val="SingleTxt"/>
        <w:spacing w:after="0" w:line="120" w:lineRule="exact"/>
        <w:rPr>
          <w:sz w:val="10"/>
          <w:lang w:val="en-US"/>
        </w:rPr>
      </w:pPr>
    </w:p>
    <w:p w:rsidR="00E321CE" w:rsidRDefault="00E321CE" w:rsidP="00E321C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E321CE">
        <w:tab/>
      </w:r>
      <w:r w:rsidRPr="00E321CE">
        <w:tab/>
        <w:t>Мнения в соответствии с пунктом 3 статьи 7 Факультативного протокола</w:t>
      </w:r>
    </w:p>
    <w:p w:rsidR="00E321CE" w:rsidRPr="00E321CE" w:rsidRDefault="00E321CE" w:rsidP="00E321CE">
      <w:pPr>
        <w:pStyle w:val="SingleTxt"/>
        <w:spacing w:after="0" w:line="120" w:lineRule="exact"/>
        <w:rPr>
          <w:sz w:val="10"/>
          <w:lang w:val="en-US"/>
        </w:rPr>
      </w:pPr>
    </w:p>
    <w:p w:rsidR="00E321CE" w:rsidRDefault="00E321CE" w:rsidP="00E321CE">
      <w:pPr>
        <w:pStyle w:val="SingleTxt"/>
        <w:rPr>
          <w:lang w:val="en-US"/>
        </w:rPr>
      </w:pPr>
      <w:r w:rsidRPr="00E321CE">
        <w:t>1.</w:t>
      </w:r>
      <w:r w:rsidRPr="00E321CE">
        <w:tab/>
        <w:t>Автором сообщения является Р.П.Б., гражданка Филиппин 1989 года ро</w:t>
      </w:r>
      <w:r w:rsidRPr="00E321CE">
        <w:t>ж</w:t>
      </w:r>
      <w:r w:rsidRPr="00E321CE">
        <w:t xml:space="preserve">дения. Она утверждает, что является жертвой нарушения государством-участником ее прав согласно статье 1 и пунктам с), </w:t>
      </w:r>
      <w:r w:rsidRPr="00E321CE">
        <w:rPr>
          <w:lang w:val="en-US"/>
        </w:rPr>
        <w:t>d</w:t>
      </w:r>
      <w:r w:rsidRPr="00E321CE">
        <w:t>) и f) статьи 2 Конвенции о ликвидации всех форм дискриминации в отношении женщин. Ее предста</w:t>
      </w:r>
      <w:r w:rsidRPr="00E321CE">
        <w:t>в</w:t>
      </w:r>
      <w:r w:rsidRPr="00E321CE">
        <w:t>ляют адвокаты Эвелин Г. Урсуа и Мария Карла Л. Эспиноса. Конвенция и Ф</w:t>
      </w:r>
      <w:r w:rsidRPr="00E321CE">
        <w:t>а</w:t>
      </w:r>
      <w:r w:rsidRPr="00E321CE">
        <w:t>культативный протокол к ней вступили в силу для Филиппин соответственно 4</w:t>
      </w:r>
      <w:r w:rsidRPr="00E321CE">
        <w:rPr>
          <w:lang w:val="en-US"/>
        </w:rPr>
        <w:t> </w:t>
      </w:r>
      <w:r w:rsidRPr="00E321CE">
        <w:t>сентября 1981 года и 12 февраля 2004 года.</w:t>
      </w:r>
    </w:p>
    <w:p w:rsidR="00E321CE" w:rsidRPr="00E321CE" w:rsidRDefault="00E321CE" w:rsidP="00E321CE">
      <w:pPr>
        <w:pStyle w:val="SingleTxt"/>
        <w:spacing w:after="0" w:line="120" w:lineRule="exact"/>
        <w:rPr>
          <w:sz w:val="10"/>
          <w:lang w:val="en-US"/>
        </w:rPr>
      </w:pPr>
    </w:p>
    <w:p w:rsidR="00E321CE" w:rsidRDefault="00E321CE" w:rsidP="00E321C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E321CE">
        <w:tab/>
      </w:r>
      <w:r w:rsidRPr="00E321CE">
        <w:tab/>
        <w:t>Факты в изложении автора</w:t>
      </w:r>
    </w:p>
    <w:p w:rsidR="00E321CE" w:rsidRPr="00E321CE" w:rsidRDefault="00E321CE" w:rsidP="00E321CE">
      <w:pPr>
        <w:pStyle w:val="SingleTxt"/>
        <w:spacing w:after="0" w:line="120" w:lineRule="exact"/>
        <w:rPr>
          <w:sz w:val="10"/>
          <w:lang w:val="en-US"/>
        </w:rPr>
      </w:pPr>
    </w:p>
    <w:p w:rsidR="00E321CE" w:rsidRPr="00E321CE" w:rsidRDefault="00E321CE" w:rsidP="00E321CE">
      <w:pPr>
        <w:pStyle w:val="SingleTxt"/>
      </w:pPr>
      <w:r w:rsidRPr="00E321CE">
        <w:t>2.1</w:t>
      </w:r>
      <w:r w:rsidRPr="00E321CE">
        <w:tab/>
        <w:t>Автор выросла в бедной семье, в которой было семь детей, из пригородов Манилы. Как и два ее брата, она является глухонемой. 21 июня 2006 года, пр</w:t>
      </w:r>
      <w:r w:rsidRPr="00E321CE">
        <w:t>и</w:t>
      </w:r>
      <w:r w:rsidRPr="00E321CE">
        <w:t xml:space="preserve">мерно в </w:t>
      </w:r>
      <w:r w:rsidR="00D23F5B">
        <w:t>0</w:t>
      </w:r>
      <w:r w:rsidRPr="00E321CE">
        <w:t>4 ч. 00 м., автор, которой было тогда 17 лет, была изнасилована д</w:t>
      </w:r>
      <w:r w:rsidRPr="00E321CE">
        <w:t>е</w:t>
      </w:r>
      <w:r w:rsidRPr="00E321CE">
        <w:t>вятнадцатилетним соседом Дж. в ее квартире. В тот же день, примерно в 10</w:t>
      </w:r>
      <w:r>
        <w:rPr>
          <w:lang w:val="en-US"/>
        </w:rPr>
        <w:t> </w:t>
      </w:r>
      <w:r w:rsidRPr="00E321CE">
        <w:t>ч. 00</w:t>
      </w:r>
      <w:r w:rsidRPr="00E321CE">
        <w:rPr>
          <w:lang w:val="en-US"/>
        </w:rPr>
        <w:t> </w:t>
      </w:r>
      <w:r w:rsidRPr="00E321CE">
        <w:t>м., автор сообщила о произошедшем полиции. Ей помогала ее сестра Р., к</w:t>
      </w:r>
      <w:r w:rsidRPr="00E321CE">
        <w:t>о</w:t>
      </w:r>
      <w:r w:rsidRPr="00E321CE">
        <w:t>торая переводила для нее с помощью жестового языка. Автора допросил пол</w:t>
      </w:r>
      <w:r w:rsidRPr="00E321CE">
        <w:t>и</w:t>
      </w:r>
      <w:r w:rsidRPr="00E321CE">
        <w:t>цейский-мужчина, что является нарушением Закона Республики № 8505, тр</w:t>
      </w:r>
      <w:r w:rsidRPr="00E321CE">
        <w:t>е</w:t>
      </w:r>
      <w:r w:rsidRPr="00E321CE">
        <w:t>бующего, чтобы такой допрос проводился полицейским-женщиной. Полице</w:t>
      </w:r>
      <w:r w:rsidRPr="00E321CE">
        <w:t>й</w:t>
      </w:r>
      <w:r w:rsidRPr="00E321CE">
        <w:t>ский составил протокол на языке филипино и попросил автора и ее сестру по</w:t>
      </w:r>
      <w:r w:rsidRPr="00E321CE">
        <w:t>д</w:t>
      </w:r>
      <w:r w:rsidRPr="00E321CE">
        <w:t>писать его. Автор утверждает, что она не понимает содержания протокола, п</w:t>
      </w:r>
      <w:r w:rsidRPr="00E321CE">
        <w:t>о</w:t>
      </w:r>
      <w:r w:rsidRPr="00E321CE">
        <w:t>скольку система обучения глухонемых почти полностью основана на письме</w:t>
      </w:r>
      <w:r w:rsidRPr="00E321CE">
        <w:t>н</w:t>
      </w:r>
      <w:r w:rsidRPr="00E321CE">
        <w:t>ном английском языке. Но ей не был предоставлен переводчик для перевода протокола с языка филипино на английский язык. В тот же день, примерно в 11 ч. 30 м., полиция арестовала Дж. и доставила его в полицейский участок. Также в тот же день автор прошла медицинское освидетельствование в лабор</w:t>
      </w:r>
      <w:r w:rsidRPr="00E321CE">
        <w:t>а</w:t>
      </w:r>
      <w:r w:rsidRPr="00E321CE">
        <w:t>тории Филиппинской национальной полиции в лагере Крейм, Кесон-Сити. Обязанности переводчика при ней исполняла ее сестра. Судебно-медицинская экспертиза подтвердила факт совершения сексуального насилия, включая вр</w:t>
      </w:r>
      <w:r w:rsidRPr="00E321CE">
        <w:t>е</w:t>
      </w:r>
      <w:r w:rsidRPr="00E321CE">
        <w:t>мя, дату и место его совершения. В протоколе судебно-медицинской эксперт</w:t>
      </w:r>
      <w:r w:rsidRPr="00E321CE">
        <w:t>и</w:t>
      </w:r>
      <w:r w:rsidRPr="00E321CE">
        <w:t xml:space="preserve">зы говорилось также, что </w:t>
      </w:r>
      <w:r>
        <w:t>«</w:t>
      </w:r>
      <w:r w:rsidRPr="00E321CE">
        <w:t>имеются явные признаки недавнего грубого прон</w:t>
      </w:r>
      <w:r w:rsidRPr="00E321CE">
        <w:t>и</w:t>
      </w:r>
      <w:r w:rsidRPr="00E321CE">
        <w:t>кающего повреждения малых половых губ и задней части уздечки половых губ</w:t>
      </w:r>
      <w:r>
        <w:t>»</w:t>
      </w:r>
      <w:r w:rsidRPr="00E321CE">
        <w:t>.</w:t>
      </w:r>
    </w:p>
    <w:p w:rsidR="00E321CE" w:rsidRPr="00E321CE" w:rsidRDefault="00E321CE" w:rsidP="00E321CE">
      <w:pPr>
        <w:pStyle w:val="SingleTxt"/>
      </w:pPr>
      <w:r w:rsidRPr="00E321CE">
        <w:t>2.2</w:t>
      </w:r>
      <w:r w:rsidRPr="00E321CE">
        <w:tab/>
        <w:t>4 июля 2006 года дело потерпевшей было передано в районный суд пе</w:t>
      </w:r>
      <w:r w:rsidRPr="00E321CE">
        <w:t>р</w:t>
      </w:r>
      <w:r w:rsidRPr="00E321CE">
        <w:t xml:space="preserve">вой инстанции Пасиг-Сити, Манила. Виновному было предъявлено обвинение в изнасиловании, совершенном при </w:t>
      </w:r>
      <w:r>
        <w:t>«</w:t>
      </w:r>
      <w:r w:rsidRPr="00E321CE">
        <w:t>отягчающих обстоятельствах вероло</w:t>
      </w:r>
      <w:r w:rsidRPr="00E321CE">
        <w:t>м</w:t>
      </w:r>
      <w:r w:rsidRPr="00E321CE">
        <w:t>ства, превосходящей силы, в ночное время и с нарушением неприкосновенн</w:t>
      </w:r>
      <w:r w:rsidRPr="00E321CE">
        <w:t>о</w:t>
      </w:r>
      <w:r w:rsidRPr="00E321CE">
        <w:t>сти жилища</w:t>
      </w:r>
      <w:r>
        <w:t>»</w:t>
      </w:r>
      <w:r w:rsidRPr="00E321CE">
        <w:t>, согласно пункту 1 а) статьи 266-А и пункту 6 (10) статьи 266-В пересмотренного Уголовного кодекса 1930 года с поправками, внесенными в него Законом Республики № 8353 от 1997 года, и статье 5 а) Закона Республ</w:t>
      </w:r>
      <w:r w:rsidRPr="00E321CE">
        <w:t>и</w:t>
      </w:r>
      <w:r w:rsidRPr="00E321CE">
        <w:t xml:space="preserve">ки № 8369. Отмечалось, что насилие было совершено </w:t>
      </w:r>
      <w:r>
        <w:t>«</w:t>
      </w:r>
      <w:r w:rsidRPr="00E321CE">
        <w:t>с применением силы, угрозы и запугивания</w:t>
      </w:r>
      <w:r>
        <w:t>»</w:t>
      </w:r>
      <w:r w:rsidRPr="00E321CE">
        <w:t xml:space="preserve"> в отношении потерпевшей, являющейся несовершенн</w:t>
      </w:r>
      <w:r w:rsidRPr="00E321CE">
        <w:t>о</w:t>
      </w:r>
      <w:r w:rsidRPr="00E321CE">
        <w:t xml:space="preserve">летней, о </w:t>
      </w:r>
      <w:r>
        <w:t>«</w:t>
      </w:r>
      <w:r w:rsidRPr="00E321CE">
        <w:t>физическом недостатке</w:t>
      </w:r>
      <w:r>
        <w:t>»</w:t>
      </w:r>
      <w:r w:rsidRPr="00E321CE">
        <w:t xml:space="preserve"> которой</w:t>
      </w:r>
      <w:r>
        <w:t xml:space="preserve"> — </w:t>
      </w:r>
      <w:r w:rsidRPr="00E321CE">
        <w:t xml:space="preserve">том, что она </w:t>
      </w:r>
      <w:r>
        <w:t>«</w:t>
      </w:r>
      <w:r w:rsidRPr="00E321CE">
        <w:t>является глухон</w:t>
      </w:r>
      <w:r w:rsidRPr="00E321CE">
        <w:t>е</w:t>
      </w:r>
      <w:r w:rsidRPr="00E321CE">
        <w:t>мой</w:t>
      </w:r>
      <w:r>
        <w:t>»</w:t>
      </w:r>
      <w:r w:rsidRPr="00E321CE">
        <w:t>,</w:t>
      </w:r>
      <w:r>
        <w:t xml:space="preserve"> — </w:t>
      </w:r>
      <w:r w:rsidRPr="00E321CE">
        <w:t>было известно обвиняемому в момент совершения преступления. О</w:t>
      </w:r>
      <w:r w:rsidRPr="00E321CE">
        <w:t>б</w:t>
      </w:r>
      <w:r w:rsidRPr="00E321CE">
        <w:t>виняемый не признал себя виновным.</w:t>
      </w:r>
    </w:p>
    <w:p w:rsidR="00E321CE" w:rsidRPr="00E321CE" w:rsidRDefault="00E321CE" w:rsidP="00E321CE">
      <w:pPr>
        <w:pStyle w:val="SingleTxt"/>
      </w:pPr>
      <w:r w:rsidRPr="00E321CE">
        <w:t>2.3</w:t>
      </w:r>
      <w:r w:rsidRPr="00E321CE">
        <w:tab/>
        <w:t>Автор утверждает, что слушания, намеченные на 2006 год</w:t>
      </w:r>
      <w:r w:rsidR="00D23F5B">
        <w:rPr>
          <w:rStyle w:val="FootnoteReference"/>
        </w:rPr>
        <w:footnoteReference w:id="2"/>
      </w:r>
      <w:r w:rsidRPr="00E321CE">
        <w:t>, не состо</w:t>
      </w:r>
      <w:r w:rsidRPr="00E321CE">
        <w:t>я</w:t>
      </w:r>
      <w:r w:rsidRPr="00E321CE">
        <w:t>лись из-за неявки свидетелей обвинения. Только 15 января 2007 года первый свид</w:t>
      </w:r>
      <w:r w:rsidRPr="00E321CE">
        <w:t>е</w:t>
      </w:r>
      <w:r w:rsidRPr="00E321CE">
        <w:t>тель обвинения, мать автора, дала показания в суде. Другие слушания были намечены на 13 февраля, 22 августа и 6 ноября 2007 года. Поскольку перево</w:t>
      </w:r>
      <w:r w:rsidRPr="00E321CE">
        <w:t>д</w:t>
      </w:r>
      <w:r w:rsidRPr="00E321CE">
        <w:t>чики для обслуживания глухонемых истцов отсутствовали, перевод осущест</w:t>
      </w:r>
      <w:r w:rsidRPr="00E321CE">
        <w:t>в</w:t>
      </w:r>
      <w:r w:rsidRPr="00E321CE">
        <w:t>ляли исключительно представители неправительственной организации − Ф</w:t>
      </w:r>
      <w:r w:rsidRPr="00E321CE">
        <w:t>и</w:t>
      </w:r>
      <w:r w:rsidRPr="00E321CE">
        <w:t>липпинского центра помощи глухонемым</w:t>
      </w:r>
      <w:r w:rsidR="00D23F5B">
        <w:rPr>
          <w:rStyle w:val="FootnoteReference"/>
        </w:rPr>
        <w:footnoteReference w:id="3"/>
      </w:r>
      <w:r w:rsidRPr="00E321CE">
        <w:t>. 24 сентября 2007 года суд назн</w:t>
      </w:r>
      <w:r w:rsidRPr="00E321CE">
        <w:t>а</w:t>
      </w:r>
      <w:r w:rsidRPr="00E321CE">
        <w:t xml:space="preserve">чил проведение слушания на 6 ноября 2007 года </w:t>
      </w:r>
      <w:r w:rsidR="00D23F5B">
        <w:t>«</w:t>
      </w:r>
      <w:r w:rsidRPr="00E321CE">
        <w:t>при том понимании […], что о</w:t>
      </w:r>
      <w:r w:rsidRPr="00E321CE">
        <w:t>б</w:t>
      </w:r>
      <w:r w:rsidRPr="00E321CE">
        <w:t>винение выделит устного переводчика из Филиппинского центра помощи гл</w:t>
      </w:r>
      <w:r w:rsidRPr="00E321CE">
        <w:t>у</w:t>
      </w:r>
      <w:r w:rsidRPr="00E321CE">
        <w:t>хонемым для частного истца, которая является глухонемой</w:t>
      </w:r>
      <w:r w:rsidR="00D23F5B">
        <w:t>»</w:t>
      </w:r>
      <w:r w:rsidRPr="00E321CE">
        <w:t>. Автор утвержд</w:t>
      </w:r>
      <w:r w:rsidRPr="00E321CE">
        <w:t>а</w:t>
      </w:r>
      <w:r w:rsidRPr="00E321CE">
        <w:t>ет, что длительная переписка Центра с судом также является одной из причин з</w:t>
      </w:r>
      <w:r w:rsidRPr="00E321CE">
        <w:t>а</w:t>
      </w:r>
      <w:r w:rsidRPr="00E321CE">
        <w:t>держки судебного разбирательства.</w:t>
      </w:r>
    </w:p>
    <w:p w:rsidR="00E321CE" w:rsidRPr="00E321CE" w:rsidRDefault="00E321CE" w:rsidP="00E321CE">
      <w:pPr>
        <w:pStyle w:val="SingleTxt"/>
      </w:pPr>
      <w:r w:rsidRPr="00E321CE">
        <w:t>2.4</w:t>
      </w:r>
      <w:r w:rsidRPr="00E321CE">
        <w:tab/>
        <w:t>19 августа 2008 года автор дала показания в суде</w:t>
      </w:r>
      <w:r w:rsidR="00D23F5B">
        <w:rPr>
          <w:rStyle w:val="FootnoteReference"/>
        </w:rPr>
        <w:footnoteReference w:id="4"/>
      </w:r>
      <w:r w:rsidRPr="00E321CE">
        <w:t>. Ей оказывал помощь обвинитель-мужчина, тогда как 15 января 2007 года ее матери оказывала п</w:t>
      </w:r>
      <w:r w:rsidRPr="00E321CE">
        <w:t>о</w:t>
      </w:r>
      <w:r w:rsidRPr="00E321CE">
        <w:t>мощь обвинитель-женщина. Обвинение привлекло в качестве свидетелей тол</w:t>
      </w:r>
      <w:r w:rsidRPr="00E321CE">
        <w:t>ь</w:t>
      </w:r>
      <w:r w:rsidRPr="00E321CE">
        <w:t>ко автора и ее мать, а защита</w:t>
      </w:r>
      <w:r w:rsidR="00D23F5B">
        <w:t xml:space="preserve"> — </w:t>
      </w:r>
      <w:r w:rsidRPr="00E321CE">
        <w:t>только обвиняемого без каких-либо докуме</w:t>
      </w:r>
      <w:r w:rsidRPr="00E321CE">
        <w:t>н</w:t>
      </w:r>
      <w:r w:rsidRPr="00E321CE">
        <w:t xml:space="preserve">тированных фактов. Обвинение и защита </w:t>
      </w:r>
      <w:r w:rsidR="00D23F5B">
        <w:t>«</w:t>
      </w:r>
      <w:r w:rsidRPr="00E321CE">
        <w:t>договорились рассматривать заявл</w:t>
      </w:r>
      <w:r w:rsidRPr="00E321CE">
        <w:t>е</w:t>
      </w:r>
      <w:r w:rsidRPr="00E321CE">
        <w:t>ния и изложение фактов в связи с предлагаемыми показаниями</w:t>
      </w:r>
      <w:r w:rsidR="00D23F5B">
        <w:t>»</w:t>
      </w:r>
      <w:r w:rsidRPr="00E321CE">
        <w:t xml:space="preserve"> двух других свидетелей обвинения</w:t>
      </w:r>
      <w:r w:rsidR="00D23F5B">
        <w:t xml:space="preserve"> — </w:t>
      </w:r>
      <w:r w:rsidRPr="00E321CE">
        <w:t>судебно-медицинского эксперта, который проводил освидетельствование автора после инцидента, и полицейского, который ра</w:t>
      </w:r>
      <w:r w:rsidRPr="00E321CE">
        <w:t>с</w:t>
      </w:r>
      <w:r w:rsidRPr="00E321CE">
        <w:t>смотрел жалобу автора и арестовал Дж.,</w:t>
      </w:r>
      <w:r w:rsidR="00D23F5B">
        <w:t xml:space="preserve"> — </w:t>
      </w:r>
      <w:r w:rsidRPr="00E321CE">
        <w:t>без их присутствия в суде.</w:t>
      </w:r>
    </w:p>
    <w:p w:rsidR="00E321CE" w:rsidRPr="00E321CE" w:rsidRDefault="00E321CE" w:rsidP="00E321CE">
      <w:pPr>
        <w:pStyle w:val="SingleTxt"/>
      </w:pPr>
      <w:r w:rsidRPr="00E321CE">
        <w:t>2.5</w:t>
      </w:r>
      <w:r w:rsidRPr="00E321CE">
        <w:tab/>
        <w:t>31 января 2011 года районный суд первой инстанции Пасиг-Сити опра</w:t>
      </w:r>
      <w:r w:rsidRPr="00E321CE">
        <w:t>в</w:t>
      </w:r>
      <w:r w:rsidRPr="00E321CE">
        <w:t>дал Дж. Суд руководствовался тремя следующими принципами, вытекающими из предыдущего решения Верховного суда: а) очень легко выдвинуть обвин</w:t>
      </w:r>
      <w:r w:rsidRPr="00E321CE">
        <w:t>е</w:t>
      </w:r>
      <w:r w:rsidRPr="00E321CE">
        <w:t>ние в изнасиловании; изнасилование трудно доказать, но еще труднее обвин</w:t>
      </w:r>
      <w:r w:rsidRPr="00E321CE">
        <w:t>я</w:t>
      </w:r>
      <w:r w:rsidRPr="00E321CE">
        <w:t xml:space="preserve">емому доказать свою невиновность; </w:t>
      </w:r>
      <w:r w:rsidRPr="00E321CE">
        <w:rPr>
          <w:lang w:val="en-US"/>
        </w:rPr>
        <w:t>b</w:t>
      </w:r>
      <w:r w:rsidRPr="00E321CE">
        <w:t>) с учетом весьма деликатного характера преступления изнасилования, в котором обычно задействованы лишь два чел</w:t>
      </w:r>
      <w:r w:rsidRPr="00E321CE">
        <w:t>о</w:t>
      </w:r>
      <w:r w:rsidRPr="00E321CE">
        <w:t>века, заявление с жалобой необходимо рассматривать исключительно тщател</w:t>
      </w:r>
      <w:r w:rsidRPr="00E321CE">
        <w:t>ь</w:t>
      </w:r>
      <w:r w:rsidRPr="00E321CE">
        <w:t>но; и с) выдвигаемые обвинением доказательства должны приниматься или о</w:t>
      </w:r>
      <w:r w:rsidRPr="00E321CE">
        <w:t>т</w:t>
      </w:r>
      <w:r w:rsidRPr="00E321CE">
        <w:t>клоняться, исходя из их сути, а не подкрепляться за счет слабости доказ</w:t>
      </w:r>
      <w:r w:rsidRPr="00E321CE">
        <w:t>а</w:t>
      </w:r>
      <w:r w:rsidRPr="00E321CE">
        <w:t>тельств защиты. Суд первой инстанции поставил под сомнение достоверность заявления автора</w:t>
      </w:r>
      <w:r w:rsidR="00D23F5B">
        <w:rPr>
          <w:rStyle w:val="FootnoteReference"/>
        </w:rPr>
        <w:footnoteReference w:id="5"/>
      </w:r>
      <w:r w:rsidRPr="00E321CE">
        <w:t xml:space="preserve"> и счел, что она не доказала, что сексуальное сношение пр</w:t>
      </w:r>
      <w:r w:rsidRPr="00E321CE">
        <w:t>о</w:t>
      </w:r>
      <w:r w:rsidRPr="00E321CE">
        <w:t>изошло без ее согласия. В</w:t>
      </w:r>
      <w:r w:rsidRPr="00E321CE">
        <w:rPr>
          <w:lang w:val="en-US"/>
        </w:rPr>
        <w:t> </w:t>
      </w:r>
      <w:r w:rsidRPr="00E321CE">
        <w:t xml:space="preserve">частности, суд отметил, что </w:t>
      </w:r>
      <w:r w:rsidR="00D23F5B">
        <w:t>«</w:t>
      </w:r>
      <w:r w:rsidRPr="00E321CE">
        <w:t>общее поведение [а</w:t>
      </w:r>
      <w:r w:rsidRPr="00E321CE">
        <w:t>в</w:t>
      </w:r>
      <w:r w:rsidRPr="00E321CE">
        <w:t>тора] во время изнасилования не поддается пониманию и не соответствует р</w:t>
      </w:r>
      <w:r w:rsidRPr="00E321CE">
        <w:t>а</w:t>
      </w:r>
      <w:r w:rsidRPr="00E321CE">
        <w:t>зумному поведению человека, оказавшемуся в подобной ситуации</w:t>
      </w:r>
      <w:r w:rsidR="00D23F5B">
        <w:t>»</w:t>
      </w:r>
      <w:r w:rsidRPr="00E321CE">
        <w:t xml:space="preserve">. Он также отметил, что </w:t>
      </w:r>
      <w:r w:rsidR="00D23F5B">
        <w:t>«</w:t>
      </w:r>
      <w:r w:rsidRPr="00E321CE">
        <w:t>обвиняемый не применял силы или запугивания. Для преодол</w:t>
      </w:r>
      <w:r w:rsidRPr="00E321CE">
        <w:t>е</w:t>
      </w:r>
      <w:r w:rsidRPr="00E321CE">
        <w:t>ния якобы имевшего место сопротивления со стороны Р. физическая сила не применялась. Ее рот не был прикрыт или заткнут каким-либо предметом. Если не считать того, что, как она утверждала, обвиняемый держал ее за руки, она сопротивлялась и проявляла свой гнев, обвинению не удалось доказать, что движения Р. были физически стеснены. В</w:t>
      </w:r>
      <w:r w:rsidRPr="00E321CE">
        <w:rPr>
          <w:lang w:val="en-US"/>
        </w:rPr>
        <w:t> </w:t>
      </w:r>
      <w:r w:rsidRPr="00E321CE">
        <w:t>отношении ее не применялось и з</w:t>
      </w:r>
      <w:r w:rsidRPr="00E321CE">
        <w:t>а</w:t>
      </w:r>
      <w:r w:rsidRPr="00E321CE">
        <w:t>пугивание. Даже если допустить, что обвиняемый держал ее за руки, он ей не угрожал причинением телесного или физического вреда […] с использование какого-либо предмета или инструмента, который обвиняемый мог бы испол</w:t>
      </w:r>
      <w:r w:rsidRPr="00E321CE">
        <w:t>ь</w:t>
      </w:r>
      <w:r w:rsidRPr="00E321CE">
        <w:t>зовать для создания реального ощущения опасных последствий причинения серьезного физического вреда. Существует сложившаяся норма, которая гласит, что когда жертве угрожают причинением телесного ущерба, например, когда преступник вооружен смертоносным оружием […], то это представляет собой запугивание</w:t>
      </w:r>
      <w:r w:rsidR="00D23F5B">
        <w:t>»</w:t>
      </w:r>
      <w:r w:rsidRPr="00E321CE">
        <w:t xml:space="preserve">. Суд далее отметил, что </w:t>
      </w:r>
      <w:r w:rsidR="00D23F5B">
        <w:t>«</w:t>
      </w:r>
      <w:r w:rsidRPr="00E321CE">
        <w:t>поведение [автора] не соответствовало поведению обычной филиппинки, инстинкт которой требует, чтобы она уп</w:t>
      </w:r>
      <w:r w:rsidRPr="00E321CE">
        <w:t>о</w:t>
      </w:r>
      <w:r w:rsidRPr="00E321CE">
        <w:t>требила все свои силы и свое мужество, чтобы пресечь любую попытку оче</w:t>
      </w:r>
      <w:r w:rsidRPr="00E321CE">
        <w:t>р</w:t>
      </w:r>
      <w:r w:rsidRPr="00E321CE">
        <w:t>нить ее честь и запятнать ее непорочность. […] неестественно, когда предпол</w:t>
      </w:r>
      <w:r w:rsidRPr="00E321CE">
        <w:t>а</w:t>
      </w:r>
      <w:r w:rsidRPr="00E321CE">
        <w:t>гаемая жертва изнасилования […] не предпринимает даже слабых попыток освободиться, несмотря на тысячу имеющихся для этого возможностей</w:t>
      </w:r>
      <w:r w:rsidR="00D23F5B">
        <w:t>»</w:t>
      </w:r>
      <w:r w:rsidRPr="00E321CE">
        <w:t>. В</w:t>
      </w:r>
      <w:r w:rsidRPr="00E321CE">
        <w:rPr>
          <w:lang w:val="en-US"/>
        </w:rPr>
        <w:t> </w:t>
      </w:r>
      <w:r w:rsidRPr="00E321CE">
        <w:t>частности, она могла бы попытаться убежать или воззвать к помощи, п</w:t>
      </w:r>
      <w:r w:rsidRPr="00E321CE">
        <w:t>о</w:t>
      </w:r>
      <w:r w:rsidRPr="00E321CE">
        <w:t xml:space="preserve">скольку </w:t>
      </w:r>
      <w:r w:rsidR="00D23F5B">
        <w:t>«</w:t>
      </w:r>
      <w:r w:rsidRPr="00E321CE">
        <w:t>тот факт, что она является глухонемой, не означает, что она не в с</w:t>
      </w:r>
      <w:r w:rsidRPr="00E321CE">
        <w:t>о</w:t>
      </w:r>
      <w:r w:rsidRPr="00E321CE">
        <w:t>стоянии издавать звуки</w:t>
      </w:r>
      <w:r w:rsidR="00D23F5B">
        <w:t>»</w:t>
      </w:r>
      <w:r w:rsidRPr="00E321CE">
        <w:t xml:space="preserve">; она </w:t>
      </w:r>
      <w:r w:rsidR="00D23F5B">
        <w:t>«</w:t>
      </w:r>
      <w:r w:rsidRPr="00E321CE">
        <w:t>могла бы нанести пощечину, ударить рукой или ногой и оттолкнуть обвиняемого</w:t>
      </w:r>
      <w:r w:rsidR="00D23F5B">
        <w:t>»</w:t>
      </w:r>
      <w:r w:rsidRPr="00E321CE">
        <w:t>, когда он пытался раздеть ее, поскольку ее физическое состояние позволяло ей сопротивляться; кроме того, ее одежда не была повреждена, что говорит о том, что она не оказывала сопротивления.</w:t>
      </w:r>
    </w:p>
    <w:p w:rsidR="00E321CE" w:rsidRPr="00E321CE" w:rsidRDefault="00E321CE" w:rsidP="00E321CE">
      <w:pPr>
        <w:pStyle w:val="SingleTxt"/>
      </w:pPr>
      <w:r w:rsidRPr="00E321CE">
        <w:t>2.6</w:t>
      </w:r>
      <w:r w:rsidRPr="00E321CE">
        <w:tab/>
        <w:t>Что касается исчерпания внутренних средств правовой защиты, то автор заявляет, что вынесение оправдательного приговора преступнику означает для жертвы окончание всего процесса. В соответствии с законодательством Ф</w:t>
      </w:r>
      <w:r w:rsidRPr="00E321CE">
        <w:t>и</w:t>
      </w:r>
      <w:r w:rsidRPr="00E321CE">
        <w:t>липпин она не имеет права подавать апелляцию на вынесение оправдательного приговора в силу конституционного права на защиту от повторного привлеч</w:t>
      </w:r>
      <w:r w:rsidRPr="00E321CE">
        <w:t>е</w:t>
      </w:r>
      <w:r w:rsidRPr="00E321CE">
        <w:t>ния к ответственности, которое запрещает судить одного человека дважды за одно и то же правонарушение. Что касается наличия чрезвычайного средства правовой защиты</w:t>
      </w:r>
      <w:r w:rsidR="00D23F5B">
        <w:t xml:space="preserve"> — </w:t>
      </w:r>
      <w:r w:rsidRPr="00E321CE">
        <w:t>истребования дела судом более высокой инстанции</w:t>
      </w:r>
      <w:r w:rsidR="00D23F5B">
        <w:t xml:space="preserve"> — </w:t>
      </w:r>
      <w:r w:rsidRPr="00E321CE">
        <w:t>с</w:t>
      </w:r>
      <w:r w:rsidRPr="00E321CE">
        <w:t>о</w:t>
      </w:r>
      <w:r w:rsidRPr="00E321CE">
        <w:t>гласно правилу 65 пересмотренного регламента суда, которое может прим</w:t>
      </w:r>
      <w:r w:rsidRPr="00E321CE">
        <w:t>е</w:t>
      </w:r>
      <w:r w:rsidRPr="00E321CE">
        <w:t>няться в случаях вынесения оправдательного приговора при определенных о</w:t>
      </w:r>
      <w:r w:rsidRPr="00E321CE">
        <w:t>б</w:t>
      </w:r>
      <w:r w:rsidRPr="00E321CE">
        <w:t>стоятельствах, то автор заявляет, что ее дело не отвечает установленным тр</w:t>
      </w:r>
      <w:r w:rsidRPr="00E321CE">
        <w:t>е</w:t>
      </w:r>
      <w:r w:rsidRPr="00E321CE">
        <w:t>бованиям. Во-первых, необходимо доказать, что решение суда не может иметь силы из-за судебной ошибки или ошибки, которая может быть приравнена к отсутствию надлежащего судебного процесса. Во-вторых, этот механизм может применяться лишь от имени народа Филиппин в лице Генерального солисит</w:t>
      </w:r>
      <w:r w:rsidRPr="00E321CE">
        <w:t>о</w:t>
      </w:r>
      <w:r w:rsidRPr="00E321CE">
        <w:t>ра, а не от имени самой жертвы. В-третьих, Генеральный солиситор должен воспользоваться этим правовым механизмом в течение 60 дней с момента в</w:t>
      </w:r>
      <w:r w:rsidRPr="00E321CE">
        <w:t>ы</w:t>
      </w:r>
      <w:r w:rsidRPr="00E321CE">
        <w:t>несения оправдательного приговора, но этой возможностью он не воспольз</w:t>
      </w:r>
      <w:r w:rsidRPr="00E321CE">
        <w:t>о</w:t>
      </w:r>
      <w:r w:rsidRPr="00E321CE">
        <w:t>вался.</w:t>
      </w:r>
    </w:p>
    <w:p w:rsidR="00E321CE" w:rsidRDefault="00E321CE" w:rsidP="00E321CE">
      <w:pPr>
        <w:pStyle w:val="SingleTxt"/>
      </w:pPr>
      <w:r w:rsidRPr="00E321CE">
        <w:t>2.7</w:t>
      </w:r>
      <w:r w:rsidRPr="00E321CE">
        <w:tab/>
        <w:t>В заключение автор поясняет, что данное дело ни в прошлом, ни в наст</w:t>
      </w:r>
      <w:r w:rsidRPr="00E321CE">
        <w:t>о</w:t>
      </w:r>
      <w:r w:rsidRPr="00E321CE">
        <w:t>ящее время не рассматривалось в соответствии с какой-либо другой процед</w:t>
      </w:r>
      <w:r w:rsidRPr="00E321CE">
        <w:t>у</w:t>
      </w:r>
      <w:r w:rsidRPr="00E321CE">
        <w:t>рой международного разбирательства или урегулирования.</w:t>
      </w:r>
    </w:p>
    <w:p w:rsidR="00D23F5B" w:rsidRPr="00D23F5B" w:rsidRDefault="00D23F5B" w:rsidP="00D23F5B">
      <w:pPr>
        <w:pStyle w:val="SingleTxt"/>
        <w:spacing w:after="0" w:line="120" w:lineRule="exact"/>
        <w:rPr>
          <w:sz w:val="10"/>
        </w:rPr>
      </w:pPr>
    </w:p>
    <w:p w:rsidR="00E321CE" w:rsidRDefault="00E321CE" w:rsidP="00D23F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321CE">
        <w:tab/>
      </w:r>
      <w:r w:rsidRPr="00E321CE">
        <w:tab/>
        <w:t>Жалоба</w:t>
      </w:r>
    </w:p>
    <w:p w:rsidR="00D23F5B" w:rsidRPr="00D23F5B" w:rsidRDefault="00D23F5B" w:rsidP="00D23F5B">
      <w:pPr>
        <w:pStyle w:val="SingleTxt"/>
        <w:spacing w:after="0" w:line="120" w:lineRule="exact"/>
        <w:rPr>
          <w:sz w:val="10"/>
        </w:rPr>
      </w:pPr>
    </w:p>
    <w:p w:rsidR="00E321CE" w:rsidRPr="00E321CE" w:rsidRDefault="00E321CE" w:rsidP="00E321CE">
      <w:pPr>
        <w:pStyle w:val="SingleTxt"/>
      </w:pPr>
      <w:r w:rsidRPr="00E321CE">
        <w:t>3.1</w:t>
      </w:r>
      <w:r w:rsidRPr="00E321CE">
        <w:tab/>
        <w:t>Автор утверждает, что решение районного суда первой инстанции Пасиг-Сити является дискриминационным по смыслу статьи 1 Конвенции с учетом общих рекомендаций № 18 и № 19 Комитета</w:t>
      </w:r>
      <w:r w:rsidR="00D23F5B">
        <w:rPr>
          <w:rStyle w:val="FootnoteReference"/>
        </w:rPr>
        <w:footnoteReference w:id="6"/>
      </w:r>
      <w:r w:rsidRPr="00E321CE">
        <w:t>, поскольку в результате этого решения ей было отказано в правосудии. Во-первых, суд не смог правильно оценить представленные доказательства и надлежащим образом и с должной осмотрительностью применить закон; во-вторых, суд основывал свое решение на гендерных мифах и стереотипах и, в-третьих, он не рассматривал изнасил</w:t>
      </w:r>
      <w:r w:rsidRPr="00E321CE">
        <w:t>о</w:t>
      </w:r>
      <w:r w:rsidRPr="00E321CE">
        <w:t>вание в контексте уязвимости автора как глухонемой девушки. Автор утве</w:t>
      </w:r>
      <w:r w:rsidRPr="00E321CE">
        <w:t>р</w:t>
      </w:r>
      <w:r w:rsidRPr="00E321CE">
        <w:t>ждает, что государство-участник не предоставило ей доступа к компетентному национальному суду, который должен был бы эффективно защитить ее от ди</w:t>
      </w:r>
      <w:r w:rsidRPr="00E321CE">
        <w:t>с</w:t>
      </w:r>
      <w:r w:rsidRPr="00E321CE">
        <w:t xml:space="preserve">криминации, что является нарушением позитивных обязательств государства-участника согласно пунктам с), </w:t>
      </w:r>
      <w:r w:rsidRPr="00E321CE">
        <w:rPr>
          <w:lang w:val="en-US"/>
        </w:rPr>
        <w:t>d</w:t>
      </w:r>
      <w:r w:rsidRPr="00E321CE">
        <w:t xml:space="preserve">) и </w:t>
      </w:r>
      <w:r w:rsidRPr="00E321CE">
        <w:rPr>
          <w:lang w:val="en-US"/>
        </w:rPr>
        <w:t>f</w:t>
      </w:r>
      <w:r w:rsidRPr="00E321CE">
        <w:t>) статьи 2 Конвенции.</w:t>
      </w:r>
    </w:p>
    <w:p w:rsidR="00E321CE" w:rsidRPr="00E321CE" w:rsidRDefault="00E321CE" w:rsidP="00E321CE">
      <w:pPr>
        <w:pStyle w:val="SingleTxt"/>
      </w:pPr>
      <w:r w:rsidRPr="00E321CE">
        <w:t>3.2</w:t>
      </w:r>
      <w:r w:rsidRPr="00E321CE">
        <w:tab/>
        <w:t>Что касается оценки доказательств и применения закона, то автор утве</w:t>
      </w:r>
      <w:r w:rsidRPr="00E321CE">
        <w:t>р</w:t>
      </w:r>
      <w:r w:rsidRPr="00E321CE">
        <w:t>ждает, что суд грубо игнорировал ее неоднократные заявления о том, что она сопротивлялась, кричала и издавала звуки, когда обвиняемый напал на нее. Суд не счел доказанным, что ее движения были физически стеснены, и игнорир</w:t>
      </w:r>
      <w:r w:rsidRPr="00E321CE">
        <w:t>о</w:t>
      </w:r>
      <w:r w:rsidRPr="00E321CE">
        <w:t>вал ее объяснение в отношении того, что обвиняемый был очень силен и что на столе не было ничего такого, чем она могла бы ударить его. Суд игнорировал показание ее матери в отношении того, что она проснулась от шума, исходящ</w:t>
      </w:r>
      <w:r w:rsidRPr="00E321CE">
        <w:t>е</w:t>
      </w:r>
      <w:r w:rsidRPr="00E321CE">
        <w:t>го из помещения, в котором ее дочь подвергалась изнасилованию. Он сослался на устаревшую юриспруденцию, в частности на решение Верховного суда 1972 года, касающееся требования о применении силы или запугивания в сл</w:t>
      </w:r>
      <w:r w:rsidRPr="00E321CE">
        <w:t>у</w:t>
      </w:r>
      <w:r w:rsidRPr="00E321CE">
        <w:t xml:space="preserve">чаях изнасилования, согласно которому </w:t>
      </w:r>
      <w:r w:rsidR="00D23F5B">
        <w:t>«</w:t>
      </w:r>
      <w:r w:rsidRPr="00E321CE">
        <w:t>применение силы или запугивание должно иметь такой характер, чтобы создавать реальное ощущение опасных последствий или серьезного телесного вреда, подавляющее разум жертвы и мешающее ей оказать сопротивление</w:t>
      </w:r>
      <w:r w:rsidR="00D23F5B">
        <w:t>»</w:t>
      </w:r>
      <w:r w:rsidRPr="00E321CE">
        <w:t>. Напротив, согласно превалирующей норме, содержащейся в статье 266-</w:t>
      </w:r>
      <w:r w:rsidRPr="00E321CE">
        <w:rPr>
          <w:lang w:val="en-US"/>
        </w:rPr>
        <w:t>D</w:t>
      </w:r>
      <w:r w:rsidRPr="00E321CE">
        <w:t xml:space="preserve"> пересмотренного Уголовного кодекса (см. Закон Республики № 8353), </w:t>
      </w:r>
      <w:r w:rsidR="00D23F5B">
        <w:t>«</w:t>
      </w:r>
      <w:r w:rsidRPr="00E321CE">
        <w:t>любое явное физическое действие, демо</w:t>
      </w:r>
      <w:r w:rsidRPr="00E321CE">
        <w:t>н</w:t>
      </w:r>
      <w:r w:rsidRPr="00E321CE">
        <w:t>стрирующее сопротивление акту изнасилования в любой степени, со стороны подвергнувшейся нападению жертве или когда подвергнувшаяся нападению жертва оказывается в ситуации, в которой она не в состоянии дать действ</w:t>
      </w:r>
      <w:r w:rsidRPr="00E321CE">
        <w:t>и</w:t>
      </w:r>
      <w:r w:rsidRPr="00E321CE">
        <w:t>тельное согласие, может приниматься как доказательство</w:t>
      </w:r>
      <w:r w:rsidR="00D23F5B">
        <w:t>»</w:t>
      </w:r>
      <w:r w:rsidRPr="00E321CE">
        <w:t>. Поэтому суд до</w:t>
      </w:r>
      <w:r w:rsidRPr="00E321CE">
        <w:t>л</w:t>
      </w:r>
      <w:r w:rsidRPr="00E321CE">
        <w:t>жен был бы рассматривать ситуацию автора, являющейся несовершеннолетней глухонемой, в качестве ситуации, в которой жертва оказывается неспособной дать действительное согласие, и должен был бы принять на веру ее показания в отношении того, что она не давала согласия и противилась посягательствам обвиняемого.</w:t>
      </w:r>
    </w:p>
    <w:p w:rsidR="00E321CE" w:rsidRPr="00E321CE" w:rsidRDefault="00E321CE" w:rsidP="00E321CE">
      <w:pPr>
        <w:pStyle w:val="SingleTxt"/>
      </w:pPr>
      <w:r w:rsidRPr="00E321CE">
        <w:t>3.3</w:t>
      </w:r>
      <w:r w:rsidRPr="00E321CE">
        <w:tab/>
        <w:t>Что касается гендерных мифов и стереотипов, то автор утверждает, что ее случай является наглядным проявлением систематической дискриминации жертв сексуального насилия в судебной системе Филиппин. Она утверждает, что такие мифы и стереотипы представляют собой дискриминацию по призн</w:t>
      </w:r>
      <w:r w:rsidRPr="00E321CE">
        <w:t>а</w:t>
      </w:r>
      <w:r w:rsidRPr="00E321CE">
        <w:t>ку пола, поскольку они возлагают на женщин особое бремя доказывания в с</w:t>
      </w:r>
      <w:r w:rsidRPr="00E321CE">
        <w:t>у</w:t>
      </w:r>
      <w:r w:rsidRPr="00E321CE">
        <w:t>дебных разбирательствах по делам об изнасиловании. Доверие к жалобщику в делах об изнасиловании основывается главным образом на такой норме пов</w:t>
      </w:r>
      <w:r w:rsidRPr="00E321CE">
        <w:t>е</w:t>
      </w:r>
      <w:r w:rsidRPr="00E321CE">
        <w:t>дения, которую, как считают суды, должна продемонстрировать жертва изн</w:t>
      </w:r>
      <w:r w:rsidRPr="00E321CE">
        <w:t>а</w:t>
      </w:r>
      <w:r w:rsidRPr="00E321CE">
        <w:t>силования. Те, кто соответствует таким стереотипам, считаются заслужива</w:t>
      </w:r>
      <w:r w:rsidRPr="00E321CE">
        <w:t>ю</w:t>
      </w:r>
      <w:r w:rsidRPr="00E321CE">
        <w:t>щими доверия, а к другим относятся с подозрением и недоверием, что прив</w:t>
      </w:r>
      <w:r w:rsidRPr="00E321CE">
        <w:t>о</w:t>
      </w:r>
      <w:r w:rsidRPr="00E321CE">
        <w:t>дит к оправданию обвиняемого. Автор утверждает, что суд использовал ге</w:t>
      </w:r>
      <w:r w:rsidRPr="00E321CE">
        <w:t>н</w:t>
      </w:r>
      <w:r w:rsidRPr="00E321CE">
        <w:t xml:space="preserve">дерные стереотипы и мифы, аналогичные тем, которые фигурировали в деле </w:t>
      </w:r>
      <w:r w:rsidRPr="00E321CE">
        <w:rPr>
          <w:i/>
        </w:rPr>
        <w:t xml:space="preserve">Вертидо против Филиппин, </w:t>
      </w:r>
      <w:r w:rsidRPr="00E321CE">
        <w:t>хотя решение по ее делу было вынесено через н</w:t>
      </w:r>
      <w:r w:rsidRPr="00E321CE">
        <w:t>е</w:t>
      </w:r>
      <w:r w:rsidRPr="00E321CE">
        <w:t xml:space="preserve">сколько месяцев после принятия Комитетом своего мнения по делу </w:t>
      </w:r>
      <w:r w:rsidRPr="00E321CE">
        <w:rPr>
          <w:i/>
        </w:rPr>
        <w:t>Вертидо</w:t>
      </w:r>
      <w:r w:rsidR="00D23F5B" w:rsidRPr="00D23F5B">
        <w:rPr>
          <w:rStyle w:val="FootnoteReference"/>
        </w:rPr>
        <w:footnoteReference w:id="7"/>
      </w:r>
      <w:r w:rsidRPr="00E321CE">
        <w:t>.</w:t>
      </w:r>
    </w:p>
    <w:p w:rsidR="00E321CE" w:rsidRPr="00E321CE" w:rsidRDefault="00E321CE" w:rsidP="00E321CE">
      <w:pPr>
        <w:pStyle w:val="SingleTxt"/>
      </w:pPr>
      <w:r w:rsidRPr="00E321CE">
        <w:t>3.4</w:t>
      </w:r>
      <w:r w:rsidRPr="00E321CE">
        <w:tab/>
        <w:t xml:space="preserve">Автор утверждает, что в ее случае суд руководствовался следующими гендерными мифами и стереотипами. Первый миф и стереотип состоит в том, что жертва должна использовать все вообразимые средства, чтобы избежать посягательств насильника или оказать ему сопротивление, и тот факт, что она оказывала сопротивление, должен быть подтвержден, например, порванной одеждой. Автор утверждает, что решение суда является дискриминационным, поскольку оно требует, чтобы жертва продемонстрировала </w:t>
      </w:r>
      <w:r w:rsidR="00D23F5B">
        <w:t>«</w:t>
      </w:r>
      <w:r w:rsidRPr="00E321CE">
        <w:t>разумную норму поведения человека</w:t>
      </w:r>
      <w:r w:rsidR="00D23F5B">
        <w:t>»</w:t>
      </w:r>
      <w:r w:rsidRPr="00E321CE">
        <w:t xml:space="preserve"> в случае изнасилования и поскольку в нем игнорируются самые различные виды поведения, демонстрируемого жертвами, подвергшим</w:t>
      </w:r>
      <w:r w:rsidRPr="00E321CE">
        <w:t>и</w:t>
      </w:r>
      <w:r w:rsidRPr="00E321CE">
        <w:t>ся угрозе изнасилования, особенно женщинами-инвалидами. Кроме того, поиск доказательств сопротивления в виде порванной одежды исключает возмо</w:t>
      </w:r>
      <w:r w:rsidRPr="00E321CE">
        <w:t>ж</w:t>
      </w:r>
      <w:r w:rsidRPr="00E321CE">
        <w:t>ность защиты жертв, которые подвергаются принуждению без применения ф</w:t>
      </w:r>
      <w:r w:rsidRPr="00E321CE">
        <w:t>и</w:t>
      </w:r>
      <w:r w:rsidRPr="00E321CE">
        <w:t>зической силы, используемому преступниками для того, чтобы подчинить себе жертву.</w:t>
      </w:r>
    </w:p>
    <w:p w:rsidR="00E321CE" w:rsidRPr="00E321CE" w:rsidRDefault="00E321CE" w:rsidP="00E321CE">
      <w:pPr>
        <w:pStyle w:val="SingleTxt"/>
      </w:pPr>
      <w:r w:rsidRPr="00E321CE">
        <w:t>3.5</w:t>
      </w:r>
      <w:r w:rsidRPr="00E321CE">
        <w:tab/>
        <w:t>Второй миф и стереотип состоит в том, что только применение физич</w:t>
      </w:r>
      <w:r w:rsidRPr="00E321CE">
        <w:t>е</w:t>
      </w:r>
      <w:r w:rsidRPr="00E321CE">
        <w:t>ской силы или смертоносного оружия может указывать на то, что жертва не д</w:t>
      </w:r>
      <w:r w:rsidRPr="00E321CE">
        <w:t>а</w:t>
      </w:r>
      <w:r w:rsidRPr="00E321CE">
        <w:t>вала своего согласия на посягательства преступника. Автор утверждает, что суд не принял во внимание другие свидетельства отсутствия согласия. Решение с</w:t>
      </w:r>
      <w:r w:rsidRPr="00E321CE">
        <w:t>у</w:t>
      </w:r>
      <w:r w:rsidRPr="00E321CE">
        <w:t>да является дискриминационным в отношении жертв, которые принуждаются с помощью угрозы или запугивания без применения физической силы или кот</w:t>
      </w:r>
      <w:r w:rsidRPr="00E321CE">
        <w:t>о</w:t>
      </w:r>
      <w:r w:rsidRPr="00E321CE">
        <w:t>рые, как автор, оказываются в ситуациях, подобных вышеизложенной.</w:t>
      </w:r>
    </w:p>
    <w:p w:rsidR="00E321CE" w:rsidRPr="00E321CE" w:rsidRDefault="00E321CE" w:rsidP="00E321CE">
      <w:pPr>
        <w:pStyle w:val="SingleTxt"/>
      </w:pPr>
      <w:r w:rsidRPr="00E321CE">
        <w:t>3.6</w:t>
      </w:r>
      <w:r w:rsidRPr="00E321CE">
        <w:tab/>
        <w:t>Третий миф и стереотип состоит в том, что филиппинская жертва изнас</w:t>
      </w:r>
      <w:r w:rsidRPr="00E321CE">
        <w:t>и</w:t>
      </w:r>
      <w:r w:rsidRPr="00E321CE">
        <w:t xml:space="preserve">лования </w:t>
      </w:r>
      <w:r w:rsidR="00D23F5B">
        <w:t>«</w:t>
      </w:r>
      <w:r w:rsidRPr="00E321CE">
        <w:t>должна употребить все свои силы и свое мужество, чтобы пресечь любую попытку очернить ее честь и запятнать ее непорочность</w:t>
      </w:r>
      <w:r w:rsidR="00D23F5B">
        <w:t>»</w:t>
      </w:r>
      <w:r w:rsidRPr="00E321CE">
        <w:t>. Автор утве</w:t>
      </w:r>
      <w:r w:rsidRPr="00E321CE">
        <w:t>р</w:t>
      </w:r>
      <w:r w:rsidRPr="00E321CE">
        <w:t>ждает, что в результате ожидается, что жертва должна активно сопротивляться, чтобы продемонстрировать свое несогласие, например, давая пощечины, нан</w:t>
      </w:r>
      <w:r w:rsidRPr="00E321CE">
        <w:t>о</w:t>
      </w:r>
      <w:r w:rsidRPr="00E321CE">
        <w:t>ся удары руками и ногами или отталкивая нападающего. По мнению суда, а</w:t>
      </w:r>
      <w:r w:rsidRPr="00E321CE">
        <w:t>в</w:t>
      </w:r>
      <w:r w:rsidRPr="00E321CE">
        <w:t>тор не сделала этого, и поэтому суд счел, что ее утверждение об изнасиловании не заслуживает доверия. По мнению автора, согласно такой логике жертвы, к</w:t>
      </w:r>
      <w:r w:rsidRPr="00E321CE">
        <w:t>о</w:t>
      </w:r>
      <w:r w:rsidRPr="00E321CE">
        <w:t>торые не отвечают данному стереотипу, лишаются правовой защиты и жертва осуждается за то, что недостаточно противилась или не использовала всех средств, чтобы избежать изнасилования.</w:t>
      </w:r>
    </w:p>
    <w:p w:rsidR="00E321CE" w:rsidRPr="00E321CE" w:rsidRDefault="00E321CE" w:rsidP="00E321CE">
      <w:pPr>
        <w:pStyle w:val="SingleTxt"/>
      </w:pPr>
      <w:r w:rsidRPr="00E321CE">
        <w:t>3.7</w:t>
      </w:r>
      <w:r w:rsidRPr="00E321CE">
        <w:tab/>
        <w:t>Кроме того, автор утверждает, что почти через 30 лет после ратификации Филиппинами Конвенции и после того, как Комитет обнаружил нарушения п</w:t>
      </w:r>
      <w:r w:rsidRPr="00E321CE">
        <w:t>о</w:t>
      </w:r>
      <w:r w:rsidRPr="00E321CE">
        <w:t>ложений этой Конвенции и вынес рекомендации по устранению этих наруш</w:t>
      </w:r>
      <w:r w:rsidRPr="00E321CE">
        <w:t>е</w:t>
      </w:r>
      <w:r w:rsidRPr="00E321CE">
        <w:t>ний, используемые в юриспруденции дискриминационные посылки, мифы и стереотипы продолжают ставить жертв изнасилований в невыгодное в прав</w:t>
      </w:r>
      <w:r w:rsidRPr="00E321CE">
        <w:t>о</w:t>
      </w:r>
      <w:r w:rsidRPr="00E321CE">
        <w:t>вом отношении положение и значительно уменьшают, а то и сводят на нет, их шансы на получение возмещения за причиненный ущерб. С учетом вышеизл</w:t>
      </w:r>
      <w:r w:rsidRPr="00E321CE">
        <w:t>о</w:t>
      </w:r>
      <w:r w:rsidRPr="00E321CE">
        <w:t xml:space="preserve">женного и со ссылкой на дело </w:t>
      </w:r>
      <w:r w:rsidRPr="00E321CE">
        <w:rPr>
          <w:i/>
        </w:rPr>
        <w:t xml:space="preserve">Вертидо </w:t>
      </w:r>
      <w:r w:rsidRPr="00E321CE">
        <w:t>автор утверждает, что в результате и</w:t>
      </w:r>
      <w:r w:rsidRPr="00E321CE">
        <w:t>с</w:t>
      </w:r>
      <w:r w:rsidRPr="00E321CE">
        <w:t>пользования судом гендерных мифов и стереотипов она была лишена права на рассмотрение ее дела в компетентном суде, что представляет собой дискрим</w:t>
      </w:r>
      <w:r w:rsidRPr="00E321CE">
        <w:t>и</w:t>
      </w:r>
      <w:r w:rsidRPr="00E321CE">
        <w:t>нацию по смыслу статьи 1 Конвенции с учетом общих рекомендаций № 18 и № 19.</w:t>
      </w:r>
    </w:p>
    <w:p w:rsidR="00E321CE" w:rsidRPr="00E321CE" w:rsidRDefault="00E321CE" w:rsidP="00E321CE">
      <w:pPr>
        <w:pStyle w:val="SingleTxt"/>
      </w:pPr>
      <w:r w:rsidRPr="00E321CE">
        <w:t>3.8</w:t>
      </w:r>
      <w:r w:rsidRPr="00E321CE">
        <w:tab/>
        <w:t>Автор утверждает, что государство-участник пренебрегло ее правами, в</w:t>
      </w:r>
      <w:r w:rsidRPr="00E321CE">
        <w:t>ы</w:t>
      </w:r>
      <w:r w:rsidRPr="00E321CE">
        <w:t>текающими из ее инвалидности и пола, и поэтому нарушило свои правовые обязательства по Конвенции о ликвидации всех форм дискриминации в отн</w:t>
      </w:r>
      <w:r w:rsidRPr="00E321CE">
        <w:t>о</w:t>
      </w:r>
      <w:r w:rsidRPr="00E321CE">
        <w:t>шении женщин и Конвенции о правах инвалидов</w:t>
      </w:r>
      <w:r w:rsidR="00D23F5B">
        <w:rPr>
          <w:rStyle w:val="FootnoteReference"/>
        </w:rPr>
        <w:footnoteReference w:id="8"/>
      </w:r>
      <w:r w:rsidRPr="00E321CE">
        <w:t>. Во-первых, суд не только вынес решение вопреки интересам автора с использованием гендерных стере</w:t>
      </w:r>
      <w:r w:rsidRPr="00E321CE">
        <w:t>о</w:t>
      </w:r>
      <w:r w:rsidRPr="00E321CE">
        <w:t>типов и мифов, но и мотивировал это решение, продемонстрировав явное предубеждение против нее как несовершеннолетней глухой потерпевшей. Суд рассматривал автора как не заслуживающего доверия свидетеля и на основании этого оправдал обвиняемого, несмотря на тот факт, что в представленных ею доказательствах не было ничего, что могло бы опровергнуть ее показания, если не считать огульного отрицания своей вины обвиняемым и женоненавистнич</w:t>
      </w:r>
      <w:r w:rsidRPr="00E321CE">
        <w:t>е</w:t>
      </w:r>
      <w:r w:rsidRPr="00E321CE">
        <w:t>ских представлений суда о том, как обычная филиппинка, без учета того, что она может быть несовершеннолетней глухонемой, должна вести себя в подо</w:t>
      </w:r>
      <w:r w:rsidRPr="00E321CE">
        <w:t>б</w:t>
      </w:r>
      <w:r w:rsidRPr="00E321CE">
        <w:t>ных обстоятельствах. По утверждению автора, вышеизложенное свидетел</w:t>
      </w:r>
      <w:r w:rsidRPr="00E321CE">
        <w:t>ь</w:t>
      </w:r>
      <w:r w:rsidRPr="00E321CE">
        <w:t>ствует о вопиющем пренебрежении положением глухонемых женщин и девочек и является доказательством того, что Филиппины как государство-участник Конвенции о правах инвалидов не выполняет своего обязательства, касающ</w:t>
      </w:r>
      <w:r w:rsidRPr="00E321CE">
        <w:t>е</w:t>
      </w:r>
      <w:r w:rsidRPr="00E321CE">
        <w:t>гося надлежащего обучения лиц, работающих в сфере отправления правосудия, с тем чтобы содействовать обеспечению инвалидам эффективного доступа к правосудию</w:t>
      </w:r>
      <w:r w:rsidR="00D23F5B">
        <w:rPr>
          <w:rStyle w:val="FootnoteReference"/>
        </w:rPr>
        <w:footnoteReference w:id="9"/>
      </w:r>
      <w:r w:rsidRPr="00E321CE">
        <w:t>. Автор утверждает также, что глухие женщины, особенно дево</w:t>
      </w:r>
      <w:r w:rsidRPr="00E321CE">
        <w:t>ч</w:t>
      </w:r>
      <w:r w:rsidRPr="00E321CE">
        <w:t>ки, оказываются в сложном положении в филиппинском обществе, поскольку они ущемлены в своих правах по сравнению как с мужчинами (мужчинами-инвалидами или мужчинами, не имеющими инвалидности, включая глухоту), так и женщинами (женщинами, не имеющими инвалидности или женщинами с иной инвалидностью, нежели глухота). Кроме того, глухие женщины и дево</w:t>
      </w:r>
      <w:r w:rsidRPr="00E321CE">
        <w:t>ч</w:t>
      </w:r>
      <w:r w:rsidRPr="00E321CE">
        <w:t>ки, которые являются жертвами сексуального насилия, зачастую страдают от нищеты и невозможности получить формальное образование. Суд проигнор</w:t>
      </w:r>
      <w:r w:rsidRPr="00E321CE">
        <w:t>и</w:t>
      </w:r>
      <w:r w:rsidRPr="00E321CE">
        <w:t xml:space="preserve">ровал ту реальность, признаваемую государствами-участниками Конвенции о правах инвалидов, что </w:t>
      </w:r>
      <w:r w:rsidR="00D23F5B">
        <w:t>«</w:t>
      </w:r>
      <w:r w:rsidRPr="00E321CE">
        <w:t>женщины-инвалиды и девочки-инвалиды как дома, так и вне его нередко подвергаются большему риску насилия, травмирования и надругательства, небрежного или пренебрежительного отношения, плохого о</w:t>
      </w:r>
      <w:r w:rsidRPr="00E321CE">
        <w:t>б</w:t>
      </w:r>
      <w:r w:rsidRPr="00E321CE">
        <w:t>ращения или эксплуатации</w:t>
      </w:r>
      <w:r w:rsidR="00D23F5B">
        <w:t>»</w:t>
      </w:r>
      <w:r w:rsidR="00D23F5B">
        <w:rPr>
          <w:rStyle w:val="FootnoteReference"/>
        </w:rPr>
        <w:footnoteReference w:id="10"/>
      </w:r>
      <w:r w:rsidRPr="00E321CE">
        <w:t xml:space="preserve"> и что они </w:t>
      </w:r>
      <w:r w:rsidR="00D23F5B">
        <w:t>«</w:t>
      </w:r>
      <w:r w:rsidRPr="00E321CE">
        <w:t>подвергаются множественной ди</w:t>
      </w:r>
      <w:r w:rsidRPr="00E321CE">
        <w:t>с</w:t>
      </w:r>
      <w:r w:rsidRPr="00E321CE">
        <w:t>криминации</w:t>
      </w:r>
      <w:r w:rsidR="00D23F5B">
        <w:t>»</w:t>
      </w:r>
      <w:r w:rsidR="00D23F5B">
        <w:rPr>
          <w:rStyle w:val="FootnoteReference"/>
        </w:rPr>
        <w:footnoteReference w:id="11"/>
      </w:r>
      <w:r w:rsidRPr="00E321CE">
        <w:t xml:space="preserve">. В частности, заявив, что </w:t>
      </w:r>
      <w:r w:rsidR="00D23F5B">
        <w:t>«</w:t>
      </w:r>
      <w:r w:rsidRPr="00E321CE">
        <w:t>будучи глухонемой, она не лишена способности издавать звуки [или…] сопротивляться нападению</w:t>
      </w:r>
      <w:r w:rsidR="00D23F5B">
        <w:t>»</w:t>
      </w:r>
      <w:r w:rsidRPr="00E321CE">
        <w:t>, суд не тол</w:t>
      </w:r>
      <w:r w:rsidRPr="00E321CE">
        <w:t>ь</w:t>
      </w:r>
      <w:r w:rsidRPr="00E321CE">
        <w:t>ко игнорировал заявление автора о том, что она производила шум и возражала против домогательств сексуального характера, но и продемонстрировал ди</w:t>
      </w:r>
      <w:r w:rsidRPr="00E321CE">
        <w:t>с</w:t>
      </w:r>
      <w:r w:rsidRPr="00E321CE">
        <w:t>криминационные ожидания в отношении того, что несовершеннолетняя глухая девушка должна повести себя стандартным образом в подобной ситуации. А</w:t>
      </w:r>
      <w:r w:rsidRPr="00E321CE">
        <w:t>в</w:t>
      </w:r>
      <w:r w:rsidRPr="00E321CE">
        <w:t xml:space="preserve">тор утверждает, что это заявление суда превращает в банальность ее особенно сложную ситуацию и лишает ее права на обеспечение </w:t>
      </w:r>
      <w:r w:rsidR="00D23F5B">
        <w:t>«</w:t>
      </w:r>
      <w:r w:rsidRPr="00E321CE">
        <w:t>разумного приспосо</w:t>
      </w:r>
      <w:r w:rsidRPr="00E321CE">
        <w:t>б</w:t>
      </w:r>
      <w:r w:rsidRPr="00E321CE">
        <w:t>ления</w:t>
      </w:r>
      <w:r w:rsidR="00D23F5B">
        <w:t>»</w:t>
      </w:r>
      <w:r w:rsidR="00D23F5B">
        <w:rPr>
          <w:rStyle w:val="FootnoteReference"/>
        </w:rPr>
        <w:footnoteReference w:id="12"/>
      </w:r>
      <w:r w:rsidRPr="00E321CE">
        <w:t xml:space="preserve"> в том смысле, что распространяет на нее те же нормы, что и на л</w:t>
      </w:r>
      <w:r w:rsidRPr="00E321CE">
        <w:t>ю</w:t>
      </w:r>
      <w:r w:rsidRPr="00E321CE">
        <w:t>дей, способных слышать. Эти нормы, применяемые в случаях сексуального насилия, представляют собой гендерные стереотипы и проявление дискрим</w:t>
      </w:r>
      <w:r w:rsidRPr="00E321CE">
        <w:t>и</w:t>
      </w:r>
      <w:r w:rsidRPr="00E321CE">
        <w:t>нации в отношении женщин.</w:t>
      </w:r>
    </w:p>
    <w:p w:rsidR="00E321CE" w:rsidRPr="00E321CE" w:rsidRDefault="00E321CE" w:rsidP="00E321CE">
      <w:pPr>
        <w:pStyle w:val="SingleTxt"/>
      </w:pPr>
      <w:r w:rsidRPr="00E321CE">
        <w:t>3.9</w:t>
      </w:r>
      <w:r w:rsidRPr="00E321CE">
        <w:tab/>
        <w:t>Автор утверждает, что дискриминацию представляют собой и другие с</w:t>
      </w:r>
      <w:r w:rsidRPr="00E321CE">
        <w:t>е</w:t>
      </w:r>
      <w:r w:rsidRPr="00E321CE">
        <w:t>рьезные несоответствия и нарушения, допущенные при полицейском расслед</w:t>
      </w:r>
      <w:r w:rsidRPr="00E321CE">
        <w:t>о</w:t>
      </w:r>
      <w:r w:rsidRPr="00E321CE">
        <w:t>вании. Во-первых, во время полицейского расследования и в ходе ряда слуш</w:t>
      </w:r>
      <w:r w:rsidRPr="00E321CE">
        <w:t>а</w:t>
      </w:r>
      <w:r w:rsidRPr="00E321CE">
        <w:t>ний в суде, в том числе во время вынесения приговора, для нее не был обесп</w:t>
      </w:r>
      <w:r w:rsidRPr="00E321CE">
        <w:t>е</w:t>
      </w:r>
      <w:r w:rsidRPr="00E321CE">
        <w:t>чен перевод на жестовый язык, что является нарушением раздела 1 статьи </w:t>
      </w:r>
      <w:r w:rsidRPr="00E321CE">
        <w:rPr>
          <w:lang w:val="en-US"/>
        </w:rPr>
        <w:t>III</w:t>
      </w:r>
      <w:r w:rsidRPr="00E321CE">
        <w:t xml:space="preserve"> Конституции Филиппин 1987 года</w:t>
      </w:r>
      <w:r w:rsidR="00D23F5B">
        <w:rPr>
          <w:rStyle w:val="FootnoteReference"/>
        </w:rPr>
        <w:footnoteReference w:id="13"/>
      </w:r>
      <w:r w:rsidRPr="00E321CE">
        <w:t xml:space="preserve"> и пункта b) статьи 21 Конвенции о пр</w:t>
      </w:r>
      <w:r w:rsidRPr="00E321CE">
        <w:t>а</w:t>
      </w:r>
      <w:r w:rsidRPr="00E321CE">
        <w:t>вах инвалидов</w:t>
      </w:r>
      <w:r w:rsidR="00D23F5B">
        <w:rPr>
          <w:rStyle w:val="FootnoteReference"/>
        </w:rPr>
        <w:footnoteReference w:id="14"/>
      </w:r>
      <w:r w:rsidRPr="00E321CE">
        <w:t>. Так, глухой релейный переводчик или/и слышащий переводчик присутствовали только в ходе слушаний, проводившихся 19 августа 2008 года и 1 апреля 2009 года. Автор утверждает, что суд официально не пр</w:t>
      </w:r>
      <w:r w:rsidRPr="00E321CE">
        <w:t>и</w:t>
      </w:r>
      <w:r w:rsidRPr="00E321CE">
        <w:t>влекал и не вызывал переводчиков для обслуживания своих заседаний. Переводчик пр</w:t>
      </w:r>
      <w:r w:rsidRPr="00E321CE">
        <w:t>и</w:t>
      </w:r>
      <w:r w:rsidRPr="00E321CE">
        <w:t>сутствовала на слушании только в том случае, если ее вызывала семья автора или она узнавала в суде о времени проведения следующего слушания. Пер</w:t>
      </w:r>
      <w:r w:rsidRPr="00E321CE">
        <w:t>е</w:t>
      </w:r>
      <w:r w:rsidRPr="00E321CE">
        <w:t>водчик не присутствовала на слушании, когда выносился оправдательный пр</w:t>
      </w:r>
      <w:r w:rsidRPr="00E321CE">
        <w:t>и</w:t>
      </w:r>
      <w:r w:rsidRPr="00E321CE">
        <w:t>говор, поскольку она узнала об этом, только получив запоздалое уведомление от семьи автора. Автор утверждает также, что, когда она давала показания, весь процесс общения между нею и переводчиками не был отражен в стен</w:t>
      </w:r>
      <w:r w:rsidRPr="00E321CE">
        <w:t>о</w:t>
      </w:r>
      <w:r w:rsidRPr="00E321CE">
        <w:t>грамме, и суд не принял никаких мер для обеспечения точной стенографич</w:t>
      </w:r>
      <w:r w:rsidRPr="00E321CE">
        <w:t>е</w:t>
      </w:r>
      <w:r w:rsidRPr="00E321CE">
        <w:t>ской записи. Кроме того, стенограмма суда была заверена только судебным стенографом и не была подписана официальным переводчиком для гл</w:t>
      </w:r>
      <w:r w:rsidRPr="00E321CE">
        <w:t>у</w:t>
      </w:r>
      <w:r w:rsidRPr="00E321CE">
        <w:t>хих.</w:t>
      </w:r>
    </w:p>
    <w:p w:rsidR="00E321CE" w:rsidRPr="00E321CE" w:rsidRDefault="00E321CE" w:rsidP="00E321CE">
      <w:pPr>
        <w:pStyle w:val="SingleTxt"/>
      </w:pPr>
      <w:r w:rsidRPr="00E321CE">
        <w:t>3.10</w:t>
      </w:r>
      <w:r w:rsidRPr="00E321CE">
        <w:tab/>
        <w:t>Во-вторых, власти государства-участника не обеспечили психосоциал</w:t>
      </w:r>
      <w:r w:rsidRPr="00E321CE">
        <w:t>ь</w:t>
      </w:r>
      <w:r w:rsidRPr="00E321CE">
        <w:t>ной поддержки потерпевшей, в частности консультирования или лечения, и принятия мер по предоставлению защиты автору как потерпевшей, которые имеют огромное значение для ее лечения и восстановления, что является</w:t>
      </w:r>
      <w:r w:rsidR="00D23F5B">
        <w:t xml:space="preserve"> </w:t>
      </w:r>
      <w:r w:rsidRPr="00E321CE">
        <w:t>нарушением статьи 16 Конвенции о правах инвалидов</w:t>
      </w:r>
      <w:r w:rsidR="00D23F5B">
        <w:rPr>
          <w:rStyle w:val="FootnoteReference"/>
        </w:rPr>
        <w:footnoteReference w:id="15"/>
      </w:r>
      <w:r w:rsidRPr="00E321CE">
        <w:t xml:space="preserve"> и национального пр</w:t>
      </w:r>
      <w:r w:rsidRPr="00E321CE">
        <w:t>а</w:t>
      </w:r>
      <w:r w:rsidRPr="00E321CE">
        <w:t>ва</w:t>
      </w:r>
      <w:r w:rsidR="00D23F5B">
        <w:rPr>
          <w:rStyle w:val="FootnoteReference"/>
        </w:rPr>
        <w:footnoteReference w:id="16"/>
      </w:r>
      <w:r w:rsidRPr="00E321CE">
        <w:t>.</w:t>
      </w:r>
    </w:p>
    <w:p w:rsidR="00E321CE" w:rsidRPr="00E321CE" w:rsidRDefault="00E321CE" w:rsidP="00E321CE">
      <w:pPr>
        <w:pStyle w:val="SingleTxt"/>
      </w:pPr>
      <w:r w:rsidRPr="00E321CE">
        <w:t>3.11</w:t>
      </w:r>
      <w:r w:rsidRPr="00E321CE">
        <w:tab/>
        <w:t>В-третьих, автор утверждает, что суд отнесся к ней крайне безучастно как к инвалиду по слуху. Так, суд рассматривал ее дело последним из числа нам</w:t>
      </w:r>
      <w:r w:rsidRPr="00E321CE">
        <w:t>е</w:t>
      </w:r>
      <w:r w:rsidRPr="00E321CE">
        <w:t>ченных на конкретный день, в результате чего она была вынуждена ожидать в течение длительного времени в присутствии обвиняемого. Из-за этого остав</w:t>
      </w:r>
      <w:r w:rsidRPr="00E321CE">
        <w:t>а</w:t>
      </w:r>
      <w:r w:rsidRPr="00E321CE">
        <w:t>лось очень мало времени для слушаний, которые часто переносились. Это в значительной степени задерживало разбирательство, которое заняло более пяти лет, несмотря на тот факт, что суд заслушивал лишь автора, ее мать и обвиня</w:t>
      </w:r>
      <w:r w:rsidRPr="00E321CE">
        <w:t>е</w:t>
      </w:r>
      <w:r w:rsidRPr="00E321CE">
        <w:t>мого</w:t>
      </w:r>
      <w:r w:rsidR="00D23F5B">
        <w:rPr>
          <w:rStyle w:val="FootnoteReference"/>
        </w:rPr>
        <w:footnoteReference w:id="17"/>
      </w:r>
      <w:r w:rsidRPr="00E321CE">
        <w:t>.</w:t>
      </w:r>
    </w:p>
    <w:p w:rsidR="00E321CE" w:rsidRPr="00E321CE" w:rsidRDefault="00E321CE" w:rsidP="00E321CE">
      <w:pPr>
        <w:pStyle w:val="SingleTxt"/>
      </w:pPr>
      <w:r w:rsidRPr="00E321CE">
        <w:t>3.12</w:t>
      </w:r>
      <w:r w:rsidRPr="00E321CE">
        <w:tab/>
        <w:t>Автор утверждает далее, что вышеупомянутые нарушения ее прав имели для нее негативные последствия. В частности, она не получала никаких услуг по консультированию или поддержке со стороны властей после изнасилования и в течение пяти лет судебных разбирательств, несмотря на утверждение вл</w:t>
      </w:r>
      <w:r w:rsidRPr="00E321CE">
        <w:t>а</w:t>
      </w:r>
      <w:r w:rsidRPr="00E321CE">
        <w:t>стей о том, что такие услуги предусмотрены в соответствии с Законом 1998 года о помощи жертвам изнасилования и их защите. Из-за отсутствия психологической поддержки ей трудно справляться с тем, что ей пришлось п</w:t>
      </w:r>
      <w:r w:rsidRPr="00E321CE">
        <w:t>е</w:t>
      </w:r>
      <w:r w:rsidRPr="00E321CE">
        <w:t>режить в качестве жертвы, учитывая ее молодость и социально-экономическое положение. В частности, когда она была изнасилована, она перестала ходить в свою школу и при содействии своей сестры была переведена в среднюю школу в районе Кирино, расположенную далеко от места жительства ее родителей. Автор стала нарушать дисциплину в школе и несколько раз была наказана. О</w:t>
      </w:r>
      <w:r w:rsidRPr="00E321CE">
        <w:t>д</w:t>
      </w:r>
      <w:r w:rsidRPr="00E321CE">
        <w:t xml:space="preserve">на из учительниц школы назвала поведение автора </w:t>
      </w:r>
      <w:r w:rsidR="00D23F5B">
        <w:t>«</w:t>
      </w:r>
      <w:r w:rsidRPr="00E321CE">
        <w:t>вызывающим беспоко</w:t>
      </w:r>
      <w:r w:rsidRPr="00E321CE">
        <w:t>й</w:t>
      </w:r>
      <w:r w:rsidRPr="00E321CE">
        <w:t>ство</w:t>
      </w:r>
      <w:r w:rsidR="00D23F5B">
        <w:t>»</w:t>
      </w:r>
      <w:r w:rsidRPr="00E321CE">
        <w:t xml:space="preserve"> и объясняла это следствием сексуального надругательства; по ее мн</w:t>
      </w:r>
      <w:r w:rsidRPr="00E321CE">
        <w:t>е</w:t>
      </w:r>
      <w:r w:rsidRPr="00E321CE">
        <w:t>нию, трудности с поведением автора, ее неповиновение и ее превращение из тихой, уравновешенной ученицы в нарушителя дисциплины объясняются де</w:t>
      </w:r>
      <w:r w:rsidRPr="00E321CE">
        <w:t>й</w:t>
      </w:r>
      <w:r w:rsidRPr="00E321CE">
        <w:t>ствием механизма психологической адаптации к травме, причиненной изнас</w:t>
      </w:r>
      <w:r w:rsidRPr="00E321CE">
        <w:t>и</w:t>
      </w:r>
      <w:r w:rsidRPr="00E321CE">
        <w:t>лованием. Автор утверждает, что консультации, организованные для нее в школе после изнасилования, были неадекватными, поскольку они предназнач</w:t>
      </w:r>
      <w:r w:rsidRPr="00E321CE">
        <w:t>а</w:t>
      </w:r>
      <w:r w:rsidRPr="00E321CE">
        <w:t>лись для большинства слышащих учеников. Кроме того, автор испытывает ежедневное унижение, видя по соседству своего насильника; она страдает от того, что я</w:t>
      </w:r>
      <w:r w:rsidRPr="00E321CE">
        <w:t>в</w:t>
      </w:r>
      <w:r w:rsidRPr="00E321CE">
        <w:t>ляется объектом насмешек и сплетен. Ее семья, и особенно ее мать, восприн</w:t>
      </w:r>
      <w:r w:rsidRPr="00E321CE">
        <w:t>я</w:t>
      </w:r>
      <w:r w:rsidRPr="00E321CE">
        <w:t>ла оправдательный приговор очень болезненно.</w:t>
      </w:r>
    </w:p>
    <w:p w:rsidR="00E321CE" w:rsidRPr="00E321CE" w:rsidRDefault="00E321CE" w:rsidP="00E321CE">
      <w:pPr>
        <w:pStyle w:val="SingleTxt"/>
      </w:pPr>
      <w:r w:rsidRPr="00E321CE">
        <w:t>3.13</w:t>
      </w:r>
      <w:r w:rsidRPr="00E321CE">
        <w:tab/>
        <w:t>Автор утверждает, что ее случай не является изолированным, а предста</w:t>
      </w:r>
      <w:r w:rsidRPr="00E321CE">
        <w:t>в</w:t>
      </w:r>
      <w:r w:rsidRPr="00E321CE">
        <w:t>ляет собой характерный пример систематической дискриминации. Согласно неопубликованным данным Филиппинского центра помощи глухонемым за 2011 год, 1 из 3 глухих женщин подвергается изнасилованию, а 65</w:t>
      </w:r>
      <w:r w:rsidR="00D23F5B">
        <w:t>–</w:t>
      </w:r>
      <w:r w:rsidRPr="00E321CE">
        <w:t>70</w:t>
      </w:r>
      <w:r w:rsidR="00D23F5B">
        <w:t> про</w:t>
      </w:r>
      <w:r w:rsidR="00D23F5B">
        <w:softHyphen/>
        <w:t>центов</w:t>
      </w:r>
      <w:r w:rsidRPr="00E321CE">
        <w:t xml:space="preserve"> глухих детей страдают от хулиганских выходок. Многие случаи такого рода расследуются на протяжении длительного времени и остаются без п</w:t>
      </w:r>
      <w:r w:rsidRPr="00E321CE">
        <w:t>о</w:t>
      </w:r>
      <w:r w:rsidRPr="00E321CE">
        <w:t>следствий или завершаются финансовым урегулированием. Автор утвержд</w:t>
      </w:r>
      <w:r w:rsidRPr="00E321CE">
        <w:t>а</w:t>
      </w:r>
      <w:r w:rsidRPr="00E321CE">
        <w:t>ет, что на Филиппинах отсутствует всеобъемлющая стратегия содействия раве</w:t>
      </w:r>
      <w:r w:rsidRPr="00E321CE">
        <w:t>н</w:t>
      </w:r>
      <w:r w:rsidRPr="00E321CE">
        <w:t>ству и д</w:t>
      </w:r>
      <w:r w:rsidRPr="00E321CE">
        <w:t>о</w:t>
      </w:r>
      <w:r w:rsidRPr="00E321CE">
        <w:t>ступности системы отправления правосудия для глухих, особенно для женщин и девочек. Кроме того, отсутствуют какие-либо нормы или проц</w:t>
      </w:r>
      <w:r w:rsidRPr="00E321CE">
        <w:t>е</w:t>
      </w:r>
      <w:r w:rsidRPr="00E321CE">
        <w:t>дуры, касающиеся сурдоперевода, особенно перевода на судебных разбир</w:t>
      </w:r>
      <w:r w:rsidRPr="00E321CE">
        <w:t>а</w:t>
      </w:r>
      <w:r w:rsidRPr="00E321CE">
        <w:t>тельствах для глухих истцов. Автор утверждает, что отсутствие таких норм и процедур является дискриминационным и опасным, поскольку глухие пользователи, вл</w:t>
      </w:r>
      <w:r w:rsidRPr="00E321CE">
        <w:t>а</w:t>
      </w:r>
      <w:r w:rsidRPr="00E321CE">
        <w:t>деющие жестовым языком, и слышащие лица, не пользующиеся языком ж</w:t>
      </w:r>
      <w:r w:rsidRPr="00E321CE">
        <w:t>е</w:t>
      </w:r>
      <w:r w:rsidRPr="00E321CE">
        <w:t>стов, не могут с уверенностью сказать, являются ли те или иные знаки или слова переводчика точными и объективными. Она утверждает, что с</w:t>
      </w:r>
      <w:r w:rsidRPr="00E321CE">
        <w:t>у</w:t>
      </w:r>
      <w:r w:rsidRPr="00E321CE">
        <w:t>ществует только два документа, касающихся случаев участия в судебном процессе гл</w:t>
      </w:r>
      <w:r w:rsidRPr="00E321CE">
        <w:t>у</w:t>
      </w:r>
      <w:r w:rsidRPr="00E321CE">
        <w:t>хих сторон или свидетелей, а именно постановление-записка Верховного с</w:t>
      </w:r>
      <w:r w:rsidRPr="00E321CE">
        <w:t>у</w:t>
      </w:r>
      <w:r w:rsidRPr="00E321CE">
        <w:t>да № 59-2004 от 10 сентября 2004 года и циркуляр канцелярии судебного а</w:t>
      </w:r>
      <w:r w:rsidRPr="00E321CE">
        <w:t>д</w:t>
      </w:r>
      <w:r w:rsidRPr="00E321CE">
        <w:t>министратора Верховного суда № 104-2007 от 18 октября 2007 года, в к</w:t>
      </w:r>
      <w:r w:rsidRPr="00E321CE">
        <w:t>о</w:t>
      </w:r>
      <w:r w:rsidRPr="00E321CE">
        <w:t>торых речь идет главным образом о назначении переводчиков жестового языка, но не затрагиваются сложности перевода разговорного языка на язык жестов. Автор утверждает, что эти документы также являются дискриминационными, п</w:t>
      </w:r>
      <w:r w:rsidRPr="00E321CE">
        <w:t>о</w:t>
      </w:r>
      <w:r w:rsidRPr="00E321CE">
        <w:t xml:space="preserve">скольку они требуют обеспечения перевода лишь в тех случаях, когда глухого </w:t>
      </w:r>
      <w:r w:rsidR="00D23F5B">
        <w:t>«</w:t>
      </w:r>
      <w:r w:rsidRPr="00E321CE">
        <w:t>необходимо понять в полной мере</w:t>
      </w:r>
      <w:r w:rsidR="00D23F5B">
        <w:t>»</w:t>
      </w:r>
      <w:r w:rsidRPr="00E321CE">
        <w:t>, в нарушение его права на информацию, в том числе права пон</w:t>
      </w:r>
      <w:r w:rsidRPr="00E321CE">
        <w:t>и</w:t>
      </w:r>
      <w:r w:rsidRPr="00E321CE">
        <w:t>мать и быть понятым</w:t>
      </w:r>
      <w:r w:rsidR="00D23F5B">
        <w:rPr>
          <w:rStyle w:val="FootnoteReference"/>
        </w:rPr>
        <w:footnoteReference w:id="18"/>
      </w:r>
      <w:r w:rsidRPr="00E321CE">
        <w:t>.</w:t>
      </w:r>
    </w:p>
    <w:p w:rsidR="00E321CE" w:rsidRPr="00E321CE" w:rsidRDefault="00E321CE" w:rsidP="00E321CE">
      <w:pPr>
        <w:pStyle w:val="SingleTxt"/>
      </w:pPr>
      <w:r w:rsidRPr="00E321CE">
        <w:t>3.14</w:t>
      </w:r>
      <w:r w:rsidRPr="00E321CE">
        <w:tab/>
        <w:t>Автор утверждает, что в отсутствие официальной политики по данному вопросу бремя удовлетворения потребностей глухих жертв возлагается на Ф</w:t>
      </w:r>
      <w:r w:rsidRPr="00E321CE">
        <w:t>и</w:t>
      </w:r>
      <w:r w:rsidRPr="00E321CE">
        <w:t>липпинский центр помощи глухонемым</w:t>
      </w:r>
      <w:r w:rsidR="00D23F5B">
        <w:t xml:space="preserve"> — </w:t>
      </w:r>
      <w:r w:rsidRPr="00E321CE">
        <w:t>неправительственную организацию, которая собирает данные в отношении дел, касающихся глухих, особенно ге</w:t>
      </w:r>
      <w:r w:rsidRPr="00E321CE">
        <w:t>н</w:t>
      </w:r>
      <w:r w:rsidRPr="00E321CE">
        <w:t>дерного насилия в отношении глухих женщин. В 2006</w:t>
      </w:r>
      <w:r w:rsidR="00D23F5B">
        <w:t>–</w:t>
      </w:r>
      <w:r w:rsidRPr="00E321CE">
        <w:t>2010 годах Центр зад</w:t>
      </w:r>
      <w:r w:rsidRPr="00E321CE">
        <w:t>о</w:t>
      </w:r>
      <w:r w:rsidRPr="00E321CE">
        <w:t>кументировал свыше 70 дел, в которых одна из сторон или один из свидет</w:t>
      </w:r>
      <w:r w:rsidRPr="00E321CE">
        <w:t>е</w:t>
      </w:r>
      <w:r w:rsidRPr="00E321CE">
        <w:t>лей являлись глухими, а за период 2006</w:t>
      </w:r>
      <w:r w:rsidR="00D23F5B">
        <w:t>–</w:t>
      </w:r>
      <w:r w:rsidRPr="00E321CE">
        <w:t>2011 годов изучил 80 таких задокумент</w:t>
      </w:r>
      <w:r w:rsidRPr="00E321CE">
        <w:t>и</w:t>
      </w:r>
      <w:r w:rsidRPr="00E321CE">
        <w:t>рованных дел, из которых только в 28 случаях привлекались переводчики. В ситуациях, когда глухой является жалобщиком, 87 процентов</w:t>
      </w:r>
      <w:r w:rsidR="00D23F5B">
        <w:t xml:space="preserve"> — </w:t>
      </w:r>
      <w:r w:rsidRPr="00E321CE">
        <w:t>это случаи и</w:t>
      </w:r>
      <w:r w:rsidRPr="00E321CE">
        <w:t>з</w:t>
      </w:r>
      <w:r w:rsidRPr="00E321CE">
        <w:t>насилований и примерно 25 процентов</w:t>
      </w:r>
      <w:r w:rsidR="00D23F5B">
        <w:t xml:space="preserve"> — </w:t>
      </w:r>
      <w:r w:rsidRPr="00E321CE">
        <w:t>случаи, в которых пострадавшими сторонами являются глухие девочки. С учетом целого ряда проблем, отмече</w:t>
      </w:r>
      <w:r w:rsidRPr="00E321CE">
        <w:t>н</w:t>
      </w:r>
      <w:r w:rsidRPr="00E321CE">
        <w:t>ных в ходе судебных разбирательств с участием глухих, Центр начал ос</w:t>
      </w:r>
      <w:r w:rsidRPr="00E321CE">
        <w:t>у</w:t>
      </w:r>
      <w:r w:rsidRPr="00E321CE">
        <w:t>ществление пропагандистского проекта, призванного содействовать принятию политики, которая предусматривала бы использование переводчиков жестового языка в судах. В частности, Центр отметил следующие проблемы, особенно в связи со случаями сексуального насилия над несовершеннолетними глухими в возрасте от 4 до 16 лет, включая случай автора, в масштабах страны: многие суды не знают о существовании постановления-записки Верховного суда № 59-2004 и циркуляра № 104-2007; некоторые суды и учреждения не разрешают и</w:t>
      </w:r>
      <w:r w:rsidRPr="00E321CE">
        <w:t>с</w:t>
      </w:r>
      <w:r w:rsidRPr="00E321CE">
        <w:t xml:space="preserve">пользовать переводчиков жестового языка в отношении стороны, являющейся инвалидом по слуху, считая релейный перевод </w:t>
      </w:r>
      <w:r w:rsidR="00D23F5B">
        <w:t>«</w:t>
      </w:r>
      <w:r w:rsidRPr="00E321CE">
        <w:t>показанием с чужих слов</w:t>
      </w:r>
      <w:r w:rsidR="00D23F5B">
        <w:t>»</w:t>
      </w:r>
      <w:r w:rsidRPr="00E321CE">
        <w:t>; многие суды рассматривают перевод с жестового языка как услугу для глухих истцов, которые сами должны найти себе переводчика и оплатить его услуги; некоторые суды не признают необходимости использования одновременно р</w:t>
      </w:r>
      <w:r w:rsidRPr="00E321CE">
        <w:t>е</w:t>
      </w:r>
      <w:r w:rsidRPr="00E321CE">
        <w:t>лейного глухого сурдопереводчика и слышащего переводчика; использование услуг п</w:t>
      </w:r>
      <w:r w:rsidRPr="00E321CE">
        <w:t>е</w:t>
      </w:r>
      <w:r w:rsidRPr="00E321CE">
        <w:t>реводчика жестового языка не предусматривается и на других стадиях разбирательства, например в ходе расследования; и из-за отсутствия офиц</w:t>
      </w:r>
      <w:r w:rsidRPr="00E321CE">
        <w:t>и</w:t>
      </w:r>
      <w:r w:rsidRPr="00E321CE">
        <w:t>альной пр</w:t>
      </w:r>
      <w:r w:rsidRPr="00E321CE">
        <w:t>а</w:t>
      </w:r>
      <w:r w:rsidRPr="00E321CE">
        <w:t>вовой подготовки переводчиков для глухих некоторые переводчики не облад</w:t>
      </w:r>
      <w:r w:rsidRPr="00E321CE">
        <w:t>а</w:t>
      </w:r>
      <w:r w:rsidRPr="00E321CE">
        <w:t>ют соответствующей квалификацией.</w:t>
      </w:r>
    </w:p>
    <w:p w:rsidR="00E321CE" w:rsidRPr="00E321CE" w:rsidRDefault="00E321CE" w:rsidP="00E321CE">
      <w:pPr>
        <w:pStyle w:val="SingleTxt"/>
      </w:pPr>
      <w:r w:rsidRPr="00E321CE">
        <w:t>3.15</w:t>
      </w:r>
      <w:r w:rsidRPr="00E321CE">
        <w:tab/>
        <w:t>Автор утверждает, что лица, занимающиеся отправлением правосудия в случае женщин-инвалидов и детей-инвалидов, в частности глухих жертв секс</w:t>
      </w:r>
      <w:r w:rsidRPr="00E321CE">
        <w:t>у</w:t>
      </w:r>
      <w:r w:rsidRPr="00E321CE">
        <w:t>ального насилия, не располагают необходимыми знаниями и опытом. По ее мнению, национальным органам необходимо решать эту серьезную проблему. Она отмечает, что, хотя Судебная академия Филиппин проводила семинары по Конвенции и ознакомлению с гендерной проблематикой, ни один из этих сем</w:t>
      </w:r>
      <w:r w:rsidRPr="00E321CE">
        <w:t>и</w:t>
      </w:r>
      <w:r w:rsidRPr="00E321CE">
        <w:t>наров не был посвящен конкретным потребностям и проблемам женщин-инвалидов и девочек-инвалидов.</w:t>
      </w:r>
    </w:p>
    <w:p w:rsidR="00E321CE" w:rsidRPr="00E321CE" w:rsidRDefault="00E321CE" w:rsidP="00E321CE">
      <w:pPr>
        <w:pStyle w:val="SingleTxt"/>
      </w:pPr>
      <w:r w:rsidRPr="00E321CE">
        <w:t>3.16</w:t>
      </w:r>
      <w:r w:rsidRPr="00E321CE">
        <w:tab/>
        <w:t>Автор просит Комитет установить, что она является жертвой дискрим</w:t>
      </w:r>
      <w:r w:rsidRPr="00E321CE">
        <w:t>и</w:t>
      </w:r>
      <w:r w:rsidRPr="00E321CE">
        <w:t>нации как глухая изнасилованная девушка, поскольку государство-участник не выполнило своих обязательств по Конвенции и другим правозащитным дог</w:t>
      </w:r>
      <w:r w:rsidRPr="00E321CE">
        <w:t>о</w:t>
      </w:r>
      <w:r w:rsidRPr="00E321CE">
        <w:t>ворам. Она просит Комитет рекомендовать государству-участнику выплатить ей компенсацию, соразмерную физическому, психическому и социальному вреду, причиненному ей, и серьезности нарушения ее прав. Она также просит, чтобы государство-участник обеспечило для нее бесплатное консультирование и лечение, в том числе сурдоперевод, доступное образование с соответству</w:t>
      </w:r>
      <w:r w:rsidRPr="00E321CE">
        <w:t>ю</w:t>
      </w:r>
      <w:r w:rsidRPr="00E321CE">
        <w:t>щим переводом и возможности трудоустройства после окончания учебы. Она просит также обеспечить членов ее семьи бесплатной психологической пом</w:t>
      </w:r>
      <w:r w:rsidRPr="00E321CE">
        <w:t>о</w:t>
      </w:r>
      <w:r w:rsidRPr="00E321CE">
        <w:t>щью в соответствии с разделом 3 е) Закона Республики № 8505, несмотря на то, что в Маниле не существует государственного центра по оказанию помощи жертвам изнасилований.</w:t>
      </w:r>
    </w:p>
    <w:p w:rsidR="00E321CE" w:rsidRDefault="00E321CE" w:rsidP="00E321CE">
      <w:pPr>
        <w:pStyle w:val="SingleTxt"/>
      </w:pPr>
      <w:r w:rsidRPr="00E321CE">
        <w:t>3.17</w:t>
      </w:r>
      <w:r w:rsidRPr="00E321CE">
        <w:tab/>
        <w:t>Автор просит также Комитет рекомендовать государству-участнику обе</w:t>
      </w:r>
      <w:r w:rsidRPr="00E321CE">
        <w:t>с</w:t>
      </w:r>
      <w:r w:rsidRPr="00E321CE">
        <w:t>печить, чтобы его судебные, законодательные и исполнительные органы пр</w:t>
      </w:r>
      <w:r w:rsidRPr="00E321CE">
        <w:t>и</w:t>
      </w:r>
      <w:r w:rsidRPr="00E321CE">
        <w:t xml:space="preserve">няли меры в соответствии с рекомендациями, вынесенными по делу </w:t>
      </w:r>
      <w:r w:rsidRPr="00E321CE">
        <w:rPr>
          <w:i/>
        </w:rPr>
        <w:t>Вертидо против Филиппин</w:t>
      </w:r>
      <w:r w:rsidR="00D23F5B" w:rsidRPr="00D23F5B">
        <w:rPr>
          <w:rStyle w:val="FootnoteReference"/>
        </w:rPr>
        <w:footnoteReference w:id="19"/>
      </w:r>
      <w:r w:rsidRPr="00E321CE">
        <w:t>, с уделением особого внимания взаимосвязи между п</w:t>
      </w:r>
      <w:r w:rsidRPr="00E321CE">
        <w:t>о</w:t>
      </w:r>
      <w:r w:rsidRPr="00E321CE">
        <w:t>лом, инвалидностью и возрастом. Она также просит рекомендовать обеспечить, чтобы был принят закон об обязательном использовании сурдоперевода в ходе всех судебных, квазисудебных и следственных действий и публичных слуш</w:t>
      </w:r>
      <w:r w:rsidRPr="00E321CE">
        <w:t>а</w:t>
      </w:r>
      <w:r w:rsidRPr="00E321CE">
        <w:t>ний с участием инвалидов по слуху; чтобы проблемы, касающиеся взаимосвязи между полом, инвалидностью и возрастом, нашли свое отражение в програ</w:t>
      </w:r>
      <w:r w:rsidRPr="00E321CE">
        <w:t>м</w:t>
      </w:r>
      <w:r w:rsidRPr="00E321CE">
        <w:t xml:space="preserve">мах и услугах соответствующих учреждений государства-участника; чтобы была создана </w:t>
      </w:r>
      <w:r w:rsidR="00D23F5B">
        <w:t>«</w:t>
      </w:r>
      <w:r w:rsidRPr="00E321CE">
        <w:t>горячая линия</w:t>
      </w:r>
      <w:r w:rsidR="00D23F5B">
        <w:t>»</w:t>
      </w:r>
      <w:r w:rsidRPr="00E321CE">
        <w:t xml:space="preserve"> для глухих жертв сексуального насилия с во</w:t>
      </w:r>
      <w:r w:rsidRPr="00E321CE">
        <w:t>з</w:t>
      </w:r>
      <w:r w:rsidRPr="00E321CE">
        <w:t>можностью отправки текстовых сообщений по мобильному телефону в ма</w:t>
      </w:r>
      <w:r w:rsidRPr="00E321CE">
        <w:t>с</w:t>
      </w:r>
      <w:r w:rsidRPr="00E321CE">
        <w:t>штабах всей страны; чтобы была создана профессиональная система сурдоп</w:t>
      </w:r>
      <w:r w:rsidRPr="00E321CE">
        <w:t>е</w:t>
      </w:r>
      <w:r w:rsidRPr="00E321CE">
        <w:t>ревода с приоритетным обслуживанием консультаций по правовым вопросам и вопросам психологической помощи; чтобы филиппинский язык жестов был признан в качестве национального жестового языка; чтобы предметы, каса</w:t>
      </w:r>
      <w:r w:rsidRPr="00E321CE">
        <w:t>ю</w:t>
      </w:r>
      <w:r w:rsidRPr="00E321CE">
        <w:t>щиеся предупреждения сексуального насилия, были включены в учебные пр</w:t>
      </w:r>
      <w:r w:rsidRPr="00E321CE">
        <w:t>о</w:t>
      </w:r>
      <w:r w:rsidRPr="00E321CE">
        <w:t>граммы колледжей и университетов; чтобы школы, в которых организованы специальные учебные программы для глухих девочек и женщин, обеспечивали полностью доступное обучение и консультирование, в том числе нанимали глухих преподавателей, а также обеспечивали полностью доступное и учит</w:t>
      </w:r>
      <w:r w:rsidRPr="00E321CE">
        <w:t>ы</w:t>
      </w:r>
      <w:r w:rsidRPr="00E321CE">
        <w:t>вающее возрастную специфику образование по вопросам, касающимся секс</w:t>
      </w:r>
      <w:r w:rsidRPr="00E321CE">
        <w:t>у</w:t>
      </w:r>
      <w:r w:rsidRPr="00E321CE">
        <w:t>альности и пола; чтобы Филиппинский университет учредил национальную учебную программу для переводчиков жестового языка, включая перевод по правовой тематике и охране психического здоровья; и чтобы юриспруденция по проблемам инвалидов по слуху была включена в учебные программы всех правовых школ.</w:t>
      </w:r>
    </w:p>
    <w:p w:rsidR="00D23F5B" w:rsidRPr="00D23F5B" w:rsidRDefault="00D23F5B" w:rsidP="00D23F5B">
      <w:pPr>
        <w:pStyle w:val="SingleTxt"/>
        <w:spacing w:after="0" w:line="120" w:lineRule="exact"/>
        <w:rPr>
          <w:sz w:val="10"/>
        </w:rPr>
      </w:pPr>
    </w:p>
    <w:p w:rsidR="00E321CE" w:rsidRDefault="00E321CE" w:rsidP="00D23F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321CE">
        <w:tab/>
      </w:r>
      <w:r w:rsidRPr="00E321CE">
        <w:tab/>
        <w:t>Замечания государства-участника относительно приемлемости сообщения</w:t>
      </w:r>
    </w:p>
    <w:p w:rsidR="00D23F5B" w:rsidRPr="00D23F5B" w:rsidRDefault="00D23F5B" w:rsidP="00D23F5B">
      <w:pPr>
        <w:pStyle w:val="SingleTxt"/>
        <w:spacing w:after="0" w:line="120" w:lineRule="exact"/>
        <w:rPr>
          <w:sz w:val="10"/>
        </w:rPr>
      </w:pPr>
    </w:p>
    <w:p w:rsidR="00E321CE" w:rsidRPr="00E321CE" w:rsidRDefault="00E321CE" w:rsidP="00E321CE">
      <w:pPr>
        <w:pStyle w:val="SingleTxt"/>
      </w:pPr>
      <w:r w:rsidRPr="00E321CE">
        <w:t>4.1</w:t>
      </w:r>
      <w:r w:rsidRPr="00E321CE">
        <w:tab/>
        <w:t>18 июня 2012 года государство-участник заявило, что сообщение является неприемлемым согласно пункту 1 статьи 4 Факультативного протокола к Ко</w:t>
      </w:r>
      <w:r w:rsidRPr="00E321CE">
        <w:t>н</w:t>
      </w:r>
      <w:r w:rsidRPr="00E321CE">
        <w:t>венции, поскольку автор не исчерпала всех внутренних средств правовой з</w:t>
      </w:r>
      <w:r w:rsidRPr="00E321CE">
        <w:t>а</w:t>
      </w:r>
      <w:r w:rsidRPr="00E321CE">
        <w:t>щиты, в частности не подала прошения о рассмотрении ее дела судом более высокой инстанции. Государство-участник оспаривает довод автора о том, что это средство правовой защиты является неэффективным и недоступным для нее и утверждает, что обращение с прошением о рассмотрении дела судом б</w:t>
      </w:r>
      <w:r w:rsidRPr="00E321CE">
        <w:t>о</w:t>
      </w:r>
      <w:r w:rsidRPr="00E321CE">
        <w:t>лее высокой инстанции является эффективным средством правовой защиты. Оно утверждает, что в соответствии с правилом 65 Судебного регламента оправдательный приговор может быть отменен, если податель прошения о ра</w:t>
      </w:r>
      <w:r w:rsidRPr="00E321CE">
        <w:t>с</w:t>
      </w:r>
      <w:r w:rsidRPr="00E321CE">
        <w:t>смотрении дела судом более высокой инстанции продемонстрирует, что суд б</w:t>
      </w:r>
      <w:r w:rsidRPr="00E321CE">
        <w:t>о</w:t>
      </w:r>
      <w:r w:rsidRPr="00E321CE">
        <w:t>лее низкой инстанции, оправдав обвиняемого, совершил не только ошибку, д</w:t>
      </w:r>
      <w:r w:rsidRPr="00E321CE">
        <w:t>а</w:t>
      </w:r>
      <w:r w:rsidRPr="00E321CE">
        <w:t>ющую основание для отмены приговора, но и серьезное злоупотребление по</w:t>
      </w:r>
      <w:r w:rsidRPr="00E321CE">
        <w:t>л</w:t>
      </w:r>
      <w:r w:rsidRPr="00E321CE">
        <w:t>номочиями, равнозначное неприменению или применению чрезмерной юри</w:t>
      </w:r>
      <w:r w:rsidRPr="00E321CE">
        <w:t>с</w:t>
      </w:r>
      <w:r w:rsidRPr="00E321CE">
        <w:t>дикции или отказу в надлежащем судебном разбирательстве, что лишает пр</w:t>
      </w:r>
      <w:r w:rsidRPr="00E321CE">
        <w:t>и</w:t>
      </w:r>
      <w:r w:rsidRPr="00E321CE">
        <w:t>говор силы. Поэтому в данном случае не возникает вопроса о том, что обвин</w:t>
      </w:r>
      <w:r w:rsidRPr="00E321CE">
        <w:t>я</w:t>
      </w:r>
      <w:r w:rsidRPr="00E321CE">
        <w:t xml:space="preserve">емому может грозить опасность повторного привлечения к ответственности. Верховный суд в деле </w:t>
      </w:r>
      <w:r w:rsidRPr="00E321CE">
        <w:rPr>
          <w:i/>
        </w:rPr>
        <w:t xml:space="preserve">Народ Филиппин против Де Грано и др., </w:t>
      </w:r>
      <w:r w:rsidRPr="00E321CE">
        <w:t>постановил, что судебное действие считается серьезным злоупотреблением полномочиями, к</w:t>
      </w:r>
      <w:r w:rsidRPr="00E321CE">
        <w:t>о</w:t>
      </w:r>
      <w:r w:rsidRPr="00E321CE">
        <w:t>гда оно проявляется в виде своевольного и эксцентричного решения, что пр</w:t>
      </w:r>
      <w:r w:rsidRPr="00E321CE">
        <w:t>и</w:t>
      </w:r>
      <w:r w:rsidRPr="00E321CE">
        <w:t>равнивается к отсутствию надлежащего судебного процесса. Злоупотребление дискреционными полномочиями должно быть столь вопиющим и грубым, что это может приравниваться к уклонению от выполнения прямых обязанностей или фактическому отказу от выполнения обязанностей, предусмотренных зак</w:t>
      </w:r>
      <w:r w:rsidRPr="00E321CE">
        <w:t>о</w:t>
      </w:r>
      <w:r w:rsidRPr="00E321CE">
        <w:t>ном, как в случае осуществления полномочий произвольным и деспотичным образом под влиянием гнева или враждебности</w:t>
      </w:r>
      <w:r w:rsidR="00D23F5B">
        <w:rPr>
          <w:rStyle w:val="FootnoteReference"/>
        </w:rPr>
        <w:footnoteReference w:id="20"/>
      </w:r>
      <w:r w:rsidRPr="00E321CE">
        <w:t>.</w:t>
      </w:r>
    </w:p>
    <w:p w:rsidR="00E321CE" w:rsidRDefault="00E321CE" w:rsidP="00E321CE">
      <w:pPr>
        <w:pStyle w:val="SingleTxt"/>
      </w:pPr>
      <w:r w:rsidRPr="00E321CE">
        <w:t>4.2</w:t>
      </w:r>
      <w:r w:rsidRPr="00E321CE">
        <w:tab/>
        <w:t>Государство-участник утверждает, что, если дискриминация по признаку пола, проявленная судом в деле автора, была столь значительной, что автор была лишена права на надлежащее судебное разбирательство, то приговор суда может быть отменен как недействительный по причине отсутствия надлежащ</w:t>
      </w:r>
      <w:r w:rsidRPr="00E321CE">
        <w:t>е</w:t>
      </w:r>
      <w:r w:rsidRPr="00E321CE">
        <w:t>го судебного процесса. Автору следовало бы передать решение суда Генерал</w:t>
      </w:r>
      <w:r w:rsidRPr="00E321CE">
        <w:t>ь</w:t>
      </w:r>
      <w:r w:rsidRPr="00E321CE">
        <w:t>ному солиситору для установления того, имеется ли достаточно оснований для подачи прошения о рассмотрении дела в суде более высокой инстанции.</w:t>
      </w:r>
    </w:p>
    <w:p w:rsidR="00D23F5B" w:rsidRPr="00D23F5B" w:rsidRDefault="00D23F5B" w:rsidP="00D23F5B">
      <w:pPr>
        <w:pStyle w:val="SingleTxt"/>
        <w:spacing w:after="0" w:line="120" w:lineRule="exact"/>
        <w:rPr>
          <w:sz w:val="10"/>
        </w:rPr>
      </w:pPr>
    </w:p>
    <w:p w:rsidR="00E321CE" w:rsidRDefault="00E321CE" w:rsidP="00D23F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321CE">
        <w:tab/>
      </w:r>
      <w:r w:rsidRPr="00E321CE">
        <w:tab/>
        <w:t>Комментарии автора к замечаниям государства-участника</w:t>
      </w:r>
    </w:p>
    <w:p w:rsidR="00D23F5B" w:rsidRPr="00D23F5B" w:rsidRDefault="00D23F5B" w:rsidP="00D23F5B">
      <w:pPr>
        <w:pStyle w:val="SingleTxt"/>
        <w:spacing w:after="0" w:line="120" w:lineRule="exact"/>
        <w:rPr>
          <w:sz w:val="10"/>
        </w:rPr>
      </w:pPr>
    </w:p>
    <w:p w:rsidR="00E321CE" w:rsidRDefault="00E321CE" w:rsidP="00E321CE">
      <w:pPr>
        <w:pStyle w:val="SingleTxt"/>
      </w:pPr>
      <w:r w:rsidRPr="00E321CE">
        <w:t>5.</w:t>
      </w:r>
      <w:r w:rsidRPr="00E321CE">
        <w:tab/>
        <w:t xml:space="preserve">22 октября 2012 года автор оспорила замечания государства-участника относительно приемлемости сообщения. Она отмечает, что государство-участник выдвинуло те же аргументы, что и в деле </w:t>
      </w:r>
      <w:r w:rsidRPr="00E321CE">
        <w:rPr>
          <w:i/>
        </w:rPr>
        <w:t>Вертидо против Филиппин</w:t>
      </w:r>
      <w:r w:rsidRPr="00E321CE">
        <w:t>. В этой связи она ссылается на аргументацию в отношении неприемлемости и неэффективности прошения о рассмотрении дела в суде более высокой инста</w:t>
      </w:r>
      <w:r w:rsidRPr="00E321CE">
        <w:t>н</w:t>
      </w:r>
      <w:r w:rsidRPr="00E321CE">
        <w:t xml:space="preserve">ции, выдвинутую автором в деле </w:t>
      </w:r>
      <w:r w:rsidRPr="00E321CE">
        <w:rPr>
          <w:i/>
        </w:rPr>
        <w:t>Вертидо</w:t>
      </w:r>
      <w:r w:rsidR="00D23F5B" w:rsidRPr="00D23F5B">
        <w:rPr>
          <w:rStyle w:val="FootnoteReference"/>
        </w:rPr>
        <w:footnoteReference w:id="21"/>
      </w:r>
      <w:r w:rsidRPr="00E321CE">
        <w:t>, и утверждает, что та же аргуме</w:t>
      </w:r>
      <w:r w:rsidRPr="00E321CE">
        <w:t>н</w:t>
      </w:r>
      <w:r w:rsidRPr="00E321CE">
        <w:t>тация применяется в ее случае.</w:t>
      </w:r>
    </w:p>
    <w:p w:rsidR="00D23F5B" w:rsidRPr="00D23F5B" w:rsidRDefault="00D23F5B" w:rsidP="00D23F5B">
      <w:pPr>
        <w:pStyle w:val="SingleTxt"/>
        <w:spacing w:after="0" w:line="120" w:lineRule="exact"/>
        <w:rPr>
          <w:sz w:val="10"/>
        </w:rPr>
      </w:pPr>
    </w:p>
    <w:p w:rsidR="00E321CE" w:rsidRDefault="00E321CE" w:rsidP="00D23F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321CE">
        <w:tab/>
      </w:r>
      <w:r w:rsidRPr="00E321CE">
        <w:tab/>
        <w:t>Дополнительные замечания государства-участника</w:t>
      </w:r>
    </w:p>
    <w:p w:rsidR="00D23F5B" w:rsidRPr="00D23F5B" w:rsidRDefault="00D23F5B" w:rsidP="00D23F5B">
      <w:pPr>
        <w:pStyle w:val="SingleTxt"/>
        <w:spacing w:after="0" w:line="120" w:lineRule="exact"/>
        <w:rPr>
          <w:sz w:val="10"/>
        </w:rPr>
      </w:pPr>
    </w:p>
    <w:p w:rsidR="00E321CE" w:rsidRPr="00E321CE" w:rsidRDefault="00E321CE" w:rsidP="00E321CE">
      <w:pPr>
        <w:pStyle w:val="SingleTxt"/>
      </w:pPr>
      <w:r w:rsidRPr="00E321CE">
        <w:t>6.1</w:t>
      </w:r>
      <w:r w:rsidRPr="00E321CE">
        <w:tab/>
        <w:t>Вербальными нотами от 5 декабря 2012 года и 17 сентября 2013 года го</w:t>
      </w:r>
      <w:r w:rsidRPr="00E321CE">
        <w:t>с</w:t>
      </w:r>
      <w:r w:rsidRPr="00E321CE">
        <w:t>ударству-участнику было предложено представить Комитету замечания по с</w:t>
      </w:r>
      <w:r w:rsidRPr="00E321CE">
        <w:t>у</w:t>
      </w:r>
      <w:r w:rsidRPr="00E321CE">
        <w:t>ществу сообщения. Вербальной нотой от 10 октября 2013 года государство-участник повторило свои ранее высказанные замечания в отношении того, что автор не воспользовалась средством правовой защиты, предполагающим обр</w:t>
      </w:r>
      <w:r w:rsidRPr="00E321CE">
        <w:t>а</w:t>
      </w:r>
      <w:r w:rsidRPr="00E321CE">
        <w:t>щение в суд более высокой инстанции. Государство-участник утверждает, что несколько частных жалобщиков в уголовных делах просили Генерального с</w:t>
      </w:r>
      <w:r w:rsidRPr="00E321CE">
        <w:t>о</w:t>
      </w:r>
      <w:r w:rsidRPr="00E321CE">
        <w:t>лиситора передать в суд более высокой инстанции оправдательный приговор, а в тех случаях, когда прошения были уже поданы частными жалобщиками, Г</w:t>
      </w:r>
      <w:r w:rsidRPr="00E321CE">
        <w:t>е</w:t>
      </w:r>
      <w:r w:rsidRPr="00E321CE">
        <w:t>неральный солиситор присоединился к ним и принял их прошения</w:t>
      </w:r>
      <w:r w:rsidR="00D23F5B">
        <w:rPr>
          <w:rStyle w:val="FootnoteReference"/>
        </w:rPr>
        <w:footnoteReference w:id="22"/>
      </w:r>
      <w:r w:rsidRPr="00E321CE">
        <w:t>.</w:t>
      </w:r>
    </w:p>
    <w:p w:rsidR="00E321CE" w:rsidRPr="00E321CE" w:rsidRDefault="00E321CE" w:rsidP="00E321CE">
      <w:pPr>
        <w:pStyle w:val="SingleTxt"/>
      </w:pPr>
      <w:r w:rsidRPr="00E321CE">
        <w:t>6.2</w:t>
      </w:r>
      <w:r w:rsidRPr="00E321CE">
        <w:tab/>
        <w:t>Государство-участник считает, что автор, независимо от уголовного пр</w:t>
      </w:r>
      <w:r w:rsidRPr="00E321CE">
        <w:t>е</w:t>
      </w:r>
      <w:r w:rsidRPr="00E321CE">
        <w:t>следования, могла бы также возбудить гражданский иск. Государство утве</w:t>
      </w:r>
      <w:r w:rsidRPr="00E321CE">
        <w:t>р</w:t>
      </w:r>
      <w:r w:rsidRPr="00E321CE">
        <w:t>ждает, что оправдание обвиняемого автоматически не исключает возможности вынесения против него решения гражданским судом, учитывая менее строгие требования в отношении представления доказательств в гражданском иске (принцип перевеса доказательств) по сравнению с уголовным делом (доказ</w:t>
      </w:r>
      <w:r w:rsidRPr="00E321CE">
        <w:t>а</w:t>
      </w:r>
      <w:r w:rsidRPr="00E321CE">
        <w:t>тельства не должны вызывать разумных сомнений).</w:t>
      </w:r>
    </w:p>
    <w:p w:rsidR="00E321CE" w:rsidRDefault="00E321CE" w:rsidP="00E321CE">
      <w:pPr>
        <w:pStyle w:val="SingleTxt"/>
      </w:pPr>
      <w:r w:rsidRPr="00E321CE">
        <w:t>6.3</w:t>
      </w:r>
      <w:r w:rsidRPr="00E321CE">
        <w:tab/>
        <w:t>Государство-участник также утверждает, что заявление автора об отказе в правосудии на том основании, что суд не принял ее доказательства и руково</w:t>
      </w:r>
      <w:r w:rsidRPr="00E321CE">
        <w:t>д</w:t>
      </w:r>
      <w:r w:rsidRPr="00E321CE">
        <w:t>ствовался гендерными мифами и стереотипами, является безосновательным.</w:t>
      </w:r>
    </w:p>
    <w:p w:rsidR="00D23F5B" w:rsidRPr="00D23F5B" w:rsidRDefault="00D23F5B" w:rsidP="00D23F5B">
      <w:pPr>
        <w:pStyle w:val="SingleTxt"/>
        <w:spacing w:after="0" w:line="120" w:lineRule="exact"/>
        <w:rPr>
          <w:sz w:val="10"/>
        </w:rPr>
      </w:pPr>
    </w:p>
    <w:p w:rsidR="00E321CE" w:rsidRDefault="00E321CE" w:rsidP="00D23F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321CE">
        <w:tab/>
      </w:r>
      <w:r w:rsidRPr="00E321CE">
        <w:tab/>
        <w:t>Вопросы и процедуры, находящиеся на рассмотрении Комитета и</w:t>
      </w:r>
      <w:r w:rsidRPr="00E321CE">
        <w:rPr>
          <w:lang w:val="en-US"/>
        </w:rPr>
        <w:t> </w:t>
      </w:r>
      <w:r w:rsidRPr="00E321CE">
        <w:t>касающиеся приемлемости сообщения</w:t>
      </w:r>
    </w:p>
    <w:p w:rsidR="00D23F5B" w:rsidRPr="00D23F5B" w:rsidRDefault="00D23F5B" w:rsidP="00D23F5B">
      <w:pPr>
        <w:pStyle w:val="SingleTxt"/>
        <w:spacing w:after="0" w:line="120" w:lineRule="exact"/>
        <w:rPr>
          <w:sz w:val="10"/>
        </w:rPr>
      </w:pPr>
    </w:p>
    <w:p w:rsidR="00E321CE" w:rsidRPr="00E321CE" w:rsidRDefault="00E321CE" w:rsidP="00E321CE">
      <w:pPr>
        <w:pStyle w:val="SingleTxt"/>
      </w:pPr>
      <w:r w:rsidRPr="00E321CE">
        <w:t>7.1</w:t>
      </w:r>
      <w:r w:rsidRPr="00E321CE">
        <w:tab/>
        <w:t>В соответствии с правилом 64 своих правил процедуры Комитет должен решить, является ли сообщение приемлемым согласно Факультативному пр</w:t>
      </w:r>
      <w:r w:rsidRPr="00E321CE">
        <w:t>о</w:t>
      </w:r>
      <w:r w:rsidRPr="00E321CE">
        <w:t>токолу. Согласно пункту 4 правила 72 своих правил процедуры он должен сд</w:t>
      </w:r>
      <w:r w:rsidRPr="00E321CE">
        <w:t>е</w:t>
      </w:r>
      <w:r w:rsidRPr="00E321CE">
        <w:t>лать это до рассмотрения сообщения по существу.</w:t>
      </w:r>
    </w:p>
    <w:p w:rsidR="00E321CE" w:rsidRPr="00E321CE" w:rsidRDefault="00D23F5B" w:rsidP="007A1FB8">
      <w:pPr>
        <w:pStyle w:val="SingleTxt"/>
      </w:pPr>
      <w:r>
        <w:br w:type="page"/>
      </w:r>
      <w:r w:rsidR="00E321CE" w:rsidRPr="00E321CE">
        <w:t>7.2</w:t>
      </w:r>
      <w:r w:rsidR="00E321CE" w:rsidRPr="00E321CE">
        <w:tab/>
        <w:t>В связи с пунктом 1 статьи 4 Факультативного протокола, в котором тр</w:t>
      </w:r>
      <w:r w:rsidR="00E321CE" w:rsidRPr="00E321CE">
        <w:t>е</w:t>
      </w:r>
      <w:r w:rsidR="00E321CE" w:rsidRPr="00E321CE">
        <w:t>буется исчерпание внутре</w:t>
      </w:r>
      <w:r w:rsidR="00E321CE" w:rsidRPr="00E321CE">
        <w:t>н</w:t>
      </w:r>
      <w:r w:rsidR="00E321CE" w:rsidRPr="00E321CE">
        <w:t>них средств правовой защиты, Комитет напоминает, что авторы должны использовать имеющиеся в их распоряжении средства пр</w:t>
      </w:r>
      <w:r w:rsidR="00E321CE" w:rsidRPr="00E321CE">
        <w:t>а</w:t>
      </w:r>
      <w:r w:rsidR="00E321CE" w:rsidRPr="00E321CE">
        <w:t>вовой защиты в рамках национальной правовой системы, которые предоставят им возможность получения компенсации в случае предполагаемых наруш</w:t>
      </w:r>
      <w:r w:rsidR="00E321CE" w:rsidRPr="00E321CE">
        <w:t>е</w:t>
      </w:r>
      <w:r w:rsidR="00E321CE" w:rsidRPr="00E321CE">
        <w:t>ний</w:t>
      </w:r>
      <w:r>
        <w:rPr>
          <w:rStyle w:val="FootnoteReference"/>
        </w:rPr>
        <w:footnoteReference w:id="23"/>
      </w:r>
      <w:r w:rsidR="00E321CE" w:rsidRPr="00E321CE">
        <w:t>. Комитет считает, что основная часть жалоб автора сводится к якобы имеющим место гендерным мифам и стереотипам, которые применяются к случаям изнасилования и жертвам изнасилования, особенно когда речь идет об инвалидах, и которые послужили основой для принятия решения судом первой инстанции и привели к оправданию обвиняемого. Комитет принимает к свед</w:t>
      </w:r>
      <w:r w:rsidR="00E321CE" w:rsidRPr="00E321CE">
        <w:t>е</w:t>
      </w:r>
      <w:r w:rsidR="00E321CE" w:rsidRPr="00E321CE">
        <w:t>нию разъяснения автора и аргументы государства-участника, с</w:t>
      </w:r>
      <w:r w:rsidR="00E321CE" w:rsidRPr="00E321CE">
        <w:t>о</w:t>
      </w:r>
      <w:r w:rsidR="00E321CE" w:rsidRPr="00E321CE">
        <w:t>гласно которым вынесенный оправдательный приговор является окончательным без возможн</w:t>
      </w:r>
      <w:r w:rsidR="00E321CE" w:rsidRPr="00E321CE">
        <w:t>о</w:t>
      </w:r>
      <w:r w:rsidR="00E321CE" w:rsidRPr="00E321CE">
        <w:t>сти обжал</w:t>
      </w:r>
      <w:r w:rsidR="00E321CE" w:rsidRPr="00E321CE">
        <w:t>о</w:t>
      </w:r>
      <w:r w:rsidR="00E321CE" w:rsidRPr="00E321CE">
        <w:t>вания. Комитет принимает к сведению также довод государства-участника в отношении того, что сообщ</w:t>
      </w:r>
      <w:r w:rsidR="00E321CE" w:rsidRPr="00E321CE">
        <w:t>е</w:t>
      </w:r>
      <w:r w:rsidR="00E321CE" w:rsidRPr="00E321CE">
        <w:t>ние следует признать неприемлемым в соответствии с пунктом 1 статьи 4 Факультативного протокола на том основ</w:t>
      </w:r>
      <w:r w:rsidR="00E321CE" w:rsidRPr="00E321CE">
        <w:t>а</w:t>
      </w:r>
      <w:r w:rsidR="00E321CE" w:rsidRPr="00E321CE">
        <w:t>нии, что не были исчерпаны все внутренние средства правовой защиты, п</w:t>
      </w:r>
      <w:r w:rsidR="00E321CE" w:rsidRPr="00E321CE">
        <w:t>о</w:t>
      </w:r>
      <w:r w:rsidR="00E321CE" w:rsidRPr="00E321CE">
        <w:t>скольку автор не прибегала к специальной процедуре истребования дела судом более высокой инстанции, которая предусмотрена разделом 1 правила 65 Р</w:t>
      </w:r>
      <w:r w:rsidR="00E321CE" w:rsidRPr="00E321CE">
        <w:t>е</w:t>
      </w:r>
      <w:r w:rsidR="00E321CE" w:rsidRPr="00E321CE">
        <w:t>гламента суда.</w:t>
      </w:r>
    </w:p>
    <w:p w:rsidR="00E321CE" w:rsidRPr="00E321CE" w:rsidRDefault="00E321CE" w:rsidP="00E321CE">
      <w:pPr>
        <w:pStyle w:val="SingleTxt"/>
      </w:pPr>
      <w:r w:rsidRPr="00E321CE">
        <w:t>7.3</w:t>
      </w:r>
      <w:r w:rsidRPr="00E321CE">
        <w:tab/>
        <w:t xml:space="preserve">Комитет ссылается на свою юриспруденцию, в частности на дело </w:t>
      </w:r>
      <w:r w:rsidRPr="00E321CE">
        <w:rPr>
          <w:i/>
        </w:rPr>
        <w:t>Верт</w:t>
      </w:r>
      <w:r w:rsidRPr="00E321CE">
        <w:rPr>
          <w:i/>
        </w:rPr>
        <w:t>и</w:t>
      </w:r>
      <w:r w:rsidRPr="00E321CE">
        <w:rPr>
          <w:i/>
        </w:rPr>
        <w:t>до против Филиппин</w:t>
      </w:r>
      <w:r w:rsidRPr="00E321CE">
        <w:t>, в котором он определил, что средство правовой защиты, предусматривающее рассмотрение дела судом более высокой инстанции, не имелось в распоряжении автора, поскольку оно может применяться только от имени народа Филиппин в лице Генерального солиситора и призван исправлять судебные ошибки, а не ошибки суждения, тогда как дискриминацию по пр</w:t>
      </w:r>
      <w:r w:rsidRPr="00E321CE">
        <w:t>и</w:t>
      </w:r>
      <w:r w:rsidRPr="00E321CE">
        <w:t>знаку пола следует рассматривать скорее как ошибку суждения; и что механизм рассмотрения дела судом более высокой инстанции является гражданским средством правовой защиты</w:t>
      </w:r>
      <w:r w:rsidR="00D23F5B">
        <w:rPr>
          <w:rStyle w:val="FootnoteReference"/>
        </w:rPr>
        <w:footnoteReference w:id="24"/>
      </w:r>
      <w:r w:rsidRPr="00E321CE">
        <w:t>. Комитет отмечает, что сходство этих двух дел как по существу, так и по процедурным вопросам и отсутствие новой соотве</w:t>
      </w:r>
      <w:r w:rsidRPr="00E321CE">
        <w:t>т</w:t>
      </w:r>
      <w:r w:rsidRPr="00E321CE">
        <w:t>ствующей информации по данному вопросу со стороны государства-участника не дают основания вынести иного заключения в данном случае. В этих обсто</w:t>
      </w:r>
      <w:r w:rsidRPr="00E321CE">
        <w:t>я</w:t>
      </w:r>
      <w:r w:rsidRPr="00E321CE">
        <w:t>тельствах Комитет считает, что положения пункта 1 статьи 4 Факультативного протокола не препятствуют рассмотрению им настоящего сообщения.</w:t>
      </w:r>
    </w:p>
    <w:p w:rsidR="00E321CE" w:rsidRPr="00E321CE" w:rsidRDefault="00E321CE" w:rsidP="00E321CE">
      <w:pPr>
        <w:pStyle w:val="SingleTxt"/>
      </w:pPr>
      <w:r w:rsidRPr="00E321CE">
        <w:t>7.4</w:t>
      </w:r>
      <w:r w:rsidRPr="00E321CE">
        <w:tab/>
        <w:t>В соответствии с пунктом 2 а) статьи 4 Факультативного протокола Ком</w:t>
      </w:r>
      <w:r w:rsidRPr="00E321CE">
        <w:t>и</w:t>
      </w:r>
      <w:r w:rsidRPr="00E321CE">
        <w:t>тет удостоверился в том, что этот вопрос не рассматривался и не рассматрив</w:t>
      </w:r>
      <w:r w:rsidRPr="00E321CE">
        <w:t>а</w:t>
      </w:r>
      <w:r w:rsidRPr="00E321CE">
        <w:t>ется в рамках какой-либо другой процедуры международного разбирательства или урегулирования.</w:t>
      </w:r>
    </w:p>
    <w:p w:rsidR="00E321CE" w:rsidRPr="00E321CE" w:rsidRDefault="00E321CE" w:rsidP="00E321CE">
      <w:pPr>
        <w:pStyle w:val="SingleTxt"/>
      </w:pPr>
      <w:r w:rsidRPr="00E321CE">
        <w:t>7.5</w:t>
      </w:r>
      <w:r w:rsidRPr="00E321CE">
        <w:tab/>
        <w:t>Комитет напоминает, что он не подменяет собой национальные власти при рассмотрении фактов и не занимается установлением уголовной отве</w:t>
      </w:r>
      <w:r w:rsidRPr="00E321CE">
        <w:t>т</w:t>
      </w:r>
      <w:r w:rsidRPr="00E321CE">
        <w:t>ственности предполагаемого преступника</w:t>
      </w:r>
      <w:r w:rsidR="00D23F5B">
        <w:rPr>
          <w:rStyle w:val="FootnoteReference"/>
        </w:rPr>
        <w:footnoteReference w:id="25"/>
      </w:r>
      <w:r w:rsidRPr="00E321CE">
        <w:t>.</w:t>
      </w:r>
    </w:p>
    <w:p w:rsidR="00E321CE" w:rsidRPr="00E321CE" w:rsidRDefault="00E321CE" w:rsidP="00E321CE">
      <w:pPr>
        <w:pStyle w:val="SingleTxt"/>
      </w:pPr>
      <w:r w:rsidRPr="00E321CE">
        <w:t>7.6</w:t>
      </w:r>
      <w:r w:rsidRPr="00E321CE">
        <w:tab/>
        <w:t>Комитет считает, что утверждения автора со ссылкой на статью 1 и пун</w:t>
      </w:r>
      <w:r w:rsidRPr="00E321CE">
        <w:t>к</w:t>
      </w:r>
      <w:r w:rsidRPr="00E321CE">
        <w:t xml:space="preserve">ты с), </w:t>
      </w:r>
      <w:r w:rsidRPr="00E321CE">
        <w:rPr>
          <w:lang w:val="en-US"/>
        </w:rPr>
        <w:t>d</w:t>
      </w:r>
      <w:r w:rsidRPr="00E321CE">
        <w:t xml:space="preserve">) и </w:t>
      </w:r>
      <w:r w:rsidRPr="00E321CE">
        <w:rPr>
          <w:lang w:val="en-US"/>
        </w:rPr>
        <w:t>f</w:t>
      </w:r>
      <w:r w:rsidRPr="00E321CE">
        <w:t>) статьи 2 Конвенции в достаточной степени обоснованы для целей определения приемлемости сообщения. Поэтому он объявляет сообщение пр</w:t>
      </w:r>
      <w:r w:rsidRPr="00E321CE">
        <w:t>и</w:t>
      </w:r>
      <w:r w:rsidRPr="00E321CE">
        <w:t>емлемым и приступает к его рассмотрению по существу.</w:t>
      </w:r>
    </w:p>
    <w:p w:rsidR="00E321CE" w:rsidRDefault="00E321CE" w:rsidP="00D23F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321CE">
        <w:tab/>
      </w:r>
      <w:r w:rsidRPr="00E321CE">
        <w:tab/>
        <w:t>Рассмотрение сообщения по существу</w:t>
      </w:r>
    </w:p>
    <w:p w:rsidR="00D23F5B" w:rsidRPr="00D23F5B" w:rsidRDefault="00D23F5B" w:rsidP="00D23F5B">
      <w:pPr>
        <w:pStyle w:val="SingleTxt"/>
        <w:spacing w:after="0" w:line="120" w:lineRule="exact"/>
        <w:rPr>
          <w:sz w:val="10"/>
        </w:rPr>
      </w:pPr>
    </w:p>
    <w:p w:rsidR="00E321CE" w:rsidRPr="00E321CE" w:rsidRDefault="00E321CE" w:rsidP="00E321CE">
      <w:pPr>
        <w:pStyle w:val="SingleTxt"/>
      </w:pPr>
      <w:r w:rsidRPr="00E321CE">
        <w:t>8.1</w:t>
      </w:r>
      <w:r w:rsidRPr="00E321CE">
        <w:tab/>
        <w:t>Комитет рассмотрел настоящее сообщение с учетом всей информации, представленной ему автором и государством-участником, как это предусмотр</w:t>
      </w:r>
      <w:r w:rsidRPr="00E321CE">
        <w:t>е</w:t>
      </w:r>
      <w:r w:rsidRPr="00E321CE">
        <w:t>но пунктом 1 статьи 7 Факультативного протокола.</w:t>
      </w:r>
    </w:p>
    <w:p w:rsidR="00E321CE" w:rsidRPr="00E321CE" w:rsidRDefault="00E321CE" w:rsidP="00E321CE">
      <w:pPr>
        <w:pStyle w:val="SingleTxt"/>
      </w:pPr>
      <w:r w:rsidRPr="00E321CE">
        <w:t>8.2</w:t>
      </w:r>
      <w:r w:rsidRPr="00E321CE">
        <w:tab/>
        <w:t>Комитет отмечает, что, согласно утверждению автора, государство-участник не обеспечило ее защиты от дискриминации по признаку пола, в частности не предоставив ей доступа</w:t>
      </w:r>
      <w:r w:rsidR="00D23F5B">
        <w:t xml:space="preserve"> — </w:t>
      </w:r>
      <w:r w:rsidRPr="00E321CE">
        <w:t>на равной основе с другими жертв</w:t>
      </w:r>
      <w:r w:rsidRPr="00E321CE">
        <w:t>а</w:t>
      </w:r>
      <w:r w:rsidRPr="00E321CE">
        <w:t>ми</w:t>
      </w:r>
      <w:r w:rsidR="00D23F5B">
        <w:t xml:space="preserve"> — </w:t>
      </w:r>
      <w:r w:rsidRPr="00E321CE">
        <w:t>к суду как женщине, которая к тому же является глухонемой. В этой св</w:t>
      </w:r>
      <w:r w:rsidRPr="00E321CE">
        <w:t>я</w:t>
      </w:r>
      <w:r w:rsidRPr="00E321CE">
        <w:t>зи он отмечает, что конкретные обвинения автора по этому поводу касаются, в частности, использования судом первой инстанции гендерных мифов и стере</w:t>
      </w:r>
      <w:r w:rsidRPr="00E321CE">
        <w:t>о</w:t>
      </w:r>
      <w:r w:rsidRPr="00E321CE">
        <w:t>типов в отношении изнасилования и жертв изнасилования, что привело к оправданию предполагаемого преступника; того, что суд не принял во вним</w:t>
      </w:r>
      <w:r w:rsidRPr="00E321CE">
        <w:t>а</w:t>
      </w:r>
      <w:r w:rsidRPr="00E321CE">
        <w:t xml:space="preserve">ние ее уязвимость как глухой девушки и не предоставил ей </w:t>
      </w:r>
      <w:r w:rsidR="00D23F5B">
        <w:t>«</w:t>
      </w:r>
      <w:r w:rsidRPr="00E321CE">
        <w:t>разумного пр</w:t>
      </w:r>
      <w:r w:rsidRPr="00E321CE">
        <w:t>и</w:t>
      </w:r>
      <w:r w:rsidRPr="00E321CE">
        <w:t>способления</w:t>
      </w:r>
      <w:r w:rsidR="00D23F5B">
        <w:t>»</w:t>
      </w:r>
      <w:r w:rsidRPr="00E321CE">
        <w:t xml:space="preserve"> на этой основе, в частности услуг переводчика жестового яз</w:t>
      </w:r>
      <w:r w:rsidRPr="00E321CE">
        <w:t>ы</w:t>
      </w:r>
      <w:r w:rsidRPr="00E321CE">
        <w:t>ка; и того, что суд не обеспечил проведения разбирательства без чрезмерных з</w:t>
      </w:r>
      <w:r w:rsidRPr="00E321CE">
        <w:t>а</w:t>
      </w:r>
      <w:r w:rsidRPr="00E321CE">
        <w:t>держек. Комитет определит, является ли все перечисленное выше нарушен</w:t>
      </w:r>
      <w:r w:rsidRPr="00E321CE">
        <w:t>и</w:t>
      </w:r>
      <w:r w:rsidRPr="00E321CE">
        <w:t>ем прав автора и несоблюдением государством-участником соответствующих об</w:t>
      </w:r>
      <w:r w:rsidRPr="00E321CE">
        <w:t>я</w:t>
      </w:r>
      <w:r w:rsidRPr="00E321CE">
        <w:t>зательств положить конец дискриминации в правовом процессе согласно статье 1 и пун</w:t>
      </w:r>
      <w:r w:rsidRPr="00E321CE">
        <w:t>к</w:t>
      </w:r>
      <w:r w:rsidRPr="00E321CE">
        <w:t xml:space="preserve">там с), </w:t>
      </w:r>
      <w:r w:rsidRPr="00E321CE">
        <w:rPr>
          <w:lang w:val="en-US"/>
        </w:rPr>
        <w:t>d</w:t>
      </w:r>
      <w:r w:rsidRPr="00E321CE">
        <w:t xml:space="preserve">) и </w:t>
      </w:r>
      <w:r w:rsidRPr="00E321CE">
        <w:rPr>
          <w:lang w:val="en-US"/>
        </w:rPr>
        <w:t>f</w:t>
      </w:r>
      <w:r w:rsidRPr="00E321CE">
        <w:t>) статьи 2 Конвенции.</w:t>
      </w:r>
    </w:p>
    <w:p w:rsidR="00E321CE" w:rsidRPr="00E321CE" w:rsidRDefault="00E321CE" w:rsidP="00E321CE">
      <w:pPr>
        <w:pStyle w:val="SingleTxt"/>
      </w:pPr>
      <w:r w:rsidRPr="00E321CE">
        <w:t>8.3</w:t>
      </w:r>
      <w:r w:rsidRPr="00E321CE">
        <w:tab/>
        <w:t>Что касается утверждения автора о нарушении положений статьи 2 с) Конвенции, то Комитет напоминает, что право на эффективную защиту, кот</w:t>
      </w:r>
      <w:r w:rsidRPr="00E321CE">
        <w:t>о</w:t>
      </w:r>
      <w:r w:rsidRPr="00E321CE">
        <w:t>рое также включает в себя право на эффективное средство правовой защиты, закреплено в Конвенции</w:t>
      </w:r>
      <w:r w:rsidR="00D23F5B">
        <w:rPr>
          <w:rStyle w:val="FootnoteReference"/>
        </w:rPr>
        <w:footnoteReference w:id="26"/>
      </w:r>
      <w:r w:rsidRPr="00E321CE">
        <w:t>. Это право подпадает под действие статьи 2 с), с</w:t>
      </w:r>
      <w:r w:rsidRPr="00E321CE">
        <w:t>о</w:t>
      </w:r>
      <w:r w:rsidRPr="00E321CE">
        <w:t xml:space="preserve">гласно которой государства-участники должны </w:t>
      </w:r>
      <w:r w:rsidR="00D23F5B">
        <w:t>«</w:t>
      </w:r>
      <w:r w:rsidRPr="00E321CE">
        <w:t>установить юридическую з</w:t>
      </w:r>
      <w:r w:rsidRPr="00E321CE">
        <w:t>а</w:t>
      </w:r>
      <w:r w:rsidRPr="00E321CE">
        <w:t>щиту прав женщин на равной основе с мужчинами и обеспечить с помощью компетентных национальных судов и других государственных учреждений э</w:t>
      </w:r>
      <w:r w:rsidRPr="00E321CE">
        <w:t>ф</w:t>
      </w:r>
      <w:r w:rsidRPr="00E321CE">
        <w:t>фективную защиту женщин против любого акта дискриминации</w:t>
      </w:r>
      <w:r w:rsidR="00D23F5B">
        <w:t>»</w:t>
      </w:r>
      <w:r w:rsidRPr="00E321CE">
        <w:t xml:space="preserve">, в сочетании с подпунктами b) и i) пункта 24  общей рекомендации № 19, согласно которым государства-участники должны </w:t>
      </w:r>
      <w:r w:rsidR="00D23F5B">
        <w:t>«</w:t>
      </w:r>
      <w:r w:rsidRPr="00E321CE">
        <w:t>обеспечить, чтобы законы, направленные пр</w:t>
      </w:r>
      <w:r w:rsidRPr="00E321CE">
        <w:t>о</w:t>
      </w:r>
      <w:r w:rsidRPr="00E321CE">
        <w:t>тив насилия и надругательств в семье, изнасилований, сексуальных напад</w:t>
      </w:r>
      <w:r w:rsidRPr="00E321CE">
        <w:t>е</w:t>
      </w:r>
      <w:r w:rsidRPr="00E321CE">
        <w:t>ний и других актов гендерного насилия, гарантировали надлежащую защиту всех женщин и обеспечивали уважение их чести и достоинства</w:t>
      </w:r>
      <w:r w:rsidR="00D23F5B">
        <w:t>»</w:t>
      </w:r>
      <w:r w:rsidRPr="00E321CE">
        <w:t xml:space="preserve">, и предусмотреть </w:t>
      </w:r>
      <w:r w:rsidR="00D23F5B">
        <w:t>«</w:t>
      </w:r>
      <w:r w:rsidRPr="00E321CE">
        <w:t>эффективные процедуры рассмотрения жалоб и принятия по ним надлеж</w:t>
      </w:r>
      <w:r w:rsidRPr="00E321CE">
        <w:t>а</w:t>
      </w:r>
      <w:r w:rsidRPr="00E321CE">
        <w:t>щих мер, включая выплату компенсации</w:t>
      </w:r>
      <w:r w:rsidR="00D23F5B">
        <w:t>»</w:t>
      </w:r>
      <w:r w:rsidRPr="00E321CE">
        <w:t>, для устранения всех форм гендерного насилия. Комитет также напоминает, что, для того чтобы правовая защита была эффективной, решения по делам об изнасиловании и сексуальных преступл</w:t>
      </w:r>
      <w:r w:rsidRPr="00E321CE">
        <w:t>е</w:t>
      </w:r>
      <w:r w:rsidRPr="00E321CE">
        <w:t>ниях должны приниматься с соблюдением принципов справедливости, беспр</w:t>
      </w:r>
      <w:r w:rsidRPr="00E321CE">
        <w:t>и</w:t>
      </w:r>
      <w:r w:rsidRPr="00E321CE">
        <w:t>страстности, своевременности и оперативности</w:t>
      </w:r>
      <w:r w:rsidR="00D23F5B">
        <w:rPr>
          <w:rStyle w:val="FootnoteReference"/>
        </w:rPr>
        <w:footnoteReference w:id="27"/>
      </w:r>
      <w:r w:rsidRPr="00E321CE">
        <w:t>. Комитет напом</w:t>
      </w:r>
      <w:r w:rsidRPr="00E321CE">
        <w:t>и</w:t>
      </w:r>
      <w:r w:rsidRPr="00E321CE">
        <w:t xml:space="preserve">нает далее о своей общей рекомендации № 18, в которой он отметил, что </w:t>
      </w:r>
      <w:r w:rsidR="00D23F5B">
        <w:t>«</w:t>
      </w:r>
      <w:r w:rsidRPr="00E321CE">
        <w:t>женщ</w:t>
      </w:r>
      <w:r w:rsidRPr="00E321CE">
        <w:t>и</w:t>
      </w:r>
      <w:r w:rsidRPr="00E321CE">
        <w:t>ны-инвалиды считаются уязвимой группой</w:t>
      </w:r>
      <w:r w:rsidR="00D23F5B">
        <w:t>»</w:t>
      </w:r>
      <w:r w:rsidRPr="00E321CE">
        <w:t xml:space="preserve"> и </w:t>
      </w:r>
      <w:r w:rsidR="00D23F5B">
        <w:t>«</w:t>
      </w:r>
      <w:r w:rsidRPr="00E321CE">
        <w:t>страдают от двойной дискримин</w:t>
      </w:r>
      <w:r w:rsidRPr="00E321CE">
        <w:t>а</w:t>
      </w:r>
      <w:r w:rsidRPr="00E321CE">
        <w:t>ции, вызванной особыми условиями их жизни</w:t>
      </w:r>
      <w:r w:rsidR="00D23F5B">
        <w:t>»</w:t>
      </w:r>
      <w:r w:rsidRPr="00E321CE">
        <w:t>. В этой связи Комитет подче</w:t>
      </w:r>
      <w:r w:rsidRPr="00E321CE">
        <w:t>р</w:t>
      </w:r>
      <w:r w:rsidRPr="00E321CE">
        <w:t>кивает, что крайне важно обеспечить, чтобы женщины-инвалиды пользов</w:t>
      </w:r>
      <w:r w:rsidRPr="00E321CE">
        <w:t>а</w:t>
      </w:r>
      <w:r w:rsidRPr="00E321CE">
        <w:t>лись эффективной защитой от дискриминации по признаку пола и гендерной ди</w:t>
      </w:r>
      <w:r w:rsidRPr="00E321CE">
        <w:t>с</w:t>
      </w:r>
      <w:r w:rsidRPr="00E321CE">
        <w:t>криминации со стороны государств-участников и имели доступ к эффе</w:t>
      </w:r>
      <w:r w:rsidRPr="00E321CE">
        <w:t>к</w:t>
      </w:r>
      <w:r w:rsidRPr="00E321CE">
        <w:t>тивным средствам правовой защиты.</w:t>
      </w:r>
    </w:p>
    <w:p w:rsidR="00E321CE" w:rsidRPr="00E321CE" w:rsidRDefault="00E321CE" w:rsidP="00E321CE">
      <w:pPr>
        <w:pStyle w:val="SingleTxt"/>
      </w:pPr>
      <w:r w:rsidRPr="00E321CE">
        <w:t>8.4</w:t>
      </w:r>
      <w:r w:rsidRPr="00E321CE">
        <w:tab/>
        <w:t>Принимая во внимание вышеизложенное, Комитет отмечает тот неосп</w:t>
      </w:r>
      <w:r w:rsidRPr="00E321CE">
        <w:t>о</w:t>
      </w:r>
      <w:r w:rsidRPr="00E321CE">
        <w:t>римый факт, что дело автора, по которому в суде были заслушаны лишь автор, ее мать и обвиняемый, оставалось на рассмотрение в суде первой инстанции в течение периода с 2006 по 2011 год. Он также отмечает, что государство-участник не отвергло утверждения автора о том, что отсутствие соответству</w:t>
      </w:r>
      <w:r w:rsidRPr="00E321CE">
        <w:t>ю</w:t>
      </w:r>
      <w:r w:rsidRPr="00E321CE">
        <w:t>щего планирования в суде первой инстанции, в дополнение к его длительной переписке с Филиппинским центром помощи глухонемым в связи с обеспеч</w:t>
      </w:r>
      <w:r w:rsidRPr="00E321CE">
        <w:t>е</w:t>
      </w:r>
      <w:r w:rsidRPr="00E321CE">
        <w:t>нием для нее услуг переводчика явились факторами, существенно затянувш</w:t>
      </w:r>
      <w:r w:rsidRPr="00E321CE">
        <w:t>и</w:t>
      </w:r>
      <w:r w:rsidRPr="00E321CE">
        <w:t>ми разбирательство этого дела.</w:t>
      </w:r>
    </w:p>
    <w:p w:rsidR="00E321CE" w:rsidRPr="00E321CE" w:rsidRDefault="00E321CE" w:rsidP="00E321CE">
      <w:pPr>
        <w:pStyle w:val="SingleTxt"/>
      </w:pPr>
      <w:r w:rsidRPr="00E321CE">
        <w:t>8.5</w:t>
      </w:r>
      <w:r w:rsidRPr="00E321CE">
        <w:tab/>
        <w:t>Комитет отмечает, что бесплатная помощь переводчика в случаях, когда соответствующие стороны, такие как обвиняемый или свидетели, не могут п</w:t>
      </w:r>
      <w:r w:rsidRPr="00E321CE">
        <w:t>о</w:t>
      </w:r>
      <w:r w:rsidRPr="00E321CE">
        <w:t>нять языка, используемого в суде, или не могут говорить на нем, является о</w:t>
      </w:r>
      <w:r w:rsidRPr="00E321CE">
        <w:t>д</w:t>
      </w:r>
      <w:r w:rsidRPr="00E321CE">
        <w:t>ной из основополагающих гарантий справедливого судебного разбирательства, закрепленной в правозащитных договорах</w:t>
      </w:r>
      <w:r w:rsidR="00D23F5B">
        <w:rPr>
          <w:rStyle w:val="FootnoteReference"/>
        </w:rPr>
        <w:footnoteReference w:id="28"/>
      </w:r>
      <w:r w:rsidRPr="00E321CE">
        <w:t xml:space="preserve"> и получившей дополнительное развитие в юриспруденции договорных органов</w:t>
      </w:r>
      <w:r w:rsidR="00D23F5B">
        <w:rPr>
          <w:rStyle w:val="FootnoteReference"/>
        </w:rPr>
        <w:footnoteReference w:id="29"/>
      </w:r>
      <w:r w:rsidRPr="00E321CE">
        <w:t>. Он отмечает, что в данном случае автор, молодая глухая женщина, понимала только письменный англи</w:t>
      </w:r>
      <w:r w:rsidRPr="00E321CE">
        <w:t>й</w:t>
      </w:r>
      <w:r w:rsidRPr="00E321CE">
        <w:t>ский язык, и была не способна слышать, тогда как разбирательства, в том числе слушания в суде, проходили с использованием разговорных и письменных ф</w:t>
      </w:r>
      <w:r w:rsidRPr="00E321CE">
        <w:t>и</w:t>
      </w:r>
      <w:r w:rsidRPr="00E321CE">
        <w:t>липпинского и английского языков.</w:t>
      </w:r>
    </w:p>
    <w:p w:rsidR="00E321CE" w:rsidRPr="00E321CE" w:rsidRDefault="00E321CE" w:rsidP="00E321CE">
      <w:pPr>
        <w:pStyle w:val="SingleTxt"/>
      </w:pPr>
      <w:r w:rsidRPr="00E321CE">
        <w:t>8.6</w:t>
      </w:r>
      <w:r w:rsidRPr="00E321CE">
        <w:tab/>
        <w:t>Комитет отмечает также, что утверждение автора о том, что в ходе ра</w:t>
      </w:r>
      <w:r w:rsidRPr="00E321CE">
        <w:t>с</w:t>
      </w:r>
      <w:r w:rsidRPr="00E321CE">
        <w:t>следования и на некоторых слушаниях в суде, в том числе во время вынесения оправдательного приговора обвиняемому, ей не были предоставлены услуги переводчика жестового языка, несмотря на тот факт, что она присутствовала на всех слушаниях и что бремя поиска переводчиков жестового языка и обеспеч</w:t>
      </w:r>
      <w:r w:rsidRPr="00E321CE">
        <w:t>е</w:t>
      </w:r>
      <w:r w:rsidRPr="00E321CE">
        <w:t>ние их присутствия в суде было возложено, по крайней мере, частично, на а</w:t>
      </w:r>
      <w:r w:rsidRPr="00E321CE">
        <w:t>в</w:t>
      </w:r>
      <w:r w:rsidRPr="00E321CE">
        <w:t>тора</w:t>
      </w:r>
      <w:r w:rsidR="00D23F5B">
        <w:rPr>
          <w:rStyle w:val="FootnoteReference"/>
        </w:rPr>
        <w:footnoteReference w:id="30"/>
      </w:r>
      <w:r w:rsidRPr="00E321CE">
        <w:t>. Комитет отмечает, что государство-участник не оспорило это утве</w:t>
      </w:r>
      <w:r w:rsidRPr="00E321CE">
        <w:t>р</w:t>
      </w:r>
      <w:r w:rsidRPr="00E321CE">
        <w:t>ждение автора. Оно также не продемонстрировало, каким образом положения о предоставлении услуг переводчиков жестового языка, содержащиеся в пост</w:t>
      </w:r>
      <w:r w:rsidRPr="00E321CE">
        <w:t>а</w:t>
      </w:r>
      <w:r w:rsidRPr="00E321CE">
        <w:t>новлении-записке Верховного суда № 59</w:t>
      </w:r>
      <w:r w:rsidRPr="00E321CE">
        <w:noBreakHyphen/>
        <w:t>2004 и циркуляре канцелярии адм</w:t>
      </w:r>
      <w:r w:rsidRPr="00E321CE">
        <w:t>и</w:t>
      </w:r>
      <w:r w:rsidRPr="00E321CE">
        <w:t>нистратора Верховного суда № 104</w:t>
      </w:r>
      <w:r w:rsidRPr="00E321CE">
        <w:noBreakHyphen/>
        <w:t>2007, применялись на практике в данном случае. В этой связи Комитет отмечает, что, как указала автор, и что не было опровергнуто государством-участником, согласно исследованию, проведенн</w:t>
      </w:r>
      <w:r w:rsidRPr="00E321CE">
        <w:t>о</w:t>
      </w:r>
      <w:r w:rsidRPr="00E321CE">
        <w:t>му Филиппинским центром помощи глухонемым, в большинстве исков, во</w:t>
      </w:r>
      <w:r w:rsidRPr="00E321CE">
        <w:t>з</w:t>
      </w:r>
      <w:r w:rsidRPr="00E321CE">
        <w:t>бужденных глухими истцами на Филиппинах в 2006</w:t>
      </w:r>
      <w:r w:rsidR="00D23F5B">
        <w:t>–</w:t>
      </w:r>
      <w:r w:rsidRPr="00E321CE">
        <w:t>2010 годах в отношении изнасилования, менее чем 1 из 3 жертв пользовалась услугами переводчиков жестового языка</w:t>
      </w:r>
      <w:r w:rsidR="00D23F5B">
        <w:rPr>
          <w:rStyle w:val="FootnoteReference"/>
        </w:rPr>
        <w:footnoteReference w:id="31"/>
      </w:r>
      <w:r w:rsidRPr="00E321CE">
        <w:t>. Комитет принимает к сведению утверждение автора в о</w:t>
      </w:r>
      <w:r w:rsidRPr="00E321CE">
        <w:t>т</w:t>
      </w:r>
      <w:r w:rsidRPr="00E321CE">
        <w:t>ношении отсутствия на Филиппинах всеобъемлющей стратегии содействия р</w:t>
      </w:r>
      <w:r w:rsidRPr="00E321CE">
        <w:t>а</w:t>
      </w:r>
      <w:r w:rsidRPr="00E321CE">
        <w:t>венству и доступности системы отправления правосудия для глухих, особенно женщин и девочек, а также отсутствия норм и процедур обеспечения перевода для таких участников процесса. Он отмечает далее, что соответствующая п</w:t>
      </w:r>
      <w:r w:rsidRPr="00E321CE">
        <w:t>о</w:t>
      </w:r>
      <w:r w:rsidRPr="00E321CE">
        <w:t>литика государства-участника требует обеспечения перевода только в тех сл</w:t>
      </w:r>
      <w:r w:rsidRPr="00E321CE">
        <w:t>у</w:t>
      </w:r>
      <w:r w:rsidRPr="00E321CE">
        <w:t xml:space="preserve">чаях, когда глухого </w:t>
      </w:r>
      <w:r w:rsidR="00D23F5B">
        <w:t>«</w:t>
      </w:r>
      <w:r w:rsidRPr="00E321CE">
        <w:t>необходимо понять в полной мере</w:t>
      </w:r>
      <w:r w:rsidR="00D23F5B">
        <w:t>»</w:t>
      </w:r>
      <w:r w:rsidRPr="00E321CE">
        <w:t xml:space="preserve">. Он также отмечает, ссылаясь на исследование, проведенное Центром, что некоторые суды не знают о существовании этого требования и не разрешают обеспечивать сурдоперевод для глухого участника процесса, считая это </w:t>
      </w:r>
      <w:r w:rsidR="00D23F5B">
        <w:t>«</w:t>
      </w:r>
      <w:r w:rsidRPr="00E321CE">
        <w:t>показанием с чужих слов</w:t>
      </w:r>
      <w:r w:rsidR="00D23F5B">
        <w:t>»</w:t>
      </w:r>
      <w:r w:rsidRPr="00E321CE">
        <w:t xml:space="preserve"> или дополнительной услугой, которую должны оплачивать глухие участники пр</w:t>
      </w:r>
      <w:r w:rsidRPr="00E321CE">
        <w:t>о</w:t>
      </w:r>
      <w:r w:rsidRPr="00E321CE">
        <w:t>цесса.</w:t>
      </w:r>
    </w:p>
    <w:p w:rsidR="00E321CE" w:rsidRPr="00E321CE" w:rsidRDefault="00E321CE" w:rsidP="00E321CE">
      <w:pPr>
        <w:pStyle w:val="SingleTxt"/>
      </w:pPr>
      <w:r w:rsidRPr="00E321CE">
        <w:t>8.7</w:t>
      </w:r>
      <w:r w:rsidRPr="00E321CE">
        <w:tab/>
        <w:t>Комитет отмечает, что вышеупомянутая информация и утверждения авт</w:t>
      </w:r>
      <w:r w:rsidRPr="00E321CE">
        <w:t>о</w:t>
      </w:r>
      <w:r w:rsidRPr="00E321CE">
        <w:t>ра так и не были оспорены государством-участником. С учетом вышеизложе</w:t>
      </w:r>
      <w:r w:rsidRPr="00E321CE">
        <w:t>н</w:t>
      </w:r>
      <w:r w:rsidRPr="00E321CE">
        <w:t>ного Комитет считает, что в обстоятельствах данного дела предоставление услуг переводчика жестового языка было необходимо для обеспечения полн</w:t>
      </w:r>
      <w:r w:rsidRPr="00E321CE">
        <w:t>о</w:t>
      </w:r>
      <w:r w:rsidRPr="00E321CE">
        <w:t>ценного и равноправного участия автора в разбирательствах в соответствии с принципом равенства сторон, а, следовательно, и для того, чтобы гарантир</w:t>
      </w:r>
      <w:r w:rsidRPr="00E321CE">
        <w:t>о</w:t>
      </w:r>
      <w:r w:rsidRPr="00E321CE">
        <w:t xml:space="preserve">вать использование ею эффективной защиты от дискриминации по смыслу пунктов с) и </w:t>
      </w:r>
      <w:r w:rsidRPr="00E321CE">
        <w:rPr>
          <w:lang w:val="en-US"/>
        </w:rPr>
        <w:t>d</w:t>
      </w:r>
      <w:r w:rsidRPr="00E321CE">
        <w:t>) статьи 2 Конвенции, рассматриваемых в совокупности с общей рекомендацией № 19 Комитета</w:t>
      </w:r>
      <w:r w:rsidR="00D23F5B">
        <w:rPr>
          <w:rStyle w:val="FootnoteReference"/>
        </w:rPr>
        <w:footnoteReference w:id="32"/>
      </w:r>
      <w:r w:rsidRPr="00E321CE">
        <w:t>.</w:t>
      </w:r>
    </w:p>
    <w:p w:rsidR="00E321CE" w:rsidRPr="00E321CE" w:rsidRDefault="00E321CE" w:rsidP="00E321CE">
      <w:pPr>
        <w:pStyle w:val="SingleTxt"/>
      </w:pPr>
      <w:r w:rsidRPr="00E321CE">
        <w:t>8.8</w:t>
      </w:r>
      <w:r w:rsidRPr="00E321CE">
        <w:tab/>
        <w:t>Что касается претензии автора по пункту </w:t>
      </w:r>
      <w:r w:rsidRPr="00E321CE">
        <w:rPr>
          <w:lang w:val="en-US"/>
        </w:rPr>
        <w:t>f</w:t>
      </w:r>
      <w:r w:rsidRPr="00E321CE">
        <w:t>) статьи 2 Конвенции, то Ком</w:t>
      </w:r>
      <w:r w:rsidRPr="00E321CE">
        <w:t>и</w:t>
      </w:r>
      <w:r w:rsidRPr="00E321CE">
        <w:t>тет напоминает о том, что Конвенция возлагает обязательства на все госуда</w:t>
      </w:r>
      <w:r w:rsidRPr="00E321CE">
        <w:t>р</w:t>
      </w:r>
      <w:r w:rsidRPr="00E321CE">
        <w:t>ственные органы и что государства-участники несут ответственность за суде</w:t>
      </w:r>
      <w:r w:rsidRPr="00E321CE">
        <w:t>б</w:t>
      </w:r>
      <w:r w:rsidRPr="00E321CE">
        <w:t>ные решения, которые нарушают положения Конвенции. Он отмечает, что с</w:t>
      </w:r>
      <w:r w:rsidRPr="00E321CE">
        <w:t>о</w:t>
      </w:r>
      <w:r w:rsidRPr="00E321CE">
        <w:t>гласно этому положению Конвенции государство-участник обязано принимать соответствующие меры для изменения или отмены не только действующих з</w:t>
      </w:r>
      <w:r w:rsidRPr="00E321CE">
        <w:t>а</w:t>
      </w:r>
      <w:r w:rsidRPr="00E321CE">
        <w:t>конов и положений, но и обычаев и практики, которые представляют собой дискриминацию в отношении женщин. В этой связи Комитет подчеркивает, что наличие стереотипов оказывает воздействие на реализацию права женщин на объективное и справедливое судебное разбирательство и что судебные органы обязаны проявлять осторожность, с тем чтобы не создавать жестких норм в о</w:t>
      </w:r>
      <w:r w:rsidRPr="00E321CE">
        <w:t>т</w:t>
      </w:r>
      <w:r w:rsidRPr="00E321CE">
        <w:t>ношении того, какими должны быть женщины или девочки и каково должно быть их поведение, когда они подвергаются изнасилованию, основываясь лишь на предвзятых представлениях о том, что такое жертва изнасилования</w:t>
      </w:r>
      <w:r w:rsidR="00D23F5B">
        <w:rPr>
          <w:rStyle w:val="FootnoteReference"/>
        </w:rPr>
        <w:footnoteReference w:id="33"/>
      </w:r>
      <w:r w:rsidRPr="00E321CE">
        <w:t>. В данном конкретном случае соблюдение государством-участником обязател</w:t>
      </w:r>
      <w:r w:rsidRPr="00E321CE">
        <w:t>ь</w:t>
      </w:r>
      <w:r w:rsidRPr="00E321CE">
        <w:t>ства запрещать гендерные стереотипы в соответствии с пунктом </w:t>
      </w:r>
      <w:r w:rsidRPr="00E321CE">
        <w:rPr>
          <w:lang w:val="en-US"/>
        </w:rPr>
        <w:t>f</w:t>
      </w:r>
      <w:r w:rsidRPr="00E321CE">
        <w:t>) статьи 2 следует оценивать в свете того, в какой степени учитывались гендерный фа</w:t>
      </w:r>
      <w:r w:rsidRPr="00E321CE">
        <w:t>к</w:t>
      </w:r>
      <w:r w:rsidRPr="00E321CE">
        <w:t>тор, во</w:t>
      </w:r>
      <w:r w:rsidRPr="00E321CE">
        <w:t>з</w:t>
      </w:r>
      <w:r w:rsidRPr="00E321CE">
        <w:t>раст и фактор инвалидности в ходе судебного разбирательства по делу автора.</w:t>
      </w:r>
    </w:p>
    <w:p w:rsidR="00E321CE" w:rsidRPr="00E321CE" w:rsidRDefault="00E321CE" w:rsidP="00E321CE">
      <w:pPr>
        <w:pStyle w:val="SingleTxt"/>
      </w:pPr>
      <w:r w:rsidRPr="00E321CE">
        <w:t>8.9</w:t>
      </w:r>
      <w:r w:rsidRPr="00E321CE">
        <w:tab/>
        <w:t xml:space="preserve">Комитет отмечает, что в соответствии с доктриной </w:t>
      </w:r>
      <w:r w:rsidRPr="00E321CE">
        <w:rPr>
          <w:lang w:val="en-US"/>
        </w:rPr>
        <w:t>stare</w:t>
      </w:r>
      <w:r w:rsidRPr="00E321CE">
        <w:t xml:space="preserve"> </w:t>
      </w:r>
      <w:r w:rsidRPr="00E321CE">
        <w:rPr>
          <w:lang w:val="en-US"/>
        </w:rPr>
        <w:t>decisis</w:t>
      </w:r>
      <w:r w:rsidRPr="00E321CE">
        <w:t xml:space="preserve"> суд при применении касающихся изнасилования положений пересмотренного Уголо</w:t>
      </w:r>
      <w:r w:rsidRPr="00E321CE">
        <w:t>в</w:t>
      </w:r>
      <w:r w:rsidRPr="00E321CE">
        <w:t>ного кодекса 1930 года и при вынесении решений по делам об изнасилованиях в аналогичных обстоятельствах полагался на руководящие принципы, вытек</w:t>
      </w:r>
      <w:r w:rsidRPr="00E321CE">
        <w:t>а</w:t>
      </w:r>
      <w:r w:rsidRPr="00E321CE">
        <w:t>ющие из судебных прецедентов. Комитет обращает внимание на то, что уже в самом начале решения содержится ссылка на три общих руководящих принц</w:t>
      </w:r>
      <w:r w:rsidRPr="00E321CE">
        <w:t>и</w:t>
      </w:r>
      <w:r w:rsidRPr="00E321CE">
        <w:t>па, применяемых при рассмотрении дел об изнасиловании. Что касается ге</w:t>
      </w:r>
      <w:r w:rsidRPr="00E321CE">
        <w:t>н</w:t>
      </w:r>
      <w:r w:rsidRPr="00E321CE">
        <w:t>дерных мифов и стереотипов, которые, по утверждению автора, присутствуют во всем тексте решения</w:t>
      </w:r>
      <w:r w:rsidR="00D23F5B">
        <w:rPr>
          <w:rStyle w:val="FootnoteReference"/>
        </w:rPr>
        <w:footnoteReference w:id="34"/>
      </w:r>
      <w:r w:rsidRPr="00E321CE">
        <w:t>, то после тщательного рассмотрения основных эл</w:t>
      </w:r>
      <w:r w:rsidRPr="00E321CE">
        <w:t>е</w:t>
      </w:r>
      <w:r w:rsidRPr="00E321CE">
        <w:t xml:space="preserve">ментов, на которых основывается решение, Комитет отмечает, что, во-первых, суд первой инстанции ожидал от автора определенного поведения, которое обычная филиппинская жертва изнасилования должна продемонстрировать в подобных обстоятельствах, а именно </w:t>
      </w:r>
      <w:r w:rsidR="00D23F5B">
        <w:t>«</w:t>
      </w:r>
      <w:r w:rsidRPr="00E321CE">
        <w:t>употребить все свои силы и все муж</w:t>
      </w:r>
      <w:r w:rsidRPr="00E321CE">
        <w:t>е</w:t>
      </w:r>
      <w:r w:rsidRPr="00E321CE">
        <w:t>ство, чтобы пресечь любую попытку очернить ее честь и запятнать ее непоро</w:t>
      </w:r>
      <w:r w:rsidRPr="00E321CE">
        <w:t>ч</w:t>
      </w:r>
      <w:r w:rsidRPr="00E321CE">
        <w:t>ность</w:t>
      </w:r>
      <w:r w:rsidR="00D23F5B">
        <w:t>»</w:t>
      </w:r>
      <w:r w:rsidRPr="00E321CE">
        <w:t xml:space="preserve">. Во-вторых, суд оценил поведение автора, исходя из этого стандарта, и счел, что ее </w:t>
      </w:r>
      <w:r w:rsidR="00D23F5B">
        <w:t>«</w:t>
      </w:r>
      <w:r w:rsidRPr="00E321CE">
        <w:t>поведение не соответствовало поведению обычной филиппинки</w:t>
      </w:r>
      <w:r w:rsidR="00D23F5B">
        <w:t>»</w:t>
      </w:r>
      <w:r w:rsidRPr="00E321CE">
        <w:t xml:space="preserve"> и </w:t>
      </w:r>
      <w:r w:rsidR="00D23F5B">
        <w:t>«</w:t>
      </w:r>
      <w:r w:rsidRPr="00E321CE">
        <w:t>разумному поведению человека</w:t>
      </w:r>
      <w:r w:rsidR="00D23F5B">
        <w:t>»</w:t>
      </w:r>
      <w:r w:rsidRPr="00E321CE">
        <w:t>, поскольку она не попыталась вырваться или оказать сопротивление нападавшему, в частности создав шум или прим</w:t>
      </w:r>
      <w:r w:rsidRPr="00E321CE">
        <w:t>е</w:t>
      </w:r>
      <w:r w:rsidRPr="00E321CE">
        <w:t xml:space="preserve">нив силу. Суд заявил, что </w:t>
      </w:r>
      <w:r w:rsidR="00D23F5B">
        <w:t>«</w:t>
      </w:r>
      <w:r w:rsidRPr="00E321CE">
        <w:t>тот факт, что она даже не попыталась вырваться […] или, по крайней мере, воззвать о помощи, несмотря на то, что она могла сд</w:t>
      </w:r>
      <w:r w:rsidRPr="00E321CE">
        <w:t>е</w:t>
      </w:r>
      <w:r w:rsidRPr="00E321CE">
        <w:t>лать это, порождает сомнения в ее честности и мешает поверить в ее утве</w:t>
      </w:r>
      <w:r w:rsidRPr="00E321CE">
        <w:t>р</w:t>
      </w:r>
      <w:r w:rsidRPr="00E321CE">
        <w:t>ждение о том, что это было совершено вопреки ее воле и согласию</w:t>
      </w:r>
      <w:r w:rsidR="00D23F5B">
        <w:t>»</w:t>
      </w:r>
      <w:r w:rsidRPr="00E321CE">
        <w:t>. Комитет считает, что сами по себе такие выводы суда говорят о наличии сильных ге</w:t>
      </w:r>
      <w:r w:rsidRPr="00E321CE">
        <w:t>н</w:t>
      </w:r>
      <w:r w:rsidRPr="00E321CE">
        <w:t>дерных стереотипов, приводящих в результате к дискриминации по признаку пола и гендерной дискриминации и не учитывают конкретные обстоятельства дела, в частности факт инвалидности автора и ее возраст.</w:t>
      </w:r>
    </w:p>
    <w:p w:rsidR="00E321CE" w:rsidRPr="00E321CE" w:rsidRDefault="00E321CE" w:rsidP="00E321CE">
      <w:pPr>
        <w:pStyle w:val="SingleTxt"/>
      </w:pPr>
      <w:r w:rsidRPr="00E321CE">
        <w:t>8.10</w:t>
      </w:r>
      <w:r w:rsidRPr="00E321CE">
        <w:tab/>
        <w:t>Комитет отмечает далее, что гендерные стереотипы и предубеждения, проявленные судом первой инстанции, включали, в частности, соображения о том, что жертва изнасилования якобы не оказала сопротивления и дала свое с</w:t>
      </w:r>
      <w:r w:rsidRPr="00E321CE">
        <w:t>о</w:t>
      </w:r>
      <w:r w:rsidRPr="00E321CE">
        <w:t>гласие, и о применении силы и запугивания преступником. Комитет ссылается на свое мнение, согласно которому представление о том, что автор должна б</w:t>
      </w:r>
      <w:r w:rsidRPr="00E321CE">
        <w:t>ы</w:t>
      </w:r>
      <w:r w:rsidRPr="00E321CE">
        <w:t>ла оказывать сопротивление в данных обстоятельствах, в конкретной форме з</w:t>
      </w:r>
      <w:r w:rsidRPr="00E321CE">
        <w:t>а</w:t>
      </w:r>
      <w:r w:rsidRPr="00E321CE">
        <w:t>крепляет тот стереотип, что женщины должны оказывать физическое сопр</w:t>
      </w:r>
      <w:r w:rsidRPr="00E321CE">
        <w:t>о</w:t>
      </w:r>
      <w:r w:rsidRPr="00E321CE">
        <w:t>тивление посягательствам сексуального характера. Комитет вновь подчеркив</w:t>
      </w:r>
      <w:r w:rsidRPr="00E321CE">
        <w:t>а</w:t>
      </w:r>
      <w:r w:rsidRPr="00E321CE">
        <w:t>ет, что ни в законе, ни в практической деятельности не должно быть никаких презумпций того, что женщина дает свое согласие, если не оказывает физич</w:t>
      </w:r>
      <w:r w:rsidRPr="00E321CE">
        <w:t>е</w:t>
      </w:r>
      <w:r w:rsidRPr="00E321CE">
        <w:t>ского сопротивления нежелаемому сексуальному поведению, независимо от т</w:t>
      </w:r>
      <w:r w:rsidRPr="00E321CE">
        <w:t>о</w:t>
      </w:r>
      <w:r w:rsidRPr="00E321CE">
        <w:t>го, угрожал ли преступник применением физического насилия или применил такое насилие</w:t>
      </w:r>
      <w:r w:rsidR="00D23F5B">
        <w:rPr>
          <w:rStyle w:val="FootnoteReference"/>
        </w:rPr>
        <w:footnoteReference w:id="35"/>
      </w:r>
      <w:r w:rsidRPr="00E321CE">
        <w:t>. Он также вновь заявляет, что отсутствие согласия является одним из важных элементов преступления изнасилования, которое представл</w:t>
      </w:r>
      <w:r w:rsidRPr="00E321CE">
        <w:t>я</w:t>
      </w:r>
      <w:r w:rsidRPr="00E321CE">
        <w:t>ет собой нарушение права женщин на личную безопасность, автономию и ф</w:t>
      </w:r>
      <w:r w:rsidRPr="00E321CE">
        <w:t>и</w:t>
      </w:r>
      <w:r w:rsidRPr="00E321CE">
        <w:t>зическую неприкосновенность</w:t>
      </w:r>
      <w:r w:rsidR="00D23F5B">
        <w:rPr>
          <w:rStyle w:val="FootnoteReference"/>
        </w:rPr>
        <w:footnoteReference w:id="36"/>
      </w:r>
      <w:r w:rsidRPr="00E321CE">
        <w:t>. В этой связи Комитет отмечает, что, н</w:t>
      </w:r>
      <w:r w:rsidRPr="00E321CE">
        <w:t>е</w:t>
      </w:r>
      <w:r w:rsidRPr="00E321CE">
        <w:t xml:space="preserve">смотря на конкретную рекомендацию в адрес государства-участника включить элемент </w:t>
      </w:r>
      <w:r w:rsidR="00D23F5B">
        <w:t>«</w:t>
      </w:r>
      <w:r w:rsidRPr="00E321CE">
        <w:t>отсутствия согласия</w:t>
      </w:r>
      <w:r w:rsidR="00D23F5B">
        <w:t>»</w:t>
      </w:r>
      <w:r w:rsidRPr="00E321CE">
        <w:t xml:space="preserve"> в определение изнасилования в пересмотренном Уг</w:t>
      </w:r>
      <w:r w:rsidRPr="00E321CE">
        <w:t>о</w:t>
      </w:r>
      <w:r w:rsidRPr="00E321CE">
        <w:t>ловном кодексе 1930 года</w:t>
      </w:r>
      <w:r w:rsidR="00D23F5B">
        <w:rPr>
          <w:rStyle w:val="FootnoteReference"/>
        </w:rPr>
        <w:footnoteReference w:id="37"/>
      </w:r>
      <w:r w:rsidRPr="00E321CE">
        <w:t>, государство-участник не внесло никаких измен</w:t>
      </w:r>
      <w:r w:rsidRPr="00E321CE">
        <w:t>е</w:t>
      </w:r>
      <w:r w:rsidRPr="00E321CE">
        <w:t>ний в свое законодательство.</w:t>
      </w:r>
    </w:p>
    <w:p w:rsidR="00E321CE" w:rsidRPr="00E321CE" w:rsidRDefault="00E321CE" w:rsidP="00E321CE">
      <w:pPr>
        <w:pStyle w:val="SingleTxt"/>
      </w:pPr>
      <w:r w:rsidRPr="00E321CE">
        <w:t>8.11</w:t>
      </w:r>
      <w:r w:rsidRPr="00E321CE">
        <w:tab/>
        <w:t>Комитет далее признает, что автор понесла материальный и моральный ущерб и пострадала от проявленных по отношению к ней предрассудков, в частности в результате чрезмерно длительного судебного разбирательства, того обстоятельства, что суд не предоставил ей бесплатную помощь переводчиков жестового языка, и использования стереотипов и гендерных мифов и игнор</w:t>
      </w:r>
      <w:r w:rsidRPr="00E321CE">
        <w:t>и</w:t>
      </w:r>
      <w:r w:rsidRPr="00E321CE">
        <w:t>рования ее особой ситуации в качестве глухонемой девушки при принятии р</w:t>
      </w:r>
      <w:r w:rsidRPr="00E321CE">
        <w:t>е</w:t>
      </w:r>
      <w:r w:rsidRPr="00E321CE">
        <w:t>шения.</w:t>
      </w:r>
    </w:p>
    <w:p w:rsidR="00E321CE" w:rsidRPr="00E321CE" w:rsidRDefault="00E321CE" w:rsidP="00E321CE">
      <w:pPr>
        <w:pStyle w:val="SingleTxt"/>
      </w:pPr>
      <w:r w:rsidRPr="00E321CE">
        <w:t>9.</w:t>
      </w:r>
      <w:r w:rsidRPr="00E321CE">
        <w:tab/>
        <w:t xml:space="preserve">Действуя в соответствии с пунктом 3 статьи 7 Факультативного протокола к Конвенции и с учетом вышеизложенных соображений, Комитет считает, что государство-участник не выполнило своих обязательств и тем самым нарушило права автора по смыслу пунктов с), </w:t>
      </w:r>
      <w:r w:rsidRPr="00E321CE">
        <w:rPr>
          <w:lang w:val="en-US"/>
        </w:rPr>
        <w:t>d</w:t>
      </w:r>
      <w:r w:rsidRPr="00E321CE">
        <w:t xml:space="preserve">), </w:t>
      </w:r>
      <w:r w:rsidRPr="00E321CE">
        <w:rPr>
          <w:lang w:val="en-US"/>
        </w:rPr>
        <w:t>f</w:t>
      </w:r>
      <w:r w:rsidRPr="00E321CE">
        <w:t>) статьи 2, рассматриваемыми в сов</w:t>
      </w:r>
      <w:r w:rsidRPr="00E321CE">
        <w:t>о</w:t>
      </w:r>
      <w:r w:rsidRPr="00E321CE">
        <w:t>купности со статьей 1 Конвенции и общими рекомендациями № 18 и № 19 К</w:t>
      </w:r>
      <w:r w:rsidRPr="00E321CE">
        <w:t>о</w:t>
      </w:r>
      <w:r w:rsidRPr="00E321CE">
        <w:t>митета. Комитет выносит в адрес государства-участника следующие рекоме</w:t>
      </w:r>
      <w:r w:rsidRPr="00E321CE">
        <w:t>н</w:t>
      </w:r>
      <w:r w:rsidRPr="00E321CE">
        <w:t>дации:</w:t>
      </w:r>
    </w:p>
    <w:p w:rsidR="00E321CE" w:rsidRPr="00E321CE" w:rsidRDefault="00E321CE" w:rsidP="00E321CE">
      <w:pPr>
        <w:pStyle w:val="SingleTxt"/>
        <w:rPr>
          <w:i/>
        </w:rPr>
      </w:pPr>
      <w:r w:rsidRPr="00E321CE">
        <w:rPr>
          <w:i/>
        </w:rPr>
        <w:t>а)</w:t>
      </w:r>
      <w:r w:rsidRPr="00E321CE">
        <w:rPr>
          <w:i/>
        </w:rPr>
        <w:tab/>
        <w:t>Касательно автора сообщения</w:t>
      </w:r>
    </w:p>
    <w:p w:rsidR="00E321CE" w:rsidRPr="00E321CE" w:rsidRDefault="00E321CE" w:rsidP="00E321CE">
      <w:pPr>
        <w:pStyle w:val="SingleTxt"/>
      </w:pPr>
      <w:r w:rsidRPr="00E321CE">
        <w:tab/>
      </w:r>
      <w:r w:rsidRPr="00E321CE">
        <w:rPr>
          <w:lang w:val="en-US"/>
        </w:rPr>
        <w:t>i</w:t>
      </w:r>
      <w:r w:rsidRPr="00E321CE">
        <w:t>)</w:t>
      </w:r>
      <w:r w:rsidRPr="00E321CE">
        <w:tab/>
        <w:t>Предоставить возмещение, в том числе денежную компенсацию, с</w:t>
      </w:r>
      <w:r w:rsidRPr="00E321CE">
        <w:t>о</w:t>
      </w:r>
      <w:r w:rsidRPr="00E321CE">
        <w:t>размерное серьезности нарушений прав автора;</w:t>
      </w:r>
    </w:p>
    <w:p w:rsidR="00E321CE" w:rsidRPr="00E321CE" w:rsidRDefault="00E321CE" w:rsidP="00E321CE">
      <w:pPr>
        <w:pStyle w:val="SingleTxt"/>
      </w:pPr>
      <w:r w:rsidRPr="00E321CE">
        <w:tab/>
      </w:r>
      <w:r w:rsidRPr="00E321CE">
        <w:rPr>
          <w:lang w:val="en-US"/>
        </w:rPr>
        <w:t>ii</w:t>
      </w:r>
      <w:r w:rsidRPr="00E321CE">
        <w:t>)</w:t>
      </w:r>
      <w:r w:rsidRPr="00E321CE">
        <w:tab/>
        <w:t>Обеспечить бесплатное психологическое консультирование и леч</w:t>
      </w:r>
      <w:r w:rsidRPr="00E321CE">
        <w:t>е</w:t>
      </w:r>
      <w:r w:rsidRPr="00E321CE">
        <w:t>ние для автора и затронутых членов ее семьи.</w:t>
      </w:r>
    </w:p>
    <w:p w:rsidR="00E321CE" w:rsidRPr="00E321CE" w:rsidRDefault="00E321CE" w:rsidP="00E321CE">
      <w:pPr>
        <w:pStyle w:val="SingleTxt"/>
      </w:pPr>
      <w:r w:rsidRPr="00E321CE">
        <w:tab/>
      </w:r>
      <w:r w:rsidRPr="00E321CE">
        <w:rPr>
          <w:lang w:val="en-US"/>
        </w:rPr>
        <w:t>iii</w:t>
      </w:r>
      <w:r w:rsidRPr="00E321CE">
        <w:t>)</w:t>
      </w:r>
      <w:r w:rsidRPr="00E321CE">
        <w:tab/>
        <w:t>Обеспечить безбарьерное образование с переводом;</w:t>
      </w:r>
    </w:p>
    <w:p w:rsidR="00E321CE" w:rsidRPr="00E321CE" w:rsidRDefault="00E321CE" w:rsidP="00D23F5B">
      <w:pPr>
        <w:pStyle w:val="SingleTxt"/>
        <w:keepNext/>
        <w:rPr>
          <w:i/>
        </w:rPr>
      </w:pPr>
      <w:r w:rsidRPr="00E321CE">
        <w:rPr>
          <w:i/>
          <w:lang w:val="en-US"/>
        </w:rPr>
        <w:t>b</w:t>
      </w:r>
      <w:r w:rsidRPr="00E321CE">
        <w:rPr>
          <w:i/>
        </w:rPr>
        <w:t>)</w:t>
      </w:r>
      <w:r w:rsidRPr="00E321CE">
        <w:rPr>
          <w:i/>
        </w:rPr>
        <w:tab/>
        <w:t>Общие рекомендации</w:t>
      </w:r>
    </w:p>
    <w:p w:rsidR="00E321CE" w:rsidRPr="00E321CE" w:rsidRDefault="00E321CE" w:rsidP="00D23F5B">
      <w:pPr>
        <w:pStyle w:val="SingleTxt"/>
        <w:keepNext/>
      </w:pPr>
      <w:r w:rsidRPr="00E321CE">
        <w:tab/>
      </w:r>
      <w:r w:rsidRPr="00E321CE">
        <w:rPr>
          <w:lang w:val="en-US"/>
        </w:rPr>
        <w:t>i</w:t>
      </w:r>
      <w:r w:rsidRPr="00E321CE">
        <w:t>)</w:t>
      </w:r>
      <w:r w:rsidRPr="00E321CE">
        <w:tab/>
        <w:t>пересмотреть законодательство об изнасиловании с целью устранить любые требования в отношении того, что сексуальное нападение должно с</w:t>
      </w:r>
      <w:r w:rsidRPr="00E321CE">
        <w:t>о</w:t>
      </w:r>
      <w:r w:rsidRPr="00E321CE">
        <w:t>вершаться с применением силы или насилия, и любые требования в отношении доказательства совершения полового акта с проникновением, с тем чтобы главное внимание в определении изнасилования было уделено отсутствию с</w:t>
      </w:r>
      <w:r w:rsidRPr="00E321CE">
        <w:t>о</w:t>
      </w:r>
      <w:r w:rsidRPr="00E321CE">
        <w:t>гласия;</w:t>
      </w:r>
    </w:p>
    <w:p w:rsidR="00E321CE" w:rsidRPr="00E321CE" w:rsidRDefault="00E321CE" w:rsidP="00E321CE">
      <w:pPr>
        <w:pStyle w:val="SingleTxt"/>
      </w:pPr>
      <w:r w:rsidRPr="00E321CE">
        <w:tab/>
      </w:r>
      <w:r w:rsidRPr="00E321CE">
        <w:rPr>
          <w:lang w:val="en-US"/>
        </w:rPr>
        <w:t>ii</w:t>
      </w:r>
      <w:r w:rsidRPr="00E321CE">
        <w:t>)</w:t>
      </w:r>
      <w:r w:rsidRPr="00E321CE">
        <w:tab/>
        <w:t>пересмотреть соответствующее законодательство и практику с ц</w:t>
      </w:r>
      <w:r w:rsidRPr="00E321CE">
        <w:t>е</w:t>
      </w:r>
      <w:r w:rsidRPr="00E321CE">
        <w:t>лью гарантировать бесплатную адекватную помощь переводчиков, в том числе на языке жестов, на всех этапах судебного разбирательства, когда это необх</w:t>
      </w:r>
      <w:r w:rsidRPr="00E321CE">
        <w:t>о</w:t>
      </w:r>
      <w:r w:rsidRPr="00E321CE">
        <w:t>димо;</w:t>
      </w:r>
    </w:p>
    <w:p w:rsidR="00E321CE" w:rsidRPr="00E321CE" w:rsidRDefault="00E321CE" w:rsidP="00E321CE">
      <w:pPr>
        <w:pStyle w:val="SingleTxt"/>
      </w:pPr>
      <w:r w:rsidRPr="00E321CE">
        <w:tab/>
      </w:r>
      <w:r w:rsidRPr="00E321CE">
        <w:rPr>
          <w:lang w:val="en-US"/>
        </w:rPr>
        <w:t>iii</w:t>
      </w:r>
      <w:r w:rsidRPr="00E321CE">
        <w:t>)</w:t>
      </w:r>
      <w:r w:rsidRPr="00E321CE">
        <w:tab/>
        <w:t>обеспечить, чтобы все уголовные процедуры в делах, связанных с преступлением изнасилования и совершением других актов сексуального насилия, были беспристрастными и справедливыми и чтобы на них не оказ</w:t>
      </w:r>
      <w:r w:rsidRPr="00E321CE">
        <w:t>ы</w:t>
      </w:r>
      <w:r w:rsidRPr="00E321CE">
        <w:t>вали воздействия предрассудки или стереотипные представления о поле, во</w:t>
      </w:r>
      <w:r w:rsidRPr="00E321CE">
        <w:t>з</w:t>
      </w:r>
      <w:r w:rsidRPr="00E321CE">
        <w:t>расте и инвалидности жертвы;</w:t>
      </w:r>
    </w:p>
    <w:p w:rsidR="00E321CE" w:rsidRPr="00E321CE" w:rsidRDefault="00E321CE" w:rsidP="00E321CE">
      <w:pPr>
        <w:pStyle w:val="SingleTxt"/>
      </w:pPr>
      <w:r w:rsidRPr="00E321CE">
        <w:tab/>
      </w:r>
      <w:r w:rsidRPr="00E321CE">
        <w:rPr>
          <w:lang w:val="en-US"/>
        </w:rPr>
        <w:t>iv</w:t>
      </w:r>
      <w:r w:rsidRPr="00E321CE">
        <w:t>)</w:t>
      </w:r>
      <w:r w:rsidRPr="00E321CE">
        <w:tab/>
        <w:t>обеспечить адекватную и регулярную подготовку по Конвенции, Ф</w:t>
      </w:r>
      <w:r w:rsidRPr="00E321CE">
        <w:t>а</w:t>
      </w:r>
      <w:r w:rsidRPr="00E321CE">
        <w:t>культативному протоколу к ней и по общим рекомендациям Комитета, в час</w:t>
      </w:r>
      <w:r w:rsidRPr="00E321CE">
        <w:t>т</w:t>
      </w:r>
      <w:r w:rsidRPr="00E321CE">
        <w:t>ности общим рекомендациям № 18 и № 19, для судей и специалистов в области права, с целью гарантировать, чтобы стереотипы и гендерные предубеждения не влияли на судебное разбирательство и принятие решений.</w:t>
      </w:r>
    </w:p>
    <w:p w:rsidR="00E321CE" w:rsidRPr="00E321CE" w:rsidRDefault="00E321CE" w:rsidP="00E321CE">
      <w:pPr>
        <w:pStyle w:val="SingleTxt"/>
      </w:pPr>
      <w:r w:rsidRPr="00E321CE">
        <w:t>10.</w:t>
      </w:r>
      <w:r w:rsidRPr="00E321CE">
        <w:tab/>
        <w:t>В соответствии с пунктом 4 статьи 7 Факультативного протокола госуда</w:t>
      </w:r>
      <w:r w:rsidRPr="00E321CE">
        <w:t>р</w:t>
      </w:r>
      <w:r w:rsidRPr="00E321CE">
        <w:t>ство-участник должным образом рассматривает мнения Комитета вместе с его рекомендациями и представляет Комитету в течение шести месяцев письме</w:t>
      </w:r>
      <w:r w:rsidRPr="00E321CE">
        <w:t>н</w:t>
      </w:r>
      <w:r w:rsidRPr="00E321CE">
        <w:t>ный ответ, в том числе информацию о любых мерах, принятых с учетом мн</w:t>
      </w:r>
      <w:r w:rsidRPr="00E321CE">
        <w:t>е</w:t>
      </w:r>
      <w:r w:rsidRPr="00E321CE">
        <w:t>ний и рекомендаций Комитета. Государству-участнику предлагается также опубликовать мнения и рекомендации Комитета и перевести их на язык фил</w:t>
      </w:r>
      <w:r w:rsidRPr="00E321CE">
        <w:t>и</w:t>
      </w:r>
      <w:r w:rsidRPr="00E321CE">
        <w:t>пино и признанные региональные языки, по мере необходимости, и широко распространить информацию о них, с тем чтобы охватить все соответствующие слои общества.</w:t>
      </w:r>
    </w:p>
    <w:p w:rsidR="00453F22" w:rsidRDefault="00E321CE" w:rsidP="00E321CE">
      <w:pPr>
        <w:pStyle w:val="SingleTxt"/>
      </w:pPr>
      <w:r w:rsidRPr="00E321CE">
        <w:t>[Принято на английском, арабском, испанском, китайском, русском и францу</w:t>
      </w:r>
      <w:r w:rsidRPr="00E321CE">
        <w:t>з</w:t>
      </w:r>
      <w:r w:rsidRPr="00E321CE">
        <w:t>ском языках, причем языком оригинала является английский.]</w:t>
      </w:r>
    </w:p>
    <w:p w:rsidR="00D23F5B" w:rsidRPr="00D23F5B" w:rsidRDefault="00482253" w:rsidP="00D23F5B">
      <w:pPr>
        <w:pStyle w:val="SingleTxt"/>
        <w:spacing w:after="0" w:line="240" w:lineRule="auto"/>
      </w:pPr>
      <w:r>
        <w:rPr>
          <w:noProof/>
        </w:rPr>
        <w:pict>
          <v:line id="Straight Connector 4" o:spid="_x0000_s1026" style="position:absolute;left:0;text-align:left;z-index:1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" strokecolor="#010000" strokeweight=".25pt"/>
        </w:pict>
      </w:r>
    </w:p>
    <w:sectPr w:rsidR="00D23F5B" w:rsidRPr="00D23F5B" w:rsidSect="000E1346">
      <w:type w:val="continuous"/>
      <w:pgSz w:w="12240" w:h="15840"/>
      <w:pgMar w:top="1742" w:right="1195" w:bottom="1898" w:left="1195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4-04-04T11:40:00Z" w:initials="Start">
    <w:p w:rsidR="000E1346" w:rsidRPr="00453F22" w:rsidRDefault="000E1346">
      <w:pPr>
        <w:pStyle w:val="CommentText"/>
        <w:rPr>
          <w:lang w:val="en-US"/>
        </w:rPr>
      </w:pPr>
      <w:r>
        <w:fldChar w:fldCharType="begin"/>
      </w:r>
      <w:r w:rsidRPr="00453F22">
        <w:rPr>
          <w:rStyle w:val="CommentReference"/>
          <w:lang w:val="en-US"/>
        </w:rPr>
        <w:instrText xml:space="preserve"> </w:instrText>
      </w:r>
      <w:r w:rsidRPr="00453F22">
        <w:rPr>
          <w:lang w:val="en-US"/>
        </w:rPr>
        <w:instrText>PAGE \# "'Page: '#'</w:instrText>
      </w:r>
      <w:r w:rsidRPr="00453F22">
        <w:rPr>
          <w:lang w:val="en-US"/>
        </w:rPr>
        <w:br/>
        <w:instrText>'"</w:instrText>
      </w:r>
      <w:r w:rsidRPr="00453F2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53F22">
        <w:rPr>
          <w:lang w:val="en-US"/>
        </w:rPr>
        <w:t>&lt;&lt;ODS JOB NO&gt;&gt;N1400591R&lt;&lt;ODS JOB NO&gt;&gt;</w:t>
      </w:r>
    </w:p>
    <w:p w:rsidR="000E1346" w:rsidRPr="00453F22" w:rsidRDefault="000E1346">
      <w:pPr>
        <w:pStyle w:val="CommentText"/>
        <w:rPr>
          <w:lang w:val="en-US"/>
        </w:rPr>
      </w:pPr>
      <w:r w:rsidRPr="00453F22">
        <w:rPr>
          <w:lang w:val="en-US"/>
        </w:rPr>
        <w:t>&lt;&lt;ODS DOC SYMBOL1&gt;&gt;CEDAW/C/57/D/34/2011&lt;&lt;ODS DOC SYMBOL1&gt;&gt;</w:t>
      </w:r>
    </w:p>
    <w:p w:rsidR="000E1346" w:rsidRPr="00453F22" w:rsidRDefault="000E1346">
      <w:pPr>
        <w:pStyle w:val="CommentText"/>
        <w:rPr>
          <w:lang w:val="en-US"/>
        </w:rPr>
      </w:pPr>
      <w:r w:rsidRPr="00453F22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01" w:rsidRDefault="00700E01" w:rsidP="008A1A7A">
      <w:pPr>
        <w:spacing w:line="240" w:lineRule="auto"/>
      </w:pPr>
      <w:r>
        <w:separator/>
      </w:r>
    </w:p>
  </w:endnote>
  <w:endnote w:type="continuationSeparator" w:id="0">
    <w:p w:rsidR="00700E01" w:rsidRDefault="00700E0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0E1346" w:rsidRPr="00482253" w:rsidTr="000E1346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0E1346" w:rsidRPr="00212005" w:rsidRDefault="000E1346" w:rsidP="000E1346">
          <w:pPr>
            <w:pStyle w:val="Footer"/>
            <w:rPr>
              <w:szCs w:val="22"/>
              <w:lang w:eastAsia="en-US"/>
            </w:rPr>
          </w:pPr>
          <w:r w:rsidRPr="00212005">
            <w:rPr>
              <w:szCs w:val="22"/>
              <w:lang w:eastAsia="en-US"/>
            </w:rPr>
            <w:fldChar w:fldCharType="begin"/>
          </w:r>
          <w:r w:rsidRPr="00212005">
            <w:rPr>
              <w:szCs w:val="22"/>
              <w:lang w:eastAsia="en-US"/>
            </w:rPr>
            <w:instrText xml:space="preserve"> PAGE  \* Arabic  \* MERGEFORMAT </w:instrText>
          </w:r>
          <w:r w:rsidRPr="00212005">
            <w:rPr>
              <w:szCs w:val="22"/>
              <w:lang w:eastAsia="en-US"/>
            </w:rPr>
            <w:fldChar w:fldCharType="separate"/>
          </w:r>
          <w:r w:rsidR="007A1FB8" w:rsidRPr="00212005">
            <w:rPr>
              <w:noProof/>
              <w:szCs w:val="22"/>
              <w:lang w:eastAsia="en-US"/>
            </w:rPr>
            <w:t>4</w:t>
          </w:r>
          <w:r w:rsidRPr="00212005">
            <w:rPr>
              <w:szCs w:val="22"/>
              <w:lang w:eastAsia="en-US"/>
            </w:rPr>
            <w:fldChar w:fldCharType="end"/>
          </w:r>
          <w:r w:rsidRPr="00212005">
            <w:rPr>
              <w:szCs w:val="22"/>
              <w:lang w:eastAsia="en-US"/>
            </w:rPr>
            <w:t>/</w:t>
          </w:r>
          <w:fldSimple w:instr=" NUMPAGES  \* Arabic  \* MERGEFORMAT ">
            <w:r w:rsidR="007A1FB8" w:rsidRPr="00212005">
              <w:rPr>
                <w:noProof/>
                <w:szCs w:val="22"/>
                <w:lang w:eastAsia="en-US"/>
              </w:rPr>
              <w:t>21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0E1346" w:rsidRPr="00212005" w:rsidRDefault="000E1346" w:rsidP="000E1346">
          <w:pPr>
            <w:pStyle w:val="Footer"/>
            <w:jc w:val="right"/>
            <w:rPr>
              <w:b w:val="0"/>
              <w:sz w:val="14"/>
              <w:szCs w:val="22"/>
              <w:lang w:val="en-US" w:eastAsia="en-US"/>
            </w:rPr>
          </w:pPr>
          <w:fldSimple w:instr=" DOCVARIABLE &quot;FooterJN&quot; \* MERGEFORMAT ">
            <w:r w:rsidR="00482253" w:rsidRPr="00212005">
              <w:rPr>
                <w:b w:val="0"/>
                <w:sz w:val="14"/>
                <w:szCs w:val="22"/>
                <w:lang w:eastAsia="en-US"/>
              </w:rPr>
              <w:t>14-00591</w:t>
            </w:r>
          </w:fldSimple>
          <w:r w:rsidR="007A1FB8" w:rsidRPr="00212005">
            <w:rPr>
              <w:b w:val="0"/>
              <w:sz w:val="14"/>
              <w:szCs w:val="22"/>
              <w:lang w:val="en-US" w:eastAsia="en-US"/>
            </w:rPr>
            <w:t>X</w:t>
          </w:r>
        </w:p>
      </w:tc>
    </w:tr>
  </w:tbl>
  <w:p w:rsidR="000E1346" w:rsidRPr="000E1346" w:rsidRDefault="000E1346" w:rsidP="000E13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0E1346" w:rsidRPr="00482253" w:rsidTr="000E1346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0E1346" w:rsidRPr="00212005" w:rsidRDefault="000E1346" w:rsidP="000E1346">
          <w:pPr>
            <w:pStyle w:val="Footer"/>
            <w:rPr>
              <w:b w:val="0"/>
              <w:sz w:val="14"/>
              <w:szCs w:val="22"/>
              <w:lang w:val="en-US" w:eastAsia="en-US"/>
            </w:rPr>
          </w:pPr>
          <w:fldSimple w:instr=" DOCVARIABLE &quot;FooterJN&quot; \* MERGEFORMAT ">
            <w:r w:rsidR="00482253" w:rsidRPr="00212005">
              <w:rPr>
                <w:b w:val="0"/>
                <w:sz w:val="14"/>
                <w:szCs w:val="22"/>
                <w:lang w:eastAsia="en-US"/>
              </w:rPr>
              <w:t>14-00591</w:t>
            </w:r>
          </w:fldSimple>
          <w:r w:rsidR="007A1FB8" w:rsidRPr="00212005">
            <w:rPr>
              <w:b w:val="0"/>
              <w:sz w:val="14"/>
              <w:szCs w:val="22"/>
              <w:lang w:val="en-US" w:eastAsia="en-US"/>
            </w:rPr>
            <w:t>X</w:t>
          </w:r>
        </w:p>
      </w:tc>
      <w:tc>
        <w:tcPr>
          <w:tcW w:w="5033" w:type="dxa"/>
          <w:shd w:val="clear" w:color="auto" w:fill="auto"/>
          <w:vAlign w:val="bottom"/>
        </w:tcPr>
        <w:p w:rsidR="000E1346" w:rsidRPr="00212005" w:rsidRDefault="000E1346" w:rsidP="000E1346">
          <w:pPr>
            <w:pStyle w:val="Footer"/>
            <w:jc w:val="right"/>
            <w:rPr>
              <w:szCs w:val="22"/>
              <w:lang w:eastAsia="en-US"/>
            </w:rPr>
          </w:pPr>
          <w:r w:rsidRPr="00212005">
            <w:rPr>
              <w:szCs w:val="22"/>
              <w:lang w:eastAsia="en-US"/>
            </w:rPr>
            <w:fldChar w:fldCharType="begin"/>
          </w:r>
          <w:r w:rsidRPr="00212005">
            <w:rPr>
              <w:szCs w:val="22"/>
              <w:lang w:eastAsia="en-US"/>
            </w:rPr>
            <w:instrText xml:space="preserve"> PAGE  \* Arabic  \* MERGEFORMAT </w:instrText>
          </w:r>
          <w:r w:rsidRPr="00212005">
            <w:rPr>
              <w:szCs w:val="22"/>
              <w:lang w:eastAsia="en-US"/>
            </w:rPr>
            <w:fldChar w:fldCharType="separate"/>
          </w:r>
          <w:r w:rsidR="007A1FB8" w:rsidRPr="00212005">
            <w:rPr>
              <w:noProof/>
              <w:szCs w:val="22"/>
              <w:lang w:eastAsia="en-US"/>
            </w:rPr>
            <w:t>3</w:t>
          </w:r>
          <w:r w:rsidRPr="00212005">
            <w:rPr>
              <w:szCs w:val="22"/>
              <w:lang w:eastAsia="en-US"/>
            </w:rPr>
            <w:fldChar w:fldCharType="end"/>
          </w:r>
          <w:r w:rsidRPr="00212005">
            <w:rPr>
              <w:szCs w:val="22"/>
              <w:lang w:eastAsia="en-US"/>
            </w:rPr>
            <w:t>/</w:t>
          </w:r>
          <w:fldSimple w:instr=" NUMPAGES  \* Arabic  \* MERGEFORMAT ">
            <w:r w:rsidR="007A1FB8" w:rsidRPr="00212005">
              <w:rPr>
                <w:noProof/>
                <w:szCs w:val="22"/>
                <w:lang w:eastAsia="en-US"/>
              </w:rPr>
              <w:t>21</w:t>
            </w:r>
          </w:fldSimple>
        </w:p>
      </w:tc>
    </w:tr>
  </w:tbl>
  <w:p w:rsidR="000E1346" w:rsidRPr="000E1346" w:rsidRDefault="000E1346" w:rsidP="000E13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46" w:rsidRDefault="00482253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http://undocs.org/m2/QRCode.ashx?DS=CEDAW/C/57/D/34/2011&amp;Size =1&amp;Lang = R" style="position:absolute;margin-left:436.6pt;margin-top:-17.4pt;width:54.85pt;height:54.85pt;z-index:1;visibility:visible;mso-width-relative:margin;mso-height-relative:margin">
          <v:imagedata r:id="rId1" o:title="2011&amp;Size =1&amp;Lang = R"/>
        </v:shape>
      </w:pict>
    </w:r>
  </w:p>
  <w:tbl>
    <w:tblPr>
      <w:tblW w:w="0" w:type="auto"/>
      <w:tblLayout w:type="fixed"/>
      <w:tblLook w:val="0000"/>
    </w:tblPr>
    <w:tblGrid>
      <w:gridCol w:w="3830"/>
      <w:gridCol w:w="5033"/>
    </w:tblGrid>
    <w:tr w:rsidR="000E1346" w:rsidRPr="00482253" w:rsidTr="000E1346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0E1346" w:rsidRPr="00482253" w:rsidRDefault="000E1346" w:rsidP="000E1346">
          <w:pPr>
            <w:pStyle w:val="ReleaseDate"/>
            <w:rPr>
              <w:color w:val="000000"/>
            </w:rPr>
          </w:pPr>
          <w:r w:rsidRPr="00482253">
            <w:t>14-00591</w:t>
          </w:r>
          <w:r w:rsidR="007A1FB8">
            <w:rPr>
              <w:lang w:val="en-US"/>
            </w:rPr>
            <w:t>X</w:t>
          </w:r>
          <w:r w:rsidRPr="00482253">
            <w:t xml:space="preserve"> (R)</w:t>
          </w:r>
          <w:r w:rsidRPr="00482253">
            <w:rPr>
              <w:color w:val="000000"/>
            </w:rPr>
            <w:t xml:space="preserve">    040414    040414</w:t>
          </w:r>
        </w:p>
        <w:p w:rsidR="000E1346" w:rsidRPr="00482253" w:rsidRDefault="000E1346" w:rsidP="000E134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 w:rsidRPr="00482253">
            <w:rPr>
              <w:rFonts w:ascii="Barcode 3 of 9 by request" w:hAnsi="Barcode 3 of 9 by request"/>
              <w:w w:val="100"/>
              <w:sz w:val="24"/>
            </w:rPr>
            <w:t>*1400591(R)*</w:t>
          </w:r>
        </w:p>
      </w:tc>
      <w:tc>
        <w:tcPr>
          <w:tcW w:w="5033" w:type="dxa"/>
        </w:tcPr>
        <w:p w:rsidR="000E1346" w:rsidRPr="00212005" w:rsidRDefault="00482253" w:rsidP="000E1346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212005">
            <w:rPr>
              <w:b w:val="0"/>
              <w:noProof/>
              <w:sz w:val="20"/>
              <w:szCs w:val="22"/>
              <w:lang w:val="en-US" w:eastAsia="en-US"/>
            </w:rPr>
            <w:pict>
              <v:shape id="Picture 2" o:spid="_x0000_i1026" type="#_x0000_t75" style="width:213pt;height:18pt;visibility:visible">
                <v:imagedata r:id="rId2" o:title=""/>
              </v:shape>
            </w:pict>
          </w:r>
        </w:p>
      </w:tc>
    </w:tr>
  </w:tbl>
  <w:p w:rsidR="000E1346" w:rsidRPr="000E1346" w:rsidRDefault="000E1346" w:rsidP="000E134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01" w:rsidRPr="00453F22" w:rsidRDefault="00700E01" w:rsidP="00453F22">
      <w:pPr>
        <w:pStyle w:val="Footer"/>
        <w:spacing w:after="80"/>
        <w:ind w:left="792"/>
        <w:rPr>
          <w:sz w:val="16"/>
        </w:rPr>
      </w:pPr>
      <w:r w:rsidRPr="00453F22">
        <w:rPr>
          <w:sz w:val="16"/>
        </w:rPr>
        <w:t>__________________</w:t>
      </w:r>
    </w:p>
  </w:footnote>
  <w:footnote w:type="continuationSeparator" w:id="0">
    <w:p w:rsidR="00700E01" w:rsidRPr="00453F22" w:rsidRDefault="00700E01" w:rsidP="00453F22">
      <w:pPr>
        <w:pStyle w:val="Footer"/>
        <w:spacing w:after="80"/>
        <w:ind w:left="792"/>
        <w:rPr>
          <w:sz w:val="16"/>
        </w:rPr>
      </w:pPr>
      <w:r w:rsidRPr="00453F22">
        <w:rPr>
          <w:sz w:val="16"/>
        </w:rPr>
        <w:t>__________________</w:t>
      </w:r>
    </w:p>
  </w:footnote>
  <w:footnote w:id="1">
    <w:p w:rsidR="00453F22" w:rsidRPr="00453F22" w:rsidRDefault="00453F22" w:rsidP="00453F2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453F22">
        <w:rPr>
          <w:rStyle w:val="FootnoteReference"/>
        </w:rPr>
        <w:tab/>
      </w:r>
      <w:r>
        <w:rPr>
          <w:rStyle w:val="FootnoteReference"/>
        </w:rPr>
        <w:t>*</w:t>
      </w:r>
      <w:r w:rsidRPr="00453F22">
        <w:tab/>
        <w:t>В рассмотрении настоящего сообщения приняли участие следующие члены Комитета: Айше Фериде Ачар, Николин Амелин, Барбара Бейли, Олинда Барейро-Бобадилья, Никлас Брун, Наела Габр, Хилари Гбедемах, Нахла Хайдар, Йоко Хаяси, Исмат Джахан, Далия Лейнарт, Виолета Нойбауер, Теодора Нванкво, Прамила Паттен, Мария Хелена Пирес, Бьянкамария Померанци, Патриция Шульц, Дубравка Шимонович и Сяоцяо Цзоу.</w:t>
      </w:r>
    </w:p>
  </w:footnote>
  <w:footnote w:id="2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>Слушания были намечены на 23 октября, 8 и 27 ноября и 12 декабря 2006 года.</w:t>
      </w:r>
    </w:p>
  </w:footnote>
  <w:footnote w:id="3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>Этот центр оказывает непосредственные услуги и консультативную помощь глухонемым. Верховный суд обычно направляет просьбы судов первой инстанции в отношении обеспечения перевода на жестовый язык этому Центру, так как какая-либо всеобъемлющая политика по этому вопросу отсутствует.</w:t>
      </w:r>
    </w:p>
  </w:footnote>
  <w:footnote w:id="4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>К тому времени автор уже достигла совершеннолетия (18 лет) по законодательству Филиппин.</w:t>
      </w:r>
    </w:p>
  </w:footnote>
  <w:footnote w:id="5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>Автор в своих показаниях заявила, в частности, что рано утром 21 июня 2006 года, когда она мыла посуду, обвиняемый подошел к ней, прикоснулся к ее ладони, схватил ее за руку и затащил на стол. Затем он снял с нее трусы и совершил половой акт с проникновением. Она пыталась сопротивляться и проявляла гнев, но он был очень силен. На столе не было ничего, чем она могла бы ударить его. Несколько позднее ее мать увидела их и очень рассердилась на автора. Автор плакала и пыталась надеть трусы. Мать отправилась в дом к Дж. Автор отрицала, что знала Дж. до инцидента, тогда как ее мать и Дж. утверждали, что они были соседями.</w:t>
      </w:r>
    </w:p>
  </w:footnote>
  <w:footnote w:id="6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>См. доклады Комитета по ликвидации дискриминации в отношении женщин: десятая сессия, 30 января 1992 года (А/46/38); и одиннадцатая сессия, 1 февраля 1992 года (А/47/38).</w:t>
      </w:r>
    </w:p>
  </w:footnote>
  <w:footnote w:id="7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 xml:space="preserve">Сообщение № 18/2008, </w:t>
      </w:r>
      <w:r w:rsidRPr="00D23F5B">
        <w:rPr>
          <w:i/>
        </w:rPr>
        <w:t>Вертидо против Филиппин</w:t>
      </w:r>
      <w:r w:rsidRPr="00D23F5B">
        <w:t>, мнения, принятые 22 сентября 2010 года.</w:t>
      </w:r>
    </w:p>
  </w:footnote>
  <w:footnote w:id="8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>Филиппины ратифицировали Конвенцию о правах инвалидов 15 апреля 2008 года,</w:t>
      </w:r>
      <w:r>
        <w:t xml:space="preserve"> </w:t>
      </w:r>
      <w:r w:rsidRPr="00D23F5B">
        <w:t>но еще не являются государством-участником Факультативного протокола к этой Конвенции.</w:t>
      </w:r>
    </w:p>
  </w:footnote>
  <w:footnote w:id="9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 xml:space="preserve">Ссылка сделана на статью 13 Конвенции о правах инвалидов, которая гласит: </w:t>
      </w:r>
      <w:r>
        <w:t>«</w:t>
      </w:r>
      <w:r w:rsidRPr="00D23F5B">
        <w:t>1. Государства-участники обеспечивают инвалидам наравне с другими эффективный доступ к правосудию, в том числе предусматривая процессуальные и соответствующие возрасту коррективы, облегчающие выполнение теми своей эффективной роли прямых и косвенных участников, в том числе свидетелей, во всех стадиях юридического процесса, включая стадию расследования и другие стадии предварительного производства. 2. Чтобы содействовать обеспечению инвалидам эффективного доступа к правосудию, государства-участники способствуют надлежащему обучению лиц, работающих в сфере отправления правосудия, в том числе в полиции и пенитенциарной системе</w:t>
      </w:r>
      <w:r>
        <w:t>»</w:t>
      </w:r>
      <w:r w:rsidRPr="00D23F5B">
        <w:t>.</w:t>
      </w:r>
    </w:p>
  </w:footnote>
  <w:footnote w:id="10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>Ссылка сделана на пункт </w:t>
      </w:r>
      <w:r w:rsidRPr="00D23F5B">
        <w:rPr>
          <w:lang w:val="en-US"/>
        </w:rPr>
        <w:t>q</w:t>
      </w:r>
      <w:r w:rsidRPr="00D23F5B">
        <w:t xml:space="preserve">) преамбулы к Конвенции о правах инвалидов, согласно которому государства-участники </w:t>
      </w:r>
      <w:r>
        <w:t>«</w:t>
      </w:r>
      <w:r w:rsidRPr="00D23F5B">
        <w:t>признают, что женщины-инвалиды и девочки-инвалиды как дома, так и вне его нередко подвергаются большему риску насилия, травмирования или надругательства, небрежного или пренебрежительного отношения, плохого обращения или эксплуатации</w:t>
      </w:r>
      <w:r>
        <w:t>»</w:t>
      </w:r>
      <w:r w:rsidRPr="00D23F5B">
        <w:t>.</w:t>
      </w:r>
    </w:p>
  </w:footnote>
  <w:footnote w:id="11">
    <w:p w:rsidR="00D23F5B" w:rsidRP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>Ссылка сделана на статью 6 Конвенции о правах инвалидов, которая гласит:</w:t>
      </w:r>
    </w:p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D23F5B">
        <w:tab/>
      </w:r>
      <w:r w:rsidRPr="00D23F5B">
        <w:tab/>
      </w:r>
      <w:r>
        <w:t>«</w:t>
      </w:r>
      <w:r w:rsidRPr="00D23F5B">
        <w:t>1. Государства-участники признают, что женщины-инвалиды и девочки-инвалиды подвергаются множественной дискриминации, и в этой связи принимают меры для обеспечения полного и равного осуществления ими всех прав человека и основных свобод. 2.</w:t>
      </w:r>
      <w:r w:rsidRPr="00D23F5B">
        <w:rPr>
          <w:lang w:val="en-US"/>
        </w:rPr>
        <w:t> </w:t>
      </w:r>
      <w:r w:rsidRPr="00D23F5B">
        <w:t>Государства-участники принимают все надлежащие меры для обеспечения всестороннего развития, улучшения положения и расширения прав и возможностей женщин, чтобы гарантировать им осуществление и реализацию прав человека и основных свобод, закрепленных в настоящей Конвенции</w:t>
      </w:r>
      <w:r>
        <w:t>»</w:t>
      </w:r>
      <w:r w:rsidRPr="00D23F5B">
        <w:t>.</w:t>
      </w:r>
    </w:p>
  </w:footnote>
  <w:footnote w:id="12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>Согласно статье 2 Конвенции о правах инвалидов, «“разумное приспособление” означает внесение, когда это нужно в конкретном случае, необходимых и подходящих модификаций и корректив, не становящихся несоразмерным или неоправданным бременем, в целях обеспечения реализации или осуществления инвалидами наравне с другими всех прав человека и основных свобод».</w:t>
      </w:r>
    </w:p>
  </w:footnote>
  <w:footnote w:id="13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>Раздел 1 статьи </w:t>
      </w:r>
      <w:r w:rsidRPr="00D23F5B">
        <w:rPr>
          <w:lang w:val="en-US"/>
        </w:rPr>
        <w:t>III</w:t>
      </w:r>
      <w:r w:rsidRPr="00D23F5B">
        <w:t xml:space="preserve"> Конституции Филиппин 1987 года гласит: </w:t>
      </w:r>
      <w:r>
        <w:t>«</w:t>
      </w:r>
      <w:r w:rsidRPr="00D23F5B">
        <w:t>… никому не должно быть отказано в равной защите закона</w:t>
      </w:r>
      <w:r>
        <w:t>»</w:t>
      </w:r>
      <w:r w:rsidRPr="00D23F5B">
        <w:t>.</w:t>
      </w:r>
    </w:p>
  </w:footnote>
  <w:footnote w:id="14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 xml:space="preserve">Статья 21 Конвенции о правах инвалидов гласит: </w:t>
      </w:r>
      <w:r>
        <w:t>«</w:t>
      </w:r>
      <w:r w:rsidRPr="00D23F5B">
        <w:t xml:space="preserve">Государства-участники принимают все надлежащие меры для обеспечения того, чтобы инвалиды могли пользоваться правом на свободу выражения мнения и убеждений, включая свободу искать, получать и распространять информацию и идеи наравне с другими, пользуясь по своему выбору всеми формами общения, […] включая: </w:t>
      </w:r>
      <w:r w:rsidRPr="00D23F5B">
        <w:rPr>
          <w:lang w:val="en-US"/>
        </w:rPr>
        <w:t>b</w:t>
      </w:r>
      <w:r w:rsidRPr="00D23F5B">
        <w:t>) принятие и содействие использованию в официальных сношениях жестовых языков […] и всех других доступных способов, методов и форматов общения по выбору инвалидов</w:t>
      </w:r>
      <w:r>
        <w:t>»</w:t>
      </w:r>
      <w:r w:rsidRPr="00D23F5B">
        <w:t>.</w:t>
      </w:r>
    </w:p>
  </w:footnote>
  <w:footnote w:id="15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 xml:space="preserve">Статья 16 Конвенции о правах инвалидов предусматривает, что государства-участники принимают: </w:t>
      </w:r>
      <w:r>
        <w:t>«</w:t>
      </w:r>
      <w:r w:rsidRPr="00D23F5B">
        <w:t>1. все надлежащие законодательные, административные, социальные, просветительные и иные меры для защиты инвалидов как дома, так и вне его от всех форм эксплуатации, насилия и надругательств, в том числе от тех их аспектов, которые имеют гендерную подоплеку; 2. принимают все надлежащие меры для предотвращения всех форм эксплуатации, насилия и надругательства, обеспечивая, в частности, подходящие формы оказания учитывающей возрастно-половую специфику помощи и поддержки инвалидам, их семьям и лицам, осуществляющим уход за инвалидами, в том числе путем ознакомления и просвещения в вопросе о том, как избегать проявлений эксплуатации, насилия и надругательства, определять их и сообщать о них. Государства-участники обеспечивают, чтобы услуги по предоставлению защиты оказывались с учетом возрастно-половой специфики и фактора инвалидности; […] и 4. принимают все надлежащие меры содействия физическому, когнитивному и психологическому восстановлению, реабилитации и социальной интеграции инвалидов, ставших жертвами любой формы эксплуатации, насилия или надругательства, в том числе путем оказания услуг по предоставлению защиты. Такие восстановление и реинтеграция происходят в обстановке, способствующей укреплению здоровья, благополучия, самоуважения, достоинства и самостоятельности соответствующего лица, и осуществляются с учетом нужд, обусловленных возрастно-половой спецификой</w:t>
      </w:r>
      <w:r>
        <w:t>»</w:t>
      </w:r>
      <w:r w:rsidRPr="00D23F5B">
        <w:t>.</w:t>
      </w:r>
    </w:p>
  </w:footnote>
  <w:footnote w:id="16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 xml:space="preserve">Ссылка делается на Закон Республики № 9710 (2010), или Хартию прав женщин, которая предусматривает, что автор имеет право на обслуживание и содействие, в частности на консультирование и помощь в стрессовых ситуациях в случае серьезных инцидентов, поскольку она относится к категории </w:t>
      </w:r>
      <w:r>
        <w:t>«</w:t>
      </w:r>
      <w:r w:rsidRPr="00D23F5B">
        <w:t>женщин, находящихся в особенно сложной ситуации</w:t>
      </w:r>
      <w:r>
        <w:t>»</w:t>
      </w:r>
      <w:r w:rsidRPr="00D23F5B">
        <w:t xml:space="preserve">, в которую входят </w:t>
      </w:r>
      <w:r>
        <w:t>«</w:t>
      </w:r>
      <w:r w:rsidRPr="00D23F5B">
        <w:t>жертвы и лица, пережившие сексуальное и физическое надругательство, […] изнасилование и инцест, и такие другие сходные обстоятельства, которые сделали их функционально беспомощными</w:t>
      </w:r>
      <w:r>
        <w:t>»</w:t>
      </w:r>
      <w:r w:rsidRPr="00D23F5B">
        <w:t xml:space="preserve"> (разделы 30 и 31).</w:t>
      </w:r>
    </w:p>
  </w:footnote>
  <w:footnote w:id="17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>См. пункт 2.4.</w:t>
      </w:r>
    </w:p>
  </w:footnote>
  <w:footnote w:id="18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 xml:space="preserve">В постановлении-записке Верховного суда № 59-2004 признается, что </w:t>
      </w:r>
      <w:r>
        <w:t>«</w:t>
      </w:r>
      <w:r w:rsidRPr="00D23F5B">
        <w:t>в некоторых случаях в суде могут участвовать стороны или требоваться свидетели, которым, чтобы их понять в полной мере и исключить судебную ошибку, может понадобиться переводчик жестового языка</w:t>
      </w:r>
      <w:r>
        <w:t>»</w:t>
      </w:r>
      <w:r w:rsidRPr="00D23F5B">
        <w:t xml:space="preserve"> и что </w:t>
      </w:r>
      <w:r>
        <w:t>«</w:t>
      </w:r>
      <w:r w:rsidRPr="00D23F5B">
        <w:t>процедура [найма переводчика жестового языка] может быть сопряжена с задержками</w:t>
      </w:r>
      <w:r>
        <w:t>»</w:t>
      </w:r>
      <w:r w:rsidRPr="00D23F5B">
        <w:t>. Расходы на привлечение переводчика жестового языка покрываются судом. В циркуляре канцелярии судебного администратора Верховного суда № 104-2007 содержатся рекомендации в отношении оплаты услуг нанятого переводчика жестового языка.</w:t>
      </w:r>
    </w:p>
  </w:footnote>
  <w:footnote w:id="19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rPr>
          <w:i/>
        </w:rPr>
        <w:t>Вертидо против Филиппин</w:t>
      </w:r>
      <w:r w:rsidRPr="00D23F5B">
        <w:t>, пункты 3.15</w:t>
      </w:r>
      <w:r>
        <w:t>–</w:t>
      </w:r>
      <w:r w:rsidRPr="00D23F5B">
        <w:t>3.17.</w:t>
      </w:r>
    </w:p>
  </w:footnote>
  <w:footnote w:id="20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 xml:space="preserve">Верховный суд, </w:t>
      </w:r>
      <w:r w:rsidRPr="00D23F5B">
        <w:rPr>
          <w:i/>
        </w:rPr>
        <w:t>Народ Филиппин против Де Грано и др., Общий реестр,</w:t>
      </w:r>
      <w:r w:rsidRPr="00D23F5B">
        <w:t xml:space="preserve"> № 167710.</w:t>
      </w:r>
    </w:p>
  </w:footnote>
  <w:footnote w:id="21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rPr>
          <w:i/>
        </w:rPr>
        <w:t>Вертидо против Филиппин</w:t>
      </w:r>
      <w:r w:rsidRPr="00D23F5B">
        <w:t>, пункты 5.1</w:t>
      </w:r>
      <w:r>
        <w:t>–</w:t>
      </w:r>
      <w:r w:rsidRPr="00D23F5B">
        <w:t>5.5.</w:t>
      </w:r>
    </w:p>
  </w:footnote>
  <w:footnote w:id="22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 xml:space="preserve">Сделана ссылка на дела </w:t>
      </w:r>
      <w:r w:rsidRPr="00D23F5B">
        <w:rPr>
          <w:i/>
        </w:rPr>
        <w:t>Народ Филиппин и др. против Мангалиндана, млд.</w:t>
      </w:r>
      <w:r w:rsidRPr="00D23F5B">
        <w:t xml:space="preserve"> (Особый гражданский иск PSY-03250, RTC Br</w:t>
      </w:r>
      <w:r w:rsidRPr="00D23F5B">
        <w:noBreakHyphen/>
        <w:t xml:space="preserve">119, Пасаи-Сити), </w:t>
      </w:r>
      <w:r w:rsidRPr="00D23F5B">
        <w:rPr>
          <w:i/>
        </w:rPr>
        <w:t>Народ против Натаниэлы Мондехар и др.</w:t>
      </w:r>
      <w:r w:rsidRPr="00D23F5B">
        <w:t xml:space="preserve"> (CA-GR SP. No. 04073, СА</w:t>
      </w:r>
      <w:r>
        <w:t xml:space="preserve"> — </w:t>
      </w:r>
      <w:r w:rsidRPr="00D23F5B">
        <w:t xml:space="preserve">Себу-Сити) и </w:t>
      </w:r>
      <w:r w:rsidRPr="00D23F5B">
        <w:rPr>
          <w:i/>
        </w:rPr>
        <w:t>Народ Филиппин против достопочтенного Анастасио Д. Ангада</w:t>
      </w:r>
      <w:r w:rsidRPr="00D23F5B">
        <w:t xml:space="preserve"> (CA-GR SP. No. 81209, СА</w:t>
      </w:r>
      <w:r>
        <w:t xml:space="preserve"> — </w:t>
      </w:r>
      <w:r w:rsidRPr="00D23F5B">
        <w:t>Манила).</w:t>
      </w:r>
    </w:p>
  </w:footnote>
  <w:footnote w:id="23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 xml:space="preserve">См. дело </w:t>
      </w:r>
      <w:r w:rsidRPr="00D23F5B">
        <w:rPr>
          <w:i/>
        </w:rPr>
        <w:t>Верти</w:t>
      </w:r>
      <w:r>
        <w:rPr>
          <w:i/>
        </w:rPr>
        <w:t>д</w:t>
      </w:r>
      <w:r w:rsidRPr="00D23F5B">
        <w:rPr>
          <w:i/>
        </w:rPr>
        <w:t>о против Филиппин</w:t>
      </w:r>
      <w:r w:rsidRPr="00D23F5B">
        <w:t>, пункт 6.2.</w:t>
      </w:r>
    </w:p>
  </w:footnote>
  <w:footnote w:id="24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>Там же.</w:t>
      </w:r>
    </w:p>
  </w:footnote>
  <w:footnote w:id="25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>Там же, пункт 8.2</w:t>
      </w:r>
      <w:r>
        <w:t>.</w:t>
      </w:r>
    </w:p>
  </w:footnote>
  <w:footnote w:id="26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rPr>
          <w:i/>
        </w:rPr>
        <w:t>Вертидо против Филиппин</w:t>
      </w:r>
      <w:r w:rsidRPr="00D23F5B">
        <w:t>, пункт 8.4.</w:t>
      </w:r>
    </w:p>
  </w:footnote>
  <w:footnote w:id="27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>Там же, пункт 8.3.</w:t>
      </w:r>
    </w:p>
  </w:footnote>
  <w:footnote w:id="28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>См., например, пункт 3 </w:t>
      </w:r>
      <w:r w:rsidRPr="00D23F5B">
        <w:rPr>
          <w:lang w:val="en-US"/>
        </w:rPr>
        <w:t>f</w:t>
      </w:r>
      <w:r w:rsidRPr="00D23F5B">
        <w:t>) статьи 14 Международного пакта о гражданских и политических правах (ратифицированного Филиппинами в 1986 году), пункт 2 </w:t>
      </w:r>
      <w:r w:rsidRPr="00D23F5B">
        <w:rPr>
          <w:lang w:val="en-US"/>
        </w:rPr>
        <w:t>vi</w:t>
      </w:r>
      <w:r w:rsidRPr="00D23F5B">
        <w:t>) статьи 40 Конвенции о правах ребенка 1989 года (ратифицированной Филиппинами в 1990 году) и пункт 3 </w:t>
      </w:r>
      <w:r w:rsidRPr="00D23F5B">
        <w:rPr>
          <w:lang w:val="en-US"/>
        </w:rPr>
        <w:t>f</w:t>
      </w:r>
      <w:r w:rsidRPr="00D23F5B">
        <w:t xml:space="preserve">) статьи 18 Международной конвенции о защите прав всех трудящихся-мигрантов и членов их семей (ратифицированной Филиппинами в 1995 году). Статья 21 </w:t>
      </w:r>
      <w:r w:rsidRPr="00D23F5B">
        <w:rPr>
          <w:lang w:val="en-US"/>
        </w:rPr>
        <w:t>b</w:t>
      </w:r>
      <w:r w:rsidRPr="00D23F5B">
        <w:t xml:space="preserve">) Конвенции о правах инвалидов, ратифицированной Филиппинами в 2008 году, требует, чтобы государства-участники приняли и содействовали </w:t>
      </w:r>
      <w:r>
        <w:t>«</w:t>
      </w:r>
      <w:r w:rsidRPr="00D23F5B">
        <w:t>использованию в официальных сношениях […] жестовых языков […] по выбору инвалидов</w:t>
      </w:r>
      <w:r>
        <w:t>»</w:t>
      </w:r>
      <w:r w:rsidRPr="00D23F5B">
        <w:t>.</w:t>
      </w:r>
    </w:p>
  </w:footnote>
  <w:footnote w:id="29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>Например, юриспруденция Комитета по правам человека указывает на то, что согласно пункту 3 </w:t>
      </w:r>
      <w:r w:rsidRPr="00D23F5B">
        <w:rPr>
          <w:lang w:val="en-US"/>
        </w:rPr>
        <w:t>f</w:t>
      </w:r>
      <w:r w:rsidRPr="00D23F5B">
        <w:t xml:space="preserve">) статьи 14 Международного пакта о гражданских и политических правах нельзя проводить судебные разбирательства на языке, если человек не понимает этого языка и не говорит на нем (см., например, сообщения № 221/1987 и 323/1988, </w:t>
      </w:r>
      <w:r w:rsidRPr="00D23F5B">
        <w:rPr>
          <w:i/>
        </w:rPr>
        <w:t>Ив Кадоре и Эрве Ле Биан против Франции</w:t>
      </w:r>
      <w:r w:rsidRPr="00D23F5B">
        <w:t xml:space="preserve">, мнения, принятые 11 апреля 1991 года, пункт 5.7; и сообщение № 327/1988, </w:t>
      </w:r>
      <w:r w:rsidRPr="00D23F5B">
        <w:rPr>
          <w:i/>
        </w:rPr>
        <w:t>Эрве Барзиг против Франции</w:t>
      </w:r>
      <w:r w:rsidRPr="00D23F5B">
        <w:t>, мнения, принятые 11 апреля 1991 года, пункт 5.6). Только в том случае, если обвиняемый или свидетели испытывают трудности в понимании языка, используемого в суде, или затруднения при выражении своих мыслей на этом языке, то тогда в обязательном порядке должны быть предоставлены услуги переводчика (см., например, сообщение № 327/1988, пункт 5.5). Пункт 3 </w:t>
      </w:r>
      <w:r w:rsidRPr="00D23F5B">
        <w:rPr>
          <w:lang w:val="en-US"/>
        </w:rPr>
        <w:t>f</w:t>
      </w:r>
      <w:r w:rsidRPr="00D23F5B">
        <w:t>) статьи 14 предусматривает право на помощь переводчика только во время слушаний в суде (см.,</w:t>
      </w:r>
      <w:r>
        <w:t> </w:t>
      </w:r>
      <w:r w:rsidRPr="00D23F5B">
        <w:t xml:space="preserve">например, сообщения № 273/1988, </w:t>
      </w:r>
      <w:r w:rsidRPr="00D23F5B">
        <w:rPr>
          <w:i/>
        </w:rPr>
        <w:t>Б.д.Б. и др. против Нидерландов</w:t>
      </w:r>
      <w:r w:rsidRPr="00D23F5B">
        <w:t xml:space="preserve">, решение от 30 марта 1989 года; 221/1987, </w:t>
      </w:r>
      <w:r w:rsidRPr="00D23F5B">
        <w:rPr>
          <w:i/>
        </w:rPr>
        <w:t>Ив Кадоре против Франции</w:t>
      </w:r>
      <w:r w:rsidRPr="00D23F5B">
        <w:t xml:space="preserve">, решение от 11 апреля 1991 года, и 323/1988, </w:t>
      </w:r>
      <w:r w:rsidRPr="00D23F5B">
        <w:rPr>
          <w:i/>
        </w:rPr>
        <w:t>Эрве Ле Биан против Франции</w:t>
      </w:r>
      <w:r w:rsidRPr="00D23F5B">
        <w:t xml:space="preserve">, решение от 9 ноября 1989 года). В то же время Комитет счел, что признание, которое было получено в присутствии лишь двух следователей, один из которых печатал показания, а другой обеспечивал перевод на язык автора, лишило автора справедливого судебного разбирательства согласно пункту 1 статьи 14 Международного пакта о гражданских и политических правах (см., например, сообщение № 1033/2001, </w:t>
      </w:r>
      <w:r w:rsidRPr="00D23F5B">
        <w:rPr>
          <w:i/>
        </w:rPr>
        <w:t>Налларатнам Сингараса против Шри-Ланки</w:t>
      </w:r>
      <w:r w:rsidRPr="00D23F5B">
        <w:t>, мнения, принятые 21 июля 2004 года, пункт 7.2).</w:t>
      </w:r>
    </w:p>
  </w:footnote>
  <w:footnote w:id="30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>См. пункты 2.3, 3.9 и 3.14 выше.</w:t>
      </w:r>
    </w:p>
  </w:footnote>
  <w:footnote w:id="31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>См. пункт 3.14 выше. Точнее, как указано в исследовании, проведенном Филиппинским центром помощи глухим, только в 28 из 80 дел, в которых стороной или свидетелем был инвалид по слуху, предоставлялись услуги переводчиков.</w:t>
      </w:r>
    </w:p>
  </w:footnote>
  <w:footnote w:id="32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>См. пункт 8.3 выше.</w:t>
      </w:r>
    </w:p>
  </w:footnote>
  <w:footnote w:id="33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>Вертидо против Филиппин, пункт 8.4</w:t>
      </w:r>
      <w:r>
        <w:t>.</w:t>
      </w:r>
    </w:p>
  </w:footnote>
  <w:footnote w:id="34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>См. пункты 3.3</w:t>
      </w:r>
      <w:r>
        <w:t>–</w:t>
      </w:r>
      <w:r w:rsidRPr="00D23F5B">
        <w:t>3.6 выше.</w:t>
      </w:r>
    </w:p>
  </w:footnote>
  <w:footnote w:id="35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 xml:space="preserve">См. </w:t>
      </w:r>
      <w:r w:rsidRPr="00D23F5B">
        <w:rPr>
          <w:i/>
        </w:rPr>
        <w:t>Вертидо против Филиппин</w:t>
      </w:r>
      <w:r w:rsidRPr="00D23F5B">
        <w:t>, пункт 8.5.</w:t>
      </w:r>
    </w:p>
  </w:footnote>
  <w:footnote w:id="36"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 xml:space="preserve">См. также </w:t>
      </w:r>
      <w:r w:rsidRPr="00D23F5B">
        <w:rPr>
          <w:i/>
        </w:rPr>
        <w:t>Вертидо против Филиппин</w:t>
      </w:r>
      <w:r w:rsidRPr="00D23F5B">
        <w:t>, пункт 8.7.</w:t>
      </w:r>
    </w:p>
  </w:footnote>
  <w:footnote w:id="37">
    <w:p w:rsidR="00D23F5B" w:rsidRPr="00D23F5B" w:rsidRDefault="00D23F5B" w:rsidP="00D23F5B">
      <w:pPr>
        <w:pStyle w:val="FootnoteText"/>
        <w:tabs>
          <w:tab w:val="right" w:pos="1195"/>
          <w:tab w:val="left" w:pos="1264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D23F5B">
        <w:t>Там же, пункт 8.9 (</w:t>
      </w:r>
      <w:r w:rsidRPr="00D23F5B">
        <w:rPr>
          <w:lang w:val="en-US"/>
        </w:rPr>
        <w:t>a</w:t>
      </w:r>
      <w:r w:rsidRPr="00D23F5B">
        <w:t>.</w:t>
      </w:r>
      <w:r w:rsidRPr="00D23F5B">
        <w:rPr>
          <w:lang w:val="en-US"/>
        </w:rPr>
        <w:t>i</w:t>
      </w:r>
      <w:r w:rsidRPr="00D23F5B">
        <w:t>.). Статья 266-А пересмотренного Уголовного кодекса Филиппин с поправками, внесенными в него Законом Республики № 8353 от 1997 года, гласит:</w:t>
      </w:r>
    </w:p>
    <w:p w:rsidR="00D23F5B" w:rsidRPr="00D23F5B" w:rsidRDefault="00D23F5B" w:rsidP="00D23F5B">
      <w:pPr>
        <w:pStyle w:val="FootnoteText"/>
        <w:tabs>
          <w:tab w:val="right" w:pos="119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D23F5B">
        <w:tab/>
      </w:r>
      <w:r w:rsidRPr="00D23F5B">
        <w:tab/>
      </w:r>
      <w:r>
        <w:t>«</w:t>
      </w:r>
      <w:r w:rsidRPr="00D23F5B">
        <w:t>Изнасилование: обстоятельства и методы совершения изнасилования. Изнасилование совершается:</w:t>
      </w:r>
    </w:p>
    <w:p w:rsidR="00D23F5B" w:rsidRPr="00D23F5B" w:rsidRDefault="00D23F5B" w:rsidP="00D23F5B">
      <w:pPr>
        <w:pStyle w:val="FootnoteText"/>
        <w:tabs>
          <w:tab w:val="right" w:pos="119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D23F5B">
        <w:tab/>
      </w:r>
      <w:r w:rsidRPr="00D23F5B">
        <w:tab/>
        <w:t>1.</w:t>
      </w:r>
      <w:r w:rsidRPr="00D23F5B">
        <w:tab/>
        <w:t>мужчиной, который вступает в половое отношение с женщиной в любых следующих обстоятельствах:</w:t>
      </w:r>
    </w:p>
    <w:p w:rsidR="00D23F5B" w:rsidRPr="00D23F5B" w:rsidRDefault="00D23F5B" w:rsidP="00D23F5B">
      <w:pPr>
        <w:pStyle w:val="FootnoteText"/>
        <w:tabs>
          <w:tab w:val="right" w:pos="119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D23F5B">
        <w:tab/>
      </w:r>
      <w:r w:rsidRPr="00D23F5B">
        <w:tab/>
      </w:r>
      <w:r w:rsidRPr="00D23F5B">
        <w:tab/>
        <w:t>а)</w:t>
      </w:r>
      <w:r w:rsidRPr="00D23F5B">
        <w:tab/>
        <w:t>посредством применения силы, угрозы или запугивания;</w:t>
      </w:r>
    </w:p>
    <w:p w:rsidR="00D23F5B" w:rsidRPr="00D23F5B" w:rsidRDefault="00D23F5B" w:rsidP="00D23F5B">
      <w:pPr>
        <w:pStyle w:val="FootnoteText"/>
        <w:tabs>
          <w:tab w:val="right" w:pos="119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D23F5B">
        <w:tab/>
      </w:r>
      <w:r w:rsidRPr="00D23F5B">
        <w:tab/>
      </w:r>
      <w:r w:rsidRPr="00D23F5B">
        <w:tab/>
      </w:r>
      <w:r w:rsidRPr="00D23F5B">
        <w:rPr>
          <w:lang w:val="en-US"/>
        </w:rPr>
        <w:t>b</w:t>
      </w:r>
      <w:r w:rsidRPr="00D23F5B">
        <w:t>)</w:t>
      </w:r>
      <w:r w:rsidRPr="00D23F5B">
        <w:tab/>
        <w:t>когда потерпевшая не может отвечать за свои поступки или находится в бессознательном состоянии;</w:t>
      </w:r>
    </w:p>
    <w:p w:rsidR="00D23F5B" w:rsidRPr="00D23F5B" w:rsidRDefault="00D23F5B" w:rsidP="00D23F5B">
      <w:pPr>
        <w:pStyle w:val="FootnoteText"/>
        <w:tabs>
          <w:tab w:val="right" w:pos="119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D23F5B">
        <w:tab/>
      </w:r>
      <w:r w:rsidRPr="00D23F5B">
        <w:tab/>
      </w:r>
      <w:r w:rsidRPr="00D23F5B">
        <w:tab/>
        <w:t>с)</w:t>
      </w:r>
      <w:r w:rsidRPr="00D23F5B">
        <w:tab/>
        <w:t>посредством мошеннических действий или серьезного злоупотребления служебными полномочиями; и</w:t>
      </w:r>
    </w:p>
    <w:p w:rsidR="00D23F5B" w:rsidRPr="00D23F5B" w:rsidRDefault="00D23F5B" w:rsidP="00D23F5B">
      <w:pPr>
        <w:pStyle w:val="FootnoteText"/>
        <w:tabs>
          <w:tab w:val="right" w:pos="119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D23F5B">
        <w:tab/>
      </w:r>
      <w:r w:rsidRPr="00D23F5B">
        <w:tab/>
      </w:r>
      <w:r w:rsidRPr="00D23F5B">
        <w:tab/>
      </w:r>
      <w:r w:rsidRPr="00D23F5B">
        <w:rPr>
          <w:lang w:val="en-US"/>
        </w:rPr>
        <w:t>d</w:t>
      </w:r>
      <w:r w:rsidRPr="00D23F5B">
        <w:t>)</w:t>
      </w:r>
      <w:r w:rsidRPr="00D23F5B">
        <w:tab/>
        <w:t>когда потерпевшая не достигла возраста 12 лет или когда она страдает от слабоумия, даже если при этом не присутствует ни одно из вышеупомянутых обстоятельств;</w:t>
      </w:r>
    </w:p>
    <w:p w:rsidR="00D23F5B" w:rsidRDefault="00D23F5B" w:rsidP="00D23F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D23F5B">
        <w:tab/>
      </w:r>
      <w:r w:rsidRPr="00D23F5B">
        <w:tab/>
        <w:t>2.</w:t>
      </w:r>
      <w:r w:rsidRPr="00D23F5B">
        <w:tab/>
        <w:t>любым лицом, которое при наличии любого из упомянутых в пункте 1 обстоятельств, совершает сексуальное нападение посредством введения своего полового члена в рот или в анус другого лица или введение любого предмета или объекта во влагалище или анус другого лица</w:t>
      </w:r>
      <w:r>
        <w:t>»</w:t>
      </w:r>
      <w:r w:rsidRPr="00D23F5B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0E1346" w:rsidRPr="00482253" w:rsidTr="000E134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E1346" w:rsidRPr="00212005" w:rsidRDefault="000E1346" w:rsidP="000E1346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="00482253" w:rsidRPr="00212005">
              <w:rPr>
                <w:b/>
                <w:szCs w:val="22"/>
                <w:lang w:eastAsia="en-US"/>
              </w:rPr>
              <w:t>CEDAW/C/57/D/34/2011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0E1346" w:rsidRPr="00212005" w:rsidRDefault="000E1346" w:rsidP="000E1346">
          <w:pPr>
            <w:pStyle w:val="Header"/>
            <w:rPr>
              <w:szCs w:val="22"/>
              <w:lang w:eastAsia="en-US"/>
            </w:rPr>
          </w:pPr>
        </w:p>
      </w:tc>
    </w:tr>
  </w:tbl>
  <w:p w:rsidR="000E1346" w:rsidRPr="000E1346" w:rsidRDefault="000E1346" w:rsidP="000E13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0E1346" w:rsidRPr="00482253" w:rsidTr="000E134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E1346" w:rsidRPr="00212005" w:rsidRDefault="000E1346" w:rsidP="000E1346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33" w:type="dxa"/>
          <w:shd w:val="clear" w:color="auto" w:fill="auto"/>
          <w:vAlign w:val="bottom"/>
        </w:tcPr>
        <w:p w:rsidR="000E1346" w:rsidRPr="00212005" w:rsidRDefault="000E1346" w:rsidP="000E1346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="00482253" w:rsidRPr="00212005">
              <w:rPr>
                <w:b/>
                <w:szCs w:val="22"/>
                <w:lang w:eastAsia="en-US"/>
              </w:rPr>
              <w:t>CEDAW/C/57/D/34/2011</w:t>
            </w:r>
          </w:fldSimple>
        </w:p>
      </w:tc>
    </w:tr>
  </w:tbl>
  <w:p w:rsidR="000E1346" w:rsidRPr="000E1346" w:rsidRDefault="000E1346" w:rsidP="000E13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0E1346" w:rsidRPr="00482253" w:rsidTr="000E134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E1346" w:rsidRPr="00482253" w:rsidRDefault="000E1346" w:rsidP="000E1346">
          <w:pPr>
            <w:pStyle w:val="HCh"/>
            <w:spacing w:after="80"/>
            <w:rPr>
              <w:b w:val="0"/>
              <w:spacing w:val="2"/>
              <w:w w:val="96"/>
            </w:rPr>
          </w:pPr>
          <w:r w:rsidRPr="00482253"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E1346" w:rsidRPr="00212005" w:rsidRDefault="000E1346" w:rsidP="000E1346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E1346" w:rsidRPr="00212005" w:rsidRDefault="000E1346" w:rsidP="000E1346">
          <w:pPr>
            <w:pStyle w:val="Header"/>
            <w:spacing w:after="20"/>
            <w:jc w:val="right"/>
            <w:rPr>
              <w:sz w:val="20"/>
              <w:szCs w:val="22"/>
              <w:lang w:eastAsia="en-US"/>
            </w:rPr>
          </w:pPr>
          <w:r w:rsidRPr="00212005">
            <w:rPr>
              <w:sz w:val="40"/>
              <w:szCs w:val="22"/>
              <w:lang w:eastAsia="en-US"/>
            </w:rPr>
            <w:t>CEDAW</w:t>
          </w:r>
          <w:r w:rsidRPr="00212005">
            <w:rPr>
              <w:sz w:val="20"/>
              <w:szCs w:val="22"/>
              <w:lang w:eastAsia="en-US"/>
            </w:rPr>
            <w:t>/C/57/D/34/2011</w:t>
          </w:r>
        </w:p>
      </w:tc>
    </w:tr>
    <w:tr w:rsidR="000E1346" w:rsidRPr="00482253" w:rsidTr="000E1346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E1346" w:rsidRPr="00212005" w:rsidRDefault="000E1346" w:rsidP="000E1346">
          <w:pPr>
            <w:pStyle w:val="Header"/>
            <w:spacing w:before="109"/>
            <w:rPr>
              <w:szCs w:val="22"/>
              <w:lang w:eastAsia="en-US"/>
            </w:rPr>
          </w:pPr>
          <w:r w:rsidRPr="00212005">
            <w:rPr>
              <w:szCs w:val="22"/>
              <w:lang w:eastAsia="en-US"/>
            </w:rPr>
            <w:t xml:space="preserve"> </w:t>
          </w:r>
          <w:r w:rsidR="00482253" w:rsidRPr="00212005">
            <w:rPr>
              <w:noProof/>
              <w:szCs w:val="22"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56.25pt;height:47.25pt;visibility:visible">
                <v:imagedata r:id="rId1" o:title=""/>
              </v:shape>
            </w:pict>
          </w:r>
        </w:p>
        <w:p w:rsidR="000E1346" w:rsidRPr="00212005" w:rsidRDefault="000E1346" w:rsidP="000E1346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E1346" w:rsidRPr="00482253" w:rsidRDefault="000E1346" w:rsidP="000E1346">
          <w:pPr>
            <w:pStyle w:val="XLarge"/>
            <w:spacing w:before="109" w:line="330" w:lineRule="exact"/>
            <w:rPr>
              <w:sz w:val="34"/>
            </w:rPr>
          </w:pPr>
          <w:r w:rsidRPr="00482253"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E1346" w:rsidRPr="00212005" w:rsidRDefault="000E1346" w:rsidP="000E1346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E1346" w:rsidRPr="00482253" w:rsidRDefault="000E1346" w:rsidP="000E1346">
          <w:pPr>
            <w:pStyle w:val="Distribution"/>
            <w:rPr>
              <w:color w:val="000000"/>
              <w:lang w:val="en-US"/>
            </w:rPr>
          </w:pPr>
          <w:r w:rsidRPr="00482253">
            <w:rPr>
              <w:color w:val="000000"/>
              <w:lang w:val="en-US"/>
            </w:rPr>
            <w:t>Distr.: General</w:t>
          </w:r>
        </w:p>
        <w:p w:rsidR="000E1346" w:rsidRPr="00482253" w:rsidRDefault="000E1346" w:rsidP="000E1346">
          <w:pPr>
            <w:pStyle w:val="Publication"/>
            <w:rPr>
              <w:color w:val="000000"/>
              <w:lang w:val="en-US"/>
            </w:rPr>
          </w:pPr>
          <w:r w:rsidRPr="00482253">
            <w:rPr>
              <w:color w:val="000000"/>
              <w:lang w:val="en-US"/>
            </w:rPr>
            <w:t>12 March 2014</w:t>
          </w:r>
        </w:p>
        <w:p w:rsidR="000E1346" w:rsidRPr="00482253" w:rsidRDefault="000E1346" w:rsidP="000E1346">
          <w:pPr>
            <w:rPr>
              <w:color w:val="000000"/>
              <w:lang w:val="en-US"/>
            </w:rPr>
          </w:pPr>
          <w:r w:rsidRPr="00482253">
            <w:rPr>
              <w:color w:val="000000"/>
              <w:lang w:val="en-US"/>
            </w:rPr>
            <w:t>Russian</w:t>
          </w:r>
        </w:p>
        <w:p w:rsidR="000E1346" w:rsidRPr="00482253" w:rsidRDefault="000E1346" w:rsidP="000E1346">
          <w:pPr>
            <w:pStyle w:val="Original"/>
            <w:rPr>
              <w:color w:val="000000"/>
              <w:lang w:val="en-US"/>
            </w:rPr>
          </w:pPr>
          <w:r w:rsidRPr="00482253">
            <w:rPr>
              <w:color w:val="000000"/>
              <w:lang w:val="en-US"/>
            </w:rPr>
            <w:t>Original: English</w:t>
          </w:r>
        </w:p>
        <w:p w:rsidR="000E1346" w:rsidRPr="00482253" w:rsidRDefault="000E1346" w:rsidP="000E1346">
          <w:pPr>
            <w:rPr>
              <w:lang w:val="en-US"/>
            </w:rPr>
          </w:pPr>
        </w:p>
      </w:tc>
    </w:tr>
  </w:tbl>
  <w:p w:rsidR="000E1346" w:rsidRPr="00453F22" w:rsidRDefault="000E1346" w:rsidP="000E134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2842F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visionView w:markup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400591*"/>
    <w:docVar w:name="CreationDt" w:val="04/04/2014 11:40 AM"/>
    <w:docVar w:name="DocCategory" w:val="Doc"/>
    <w:docVar w:name="DocType" w:val="Final"/>
    <w:docVar w:name="FooterJN" w:val="14-00591"/>
    <w:docVar w:name="jobn" w:val="14-00591 (R)"/>
    <w:docVar w:name="jobnDT" w:val="14-00591 (R)   040414"/>
    <w:docVar w:name="jobnDTDT" w:val="14-00591 (R)   040414   040414"/>
    <w:docVar w:name="JobNo" w:val="1400591R"/>
    <w:docVar w:name="OandT" w:val=" "/>
    <w:docVar w:name="sss1" w:val="CEDAW/C/57/D/34/2011"/>
    <w:docVar w:name="sss2" w:val="-"/>
    <w:docVar w:name="Symbol1" w:val="CEDAW/C/57/D/34/2011"/>
    <w:docVar w:name="Symbol2" w:val="-"/>
  </w:docVars>
  <w:rsids>
    <w:rsidRoot w:val="00E6081B"/>
    <w:rsid w:val="00004615"/>
    <w:rsid w:val="00004756"/>
    <w:rsid w:val="000513EF"/>
    <w:rsid w:val="0005420D"/>
    <w:rsid w:val="00055EA2"/>
    <w:rsid w:val="00067A90"/>
    <w:rsid w:val="00070C37"/>
    <w:rsid w:val="000A111E"/>
    <w:rsid w:val="000C67BC"/>
    <w:rsid w:val="000E1346"/>
    <w:rsid w:val="000E4411"/>
    <w:rsid w:val="000F5D07"/>
    <w:rsid w:val="00105B0E"/>
    <w:rsid w:val="001444A3"/>
    <w:rsid w:val="00153645"/>
    <w:rsid w:val="00153E8C"/>
    <w:rsid w:val="00162E88"/>
    <w:rsid w:val="001A39EE"/>
    <w:rsid w:val="001C54CE"/>
    <w:rsid w:val="001D1749"/>
    <w:rsid w:val="001E25A2"/>
    <w:rsid w:val="001E61AD"/>
    <w:rsid w:val="00211A7E"/>
    <w:rsid w:val="00212005"/>
    <w:rsid w:val="00217A24"/>
    <w:rsid w:val="00254046"/>
    <w:rsid w:val="00261386"/>
    <w:rsid w:val="00261C41"/>
    <w:rsid w:val="00264A43"/>
    <w:rsid w:val="00277697"/>
    <w:rsid w:val="002B6E2A"/>
    <w:rsid w:val="002C66D0"/>
    <w:rsid w:val="002E1F79"/>
    <w:rsid w:val="002F5C45"/>
    <w:rsid w:val="002F6149"/>
    <w:rsid w:val="00326F5F"/>
    <w:rsid w:val="00337D91"/>
    <w:rsid w:val="00350756"/>
    <w:rsid w:val="003658B0"/>
    <w:rsid w:val="0039505F"/>
    <w:rsid w:val="003A150E"/>
    <w:rsid w:val="003C2842"/>
    <w:rsid w:val="003D0825"/>
    <w:rsid w:val="003D2003"/>
    <w:rsid w:val="003E5193"/>
    <w:rsid w:val="00427FE5"/>
    <w:rsid w:val="004420FB"/>
    <w:rsid w:val="00453F22"/>
    <w:rsid w:val="004645DD"/>
    <w:rsid w:val="00482253"/>
    <w:rsid w:val="004A7499"/>
    <w:rsid w:val="004B1314"/>
    <w:rsid w:val="004D656E"/>
    <w:rsid w:val="005121DC"/>
    <w:rsid w:val="00513113"/>
    <w:rsid w:val="00515869"/>
    <w:rsid w:val="005214BA"/>
    <w:rsid w:val="00524A24"/>
    <w:rsid w:val="00526E12"/>
    <w:rsid w:val="0054563F"/>
    <w:rsid w:val="00552E08"/>
    <w:rsid w:val="0056579C"/>
    <w:rsid w:val="005734C2"/>
    <w:rsid w:val="00574AA1"/>
    <w:rsid w:val="005933CB"/>
    <w:rsid w:val="005A1D01"/>
    <w:rsid w:val="005D38B6"/>
    <w:rsid w:val="005D7642"/>
    <w:rsid w:val="005E7DCF"/>
    <w:rsid w:val="00602F9D"/>
    <w:rsid w:val="006261A6"/>
    <w:rsid w:val="0063491E"/>
    <w:rsid w:val="00635AF8"/>
    <w:rsid w:val="00646363"/>
    <w:rsid w:val="006A1D06"/>
    <w:rsid w:val="006A3F10"/>
    <w:rsid w:val="00700E01"/>
    <w:rsid w:val="00705549"/>
    <w:rsid w:val="0071210D"/>
    <w:rsid w:val="00716BC5"/>
    <w:rsid w:val="00723115"/>
    <w:rsid w:val="00724550"/>
    <w:rsid w:val="00745258"/>
    <w:rsid w:val="00781ACA"/>
    <w:rsid w:val="00787B44"/>
    <w:rsid w:val="00795A5A"/>
    <w:rsid w:val="007A1FB8"/>
    <w:rsid w:val="007B098D"/>
    <w:rsid w:val="007B1DE5"/>
    <w:rsid w:val="007B5CF3"/>
    <w:rsid w:val="007C706F"/>
    <w:rsid w:val="007E0E39"/>
    <w:rsid w:val="007E2B60"/>
    <w:rsid w:val="00803EC5"/>
    <w:rsid w:val="00821CE2"/>
    <w:rsid w:val="00830FF8"/>
    <w:rsid w:val="00853E2A"/>
    <w:rsid w:val="008776BB"/>
    <w:rsid w:val="0088396E"/>
    <w:rsid w:val="008A1A7A"/>
    <w:rsid w:val="008B08A3"/>
    <w:rsid w:val="008B709D"/>
    <w:rsid w:val="008C6372"/>
    <w:rsid w:val="008D0CE3"/>
    <w:rsid w:val="008F12FD"/>
    <w:rsid w:val="008F13EA"/>
    <w:rsid w:val="00904F3C"/>
    <w:rsid w:val="00907EDB"/>
    <w:rsid w:val="009110C5"/>
    <w:rsid w:val="00915944"/>
    <w:rsid w:val="009327BF"/>
    <w:rsid w:val="00935F33"/>
    <w:rsid w:val="0094745A"/>
    <w:rsid w:val="0095649D"/>
    <w:rsid w:val="00984EE4"/>
    <w:rsid w:val="0099354F"/>
    <w:rsid w:val="009B3444"/>
    <w:rsid w:val="009B5DCD"/>
    <w:rsid w:val="009F0808"/>
    <w:rsid w:val="00A1703F"/>
    <w:rsid w:val="00A63339"/>
    <w:rsid w:val="00A90F41"/>
    <w:rsid w:val="00AA27C2"/>
    <w:rsid w:val="00AD6322"/>
    <w:rsid w:val="00AD78B1"/>
    <w:rsid w:val="00AF0B91"/>
    <w:rsid w:val="00B33139"/>
    <w:rsid w:val="00B56376"/>
    <w:rsid w:val="00B606B7"/>
    <w:rsid w:val="00B77FC0"/>
    <w:rsid w:val="00BB052D"/>
    <w:rsid w:val="00BB5B7F"/>
    <w:rsid w:val="00BD2F16"/>
    <w:rsid w:val="00BD71CF"/>
    <w:rsid w:val="00BE448A"/>
    <w:rsid w:val="00BE531D"/>
    <w:rsid w:val="00BF3D60"/>
    <w:rsid w:val="00BF5FCB"/>
    <w:rsid w:val="00C16B93"/>
    <w:rsid w:val="00C2210E"/>
    <w:rsid w:val="00C2524E"/>
    <w:rsid w:val="00C60105"/>
    <w:rsid w:val="00C623BF"/>
    <w:rsid w:val="00C70D59"/>
    <w:rsid w:val="00C7432F"/>
    <w:rsid w:val="00C77473"/>
    <w:rsid w:val="00CD3C62"/>
    <w:rsid w:val="00CF07BE"/>
    <w:rsid w:val="00D028FF"/>
    <w:rsid w:val="00D1470E"/>
    <w:rsid w:val="00D20AA4"/>
    <w:rsid w:val="00D23F5B"/>
    <w:rsid w:val="00D434AF"/>
    <w:rsid w:val="00D61BB7"/>
    <w:rsid w:val="00D7165D"/>
    <w:rsid w:val="00D75705"/>
    <w:rsid w:val="00D961D6"/>
    <w:rsid w:val="00D97B17"/>
    <w:rsid w:val="00DA1A4A"/>
    <w:rsid w:val="00DF1CF0"/>
    <w:rsid w:val="00E04C73"/>
    <w:rsid w:val="00E079A3"/>
    <w:rsid w:val="00E15D7D"/>
    <w:rsid w:val="00E17234"/>
    <w:rsid w:val="00E321CE"/>
    <w:rsid w:val="00E6081B"/>
    <w:rsid w:val="00E6111E"/>
    <w:rsid w:val="00E616D0"/>
    <w:rsid w:val="00E65C07"/>
    <w:rsid w:val="00E8225E"/>
    <w:rsid w:val="00E90547"/>
    <w:rsid w:val="00E970B0"/>
    <w:rsid w:val="00EA1656"/>
    <w:rsid w:val="00EB646E"/>
    <w:rsid w:val="00EC6F5D"/>
    <w:rsid w:val="00EF1FBD"/>
    <w:rsid w:val="00F07DDF"/>
    <w:rsid w:val="00F16256"/>
    <w:rsid w:val="00F35ACF"/>
    <w:rsid w:val="00F624BD"/>
    <w:rsid w:val="00F62A5E"/>
    <w:rsid w:val="00F74A39"/>
    <w:rsid w:val="00F85203"/>
    <w:rsid w:val="00F92676"/>
    <w:rsid w:val="00F94262"/>
    <w:rsid w:val="00F979A8"/>
    <w:rsid w:val="00FA1B93"/>
    <w:rsid w:val="00FA5551"/>
    <w:rsid w:val="00FD213B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uiPriority w:val="9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uiPriority w:val="9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uiPriority w:val="1"/>
    <w:semiHidden/>
    <w:unhideWhenUsed/>
    <w:rsid w:val="000E1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346"/>
    <w:pPr>
      <w:spacing w:line="240" w:lineRule="auto"/>
    </w:pPr>
    <w:rPr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0E134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3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134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E321CE"/>
    <w:pPr>
      <w:numPr>
        <w:numId w:val="8"/>
      </w:numPr>
      <w:contextualSpacing/>
    </w:pPr>
  </w:style>
  <w:style w:type="character" w:styleId="Hyperlink">
    <w:name w:val="Hyperlink"/>
    <w:uiPriority w:val="99"/>
    <w:unhideWhenUsed/>
    <w:rsid w:val="00D23F5B"/>
    <w:rPr>
      <w:color w:val="0000FF"/>
      <w:u w:val="none"/>
    </w:rPr>
  </w:style>
  <w:style w:type="character" w:styleId="FollowedHyperlink">
    <w:name w:val="FollowedHyperlink"/>
    <w:uiPriority w:val="99"/>
    <w:semiHidden/>
    <w:unhideWhenUsed/>
    <w:rsid w:val="00D23F5B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undocs.org/ru/A/RES/34/201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undocs.org/ru/A/RES/34/201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21</Pages>
  <Words>7068</Words>
  <Characters>46510</Characters>
  <Application>Microsoft Office Outlook</Application>
  <DocSecurity>4</DocSecurity>
  <Lines>845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53462</CharactersWithSpaces>
  <SharedDoc>false</SharedDoc>
  <HLinks>
    <vt:vector size="12" baseType="variant">
      <vt:variant>
        <vt:i4>1245261</vt:i4>
      </vt:variant>
      <vt:variant>
        <vt:i4>3</vt:i4>
      </vt:variant>
      <vt:variant>
        <vt:i4>0</vt:i4>
      </vt:variant>
      <vt:variant>
        <vt:i4>5</vt:i4>
      </vt:variant>
      <vt:variant>
        <vt:lpwstr>http://undocs.org/ru/A/RES/34/201</vt:lpwstr>
      </vt:variant>
      <vt:variant>
        <vt:lpwstr/>
      </vt:variant>
      <vt:variant>
        <vt:i4>1245261</vt:i4>
      </vt:variant>
      <vt:variant>
        <vt:i4>0</vt:i4>
      </vt:variant>
      <vt:variant>
        <vt:i4>0</vt:i4>
      </vt:variant>
      <vt:variant>
        <vt:i4>5</vt:i4>
      </vt:variant>
      <vt:variant>
        <vt:lpwstr>http://undocs.org/ru/A/RES/34/201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Olga Fedorova</dc:creator>
  <cp:keywords/>
  <cp:lastModifiedBy>Olga Fedorova</cp:lastModifiedBy>
  <cp:revision>3</cp:revision>
  <cp:lastPrinted>2014-04-04T11:18:00Z</cp:lastPrinted>
  <dcterms:created xsi:type="dcterms:W3CDTF">2014-04-04T11:21:00Z</dcterms:created>
  <dcterms:modified xsi:type="dcterms:W3CDTF">2014-04-04T11:22:00Z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1400591</vt:lpwstr>
  </property>
  <property fmtid="{D5CDD505-2E9C-101B-9397-08002B2CF9AE}" pid="3" name="Symbol1">
    <vt:lpwstr>CEDAW/C/57/D/34/2011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Distribution">
    <vt:lpwstr>General</vt:lpwstr>
  </property>
  <property fmtid="{D5CDD505-2E9C-101B-9397-08002B2CF9AE}" pid="7" name="Publication Date">
    <vt:lpwstr>12 March 2014</vt:lpwstr>
  </property>
  <property fmtid="{D5CDD505-2E9C-101B-9397-08002B2CF9AE}" pid="8" name="Original">
    <vt:lpwstr>English</vt:lpwstr>
  </property>
  <property fmtid="{D5CDD505-2E9C-101B-9397-08002B2CF9AE}" pid="9" name="Release Date">
    <vt:lpwstr>040414</vt:lpwstr>
  </property>
  <property fmtid="{D5CDD505-2E9C-101B-9397-08002B2CF9AE}" pid="10" name="Comment">
    <vt:lpwstr/>
  </property>
  <property fmtid="{D5CDD505-2E9C-101B-9397-08002B2CF9AE}" pid="11" name="DraftPages">
    <vt:lpwstr> 21</vt:lpwstr>
  </property>
  <property fmtid="{D5CDD505-2E9C-101B-9397-08002B2CF9AE}" pid="12" name="Operator">
    <vt:lpwstr>Fedorova</vt:lpwstr>
  </property>
</Properties>
</file>