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3A1ABF" w:rsidP="003A1ABF">
            <w:pPr>
              <w:bidi w:val="0"/>
              <w:spacing w:after="20"/>
              <w:jc w:val="left"/>
              <w:rPr>
                <w:szCs w:val="20"/>
              </w:rPr>
            </w:pPr>
            <w:r w:rsidRPr="003A1ABF">
              <w:rPr>
                <w:sz w:val="40"/>
                <w:szCs w:val="20"/>
              </w:rPr>
              <w:t>CRPD</w:t>
            </w:r>
            <w:r>
              <w:rPr>
                <w:szCs w:val="20"/>
              </w:rPr>
              <w:t>/C/13/D/9/2012</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AEFFC3F" wp14:editId="73ACDC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3A1ABF" w:rsidP="003A1ABF">
            <w:pPr>
              <w:bidi w:val="0"/>
              <w:spacing w:before="240"/>
              <w:jc w:val="left"/>
              <w:rPr>
                <w:szCs w:val="20"/>
              </w:rPr>
            </w:pPr>
            <w:r>
              <w:rPr>
                <w:szCs w:val="20"/>
              </w:rPr>
              <w:t>Distr.: General</w:t>
            </w:r>
          </w:p>
          <w:p w:rsidR="003A1ABF" w:rsidRDefault="003A1ABF" w:rsidP="003A1ABF">
            <w:pPr>
              <w:bidi w:val="0"/>
              <w:jc w:val="left"/>
              <w:rPr>
                <w:szCs w:val="20"/>
              </w:rPr>
            </w:pPr>
            <w:r>
              <w:rPr>
                <w:szCs w:val="20"/>
              </w:rPr>
              <w:t>19 May 2015</w:t>
            </w:r>
          </w:p>
          <w:p w:rsidR="003A1ABF" w:rsidRDefault="003A1ABF" w:rsidP="003A1ABF">
            <w:pPr>
              <w:bidi w:val="0"/>
              <w:jc w:val="left"/>
              <w:rPr>
                <w:szCs w:val="20"/>
              </w:rPr>
            </w:pPr>
            <w:r>
              <w:rPr>
                <w:szCs w:val="20"/>
              </w:rPr>
              <w:t>Arabic</w:t>
            </w:r>
          </w:p>
          <w:p w:rsidR="003A1ABF" w:rsidRPr="00A54442" w:rsidRDefault="003A1ABF" w:rsidP="003A1ABF">
            <w:pPr>
              <w:bidi w:val="0"/>
              <w:jc w:val="left"/>
              <w:rPr>
                <w:szCs w:val="20"/>
              </w:rPr>
            </w:pPr>
            <w:r>
              <w:rPr>
                <w:szCs w:val="20"/>
              </w:rPr>
              <w:t>Original: English</w:t>
            </w:r>
          </w:p>
        </w:tc>
      </w:tr>
    </w:tbl>
    <w:p w:rsidR="003A1ABF" w:rsidRPr="006001EF" w:rsidRDefault="003A1ABF" w:rsidP="003A1ABF">
      <w:pPr>
        <w:spacing w:before="120" w:line="380" w:lineRule="exact"/>
        <w:textDirection w:val="tbRlV"/>
        <w:rPr>
          <w:b/>
          <w:bCs/>
          <w:sz w:val="36"/>
          <w:szCs w:val="36"/>
          <w:rtl/>
          <w:lang w:eastAsia="zh-TW"/>
        </w:rPr>
      </w:pPr>
      <w:r w:rsidRPr="006001EF">
        <w:rPr>
          <w:b/>
          <w:bCs/>
          <w:sz w:val="36"/>
          <w:szCs w:val="36"/>
          <w:rtl/>
          <w:lang w:eastAsia="zh-TW"/>
        </w:rPr>
        <w:t>اللجنة المعنية بحقوق الأشخاص ذوي الإعاقة</w:t>
      </w:r>
    </w:p>
    <w:p w:rsidR="003A1ABF" w:rsidRDefault="003A1ABF" w:rsidP="00FD225C">
      <w:pPr>
        <w:pStyle w:val="HChGA"/>
        <w:spacing w:before="300" w:after="200"/>
        <w:rPr>
          <w:rtl/>
          <w:lang w:eastAsia="zh-CN"/>
        </w:rPr>
      </w:pPr>
      <w:r>
        <w:rPr>
          <w:rFonts w:hint="cs"/>
          <w:rtl/>
          <w:lang w:eastAsia="zh-TW"/>
        </w:rPr>
        <w:tab/>
      </w:r>
      <w:r w:rsidRPr="00935AFD">
        <w:rPr>
          <w:rtl/>
          <w:lang w:eastAsia="zh-TW"/>
        </w:rPr>
        <w:tab/>
      </w:r>
      <w:r>
        <w:rPr>
          <w:rtl/>
          <w:lang w:eastAsia="zh-TW"/>
        </w:rPr>
        <w:t xml:space="preserve">البلاغ رقم </w:t>
      </w:r>
      <w:r>
        <w:rPr>
          <w:rFonts w:hint="eastAsia"/>
          <w:rtl/>
          <w:lang w:eastAsia="zh-CN"/>
        </w:rPr>
        <w:t>9/2012</w:t>
      </w:r>
    </w:p>
    <w:p w:rsidR="003A1ABF" w:rsidRPr="00935AFD" w:rsidRDefault="003A1ABF" w:rsidP="0007103F">
      <w:pPr>
        <w:pStyle w:val="H1GA"/>
        <w:rPr>
          <w:rtl/>
          <w:lang w:eastAsia="zh-TW"/>
        </w:rPr>
      </w:pPr>
      <w:r w:rsidRPr="0007103F">
        <w:rPr>
          <w:spacing w:val="6"/>
          <w:rtl/>
          <w:lang w:eastAsia="zh-TW"/>
        </w:rPr>
        <w:tab/>
      </w:r>
      <w:r w:rsidRPr="0007103F">
        <w:rPr>
          <w:spacing w:val="6"/>
          <w:rtl/>
          <w:lang w:eastAsia="zh-TW"/>
        </w:rPr>
        <w:tab/>
        <w:t>الآراء التي اعتمدتها اللجنة في دورتها الثالثة عشرة (25 آذار/مارس</w:t>
      </w:r>
      <w:r w:rsidR="0007103F" w:rsidRPr="0007103F">
        <w:rPr>
          <w:rFonts w:hint="cs"/>
          <w:spacing w:val="6"/>
          <w:rtl/>
          <w:lang w:eastAsia="zh-TW"/>
        </w:rPr>
        <w:t xml:space="preserve"> </w:t>
      </w:r>
      <w:r w:rsidRPr="0007103F">
        <w:rPr>
          <w:rFonts w:hint="cs"/>
          <w:spacing w:val="6"/>
          <w:rtl/>
          <w:lang w:eastAsia="zh-TW"/>
        </w:rPr>
        <w:t>-</w:t>
      </w:r>
      <w:r w:rsidR="0007103F">
        <w:rPr>
          <w:rFonts w:hint="cs"/>
          <w:spacing w:val="6"/>
          <w:rtl/>
          <w:lang w:eastAsia="zh-TW"/>
        </w:rPr>
        <w:t xml:space="preserve"> </w:t>
      </w:r>
      <w:r>
        <w:rPr>
          <w:rtl/>
          <w:lang w:eastAsia="zh-TW"/>
        </w:rPr>
        <w:t>17</w:t>
      </w:r>
      <w:r w:rsidR="005A085E">
        <w:rPr>
          <w:rFonts w:hint="cs"/>
          <w:rtl/>
          <w:lang w:eastAsia="zh-TW"/>
        </w:rPr>
        <w:t> </w:t>
      </w:r>
      <w:r>
        <w:rPr>
          <w:rtl/>
          <w:lang w:eastAsia="zh-TW"/>
        </w:rPr>
        <w:t>نيسان/أبريل 2015)</w:t>
      </w:r>
    </w:p>
    <w:p w:rsidR="003A1ABF" w:rsidRPr="00935AFD" w:rsidRDefault="006001EF" w:rsidP="003A1ABF">
      <w:pPr>
        <w:pStyle w:val="SingleTxtGA"/>
        <w:ind w:left="1928"/>
        <w:rPr>
          <w:b/>
          <w:rtl/>
          <w:lang w:eastAsia="zh-TW"/>
        </w:rPr>
      </w:pPr>
      <w:r>
        <w:rPr>
          <w:rFonts w:hint="cs"/>
          <w:i/>
          <w:iCs/>
          <w:rtl/>
          <w:lang w:eastAsia="zh-TW"/>
        </w:rPr>
        <w:t>الم</w:t>
      </w:r>
      <w:r w:rsidR="003A1ABF" w:rsidRPr="003A1ABF">
        <w:rPr>
          <w:i/>
          <w:iCs/>
          <w:rtl/>
          <w:lang w:eastAsia="zh-TW"/>
        </w:rPr>
        <w:t>قدَّم من:</w:t>
      </w:r>
      <w:r w:rsidR="003A1ABF" w:rsidRPr="003A1ABF">
        <w:rPr>
          <w:i/>
          <w:iCs/>
          <w:rtl/>
          <w:lang w:eastAsia="zh-TW"/>
        </w:rPr>
        <w:tab/>
      </w:r>
      <w:r w:rsidR="003A1ABF">
        <w:rPr>
          <w:rFonts w:hint="cs"/>
          <w:rtl/>
          <w:lang w:eastAsia="zh-TW"/>
        </w:rPr>
        <w:tab/>
      </w:r>
      <w:r w:rsidR="003A1ABF">
        <w:rPr>
          <w:rFonts w:hint="cs"/>
          <w:rtl/>
          <w:lang w:eastAsia="zh-TW"/>
        </w:rPr>
        <w:tab/>
      </w:r>
      <w:r w:rsidR="003A1ABF">
        <w:rPr>
          <w:rtl/>
          <w:lang w:eastAsia="zh-TW"/>
        </w:rPr>
        <w:t>أي. ف</w:t>
      </w:r>
      <w:r w:rsidR="003A1ABF">
        <w:rPr>
          <w:rFonts w:hint="cs"/>
          <w:rtl/>
          <w:lang w:eastAsia="zh-TW"/>
        </w:rPr>
        <w:t>.</w:t>
      </w:r>
      <w:r w:rsidR="003A1ABF">
        <w:rPr>
          <w:rtl/>
          <w:lang w:eastAsia="zh-TW"/>
        </w:rPr>
        <w:t xml:space="preserve"> (يمثله المحامي </w:t>
      </w:r>
      <w:proofErr w:type="spellStart"/>
      <w:r w:rsidR="003A1ABF">
        <w:rPr>
          <w:rtl/>
          <w:lang w:eastAsia="zh-TW"/>
        </w:rPr>
        <w:t>جوزيبي</w:t>
      </w:r>
      <w:proofErr w:type="spellEnd"/>
      <w:r w:rsidR="003A1ABF">
        <w:rPr>
          <w:rtl/>
          <w:lang w:eastAsia="zh-TW"/>
        </w:rPr>
        <w:t xml:space="preserve"> </w:t>
      </w:r>
      <w:proofErr w:type="spellStart"/>
      <w:r w:rsidR="003A1ABF">
        <w:rPr>
          <w:rtl/>
          <w:lang w:eastAsia="zh-TW"/>
        </w:rPr>
        <w:t>لوبينو</w:t>
      </w:r>
      <w:proofErr w:type="spellEnd"/>
      <w:r w:rsidR="003A1ABF">
        <w:rPr>
          <w:rtl/>
          <w:lang w:eastAsia="zh-TW"/>
        </w:rPr>
        <w:t>)</w:t>
      </w:r>
    </w:p>
    <w:p w:rsidR="003A1ABF" w:rsidRPr="00935AFD" w:rsidRDefault="00477904" w:rsidP="003A1ABF">
      <w:pPr>
        <w:pStyle w:val="SingleTxtGA"/>
        <w:ind w:left="1928"/>
        <w:rPr>
          <w:rtl/>
          <w:lang w:eastAsia="zh-TW"/>
        </w:rPr>
      </w:pPr>
      <w:dir w:val="rtl">
        <w:r w:rsidR="003A1ABF" w:rsidRPr="003A1ABF">
          <w:rPr>
            <w:i/>
            <w:iCs/>
            <w:rtl/>
            <w:lang w:eastAsia="zh-TW"/>
          </w:rPr>
          <w:t>الشخص المدعى أنه ضحية:</w:t>
        </w:r>
        <w:r w:rsidR="003A1ABF">
          <w:rPr>
            <w:rFonts w:hint="cs"/>
            <w:rtl/>
            <w:lang w:eastAsia="zh-TW"/>
          </w:rPr>
          <w:tab/>
        </w:r>
        <w:r w:rsidR="003A1ABF">
          <w:rPr>
            <w:rtl/>
            <w:lang w:eastAsia="zh-TW"/>
          </w:rPr>
          <w:t>صاحب البلاغ</w:t>
        </w:r>
        <w:r w:rsidR="003A1ABF">
          <w:rPr>
            <w:rFonts w:cs="Times New Roman" w:hint="cs"/>
            <w:rtl/>
            <w:lang w:eastAsia="zh-TW"/>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8C247F">
          <w:t>‬</w:t>
        </w:r>
        <w:r>
          <w:t>‬</w:t>
        </w:r>
      </w:dir>
    </w:p>
    <w:p w:rsidR="003A1ABF" w:rsidRPr="00935AFD" w:rsidRDefault="003A1ABF" w:rsidP="003A1ABF">
      <w:pPr>
        <w:pStyle w:val="SingleTxtGA"/>
        <w:ind w:left="1928"/>
        <w:rPr>
          <w:rtl/>
          <w:lang w:eastAsia="zh-TW"/>
        </w:rPr>
      </w:pPr>
      <w:r w:rsidRPr="003A1ABF">
        <w:rPr>
          <w:i/>
          <w:iCs/>
          <w:rtl/>
          <w:lang w:eastAsia="zh-TW"/>
        </w:rPr>
        <w:t>الدولة الطرف:</w:t>
      </w:r>
      <w:r>
        <w:rPr>
          <w:rFonts w:hint="cs"/>
          <w:rtl/>
          <w:lang w:eastAsia="zh-TW"/>
        </w:rPr>
        <w:tab/>
      </w:r>
      <w:r>
        <w:rPr>
          <w:rFonts w:hint="cs"/>
          <w:rtl/>
          <w:lang w:eastAsia="zh-TW"/>
        </w:rPr>
        <w:tab/>
      </w:r>
      <w:r>
        <w:rPr>
          <w:rFonts w:hint="cs"/>
          <w:rtl/>
          <w:lang w:eastAsia="zh-TW"/>
        </w:rPr>
        <w:tab/>
      </w:r>
      <w:r>
        <w:rPr>
          <w:rtl/>
          <w:lang w:eastAsia="zh-TW"/>
        </w:rPr>
        <w:t>إيطاليا</w:t>
      </w:r>
    </w:p>
    <w:p w:rsidR="003A1ABF" w:rsidRPr="003A1ABF" w:rsidRDefault="00477904" w:rsidP="00FD225C">
      <w:pPr>
        <w:pStyle w:val="SingleTxtGA"/>
        <w:spacing w:line="340" w:lineRule="exact"/>
        <w:ind w:left="4650" w:hanging="2722"/>
        <w:rPr>
          <w:rtl/>
          <w:lang w:eastAsia="zh-TW"/>
        </w:rPr>
      </w:pPr>
      <w:dir w:val="rtl">
        <w:r w:rsidR="003A1ABF" w:rsidRPr="003A1ABF">
          <w:rPr>
            <w:i/>
            <w:iCs/>
            <w:rtl/>
            <w:lang w:eastAsia="zh-TW"/>
          </w:rPr>
          <w:t>تاريخ تقديم البلاغ:</w:t>
        </w:r>
        <w:r w:rsidR="003A1ABF" w:rsidRPr="003A1ABF">
          <w:rPr>
            <w:rFonts w:hint="cs"/>
            <w:rtl/>
            <w:lang w:eastAsia="zh-TW"/>
          </w:rPr>
          <w:tab/>
        </w:r>
        <w:r w:rsidR="003A1ABF" w:rsidRPr="003A1ABF">
          <w:rPr>
            <w:rFonts w:hint="cs"/>
            <w:rtl/>
            <w:lang w:eastAsia="zh-TW"/>
          </w:rPr>
          <w:tab/>
        </w:r>
        <w:r w:rsidR="003A1ABF" w:rsidRPr="003A1ABF">
          <w:rPr>
            <w:rtl/>
            <w:lang w:eastAsia="zh-TW"/>
          </w:rPr>
          <w:t>٤ حزيران/يونيه</w:t>
        </w:r>
        <w:r w:rsidR="001B316A">
          <w:rPr>
            <w:rtl/>
            <w:lang w:eastAsia="zh-TW"/>
          </w:rPr>
          <w:t xml:space="preserve"> </w:t>
        </w:r>
        <w:r w:rsidR="003A1ABF" w:rsidRPr="003A1ABF">
          <w:rPr>
            <w:rtl/>
            <w:lang w:eastAsia="zh-TW"/>
          </w:rPr>
          <w:t>٢٠١١ (تاريخ تقديم الرسالة الأولى)</w:t>
        </w:r>
        <w:r w:rsidR="003A1ABF" w:rsidRPr="003A1ABF">
          <w:rPr>
            <w:rFonts w:cs="Times New Roman" w:hint="cs"/>
            <w:rtl/>
            <w:lang w:eastAsia="zh-TW"/>
          </w:rPr>
          <w:t>‬</w:t>
        </w:r>
        <w:r w:rsidR="003A1ABF" w:rsidRPr="003A1ABF">
          <w:rPr>
            <w:rFonts w:cs="Times New Roman" w:hint="cs"/>
            <w:rtl/>
          </w:rPr>
          <w:t>‬</w:t>
        </w:r>
        <w:r w:rsidR="003A1ABF" w:rsidRPr="003A1ABF">
          <w:rPr>
            <w:rFonts w:cs="Times New Roman" w:hint="cs"/>
            <w:rtl/>
          </w:rPr>
          <w:t>‬</w:t>
        </w:r>
        <w:r w:rsidR="003A1ABF" w:rsidRPr="003A1ABF">
          <w:rPr>
            <w:rFonts w:cs="Times New Roman" w:hint="cs"/>
            <w:rtl/>
          </w:rPr>
          <w:t>‬</w:t>
        </w:r>
        <w:r w:rsidR="003A1ABF" w:rsidRPr="003A1ABF">
          <w:rPr>
            <w:rFonts w:cs="Times New Roman" w:hint="cs"/>
            <w:rtl/>
          </w:rPr>
          <w:t>‬</w:t>
        </w:r>
        <w:r w:rsidR="003A1ABF" w:rsidRPr="003A1ABF">
          <w:t>‬</w:t>
        </w:r>
        <w:r w:rsidR="003A1ABF" w:rsidRPr="003A1ABF">
          <w:t>‬</w:t>
        </w:r>
        <w:r w:rsidR="003A1ABF" w:rsidRPr="003A1ABF">
          <w:t>‬</w:t>
        </w:r>
        <w:r w:rsidR="003A1ABF" w:rsidRPr="003A1ABF">
          <w:t>‬</w:t>
        </w:r>
        <w:r w:rsidR="003A1ABF" w:rsidRPr="003A1ABF">
          <w:t>‬</w:t>
        </w:r>
        <w:r w:rsidR="003A1ABF" w:rsidRPr="003A1ABF">
          <w:t>‬</w:t>
        </w:r>
        <w:r w:rsidR="008C247F">
          <w:t>‬</w:t>
        </w:r>
        <w:r>
          <w:t>‬</w:t>
        </w:r>
      </w:dir>
    </w:p>
    <w:p w:rsidR="003A1ABF" w:rsidRPr="00935AFD" w:rsidRDefault="00477904" w:rsidP="00FD225C">
      <w:pPr>
        <w:pStyle w:val="SingleTxtGA"/>
        <w:spacing w:line="340" w:lineRule="exact"/>
        <w:ind w:left="4650" w:hanging="2722"/>
        <w:rPr>
          <w:rtl/>
          <w:lang w:eastAsia="zh-TW"/>
        </w:rPr>
      </w:pPr>
      <w:dir w:val="rtl">
        <w:r w:rsidR="003A1ABF" w:rsidRPr="003A1ABF">
          <w:rPr>
            <w:i/>
            <w:iCs/>
            <w:rtl/>
            <w:lang w:eastAsia="zh-TW"/>
          </w:rPr>
          <w:t>الوثائق المرجعية:</w:t>
        </w:r>
        <w:r w:rsidR="003A1ABF" w:rsidRPr="003A1ABF">
          <w:rPr>
            <w:rFonts w:hint="cs"/>
            <w:i/>
            <w:iCs/>
            <w:rtl/>
            <w:lang w:eastAsia="zh-TW"/>
          </w:rPr>
          <w:tab/>
        </w:r>
        <w:r w:rsidR="003A1ABF">
          <w:rPr>
            <w:rFonts w:hint="cs"/>
            <w:rtl/>
            <w:lang w:eastAsia="zh-TW"/>
          </w:rPr>
          <w:tab/>
        </w:r>
        <w:r w:rsidR="003A1ABF">
          <w:rPr>
            <w:rFonts w:hint="cs"/>
            <w:rtl/>
            <w:lang w:eastAsia="zh-TW"/>
          </w:rPr>
          <w:tab/>
        </w:r>
        <w:r w:rsidR="003A1ABF">
          <w:rPr>
            <w:rtl/>
            <w:lang w:eastAsia="zh-TW"/>
          </w:rPr>
          <w:t>قرار المقرر الخاص بمقتضى المادة 70 الذي أُحيل إلى الدولة الطرف في ٢٠ أيلول/سبتمبر ٢٠١٠ (لم يصدر في شكل وثيقة)</w:t>
        </w:r>
        <w:r w:rsidR="003A1ABF">
          <w:rPr>
            <w:rFonts w:cs="Times New Roman" w:hint="cs"/>
            <w:rtl/>
            <w:lang w:eastAsia="zh-TW"/>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8C247F">
          <w:t>‬</w:t>
        </w:r>
        <w:r>
          <w:t>‬</w:t>
        </w:r>
      </w:dir>
    </w:p>
    <w:p w:rsidR="003A1ABF" w:rsidRPr="00935AFD" w:rsidRDefault="003A1ABF" w:rsidP="003A1ABF">
      <w:pPr>
        <w:pStyle w:val="SingleTxtGA"/>
        <w:ind w:left="1928"/>
        <w:rPr>
          <w:rtl/>
          <w:lang w:eastAsia="zh-TW"/>
        </w:rPr>
      </w:pPr>
      <w:r w:rsidRPr="003A1ABF">
        <w:rPr>
          <w:i/>
          <w:iCs/>
          <w:rtl/>
          <w:lang w:eastAsia="zh-TW"/>
        </w:rPr>
        <w:t>تاريخ اعتماد القرار:</w:t>
      </w:r>
      <w:r>
        <w:rPr>
          <w:rFonts w:hint="cs"/>
          <w:rtl/>
          <w:lang w:eastAsia="zh-CN"/>
        </w:rPr>
        <w:tab/>
      </w:r>
      <w:r>
        <w:rPr>
          <w:rFonts w:hint="cs"/>
          <w:rtl/>
          <w:lang w:eastAsia="zh-CN"/>
        </w:rPr>
        <w:tab/>
      </w:r>
      <w:r>
        <w:rPr>
          <w:rFonts w:hint="eastAsia"/>
          <w:rtl/>
          <w:lang w:eastAsia="zh-CN"/>
        </w:rPr>
        <w:t>2</w:t>
      </w:r>
      <w:r>
        <w:rPr>
          <w:rtl/>
          <w:lang w:eastAsia="zh-TW"/>
        </w:rPr>
        <w:t>7 آذار/مارس 2014</w:t>
      </w:r>
    </w:p>
    <w:p w:rsidR="003A1ABF" w:rsidRPr="00935AFD" w:rsidRDefault="003A1ABF" w:rsidP="00FD225C">
      <w:pPr>
        <w:pStyle w:val="SingleTxtGA"/>
        <w:spacing w:line="340" w:lineRule="exact"/>
        <w:ind w:left="4650" w:hanging="2722"/>
        <w:rPr>
          <w:rtl/>
          <w:lang w:eastAsia="zh-TW"/>
        </w:rPr>
      </w:pPr>
      <w:r w:rsidRPr="003A1ABF">
        <w:rPr>
          <w:i/>
          <w:iCs/>
          <w:rtl/>
          <w:lang w:eastAsia="zh-TW"/>
        </w:rPr>
        <w:t>الموضوع:</w:t>
      </w:r>
      <w:r w:rsidRPr="003A1ABF">
        <w:rPr>
          <w:rFonts w:hint="cs"/>
          <w:i/>
          <w:iCs/>
          <w:rtl/>
          <w:lang w:eastAsia="zh-TW"/>
        </w:rPr>
        <w:tab/>
      </w:r>
      <w:r>
        <w:rPr>
          <w:rFonts w:hint="cs"/>
          <w:rtl/>
          <w:lang w:eastAsia="zh-TW"/>
        </w:rPr>
        <w:tab/>
      </w:r>
      <w:r>
        <w:rPr>
          <w:rFonts w:hint="cs"/>
          <w:rtl/>
          <w:lang w:eastAsia="zh-TW"/>
        </w:rPr>
        <w:tab/>
      </w:r>
      <w:r>
        <w:rPr>
          <w:rFonts w:hint="cs"/>
          <w:rtl/>
          <w:lang w:eastAsia="zh-TW"/>
        </w:rPr>
        <w:tab/>
      </w:r>
      <w:r>
        <w:rPr>
          <w:rtl/>
          <w:lang w:eastAsia="zh-TW"/>
        </w:rPr>
        <w:t xml:space="preserve">عملية التوظيف؛ التمييز في تطبيق التشريعات الوطنية المتعلقة بحق الأشخاص ذوي إعاقة </w:t>
      </w:r>
      <w:r w:rsidRPr="009C273D">
        <w:rPr>
          <w:rtl/>
          <w:lang w:eastAsia="zh-TW"/>
        </w:rPr>
        <w:t xml:space="preserve">في </w:t>
      </w:r>
      <w:r>
        <w:rPr>
          <w:rtl/>
          <w:lang w:eastAsia="zh-TW"/>
        </w:rPr>
        <w:t>ال</w:t>
      </w:r>
      <w:r w:rsidRPr="009C273D">
        <w:rPr>
          <w:rtl/>
          <w:lang w:eastAsia="zh-TW"/>
        </w:rPr>
        <w:t xml:space="preserve">توظيف </w:t>
      </w:r>
      <w:r w:rsidR="006001EF">
        <w:rPr>
          <w:rtl/>
          <w:lang w:eastAsia="zh-TW"/>
        </w:rPr>
        <w:t>؛ وقائع وأدلة</w:t>
      </w:r>
    </w:p>
    <w:p w:rsidR="003A1ABF" w:rsidRPr="00935AFD" w:rsidRDefault="00477904" w:rsidP="00FD225C">
      <w:pPr>
        <w:pStyle w:val="SingleTxtGA"/>
        <w:spacing w:line="340" w:lineRule="exact"/>
        <w:ind w:left="4650" w:hanging="2722"/>
        <w:rPr>
          <w:color w:val="000000"/>
          <w:rtl/>
          <w:lang w:eastAsia="zh-TW"/>
        </w:rPr>
      </w:pPr>
      <w:dir w:val="rtl">
        <w:r w:rsidR="003A1ABF" w:rsidRPr="003A1ABF">
          <w:rPr>
            <w:i/>
            <w:iCs/>
            <w:rtl/>
            <w:lang w:eastAsia="zh-TW"/>
          </w:rPr>
          <w:t>المسائل الإجرائية:</w:t>
        </w:r>
        <w:r w:rsidR="003A1ABF" w:rsidRPr="003A1ABF">
          <w:rPr>
            <w:rFonts w:hint="cs"/>
            <w:i/>
            <w:iCs/>
            <w:rtl/>
            <w:lang w:eastAsia="zh-TW"/>
          </w:rPr>
          <w:tab/>
        </w:r>
        <w:r w:rsidR="003A1ABF" w:rsidRPr="003A1ABF">
          <w:rPr>
            <w:rFonts w:hint="cs"/>
            <w:i/>
            <w:iCs/>
            <w:rtl/>
            <w:lang w:eastAsia="zh-TW"/>
          </w:rPr>
          <w:tab/>
        </w:r>
        <w:r w:rsidR="003A1ABF">
          <w:rPr>
            <w:rFonts w:hint="cs"/>
            <w:rtl/>
            <w:lang w:eastAsia="zh-TW"/>
          </w:rPr>
          <w:tab/>
        </w:r>
        <w:r w:rsidR="003A1ABF" w:rsidRPr="003A1ABF">
          <w:rPr>
            <w:spacing w:val="-6"/>
            <w:rtl/>
            <w:lang w:eastAsia="zh-TW"/>
          </w:rPr>
          <w:t>مقبولية</w:t>
        </w:r>
        <w:r w:rsidR="003A1ABF">
          <w:rPr>
            <w:rtl/>
            <w:lang w:eastAsia="zh-TW"/>
          </w:rPr>
          <w:t xml:space="preserve"> الادعاءات من حيث الاختصاص الزماني</w:t>
        </w:r>
        <w:r w:rsidR="003A1ABF">
          <w:rPr>
            <w:rFonts w:cs="Times New Roman" w:hint="cs"/>
            <w:rtl/>
            <w:lang w:eastAsia="zh-TW"/>
          </w:rPr>
          <w:t>‬</w:t>
        </w:r>
        <w:r w:rsidR="003A1ABF">
          <w:rPr>
            <w:rtl/>
            <w:lang w:eastAsia="zh-TW"/>
          </w:rPr>
          <w:t xml:space="preserve">؛ </w:t>
        </w:r>
        <w:dir w:val="rtl">
          <w:r w:rsidR="003A1ABF">
            <w:rPr>
              <w:rtl/>
              <w:lang w:eastAsia="zh-TW"/>
            </w:rPr>
            <w:t>استنفاد سبل الانتصاف الداخلية</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3A1ABF">
            <w:t>‬</w:t>
          </w:r>
          <w:r w:rsidR="003A1ABF">
            <w:t>‬</w:t>
          </w:r>
          <w:r w:rsidR="003A1ABF">
            <w:t>‬</w:t>
          </w:r>
          <w:r w:rsidR="003A1ABF">
            <w:t>‬</w:t>
          </w:r>
          <w:r w:rsidR="003A1ABF">
            <w:t>‬</w:t>
          </w:r>
          <w:r w:rsidR="003A1ABF">
            <w:t>‬</w:t>
          </w:r>
          <w:r w:rsidR="008C247F">
            <w:t>‬</w:t>
          </w:r>
          <w:r w:rsidR="008C247F">
            <w:t>‬</w:t>
          </w:r>
          <w:r>
            <w:t>‬</w:t>
          </w:r>
          <w:r>
            <w:t>‬</w:t>
          </w:r>
        </w:dir>
      </w:dir>
    </w:p>
    <w:p w:rsidR="003A1ABF" w:rsidRPr="00935AFD" w:rsidRDefault="003A1ABF" w:rsidP="003A1ABF">
      <w:pPr>
        <w:pStyle w:val="SingleTxtGA"/>
        <w:ind w:left="1928"/>
        <w:rPr>
          <w:rtl/>
          <w:lang w:eastAsia="zh-TW"/>
        </w:rPr>
      </w:pPr>
      <w:r w:rsidRPr="003A1ABF">
        <w:rPr>
          <w:i/>
          <w:iCs/>
          <w:rtl/>
          <w:lang w:eastAsia="zh-TW"/>
        </w:rPr>
        <w:t>المسائل الموضوعية:</w:t>
      </w:r>
      <w:r>
        <w:rPr>
          <w:rFonts w:hint="cs"/>
          <w:rtl/>
          <w:lang w:eastAsia="zh-TW"/>
        </w:rPr>
        <w:tab/>
      </w:r>
      <w:r>
        <w:rPr>
          <w:rFonts w:hint="cs"/>
          <w:rtl/>
          <w:lang w:eastAsia="zh-TW"/>
        </w:rPr>
        <w:tab/>
      </w:r>
      <w:r>
        <w:rPr>
          <w:rtl/>
          <w:lang w:eastAsia="zh-TW"/>
        </w:rPr>
        <w:t>العمل والاستخدام</w:t>
      </w:r>
    </w:p>
    <w:p w:rsidR="003A1ABF" w:rsidRPr="00935AFD" w:rsidRDefault="003A1ABF" w:rsidP="003A1ABF">
      <w:pPr>
        <w:pStyle w:val="SingleTxtGA"/>
        <w:ind w:left="1928"/>
        <w:rPr>
          <w:rtl/>
          <w:lang w:eastAsia="zh-TW"/>
        </w:rPr>
      </w:pPr>
      <w:r w:rsidRPr="003A1ABF">
        <w:rPr>
          <w:i/>
          <w:iCs/>
          <w:rtl/>
          <w:lang w:eastAsia="zh-TW"/>
        </w:rPr>
        <w:t>مواد الاتفاقية:</w:t>
      </w:r>
      <w:r w:rsidRPr="003A1ABF">
        <w:rPr>
          <w:rFonts w:hint="cs"/>
          <w:i/>
          <w:iCs/>
          <w:rtl/>
          <w:lang w:eastAsia="zh-TW"/>
        </w:rPr>
        <w:tab/>
      </w:r>
      <w:r>
        <w:rPr>
          <w:rFonts w:hint="cs"/>
          <w:rtl/>
          <w:lang w:eastAsia="zh-TW"/>
        </w:rPr>
        <w:tab/>
      </w:r>
      <w:r>
        <w:rPr>
          <w:rFonts w:hint="cs"/>
          <w:rtl/>
          <w:lang w:eastAsia="zh-TW"/>
        </w:rPr>
        <w:tab/>
      </w:r>
      <w:r>
        <w:rPr>
          <w:rtl/>
          <w:lang w:eastAsia="zh-TW"/>
        </w:rPr>
        <w:t>الم</w:t>
      </w:r>
      <w:bookmarkStart w:id="0" w:name="_GoBack"/>
      <w:bookmarkEnd w:id="0"/>
      <w:r>
        <w:rPr>
          <w:rtl/>
          <w:lang w:eastAsia="zh-TW"/>
        </w:rPr>
        <w:t>ادة 27</w:t>
      </w:r>
    </w:p>
    <w:p w:rsidR="003A1ABF" w:rsidRPr="00935AFD" w:rsidRDefault="00477904" w:rsidP="003A1ABF">
      <w:pPr>
        <w:pStyle w:val="SingleTxtGA"/>
        <w:ind w:left="1928"/>
        <w:rPr>
          <w:rtl/>
          <w:lang w:eastAsia="zh-TW"/>
        </w:rPr>
      </w:pPr>
      <w:dir w:val="rtl">
        <w:r w:rsidR="003A1ABF" w:rsidRPr="003A1ABF">
          <w:rPr>
            <w:i/>
            <w:iCs/>
            <w:rtl/>
            <w:lang w:eastAsia="zh-TW"/>
          </w:rPr>
          <w:t>مواد البروتوكول الاختياري:</w:t>
        </w:r>
        <w:r w:rsidR="003A1ABF">
          <w:rPr>
            <w:rFonts w:hint="cs"/>
            <w:rtl/>
            <w:lang w:eastAsia="zh-TW"/>
          </w:rPr>
          <w:tab/>
        </w:r>
        <w:r w:rsidR="003A1ABF">
          <w:rPr>
            <w:rFonts w:hint="cs"/>
            <w:rtl/>
            <w:lang w:eastAsia="zh-TW"/>
          </w:rPr>
          <w:tab/>
        </w:r>
        <w:r w:rsidR="003A1ABF">
          <w:rPr>
            <w:rtl/>
            <w:lang w:eastAsia="zh-TW"/>
          </w:rPr>
          <w:t>المادة 2(د) و(ه) و(و)</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8C247F">
          <w:t>‬</w:t>
        </w:r>
        <w:r>
          <w:t>‬</w:t>
        </w:r>
      </w:dir>
    </w:p>
    <w:p w:rsidR="003A1ABF" w:rsidRPr="00935AFD" w:rsidRDefault="003A1ABF" w:rsidP="003A1ABF">
      <w:pPr>
        <w:pStyle w:val="HChGA"/>
        <w:spacing w:before="120"/>
        <w:rPr>
          <w:rtl/>
          <w:lang w:eastAsia="zh-TW"/>
        </w:rPr>
      </w:pPr>
      <w:r>
        <w:rPr>
          <w:rtl/>
          <w:lang w:eastAsia="zh-TW"/>
        </w:rPr>
        <w:lastRenderedPageBreak/>
        <w:t>المرفق</w:t>
      </w:r>
    </w:p>
    <w:p w:rsidR="003A1ABF" w:rsidRPr="003A1ABF" w:rsidRDefault="003A1ABF" w:rsidP="00B40063">
      <w:pPr>
        <w:pStyle w:val="HChGA"/>
        <w:rPr>
          <w:b w:val="0"/>
          <w:bCs w:val="0"/>
          <w:rtl/>
        </w:rPr>
      </w:pPr>
      <w:r>
        <w:rPr>
          <w:rFonts w:hint="cs"/>
          <w:rtl/>
          <w:lang w:eastAsia="zh-TW"/>
        </w:rPr>
        <w:tab/>
      </w:r>
      <w:r>
        <w:rPr>
          <w:rFonts w:hint="cs"/>
          <w:rtl/>
          <w:lang w:eastAsia="zh-TW"/>
        </w:rPr>
        <w:tab/>
      </w:r>
      <w:dir w:val="rtl">
        <w:r>
          <w:rPr>
            <w:rtl/>
            <w:lang w:eastAsia="zh-TW"/>
          </w:rPr>
          <w:t>آراء اللجنة المعنية بحقوق الأشخاص ذوي الإعاقة بموجب المادة</w:t>
        </w:r>
        <w:r w:rsidR="00B40063">
          <w:rPr>
            <w:rFonts w:hint="cs"/>
            <w:rtl/>
            <w:lang w:eastAsia="zh-TW"/>
          </w:rPr>
          <w:t> </w:t>
        </w:r>
        <w:r>
          <w:rPr>
            <w:rtl/>
            <w:lang w:eastAsia="zh-TW"/>
          </w:rPr>
          <w:t>5</w:t>
        </w:r>
        <w:r w:rsidR="00B40063">
          <w:rPr>
            <w:rFonts w:hint="cs"/>
            <w:rtl/>
            <w:lang w:eastAsia="zh-TW"/>
          </w:rPr>
          <w:t> </w:t>
        </w:r>
        <w:r>
          <w:rPr>
            <w:rtl/>
            <w:lang w:eastAsia="zh-TW"/>
          </w:rPr>
          <w:t xml:space="preserve">من البروتوكول الاختياري لاتفاقية الأشخاص ذوي الإعاقة </w:t>
        </w:r>
        <w:r w:rsidRPr="003A1ABF">
          <w:rPr>
            <w:b w:val="0"/>
            <w:bCs w:val="0"/>
            <w:rtl/>
            <w:lang w:eastAsia="zh-TW"/>
          </w:rPr>
          <w:t>(الدورة الثالثة عشرة)</w:t>
        </w:r>
        <w:r w:rsidRPr="003A1ABF">
          <w:rPr>
            <w:rFonts w:cs="Times New Roman" w:hint="cs"/>
            <w:b w:val="0"/>
            <w:bCs w:val="0"/>
            <w:rtl/>
            <w:lang w:eastAsia="zh-TW"/>
          </w:rPr>
          <w:t>‬</w:t>
        </w:r>
        <w:r w:rsidRPr="003A1ABF">
          <w:rPr>
            <w:rFonts w:cs="Times New Roman" w:hint="cs"/>
            <w:b w:val="0"/>
            <w:bCs w:val="0"/>
            <w:rtl/>
          </w:rPr>
          <w:t>‬</w:t>
        </w:r>
        <w:r w:rsidRPr="003A1ABF">
          <w:rPr>
            <w:rFonts w:cs="Times New Roman" w:hint="cs"/>
            <w:b w:val="0"/>
            <w:bCs w:val="0"/>
            <w:rtl/>
          </w:rPr>
          <w:t>‬</w:t>
        </w:r>
        <w:r w:rsidRPr="003A1ABF">
          <w:rPr>
            <w:rFonts w:cs="Times New Roman" w:hint="cs"/>
            <w:b w:val="0"/>
            <w:bCs w:val="0"/>
            <w:rtl/>
          </w:rPr>
          <w:t>‬</w:t>
        </w:r>
        <w:r w:rsidRPr="003A1ABF">
          <w:rPr>
            <w:b w:val="0"/>
            <w:bCs w:val="0"/>
            <w:rtl/>
          </w:rPr>
          <w:t xml:space="preserve"> </w:t>
        </w:r>
        <w:r w:rsidRPr="003A1ABF">
          <w:rPr>
            <w:rFonts w:cs="Times New Roman" w:hint="cs"/>
            <w:b w:val="0"/>
            <w:bCs w:val="0"/>
            <w:rtl/>
          </w:rPr>
          <w:t>‬</w:t>
        </w:r>
        <w:r w:rsidRPr="003A1ABF">
          <w:rPr>
            <w:b w:val="0"/>
            <w:bCs w:val="0"/>
          </w:rPr>
          <w:t>‬</w:t>
        </w:r>
        <w:r w:rsidRPr="003A1ABF">
          <w:rPr>
            <w:b w:val="0"/>
            <w:bCs w:val="0"/>
          </w:rPr>
          <w:t>‬</w:t>
        </w:r>
        <w:r w:rsidRPr="003A1ABF">
          <w:rPr>
            <w:b w:val="0"/>
            <w:bCs w:val="0"/>
          </w:rPr>
          <w:t>‬</w:t>
        </w:r>
        <w:r w:rsidRPr="003A1ABF">
          <w:rPr>
            <w:b w:val="0"/>
            <w:bCs w:val="0"/>
          </w:rPr>
          <w:t>‬</w:t>
        </w:r>
        <w:r w:rsidRPr="003A1ABF">
          <w:rPr>
            <w:b w:val="0"/>
            <w:bCs w:val="0"/>
          </w:rPr>
          <w:t>‬</w:t>
        </w:r>
        <w:r w:rsidRPr="003A1ABF">
          <w:rPr>
            <w:b w:val="0"/>
            <w:bCs w:val="0"/>
          </w:rPr>
          <w:t>‬</w:t>
        </w:r>
        <w:r w:rsidR="008C247F">
          <w:t>‬</w:t>
        </w:r>
        <w:r w:rsidR="00477904">
          <w:t>‬</w:t>
        </w:r>
      </w:dir>
    </w:p>
    <w:p w:rsidR="003A1ABF" w:rsidRPr="00EF2EA0" w:rsidRDefault="003A1ABF" w:rsidP="003A1ABF">
      <w:pPr>
        <w:pStyle w:val="SingleTxtGA"/>
        <w:rPr>
          <w:rtl/>
        </w:rPr>
      </w:pPr>
      <w:r>
        <w:rPr>
          <w:rtl/>
        </w:rPr>
        <w:t>بشأن</w:t>
      </w:r>
    </w:p>
    <w:p w:rsidR="003A1ABF" w:rsidRPr="00935AFD" w:rsidRDefault="003A1ABF" w:rsidP="003A1ABF">
      <w:pPr>
        <w:pStyle w:val="H1GA"/>
        <w:rPr>
          <w:rtl/>
          <w:lang w:eastAsia="zh-TW"/>
        </w:rPr>
      </w:pPr>
      <w:r>
        <w:rPr>
          <w:rFonts w:hint="cs"/>
          <w:rtl/>
          <w:lang w:eastAsia="zh-TW"/>
        </w:rPr>
        <w:tab/>
      </w:r>
      <w:r w:rsidRPr="00935AFD">
        <w:rPr>
          <w:rtl/>
          <w:lang w:eastAsia="zh-TW"/>
        </w:rPr>
        <w:tab/>
      </w:r>
      <w:r>
        <w:rPr>
          <w:rtl/>
          <w:lang w:eastAsia="zh-TW"/>
        </w:rPr>
        <w:t>البلاغ رقم 9/2012</w:t>
      </w:r>
      <w:r w:rsidRPr="003A1ABF">
        <w:rPr>
          <w:rStyle w:val="FootnoteReference"/>
          <w:sz w:val="20"/>
          <w:vertAlign w:val="baseline"/>
          <w:rtl/>
          <w:lang w:eastAsia="zh-TW"/>
        </w:rPr>
        <w:footnoteReference w:customMarkFollows="1" w:id="1"/>
        <w:t>*</w:t>
      </w:r>
    </w:p>
    <w:p w:rsidR="003A1ABF" w:rsidRPr="003A1ABF" w:rsidRDefault="006001EF" w:rsidP="008C247F">
      <w:pPr>
        <w:pStyle w:val="SingleTxtGA"/>
        <w:spacing w:line="360" w:lineRule="exact"/>
        <w:ind w:left="1928"/>
        <w:rPr>
          <w:b/>
          <w:rtl/>
          <w:lang w:eastAsia="zh-TW"/>
        </w:rPr>
      </w:pPr>
      <w:r>
        <w:rPr>
          <w:rFonts w:hint="cs"/>
          <w:i/>
          <w:iCs/>
          <w:rtl/>
          <w:lang w:eastAsia="zh-TW"/>
        </w:rPr>
        <w:t>المق</w:t>
      </w:r>
      <w:r w:rsidR="003A1ABF" w:rsidRPr="001B316A">
        <w:rPr>
          <w:i/>
          <w:iCs/>
          <w:rtl/>
          <w:lang w:eastAsia="zh-TW"/>
        </w:rPr>
        <w:t>دَّم من:</w:t>
      </w:r>
      <w:r w:rsidR="003A1ABF">
        <w:rPr>
          <w:rFonts w:hint="cs"/>
          <w:rtl/>
          <w:lang w:eastAsia="zh-TW"/>
        </w:rPr>
        <w:tab/>
      </w:r>
      <w:r w:rsidR="003A1ABF">
        <w:rPr>
          <w:rFonts w:hint="cs"/>
          <w:rtl/>
          <w:lang w:eastAsia="zh-TW"/>
        </w:rPr>
        <w:tab/>
      </w:r>
      <w:r w:rsidR="003A1ABF">
        <w:rPr>
          <w:rFonts w:hint="cs"/>
          <w:rtl/>
          <w:lang w:eastAsia="zh-TW"/>
        </w:rPr>
        <w:tab/>
      </w:r>
      <w:r w:rsidR="003A1ABF">
        <w:rPr>
          <w:rtl/>
          <w:lang w:eastAsia="zh-TW"/>
        </w:rPr>
        <w:t>أ.</w:t>
      </w:r>
      <w:r w:rsidR="003A1ABF">
        <w:rPr>
          <w:rFonts w:hint="cs"/>
          <w:rtl/>
          <w:lang w:eastAsia="zh-TW"/>
        </w:rPr>
        <w:t xml:space="preserve"> </w:t>
      </w:r>
      <w:r w:rsidR="003A1ABF">
        <w:rPr>
          <w:rtl/>
          <w:lang w:eastAsia="zh-TW"/>
        </w:rPr>
        <w:t>ف</w:t>
      </w:r>
      <w:r w:rsidR="003A1ABF">
        <w:rPr>
          <w:rFonts w:hint="cs"/>
          <w:rtl/>
          <w:lang w:eastAsia="zh-TW"/>
        </w:rPr>
        <w:t>.</w:t>
      </w:r>
      <w:r w:rsidR="003A1ABF">
        <w:rPr>
          <w:rtl/>
          <w:lang w:eastAsia="zh-TW"/>
        </w:rPr>
        <w:t xml:space="preserve"> (يمثله المحامي </w:t>
      </w:r>
      <w:proofErr w:type="spellStart"/>
      <w:r w:rsidR="003A1ABF">
        <w:rPr>
          <w:rtl/>
          <w:lang w:eastAsia="zh-TW"/>
        </w:rPr>
        <w:t>جوزيبي</w:t>
      </w:r>
      <w:proofErr w:type="spellEnd"/>
      <w:r w:rsidR="003A1ABF">
        <w:rPr>
          <w:rtl/>
          <w:lang w:eastAsia="zh-TW"/>
        </w:rPr>
        <w:t xml:space="preserve"> </w:t>
      </w:r>
      <w:proofErr w:type="spellStart"/>
      <w:r w:rsidR="003A1ABF">
        <w:rPr>
          <w:rtl/>
          <w:lang w:eastAsia="zh-TW"/>
        </w:rPr>
        <w:t>لوبينو</w:t>
      </w:r>
      <w:proofErr w:type="spellEnd"/>
      <w:r w:rsidR="003A1ABF">
        <w:rPr>
          <w:rtl/>
          <w:lang w:eastAsia="zh-TW"/>
        </w:rPr>
        <w:t>)</w:t>
      </w:r>
    </w:p>
    <w:p w:rsidR="003A1ABF" w:rsidRPr="00935AFD" w:rsidRDefault="00477904" w:rsidP="008C247F">
      <w:pPr>
        <w:pStyle w:val="SingleTxtGA"/>
        <w:spacing w:line="360" w:lineRule="exact"/>
        <w:ind w:left="1928"/>
        <w:rPr>
          <w:rtl/>
          <w:lang w:eastAsia="zh-TW"/>
        </w:rPr>
      </w:pPr>
      <w:dir w:val="rtl">
        <w:r w:rsidR="003A1ABF" w:rsidRPr="001B316A">
          <w:rPr>
            <w:i/>
            <w:iCs/>
            <w:rtl/>
            <w:lang w:eastAsia="zh-TW"/>
          </w:rPr>
          <w:t>الشخص المدعى أنه ضحية:</w:t>
        </w:r>
        <w:r w:rsidR="003A1ABF">
          <w:rPr>
            <w:rFonts w:hint="cs"/>
            <w:rtl/>
            <w:lang w:eastAsia="zh-TW"/>
          </w:rPr>
          <w:tab/>
        </w:r>
        <w:r w:rsidR="003A1ABF">
          <w:rPr>
            <w:rtl/>
            <w:lang w:eastAsia="zh-TW"/>
          </w:rPr>
          <w:t>صاحب البلاغ</w:t>
        </w:r>
        <w:r w:rsidR="003A1ABF">
          <w:rPr>
            <w:rFonts w:cs="Times New Roman" w:hint="cs"/>
            <w:rtl/>
            <w:lang w:eastAsia="zh-TW"/>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8C247F">
          <w:t>‬</w:t>
        </w:r>
        <w:r>
          <w:t>‬</w:t>
        </w:r>
      </w:dir>
    </w:p>
    <w:p w:rsidR="003A1ABF" w:rsidRPr="00935AFD" w:rsidRDefault="003A1ABF" w:rsidP="008C247F">
      <w:pPr>
        <w:pStyle w:val="SingleTxtGA"/>
        <w:spacing w:line="360" w:lineRule="exact"/>
        <w:ind w:left="1928"/>
        <w:rPr>
          <w:rtl/>
          <w:lang w:eastAsia="zh-TW"/>
        </w:rPr>
      </w:pPr>
      <w:r w:rsidRPr="001B316A">
        <w:rPr>
          <w:i/>
          <w:iCs/>
          <w:rtl/>
          <w:lang w:eastAsia="zh-TW"/>
        </w:rPr>
        <w:t>الدولة الطرف:</w:t>
      </w:r>
      <w:r w:rsidRPr="001B316A">
        <w:rPr>
          <w:rFonts w:hint="cs"/>
          <w:i/>
          <w:iCs/>
          <w:rtl/>
          <w:lang w:eastAsia="zh-TW"/>
        </w:rPr>
        <w:tab/>
      </w:r>
      <w:r>
        <w:rPr>
          <w:rFonts w:hint="cs"/>
          <w:rtl/>
          <w:lang w:eastAsia="zh-TW"/>
        </w:rPr>
        <w:tab/>
      </w:r>
      <w:r>
        <w:rPr>
          <w:rFonts w:hint="cs"/>
          <w:rtl/>
          <w:lang w:eastAsia="zh-TW"/>
        </w:rPr>
        <w:tab/>
      </w:r>
      <w:r>
        <w:rPr>
          <w:rtl/>
          <w:lang w:eastAsia="zh-TW"/>
        </w:rPr>
        <w:t>إيطاليا</w:t>
      </w:r>
    </w:p>
    <w:p w:rsidR="003A1ABF" w:rsidRPr="00935AFD" w:rsidRDefault="00477904" w:rsidP="008C247F">
      <w:pPr>
        <w:pStyle w:val="SingleTxtGA"/>
        <w:spacing w:line="360" w:lineRule="exact"/>
        <w:ind w:left="4649" w:hanging="2721"/>
        <w:rPr>
          <w:rtl/>
          <w:lang w:eastAsia="zh-TW"/>
        </w:rPr>
      </w:pPr>
      <w:dir w:val="rtl">
        <w:r w:rsidR="003A1ABF" w:rsidRPr="001B316A">
          <w:rPr>
            <w:i/>
            <w:iCs/>
            <w:rtl/>
            <w:lang w:eastAsia="zh-TW"/>
          </w:rPr>
          <w:t xml:space="preserve">تاريخ تقديم البلاغ: </w:t>
        </w:r>
        <w:r w:rsidR="003A1ABF" w:rsidRPr="001B316A">
          <w:rPr>
            <w:rFonts w:hint="cs"/>
            <w:i/>
            <w:iCs/>
            <w:rtl/>
            <w:lang w:eastAsia="zh-TW"/>
          </w:rPr>
          <w:tab/>
        </w:r>
        <w:r w:rsidR="003A1ABF">
          <w:rPr>
            <w:rFonts w:hint="cs"/>
            <w:rtl/>
            <w:lang w:eastAsia="zh-TW"/>
          </w:rPr>
          <w:tab/>
        </w:r>
        <w:r w:rsidR="006001EF">
          <w:rPr>
            <w:rFonts w:hint="cs"/>
            <w:rtl/>
            <w:lang w:eastAsia="zh-TW"/>
          </w:rPr>
          <w:t xml:space="preserve">4 </w:t>
        </w:r>
        <w:r w:rsidR="003A1ABF">
          <w:rPr>
            <w:rtl/>
            <w:lang w:eastAsia="zh-TW"/>
          </w:rPr>
          <w:t>حزيران/يونيه</w:t>
        </w:r>
        <w:r w:rsidR="001B316A">
          <w:rPr>
            <w:rtl/>
            <w:lang w:eastAsia="zh-TW"/>
          </w:rPr>
          <w:t xml:space="preserve"> </w:t>
        </w:r>
        <w:r w:rsidR="00556E5B">
          <w:rPr>
            <w:rtl/>
            <w:lang w:eastAsia="zh-TW"/>
          </w:rPr>
          <w:t>٢٠١١ (</w:t>
        </w:r>
        <w:r w:rsidR="003A1ABF">
          <w:rPr>
            <w:rtl/>
            <w:lang w:eastAsia="zh-TW"/>
          </w:rPr>
          <w:t>تاريخ تقديم الرسالة الأولى)</w:t>
        </w:r>
        <w:r w:rsidR="003A1ABF">
          <w:rPr>
            <w:rFonts w:cs="Times New Roman" w:hint="cs"/>
            <w:rtl/>
            <w:lang w:eastAsia="zh-TW"/>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rsidR="008C247F">
          <w:t>‬</w:t>
        </w:r>
        <w:r>
          <w:t>‬</w:t>
        </w:r>
      </w:dir>
    </w:p>
    <w:p w:rsidR="003A1ABF" w:rsidRPr="00935AFD" w:rsidRDefault="003A1ABF" w:rsidP="008C247F">
      <w:pPr>
        <w:pStyle w:val="SingleTxtGA"/>
        <w:spacing w:line="360" w:lineRule="exact"/>
        <w:rPr>
          <w:rtl/>
          <w:lang w:eastAsia="zh-TW"/>
        </w:rPr>
      </w:pPr>
      <w:r w:rsidRPr="00935AFD">
        <w:rPr>
          <w:rtl/>
          <w:lang w:eastAsia="zh-TW"/>
        </w:rPr>
        <w:tab/>
      </w:r>
      <w:dir w:val="rtl">
        <w:r w:rsidRPr="003A1ABF">
          <w:rPr>
            <w:i/>
            <w:iCs/>
            <w:rtl/>
            <w:lang w:eastAsia="zh-TW"/>
          </w:rPr>
          <w:t>إن اللجنة المعنية بحقوق الأشخاص ذوي الإعاقة</w:t>
        </w:r>
        <w:r>
          <w:rPr>
            <w:rtl/>
            <w:lang w:eastAsia="zh-TW"/>
          </w:rPr>
          <w:t>، المنشأة بموجب المادة 34 من اتفاقية حقوق الأشخاص ذوي الإعاقة،</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3A1ABF" w:rsidP="008C247F">
      <w:pPr>
        <w:pStyle w:val="SingleTxtGA"/>
        <w:spacing w:line="360" w:lineRule="exact"/>
        <w:rPr>
          <w:rtl/>
          <w:lang w:eastAsia="zh-TW"/>
        </w:rPr>
      </w:pPr>
      <w:r w:rsidRPr="00935AFD">
        <w:rPr>
          <w:rtl/>
          <w:lang w:eastAsia="zh-TW"/>
        </w:rPr>
        <w:tab/>
      </w:r>
      <w:r w:rsidRPr="003A1ABF">
        <w:rPr>
          <w:i/>
          <w:iCs/>
          <w:rtl/>
          <w:lang w:eastAsia="zh-TW"/>
        </w:rPr>
        <w:t>وقد اجتمعت</w:t>
      </w:r>
      <w:r>
        <w:rPr>
          <w:rtl/>
          <w:lang w:eastAsia="zh-TW"/>
        </w:rPr>
        <w:t xml:space="preserve"> في ٢٧ آذار/مارس ٢٠١٥</w:t>
      </w:r>
      <w:r w:rsidR="001B316A">
        <w:rPr>
          <w:rFonts w:hint="cs"/>
          <w:rtl/>
          <w:lang w:eastAsia="zh-TW"/>
        </w:rPr>
        <w:t>،</w:t>
      </w:r>
    </w:p>
    <w:p w:rsidR="003A1ABF" w:rsidRPr="00935AFD" w:rsidRDefault="003A1ABF" w:rsidP="008C247F">
      <w:pPr>
        <w:pStyle w:val="SingleTxtGA"/>
        <w:spacing w:line="360" w:lineRule="exact"/>
        <w:rPr>
          <w:rtl/>
          <w:lang w:eastAsia="zh-TW"/>
        </w:rPr>
      </w:pPr>
      <w:r w:rsidRPr="00935AFD">
        <w:rPr>
          <w:rtl/>
          <w:lang w:eastAsia="zh-TW"/>
        </w:rPr>
        <w:tab/>
      </w:r>
      <w:dir w:val="rtl">
        <w:r w:rsidRPr="003A1ABF">
          <w:rPr>
            <w:i/>
            <w:iCs/>
            <w:rtl/>
            <w:lang w:eastAsia="zh-TW"/>
          </w:rPr>
          <w:t>وقد فرغت</w:t>
        </w:r>
        <w:r>
          <w:rPr>
            <w:rtl/>
            <w:lang w:eastAsia="zh-TW"/>
          </w:rPr>
          <w:t xml:space="preserve"> من النظر في البلاغ رقم </w:t>
        </w:r>
        <w:r w:rsidR="005A085E">
          <w:rPr>
            <w:rFonts w:hint="cs"/>
            <w:rtl/>
            <w:lang w:eastAsia="zh-TW"/>
          </w:rPr>
          <w:t>9</w:t>
        </w:r>
        <w:r>
          <w:rPr>
            <w:rtl/>
            <w:lang w:eastAsia="zh-TW"/>
          </w:rPr>
          <w:t>/2012، المقدم إليها من أ. ف</w:t>
        </w:r>
        <w:r w:rsidR="005A085E">
          <w:rPr>
            <w:rFonts w:hint="cs"/>
            <w:rtl/>
            <w:lang w:eastAsia="zh-TW"/>
          </w:rPr>
          <w:t>.</w:t>
        </w:r>
        <w:r>
          <w:rPr>
            <w:rtl/>
            <w:lang w:eastAsia="zh-TW"/>
          </w:rPr>
          <w:t>، بموجب البروتوكول الاختياري لاتفاقية حقوق الأشخاص ذوي الإعاقة،</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3A1ABF" w:rsidP="008C247F">
      <w:pPr>
        <w:pStyle w:val="SingleTxtGA"/>
        <w:spacing w:line="360" w:lineRule="exact"/>
        <w:rPr>
          <w:rtl/>
          <w:lang w:eastAsia="zh-TW"/>
        </w:rPr>
      </w:pPr>
      <w:r w:rsidRPr="00935AFD">
        <w:rPr>
          <w:rtl/>
          <w:lang w:eastAsia="zh-TW"/>
        </w:rPr>
        <w:tab/>
      </w:r>
      <w:dir w:val="rtl">
        <w:r w:rsidRPr="003A1ABF">
          <w:rPr>
            <w:i/>
            <w:iCs/>
            <w:rtl/>
            <w:lang w:eastAsia="zh-TW"/>
          </w:rPr>
          <w:t xml:space="preserve">وقد وضعت في اعتبارها </w:t>
        </w:r>
        <w:r>
          <w:rPr>
            <w:rtl/>
            <w:lang w:eastAsia="zh-TW"/>
          </w:rPr>
          <w:t>جميع المعلومات المكتوبة التي أتاحتها لها صاحب البلاغ والدولة الطرف،</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714EA2" w:rsidRDefault="00B40063" w:rsidP="008C247F">
      <w:pPr>
        <w:pStyle w:val="SingleTxtGA"/>
        <w:spacing w:line="360" w:lineRule="exact"/>
        <w:rPr>
          <w:bCs/>
          <w:iCs/>
          <w:rtl/>
          <w:lang w:eastAsia="zh-TW"/>
        </w:rPr>
      </w:pPr>
      <w:r>
        <w:rPr>
          <w:rFonts w:hint="cs"/>
          <w:i/>
          <w:iCs/>
          <w:rtl/>
          <w:lang w:eastAsia="zh-TW"/>
        </w:rPr>
        <w:tab/>
      </w:r>
      <w:r w:rsidR="003A1ABF" w:rsidRPr="003A1ABF">
        <w:rPr>
          <w:i/>
          <w:iCs/>
          <w:rtl/>
          <w:lang w:eastAsia="zh-TW"/>
        </w:rPr>
        <w:t xml:space="preserve">تعتمد </w:t>
      </w:r>
      <w:r w:rsidR="003A1ABF">
        <w:rPr>
          <w:rtl/>
          <w:lang w:eastAsia="zh-TW"/>
        </w:rPr>
        <w:t>ما يلي:</w:t>
      </w:r>
    </w:p>
    <w:p w:rsidR="003A1ABF" w:rsidRPr="00935AFD" w:rsidRDefault="003A1ABF" w:rsidP="003A1ABF">
      <w:pPr>
        <w:pStyle w:val="H1GA"/>
        <w:rPr>
          <w:rtl/>
          <w:lang w:eastAsia="zh-TW"/>
        </w:rPr>
      </w:pPr>
      <w:r>
        <w:rPr>
          <w:rFonts w:hint="cs"/>
          <w:rtl/>
          <w:lang w:eastAsia="zh-TW"/>
        </w:rPr>
        <w:tab/>
      </w:r>
      <w:r w:rsidRPr="00935AFD">
        <w:rPr>
          <w:rtl/>
          <w:lang w:eastAsia="zh-TW"/>
        </w:rPr>
        <w:tab/>
      </w:r>
      <w:dir w:val="rtl">
        <w:r>
          <w:rPr>
            <w:rtl/>
            <w:lang w:eastAsia="zh-TW"/>
          </w:rPr>
          <w:t>الآراء بموجب المادة 5 من البروتوكول الاختياري</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3A1ABF" w:rsidP="003A1ABF">
      <w:pPr>
        <w:pStyle w:val="SingleTxtGA"/>
        <w:rPr>
          <w:rtl/>
          <w:lang w:eastAsia="zh-TW"/>
        </w:rPr>
      </w:pPr>
      <w:r>
        <w:rPr>
          <w:rtl/>
          <w:lang w:eastAsia="zh-TW"/>
        </w:rPr>
        <w:t>١</w:t>
      </w:r>
      <w:r>
        <w:rPr>
          <w:rtl/>
        </w:rPr>
        <w:t>-</w:t>
      </w:r>
      <w:r>
        <w:rPr>
          <w:rFonts w:hint="cs"/>
          <w:rtl/>
          <w:lang w:eastAsia="zh-TW"/>
        </w:rPr>
        <w:tab/>
      </w:r>
      <w:r>
        <w:rPr>
          <w:rtl/>
          <w:lang w:eastAsia="zh-TW"/>
        </w:rPr>
        <w:t>صاحب البلاغ هو أ.</w:t>
      </w:r>
      <w:r>
        <w:rPr>
          <w:rFonts w:hint="cs"/>
          <w:rtl/>
          <w:lang w:eastAsia="zh-TW"/>
        </w:rPr>
        <w:t xml:space="preserve"> </w:t>
      </w:r>
      <w:r>
        <w:rPr>
          <w:rtl/>
          <w:lang w:eastAsia="zh-TW"/>
        </w:rPr>
        <w:t>ف</w:t>
      </w:r>
      <w:r>
        <w:rPr>
          <w:rFonts w:hint="cs"/>
          <w:rtl/>
          <w:lang w:eastAsia="zh-TW"/>
        </w:rPr>
        <w:t>.</w:t>
      </w:r>
      <w:r>
        <w:rPr>
          <w:rtl/>
          <w:lang w:eastAsia="zh-TW"/>
        </w:rPr>
        <w:t xml:space="preserve">، </w:t>
      </w:r>
      <w:r>
        <w:rPr>
          <w:rFonts w:hint="cs"/>
          <w:rtl/>
          <w:lang w:eastAsia="zh-TW"/>
        </w:rPr>
        <w:t>إ</w:t>
      </w:r>
      <w:r>
        <w:rPr>
          <w:rtl/>
          <w:lang w:eastAsia="zh-TW"/>
        </w:rPr>
        <w:t xml:space="preserve">يطالي الجنسية مولود في 9 كانون الثاني/يناير 1966. ويدعي أنه ضحية انتهاك الدولة الطرف للمادة 27 من الاتفاقية. ويمثل صاحب البلاغ المحامي </w:t>
      </w:r>
      <w:proofErr w:type="spellStart"/>
      <w:r>
        <w:rPr>
          <w:rtl/>
          <w:lang w:eastAsia="zh-TW"/>
        </w:rPr>
        <w:lastRenderedPageBreak/>
        <w:t>جوزيبي</w:t>
      </w:r>
      <w:proofErr w:type="spellEnd"/>
      <w:r>
        <w:rPr>
          <w:rtl/>
          <w:lang w:eastAsia="zh-TW"/>
        </w:rPr>
        <w:t xml:space="preserve"> </w:t>
      </w:r>
      <w:proofErr w:type="spellStart"/>
      <w:r>
        <w:rPr>
          <w:rtl/>
          <w:lang w:eastAsia="zh-TW"/>
        </w:rPr>
        <w:t>لوبينو</w:t>
      </w:r>
      <w:proofErr w:type="spellEnd"/>
      <w:r>
        <w:rPr>
          <w:rtl/>
          <w:lang w:eastAsia="zh-TW"/>
        </w:rPr>
        <w:t xml:space="preserve">. </w:t>
      </w:r>
      <w:dir w:val="rtl">
        <w:r>
          <w:rPr>
            <w:rtl/>
            <w:lang w:eastAsia="zh-TW"/>
          </w:rPr>
          <w:t>وقد دخلت الاتفاقية والبروتوكول الاختياري الملحق بها حيز النفاذ بالنسبة إلى الدولة الطرف في ١٥ حزيران/يونيه ٢٠٠٩.</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1B316A" w:rsidP="001B316A">
      <w:pPr>
        <w:pStyle w:val="H23GA"/>
        <w:rPr>
          <w:rtl/>
        </w:rPr>
      </w:pPr>
      <w:r>
        <w:rPr>
          <w:rFonts w:hint="cs"/>
          <w:rtl/>
        </w:rPr>
        <w:tab/>
      </w:r>
      <w:r w:rsidR="003A1ABF" w:rsidRPr="00935AFD">
        <w:rPr>
          <w:rtl/>
        </w:rPr>
        <w:tab/>
      </w:r>
      <w:r w:rsidR="003A1ABF">
        <w:rPr>
          <w:rtl/>
        </w:rPr>
        <w:t>الوقائع كما عرضها صاحب البلاغ</w:t>
      </w:r>
    </w:p>
    <w:p w:rsidR="003A1ABF" w:rsidRPr="001B316A" w:rsidRDefault="003A1ABF" w:rsidP="001B316A">
      <w:pPr>
        <w:pStyle w:val="SingleTxtGA"/>
        <w:rPr>
          <w:rtl/>
          <w:lang w:eastAsia="zh-TW"/>
        </w:rPr>
      </w:pPr>
      <w:r>
        <w:rPr>
          <w:rtl/>
          <w:lang w:eastAsia="zh-TW"/>
        </w:rPr>
        <w:t>2-1</w:t>
      </w:r>
      <w:r w:rsidR="001B316A">
        <w:rPr>
          <w:rFonts w:hint="cs"/>
          <w:rtl/>
          <w:lang w:eastAsia="zh-TW"/>
        </w:rPr>
        <w:tab/>
      </w:r>
      <w:r>
        <w:rPr>
          <w:rtl/>
          <w:lang w:eastAsia="zh-TW"/>
        </w:rPr>
        <w:t xml:space="preserve">صاحب البلاغ مصاب بمرض </w:t>
      </w:r>
      <w:proofErr w:type="spellStart"/>
      <w:r>
        <w:rPr>
          <w:rtl/>
          <w:lang w:eastAsia="zh-TW"/>
        </w:rPr>
        <w:t>غوشيه</w:t>
      </w:r>
      <w:proofErr w:type="spellEnd"/>
      <w:r>
        <w:rPr>
          <w:rtl/>
          <w:lang w:eastAsia="zh-TW"/>
        </w:rPr>
        <w:t xml:space="preserve"> منذ الطفولة ويعاني من إعاقة جسدية بنسبة 50 في المائة. ويتلقى العلاج بشكل مستمر. وفي كانون الأول/ديسمبر 2005، كان صاحب البلاغ عاطلاً عن العمل ومسجلاً في مكتب التشغيل التابع لإقليم مودينا. وكان اسمه مدرجاً في قائمة العاطلين عن العمل ذوي الإعاقة بموجب القانون رقم 68/1999 المؤرخ 12 آذار/</w:t>
      </w:r>
      <w:r w:rsidR="001B316A">
        <w:rPr>
          <w:rFonts w:hint="cs"/>
          <w:rtl/>
          <w:lang w:eastAsia="zh-TW"/>
        </w:rPr>
        <w:t xml:space="preserve"> </w:t>
      </w:r>
      <w:r>
        <w:rPr>
          <w:rtl/>
          <w:lang w:eastAsia="zh-TW"/>
        </w:rPr>
        <w:t>مارس 1999 المتعلق باللوائح الناظمة لحق الأشخاص ذوي الإعاقة في العمل</w:t>
      </w:r>
      <w:r w:rsidR="001B316A">
        <w:rPr>
          <w:rtl/>
          <w:lang w:eastAsia="zh-TW"/>
        </w:rPr>
        <w:t xml:space="preserve">. </w:t>
      </w:r>
      <w:r>
        <w:rPr>
          <w:rtl/>
          <w:lang w:eastAsia="zh-TW"/>
        </w:rPr>
        <w:t>وينص القانون على تقديم إعانة لتغطية</w:t>
      </w:r>
      <w:r w:rsidR="001B316A">
        <w:rPr>
          <w:rtl/>
          <w:lang w:eastAsia="zh-TW"/>
        </w:rPr>
        <w:t xml:space="preserve"> </w:t>
      </w:r>
      <w:r>
        <w:rPr>
          <w:rtl/>
          <w:lang w:eastAsia="zh-TW"/>
        </w:rPr>
        <w:t>الرسوم الضريبية على الضمان الاجتماعي، وعلى خطة تمويل لتكييف أماكن وظروف العمل لاحتياجات العمال ذوي الإعاقة. ووفق</w:t>
      </w:r>
      <w:r w:rsidR="005A085E">
        <w:rPr>
          <w:rtl/>
          <w:lang w:eastAsia="zh-TW"/>
        </w:rPr>
        <w:t>اً للمادة 3</w:t>
      </w:r>
      <w:r>
        <w:rPr>
          <w:rtl/>
          <w:lang w:eastAsia="zh-TW"/>
        </w:rPr>
        <w:t xml:space="preserve">(أ) من القانون، يتعين على أصحاب العمل في القطاع العام الذين يستخدمون 50 موظفاً فأكثر أن يستخدموا أشخاصاً ذوي إعاقة بنسبة لا تقل </w:t>
      </w:r>
      <w:r w:rsidR="001B316A">
        <w:rPr>
          <w:rtl/>
          <w:lang w:eastAsia="zh-TW"/>
        </w:rPr>
        <w:t>عن 7 في المائة من القوة العاملة</w:t>
      </w:r>
      <w:r w:rsidR="001B316A" w:rsidRPr="001B316A">
        <w:rPr>
          <w:rFonts w:hint="cs"/>
          <w:vertAlign w:val="superscript"/>
          <w:rtl/>
          <w:lang w:eastAsia="zh-TW"/>
        </w:rPr>
        <w:t>(</w:t>
      </w:r>
      <w:r w:rsidRPr="00935AFD">
        <w:rPr>
          <w:rStyle w:val="FootnoteReference"/>
          <w:rtl/>
          <w:lang w:eastAsia="zh-TW"/>
        </w:rPr>
        <w:footnoteReference w:id="2"/>
      </w:r>
      <w:r w:rsidR="001B316A">
        <w:rPr>
          <w:rFonts w:hint="cs"/>
          <w:vertAlign w:val="superscript"/>
          <w:rtl/>
          <w:lang w:eastAsia="zh-TW"/>
        </w:rPr>
        <w:t>)</w:t>
      </w:r>
      <w:r w:rsidR="001B316A">
        <w:rPr>
          <w:rFonts w:hint="cs"/>
          <w:rtl/>
          <w:lang w:eastAsia="zh-TW"/>
        </w:rPr>
        <w:t>.</w:t>
      </w:r>
      <w:r>
        <w:rPr>
          <w:rtl/>
          <w:lang w:eastAsia="zh-TW"/>
        </w:rPr>
        <w:t xml:space="preserve"> وتنص الفقرة 2 من المادة</w:t>
      </w:r>
      <w:r w:rsidR="001B316A">
        <w:rPr>
          <w:rFonts w:hint="cs"/>
          <w:rtl/>
          <w:lang w:eastAsia="zh-TW"/>
        </w:rPr>
        <w:t> </w:t>
      </w:r>
      <w:r>
        <w:rPr>
          <w:rtl/>
          <w:lang w:eastAsia="zh-TW"/>
        </w:rPr>
        <w:t>7، على أن</w:t>
      </w:r>
      <w:r w:rsidR="001B316A">
        <w:rPr>
          <w:rtl/>
          <w:lang w:eastAsia="zh-TW"/>
        </w:rPr>
        <w:t xml:space="preserve"> </w:t>
      </w:r>
      <w:r>
        <w:rPr>
          <w:rtl/>
          <w:lang w:eastAsia="zh-TW"/>
        </w:rPr>
        <w:t xml:space="preserve">يخصص </w:t>
      </w:r>
      <w:r w:rsidRPr="00717726">
        <w:rPr>
          <w:rtl/>
          <w:lang w:eastAsia="zh-TW"/>
        </w:rPr>
        <w:t>أصحاب العمل في المؤسسات العامة</w:t>
      </w:r>
      <w:r>
        <w:rPr>
          <w:rtl/>
          <w:lang w:eastAsia="zh-TW"/>
        </w:rPr>
        <w:t xml:space="preserve"> فيما يتعلق ب</w:t>
      </w:r>
      <w:r w:rsidRPr="00717726">
        <w:rPr>
          <w:rtl/>
          <w:lang w:eastAsia="zh-TW"/>
        </w:rPr>
        <w:t xml:space="preserve">الوظائف التي يشترط شغلها </w:t>
      </w:r>
      <w:r>
        <w:rPr>
          <w:rtl/>
          <w:lang w:eastAsia="zh-TW"/>
        </w:rPr>
        <w:t>من خلال ا</w:t>
      </w:r>
      <w:r w:rsidRPr="00717726">
        <w:rPr>
          <w:rtl/>
          <w:lang w:eastAsia="zh-TW"/>
        </w:rPr>
        <w:t>متحان تنافسي</w:t>
      </w:r>
      <w:r>
        <w:rPr>
          <w:rtl/>
          <w:lang w:eastAsia="zh-TW"/>
        </w:rPr>
        <w:t>،</w:t>
      </w:r>
      <w:r w:rsidRPr="00717726">
        <w:rPr>
          <w:rtl/>
          <w:lang w:eastAsia="zh-TW"/>
        </w:rPr>
        <w:t xml:space="preserve"> </w:t>
      </w:r>
      <w:r>
        <w:rPr>
          <w:rtl/>
          <w:lang w:eastAsia="zh-TW"/>
        </w:rPr>
        <w:t>ما يصل نصف هذه الوظائف للأشخاص ذوي الإعاقة</w:t>
      </w:r>
      <w:r w:rsidR="001B316A" w:rsidRPr="001B316A">
        <w:rPr>
          <w:rFonts w:hint="cs"/>
          <w:vertAlign w:val="superscript"/>
          <w:rtl/>
          <w:lang w:eastAsia="zh-TW"/>
        </w:rPr>
        <w:t>(</w:t>
      </w:r>
      <w:r w:rsidRPr="00935AFD">
        <w:rPr>
          <w:rStyle w:val="FootnoteReference"/>
          <w:rtl/>
          <w:lang w:eastAsia="zh-TW"/>
        </w:rPr>
        <w:footnoteReference w:id="3"/>
      </w:r>
      <w:r w:rsidR="001B316A">
        <w:rPr>
          <w:rFonts w:hint="cs"/>
          <w:vertAlign w:val="superscript"/>
          <w:rtl/>
          <w:lang w:eastAsia="zh-TW"/>
        </w:rPr>
        <w:t>)</w:t>
      </w:r>
      <w:r w:rsidR="001B316A">
        <w:rPr>
          <w:rFonts w:hint="cs"/>
          <w:rtl/>
          <w:lang w:eastAsia="zh-TW"/>
        </w:rPr>
        <w:t>.</w:t>
      </w:r>
    </w:p>
    <w:p w:rsidR="003A1ABF" w:rsidRPr="00935AFD" w:rsidRDefault="003A1ABF" w:rsidP="00C26F9D">
      <w:pPr>
        <w:pStyle w:val="SingleTxtGA"/>
        <w:rPr>
          <w:rtl/>
          <w:lang w:eastAsia="zh-TW"/>
        </w:rPr>
      </w:pPr>
      <w:r>
        <w:rPr>
          <w:rtl/>
          <w:lang w:eastAsia="zh-TW"/>
        </w:rPr>
        <w:t>2-2</w:t>
      </w:r>
      <w:r w:rsidR="001B316A">
        <w:rPr>
          <w:rFonts w:hint="cs"/>
          <w:rtl/>
          <w:lang w:eastAsia="zh-TW"/>
        </w:rPr>
        <w:tab/>
      </w:r>
      <w:r>
        <w:rPr>
          <w:rtl/>
          <w:lang w:eastAsia="zh-TW"/>
        </w:rPr>
        <w:t>وفي عام 2006، عمل صاحب البلاغ متدرب</w:t>
      </w:r>
      <w:r w:rsidR="005A085E">
        <w:rPr>
          <w:rtl/>
          <w:lang w:eastAsia="zh-TW"/>
        </w:rPr>
        <w:t xml:space="preserve">اً </w:t>
      </w:r>
      <w:r>
        <w:rPr>
          <w:rtl/>
          <w:lang w:eastAsia="zh-TW"/>
        </w:rPr>
        <w:t>في قسم تقني</w:t>
      </w:r>
      <w:r w:rsidR="001B316A">
        <w:rPr>
          <w:rtl/>
          <w:lang w:eastAsia="zh-TW"/>
        </w:rPr>
        <w:t xml:space="preserve"> </w:t>
      </w:r>
      <w:r>
        <w:rPr>
          <w:rtl/>
          <w:lang w:eastAsia="zh-TW"/>
        </w:rPr>
        <w:t>تابع</w:t>
      </w:r>
      <w:r w:rsidR="001B316A">
        <w:rPr>
          <w:rtl/>
          <w:lang w:eastAsia="zh-TW"/>
        </w:rPr>
        <w:t xml:space="preserve"> </w:t>
      </w:r>
      <w:r>
        <w:rPr>
          <w:rtl/>
          <w:lang w:eastAsia="zh-TW"/>
        </w:rPr>
        <w:t xml:space="preserve">لجامعة مودينا </w:t>
      </w:r>
      <w:proofErr w:type="spellStart"/>
      <w:r>
        <w:rPr>
          <w:rtl/>
          <w:lang w:eastAsia="zh-TW"/>
        </w:rPr>
        <w:t>وريجيو</w:t>
      </w:r>
      <w:proofErr w:type="spellEnd"/>
      <w:r>
        <w:rPr>
          <w:rtl/>
          <w:lang w:eastAsia="zh-TW"/>
        </w:rPr>
        <w:t xml:space="preserve"> إيميليا.</w:t>
      </w:r>
      <w:r w:rsidR="001B316A">
        <w:rPr>
          <w:rtl/>
          <w:lang w:eastAsia="zh-TW"/>
        </w:rPr>
        <w:t xml:space="preserve"> </w:t>
      </w:r>
      <w:r>
        <w:rPr>
          <w:rtl/>
          <w:lang w:eastAsia="zh-TW"/>
        </w:rPr>
        <w:t>وفي 2 أيار/مايو 2006، أعلنت الجامعة عن إجراء امتحان تنافسي لتوظيف تقني علمي من الفئة جيم في قسم الهندسة. وقد شارك</w:t>
      </w:r>
      <w:r w:rsidR="001B316A">
        <w:rPr>
          <w:rtl/>
          <w:lang w:eastAsia="zh-TW"/>
        </w:rPr>
        <w:t xml:space="preserve"> </w:t>
      </w:r>
      <w:r>
        <w:rPr>
          <w:rtl/>
          <w:lang w:eastAsia="zh-TW"/>
        </w:rPr>
        <w:t>صاحب البلاغ في الامتحان لأن الوظيفة المعنية تطابق تحصيله العلمي وخبرته العملية. وتشير ديباجة إعلان</w:t>
      </w:r>
      <w:r w:rsidR="001B316A">
        <w:rPr>
          <w:rtl/>
          <w:lang w:eastAsia="zh-TW"/>
        </w:rPr>
        <w:t xml:space="preserve"> </w:t>
      </w:r>
      <w:r>
        <w:rPr>
          <w:rtl/>
          <w:lang w:eastAsia="zh-TW"/>
        </w:rPr>
        <w:t>الامتحان التنافسي للجامعة إلى القانون رقم 68/1999</w:t>
      </w:r>
      <w:r w:rsidR="001B316A">
        <w:rPr>
          <w:rtl/>
          <w:lang w:eastAsia="zh-TW"/>
        </w:rPr>
        <w:t xml:space="preserve">. </w:t>
      </w:r>
      <w:r>
        <w:rPr>
          <w:rtl/>
          <w:lang w:eastAsia="zh-TW"/>
        </w:rPr>
        <w:t>ووفق</w:t>
      </w:r>
      <w:r w:rsidR="005A085E">
        <w:rPr>
          <w:rtl/>
          <w:lang w:eastAsia="zh-TW"/>
        </w:rPr>
        <w:t xml:space="preserve">اً </w:t>
      </w:r>
      <w:r>
        <w:rPr>
          <w:rtl/>
          <w:lang w:eastAsia="zh-TW"/>
        </w:rPr>
        <w:t xml:space="preserve">لصاحب البلاغ، ينبغي بموجب هذا القانون، تفضيل </w:t>
      </w:r>
      <w:r>
        <w:rPr>
          <w:rtl/>
          <w:lang w:eastAsia="zh-TW"/>
        </w:rPr>
        <w:lastRenderedPageBreak/>
        <w:t>الأشخاص ذوي الإعاقة المرشحين على المرشحين الآخرين في حال تساوي نتائج الامتحان. وقد نُشرت نتائج الامتحان رسمياً بموجب المرسوم رقم 595 المؤرخ 22 أيلول/سبتمبر 2006؛ وكان ترتيب صاحب البلاغ ثالث</w:t>
      </w:r>
      <w:r w:rsidR="005A085E">
        <w:rPr>
          <w:rtl/>
          <w:lang w:eastAsia="zh-TW"/>
        </w:rPr>
        <w:t xml:space="preserve">اً، </w:t>
      </w:r>
      <w:r>
        <w:rPr>
          <w:rtl/>
          <w:lang w:eastAsia="zh-TW"/>
        </w:rPr>
        <w:t xml:space="preserve">إذ حصل على </w:t>
      </w:r>
      <w:r w:rsidR="00C26F9D">
        <w:rPr>
          <w:rtl/>
          <w:lang w:eastAsia="zh-TW"/>
        </w:rPr>
        <w:t>علامة 50.5/</w:t>
      </w:r>
      <w:r w:rsidR="00C26F9D" w:rsidRPr="00C26F9D">
        <w:rPr>
          <w:rFonts w:hint="cs"/>
          <w:rtl/>
          <w:lang w:eastAsia="zh-TW"/>
        </w:rPr>
        <w:t>60</w:t>
      </w:r>
      <w:r w:rsidR="00C26F9D" w:rsidRPr="00C26F9D">
        <w:rPr>
          <w:rFonts w:hint="cs"/>
          <w:vertAlign w:val="superscript"/>
          <w:rtl/>
          <w:lang w:eastAsia="zh-TW"/>
        </w:rPr>
        <w:t>(</w:t>
      </w:r>
      <w:r w:rsidRPr="00C26F9D">
        <w:rPr>
          <w:rStyle w:val="FootnoteReference"/>
          <w:rtl/>
          <w:lang w:eastAsia="zh-TW"/>
        </w:rPr>
        <w:footnoteReference w:id="4"/>
      </w:r>
      <w:r w:rsidR="00C26F9D" w:rsidRPr="00C26F9D">
        <w:rPr>
          <w:rFonts w:hint="cs"/>
          <w:vertAlign w:val="superscript"/>
          <w:rtl/>
          <w:lang w:eastAsia="zh-TW"/>
        </w:rPr>
        <w:t>)</w:t>
      </w:r>
      <w:r w:rsidR="00C26F9D">
        <w:rPr>
          <w:rFonts w:hint="cs"/>
          <w:rtl/>
          <w:lang w:eastAsia="zh-TW"/>
        </w:rPr>
        <w:t>.</w:t>
      </w:r>
      <w:r>
        <w:rPr>
          <w:rtl/>
          <w:lang w:eastAsia="zh-TW"/>
        </w:rPr>
        <w:t xml:space="preserve"> ولم يُعين لأنه لم تكن هناك إلا وظيفة شاغرة واحدة. وفي 17 نيسان/أبريل 2008، نظمت الجامعة امتحاناً تنافسياً عاماً ثانياً لشغل وظيفة تقني علمي من الفئة جيم. ولكن لم يتمكن صاحب البلاغ المشاركة فيه لأنه كان مخصصاً لقدامى العسكريين.</w:t>
      </w:r>
    </w:p>
    <w:p w:rsidR="003A1ABF" w:rsidRPr="00935AFD" w:rsidRDefault="003A1ABF" w:rsidP="006001EF">
      <w:pPr>
        <w:pStyle w:val="SingleTxtGA"/>
        <w:rPr>
          <w:rtl/>
          <w:lang w:eastAsia="zh-TW"/>
        </w:rPr>
      </w:pPr>
      <w:r>
        <w:rPr>
          <w:rtl/>
          <w:lang w:eastAsia="zh-TW"/>
        </w:rPr>
        <w:t>2-3</w:t>
      </w:r>
      <w:r w:rsidR="001B316A">
        <w:rPr>
          <w:rFonts w:hint="cs"/>
          <w:rtl/>
          <w:lang w:eastAsia="zh-TW"/>
        </w:rPr>
        <w:tab/>
      </w:r>
      <w:r>
        <w:rPr>
          <w:rtl/>
          <w:lang w:eastAsia="zh-TW"/>
        </w:rPr>
        <w:t>ويقول صاحب البلاغ إنه رغم إحرازه على الدوام مركز</w:t>
      </w:r>
      <w:r w:rsidR="005A085E">
        <w:rPr>
          <w:rtl/>
          <w:lang w:eastAsia="zh-TW"/>
        </w:rPr>
        <w:t xml:space="preserve">اً </w:t>
      </w:r>
      <w:r>
        <w:rPr>
          <w:rtl/>
          <w:lang w:eastAsia="zh-TW"/>
        </w:rPr>
        <w:t>متقدم</w:t>
      </w:r>
      <w:r w:rsidR="005A085E">
        <w:rPr>
          <w:rtl/>
          <w:lang w:eastAsia="zh-TW"/>
        </w:rPr>
        <w:t xml:space="preserve">اً </w:t>
      </w:r>
      <w:r>
        <w:rPr>
          <w:rtl/>
          <w:lang w:eastAsia="zh-TW"/>
        </w:rPr>
        <w:t>في الرتيب في جميع الامتحانات التنافسية العامة التي شارك فيها</w:t>
      </w:r>
      <w:r w:rsidR="001B316A">
        <w:rPr>
          <w:rtl/>
          <w:lang w:eastAsia="zh-TW"/>
        </w:rPr>
        <w:t xml:space="preserve">، </w:t>
      </w:r>
      <w:r>
        <w:rPr>
          <w:rtl/>
          <w:lang w:eastAsia="zh-TW"/>
        </w:rPr>
        <w:t>فإنه لم ينجح في الحصول على وظيفة بموجب أي منها لأن نظام</w:t>
      </w:r>
      <w:r w:rsidR="001B316A">
        <w:rPr>
          <w:rtl/>
          <w:lang w:eastAsia="zh-TW"/>
        </w:rPr>
        <w:t xml:space="preserve"> </w:t>
      </w:r>
      <w:r>
        <w:rPr>
          <w:rtl/>
          <w:lang w:eastAsia="zh-TW"/>
        </w:rPr>
        <w:t>الحصص بنسبة 50 في المائة المنصوص عليه في الفقرة 2 من المادة 7 من القانون</w:t>
      </w:r>
      <w:r w:rsidR="005A085E">
        <w:rPr>
          <w:rFonts w:hint="cs"/>
          <w:rtl/>
          <w:lang w:eastAsia="zh-TW"/>
        </w:rPr>
        <w:t> </w:t>
      </w:r>
      <w:r>
        <w:rPr>
          <w:rtl/>
          <w:lang w:eastAsia="zh-TW"/>
        </w:rPr>
        <w:t>68/1999لم يحترم أبدا. وفي 17 شباط/فبراير 2007، قدم صاحب البلاغ شكوى إلى المحكمة الإدارية الإقليمية في بولونيا يطلب فيها تعليق وإلغاء الامتحان العام بسبب انتهاك الفقرة 2 من المادة 7من القانون رقم 68/1999. وطلب أيضاً أن يُعين في وظيفة مماثلة في حال أقرت المحكمة صحة الامتحان التنافسي، لأنه اعتُبر مؤهل</w:t>
      </w:r>
      <w:r w:rsidR="005A085E">
        <w:rPr>
          <w:rtl/>
          <w:lang w:eastAsia="zh-TW"/>
        </w:rPr>
        <w:t xml:space="preserve">اً </w:t>
      </w:r>
      <w:r>
        <w:rPr>
          <w:rtl/>
          <w:lang w:eastAsia="zh-TW"/>
        </w:rPr>
        <w:t>للوظيفة ولكنه حُرم منها بسبب سوء تفسير القانون. وفي 7 أيار/مايو 2007، رفضت المحكمة الإدارية شكوى صاحب البلاغ. وأشارت إلى أنه يحق للجامعة العمل ضمن نطاق اتفاق وقعت عليه في 20 كانون الأول/ديسمبر 2005 مع مكتب البطالة التابع لمقاطعة مودينا لتطبيق نظام الحصص بنسبة 7 في المائة، لكن ذلك الاتفاق لا يضمن اختيار وتعيين صاحب البلاغ من قبل الجامعة. وفي 4 حزيران/ يونيه 2008، استأنف صاحب البلاغ القرار أمام مجلس الدولة، وهو أعلى محكمة إدارية، لكن المجلس رفض طلبه في 4 كانون الأول/ديسمبر 2009 مشيراً إلى أن نظام الحصص بنسبة 50 في المائة للأشخاص ذوي الإعاقة لا ينطبق على جميع الامتحانات التنافسية العامة، بل يهدف إلى التوصل إلى حصة عامة</w:t>
      </w:r>
      <w:r w:rsidR="001B316A">
        <w:rPr>
          <w:rtl/>
          <w:lang w:eastAsia="zh-TW"/>
        </w:rPr>
        <w:t xml:space="preserve"> </w:t>
      </w:r>
      <w:r>
        <w:rPr>
          <w:rtl/>
          <w:lang w:eastAsia="zh-TW"/>
        </w:rPr>
        <w:t>للأشخاص ذوي الإعاقة في المؤسسات العامة، دون أخذ الوظيفة ذات الصلة في الاعتبار. ولاحظ مجلس الدولة أيض</w:t>
      </w:r>
      <w:r w:rsidR="005A085E">
        <w:rPr>
          <w:rtl/>
          <w:lang w:eastAsia="zh-TW"/>
        </w:rPr>
        <w:t xml:space="preserve">اً </w:t>
      </w:r>
      <w:r>
        <w:rPr>
          <w:rtl/>
          <w:lang w:eastAsia="zh-TW"/>
        </w:rPr>
        <w:t xml:space="preserve">أن الجامعة لم تُقصّر في الالتزام بتطبيق نظام الحصص بنسبة 50 في المائة،" لأن نسبة </w:t>
      </w:r>
      <w:proofErr w:type="spellStart"/>
      <w:r>
        <w:rPr>
          <w:rtl/>
          <w:lang w:eastAsia="zh-TW"/>
        </w:rPr>
        <w:t>ا</w:t>
      </w:r>
      <w:r w:rsidR="006001EF">
        <w:rPr>
          <w:rFonts w:hint="cs"/>
          <w:rtl/>
          <w:lang w:eastAsia="zh-TW"/>
        </w:rPr>
        <w:t>لـ</w:t>
      </w:r>
      <w:proofErr w:type="spellEnd"/>
      <w:r w:rsidR="006001EF">
        <w:rPr>
          <w:rFonts w:hint="cs"/>
          <w:rtl/>
          <w:lang w:eastAsia="zh-TW"/>
        </w:rPr>
        <w:t xml:space="preserve"> </w:t>
      </w:r>
      <w:r>
        <w:rPr>
          <w:rtl/>
          <w:lang w:eastAsia="zh-TW"/>
        </w:rPr>
        <w:t>50 في المائة من وظيفة واحدة تعادل الصفر"</w:t>
      </w:r>
      <w:r w:rsidR="001B316A" w:rsidRPr="001B316A">
        <w:rPr>
          <w:rFonts w:hint="cs"/>
          <w:vertAlign w:val="superscript"/>
          <w:rtl/>
          <w:lang w:eastAsia="zh-TW"/>
        </w:rPr>
        <w:t>(</w:t>
      </w:r>
      <w:r w:rsidRPr="001B316A">
        <w:rPr>
          <w:rStyle w:val="FootnoteReference"/>
          <w:rtl/>
          <w:lang w:eastAsia="zh-TW"/>
        </w:rPr>
        <w:footnoteReference w:id="5"/>
      </w:r>
      <w:r w:rsidR="001B316A" w:rsidRPr="001B316A">
        <w:rPr>
          <w:rFonts w:hint="cs"/>
          <w:vertAlign w:val="superscript"/>
          <w:rtl/>
          <w:lang w:eastAsia="zh-TW"/>
        </w:rPr>
        <w:t>)</w:t>
      </w:r>
      <w:r w:rsidR="001B316A">
        <w:rPr>
          <w:rFonts w:hint="cs"/>
          <w:rtl/>
          <w:lang w:eastAsia="zh-TW"/>
        </w:rPr>
        <w:t>.</w:t>
      </w:r>
    </w:p>
    <w:p w:rsidR="003A1ABF" w:rsidRPr="00935AFD" w:rsidRDefault="003A1ABF" w:rsidP="001B316A">
      <w:pPr>
        <w:pStyle w:val="H23GA"/>
        <w:rPr>
          <w:rtl/>
          <w:lang w:eastAsia="zh-TW"/>
        </w:rPr>
      </w:pPr>
      <w:r w:rsidRPr="00935AFD">
        <w:rPr>
          <w:rtl/>
          <w:lang w:eastAsia="zh-TW"/>
        </w:rPr>
        <w:tab/>
      </w:r>
      <w:r w:rsidRPr="00935AFD">
        <w:rPr>
          <w:rtl/>
          <w:lang w:eastAsia="zh-TW"/>
        </w:rPr>
        <w:tab/>
      </w:r>
      <w:dir w:val="rtl">
        <w:r>
          <w:rPr>
            <w:rtl/>
            <w:lang w:eastAsia="zh-TW"/>
          </w:rPr>
          <w:t>الشكوى</w:t>
        </w:r>
        <w:r>
          <w:rPr>
            <w:rFonts w:cs="Times New Roman" w:hint="cs"/>
            <w:rtl/>
            <w:lang w:eastAsia="zh-TW"/>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1B316A" w:rsidP="006001EF">
      <w:pPr>
        <w:pStyle w:val="SingleTxtGA"/>
        <w:rPr>
          <w:rtl/>
          <w:lang w:eastAsia="zh-TW"/>
        </w:rPr>
      </w:pPr>
      <w:r>
        <w:rPr>
          <w:rtl/>
          <w:lang w:eastAsia="zh-TW"/>
        </w:rPr>
        <w:t>3-1</w:t>
      </w:r>
      <w:r>
        <w:rPr>
          <w:rFonts w:hint="cs"/>
          <w:rtl/>
          <w:lang w:eastAsia="zh-TW"/>
        </w:rPr>
        <w:tab/>
      </w:r>
      <w:r w:rsidR="003A1ABF">
        <w:rPr>
          <w:rtl/>
          <w:lang w:eastAsia="zh-TW"/>
        </w:rPr>
        <w:t xml:space="preserve">يدعي صاحب البلاغ أن الامتحان </w:t>
      </w:r>
      <w:r w:rsidR="006001EF">
        <w:rPr>
          <w:rtl/>
          <w:lang w:eastAsia="zh-TW"/>
        </w:rPr>
        <w:t xml:space="preserve">الذي نظمته جامعة مودينا </w:t>
      </w:r>
      <w:proofErr w:type="spellStart"/>
      <w:r w:rsidR="006001EF">
        <w:rPr>
          <w:rtl/>
          <w:lang w:eastAsia="zh-TW"/>
        </w:rPr>
        <w:t>وريجيو</w:t>
      </w:r>
      <w:proofErr w:type="spellEnd"/>
      <w:r w:rsidR="006001EF">
        <w:rPr>
          <w:rtl/>
          <w:lang w:eastAsia="zh-TW"/>
        </w:rPr>
        <w:t xml:space="preserve"> </w:t>
      </w:r>
      <w:proofErr w:type="spellStart"/>
      <w:r w:rsidR="006001EF">
        <w:rPr>
          <w:rFonts w:hint="cs"/>
          <w:rtl/>
          <w:lang w:eastAsia="zh-TW"/>
        </w:rPr>
        <w:t>إ</w:t>
      </w:r>
      <w:r w:rsidR="003A1ABF">
        <w:rPr>
          <w:rtl/>
          <w:lang w:eastAsia="zh-TW"/>
        </w:rPr>
        <w:t>ميليا</w:t>
      </w:r>
      <w:proofErr w:type="spellEnd"/>
      <w:r w:rsidR="003A1ABF">
        <w:rPr>
          <w:rtl/>
          <w:lang w:eastAsia="zh-TW"/>
        </w:rPr>
        <w:t xml:space="preserve"> لا يمتثل لنظام الحصص بنسبة 50 في المائة الواجب تخصيصها للأشخاص ذوي الإعاقة وفقاً للقانون رقم 68/1999، مما يشكل انتهاكا للمادة 27 من الاتفاقية. ويدعى أن التفسير الذي قدمته </w:t>
      </w:r>
      <w:r w:rsidR="003A1ABF">
        <w:rPr>
          <w:rtl/>
          <w:lang w:eastAsia="zh-TW"/>
        </w:rPr>
        <w:lastRenderedPageBreak/>
        <w:t xml:space="preserve">الجامعة وهو أن حصة </w:t>
      </w:r>
      <w:proofErr w:type="spellStart"/>
      <w:r w:rsidR="003A1ABF">
        <w:rPr>
          <w:rtl/>
          <w:lang w:eastAsia="zh-TW"/>
        </w:rPr>
        <w:t>ا</w:t>
      </w:r>
      <w:r w:rsidR="006001EF">
        <w:rPr>
          <w:rFonts w:hint="cs"/>
          <w:rtl/>
          <w:lang w:eastAsia="zh-TW"/>
        </w:rPr>
        <w:t>لـ</w:t>
      </w:r>
      <w:proofErr w:type="spellEnd"/>
      <w:r w:rsidR="006001EF">
        <w:rPr>
          <w:rFonts w:hint="cs"/>
          <w:rtl/>
          <w:lang w:eastAsia="zh-TW"/>
        </w:rPr>
        <w:t xml:space="preserve"> </w:t>
      </w:r>
      <w:r w:rsidR="003A1ABF">
        <w:rPr>
          <w:rtl/>
          <w:lang w:eastAsia="zh-TW"/>
        </w:rPr>
        <w:t>50 في المائة لشغل وظيفة واحدة هي 0.5 وظيفة هو ما منعها من احترام نظام الحصص. ويدعي صاحب البلاغ "أنه لو كان نظام الحصص قد طُبق بشكل صحيح لكانت النتيجة إما توظيفه لأن ترتيبه كان الثالث ولأنه كان الشخص ذا الإعاقة الوحيد الذي شارك</w:t>
      </w:r>
      <w:r>
        <w:rPr>
          <w:rtl/>
          <w:lang w:eastAsia="zh-TW"/>
        </w:rPr>
        <w:t xml:space="preserve"> </w:t>
      </w:r>
      <w:r w:rsidR="003A1ABF">
        <w:rPr>
          <w:rtl/>
          <w:lang w:eastAsia="zh-TW"/>
        </w:rPr>
        <w:t xml:space="preserve">في الامتحان التنافسي، أو توظيفه هو والشخص الذي كان الأول". ويدعي صاحب البلاغ أنه </w:t>
      </w:r>
      <w:r w:rsidR="003A1ABF" w:rsidRPr="00A832FB">
        <w:rPr>
          <w:rtl/>
          <w:lang w:eastAsia="zh-TW"/>
        </w:rPr>
        <w:t>كان ينبغي تعيينه من جانب</w:t>
      </w:r>
      <w:r>
        <w:rPr>
          <w:rtl/>
          <w:lang w:eastAsia="zh-TW"/>
        </w:rPr>
        <w:t xml:space="preserve"> </w:t>
      </w:r>
      <w:r w:rsidR="003A1ABF" w:rsidRPr="00A832FB">
        <w:rPr>
          <w:rtl/>
          <w:lang w:eastAsia="zh-TW"/>
        </w:rPr>
        <w:t xml:space="preserve">جامعة مودينا </w:t>
      </w:r>
      <w:proofErr w:type="spellStart"/>
      <w:r w:rsidR="003A1ABF" w:rsidRPr="00A832FB">
        <w:rPr>
          <w:rtl/>
          <w:lang w:eastAsia="zh-TW"/>
        </w:rPr>
        <w:t>وريجيو</w:t>
      </w:r>
      <w:proofErr w:type="spellEnd"/>
      <w:r w:rsidR="003A1ABF" w:rsidRPr="00A832FB">
        <w:rPr>
          <w:rtl/>
          <w:lang w:eastAsia="zh-TW"/>
        </w:rPr>
        <w:t xml:space="preserve"> إيميليا</w:t>
      </w:r>
      <w:r w:rsidR="003A1ABF">
        <w:rPr>
          <w:rtl/>
          <w:lang w:eastAsia="zh-TW"/>
        </w:rPr>
        <w:t xml:space="preserve"> بموجب الفقرة 2 من المادة 16 من المرسوم الرئاسي رقم 487/1994، المشار إليها أيضاً في ديباجة </w:t>
      </w:r>
      <w:r>
        <w:rPr>
          <w:rtl/>
          <w:lang w:eastAsia="zh-TW"/>
        </w:rPr>
        <w:t>إعلان الامتحان التنافسي</w:t>
      </w:r>
      <w:r w:rsidRPr="001B316A">
        <w:rPr>
          <w:rFonts w:hint="cs"/>
          <w:vertAlign w:val="superscript"/>
          <w:rtl/>
          <w:lang w:eastAsia="zh-TW"/>
        </w:rPr>
        <w:t>(</w:t>
      </w:r>
      <w:r w:rsidR="003A1ABF" w:rsidRPr="00935AFD">
        <w:rPr>
          <w:rStyle w:val="FootnoteReference"/>
          <w:rtl/>
          <w:lang w:eastAsia="zh-TW"/>
        </w:rPr>
        <w:footnoteReference w:id="6"/>
      </w:r>
      <w:r>
        <w:rPr>
          <w:rFonts w:hint="cs"/>
          <w:vertAlign w:val="superscript"/>
          <w:rtl/>
          <w:lang w:eastAsia="zh-TW"/>
        </w:rPr>
        <w:t>)</w:t>
      </w:r>
      <w:r>
        <w:rPr>
          <w:rFonts w:hint="cs"/>
          <w:rtl/>
          <w:lang w:eastAsia="zh-TW"/>
        </w:rPr>
        <w:t>،</w:t>
      </w:r>
      <w:r w:rsidR="003A1ABF">
        <w:rPr>
          <w:rtl/>
          <w:lang w:eastAsia="zh-TW"/>
        </w:rPr>
        <w:t xml:space="preserve"> وفي ضوء ما جاء أعلاه، يرى صاحب البلاغ أن المرسوم رقم 595 المؤرخ 22 أيلول/سبتمبر 2006، الذي اعتمد بموجبه المدير الإداري في جامعة مودينا </w:t>
      </w:r>
      <w:proofErr w:type="spellStart"/>
      <w:r w:rsidR="003A1ABF">
        <w:rPr>
          <w:rtl/>
          <w:lang w:eastAsia="zh-TW"/>
        </w:rPr>
        <w:t>وريجيو</w:t>
      </w:r>
      <w:proofErr w:type="spellEnd"/>
      <w:r w:rsidR="003A1ABF">
        <w:rPr>
          <w:rtl/>
          <w:lang w:eastAsia="zh-TW"/>
        </w:rPr>
        <w:t xml:space="preserve"> إيميليا نتائج المسابقة العامة التي شارك صاحب البلاغ فيها في عام 2006، لم يعترف بحق صاحب البلاغ في أن يقع عليه الاختيار بموجب الفقرة 2 من المادة 7 من القانون</w:t>
      </w:r>
      <w:r>
        <w:rPr>
          <w:rFonts w:hint="cs"/>
          <w:rtl/>
          <w:lang w:eastAsia="zh-TW"/>
        </w:rPr>
        <w:t> </w:t>
      </w:r>
      <w:r w:rsidR="003A1ABF">
        <w:rPr>
          <w:rtl/>
          <w:lang w:eastAsia="zh-TW"/>
        </w:rPr>
        <w:t>68/1999، مما يشكل انتهاك</w:t>
      </w:r>
      <w:r w:rsidR="005A085E">
        <w:rPr>
          <w:rtl/>
          <w:lang w:eastAsia="zh-TW"/>
        </w:rPr>
        <w:t xml:space="preserve">اً </w:t>
      </w:r>
      <w:r w:rsidR="003A1ABF">
        <w:rPr>
          <w:rtl/>
          <w:lang w:eastAsia="zh-TW"/>
        </w:rPr>
        <w:t>لحقوقه بموجب المادة 27 من الاتفاقية.</w:t>
      </w:r>
    </w:p>
    <w:p w:rsidR="003A1ABF" w:rsidRPr="0007103F" w:rsidRDefault="001B316A" w:rsidP="003A1ABF">
      <w:pPr>
        <w:pStyle w:val="SingleTxtGA"/>
        <w:rPr>
          <w:spacing w:val="-4"/>
          <w:rtl/>
          <w:lang w:eastAsia="zh-TW"/>
        </w:rPr>
      </w:pPr>
      <w:r>
        <w:rPr>
          <w:rtl/>
          <w:lang w:eastAsia="zh-TW"/>
        </w:rPr>
        <w:t>3-2</w:t>
      </w:r>
      <w:r>
        <w:rPr>
          <w:rFonts w:hint="cs"/>
          <w:rtl/>
          <w:lang w:eastAsia="zh-TW"/>
        </w:rPr>
        <w:tab/>
      </w:r>
      <w:r w:rsidR="003A1ABF">
        <w:rPr>
          <w:rtl/>
          <w:lang w:eastAsia="zh-TW"/>
        </w:rPr>
        <w:t>ويدعي صاحب البلاغ أيض</w:t>
      </w:r>
      <w:r w:rsidR="005A085E">
        <w:rPr>
          <w:rtl/>
          <w:lang w:eastAsia="zh-TW"/>
        </w:rPr>
        <w:t xml:space="preserve">اً </w:t>
      </w:r>
      <w:r w:rsidR="003A1ABF">
        <w:rPr>
          <w:rtl/>
          <w:lang w:eastAsia="zh-TW"/>
        </w:rPr>
        <w:t>أن تنظيم امتحان تنافسي عام جديد يقتصر على الأفراد العسكريين</w:t>
      </w:r>
      <w:r>
        <w:rPr>
          <w:rtl/>
          <w:lang w:eastAsia="zh-TW"/>
        </w:rPr>
        <w:t xml:space="preserve">، </w:t>
      </w:r>
      <w:r w:rsidR="003A1ABF">
        <w:rPr>
          <w:rtl/>
          <w:lang w:eastAsia="zh-TW"/>
        </w:rPr>
        <w:t xml:space="preserve">في نيسان/أبريل 2008 لاختيار موظف تقني من الفئة جيم بنفس مواصفات الشخص الذي اختير من خلال امتحان عام 2006، هو بمثابة انتهاك آخر لحقوقه بموجب القانون رقم 68/1999، وبالتالي حقوقه بموجب المادة 27 من الاتفاقية. وفي هذا الصدد، قال </w:t>
      </w:r>
      <w:r w:rsidR="003A1ABF" w:rsidRPr="0007103F">
        <w:rPr>
          <w:spacing w:val="-4"/>
          <w:rtl/>
          <w:lang w:eastAsia="zh-TW"/>
        </w:rPr>
        <w:t>إنه يعتبر أن نتائج الامتحان العام الأول كانت لا تزال صالحة وقت تنظيم الامتحان الثاني، ولذلك كان ينبغي أن يُعيّن مباشرة بموجب الفقرة 1 من المادة 7 من القانون 68/1999. ويدعي صاحب البلاغ أن اقتصار الامتحان الثاني على الأفراد العسكريين يعتبر تمييزاً ضده، وأن سوء تفسير التشريعات ذات الصلة من جانب سلطات الدولة أدى إلى استحالة</w:t>
      </w:r>
      <w:r w:rsidRPr="0007103F">
        <w:rPr>
          <w:spacing w:val="-4"/>
          <w:rtl/>
          <w:lang w:eastAsia="zh-TW"/>
        </w:rPr>
        <w:t xml:space="preserve"> </w:t>
      </w:r>
      <w:r w:rsidR="003A1ABF" w:rsidRPr="0007103F">
        <w:rPr>
          <w:spacing w:val="-4"/>
          <w:rtl/>
          <w:lang w:eastAsia="zh-TW"/>
        </w:rPr>
        <w:t>حصوله على عمل.</w:t>
      </w:r>
    </w:p>
    <w:p w:rsidR="003A1ABF" w:rsidRPr="00935AFD" w:rsidRDefault="0007103F" w:rsidP="0007103F">
      <w:pPr>
        <w:pStyle w:val="SingleTxtGA"/>
        <w:rPr>
          <w:rtl/>
          <w:lang w:eastAsia="zh-TW"/>
        </w:rPr>
      </w:pPr>
      <w:r>
        <w:rPr>
          <w:rtl/>
          <w:lang w:eastAsia="zh-TW"/>
        </w:rPr>
        <w:t>3-3</w:t>
      </w:r>
      <w:r>
        <w:rPr>
          <w:rFonts w:hint="cs"/>
          <w:rtl/>
          <w:lang w:eastAsia="zh-TW"/>
        </w:rPr>
        <w:tab/>
      </w:r>
      <w:r w:rsidR="003A1ABF">
        <w:rPr>
          <w:rtl/>
          <w:lang w:eastAsia="zh-TW"/>
        </w:rPr>
        <w:t>ويرى صاحب البلاغ أن الاتفاق المبرم في عام 2005 بين الجامعة ومقاطعة مودينا لتوظيف الأشخاص ذوي الإعاقة يبطل بحكم الواقع المادة 27 من الاتفاقية، والدستور والأحكام ذات الصلة من القوانين الداخلية لمكافحة التمييز</w:t>
      </w:r>
      <w:r w:rsidRPr="0007103F">
        <w:rPr>
          <w:rFonts w:hint="cs"/>
          <w:vertAlign w:val="superscript"/>
          <w:rtl/>
          <w:lang w:eastAsia="zh-TW"/>
        </w:rPr>
        <w:t>(</w:t>
      </w:r>
      <w:r w:rsidR="003A1ABF" w:rsidRPr="0007103F">
        <w:rPr>
          <w:rStyle w:val="FootnoteReference"/>
          <w:rtl/>
          <w:lang w:eastAsia="zh-TW"/>
        </w:rPr>
        <w:footnoteReference w:id="7"/>
      </w:r>
      <w:r w:rsidRPr="0007103F">
        <w:rPr>
          <w:rFonts w:hint="cs"/>
          <w:vertAlign w:val="superscript"/>
          <w:rtl/>
          <w:lang w:eastAsia="zh-TW"/>
        </w:rPr>
        <w:t>)</w:t>
      </w:r>
      <w:r>
        <w:rPr>
          <w:rFonts w:hint="cs"/>
          <w:rtl/>
          <w:lang w:eastAsia="zh-TW"/>
        </w:rPr>
        <w:t>.</w:t>
      </w:r>
      <w:r w:rsidR="003A1ABF">
        <w:rPr>
          <w:rtl/>
          <w:lang w:eastAsia="zh-TW"/>
        </w:rPr>
        <w:t xml:space="preserve"> ويدعي صاحب البلاغ أن </w:t>
      </w:r>
      <w:r w:rsidR="003A1ABF">
        <w:rPr>
          <w:rtl/>
          <w:lang w:eastAsia="zh-TW"/>
        </w:rPr>
        <w:lastRenderedPageBreak/>
        <w:t>الجامعة تتبع على نطاق واسع</w:t>
      </w:r>
      <w:r w:rsidR="001B316A">
        <w:rPr>
          <w:rtl/>
          <w:lang w:eastAsia="zh-TW"/>
        </w:rPr>
        <w:t xml:space="preserve"> </w:t>
      </w:r>
      <w:r w:rsidR="003A1ABF">
        <w:rPr>
          <w:rtl/>
          <w:lang w:eastAsia="zh-TW"/>
        </w:rPr>
        <w:t>ممارسة</w:t>
      </w:r>
      <w:r w:rsidR="001B316A">
        <w:rPr>
          <w:rtl/>
          <w:lang w:eastAsia="zh-TW"/>
        </w:rPr>
        <w:t xml:space="preserve"> </w:t>
      </w:r>
      <w:r w:rsidR="003A1ABF">
        <w:rPr>
          <w:rtl/>
          <w:lang w:eastAsia="zh-TW"/>
        </w:rPr>
        <w:t>متمثلة في تنظيم امتحانات تنافسية عامة لشغل وظيفة واحدة</w:t>
      </w:r>
      <w:r w:rsidR="001B316A">
        <w:rPr>
          <w:rtl/>
          <w:lang w:eastAsia="zh-TW"/>
        </w:rPr>
        <w:t xml:space="preserve"> </w:t>
      </w:r>
      <w:r w:rsidR="003A1ABF">
        <w:rPr>
          <w:rtl/>
          <w:lang w:eastAsia="zh-TW"/>
        </w:rPr>
        <w:t>لأنها بذلك تتجنب</w:t>
      </w:r>
      <w:r w:rsidR="001B316A">
        <w:rPr>
          <w:rFonts w:hint="cs"/>
          <w:rtl/>
          <w:lang w:eastAsia="zh-TW"/>
        </w:rPr>
        <w:t xml:space="preserve"> </w:t>
      </w:r>
      <w:r w:rsidR="003A1ABF">
        <w:rPr>
          <w:rtl/>
          <w:lang w:eastAsia="zh-TW"/>
        </w:rPr>
        <w:t>الالتزام باحترام نظام الحصص بنسبة 50 في المائة الذي ينص عليه</w:t>
      </w:r>
      <w:r w:rsidR="001B316A">
        <w:rPr>
          <w:rtl/>
          <w:lang w:eastAsia="zh-TW"/>
        </w:rPr>
        <w:t xml:space="preserve"> </w:t>
      </w:r>
      <w:r w:rsidR="003A1ABF">
        <w:rPr>
          <w:rtl/>
          <w:lang w:eastAsia="zh-TW"/>
        </w:rPr>
        <w:t>القانون رقم 68/1999</w:t>
      </w:r>
      <w:r w:rsidR="001B316A">
        <w:rPr>
          <w:rtl/>
          <w:lang w:eastAsia="zh-TW"/>
        </w:rPr>
        <w:t xml:space="preserve">. </w:t>
      </w:r>
      <w:r w:rsidR="003A1ABF">
        <w:rPr>
          <w:rtl/>
          <w:lang w:eastAsia="zh-TW"/>
        </w:rPr>
        <w:t>ويرى أيض</w:t>
      </w:r>
      <w:r w:rsidR="005A085E">
        <w:rPr>
          <w:rtl/>
          <w:lang w:eastAsia="zh-TW"/>
        </w:rPr>
        <w:t xml:space="preserve">اً </w:t>
      </w:r>
      <w:r w:rsidR="003A1ABF">
        <w:rPr>
          <w:rtl/>
          <w:lang w:eastAsia="zh-TW"/>
        </w:rPr>
        <w:t xml:space="preserve">أن معظم الامتحانات التنافسية العامة المفتوحة للأشخاص ذوي الإعاقة هي امتحانات الغرض منها شغل وظائف إدارية لا فنية، وأن هذه الممارسة لا تتيح الفرص للأشخاص ذوي الإعاقة للتطلع إلى شغل مناصب تتطابق مع مؤهلاتهم وتحصيلهم العلمي. ويرى أن قرار مجلس الدولة، الذي يعتبر نظام الحصص بنسبة 50 في المائة </w:t>
      </w:r>
      <w:r w:rsidR="005A085E">
        <w:rPr>
          <w:rtl/>
          <w:lang w:eastAsia="zh-TW"/>
        </w:rPr>
        <w:t>"</w:t>
      </w:r>
      <w:r w:rsidR="003A1ABF">
        <w:rPr>
          <w:rtl/>
          <w:lang w:eastAsia="zh-TW"/>
        </w:rPr>
        <w:t>مقياس</w:t>
      </w:r>
      <w:r w:rsidR="005A085E">
        <w:rPr>
          <w:rtl/>
          <w:lang w:eastAsia="zh-TW"/>
        </w:rPr>
        <w:t xml:space="preserve">اً </w:t>
      </w:r>
      <w:r w:rsidR="003A1ABF">
        <w:rPr>
          <w:rtl/>
          <w:lang w:eastAsia="zh-TW"/>
        </w:rPr>
        <w:t>كمي</w:t>
      </w:r>
      <w:r w:rsidR="005A085E">
        <w:rPr>
          <w:rtl/>
          <w:lang w:eastAsia="zh-TW"/>
        </w:rPr>
        <w:t xml:space="preserve">اً </w:t>
      </w:r>
      <w:r w:rsidR="003A1ABF">
        <w:rPr>
          <w:rtl/>
          <w:lang w:eastAsia="zh-TW"/>
        </w:rPr>
        <w:t>عاماً لعدد الأشخاص ذوي الإعاقة الواجب توظيفهم في المؤسسات العامة دون مراعاة نوع الوظيفة ذات الصلة</w:t>
      </w:r>
      <w:r w:rsidR="005A085E">
        <w:rPr>
          <w:rFonts w:hint="cs"/>
          <w:rtl/>
          <w:lang w:eastAsia="zh-TW"/>
        </w:rPr>
        <w:t>"</w:t>
      </w:r>
      <w:r w:rsidR="003A1ABF">
        <w:rPr>
          <w:rtl/>
          <w:lang w:eastAsia="zh-TW"/>
        </w:rPr>
        <w:t>، يؤكد هذه الممارسة، مما يشكل انتهاكاً لمبادئ المساواة وعدم التمييز، المنصوص عليها في المادة 27 من الاتفاقية.</w:t>
      </w:r>
    </w:p>
    <w:p w:rsidR="003A1ABF" w:rsidRPr="00935AFD" w:rsidRDefault="003A1ABF" w:rsidP="001B316A">
      <w:pPr>
        <w:pStyle w:val="SingleTxtGA"/>
        <w:rPr>
          <w:rtl/>
          <w:lang w:eastAsia="zh-TW"/>
        </w:rPr>
      </w:pPr>
      <w:r>
        <w:rPr>
          <w:rtl/>
          <w:lang w:eastAsia="zh-TW"/>
        </w:rPr>
        <w:t>3-4</w:t>
      </w:r>
      <w:r w:rsidR="001B316A">
        <w:rPr>
          <w:rFonts w:hint="cs"/>
          <w:rtl/>
          <w:lang w:eastAsia="zh-TW"/>
        </w:rPr>
        <w:tab/>
      </w:r>
      <w:r>
        <w:rPr>
          <w:rtl/>
          <w:lang w:eastAsia="zh-TW"/>
        </w:rPr>
        <w:t>ويطلب صاحب البلاغ إلى اللجنة أن تعلن أن تصرف الدولة الطرف، بما في ذلك قرارات المحاكم الإدارية، يشكل انتهاك</w:t>
      </w:r>
      <w:r w:rsidR="005A085E">
        <w:rPr>
          <w:rtl/>
          <w:lang w:eastAsia="zh-TW"/>
        </w:rPr>
        <w:t xml:space="preserve">اً </w:t>
      </w:r>
      <w:r>
        <w:rPr>
          <w:rtl/>
          <w:lang w:eastAsia="zh-TW"/>
        </w:rPr>
        <w:t xml:space="preserve">للمادة 27 من الاتفاقية؛ وأن يُطلب إلى جامعة مودينا </w:t>
      </w:r>
      <w:proofErr w:type="spellStart"/>
      <w:r>
        <w:rPr>
          <w:rtl/>
          <w:lang w:eastAsia="zh-TW"/>
        </w:rPr>
        <w:t>وريجيو</w:t>
      </w:r>
      <w:proofErr w:type="spellEnd"/>
      <w:r>
        <w:rPr>
          <w:rtl/>
          <w:lang w:eastAsia="zh-TW"/>
        </w:rPr>
        <w:t xml:space="preserve"> إيميليا، أن تعلن عن فوزه في الامتحان التنافسي المنظم في عام 2006 لتوظيف موظف تقني ضمن الفئة جيم، أو أن تعينه في وظيفة مماثلة في أقرب وقت ممكن؛ وأن يعوض عن جميع النفقات والرسوم التي تكبدها في سياق</w:t>
      </w:r>
      <w:r w:rsidR="001B316A">
        <w:rPr>
          <w:rtl/>
          <w:lang w:eastAsia="zh-TW"/>
        </w:rPr>
        <w:t xml:space="preserve"> </w:t>
      </w:r>
      <w:r>
        <w:rPr>
          <w:rtl/>
          <w:lang w:eastAsia="zh-TW"/>
        </w:rPr>
        <w:t>الإجراءات القضائية والإدارية التي حرّكها وفي سياق تقديم هذا البلاغ.</w:t>
      </w:r>
    </w:p>
    <w:p w:rsidR="003A1ABF" w:rsidRPr="00935AFD" w:rsidRDefault="003A1ABF" w:rsidP="001B316A">
      <w:pPr>
        <w:pStyle w:val="H23GA"/>
        <w:rPr>
          <w:rtl/>
        </w:rPr>
      </w:pPr>
      <w:r w:rsidRPr="00935AFD">
        <w:rPr>
          <w:rtl/>
        </w:rPr>
        <w:tab/>
      </w:r>
      <w:r w:rsidRPr="00935AFD">
        <w:rPr>
          <w:rtl/>
        </w:rPr>
        <w:tab/>
      </w:r>
      <w:r>
        <w:rPr>
          <w:rtl/>
        </w:rPr>
        <w:t>ملاحظات الدولة الطرف</w:t>
      </w:r>
    </w:p>
    <w:p w:rsidR="003A1ABF" w:rsidRPr="00935AFD" w:rsidRDefault="001B316A" w:rsidP="003A1ABF">
      <w:pPr>
        <w:pStyle w:val="SingleTxtGA"/>
        <w:rPr>
          <w:rtl/>
          <w:lang w:eastAsia="zh-TW"/>
        </w:rPr>
      </w:pPr>
      <w:r>
        <w:rPr>
          <w:rtl/>
          <w:lang w:eastAsia="zh-TW"/>
        </w:rPr>
        <w:t>4-1</w:t>
      </w:r>
      <w:r>
        <w:rPr>
          <w:rFonts w:hint="cs"/>
          <w:rtl/>
          <w:lang w:eastAsia="zh-TW"/>
        </w:rPr>
        <w:tab/>
      </w:r>
      <w:r w:rsidR="003A1ABF">
        <w:rPr>
          <w:rtl/>
          <w:lang w:eastAsia="zh-TW"/>
        </w:rPr>
        <w:t xml:space="preserve">في 12 كانون الثاني/يناير 2013، قدمت الدولة الطرف ملاحظاتها للطعن في مقبولية البلاغ. وترى اللجنة أن معظم الوقائع التي أشار إليها صاحب البلاغ قد حدثت قبل بدء نفاذ الاتفاقية والبروتوكول الاختياري الملحق بها في إيطاليا في 15 حزيران/يونيه 2009. وفي هذا الصدد، تشير الدولة الطرف إلى نشر نتائج امتحان المنافسة العامة الذي نظمته جامعة مودينا </w:t>
      </w:r>
      <w:proofErr w:type="spellStart"/>
      <w:r w:rsidR="003A1ABF">
        <w:rPr>
          <w:rtl/>
          <w:lang w:eastAsia="zh-TW"/>
        </w:rPr>
        <w:t>وريجيو</w:t>
      </w:r>
      <w:proofErr w:type="spellEnd"/>
      <w:r w:rsidR="003A1ABF">
        <w:rPr>
          <w:rtl/>
          <w:lang w:eastAsia="zh-TW"/>
        </w:rPr>
        <w:t xml:space="preserve"> إيميليا، بموجب المرسوم رقم 595 المؤرخ 22 أيلول/سبتمبر 2006؛ وإلى الإجراءات الإدارية التي حرّكها صاحب البلاغ أمام المحكمة الإدارية الإقليمية في بولونيا في نيسان/</w:t>
      </w:r>
      <w:r>
        <w:rPr>
          <w:rFonts w:hint="cs"/>
          <w:rtl/>
          <w:lang w:eastAsia="zh-TW"/>
        </w:rPr>
        <w:t xml:space="preserve">      </w:t>
      </w:r>
      <w:r w:rsidR="003A1ABF">
        <w:rPr>
          <w:rtl/>
          <w:lang w:eastAsia="zh-TW"/>
        </w:rPr>
        <w:t xml:space="preserve">أبريل 2007 وإلى رفض طلبه من </w:t>
      </w:r>
      <w:r w:rsidR="0007103F">
        <w:rPr>
          <w:rtl/>
          <w:lang w:eastAsia="zh-TW"/>
        </w:rPr>
        <w:t>جانب المحكمة في أيار/ مايو 2007</w:t>
      </w:r>
      <w:r w:rsidR="0007103F">
        <w:rPr>
          <w:rFonts w:hint="cs"/>
          <w:rtl/>
          <w:lang w:eastAsia="zh-TW"/>
        </w:rPr>
        <w:t>.</w:t>
      </w:r>
    </w:p>
    <w:p w:rsidR="003A1ABF" w:rsidRPr="00935AFD" w:rsidRDefault="001B316A" w:rsidP="003A1ABF">
      <w:pPr>
        <w:pStyle w:val="SingleTxtGA"/>
        <w:rPr>
          <w:rtl/>
          <w:lang w:eastAsia="zh-TW"/>
        </w:rPr>
      </w:pPr>
      <w:r>
        <w:rPr>
          <w:rtl/>
          <w:lang w:eastAsia="zh-TW"/>
        </w:rPr>
        <w:t>4-2</w:t>
      </w:r>
      <w:r>
        <w:rPr>
          <w:rFonts w:hint="cs"/>
          <w:rtl/>
          <w:lang w:eastAsia="zh-TW"/>
        </w:rPr>
        <w:tab/>
      </w:r>
      <w:r w:rsidR="003A1ABF">
        <w:rPr>
          <w:rtl/>
          <w:lang w:eastAsia="zh-TW"/>
        </w:rPr>
        <w:t>وترى الدولة الطرف أن قرار مجلس الدولة رفض طعن صاحب البلاغ هو قرار غير تمييزي، بل إنه اعتمد امتثالاً لأحكام القانون رقم 68/1999، الذي ينص على "أن عدد الوظ</w:t>
      </w:r>
      <w:r w:rsidR="005A085E">
        <w:rPr>
          <w:rtl/>
          <w:lang w:eastAsia="zh-TW"/>
        </w:rPr>
        <w:t>ائف المخصصة للأشخاص ذوي الإعاقة</w:t>
      </w:r>
      <w:r w:rsidR="003A1ABF">
        <w:rPr>
          <w:rtl/>
          <w:lang w:eastAsia="zh-TW"/>
        </w:rPr>
        <w:t>" يشير إلى نسبة عدد الأشخاص ذوي الإعاقة الذين يعملون، من بين مجموع العاملين. وأوضح مجلس الدولة أيضاً أن القانون رقم 68/1999 ليس له أي تأثير في المواصفات والمؤهلات المطلوبة لشغل الوظائف الشاغرة الواجب تعيين موظفين جدد لشغلها، وأنه لا يوجد أي تمييز يمكن ملاحظته في قضية صاحب البلاغ. وترى الدولة الطرف أن المادة 97 من الدستور تدعم موقف مجلس الدولة فيما يتعلق بالوظائف الشاغرة في القطاع العام، لأنها تنص على "تنظيم المناصب العامة وفقاً للأحكام القانون، وذلك لضمان كفاءة الإدارة".</w:t>
      </w:r>
    </w:p>
    <w:p w:rsidR="003A1ABF" w:rsidRPr="00935AFD" w:rsidRDefault="001B316A" w:rsidP="001B316A">
      <w:pPr>
        <w:pStyle w:val="SingleTxtGA"/>
        <w:rPr>
          <w:rtl/>
          <w:lang w:eastAsia="zh-TW"/>
        </w:rPr>
      </w:pPr>
      <w:r>
        <w:rPr>
          <w:rtl/>
          <w:lang w:eastAsia="zh-TW"/>
        </w:rPr>
        <w:lastRenderedPageBreak/>
        <w:t>4</w:t>
      </w:r>
      <w:r>
        <w:rPr>
          <w:rFonts w:hint="cs"/>
          <w:rtl/>
          <w:lang w:eastAsia="zh-TW"/>
        </w:rPr>
        <w:t>-</w:t>
      </w:r>
      <w:r>
        <w:rPr>
          <w:rtl/>
          <w:lang w:eastAsia="zh-TW"/>
        </w:rPr>
        <w:t>3</w:t>
      </w:r>
      <w:r>
        <w:rPr>
          <w:rFonts w:hint="cs"/>
          <w:rtl/>
          <w:lang w:eastAsia="zh-TW"/>
        </w:rPr>
        <w:tab/>
      </w:r>
      <w:r w:rsidR="003A1ABF">
        <w:rPr>
          <w:rtl/>
          <w:lang w:eastAsia="zh-TW"/>
        </w:rPr>
        <w:t>وتدفع الدولة الطرف أن القانون رقم 67/2005 المتعلق بتدابير الحماية القضائية للأشخاص الذين هم ضحايا التمييز، هو آلية للحماية القضائية لصالح الأشخاص ذوي الإعاقة الذين يقعون ضحايا التمييز المباشر أو غير المباشر. ولم يلجأ د صاحب البلاغ لهذه الحماية القضائية، وبالتالي فإن الدولة الطرف ترى أن البلاغ غير مقبول بالاستناد إلى عدم استنفاد سبل الانتصاف الداخلية.</w:t>
      </w:r>
    </w:p>
    <w:p w:rsidR="003A1ABF" w:rsidRPr="00935AFD" w:rsidRDefault="003A1ABF" w:rsidP="001B316A">
      <w:pPr>
        <w:pStyle w:val="H23GA"/>
        <w:rPr>
          <w:rtl/>
        </w:rPr>
      </w:pPr>
      <w:r w:rsidRPr="00935AFD">
        <w:rPr>
          <w:rtl/>
        </w:rPr>
        <w:tab/>
      </w:r>
      <w:r w:rsidRPr="00935AFD">
        <w:rPr>
          <w:rtl/>
        </w:rPr>
        <w:tab/>
      </w:r>
      <w:dir w:val="rtl">
        <w:r>
          <w:rPr>
            <w:rtl/>
          </w:rPr>
          <w:t>تعليقات صاحب البلاغ على ملاحظات الدولة الطرف</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935AFD" w:rsidRDefault="003A1ABF" w:rsidP="003A1ABF">
      <w:pPr>
        <w:pStyle w:val="SingleTxtGA"/>
        <w:rPr>
          <w:rtl/>
          <w:lang w:eastAsia="zh-TW"/>
        </w:rPr>
      </w:pPr>
      <w:r>
        <w:rPr>
          <w:rtl/>
          <w:lang w:eastAsia="zh-TW"/>
        </w:rPr>
        <w:t>5</w:t>
      </w:r>
      <w:r w:rsidR="001B316A">
        <w:rPr>
          <w:rFonts w:hint="cs"/>
          <w:rtl/>
          <w:lang w:eastAsia="zh-TW"/>
        </w:rPr>
        <w:t>-</w:t>
      </w:r>
      <w:r w:rsidR="001B316A">
        <w:rPr>
          <w:rtl/>
          <w:lang w:eastAsia="zh-TW"/>
        </w:rPr>
        <w:t>1</w:t>
      </w:r>
      <w:r w:rsidR="001B316A">
        <w:rPr>
          <w:rFonts w:hint="cs"/>
          <w:rtl/>
          <w:lang w:eastAsia="zh-TW"/>
        </w:rPr>
        <w:tab/>
      </w:r>
      <w:r>
        <w:rPr>
          <w:rtl/>
          <w:lang w:eastAsia="zh-TW"/>
        </w:rPr>
        <w:t>في 30 أيلول/سبتمبر</w:t>
      </w:r>
      <w:r w:rsidR="001B316A">
        <w:rPr>
          <w:rtl/>
          <w:lang w:eastAsia="zh-TW"/>
        </w:rPr>
        <w:t>، و</w:t>
      </w:r>
      <w:r>
        <w:rPr>
          <w:rtl/>
          <w:lang w:eastAsia="zh-TW"/>
        </w:rPr>
        <w:t>7 تشرين الأول/أكتوبر و27 تشرين الثاني /نوفمبر 2013، قدم صاحب البلاغ تعليقاته على ملاحظات الدولة الطرف. ويرى أن القانون رقم 67/2006 الذي أشارت إليه الدولة الطرف، ليس هو القانون الوحيد الذي يتعين مراعاته في سياق قضيته، لأن القانون رقم 216/2003 يغطي بشكل عام المسائل المتعلقة بالتمييز في العمل، وينص على مبادئ توجيهية تتعلق بالاستخدام وظروف العمل. وهناك في الدولة الطرف إدارات متخصصة في المحاكم المحلية مسؤولة عن المنازعات التي تحدث في العمل. ومع ذلك، وبالنظر إلى أن الجهة المقابلة في هذه القضية، تمثلها مؤسسة عامة (الجامعة)، فإن المحاكم الإدارية هي الجهة الوحيدة التي تتمتع بالولاية القضائية.</w:t>
      </w:r>
    </w:p>
    <w:p w:rsidR="003A1ABF" w:rsidRPr="00935AFD" w:rsidRDefault="003A1ABF" w:rsidP="005A085E">
      <w:pPr>
        <w:pStyle w:val="SingleTxtGA"/>
        <w:rPr>
          <w:rtl/>
          <w:lang w:eastAsia="zh-TW"/>
        </w:rPr>
      </w:pPr>
      <w:r>
        <w:rPr>
          <w:rtl/>
          <w:lang w:eastAsia="zh-TW"/>
        </w:rPr>
        <w:t>5-2</w:t>
      </w:r>
      <w:r w:rsidR="001B316A">
        <w:rPr>
          <w:rFonts w:hint="cs"/>
          <w:rtl/>
          <w:lang w:eastAsia="zh-TW"/>
        </w:rPr>
        <w:tab/>
      </w:r>
      <w:r>
        <w:rPr>
          <w:rtl/>
          <w:lang w:eastAsia="zh-TW"/>
        </w:rPr>
        <w:t xml:space="preserve">وفي هذا الصدد، يشير صاحب البلاغ إلى الشكوى التي قدمها إلى محكمة مقاطعة مودينا في 23 حزيران/يونيه 2009، من أجل الحصول على تعويض على أساس التمييز. وقد رفضت محكمة المقاطعة شكوى صاحب البلاغ </w:t>
      </w:r>
      <w:r w:rsidRPr="00DB6788">
        <w:rPr>
          <w:rtl/>
          <w:lang w:eastAsia="zh-TW"/>
        </w:rPr>
        <w:t>في 9 تموز/يوليه 2013</w:t>
      </w:r>
      <w:r>
        <w:rPr>
          <w:rtl/>
          <w:lang w:eastAsia="zh-TW"/>
        </w:rPr>
        <w:t>، مشيرة إلى أن الاجتهاد الثابت للمحاكم والهيئات القضائية العليا الإيطالية والمادة 103 من الدستور، يقضي بأن المحاكم الإدارية هي الجهة الوحيدة التي تتمتع بولاية قضائية على هذه القضية. ولذلك يعتبر صاحب البلاغ أن المحاكم الإدارية هي بلا شك المحاكم الوحيدة التي تتمتع بولاية قضائية في القضية الراهنة، وعليه فقد استنفذت جميع سبل الانتصاف الداخلية المتاحة.</w:t>
      </w:r>
    </w:p>
    <w:p w:rsidR="003A1ABF" w:rsidRPr="00935AFD" w:rsidRDefault="003A1ABF" w:rsidP="001B316A">
      <w:pPr>
        <w:pStyle w:val="SingleTxtGA"/>
        <w:rPr>
          <w:rtl/>
          <w:lang w:eastAsia="zh-TW"/>
        </w:rPr>
      </w:pPr>
      <w:r>
        <w:rPr>
          <w:rtl/>
          <w:lang w:eastAsia="zh-TW"/>
        </w:rPr>
        <w:t>5-</w:t>
      </w:r>
      <w:r w:rsidR="001B316A">
        <w:rPr>
          <w:rtl/>
          <w:lang w:eastAsia="zh-TW"/>
        </w:rPr>
        <w:t>3</w:t>
      </w:r>
      <w:r w:rsidR="001B316A">
        <w:rPr>
          <w:rFonts w:hint="cs"/>
          <w:rtl/>
          <w:lang w:eastAsia="zh-TW"/>
        </w:rPr>
        <w:tab/>
      </w:r>
      <w:r>
        <w:rPr>
          <w:rtl/>
          <w:lang w:eastAsia="zh-TW"/>
        </w:rPr>
        <w:t>ويدعي صاحب البلاغ أن تقديم طلب إضافي إلى محكمة المقاطعة أو إلى هيئة قضائية أخرى، وفقاً لاقتراح الدولة الطرف، قد يشكل انتهاك</w:t>
      </w:r>
      <w:r w:rsidR="005A085E">
        <w:rPr>
          <w:rtl/>
          <w:lang w:eastAsia="zh-TW"/>
        </w:rPr>
        <w:t xml:space="preserve">اً </w:t>
      </w:r>
      <w:r>
        <w:rPr>
          <w:rtl/>
          <w:lang w:eastAsia="zh-TW"/>
        </w:rPr>
        <w:t>لمبدأ المحاكمة مرتين على نفس الجرم ومبدأ تجنب تضارب الأحكام.</w:t>
      </w:r>
    </w:p>
    <w:p w:rsidR="003A1ABF" w:rsidRPr="00935AFD" w:rsidRDefault="003A1ABF" w:rsidP="001B316A">
      <w:pPr>
        <w:pStyle w:val="SingleTxtGA"/>
        <w:rPr>
          <w:rtl/>
          <w:lang w:eastAsia="zh-TW"/>
        </w:rPr>
      </w:pPr>
      <w:r>
        <w:rPr>
          <w:rtl/>
          <w:lang w:eastAsia="zh-TW"/>
        </w:rPr>
        <w:t>5-4</w:t>
      </w:r>
      <w:r w:rsidR="001B316A">
        <w:rPr>
          <w:rFonts w:hint="cs"/>
          <w:rtl/>
          <w:lang w:eastAsia="zh-TW"/>
        </w:rPr>
        <w:tab/>
      </w:r>
      <w:r>
        <w:rPr>
          <w:rtl/>
          <w:lang w:eastAsia="zh-TW"/>
        </w:rPr>
        <w:t xml:space="preserve">ويكرر صاحب البلاغ الحجج المقدمة في شكواه الأولى، ويقدم مزيداً من التفاصيل بشأن الأحكام القانونية التي كان ينبغي، في رأيه، أن تأخذها المحاكم القضائية الوطنية في الاعتبار عند النظر في شكواه، ومعلومات أخرى عن هيكل جامعة مودينا </w:t>
      </w:r>
      <w:proofErr w:type="spellStart"/>
      <w:r>
        <w:rPr>
          <w:rtl/>
          <w:lang w:eastAsia="zh-TW"/>
        </w:rPr>
        <w:t>وريجيو</w:t>
      </w:r>
      <w:proofErr w:type="spellEnd"/>
      <w:r>
        <w:rPr>
          <w:rtl/>
          <w:lang w:eastAsia="zh-TW"/>
        </w:rPr>
        <w:t xml:space="preserve"> إيميليا، وصنف الشواغر وعددها التي يرى أنه كان ينبغي أن يحصل على واحدة منها تلقائي</w:t>
      </w:r>
      <w:r w:rsidR="005A085E">
        <w:rPr>
          <w:rtl/>
          <w:lang w:eastAsia="zh-TW"/>
        </w:rPr>
        <w:t xml:space="preserve">اً </w:t>
      </w:r>
      <w:r>
        <w:rPr>
          <w:rtl/>
          <w:lang w:eastAsia="zh-TW"/>
        </w:rPr>
        <w:t>في ضوء النتائج التي حصل عليها في الامتحان</w:t>
      </w:r>
      <w:r w:rsidR="001B316A">
        <w:rPr>
          <w:rtl/>
          <w:lang w:eastAsia="zh-TW"/>
        </w:rPr>
        <w:t xml:space="preserve"> التنافسي في عام 2006</w:t>
      </w:r>
      <w:r w:rsidR="001B316A">
        <w:rPr>
          <w:rFonts w:hint="cs"/>
          <w:rtl/>
          <w:lang w:eastAsia="zh-TW"/>
        </w:rPr>
        <w:t>.</w:t>
      </w:r>
    </w:p>
    <w:p w:rsidR="003A1ABF" w:rsidRPr="00935AFD" w:rsidRDefault="008C247F" w:rsidP="001C6736">
      <w:pPr>
        <w:pStyle w:val="H23GA"/>
        <w:rPr>
          <w:rtl/>
        </w:rPr>
      </w:pPr>
      <w:r>
        <w:rPr>
          <w:rtl/>
        </w:rPr>
        <w:br w:type="page"/>
      </w:r>
      <w:r w:rsidR="003A1ABF" w:rsidRPr="00935AFD">
        <w:rPr>
          <w:rtl/>
        </w:rPr>
        <w:lastRenderedPageBreak/>
        <w:tab/>
      </w:r>
      <w:r w:rsidR="003A1ABF" w:rsidRPr="00935AFD">
        <w:rPr>
          <w:rtl/>
        </w:rPr>
        <w:tab/>
      </w:r>
      <w:dir w:val="rtl">
        <w:r w:rsidR="003A1ABF">
          <w:rPr>
            <w:rtl/>
          </w:rPr>
          <w:t>ملاحظات إضافية للدولة الطرف</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rPr>
            <w:rFonts w:cs="Times New Roman" w:hint="cs"/>
            <w:rtl/>
          </w:rPr>
          <w:t>‬</w:t>
        </w:r>
        <w:r w:rsidR="003A1ABF">
          <w:t>‬</w:t>
        </w:r>
        <w:r w:rsidR="003A1ABF">
          <w:t>‬</w:t>
        </w:r>
        <w:r w:rsidR="003A1ABF">
          <w:t>‬</w:t>
        </w:r>
        <w:r w:rsidR="003A1ABF">
          <w:t>‬</w:t>
        </w:r>
        <w:r w:rsidR="003A1ABF">
          <w:t>‬</w:t>
        </w:r>
        <w:r w:rsidR="003A1ABF">
          <w:t>‬</w:t>
        </w:r>
        <w:r>
          <w:t>‬</w:t>
        </w:r>
        <w:r w:rsidR="00477904">
          <w:t>‬</w:t>
        </w:r>
      </w:dir>
    </w:p>
    <w:p w:rsidR="003A1ABF" w:rsidRPr="00935AFD" w:rsidRDefault="001B316A" w:rsidP="001C6736">
      <w:pPr>
        <w:pStyle w:val="SingleTxtGA"/>
        <w:rPr>
          <w:rtl/>
          <w:lang w:eastAsia="zh-TW"/>
        </w:rPr>
      </w:pPr>
      <w:r>
        <w:rPr>
          <w:rtl/>
          <w:lang w:eastAsia="zh-TW"/>
        </w:rPr>
        <w:t>6-1</w:t>
      </w:r>
      <w:r>
        <w:rPr>
          <w:rFonts w:hint="cs"/>
          <w:rtl/>
          <w:lang w:eastAsia="zh-TW"/>
        </w:rPr>
        <w:tab/>
      </w:r>
      <w:r w:rsidR="003A1ABF">
        <w:rPr>
          <w:rtl/>
          <w:lang w:eastAsia="zh-TW"/>
        </w:rPr>
        <w:t>في 29 أيلول/سبتمبر 2014، قدمت الدولة الطرف ملاحظاتها بشأن الأسس الموضوعية للبلاغ. وتكرر الدولة الطرف أن الأحكام القانونية التي أشار إليها صاحب البلاغ، مقروءة بالاقتران بالمادة 97 من الدستور، تنص على أن تكون مؤهلات المرشح النفسية والجسدية متوافقة تمام</w:t>
      </w:r>
      <w:r w:rsidR="005A085E">
        <w:rPr>
          <w:rtl/>
          <w:lang w:eastAsia="zh-TW"/>
        </w:rPr>
        <w:t xml:space="preserve">اً </w:t>
      </w:r>
      <w:r w:rsidR="003A1ABF">
        <w:rPr>
          <w:rtl/>
          <w:lang w:eastAsia="zh-TW"/>
        </w:rPr>
        <w:t>مع مهام الوظيفة التي يتقدم إليها المرشح.</w:t>
      </w:r>
    </w:p>
    <w:p w:rsidR="003A1ABF" w:rsidRPr="00935AFD" w:rsidRDefault="003A1ABF" w:rsidP="001C6736">
      <w:pPr>
        <w:pStyle w:val="SingleTxtGA"/>
        <w:rPr>
          <w:rtl/>
          <w:lang w:eastAsia="zh-TW"/>
        </w:rPr>
      </w:pPr>
      <w:r>
        <w:rPr>
          <w:rtl/>
          <w:lang w:eastAsia="zh-TW"/>
        </w:rPr>
        <w:t>6-2</w:t>
      </w:r>
      <w:r w:rsidR="001B316A">
        <w:rPr>
          <w:rFonts w:hint="cs"/>
          <w:rtl/>
          <w:lang w:eastAsia="zh-TW"/>
        </w:rPr>
        <w:tab/>
      </w:r>
      <w:r>
        <w:rPr>
          <w:rtl/>
          <w:lang w:eastAsia="zh-TW"/>
        </w:rPr>
        <w:t xml:space="preserve">وتدعي الدولة الطرف أن المحاكم الوطنية خلصت، عن صواب، إلى أن جامعة مودينا </w:t>
      </w:r>
      <w:proofErr w:type="spellStart"/>
      <w:r>
        <w:rPr>
          <w:rtl/>
          <w:lang w:eastAsia="zh-TW"/>
        </w:rPr>
        <w:t>وريجيو</w:t>
      </w:r>
      <w:proofErr w:type="spellEnd"/>
      <w:r>
        <w:rPr>
          <w:rtl/>
          <w:lang w:eastAsia="zh-TW"/>
        </w:rPr>
        <w:t xml:space="preserve"> إيميليا، لم تعتمد قراراً تمييزياً ضد صاحب البلاغ، وإلى أنها لم تنتهك أي حق من حقوقه المنصوص عليها في المادة 27 من الاتفاقية، طالما كان بإمكان صاحب البلاغ أن يشارك في الامتحان التنافسي العام على قدم المساواة مع الآخرين، وأن الاختيار لم يقع عليه لأن اثنين من المرشحين</w:t>
      </w:r>
      <w:r w:rsidR="001B316A">
        <w:rPr>
          <w:rtl/>
          <w:lang w:eastAsia="zh-TW"/>
        </w:rPr>
        <w:t xml:space="preserve"> </w:t>
      </w:r>
      <w:r>
        <w:rPr>
          <w:rtl/>
          <w:lang w:eastAsia="zh-TW"/>
        </w:rPr>
        <w:t>الآخرين حصلا على نتائج أفضل منه في الامتحان العام.</w:t>
      </w:r>
    </w:p>
    <w:p w:rsidR="003A1ABF" w:rsidRPr="00935AFD" w:rsidRDefault="003A1ABF" w:rsidP="001B316A">
      <w:pPr>
        <w:pStyle w:val="H23GA"/>
        <w:rPr>
          <w:rtl/>
        </w:rPr>
      </w:pPr>
      <w:r w:rsidRPr="00935AFD">
        <w:rPr>
          <w:rtl/>
        </w:rPr>
        <w:tab/>
      </w:r>
      <w:r w:rsidRPr="00935AFD">
        <w:rPr>
          <w:rtl/>
        </w:rPr>
        <w:tab/>
      </w:r>
      <w:r>
        <w:rPr>
          <w:rtl/>
        </w:rPr>
        <w:t>المسائل والإجراءات المعروضة على اللجنة</w:t>
      </w:r>
    </w:p>
    <w:p w:rsidR="003A1ABF" w:rsidRPr="00714EA2" w:rsidRDefault="003A1ABF" w:rsidP="001B316A">
      <w:pPr>
        <w:pStyle w:val="H4GA"/>
        <w:rPr>
          <w:b/>
          <w:bCs/>
          <w:rtl/>
          <w:lang w:eastAsia="zh-TW"/>
        </w:rPr>
      </w:pPr>
      <w:r w:rsidRPr="00935AFD">
        <w:rPr>
          <w:rtl/>
          <w:lang w:eastAsia="zh-TW"/>
        </w:rPr>
        <w:tab/>
      </w:r>
      <w:r w:rsidRPr="00935AFD">
        <w:rPr>
          <w:rtl/>
          <w:lang w:eastAsia="zh-TW"/>
        </w:rPr>
        <w:tab/>
      </w:r>
      <w:r>
        <w:rPr>
          <w:rtl/>
          <w:lang w:eastAsia="zh-TW"/>
        </w:rPr>
        <w:t>النظر في المقبولية</w:t>
      </w:r>
    </w:p>
    <w:p w:rsidR="003A1ABF" w:rsidRPr="00935AFD" w:rsidRDefault="003A1ABF" w:rsidP="001C6736">
      <w:pPr>
        <w:pStyle w:val="SingleTxtGA"/>
        <w:spacing w:line="360" w:lineRule="exact"/>
        <w:rPr>
          <w:rtl/>
          <w:lang w:eastAsia="zh-TW"/>
        </w:rPr>
      </w:pPr>
      <w:r>
        <w:rPr>
          <w:rtl/>
          <w:lang w:eastAsia="zh-TW"/>
        </w:rPr>
        <w:t>7-</w:t>
      </w:r>
      <w:r w:rsidR="001B316A">
        <w:rPr>
          <w:rtl/>
          <w:lang w:eastAsia="zh-TW"/>
        </w:rPr>
        <w:t>1</w:t>
      </w:r>
      <w:r w:rsidR="001B316A">
        <w:rPr>
          <w:rFonts w:hint="cs"/>
          <w:rtl/>
          <w:lang w:eastAsia="zh-TW"/>
        </w:rPr>
        <w:tab/>
      </w:r>
      <w:r>
        <w:rPr>
          <w:rtl/>
          <w:lang w:eastAsia="zh-TW"/>
        </w:rPr>
        <w:t>قبل أن تنظر اللجنة المعنية بحقوق الأِشخاص ذوي الإعاقة في أي ادعاء يرد في بلاغ ما، يجب عليها، وفقاً للمادة 2 من البروتوكول الاختياري، والمادة 65 من نظامها الداخلي، أن تقرر ما إذا كان البلاغ مقبولاً بموجب أحكام البروتوكول الاختياري للاتفاقية.</w:t>
      </w:r>
    </w:p>
    <w:p w:rsidR="003A1ABF" w:rsidRPr="00935AFD" w:rsidRDefault="001B316A" w:rsidP="001C6736">
      <w:pPr>
        <w:pStyle w:val="SingleTxtGA"/>
        <w:spacing w:line="360" w:lineRule="exact"/>
        <w:rPr>
          <w:rtl/>
          <w:lang w:eastAsia="zh-TW"/>
        </w:rPr>
      </w:pPr>
      <w:r>
        <w:rPr>
          <w:rtl/>
          <w:lang w:eastAsia="zh-TW"/>
        </w:rPr>
        <w:t>7</w:t>
      </w:r>
      <w:r w:rsidR="003A1ABF">
        <w:rPr>
          <w:rtl/>
          <w:lang w:eastAsia="zh-TW"/>
        </w:rPr>
        <w:t>-</w:t>
      </w:r>
      <w:r>
        <w:rPr>
          <w:rtl/>
          <w:lang w:eastAsia="zh-TW"/>
        </w:rPr>
        <w:t>2</w:t>
      </w:r>
      <w:r>
        <w:rPr>
          <w:rFonts w:hint="cs"/>
          <w:rtl/>
          <w:lang w:eastAsia="zh-TW"/>
        </w:rPr>
        <w:tab/>
      </w:r>
      <w:r w:rsidR="003A1ABF">
        <w:rPr>
          <w:rtl/>
          <w:lang w:eastAsia="zh-TW"/>
        </w:rPr>
        <w:t xml:space="preserve">وقد تحققت اللجنة، وفق ما </w:t>
      </w:r>
      <w:proofErr w:type="spellStart"/>
      <w:r w:rsidR="003A1ABF">
        <w:rPr>
          <w:rtl/>
          <w:lang w:eastAsia="zh-TW"/>
        </w:rPr>
        <w:t>تقتضيه</w:t>
      </w:r>
      <w:proofErr w:type="spellEnd"/>
      <w:r w:rsidR="003A1ABF">
        <w:rPr>
          <w:rtl/>
          <w:lang w:eastAsia="zh-TW"/>
        </w:rPr>
        <w:t xml:space="preserve"> الفقرة (ج) من المادة 2 من البروتوكول الاختياري، من أن المسألة ذاتها ليست قيد البحث بموجب أي إجراء آخر للتحقيق أو التسوية الدوليين.</w:t>
      </w:r>
    </w:p>
    <w:p w:rsidR="003A1ABF" w:rsidRPr="00935AFD" w:rsidRDefault="001B316A" w:rsidP="001C6736">
      <w:pPr>
        <w:pStyle w:val="SingleTxtGA"/>
        <w:spacing w:line="360" w:lineRule="exact"/>
        <w:rPr>
          <w:rtl/>
          <w:lang w:eastAsia="zh-TW"/>
        </w:rPr>
      </w:pPr>
      <w:r>
        <w:rPr>
          <w:rtl/>
          <w:lang w:eastAsia="zh-TW"/>
        </w:rPr>
        <w:t>7</w:t>
      </w:r>
      <w:r w:rsidR="003A1ABF">
        <w:rPr>
          <w:rtl/>
          <w:lang w:eastAsia="zh-TW"/>
        </w:rPr>
        <w:t>-3</w:t>
      </w:r>
      <w:r>
        <w:rPr>
          <w:rFonts w:hint="cs"/>
          <w:rtl/>
          <w:lang w:eastAsia="zh-TW"/>
        </w:rPr>
        <w:tab/>
      </w:r>
      <w:r w:rsidR="003A1ABF">
        <w:rPr>
          <w:rtl/>
          <w:lang w:eastAsia="zh-TW"/>
        </w:rPr>
        <w:t>وتحيط اللجنة علم</w:t>
      </w:r>
      <w:r w:rsidR="005A085E">
        <w:rPr>
          <w:rtl/>
          <w:lang w:eastAsia="zh-TW"/>
        </w:rPr>
        <w:t xml:space="preserve">اً </w:t>
      </w:r>
      <w:r w:rsidR="003A1ABF">
        <w:rPr>
          <w:rtl/>
          <w:lang w:eastAsia="zh-TW"/>
        </w:rPr>
        <w:t>بحجة الدولة الطرف بأن الوقائع ذات الصلة التي أشار إليها صاحب البلاغ وقعت في أيلول/سبتمبر 2006 وفي نيسان/أبريل وأيار/مايو 2007، قبل بدء نفاذ الاتفاقية والبروتوكول الاختياري في إيطاليا في 15 حزيران/يونيه 2009، وبالتالي، لا تملك اللجنة الاختصاص للنظر في البلاغ من حيث الزمان.</w:t>
      </w:r>
    </w:p>
    <w:p w:rsidR="003A1ABF" w:rsidRPr="001B316A" w:rsidRDefault="003A1ABF" w:rsidP="001C6736">
      <w:pPr>
        <w:pStyle w:val="SingleTxtGA"/>
        <w:spacing w:line="360" w:lineRule="exact"/>
        <w:rPr>
          <w:rtl/>
          <w:lang w:eastAsia="zh-TW"/>
        </w:rPr>
      </w:pPr>
      <w:r>
        <w:rPr>
          <w:rtl/>
          <w:lang w:eastAsia="zh-TW"/>
        </w:rPr>
        <w:t>7-4</w:t>
      </w:r>
      <w:r w:rsidR="001B316A">
        <w:rPr>
          <w:rFonts w:hint="cs"/>
          <w:rtl/>
          <w:lang w:eastAsia="zh-TW"/>
        </w:rPr>
        <w:tab/>
      </w:r>
      <w:r>
        <w:rPr>
          <w:rtl/>
          <w:lang w:eastAsia="zh-TW"/>
        </w:rPr>
        <w:t>وتّذكر اللجنة بأن القواعد العامة للقانون الدولي تنص على أنه لا يجوز تطبيق المعاهدات بأثر رجعي يُلزم طرف</w:t>
      </w:r>
      <w:r w:rsidR="005A085E">
        <w:rPr>
          <w:rtl/>
          <w:lang w:eastAsia="zh-TW"/>
        </w:rPr>
        <w:t xml:space="preserve">اً </w:t>
      </w:r>
      <w:r>
        <w:rPr>
          <w:rtl/>
          <w:lang w:eastAsia="zh-TW"/>
        </w:rPr>
        <w:t>من الأطراف فيما يتعلق بفعل أو حادث وقع - أو بحالة لم</w:t>
      </w:r>
      <w:r w:rsidR="001B316A">
        <w:rPr>
          <w:rFonts w:hint="cs"/>
          <w:rtl/>
          <w:lang w:eastAsia="zh-TW"/>
        </w:rPr>
        <w:t> </w:t>
      </w:r>
      <w:r>
        <w:rPr>
          <w:rtl/>
          <w:lang w:eastAsia="zh-TW"/>
        </w:rPr>
        <w:t>تعد قائمة</w:t>
      </w:r>
      <w:r w:rsidR="001B316A">
        <w:rPr>
          <w:rFonts w:hint="cs"/>
          <w:rtl/>
          <w:lang w:eastAsia="zh-TW"/>
        </w:rPr>
        <w:t xml:space="preserve"> </w:t>
      </w:r>
      <w:r>
        <w:rPr>
          <w:rtl/>
          <w:lang w:eastAsia="zh-TW"/>
        </w:rPr>
        <w:t>- قبل دخول المعاهدة المعنية حيز النفاذ بالنسبة للدولة الطرف</w:t>
      </w:r>
      <w:r w:rsidR="001B316A">
        <w:rPr>
          <w:rtl/>
          <w:lang w:eastAsia="zh-TW"/>
        </w:rPr>
        <w:t xml:space="preserve"> مالم تنص المعاهدة على خلاف ذلك</w:t>
      </w:r>
      <w:r w:rsidR="001B316A" w:rsidRPr="001B316A">
        <w:rPr>
          <w:rFonts w:hint="cs"/>
          <w:vertAlign w:val="superscript"/>
          <w:rtl/>
          <w:lang w:eastAsia="zh-TW"/>
        </w:rPr>
        <w:t>(</w:t>
      </w:r>
      <w:r w:rsidRPr="00935AFD">
        <w:rPr>
          <w:rStyle w:val="FootnoteReference"/>
          <w:rtl/>
          <w:lang w:eastAsia="zh-TW"/>
        </w:rPr>
        <w:footnoteReference w:id="8"/>
      </w:r>
      <w:r w:rsidR="001B316A">
        <w:rPr>
          <w:rFonts w:hint="cs"/>
          <w:vertAlign w:val="superscript"/>
          <w:rtl/>
          <w:lang w:eastAsia="zh-TW"/>
        </w:rPr>
        <w:t>)</w:t>
      </w:r>
      <w:r w:rsidR="001B316A">
        <w:rPr>
          <w:rFonts w:hint="cs"/>
          <w:rtl/>
          <w:lang w:eastAsia="zh-TW"/>
        </w:rPr>
        <w:t>.</w:t>
      </w:r>
    </w:p>
    <w:p w:rsidR="003A1ABF" w:rsidRPr="001B316A" w:rsidRDefault="001B316A" w:rsidP="001C6736">
      <w:pPr>
        <w:pStyle w:val="SingleTxtGA"/>
        <w:rPr>
          <w:rtl/>
          <w:lang w:eastAsia="zh-TW"/>
        </w:rPr>
      </w:pPr>
      <w:r>
        <w:rPr>
          <w:rtl/>
          <w:lang w:eastAsia="zh-TW"/>
        </w:rPr>
        <w:t>7-5</w:t>
      </w:r>
      <w:r>
        <w:rPr>
          <w:rFonts w:hint="cs"/>
          <w:rtl/>
          <w:lang w:eastAsia="zh-TW"/>
        </w:rPr>
        <w:tab/>
      </w:r>
      <w:r w:rsidR="003A1ABF">
        <w:rPr>
          <w:rtl/>
          <w:lang w:eastAsia="zh-TW"/>
        </w:rPr>
        <w:t>وتلاحظ اللجنة أن القرارات المعتمدة في أيلول/سبتمبر 2006 وفي نيسان/أبريل وأيار/مايو 2007 اعتمدت قبل دخول الاتفاقية والبروتوكول الاختياري حيز النفاذ بالنسبة للدولة الطرف، وبالتالي فإنها تقع خارج نطاق اختصاص ال</w:t>
      </w:r>
      <w:r w:rsidR="003A1ABF" w:rsidRPr="00B00776">
        <w:rPr>
          <w:rtl/>
          <w:lang w:eastAsia="zh-TW"/>
        </w:rPr>
        <w:t>لجنة</w:t>
      </w:r>
      <w:r w:rsidR="003A1ABF">
        <w:rPr>
          <w:rtl/>
          <w:lang w:eastAsia="zh-TW"/>
        </w:rPr>
        <w:t xml:space="preserve"> للنظر في البلاغ من حيث الزمان. ومع ذلك، فإن مجلس الدولة نظر في 4 كانون الأول/ديسمبر 2009، في طلب صاحب البلاغ بالكامل وقدم قراراً</w:t>
      </w:r>
      <w:r>
        <w:rPr>
          <w:rtl/>
          <w:lang w:eastAsia="zh-TW"/>
        </w:rPr>
        <w:t xml:space="preserve"> </w:t>
      </w:r>
      <w:r w:rsidR="003A1ABF">
        <w:rPr>
          <w:rtl/>
          <w:lang w:eastAsia="zh-TW"/>
        </w:rPr>
        <w:t xml:space="preserve">نهائياً بشأن ادعائه بالتمييز من جانب جامعة مودينا </w:t>
      </w:r>
      <w:proofErr w:type="spellStart"/>
      <w:r w:rsidR="003A1ABF">
        <w:rPr>
          <w:rtl/>
          <w:lang w:eastAsia="zh-TW"/>
        </w:rPr>
        <w:t>وريجيو</w:t>
      </w:r>
      <w:proofErr w:type="spellEnd"/>
      <w:r w:rsidR="003A1ABF">
        <w:rPr>
          <w:rtl/>
          <w:lang w:eastAsia="zh-TW"/>
        </w:rPr>
        <w:t xml:space="preserve"> </w:t>
      </w:r>
      <w:r w:rsidR="003A1ABF">
        <w:rPr>
          <w:rtl/>
          <w:lang w:eastAsia="zh-TW"/>
        </w:rPr>
        <w:lastRenderedPageBreak/>
        <w:t>إيميليا. وتلاحظ اللجنة في هذا الصدد أن مجلس الدولة لم يكتف بالنظر في الجوانب أو الأخطاء الشكلية للقانون فيما يتعلق بالقرارات السابقة التي اتخذتها الهيئات الإدارية، بل درس شكوى صاحب البلاغ المتعلقة بالتمييز من حيث أسسها الموضوعية. وبما أن مجلس الدولة هو أعلى هيئة قضائية مختصة بالنظر في دعوى التمييز المقدمة من صاحب البلاغ، فإن القرار الذي صدر عنه في هذه القضية وثيق الصلة بالغرض من</w:t>
      </w:r>
      <w:r>
        <w:rPr>
          <w:rtl/>
          <w:lang w:eastAsia="zh-TW"/>
        </w:rPr>
        <w:t xml:space="preserve"> نظر اللجنة في شكوى صاحب البلاغ</w:t>
      </w:r>
      <w:r w:rsidRPr="001B316A">
        <w:rPr>
          <w:rFonts w:hint="cs"/>
          <w:vertAlign w:val="superscript"/>
          <w:rtl/>
          <w:lang w:eastAsia="zh-TW"/>
        </w:rPr>
        <w:t>(</w:t>
      </w:r>
      <w:r w:rsidR="003A1ABF" w:rsidRPr="00935AFD">
        <w:rPr>
          <w:rStyle w:val="FootnoteReference"/>
          <w:rtl/>
          <w:lang w:eastAsia="zh-TW"/>
        </w:rPr>
        <w:footnoteReference w:id="9"/>
      </w:r>
      <w:r>
        <w:rPr>
          <w:rFonts w:hint="cs"/>
          <w:vertAlign w:val="superscript"/>
          <w:rtl/>
          <w:lang w:eastAsia="zh-TW"/>
        </w:rPr>
        <w:t>)</w:t>
      </w:r>
      <w:r>
        <w:rPr>
          <w:rFonts w:hint="cs"/>
          <w:rtl/>
          <w:lang w:eastAsia="zh-TW"/>
        </w:rPr>
        <w:t>.</w:t>
      </w:r>
      <w:r w:rsidR="003A1ABF">
        <w:rPr>
          <w:rtl/>
          <w:lang w:eastAsia="zh-TW"/>
        </w:rPr>
        <w:t xml:space="preserve"> وترى اللجنة أيضاً أنه لا يمكن فصل الحكم الصادر عن مجلس الدولة عن القرارات الصادرة عن الهيئات الإدارية بشأن رفض توظيف صاحب البلاغ، وأن هذه الاستنتاجات تشكل وقائع ينبغي للجنة النظر فيها. ومن ثم، ترى اللجنة أنه لا يوجد ما يمنعها من النظر في هذا البلاغ من حيث الاختصاص الزمني لأن بعض الوقائع المعروضة عليها قد حدثت بعد دخول الاتفاقية والبروتوكول الاختياري حيز النفاذ في الدولة الطرف</w:t>
      </w:r>
      <w:r w:rsidRPr="001B316A">
        <w:rPr>
          <w:rFonts w:hint="cs"/>
          <w:vertAlign w:val="superscript"/>
          <w:rtl/>
          <w:lang w:eastAsia="zh-TW"/>
        </w:rPr>
        <w:t>(</w:t>
      </w:r>
      <w:r w:rsidR="003A1ABF" w:rsidRPr="00935AFD">
        <w:rPr>
          <w:rStyle w:val="FootnoteReference"/>
          <w:rtl/>
          <w:lang w:eastAsia="zh-TW"/>
        </w:rPr>
        <w:footnoteReference w:id="10"/>
      </w:r>
      <w:r>
        <w:rPr>
          <w:rFonts w:hint="cs"/>
          <w:vertAlign w:val="superscript"/>
          <w:rtl/>
          <w:lang w:eastAsia="zh-TW"/>
        </w:rPr>
        <w:t>)</w:t>
      </w:r>
      <w:r>
        <w:rPr>
          <w:rFonts w:hint="cs"/>
          <w:rtl/>
          <w:lang w:eastAsia="zh-TW"/>
        </w:rPr>
        <w:t>.</w:t>
      </w:r>
    </w:p>
    <w:p w:rsidR="003A1ABF" w:rsidRPr="00935AFD" w:rsidRDefault="003A1ABF" w:rsidP="001C6736">
      <w:pPr>
        <w:pStyle w:val="SingleTxtGA"/>
        <w:rPr>
          <w:rtl/>
          <w:lang w:eastAsia="zh-TW"/>
        </w:rPr>
      </w:pPr>
      <w:r>
        <w:rPr>
          <w:rtl/>
          <w:lang w:eastAsia="zh-TW"/>
        </w:rPr>
        <w:t>7-6</w:t>
      </w:r>
      <w:r w:rsidR="001B316A">
        <w:rPr>
          <w:rFonts w:hint="cs"/>
          <w:rtl/>
          <w:lang w:eastAsia="zh-TW"/>
        </w:rPr>
        <w:tab/>
      </w:r>
      <w:r>
        <w:rPr>
          <w:rtl/>
          <w:lang w:eastAsia="zh-TW"/>
        </w:rPr>
        <w:t>وتحيط اللجنة علم</w:t>
      </w:r>
      <w:r w:rsidR="005A085E">
        <w:rPr>
          <w:rtl/>
          <w:lang w:eastAsia="zh-TW"/>
        </w:rPr>
        <w:t xml:space="preserve">اً </w:t>
      </w:r>
      <w:r>
        <w:rPr>
          <w:rtl/>
          <w:lang w:eastAsia="zh-TW"/>
        </w:rPr>
        <w:t>بحجة الدولة الطرف أن القانون رقم 67/2006 يوفر آلية للحماية القضائية من التمييز لصالح الأشخاص ذوي الإعاقة وإن صاحب البلاغ لم يلجأ إليها. ولذلك ترى الدولة الطرف أن صاحب البلاغ لم يستنفد سبل الانتصاف الداخلية المتاحة.</w:t>
      </w:r>
    </w:p>
    <w:p w:rsidR="003A1ABF" w:rsidRPr="00935AFD" w:rsidRDefault="001B316A" w:rsidP="001C6736">
      <w:pPr>
        <w:pStyle w:val="SingleTxtGA"/>
        <w:rPr>
          <w:rtl/>
          <w:lang w:eastAsia="zh-TW"/>
        </w:rPr>
      </w:pPr>
      <w:r>
        <w:rPr>
          <w:rtl/>
          <w:lang w:eastAsia="zh-TW"/>
        </w:rPr>
        <w:t>7-7</w:t>
      </w:r>
      <w:r>
        <w:rPr>
          <w:rFonts w:hint="cs"/>
          <w:rtl/>
          <w:lang w:eastAsia="zh-TW"/>
        </w:rPr>
        <w:tab/>
      </w:r>
      <w:r w:rsidR="003A1ABF">
        <w:rPr>
          <w:rtl/>
          <w:lang w:eastAsia="zh-TW"/>
        </w:rPr>
        <w:t>وتلاحظ اللجنة أن صاحب البلاغ قدم طلباً إلى محكمة مقاطعة مودينا في 23 حزيران/يونيه 2009 للحصول على تعويض على أساس التمييز، وأن طلبه رفض في 9 تموز/يوليه 2013 بالاستناد إلى أن المحاكم الإدارية هي الهيئات الوحيدة التي تتمتع بالولاية القضائية فيما يتعلق بشكواه. وتلاحظ اللجنة أن المحاكم الإدارية، بما في ذلك مجلس الدولة، خلصت إلى أن صاحب البلاغ لم يتعرض لأي شكل من أشكال التمييز. وتلاحظ اللجنة أيض</w:t>
      </w:r>
      <w:r w:rsidR="005A085E">
        <w:rPr>
          <w:rtl/>
          <w:lang w:eastAsia="zh-TW"/>
        </w:rPr>
        <w:t xml:space="preserve">اً </w:t>
      </w:r>
      <w:r w:rsidR="003A1ABF">
        <w:rPr>
          <w:rtl/>
          <w:lang w:eastAsia="zh-TW"/>
        </w:rPr>
        <w:t>أنه لا يمكن الطعن في قرارات مجلس الدولة إلا أمام محكمة النقض في الحالات التالية:(أ)</w:t>
      </w:r>
      <w:r>
        <w:rPr>
          <w:rFonts w:hint="cs"/>
          <w:rtl/>
          <w:lang w:eastAsia="zh-TW"/>
        </w:rPr>
        <w:t> </w:t>
      </w:r>
      <w:r w:rsidR="003A1ABF">
        <w:rPr>
          <w:rtl/>
          <w:lang w:eastAsia="zh-TW"/>
        </w:rPr>
        <w:t>استخدام القوة المفرطة؛ و(ب) تجاوز الاختصاص؛ و(ج) الافتقار إلى الولاية القضائية؛ و(د)</w:t>
      </w:r>
      <w:r>
        <w:rPr>
          <w:rFonts w:hint="cs"/>
          <w:rtl/>
          <w:lang w:eastAsia="zh-TW"/>
        </w:rPr>
        <w:t> </w:t>
      </w:r>
      <w:r w:rsidR="003A1ABF">
        <w:rPr>
          <w:rtl/>
          <w:lang w:eastAsia="zh-TW"/>
        </w:rPr>
        <w:t>رفض الولاية القضائية. ووفق</w:t>
      </w:r>
      <w:r w:rsidR="005A085E">
        <w:rPr>
          <w:rtl/>
          <w:lang w:eastAsia="zh-TW"/>
        </w:rPr>
        <w:t xml:space="preserve">اً </w:t>
      </w:r>
      <w:r w:rsidR="003A1ABF">
        <w:rPr>
          <w:rtl/>
          <w:lang w:eastAsia="zh-TW"/>
        </w:rPr>
        <w:t>للمعلومات المعروضة على اللجنة، فان قضية صاحب البلاغ لا تندرج ضمن أي فئة من هذه الفئات. وتلاحظ اللجنة أيض</w:t>
      </w:r>
      <w:r w:rsidR="005A085E">
        <w:rPr>
          <w:rtl/>
          <w:lang w:eastAsia="zh-TW"/>
        </w:rPr>
        <w:t xml:space="preserve">اً </w:t>
      </w:r>
      <w:r w:rsidR="003A1ABF">
        <w:rPr>
          <w:rtl/>
          <w:lang w:eastAsia="zh-TW"/>
        </w:rPr>
        <w:t>أنه لكي تكون الشكوى مقبولة بموجب القانون رقم 67/2006، يتعين على صاحب الشكوى أن يثبت أنه وقع ضحية تمييز مباشر أو غير مباشر. وبالنظر إلى قرارات المحاكم الإدارية التي تدخلت في قضية صاحب البلاغ، تلاحظ اللجنة أن الدولة الطرف لم تقدم أية حجة تمكّن اللجنة من أن تخلص بشكل معقول إلى أن سبيل الانتصاف المنصوص عليه في القانون رقم 67/2006 يمكن أن يكون متاح</w:t>
      </w:r>
      <w:r w:rsidR="005A085E">
        <w:rPr>
          <w:rtl/>
          <w:lang w:eastAsia="zh-TW"/>
        </w:rPr>
        <w:t xml:space="preserve">اً </w:t>
      </w:r>
      <w:r w:rsidR="003A1ABF">
        <w:rPr>
          <w:rtl/>
          <w:lang w:eastAsia="zh-TW"/>
        </w:rPr>
        <w:t>بصورة فعالة لصاحب البلاغ. وعليه، فإنها ترى أن سبل الانتصاف المحلية قد استُنفدت.</w:t>
      </w:r>
    </w:p>
    <w:p w:rsidR="003A1ABF" w:rsidRPr="00935AFD" w:rsidRDefault="003A1ABF" w:rsidP="003A1ABF">
      <w:pPr>
        <w:pStyle w:val="SingleTxtGA"/>
        <w:rPr>
          <w:rtl/>
          <w:lang w:eastAsia="zh-TW"/>
        </w:rPr>
      </w:pPr>
      <w:r>
        <w:rPr>
          <w:rtl/>
          <w:lang w:eastAsia="zh-TW"/>
        </w:rPr>
        <w:t>٧</w:t>
      </w:r>
      <w:r>
        <w:rPr>
          <w:rtl/>
        </w:rPr>
        <w:t>-</w:t>
      </w:r>
      <w:r w:rsidR="001B316A">
        <w:rPr>
          <w:rFonts w:hint="cs"/>
          <w:rtl/>
          <w:lang w:eastAsia="zh-TW"/>
        </w:rPr>
        <w:tab/>
      </w:r>
      <w:r>
        <w:rPr>
          <w:rtl/>
          <w:lang w:eastAsia="zh-TW"/>
        </w:rPr>
        <w:t>ونظراً لعدم وجود أي عائق آخر أمام مقبولية البلاغ، فإن اللجنة تعتبره مقبولاً.</w:t>
      </w:r>
    </w:p>
    <w:p w:rsidR="003A1ABF" w:rsidRPr="00714EA2" w:rsidRDefault="003A1ABF" w:rsidP="001C6736">
      <w:pPr>
        <w:pStyle w:val="H4GA"/>
        <w:spacing w:before="0"/>
        <w:rPr>
          <w:b/>
          <w:bCs/>
          <w:rtl/>
        </w:rPr>
      </w:pPr>
      <w:r w:rsidRPr="00935AFD">
        <w:rPr>
          <w:rtl/>
        </w:rPr>
        <w:lastRenderedPageBreak/>
        <w:tab/>
      </w:r>
      <w:r w:rsidRPr="00935AFD">
        <w:rPr>
          <w:rtl/>
        </w:rPr>
        <w:tab/>
      </w:r>
      <w:dir w:val="rtl">
        <w:r>
          <w:rPr>
            <w:rtl/>
          </w:rPr>
          <w:t>النظر في الأُسس الموضوعية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rsidR="008C247F">
          <w:t>‬</w:t>
        </w:r>
        <w:r w:rsidR="00477904">
          <w:t>‬</w:t>
        </w:r>
      </w:dir>
    </w:p>
    <w:p w:rsidR="003A1ABF" w:rsidRPr="001C6736" w:rsidRDefault="001B316A" w:rsidP="008C247F">
      <w:pPr>
        <w:pStyle w:val="SingleTxtGA"/>
        <w:spacing w:line="360" w:lineRule="exact"/>
        <w:rPr>
          <w:spacing w:val="-6"/>
          <w:rtl/>
          <w:lang w:eastAsia="zh-TW"/>
        </w:rPr>
      </w:pPr>
      <w:r w:rsidRPr="001C6736">
        <w:rPr>
          <w:spacing w:val="-6"/>
          <w:rtl/>
          <w:lang w:eastAsia="zh-TW"/>
        </w:rPr>
        <w:t>8-1</w:t>
      </w:r>
      <w:r w:rsidRPr="001C6736">
        <w:rPr>
          <w:rFonts w:hint="cs"/>
          <w:spacing w:val="-6"/>
          <w:rtl/>
          <w:lang w:eastAsia="zh-TW"/>
        </w:rPr>
        <w:tab/>
      </w:r>
      <w:r w:rsidR="003A1ABF" w:rsidRPr="001C6736">
        <w:rPr>
          <w:spacing w:val="-6"/>
          <w:rtl/>
          <w:lang w:eastAsia="zh-TW"/>
        </w:rPr>
        <w:t>نظرت اللجنة المعنية بحقوق الأشخاص ذوي الإعاقة في هذا البلاغ في ضوء جميع المعلومات التي تلقتها وفقاً للمادة 5 من البروتوكول الاختياري والفقرة 1 من المادة 73 من النظام الداخلي.</w:t>
      </w:r>
    </w:p>
    <w:p w:rsidR="003A1ABF" w:rsidRPr="001C6736" w:rsidRDefault="003A1ABF" w:rsidP="008C247F">
      <w:pPr>
        <w:pStyle w:val="SingleTxtGA"/>
        <w:spacing w:line="360" w:lineRule="exact"/>
        <w:rPr>
          <w:spacing w:val="-4"/>
          <w:rtl/>
          <w:lang w:eastAsia="zh-TW"/>
        </w:rPr>
      </w:pPr>
      <w:r>
        <w:rPr>
          <w:rtl/>
          <w:lang w:eastAsia="zh-TW"/>
        </w:rPr>
        <w:t>8-2</w:t>
      </w:r>
      <w:r w:rsidR="001B316A">
        <w:rPr>
          <w:rFonts w:hint="cs"/>
          <w:rtl/>
          <w:lang w:eastAsia="zh-TW"/>
        </w:rPr>
        <w:tab/>
      </w:r>
      <w:r>
        <w:rPr>
          <w:rtl/>
          <w:lang w:eastAsia="zh-TW"/>
        </w:rPr>
        <w:t>والسؤال المطروح في هذا البلاغ هو ما إذا كان الحكم الصادر عن مجلس الدولة في عام</w:t>
      </w:r>
      <w:r w:rsidR="001C6736">
        <w:rPr>
          <w:rFonts w:hint="eastAsia"/>
          <w:rtl/>
          <w:lang w:eastAsia="zh-TW"/>
        </w:rPr>
        <w:t> </w:t>
      </w:r>
      <w:r>
        <w:rPr>
          <w:rtl/>
          <w:lang w:eastAsia="zh-TW"/>
        </w:rPr>
        <w:t>2009 يشكل انتهاك</w:t>
      </w:r>
      <w:r w:rsidR="005A085E">
        <w:rPr>
          <w:rtl/>
          <w:lang w:eastAsia="zh-TW"/>
        </w:rPr>
        <w:t xml:space="preserve">اً </w:t>
      </w:r>
      <w:r>
        <w:rPr>
          <w:rtl/>
          <w:lang w:eastAsia="zh-TW"/>
        </w:rPr>
        <w:t xml:space="preserve">لحقوق صاحب البلاغ بموجب المادة27 من الاتفاقية. وتحيط اللجنة علماً بادعاءات صاحب البلاغ بأن الحكم الصادر عن مجلس الدولة هو حكم تمييزي </w:t>
      </w:r>
      <w:r w:rsidRPr="001C6736">
        <w:rPr>
          <w:spacing w:val="-4"/>
          <w:rtl/>
          <w:lang w:eastAsia="zh-TW"/>
        </w:rPr>
        <w:t>لأنه رفض طلبه بوقف وإلغاء الامتحان التنافسي الذي كان قد شارك فيه في عام 2006، مما</w:t>
      </w:r>
      <w:r w:rsidR="001B316A" w:rsidRPr="001C6736">
        <w:rPr>
          <w:rFonts w:hint="cs"/>
          <w:spacing w:val="-4"/>
          <w:rtl/>
          <w:lang w:eastAsia="zh-TW"/>
        </w:rPr>
        <w:t> </w:t>
      </w:r>
      <w:r w:rsidRPr="001C6736">
        <w:rPr>
          <w:spacing w:val="-4"/>
          <w:rtl/>
          <w:lang w:eastAsia="zh-TW"/>
        </w:rPr>
        <w:t>يشكل انتهاكاً لحقوقه كشخص ذي إعاقة، بموجب الفقرة 2 من المادة 7 من القانون رقم</w:t>
      </w:r>
      <w:r w:rsidR="001C6736">
        <w:rPr>
          <w:rFonts w:hint="eastAsia"/>
          <w:spacing w:val="-4"/>
          <w:rtl/>
          <w:lang w:eastAsia="zh-TW"/>
        </w:rPr>
        <w:t> </w:t>
      </w:r>
      <w:r w:rsidRPr="001C6736">
        <w:rPr>
          <w:spacing w:val="-4"/>
          <w:rtl/>
          <w:lang w:eastAsia="zh-TW"/>
        </w:rPr>
        <w:t>68/1999.</w:t>
      </w:r>
    </w:p>
    <w:p w:rsidR="003A1ABF" w:rsidRPr="00935AFD" w:rsidRDefault="003A1ABF" w:rsidP="008C247F">
      <w:pPr>
        <w:pStyle w:val="SingleTxtGA"/>
        <w:spacing w:line="360" w:lineRule="exact"/>
        <w:rPr>
          <w:rFonts w:ascii="Verdana" w:hAnsi="Verdana"/>
          <w:rtl/>
          <w:lang w:eastAsia="zh-TW"/>
        </w:rPr>
      </w:pPr>
      <w:r>
        <w:rPr>
          <w:rtl/>
          <w:lang w:eastAsia="zh-TW"/>
        </w:rPr>
        <w:t>8-3</w:t>
      </w:r>
      <w:r w:rsidR="001B316A">
        <w:rPr>
          <w:rFonts w:hint="cs"/>
          <w:rtl/>
          <w:lang w:eastAsia="zh-TW"/>
        </w:rPr>
        <w:tab/>
      </w:r>
      <w:r>
        <w:rPr>
          <w:rtl/>
          <w:lang w:eastAsia="zh-TW"/>
        </w:rPr>
        <w:t>وتذّكر اللجنة ب</w:t>
      </w:r>
      <w:r w:rsidR="005A085E">
        <w:rPr>
          <w:rtl/>
          <w:lang w:eastAsia="zh-TW"/>
        </w:rPr>
        <w:t>أنه وفقاً للفقرات (أ) و(</w:t>
      </w:r>
      <w:r>
        <w:rPr>
          <w:rtl/>
          <w:lang w:eastAsia="zh-TW"/>
        </w:rPr>
        <w:t>ه) و(ز</w:t>
      </w:r>
      <w:r w:rsidR="005A085E">
        <w:rPr>
          <w:rtl/>
          <w:lang w:eastAsia="zh-TW"/>
        </w:rPr>
        <w:t>) و(</w:t>
      </w:r>
      <w:r>
        <w:rPr>
          <w:rtl/>
          <w:lang w:eastAsia="zh-TW"/>
        </w:rPr>
        <w:t xml:space="preserve">ط) من المادة 27 من الاتفاقية، تقع على الدول الأطراف مسؤولية حظر التمييز على أساس الإعاقة فيما يختص بجميع المسائل المتعلقة بأشكال الاستخدام كافة، ومنها شروط التوظيف والتعيين والعمل، واستمرار العمل، والتقدم الوظيفي، وظروف العمل الآمنة والصحية؛ وتعزيز فرص العمل والتقدم الوظيفي للأشخاص ذوي الإعاقة في سوق العمل، فضلاً عن تقديم المساعدة على إيجاد العمل والحصول عليه والمداومة عليه والعودة إليه؛ وتشغيل الأشخاص ذوي الإعاقة في القطاع العام؛ وكفالة توفير ترتيبات </w:t>
      </w:r>
      <w:proofErr w:type="spellStart"/>
      <w:r>
        <w:rPr>
          <w:rtl/>
          <w:lang w:eastAsia="zh-TW"/>
        </w:rPr>
        <w:t>تيسيرية</w:t>
      </w:r>
      <w:proofErr w:type="spellEnd"/>
      <w:r>
        <w:rPr>
          <w:rtl/>
          <w:lang w:eastAsia="zh-TW"/>
        </w:rPr>
        <w:t xml:space="preserve"> معقولة للأ</w:t>
      </w:r>
      <w:r w:rsidR="0007103F">
        <w:rPr>
          <w:rtl/>
          <w:lang w:eastAsia="zh-TW"/>
        </w:rPr>
        <w:t>شخاص ذوي الإعاقة في أماكن العمل</w:t>
      </w:r>
      <w:r w:rsidR="0007103F">
        <w:rPr>
          <w:rFonts w:hint="cs"/>
          <w:rtl/>
          <w:lang w:eastAsia="zh-TW"/>
        </w:rPr>
        <w:t>.</w:t>
      </w:r>
    </w:p>
    <w:p w:rsidR="003A1ABF" w:rsidRPr="001B316A" w:rsidRDefault="003A1ABF" w:rsidP="008C247F">
      <w:pPr>
        <w:pStyle w:val="SingleTxtGA"/>
        <w:spacing w:line="360" w:lineRule="exact"/>
        <w:rPr>
          <w:rtl/>
          <w:lang w:eastAsia="zh-TW"/>
        </w:rPr>
      </w:pPr>
      <w:r>
        <w:rPr>
          <w:rtl/>
          <w:lang w:eastAsia="zh-TW"/>
        </w:rPr>
        <w:t>8</w:t>
      </w:r>
      <w:r w:rsidR="005A085E">
        <w:rPr>
          <w:rFonts w:hint="cs"/>
          <w:rtl/>
          <w:lang w:eastAsia="zh-TW"/>
        </w:rPr>
        <w:t>-</w:t>
      </w:r>
      <w:r>
        <w:rPr>
          <w:rtl/>
          <w:lang w:eastAsia="zh-TW"/>
        </w:rPr>
        <w:t>4</w:t>
      </w:r>
      <w:r w:rsidR="005A085E">
        <w:rPr>
          <w:rFonts w:hint="cs"/>
          <w:rtl/>
          <w:lang w:eastAsia="zh-TW"/>
        </w:rPr>
        <w:tab/>
      </w:r>
      <w:r>
        <w:rPr>
          <w:rtl/>
          <w:lang w:eastAsia="zh-TW"/>
        </w:rPr>
        <w:t>وتذّكر اللجنة أيضاً بأنه يعود بوجه عام إلى محاكم الدول الأطراف في الاتفاقية تقييم الوقائع والأدلة في قضية معينة، ما لم يتبين أن التقييم كان تعسفياً بشكل واضح أو يرقى إلى مستوى إنكار العدالة</w:t>
      </w:r>
      <w:r w:rsidR="001B316A" w:rsidRPr="001B316A">
        <w:rPr>
          <w:rFonts w:hint="cs"/>
          <w:vertAlign w:val="superscript"/>
          <w:rtl/>
          <w:lang w:eastAsia="zh-TW"/>
        </w:rPr>
        <w:t>(</w:t>
      </w:r>
      <w:r w:rsidRPr="00935AFD">
        <w:rPr>
          <w:rStyle w:val="FootnoteReference"/>
          <w:rtl/>
          <w:lang w:eastAsia="zh-TW"/>
        </w:rPr>
        <w:footnoteReference w:id="11"/>
      </w:r>
      <w:r w:rsidR="001B316A">
        <w:rPr>
          <w:rFonts w:hint="cs"/>
          <w:vertAlign w:val="superscript"/>
          <w:rtl/>
          <w:lang w:eastAsia="zh-TW"/>
        </w:rPr>
        <w:t>)</w:t>
      </w:r>
      <w:r w:rsidR="001B316A">
        <w:rPr>
          <w:rFonts w:hint="cs"/>
          <w:rtl/>
          <w:lang w:eastAsia="zh-TW"/>
        </w:rPr>
        <w:t>.</w:t>
      </w:r>
    </w:p>
    <w:p w:rsidR="003A1ABF" w:rsidRPr="00935AFD" w:rsidRDefault="003A1ABF" w:rsidP="008C247F">
      <w:pPr>
        <w:pStyle w:val="SingleTxtGA"/>
        <w:spacing w:line="360" w:lineRule="exact"/>
        <w:rPr>
          <w:rtl/>
          <w:lang w:eastAsia="zh-TW"/>
        </w:rPr>
      </w:pPr>
      <w:r>
        <w:rPr>
          <w:rtl/>
          <w:lang w:eastAsia="zh-TW"/>
        </w:rPr>
        <w:t>8-</w:t>
      </w:r>
      <w:r w:rsidR="001B316A">
        <w:rPr>
          <w:rFonts w:hint="cs"/>
          <w:rtl/>
          <w:lang w:eastAsia="zh-TW"/>
        </w:rPr>
        <w:t>5</w:t>
      </w:r>
      <w:r w:rsidR="001B316A">
        <w:rPr>
          <w:rFonts w:hint="cs"/>
          <w:rtl/>
          <w:lang w:eastAsia="zh-TW"/>
        </w:rPr>
        <w:tab/>
      </w:r>
      <w:r>
        <w:rPr>
          <w:rtl/>
          <w:lang w:eastAsia="zh-TW"/>
        </w:rPr>
        <w:t>وفي هذه القضية، ترى اللجنة أن صاحب البلاغ لم يقدم أي عنصر يمّكن اللجنة من الاستنتاج بأن أحكام التشريع الوطني وتطبيقه، ترقى إلى حدوث انتهاك لحقوقه الفردية بموجب الاتفاقية. وترى اللجنة أيض</w:t>
      </w:r>
      <w:r w:rsidR="005A085E">
        <w:rPr>
          <w:rtl/>
          <w:lang w:eastAsia="zh-TW"/>
        </w:rPr>
        <w:t xml:space="preserve">اً </w:t>
      </w:r>
      <w:r>
        <w:rPr>
          <w:rtl/>
          <w:lang w:eastAsia="zh-TW"/>
        </w:rPr>
        <w:t xml:space="preserve">أن مجلس الدولة أجرى تقييماً شاملاً وموضوعياً لجميع العناصر التي قدمها صاحب البلاغ وجامعة مودينا </w:t>
      </w:r>
      <w:proofErr w:type="spellStart"/>
      <w:r>
        <w:rPr>
          <w:rtl/>
          <w:lang w:eastAsia="zh-TW"/>
        </w:rPr>
        <w:t>وريجيو</w:t>
      </w:r>
      <w:proofErr w:type="spellEnd"/>
      <w:r>
        <w:rPr>
          <w:rtl/>
          <w:lang w:eastAsia="zh-TW"/>
        </w:rPr>
        <w:t xml:space="preserve"> إيميليا قبل التوصل إلى استنتاج مفاده أن عدم اختيار صاحب البلاغ لشغل الوظيفة التي تقدم إليها ليس إجراءً تمييزياً. وترى اللجنة كذلك أن صاحب البلاغ لم يقدم أية أدلة يمكن أن تمكنها من الاستنتاج بأن القرار الذي أصدره مجلس الدولة كان تعسفياً بشكل واضح أو أنه يرقى إلى درجة إنكار العدالة. وفي ظل هذه الظروف، تخلص اللجنة إلى أن قرار مجلس الدولة استند إلى اعتبارات موضوعية ومعقولة. وبناءً عليه، ترى اللجنة أنها لا تستطيع أن تخلص إلى حدوث انتهاك للماد</w:t>
      </w:r>
      <w:r w:rsidR="006001EF">
        <w:rPr>
          <w:rFonts w:hint="cs"/>
          <w:rtl/>
          <w:lang w:eastAsia="zh-TW"/>
        </w:rPr>
        <w:t xml:space="preserve">ة </w:t>
      </w:r>
      <w:r>
        <w:rPr>
          <w:rtl/>
          <w:lang w:eastAsia="zh-TW"/>
        </w:rPr>
        <w:t>27 من الاتفاقية.</w:t>
      </w:r>
    </w:p>
    <w:p w:rsidR="003A1ABF" w:rsidRDefault="003A1ABF" w:rsidP="008C247F">
      <w:pPr>
        <w:pStyle w:val="SingleTxtGA"/>
        <w:spacing w:line="360" w:lineRule="exact"/>
        <w:rPr>
          <w:rtl/>
          <w:lang w:eastAsia="zh-TW"/>
        </w:rPr>
      </w:pPr>
      <w:r>
        <w:rPr>
          <w:rtl/>
          <w:lang w:eastAsia="zh-TW"/>
        </w:rPr>
        <w:t>9-</w:t>
      </w:r>
      <w:r w:rsidR="001B316A">
        <w:rPr>
          <w:rFonts w:hint="cs"/>
          <w:rtl/>
          <w:lang w:eastAsia="zh-TW"/>
        </w:rPr>
        <w:tab/>
      </w:r>
      <w:r>
        <w:rPr>
          <w:rtl/>
          <w:lang w:eastAsia="zh-TW"/>
        </w:rPr>
        <w:t>إن اللجنة المعنية بحقوق الأشخاص ذوي الإعاقة، إذ تتصرف بموجب المادة 5 من البروتوكول الاختياري الملحق باتفاقية حقوق الأشخاص ذوي الإعاقة، ترى أن الوقائع المعروضة عليها لا تشكل انتهاكاً للمادة 27 من الاتفاقية.</w:t>
      </w:r>
    </w:p>
    <w:p w:rsidR="006231FC" w:rsidRPr="001C6736" w:rsidRDefault="001B316A" w:rsidP="001C6736">
      <w:pPr>
        <w:spacing w:line="200" w:lineRule="exact"/>
        <w:jc w:val="center"/>
        <w:rPr>
          <w:u w:val="single"/>
          <w:rtl/>
          <w:lang w:eastAsia="zh-TW"/>
        </w:rPr>
      </w:pPr>
      <w:r>
        <w:rPr>
          <w:u w:val="single"/>
          <w:rtl/>
          <w:lang w:eastAsia="zh-TW"/>
        </w:rPr>
        <w:tab/>
      </w:r>
      <w:r>
        <w:rPr>
          <w:u w:val="single"/>
          <w:rtl/>
          <w:lang w:eastAsia="zh-TW"/>
        </w:rPr>
        <w:tab/>
      </w:r>
      <w:r>
        <w:rPr>
          <w:u w:val="single"/>
          <w:rtl/>
          <w:lang w:eastAsia="zh-TW"/>
        </w:rPr>
        <w:tab/>
      </w:r>
    </w:p>
    <w:sectPr w:rsidR="006231FC" w:rsidRPr="001C6736"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53" w:rsidRPr="002901D9" w:rsidRDefault="00DF0053" w:rsidP="002901D9">
      <w:pPr>
        <w:spacing w:after="60" w:line="240" w:lineRule="auto"/>
        <w:rPr>
          <w:i/>
          <w:iCs/>
        </w:rPr>
      </w:pPr>
      <w:r>
        <w:rPr>
          <w:rFonts w:hint="cs"/>
          <w:i/>
          <w:iCs/>
          <w:rtl/>
        </w:rPr>
        <w:t>الحواشي</w:t>
      </w:r>
    </w:p>
  </w:endnote>
  <w:endnote w:type="continuationSeparator" w:id="0">
    <w:p w:rsidR="00DF0053" w:rsidRDefault="00DF00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BF" w:rsidRPr="003A1ABF" w:rsidRDefault="003A1ABF" w:rsidP="006001EF">
    <w:pPr>
      <w:pStyle w:val="Footer"/>
      <w:tabs>
        <w:tab w:val="right" w:pos="9598"/>
      </w:tabs>
    </w:pPr>
    <w:r>
      <w:t>GE.15-07812</w:t>
    </w:r>
    <w:r>
      <w:tab/>
    </w:r>
    <w:r w:rsidRPr="003A1ABF">
      <w:rPr>
        <w:b/>
        <w:sz w:val="18"/>
      </w:rPr>
      <w:fldChar w:fldCharType="begin"/>
    </w:r>
    <w:r w:rsidRPr="003A1ABF">
      <w:rPr>
        <w:b/>
        <w:sz w:val="18"/>
      </w:rPr>
      <w:instrText xml:space="preserve"> PAGE  \* MERGEFORMAT </w:instrText>
    </w:r>
    <w:r w:rsidRPr="003A1ABF">
      <w:rPr>
        <w:b/>
        <w:sz w:val="18"/>
      </w:rPr>
      <w:fldChar w:fldCharType="separate"/>
    </w:r>
    <w:r w:rsidR="00FD225C">
      <w:rPr>
        <w:b/>
        <w:noProof/>
        <w:sz w:val="18"/>
      </w:rPr>
      <w:t>4</w:t>
    </w:r>
    <w:r w:rsidRPr="003A1AB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A1ABF" w:rsidRDefault="003A1ABF" w:rsidP="006959B0">
    <w:pPr>
      <w:pStyle w:val="Footer"/>
      <w:tabs>
        <w:tab w:val="right" w:pos="9599"/>
      </w:tabs>
      <w:jc w:val="left"/>
      <w:rPr>
        <w:b/>
        <w:sz w:val="18"/>
        <w:lang w:val="en-US"/>
      </w:rPr>
    </w:pPr>
    <w:r w:rsidRPr="003A1ABF">
      <w:rPr>
        <w:b/>
        <w:sz w:val="18"/>
        <w:lang w:val="en-US"/>
      </w:rPr>
      <w:fldChar w:fldCharType="begin"/>
    </w:r>
    <w:r w:rsidRPr="003A1ABF">
      <w:rPr>
        <w:b/>
        <w:sz w:val="18"/>
        <w:lang w:val="en-US"/>
      </w:rPr>
      <w:instrText xml:space="preserve"> PAGE  \* MERGEFORMAT </w:instrText>
    </w:r>
    <w:r w:rsidRPr="003A1ABF">
      <w:rPr>
        <w:b/>
        <w:sz w:val="18"/>
        <w:lang w:val="en-US"/>
      </w:rPr>
      <w:fldChar w:fldCharType="separate"/>
    </w:r>
    <w:r w:rsidR="00FD225C">
      <w:rPr>
        <w:b/>
        <w:noProof/>
        <w:sz w:val="18"/>
        <w:lang w:val="en-US"/>
      </w:rPr>
      <w:t>3</w:t>
    </w:r>
    <w:r w:rsidRPr="003A1ABF">
      <w:rPr>
        <w:b/>
        <w:sz w:val="18"/>
        <w:lang w:val="en-US"/>
      </w:rPr>
      <w:fldChar w:fldCharType="end"/>
    </w:r>
    <w:r>
      <w:rPr>
        <w:b/>
        <w:sz w:val="18"/>
        <w:lang w:val="en-US"/>
      </w:rPr>
      <w:tab/>
    </w:r>
    <w:r>
      <w:rPr>
        <w:lang w:val="en-US"/>
      </w:rPr>
      <w:t>GE.15-07812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3A1ABF" w:rsidP="003A1ABF">
    <w:pPr>
      <w:pStyle w:val="Footer"/>
      <w:jc w:val="right"/>
    </w:pPr>
    <w:r>
      <w:rPr>
        <w:sz w:val="20"/>
      </w:rPr>
      <w:t>250615</w:t>
    </w:r>
    <w:r w:rsidR="001B316A">
      <w:rPr>
        <w:sz w:val="20"/>
      </w:rPr>
      <w:t xml:space="preserve">   </w:t>
    </w:r>
    <w:r>
      <w:rPr>
        <w:sz w:val="20"/>
      </w:rPr>
      <w:t xml:space="preserve"> 250615</w:t>
    </w:r>
    <w:r w:rsidR="001B316A">
      <w:rPr>
        <w:sz w:val="20"/>
      </w:rPr>
      <w:t xml:space="preserve">   </w:t>
    </w:r>
    <w:r>
      <w:rPr>
        <w:sz w:val="20"/>
      </w:rPr>
      <w:t xml:space="preserve"> GE.15-07812 (A</w:t>
    </w:r>
    <w:r w:rsidR="00D914A7">
      <w:rPr>
        <w:noProof/>
        <w:lang w:val="en-US"/>
      </w:rPr>
      <w:drawing>
        <wp:anchor distT="0" distB="0" distL="114300" distR="114300" simplePos="0" relativeHeight="251658240" behindDoc="1" locked="1" layoutInCell="0" allowOverlap="1" wp14:anchorId="6D112604" wp14:editId="45EC4D0E">
          <wp:simplePos x="0" y="0"/>
          <wp:positionH relativeFrom="margin">
            <wp:posOffset>714375</wp:posOffset>
          </wp:positionH>
          <wp:positionV relativeFrom="margin">
            <wp:posOffset>8205470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FD225C">
      <w:br/>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sidRPr="00FD225C">
      <w:rPr>
        <w:rFonts w:ascii="C39T30Lfz" w:hAnsi="C39T30Lfz"/>
        <w:sz w:val="56"/>
      </w:rPr>
      <w:t></w:t>
    </w:r>
    <w:r w:rsidR="00FD225C">
      <w:rPr>
        <w:rFonts w:ascii="C39T30Lfz" w:hAnsi="C39T30Lfz"/>
        <w:sz w:val="56"/>
      </w:rPr>
      <w:tab/>
    </w:r>
    <w:r w:rsidR="00FD225C">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13/D/9/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3/D/9/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53" w:rsidRPr="003A1ABF" w:rsidRDefault="00DF0053" w:rsidP="003A1ABF">
      <w:pPr>
        <w:pStyle w:val="Footer"/>
        <w:bidi/>
        <w:spacing w:after="80" w:line="200" w:lineRule="exact"/>
        <w:ind w:left="680"/>
      </w:pPr>
      <w:r>
        <w:rPr>
          <w:rtl/>
        </w:rPr>
        <w:t>__________</w:t>
      </w:r>
    </w:p>
  </w:footnote>
  <w:footnote w:type="continuationSeparator" w:id="0">
    <w:p w:rsidR="00DF0053" w:rsidRDefault="00DF0053" w:rsidP="00656392">
      <w:pPr>
        <w:spacing w:line="240" w:lineRule="auto"/>
      </w:pPr>
      <w:r>
        <w:continuationSeparator/>
      </w:r>
    </w:p>
  </w:footnote>
  <w:footnote w:id="1">
    <w:p w:rsidR="003A1ABF" w:rsidRPr="001B316A" w:rsidRDefault="003A1ABF" w:rsidP="006001EF">
      <w:pPr>
        <w:pStyle w:val="FootnoteText1"/>
        <w:rPr>
          <w:rtl/>
        </w:rPr>
      </w:pPr>
      <w:r w:rsidRPr="001B316A">
        <w:rPr>
          <w:rtl/>
        </w:rPr>
        <w:t>*</w:t>
      </w:r>
      <w:r w:rsidRPr="001B316A">
        <w:rPr>
          <w:rtl/>
        </w:rPr>
        <w:tab/>
      </w:r>
      <w:r w:rsidRPr="001B316A">
        <w:rPr>
          <w:rtl/>
          <w:lang w:val="en-GB" w:eastAsia="zh-TW"/>
        </w:rPr>
        <w:t>شارك في دراسة هذا البلاغ أعضاء اللجنة التالية أسماؤهم</w:t>
      </w:r>
      <w:r w:rsidR="006001EF">
        <w:rPr>
          <w:rFonts w:hint="cs"/>
          <w:rtl/>
          <w:lang w:val="en-GB" w:eastAsia="zh-TW"/>
        </w:rPr>
        <w:t xml:space="preserve">: </w:t>
      </w:r>
      <w:r w:rsidRPr="001B316A">
        <w:rPr>
          <w:rtl/>
          <w:lang w:val="en-GB" w:eastAsia="zh-TW"/>
        </w:rPr>
        <w:t xml:space="preserve">محمد </w:t>
      </w:r>
      <w:proofErr w:type="spellStart"/>
      <w:r w:rsidRPr="001B316A">
        <w:rPr>
          <w:rtl/>
          <w:lang w:val="en-GB" w:eastAsia="zh-TW"/>
        </w:rPr>
        <w:t>الطراونه</w:t>
      </w:r>
      <w:proofErr w:type="spellEnd"/>
      <w:r w:rsidRPr="001B316A">
        <w:rPr>
          <w:rtl/>
          <w:lang w:val="en-GB" w:eastAsia="zh-TW"/>
        </w:rPr>
        <w:t xml:space="preserve">، ومارتين </w:t>
      </w:r>
      <w:proofErr w:type="spellStart"/>
      <w:r w:rsidRPr="001B316A">
        <w:rPr>
          <w:rtl/>
          <w:lang w:val="en-GB" w:eastAsia="zh-TW"/>
        </w:rPr>
        <w:t>مويسيغوا</w:t>
      </w:r>
      <w:proofErr w:type="spellEnd"/>
      <w:r w:rsidRPr="001B316A">
        <w:rPr>
          <w:rtl/>
          <w:lang w:val="en-GB" w:eastAsia="zh-TW"/>
        </w:rPr>
        <w:t xml:space="preserve"> </w:t>
      </w:r>
      <w:proofErr w:type="spellStart"/>
      <w:r w:rsidRPr="001B316A">
        <w:rPr>
          <w:rtl/>
          <w:lang w:val="en-GB" w:eastAsia="zh-TW"/>
        </w:rPr>
        <w:t>بابو</w:t>
      </w:r>
      <w:proofErr w:type="spellEnd"/>
      <w:r w:rsidRPr="001B316A">
        <w:rPr>
          <w:rtl/>
          <w:lang w:val="en-GB" w:eastAsia="zh-TW"/>
        </w:rPr>
        <w:t xml:space="preserve">، </w:t>
      </w:r>
      <w:proofErr w:type="spellStart"/>
      <w:r w:rsidRPr="001B316A">
        <w:rPr>
          <w:rtl/>
          <w:lang w:val="en-GB" w:eastAsia="zh-TW"/>
        </w:rPr>
        <w:t>ودانلامي</w:t>
      </w:r>
      <w:proofErr w:type="spellEnd"/>
      <w:r w:rsidRPr="001B316A">
        <w:rPr>
          <w:rtl/>
          <w:lang w:val="en-GB" w:eastAsia="zh-TW"/>
        </w:rPr>
        <w:t xml:space="preserve"> </w:t>
      </w:r>
      <w:proofErr w:type="spellStart"/>
      <w:r w:rsidRPr="001B316A">
        <w:rPr>
          <w:rtl/>
          <w:lang w:val="en-GB" w:eastAsia="zh-TW"/>
        </w:rPr>
        <w:t>أومارو</w:t>
      </w:r>
      <w:proofErr w:type="spellEnd"/>
      <w:r w:rsidRPr="001B316A">
        <w:rPr>
          <w:rtl/>
          <w:lang w:val="en-GB" w:eastAsia="zh-TW"/>
        </w:rPr>
        <w:t xml:space="preserve"> </w:t>
      </w:r>
      <w:proofErr w:type="spellStart"/>
      <w:r w:rsidRPr="001B316A">
        <w:rPr>
          <w:rtl/>
          <w:lang w:val="en-GB" w:eastAsia="zh-TW"/>
        </w:rPr>
        <w:t>باشارو</w:t>
      </w:r>
      <w:proofErr w:type="spellEnd"/>
      <w:r w:rsidRPr="001B316A">
        <w:rPr>
          <w:rtl/>
          <w:lang w:val="en-GB" w:eastAsia="zh-TW"/>
        </w:rPr>
        <w:t xml:space="preserve">، </w:t>
      </w:r>
      <w:proofErr w:type="spellStart"/>
      <w:r w:rsidRPr="001B316A">
        <w:rPr>
          <w:rtl/>
          <w:lang w:val="en-GB" w:eastAsia="zh-TW"/>
        </w:rPr>
        <w:t>ومونتيان</w:t>
      </w:r>
      <w:proofErr w:type="spellEnd"/>
      <w:r w:rsidRPr="001B316A">
        <w:rPr>
          <w:rtl/>
          <w:lang w:val="en-GB" w:eastAsia="zh-TW"/>
        </w:rPr>
        <w:t xml:space="preserve"> بونتان، وماريا </w:t>
      </w:r>
      <w:proofErr w:type="spellStart"/>
      <w:r w:rsidRPr="001B316A">
        <w:rPr>
          <w:rtl/>
          <w:lang w:val="en-GB" w:eastAsia="zh-TW"/>
        </w:rPr>
        <w:t>سوليداد</w:t>
      </w:r>
      <w:proofErr w:type="spellEnd"/>
      <w:r w:rsidRPr="001B316A">
        <w:rPr>
          <w:rtl/>
          <w:lang w:val="en-GB" w:eastAsia="zh-TW"/>
        </w:rPr>
        <w:t xml:space="preserve"> </w:t>
      </w:r>
      <w:proofErr w:type="spellStart"/>
      <w:r w:rsidRPr="001B316A">
        <w:rPr>
          <w:rtl/>
          <w:lang w:val="en-GB" w:eastAsia="zh-TW"/>
        </w:rPr>
        <w:t>ثيستيراس</w:t>
      </w:r>
      <w:proofErr w:type="spellEnd"/>
      <w:r w:rsidRPr="001B316A">
        <w:rPr>
          <w:rtl/>
          <w:lang w:val="en-GB" w:eastAsia="zh-TW"/>
        </w:rPr>
        <w:t xml:space="preserve"> </w:t>
      </w:r>
      <w:proofErr w:type="spellStart"/>
      <w:r w:rsidRPr="001B316A">
        <w:rPr>
          <w:rtl/>
          <w:lang w:val="en-GB" w:eastAsia="zh-TW"/>
        </w:rPr>
        <w:t>رييس</w:t>
      </w:r>
      <w:proofErr w:type="spellEnd"/>
      <w:r w:rsidRPr="001B316A">
        <w:rPr>
          <w:rtl/>
          <w:lang w:val="en-GB" w:eastAsia="zh-TW"/>
        </w:rPr>
        <w:t xml:space="preserve">، </w:t>
      </w:r>
      <w:proofErr w:type="spellStart"/>
      <w:r w:rsidRPr="001B316A">
        <w:rPr>
          <w:rtl/>
          <w:lang w:val="en-GB" w:eastAsia="zh-TW"/>
        </w:rPr>
        <w:t>وتيريزيا</w:t>
      </w:r>
      <w:proofErr w:type="spellEnd"/>
      <w:r w:rsidRPr="001B316A">
        <w:rPr>
          <w:rtl/>
          <w:lang w:val="en-GB" w:eastAsia="zh-TW"/>
        </w:rPr>
        <w:t xml:space="preserve"> </w:t>
      </w:r>
      <w:proofErr w:type="spellStart"/>
      <w:r w:rsidRPr="001B316A">
        <w:rPr>
          <w:rtl/>
          <w:lang w:val="en-GB" w:eastAsia="zh-TW"/>
        </w:rPr>
        <w:t>ديغينير</w:t>
      </w:r>
      <w:proofErr w:type="spellEnd"/>
      <w:r w:rsidRPr="001B316A">
        <w:rPr>
          <w:rtl/>
          <w:lang w:val="en-GB" w:eastAsia="zh-TW"/>
        </w:rPr>
        <w:t xml:space="preserve">، </w:t>
      </w:r>
      <w:proofErr w:type="spellStart"/>
      <w:r w:rsidRPr="001B316A">
        <w:rPr>
          <w:rtl/>
          <w:lang w:val="en-GB" w:eastAsia="zh-TW"/>
        </w:rPr>
        <w:t>وهيونغ</w:t>
      </w:r>
      <w:proofErr w:type="spellEnd"/>
      <w:r w:rsidRPr="001B316A">
        <w:rPr>
          <w:rtl/>
          <w:lang w:val="en-GB" w:eastAsia="zh-TW"/>
        </w:rPr>
        <w:t xml:space="preserve"> شيك كيم، </w:t>
      </w:r>
      <w:proofErr w:type="spellStart"/>
      <w:r w:rsidRPr="001B316A">
        <w:rPr>
          <w:rtl/>
          <w:lang w:val="en-GB" w:eastAsia="zh-TW"/>
        </w:rPr>
        <w:t>ودايان</w:t>
      </w:r>
      <w:proofErr w:type="spellEnd"/>
      <w:r w:rsidRPr="001B316A">
        <w:rPr>
          <w:rFonts w:hint="cs"/>
          <w:rtl/>
          <w:lang w:val="en-GB" w:eastAsia="zh-TW"/>
        </w:rPr>
        <w:t> </w:t>
      </w:r>
      <w:proofErr w:type="spellStart"/>
      <w:r w:rsidRPr="001B316A">
        <w:rPr>
          <w:rtl/>
          <w:lang w:val="en-GB" w:eastAsia="zh-TW"/>
        </w:rPr>
        <w:t>كينغستن</w:t>
      </w:r>
      <w:proofErr w:type="spellEnd"/>
      <w:r w:rsidRPr="001B316A">
        <w:rPr>
          <w:rtl/>
          <w:lang w:val="en-GB" w:eastAsia="zh-TW"/>
        </w:rPr>
        <w:t xml:space="preserve">، وشتيك </w:t>
      </w:r>
      <w:proofErr w:type="spellStart"/>
      <w:r w:rsidRPr="001B316A">
        <w:rPr>
          <w:rtl/>
          <w:lang w:val="en-GB" w:eastAsia="zh-TW"/>
        </w:rPr>
        <w:t>لانغفات</w:t>
      </w:r>
      <w:proofErr w:type="spellEnd"/>
      <w:r w:rsidRPr="001B316A">
        <w:rPr>
          <w:rtl/>
          <w:lang w:val="en-GB" w:eastAsia="zh-TW"/>
        </w:rPr>
        <w:t xml:space="preserve">، </w:t>
      </w:r>
      <w:proofErr w:type="spellStart"/>
      <w:r w:rsidRPr="001B316A">
        <w:rPr>
          <w:rtl/>
          <w:lang w:val="en-GB" w:eastAsia="zh-TW"/>
        </w:rPr>
        <w:t>ولاسلو</w:t>
      </w:r>
      <w:proofErr w:type="spellEnd"/>
      <w:r w:rsidRPr="001B316A">
        <w:rPr>
          <w:rtl/>
          <w:lang w:val="en-GB" w:eastAsia="zh-TW"/>
        </w:rPr>
        <w:t xml:space="preserve"> </w:t>
      </w:r>
      <w:proofErr w:type="spellStart"/>
      <w:r w:rsidRPr="001B316A">
        <w:rPr>
          <w:rtl/>
          <w:lang w:val="en-GB" w:eastAsia="zh-TW"/>
        </w:rPr>
        <w:t>غابور</w:t>
      </w:r>
      <w:proofErr w:type="spellEnd"/>
      <w:r w:rsidRPr="001B316A">
        <w:rPr>
          <w:rtl/>
          <w:lang w:val="en-GB" w:eastAsia="zh-TW"/>
        </w:rPr>
        <w:t xml:space="preserve"> </w:t>
      </w:r>
      <w:proofErr w:type="spellStart"/>
      <w:r w:rsidRPr="001B316A">
        <w:rPr>
          <w:rtl/>
          <w:lang w:val="en-GB" w:eastAsia="zh-TW"/>
        </w:rPr>
        <w:t>لوفاسي</w:t>
      </w:r>
      <w:proofErr w:type="spellEnd"/>
      <w:r w:rsidRPr="001B316A">
        <w:rPr>
          <w:rtl/>
          <w:lang w:val="en-GB" w:eastAsia="zh-TW"/>
        </w:rPr>
        <w:t xml:space="preserve">، وكارلوس ألبيرتو بارا </w:t>
      </w:r>
      <w:proofErr w:type="spellStart"/>
      <w:r w:rsidRPr="001B316A">
        <w:rPr>
          <w:rtl/>
          <w:lang w:val="en-GB" w:eastAsia="zh-TW"/>
        </w:rPr>
        <w:t>دوسان</w:t>
      </w:r>
      <w:proofErr w:type="spellEnd"/>
      <w:r w:rsidRPr="001B316A">
        <w:rPr>
          <w:rtl/>
          <w:lang w:val="en-GB" w:eastAsia="zh-TW"/>
        </w:rPr>
        <w:t xml:space="preserve">، وسافاك بافي، آنا </w:t>
      </w:r>
      <w:proofErr w:type="spellStart"/>
      <w:r w:rsidRPr="001B316A">
        <w:rPr>
          <w:rtl/>
          <w:lang w:val="en-GB" w:eastAsia="zh-TW"/>
        </w:rPr>
        <w:t>بيلاييث</w:t>
      </w:r>
      <w:proofErr w:type="spellEnd"/>
      <w:r w:rsidRPr="001B316A">
        <w:rPr>
          <w:rFonts w:hint="cs"/>
          <w:rtl/>
          <w:lang w:val="en-GB" w:eastAsia="zh-TW"/>
        </w:rPr>
        <w:t xml:space="preserve"> - </w:t>
      </w:r>
      <w:proofErr w:type="spellStart"/>
      <w:r w:rsidRPr="001B316A">
        <w:rPr>
          <w:rtl/>
          <w:lang w:val="en-GB" w:eastAsia="zh-TW"/>
        </w:rPr>
        <w:t>نارفاييث</w:t>
      </w:r>
      <w:proofErr w:type="spellEnd"/>
      <w:r w:rsidRPr="001B316A">
        <w:rPr>
          <w:rtl/>
          <w:lang w:val="en-GB" w:eastAsia="zh-TW"/>
        </w:rPr>
        <w:t xml:space="preserve">، </w:t>
      </w:r>
      <w:proofErr w:type="spellStart"/>
      <w:r w:rsidRPr="001B316A">
        <w:rPr>
          <w:rtl/>
          <w:lang w:val="en-GB" w:eastAsia="zh-TW"/>
        </w:rPr>
        <w:t>وكومارافال</w:t>
      </w:r>
      <w:proofErr w:type="spellEnd"/>
      <w:r w:rsidRPr="001B316A">
        <w:rPr>
          <w:rtl/>
          <w:lang w:val="en-GB" w:eastAsia="zh-TW"/>
        </w:rPr>
        <w:t xml:space="preserve"> </w:t>
      </w:r>
      <w:proofErr w:type="spellStart"/>
      <w:r w:rsidRPr="001B316A">
        <w:rPr>
          <w:rtl/>
          <w:lang w:val="en-GB" w:eastAsia="zh-TW"/>
        </w:rPr>
        <w:t>بيانياندا</w:t>
      </w:r>
      <w:proofErr w:type="spellEnd"/>
      <w:r w:rsidRPr="001B316A">
        <w:rPr>
          <w:rtl/>
          <w:lang w:val="en-GB" w:eastAsia="zh-TW"/>
        </w:rPr>
        <w:t xml:space="preserve">، وسلفيا </w:t>
      </w:r>
      <w:proofErr w:type="spellStart"/>
      <w:r w:rsidRPr="001B316A">
        <w:rPr>
          <w:rtl/>
          <w:lang w:val="en-GB" w:eastAsia="zh-TW"/>
        </w:rPr>
        <w:t>جوديت</w:t>
      </w:r>
      <w:proofErr w:type="spellEnd"/>
      <w:r w:rsidRPr="001B316A">
        <w:rPr>
          <w:rtl/>
          <w:lang w:val="en-GB" w:eastAsia="zh-TW"/>
        </w:rPr>
        <w:t xml:space="preserve"> كوان</w:t>
      </w:r>
      <w:r w:rsidR="006001EF">
        <w:rPr>
          <w:rFonts w:hint="cs"/>
          <w:rtl/>
          <w:lang w:val="en-GB" w:eastAsia="zh-TW"/>
        </w:rPr>
        <w:t xml:space="preserve"> - </w:t>
      </w:r>
      <w:r w:rsidRPr="001B316A">
        <w:rPr>
          <w:rtl/>
          <w:lang w:val="en-GB" w:eastAsia="zh-TW"/>
        </w:rPr>
        <w:t xml:space="preserve">تشانغ، </w:t>
      </w:r>
      <w:proofErr w:type="spellStart"/>
      <w:r w:rsidRPr="001B316A">
        <w:rPr>
          <w:rtl/>
          <w:lang w:val="en-GB" w:eastAsia="zh-TW"/>
        </w:rPr>
        <w:t>وجوناس</w:t>
      </w:r>
      <w:proofErr w:type="spellEnd"/>
      <w:r w:rsidRPr="001B316A">
        <w:rPr>
          <w:rtl/>
          <w:lang w:val="en-GB" w:eastAsia="zh-TW"/>
        </w:rPr>
        <w:t xml:space="preserve"> </w:t>
      </w:r>
      <w:proofErr w:type="spellStart"/>
      <w:r w:rsidRPr="001B316A">
        <w:rPr>
          <w:rtl/>
          <w:lang w:val="en-GB" w:eastAsia="zh-TW"/>
        </w:rPr>
        <w:t>روسكوس،وداميان</w:t>
      </w:r>
      <w:proofErr w:type="spellEnd"/>
      <w:r w:rsidRPr="001B316A">
        <w:rPr>
          <w:rtl/>
          <w:lang w:val="en-GB" w:eastAsia="zh-TW"/>
        </w:rPr>
        <w:t xml:space="preserve"> </w:t>
      </w:r>
      <w:proofErr w:type="spellStart"/>
      <w:r w:rsidRPr="001B316A">
        <w:rPr>
          <w:rtl/>
          <w:lang w:val="en-GB" w:eastAsia="zh-TW"/>
        </w:rPr>
        <w:t>تاتيتش</w:t>
      </w:r>
      <w:proofErr w:type="spellEnd"/>
      <w:r w:rsidRPr="001B316A">
        <w:rPr>
          <w:rtl/>
          <w:lang w:val="en-GB" w:eastAsia="zh-TW"/>
        </w:rPr>
        <w:t xml:space="preserve">، وليانغ </w:t>
      </w:r>
      <w:proofErr w:type="spellStart"/>
      <w:r w:rsidRPr="001B316A">
        <w:rPr>
          <w:rtl/>
          <w:lang w:val="en-GB" w:eastAsia="zh-TW"/>
        </w:rPr>
        <w:t>يو</w:t>
      </w:r>
      <w:proofErr w:type="spellEnd"/>
      <w:r w:rsidRPr="001B316A">
        <w:rPr>
          <w:lang w:val="en-GB" w:eastAsia="zh-TW"/>
        </w:rPr>
        <w:t>.</w:t>
      </w:r>
      <w:r w:rsidRPr="001B316A">
        <w:t>‬</w:t>
      </w:r>
      <w:r w:rsidRPr="001B316A">
        <w:t>‬</w:t>
      </w:r>
      <w:r w:rsidRPr="001B316A">
        <w:t>‬</w:t>
      </w:r>
      <w:r w:rsidRPr="001B316A">
        <w:t>‬</w:t>
      </w:r>
      <w:r w:rsidRPr="001B316A">
        <w:t>‬</w:t>
      </w:r>
      <w:r w:rsidRPr="001B316A">
        <w:t>‬</w:t>
      </w:r>
      <w:r w:rsidRPr="001B316A">
        <w:t>‬</w:t>
      </w:r>
      <w:r w:rsidRPr="001B316A">
        <w:t>‬</w:t>
      </w:r>
      <w:r w:rsidRPr="001B316A">
        <w:t>‬</w:t>
      </w:r>
      <w:r w:rsidRPr="001B316A">
        <w:t>‬</w:t>
      </w:r>
    </w:p>
  </w:footnote>
  <w:footnote w:id="2">
    <w:p w:rsidR="003A1ABF" w:rsidRPr="001B316A" w:rsidRDefault="001B316A" w:rsidP="001B316A">
      <w:pPr>
        <w:pStyle w:val="FootnoteText1"/>
        <w:textDirection w:val="tbRlV"/>
        <w:rPr>
          <w:b/>
          <w:bCs/>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تنص المادة 3 من القانون رقم 68/1999على أن يطبق أصحاب العمل في مؤسساتهم نظام الحصص لتشغيل الأشخاص ذوي الإعاقة وفقاً لعدد الموظفين: فإذا كان عدد العاملين في المؤسسة يتجاوز 50 موظفاً، يجب تخصيص نسبة 7 في المائة من الوظائف للأشخاص ذوي الإعاقة؛ وإذا كان عدد العاملين في المؤسسة يتراوح بين 36</w:t>
      </w:r>
      <w:r>
        <w:rPr>
          <w:rtl/>
          <w:lang w:val="en-GB" w:eastAsia="zh-TW"/>
        </w:rPr>
        <w:t xml:space="preserve"> و</w:t>
      </w:r>
      <w:r w:rsidR="003A1ABF" w:rsidRPr="001B316A">
        <w:rPr>
          <w:rtl/>
          <w:lang w:val="en-GB" w:eastAsia="zh-TW"/>
        </w:rPr>
        <w:t>50 موظفاً، فيجب تخصيص</w:t>
      </w:r>
      <w:r>
        <w:rPr>
          <w:rtl/>
          <w:lang w:val="en-GB" w:eastAsia="zh-TW"/>
        </w:rPr>
        <w:t xml:space="preserve"> </w:t>
      </w:r>
      <w:r w:rsidR="003A1ABF" w:rsidRPr="001B316A">
        <w:rPr>
          <w:rtl/>
          <w:lang w:val="en-GB" w:eastAsia="zh-TW"/>
        </w:rPr>
        <w:t>وظيفتين للأشخاص ذوي الإعاقة؛ وإذا كان عدد العاملين في المؤسسة يتراوح بين 15 و35، فيجب تخصيص وظيفة واحدة للأشخاص ذوي الإعاقة. (استناد</w:t>
      </w:r>
      <w:r w:rsidR="00556E5B">
        <w:rPr>
          <w:rtl/>
          <w:lang w:val="en-GB" w:eastAsia="zh-TW"/>
        </w:rPr>
        <w:t xml:space="preserve">اً </w:t>
      </w:r>
      <w:r w:rsidR="003A1ABF" w:rsidRPr="001B316A">
        <w:rPr>
          <w:rtl/>
          <w:lang w:val="en-GB" w:eastAsia="zh-TW"/>
        </w:rPr>
        <w:t xml:space="preserve">إلى ترجمة غير رسمية). </w:t>
      </w:r>
    </w:p>
  </w:footnote>
  <w:footnote w:id="3">
    <w:p w:rsidR="003A1ABF" w:rsidRPr="001B316A" w:rsidRDefault="001B316A" w:rsidP="006001EF">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تنص الفقرة 1 من المادة 7، من القانون رقم 68/1999 على أنه يجوز لأصحاب العمل أن يختاروا ويعينوا بالاسم مباشرة شخص</w:t>
      </w:r>
      <w:r w:rsidR="00556E5B">
        <w:rPr>
          <w:rtl/>
          <w:lang w:val="en-GB" w:eastAsia="zh-TW"/>
        </w:rPr>
        <w:t xml:space="preserve">اً </w:t>
      </w:r>
      <w:r w:rsidR="003A1ABF" w:rsidRPr="001B316A">
        <w:rPr>
          <w:rtl/>
          <w:lang w:val="en-GB" w:eastAsia="zh-TW"/>
        </w:rPr>
        <w:t>من ذوي الإعاقة إذا كان</w:t>
      </w:r>
      <w:r>
        <w:rPr>
          <w:rtl/>
          <w:lang w:val="en-GB" w:eastAsia="zh-TW"/>
        </w:rPr>
        <w:t xml:space="preserve"> </w:t>
      </w:r>
      <w:r w:rsidR="003A1ABF" w:rsidRPr="001B316A">
        <w:rPr>
          <w:rtl/>
          <w:lang w:val="en-GB" w:eastAsia="zh-TW"/>
        </w:rPr>
        <w:t xml:space="preserve">اسمه مدرجاً في قائمة المرشحين المؤهلين، </w:t>
      </w:r>
      <w:r w:rsidR="006001EF">
        <w:rPr>
          <w:rtl/>
          <w:lang w:val="en-GB" w:eastAsia="zh-TW"/>
        </w:rPr>
        <w:t>ودون الحاجة إلى إجراء امتحان له</w:t>
      </w:r>
      <w:r w:rsidR="003A1ABF" w:rsidRPr="001B316A">
        <w:rPr>
          <w:rtl/>
          <w:lang w:val="en-GB" w:eastAsia="zh-TW"/>
        </w:rPr>
        <w:t>. وتكون هذه التعيينات ممكنة في الظروف التالية: (أ) في جميع الحالات عندما يتراوح عدد العاملين في المؤسسة بين 15</w:t>
      </w:r>
      <w:r>
        <w:rPr>
          <w:rtl/>
          <w:lang w:val="en-GB" w:eastAsia="zh-TW"/>
        </w:rPr>
        <w:t xml:space="preserve"> و</w:t>
      </w:r>
      <w:r w:rsidR="003A1ABF" w:rsidRPr="001B316A">
        <w:rPr>
          <w:rtl/>
          <w:lang w:val="en-GB" w:eastAsia="zh-TW"/>
        </w:rPr>
        <w:t>35 موظفا</w:t>
      </w:r>
      <w:r w:rsidR="006001EF">
        <w:rPr>
          <w:rFonts w:hint="cs"/>
          <w:rtl/>
          <w:lang w:val="en-GB" w:eastAsia="zh-TW"/>
        </w:rPr>
        <w:t>ً</w:t>
      </w:r>
      <w:r w:rsidR="003A1ABF" w:rsidRPr="001B316A">
        <w:rPr>
          <w:rtl/>
          <w:lang w:val="en-GB" w:eastAsia="zh-TW"/>
        </w:rPr>
        <w:t>؛ (ب) بنسبة 50 في المائة من الأشخاص الذين يتم استخدامهم عندما يتراوح عدد العاملين في المؤسسة</w:t>
      </w:r>
      <w:r>
        <w:rPr>
          <w:rtl/>
          <w:lang w:val="en-GB" w:eastAsia="zh-TW"/>
        </w:rPr>
        <w:t xml:space="preserve"> بين 36 و</w:t>
      </w:r>
      <w:r w:rsidR="003A1ABF" w:rsidRPr="001B316A">
        <w:rPr>
          <w:rtl/>
          <w:lang w:val="en-GB" w:eastAsia="zh-TW"/>
        </w:rPr>
        <w:t>50 موظف</w:t>
      </w:r>
      <w:r w:rsidR="00556E5B">
        <w:rPr>
          <w:rtl/>
          <w:lang w:val="en-GB" w:eastAsia="zh-TW"/>
        </w:rPr>
        <w:t xml:space="preserve">اً </w:t>
      </w:r>
      <w:r w:rsidR="006001EF">
        <w:rPr>
          <w:rtl/>
          <w:lang w:val="en-GB" w:eastAsia="zh-TW"/>
        </w:rPr>
        <w:t xml:space="preserve">(ويتم اختيار نسبة </w:t>
      </w:r>
      <w:proofErr w:type="spellStart"/>
      <w:r w:rsidR="006001EF">
        <w:rPr>
          <w:rtl/>
          <w:lang w:val="en-GB" w:eastAsia="zh-TW"/>
        </w:rPr>
        <w:t>ا</w:t>
      </w:r>
      <w:r w:rsidR="006001EF">
        <w:rPr>
          <w:rFonts w:hint="cs"/>
          <w:rtl/>
          <w:lang w:val="en-GB" w:eastAsia="zh-TW"/>
        </w:rPr>
        <w:t>لـ</w:t>
      </w:r>
      <w:proofErr w:type="spellEnd"/>
      <w:r w:rsidR="006001EF">
        <w:rPr>
          <w:rFonts w:hint="cs"/>
          <w:rtl/>
          <w:lang w:val="en-GB" w:eastAsia="zh-TW"/>
        </w:rPr>
        <w:t xml:space="preserve"> </w:t>
      </w:r>
      <w:r w:rsidR="003A1ABF" w:rsidRPr="001B316A">
        <w:rPr>
          <w:rtl/>
          <w:lang w:val="en-GB" w:eastAsia="zh-TW"/>
        </w:rPr>
        <w:t>50 في المائة الأخرى وفقاً لترتيب نتائج الامتحان)؛ (ج) بنسبة 60 في المائة من الذين يتم توظيفهم عندما يتجاوز عدد العاملين في المؤسسة 50 موظف</w:t>
      </w:r>
      <w:r w:rsidR="005A085E">
        <w:rPr>
          <w:rtl/>
          <w:lang w:val="en-GB" w:eastAsia="zh-TW"/>
        </w:rPr>
        <w:t xml:space="preserve">اً. </w:t>
      </w:r>
      <w:r w:rsidR="003A1ABF" w:rsidRPr="001B316A">
        <w:rPr>
          <w:rtl/>
          <w:lang w:val="en-GB" w:eastAsia="zh-TW"/>
        </w:rPr>
        <w:t>وتنص الفقرة 2 من المادة 7، على أنه في الحالات التي تستوجب إجراء امتحان تنافسي، يحق</w:t>
      </w:r>
      <w:r>
        <w:rPr>
          <w:rtl/>
          <w:lang w:val="en-GB" w:eastAsia="zh-TW"/>
        </w:rPr>
        <w:t xml:space="preserve"> </w:t>
      </w:r>
      <w:r w:rsidR="003A1ABF" w:rsidRPr="001B316A">
        <w:rPr>
          <w:rtl/>
          <w:lang w:val="en-GB" w:eastAsia="zh-TW"/>
        </w:rPr>
        <w:t>للأشخاص ذوي الإعاقة الحصول على وظائف وفق</w:t>
      </w:r>
      <w:r w:rsidR="00556E5B">
        <w:rPr>
          <w:rtl/>
          <w:lang w:val="en-GB" w:eastAsia="zh-TW"/>
        </w:rPr>
        <w:t xml:space="preserve">اً </w:t>
      </w:r>
      <w:r w:rsidR="003A1ABF" w:rsidRPr="001B316A">
        <w:rPr>
          <w:rtl/>
          <w:lang w:val="en-GB" w:eastAsia="zh-TW"/>
        </w:rPr>
        <w:t>للحصص المحددة في الفقرة 1</w:t>
      </w:r>
      <w:r>
        <w:rPr>
          <w:rtl/>
          <w:lang w:val="en-GB" w:eastAsia="zh-TW"/>
        </w:rPr>
        <w:t xml:space="preserve"> و</w:t>
      </w:r>
      <w:r w:rsidR="005A085E">
        <w:rPr>
          <w:rtl/>
          <w:lang w:val="en-GB" w:eastAsia="zh-TW"/>
        </w:rPr>
        <w:t>"</w:t>
      </w:r>
      <w:r w:rsidR="003A1ABF" w:rsidRPr="001B316A">
        <w:rPr>
          <w:rtl/>
          <w:lang w:val="en-GB" w:eastAsia="zh-TW"/>
        </w:rPr>
        <w:t>بنسبة تصل إلى</w:t>
      </w:r>
      <w:r>
        <w:rPr>
          <w:rFonts w:hint="cs"/>
          <w:rtl/>
          <w:lang w:val="en-GB" w:eastAsia="zh-TW"/>
        </w:rPr>
        <w:t> </w:t>
      </w:r>
      <w:r w:rsidR="003A1ABF" w:rsidRPr="001B316A">
        <w:rPr>
          <w:rtl/>
          <w:lang w:val="en-GB" w:eastAsia="zh-TW"/>
        </w:rPr>
        <w:t>50 في المائة من الوظائف المشمولة</w:t>
      </w:r>
      <w:r>
        <w:rPr>
          <w:rtl/>
          <w:lang w:val="en-GB" w:eastAsia="zh-TW"/>
        </w:rPr>
        <w:t xml:space="preserve"> </w:t>
      </w:r>
      <w:r w:rsidR="003A1ABF" w:rsidRPr="001B316A">
        <w:rPr>
          <w:rtl/>
          <w:lang w:val="en-GB" w:eastAsia="zh-TW"/>
        </w:rPr>
        <w:t>بالامتحانات التنافسية" (استناد</w:t>
      </w:r>
      <w:r w:rsidR="00556E5B">
        <w:rPr>
          <w:rtl/>
          <w:lang w:val="en-GB" w:eastAsia="zh-TW"/>
        </w:rPr>
        <w:t xml:space="preserve">اً </w:t>
      </w:r>
      <w:r w:rsidR="003A1ABF" w:rsidRPr="001B316A">
        <w:rPr>
          <w:rtl/>
          <w:lang w:val="en-GB" w:eastAsia="zh-TW"/>
        </w:rPr>
        <w:t xml:space="preserve">إلى ترجمة غير رسمية). </w:t>
      </w:r>
    </w:p>
  </w:footnote>
  <w:footnote w:id="4">
    <w:p w:rsidR="003A1ABF" w:rsidRPr="001B316A" w:rsidRDefault="001B316A" w:rsidP="001B316A">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حصل أول مرشحيْن على درجة 52.5/60</w:t>
      </w:r>
      <w:r>
        <w:rPr>
          <w:rtl/>
          <w:lang w:val="en-GB" w:eastAsia="zh-TW"/>
        </w:rPr>
        <w:t xml:space="preserve"> و</w:t>
      </w:r>
      <w:r w:rsidR="00556E5B">
        <w:rPr>
          <w:rtl/>
          <w:lang w:val="en-GB" w:eastAsia="zh-TW"/>
        </w:rPr>
        <w:t>51/60، على التوالي (</w:t>
      </w:r>
      <w:r w:rsidR="003A1ABF" w:rsidRPr="001B316A">
        <w:rPr>
          <w:rtl/>
          <w:lang w:val="en-GB" w:eastAsia="zh-TW"/>
        </w:rPr>
        <w:t>انظر المرسوم رقم 595 المؤرخ 22 أيلول/سبتمبر 2006).</w:t>
      </w:r>
    </w:p>
  </w:footnote>
  <w:footnote w:id="5">
    <w:p w:rsidR="003A1ABF" w:rsidRPr="001B316A" w:rsidRDefault="001B316A" w:rsidP="001B316A">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Pr>
          <w:rFonts w:hint="cs"/>
          <w:rtl/>
          <w:lang w:val="en-GB" w:eastAsia="zh-TW"/>
        </w:rPr>
        <w:tab/>
      </w:r>
      <w:r w:rsidR="003A1ABF" w:rsidRPr="001B316A">
        <w:rPr>
          <w:rtl/>
          <w:lang w:val="en-GB" w:eastAsia="zh-TW"/>
        </w:rPr>
        <w:t>تنص الفقرة 2 من المادة 4 من القانون 68/1999 على أنه ينبغي عند الحساب اعتبار كسور النسب المئوية التي تتجاوز</w:t>
      </w:r>
      <w:r>
        <w:rPr>
          <w:rtl/>
          <w:lang w:val="en-GB" w:eastAsia="zh-TW"/>
        </w:rPr>
        <w:t xml:space="preserve"> </w:t>
      </w:r>
      <w:r w:rsidR="003A1ABF" w:rsidRPr="001B316A">
        <w:rPr>
          <w:rtl/>
          <w:lang w:val="en-GB" w:eastAsia="zh-TW"/>
        </w:rPr>
        <w:t>0.5 رقماً صحيحاً (استناد</w:t>
      </w:r>
      <w:r w:rsidR="00556E5B">
        <w:rPr>
          <w:rtl/>
          <w:lang w:val="en-GB" w:eastAsia="zh-TW"/>
        </w:rPr>
        <w:t xml:space="preserve">اً </w:t>
      </w:r>
      <w:r w:rsidR="003A1ABF" w:rsidRPr="001B316A">
        <w:rPr>
          <w:rtl/>
          <w:lang w:val="en-GB" w:eastAsia="zh-TW"/>
        </w:rPr>
        <w:t xml:space="preserve">إلى ترجمة غير رسمية). </w:t>
      </w:r>
    </w:p>
  </w:footnote>
  <w:footnote w:id="6">
    <w:p w:rsidR="003A1ABF" w:rsidRPr="001B316A" w:rsidRDefault="001B316A" w:rsidP="006001EF">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 xml:space="preserve">لم يقدم صاحب البلاغ مزيداً من التفاصيل بشأن هذه النقطة، ولم تقدم ترجمة للمادة ذات الصلة. ونص الترجمة غير الرسمية للفقرة 2 من المادة 16 من المرسوم الرئاسي رقم 487/1994 هو ما يلي: </w:t>
      </w:r>
      <w:r w:rsidR="005A085E">
        <w:rPr>
          <w:rtl/>
          <w:lang w:val="en-GB" w:eastAsia="zh-TW"/>
        </w:rPr>
        <w:t>"</w:t>
      </w:r>
      <w:r w:rsidR="003A1ABF" w:rsidRPr="001B316A">
        <w:rPr>
          <w:rtl/>
          <w:lang w:val="en-GB" w:eastAsia="zh-TW"/>
        </w:rPr>
        <w:t>طلب التمتع بصفة الأفضلية والحق في التحفظ: تدرج أسماء المرشحين من الفئة التي يحددها القانون رقم 482/1968 الذين أعلن عن أهليتهم (لشغل الوظيفة)</w:t>
      </w:r>
      <w:r>
        <w:rPr>
          <w:rtl/>
          <w:lang w:val="en-GB" w:eastAsia="zh-TW"/>
        </w:rPr>
        <w:t xml:space="preserve"> </w:t>
      </w:r>
      <w:r w:rsidR="003A1ABF" w:rsidRPr="001B316A">
        <w:rPr>
          <w:rtl/>
          <w:lang w:val="en-GB" w:eastAsia="zh-TW"/>
        </w:rPr>
        <w:t>في قائمة المرشحين الذين يتم اختيارهم وبحسب الترتيب شريطة أن تكون أسماؤهم مدرجة في قوائم مكاتب البحث عن العمل التابعة للمقاطعات ويكونوا عاطلين عن العمل، إما وقت الموعد النهائي للترشح للامتحان أو في تاريخ بدء العمل وفقاً للمادة 19 من المرسوم الرئاسي رقم</w:t>
      </w:r>
      <w:r>
        <w:rPr>
          <w:rFonts w:hint="cs"/>
          <w:rtl/>
          <w:lang w:val="en-GB" w:eastAsia="zh-TW"/>
        </w:rPr>
        <w:t> </w:t>
      </w:r>
      <w:r w:rsidR="005A085E">
        <w:rPr>
          <w:rtl/>
          <w:lang w:val="en-GB" w:eastAsia="zh-TW"/>
        </w:rPr>
        <w:t>482/1994</w:t>
      </w:r>
      <w:r w:rsidR="005A085E">
        <w:rPr>
          <w:rFonts w:hint="cs"/>
          <w:rtl/>
          <w:lang w:val="en-GB" w:eastAsia="zh-TW"/>
        </w:rPr>
        <w:t>"</w:t>
      </w:r>
      <w:r w:rsidR="003A1ABF" w:rsidRPr="001B316A">
        <w:rPr>
          <w:rtl/>
          <w:lang w:val="en-GB" w:eastAsia="zh-TW"/>
        </w:rPr>
        <w:t xml:space="preserve"> ويعرف القانون رقم 482/1968 فئات الأشخاص الذين يجوز لهم الحصول على معاملة تفضيلية في سياق الامتحانات العامة. وقد ألغي هذا القانون بموجب القانون 68/1999</w:t>
      </w:r>
    </w:p>
  </w:footnote>
  <w:footnote w:id="7">
    <w:p w:rsidR="003A1ABF" w:rsidRPr="001B316A" w:rsidRDefault="001B316A" w:rsidP="005A085E">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يشير صاحب البلاغ إلى المادة 3 من الدستور، وإلى القانون رقم 68/1999، وإلى اتفا</w:t>
      </w:r>
      <w:r>
        <w:rPr>
          <w:rtl/>
          <w:lang w:val="en-GB" w:eastAsia="zh-TW"/>
        </w:rPr>
        <w:t>قية منظمة العمل الدولية رقم 111</w:t>
      </w:r>
      <w:r w:rsidR="003A1ABF" w:rsidRPr="001B316A">
        <w:rPr>
          <w:rtl/>
          <w:lang w:val="en-GB" w:eastAsia="zh-TW"/>
        </w:rPr>
        <w:t xml:space="preserve">(1958) المتعلقة بالتمييز في العمالة والمهن، وإلى الأمر التوجيهي لمجلس الاتحاد الأوروبي </w:t>
      </w:r>
      <w:r w:rsidR="003A1ABF" w:rsidRPr="001B316A">
        <w:rPr>
          <w:szCs w:val="18"/>
        </w:rPr>
        <w:t>2007/78/EC</w:t>
      </w:r>
      <w:r w:rsidR="005A085E">
        <w:rPr>
          <w:rFonts w:hint="cs"/>
          <w:rtl/>
          <w:lang w:val="en-GB" w:eastAsia="zh-TW"/>
        </w:rPr>
        <w:t xml:space="preserve"> </w:t>
      </w:r>
      <w:r w:rsidR="003A1ABF" w:rsidRPr="001B316A">
        <w:rPr>
          <w:rtl/>
          <w:lang w:val="en-GB" w:eastAsia="zh-TW"/>
        </w:rPr>
        <w:t>المؤرخ 27 تشرين الثاني/نوفمبر 2000 الذي ينشئ إطار</w:t>
      </w:r>
      <w:r w:rsidR="00556E5B">
        <w:rPr>
          <w:rtl/>
          <w:lang w:val="en-GB" w:eastAsia="zh-TW"/>
        </w:rPr>
        <w:t xml:space="preserve">اً </w:t>
      </w:r>
      <w:r w:rsidR="003A1ABF" w:rsidRPr="001B316A">
        <w:rPr>
          <w:rtl/>
          <w:lang w:val="en-GB" w:eastAsia="zh-TW"/>
        </w:rPr>
        <w:t>عام</w:t>
      </w:r>
      <w:r w:rsidR="00556E5B">
        <w:rPr>
          <w:rtl/>
          <w:lang w:val="en-GB" w:eastAsia="zh-TW"/>
        </w:rPr>
        <w:t xml:space="preserve">اً </w:t>
      </w:r>
      <w:r w:rsidR="003A1ABF" w:rsidRPr="001B316A">
        <w:rPr>
          <w:rtl/>
          <w:lang w:val="en-GB" w:eastAsia="zh-TW"/>
        </w:rPr>
        <w:t>للمساواة في المعاملة في الاستخدام والمهنة.</w:t>
      </w:r>
    </w:p>
  </w:footnote>
  <w:footnote w:id="8">
    <w:p w:rsidR="003A1ABF" w:rsidRPr="001B316A" w:rsidRDefault="001B316A" w:rsidP="00602F46">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 xml:space="preserve">انظر البلاغ رقم 5/2011، </w:t>
      </w:r>
      <w:proofErr w:type="spellStart"/>
      <w:r w:rsidR="003A1ABF" w:rsidRPr="001B316A">
        <w:rPr>
          <w:i/>
          <w:iCs/>
          <w:rtl/>
          <w:lang w:val="en-GB" w:eastAsia="zh-TW"/>
        </w:rPr>
        <w:t>يونجلين</w:t>
      </w:r>
      <w:proofErr w:type="spellEnd"/>
      <w:r w:rsidR="003A1ABF" w:rsidRPr="001B316A">
        <w:rPr>
          <w:i/>
          <w:iCs/>
          <w:rtl/>
          <w:lang w:val="en-GB" w:eastAsia="zh-TW"/>
        </w:rPr>
        <w:t xml:space="preserve"> ضد السويد</w:t>
      </w:r>
      <w:r w:rsidR="003A1ABF" w:rsidRPr="001B316A">
        <w:rPr>
          <w:rtl/>
          <w:lang w:val="en-GB" w:eastAsia="zh-TW"/>
        </w:rPr>
        <w:t>، الفقرة 7-5.</w:t>
      </w:r>
    </w:p>
  </w:footnote>
  <w:footnote w:id="9">
    <w:p w:rsidR="003A1ABF" w:rsidRPr="001B316A" w:rsidRDefault="001B316A" w:rsidP="001B316A">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t>انظر حكم محكمة مقاطعة مودينا، المؤرخ 9 تموز/يوليه 2013 (انظر الفقرة 5-2 أعلاه)</w:t>
      </w:r>
      <w:r w:rsidR="005A085E">
        <w:rPr>
          <w:rFonts w:hint="cs"/>
          <w:rtl/>
          <w:lang w:val="en-GB" w:eastAsia="zh-TW"/>
        </w:rPr>
        <w:t>.</w:t>
      </w:r>
    </w:p>
  </w:footnote>
  <w:footnote w:id="10">
    <w:p w:rsidR="003A1ABF" w:rsidRPr="001B316A" w:rsidRDefault="001B316A" w:rsidP="001B316A">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Pr>
          <w:rFonts w:hint="cs"/>
          <w:rtl/>
          <w:lang w:val="en-GB" w:eastAsia="zh-TW"/>
        </w:rPr>
        <w:tab/>
      </w:r>
      <w:r w:rsidR="003A1ABF" w:rsidRPr="001B316A">
        <w:rPr>
          <w:rtl/>
        </w:rPr>
        <w:t>انظر</w:t>
      </w:r>
      <w:r w:rsidR="003A1ABF" w:rsidRPr="001B316A">
        <w:rPr>
          <w:rtl/>
          <w:lang w:val="en-GB" w:eastAsia="zh-TW"/>
        </w:rPr>
        <w:t xml:space="preserve"> </w:t>
      </w:r>
      <w:proofErr w:type="spellStart"/>
      <w:r w:rsidR="003A1ABF" w:rsidRPr="005A085E">
        <w:rPr>
          <w:i/>
          <w:iCs/>
          <w:rtl/>
          <w:lang w:val="en-GB" w:eastAsia="zh-TW"/>
        </w:rPr>
        <w:t>يونجلين</w:t>
      </w:r>
      <w:proofErr w:type="spellEnd"/>
      <w:r w:rsidR="003A1ABF" w:rsidRPr="005A085E">
        <w:rPr>
          <w:i/>
          <w:iCs/>
          <w:rtl/>
          <w:lang w:val="en-GB" w:eastAsia="zh-TW"/>
        </w:rPr>
        <w:t xml:space="preserve"> ضد السويد</w:t>
      </w:r>
      <w:r w:rsidR="003A1ABF" w:rsidRPr="001B316A">
        <w:rPr>
          <w:rtl/>
          <w:lang w:val="en-GB" w:eastAsia="zh-TW"/>
        </w:rPr>
        <w:t xml:space="preserve"> (الحاشية 7 أعلاه)، الفقرة 7-6</w:t>
      </w:r>
      <w:r w:rsidR="003A1ABF" w:rsidRPr="001B316A">
        <w:t>‬</w:t>
      </w:r>
      <w:r w:rsidR="003A1ABF" w:rsidRPr="001B316A">
        <w:t>‬</w:t>
      </w:r>
      <w:r w:rsidR="003A1ABF" w:rsidRPr="001B316A">
        <w:t>‬</w:t>
      </w:r>
      <w:r w:rsidR="003A1ABF" w:rsidRPr="001B316A">
        <w:t>‬</w:t>
      </w:r>
      <w:r w:rsidR="003A1ABF" w:rsidRPr="001B316A">
        <w:t>‬</w:t>
      </w:r>
      <w:r w:rsidR="003A1ABF" w:rsidRPr="001B316A">
        <w:t>‬</w:t>
      </w:r>
      <w:r w:rsidR="005A085E">
        <w:rPr>
          <w:rFonts w:hint="cs"/>
          <w:rtl/>
          <w:lang w:val="en-GB" w:eastAsia="zh-TW"/>
        </w:rPr>
        <w:t>.</w:t>
      </w:r>
    </w:p>
  </w:footnote>
  <w:footnote w:id="11">
    <w:p w:rsidR="003A1ABF" w:rsidRPr="001B316A" w:rsidRDefault="001B316A" w:rsidP="00602F46">
      <w:pPr>
        <w:pStyle w:val="FootnoteText1"/>
        <w:textDirection w:val="tbRlV"/>
        <w:rPr>
          <w:rtl/>
          <w:lang w:val="en-GB" w:eastAsia="zh-TW"/>
        </w:rPr>
      </w:pPr>
      <w:r>
        <w:rPr>
          <w:rFonts w:hint="cs"/>
          <w:rtl/>
          <w:lang w:val="en-GB" w:eastAsia="zh-TW"/>
        </w:rPr>
        <w:t>(</w:t>
      </w:r>
      <w:r w:rsidR="003A1ABF" w:rsidRPr="001B316A">
        <w:rPr>
          <w:rStyle w:val="FootnoteReference"/>
          <w:vertAlign w:val="baseline"/>
          <w:rtl/>
          <w:lang w:val="en-GB" w:eastAsia="zh-TW"/>
        </w:rPr>
        <w:footnoteRef/>
      </w:r>
      <w:r>
        <w:rPr>
          <w:rFonts w:hint="cs"/>
          <w:rtl/>
          <w:lang w:val="en-GB" w:eastAsia="zh-TW"/>
        </w:rPr>
        <w:t>)</w:t>
      </w:r>
      <w:r w:rsidR="003A1ABF" w:rsidRPr="001B316A">
        <w:rPr>
          <w:rtl/>
          <w:lang w:val="en-GB" w:eastAsia="zh-TW"/>
        </w:rPr>
        <w:tab/>
      </w:r>
      <w:r w:rsidR="003A1ABF" w:rsidRPr="00602F46">
        <w:rPr>
          <w:rtl/>
          <w:lang w:val="en-GB" w:eastAsia="zh-TW"/>
        </w:rPr>
        <w:t>انظر</w:t>
      </w:r>
      <w:r w:rsidR="003A1ABF" w:rsidRPr="001B316A">
        <w:rPr>
          <w:i/>
          <w:iCs/>
          <w:rtl/>
          <w:lang w:val="en-GB" w:eastAsia="zh-TW"/>
        </w:rPr>
        <w:t xml:space="preserve"> </w:t>
      </w:r>
      <w:proofErr w:type="spellStart"/>
      <w:r w:rsidR="003A1ABF" w:rsidRPr="001B316A">
        <w:rPr>
          <w:i/>
          <w:iCs/>
          <w:rtl/>
          <w:lang w:val="en-GB" w:eastAsia="zh-TW"/>
        </w:rPr>
        <w:t>يونجلين</w:t>
      </w:r>
      <w:proofErr w:type="spellEnd"/>
      <w:r w:rsidR="003A1ABF" w:rsidRPr="001B316A">
        <w:rPr>
          <w:i/>
          <w:iCs/>
          <w:rtl/>
          <w:lang w:val="en-GB" w:eastAsia="zh-TW"/>
        </w:rPr>
        <w:t xml:space="preserve"> ضد السويد</w:t>
      </w:r>
      <w:r w:rsidR="003A1ABF" w:rsidRPr="001B316A">
        <w:rPr>
          <w:rtl/>
          <w:lang w:val="en-GB" w:eastAsia="zh-TW"/>
        </w:rPr>
        <w:t xml:space="preserve"> (الحاشية 7 أعلاه)، الفقرة 10-5.</w:t>
      </w:r>
      <w:r w:rsidR="003A1ABF" w:rsidRPr="001B316A">
        <w:t>‬</w:t>
      </w:r>
      <w:r w:rsidR="003A1ABF" w:rsidRPr="001B316A">
        <w:t>‬</w:t>
      </w:r>
      <w:r w:rsidR="003A1ABF" w:rsidRPr="001B316A">
        <w:t>‬</w:t>
      </w:r>
      <w:r w:rsidR="003A1ABF" w:rsidRPr="001B316A">
        <w:t>‬</w:t>
      </w:r>
      <w:r w:rsidR="003A1ABF" w:rsidRPr="001B316A">
        <w:t>‬</w:t>
      </w:r>
      <w:r w:rsidR="003A1ABF" w:rsidRPr="001B31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BF" w:rsidRPr="003A1ABF" w:rsidRDefault="003A1ABF" w:rsidP="003A1ABF">
    <w:pPr>
      <w:pStyle w:val="Header"/>
      <w:jc w:val="right"/>
    </w:pPr>
    <w:r w:rsidRPr="003A1ABF">
      <w:t>CRPD/C/13/D/9/2012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BF" w:rsidRPr="003A1ABF" w:rsidRDefault="003A1ABF" w:rsidP="003A1ABF">
    <w:pPr>
      <w:pStyle w:val="Header"/>
      <w:jc w:val="left"/>
    </w:pPr>
    <w:r w:rsidRPr="003A1ABF">
      <w:t>CRPD/C/13/D/9/2012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F0053"/>
    <w:rsid w:val="000076D5"/>
    <w:rsid w:val="00043663"/>
    <w:rsid w:val="000505CF"/>
    <w:rsid w:val="0007103F"/>
    <w:rsid w:val="000D701C"/>
    <w:rsid w:val="000E2A71"/>
    <w:rsid w:val="00160263"/>
    <w:rsid w:val="00181F96"/>
    <w:rsid w:val="001A1371"/>
    <w:rsid w:val="001B316A"/>
    <w:rsid w:val="001B346A"/>
    <w:rsid w:val="001C6736"/>
    <w:rsid w:val="001E1CAD"/>
    <w:rsid w:val="001E290D"/>
    <w:rsid w:val="002144FA"/>
    <w:rsid w:val="0023469A"/>
    <w:rsid w:val="00243C8A"/>
    <w:rsid w:val="00267A0E"/>
    <w:rsid w:val="002901D9"/>
    <w:rsid w:val="002976C2"/>
    <w:rsid w:val="003260FF"/>
    <w:rsid w:val="00343D95"/>
    <w:rsid w:val="00374341"/>
    <w:rsid w:val="003A1ABF"/>
    <w:rsid w:val="003D1062"/>
    <w:rsid w:val="00420D7B"/>
    <w:rsid w:val="00450B21"/>
    <w:rsid w:val="00453B63"/>
    <w:rsid w:val="00455780"/>
    <w:rsid w:val="00476CEF"/>
    <w:rsid w:val="004B0A1C"/>
    <w:rsid w:val="004D298E"/>
    <w:rsid w:val="00517BC9"/>
    <w:rsid w:val="0054472E"/>
    <w:rsid w:val="00556E5B"/>
    <w:rsid w:val="005662A9"/>
    <w:rsid w:val="005827D4"/>
    <w:rsid w:val="0059622A"/>
    <w:rsid w:val="005A085E"/>
    <w:rsid w:val="005C5878"/>
    <w:rsid w:val="005C7CEA"/>
    <w:rsid w:val="005D3C0B"/>
    <w:rsid w:val="005E5217"/>
    <w:rsid w:val="005F0FA4"/>
    <w:rsid w:val="005F30EE"/>
    <w:rsid w:val="006001EF"/>
    <w:rsid w:val="00602F46"/>
    <w:rsid w:val="0060473A"/>
    <w:rsid w:val="00606EDF"/>
    <w:rsid w:val="006231FC"/>
    <w:rsid w:val="00656392"/>
    <w:rsid w:val="0068781D"/>
    <w:rsid w:val="006959B0"/>
    <w:rsid w:val="006B3E27"/>
    <w:rsid w:val="006B6507"/>
    <w:rsid w:val="006C104C"/>
    <w:rsid w:val="00733704"/>
    <w:rsid w:val="007541BA"/>
    <w:rsid w:val="0078071A"/>
    <w:rsid w:val="00852A9A"/>
    <w:rsid w:val="008C247F"/>
    <w:rsid w:val="008F49E1"/>
    <w:rsid w:val="0090370F"/>
    <w:rsid w:val="009269D2"/>
    <w:rsid w:val="00942135"/>
    <w:rsid w:val="009521B0"/>
    <w:rsid w:val="009652B1"/>
    <w:rsid w:val="009A7E9F"/>
    <w:rsid w:val="009E5018"/>
    <w:rsid w:val="00A12B37"/>
    <w:rsid w:val="00A50EC0"/>
    <w:rsid w:val="00A54442"/>
    <w:rsid w:val="00AA3959"/>
    <w:rsid w:val="00AB6758"/>
    <w:rsid w:val="00B13763"/>
    <w:rsid w:val="00B40063"/>
    <w:rsid w:val="00B477A4"/>
    <w:rsid w:val="00B54045"/>
    <w:rsid w:val="00C26F9D"/>
    <w:rsid w:val="00C438D7"/>
    <w:rsid w:val="00C53FE8"/>
    <w:rsid w:val="00C81B50"/>
    <w:rsid w:val="00CD1801"/>
    <w:rsid w:val="00D10EF1"/>
    <w:rsid w:val="00D42810"/>
    <w:rsid w:val="00D914A7"/>
    <w:rsid w:val="00DD13C3"/>
    <w:rsid w:val="00DD596E"/>
    <w:rsid w:val="00DD621E"/>
    <w:rsid w:val="00DF0053"/>
    <w:rsid w:val="00DF0575"/>
    <w:rsid w:val="00E70E04"/>
    <w:rsid w:val="00EC05A7"/>
    <w:rsid w:val="00EC4B6B"/>
    <w:rsid w:val="00ED7442"/>
    <w:rsid w:val="00EF1EE5"/>
    <w:rsid w:val="00F763B4"/>
    <w:rsid w:val="00F900C3"/>
    <w:rsid w:val="00FD225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A1ABF"/>
    <w:pPr>
      <w:suppressAutoHyphens/>
      <w:bidi w:val="0"/>
      <w:spacing w:after="120"/>
      <w:ind w:left="1134" w:right="1134"/>
      <w:jc w:val="both"/>
    </w:pPr>
    <w:rPr>
      <w:rFonts w:eastAsia="SimSun"/>
      <w:lang w:val="en-GB"/>
    </w:rPr>
  </w:style>
  <w:style w:type="paragraph" w:customStyle="1" w:styleId="HChG">
    <w:name w:val="_ H _Ch_G"/>
    <w:basedOn w:val="Normal"/>
    <w:next w:val="Normal"/>
    <w:rsid w:val="003A1ABF"/>
    <w:pPr>
      <w:keepNext/>
      <w:keepLines/>
      <w:tabs>
        <w:tab w:val="right" w:pos="851"/>
      </w:tabs>
      <w:suppressAutoHyphens/>
      <w:bidi w:val="0"/>
      <w:spacing w:before="360" w:after="240" w:line="300" w:lineRule="exact"/>
      <w:ind w:left="1134" w:right="1134" w:hanging="1134"/>
      <w:jc w:val="left"/>
    </w:pPr>
    <w:rPr>
      <w:rFonts w:eastAsia="SimSun" w:hint="cs"/>
      <w:b/>
      <w:sz w:val="28"/>
      <w:lang w:val="en-GB"/>
    </w:rPr>
  </w:style>
  <w:style w:type="paragraph" w:customStyle="1" w:styleId="H1G">
    <w:name w:val="_ H_1_G"/>
    <w:basedOn w:val="Normal"/>
    <w:next w:val="Normal"/>
    <w:rsid w:val="003A1ABF"/>
    <w:pPr>
      <w:keepNext/>
      <w:keepLines/>
      <w:tabs>
        <w:tab w:val="right" w:pos="851"/>
      </w:tabs>
      <w:suppressAutoHyphens/>
      <w:bidi w:val="0"/>
      <w:spacing w:before="360" w:after="240" w:line="270" w:lineRule="exact"/>
      <w:ind w:left="1134" w:right="1134" w:hanging="1134"/>
      <w:jc w:val="left"/>
    </w:pPr>
    <w:rPr>
      <w:rFonts w:eastAsia="SimSun" w:hint="cs"/>
      <w:b/>
      <w:sz w:val="24"/>
      <w:lang w:val="en-GB"/>
    </w:rPr>
  </w:style>
  <w:style w:type="paragraph" w:customStyle="1" w:styleId="H23G">
    <w:name w:val="_ H_2/3_G"/>
    <w:basedOn w:val="Normal"/>
    <w:next w:val="Normal"/>
    <w:rsid w:val="003A1ABF"/>
    <w:pPr>
      <w:keepNext/>
      <w:keepLines/>
      <w:tabs>
        <w:tab w:val="right" w:pos="851"/>
      </w:tabs>
      <w:suppressAutoHyphens/>
      <w:bidi w:val="0"/>
      <w:spacing w:before="240" w:after="120" w:line="240" w:lineRule="exact"/>
      <w:ind w:left="1134" w:right="1134" w:hanging="1134"/>
      <w:jc w:val="left"/>
    </w:pPr>
    <w:rPr>
      <w:rFonts w:eastAsia="SimSun" w:hint="cs"/>
      <w:b/>
      <w:lang w:val="en-GB"/>
    </w:rPr>
  </w:style>
  <w:style w:type="character" w:customStyle="1" w:styleId="SingleTxtGChar">
    <w:name w:val="_ Single Txt_G Char"/>
    <w:link w:val="SingleTxtG"/>
    <w:rsid w:val="003A1ABF"/>
    <w:rPr>
      <w:rFonts w:ascii="Times New Roman" w:eastAsia="SimSun" w:hAnsi="Times New Roman" w:cs="Traditional Arabic"/>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A1ABF"/>
    <w:pPr>
      <w:suppressAutoHyphens/>
      <w:bidi w:val="0"/>
      <w:spacing w:after="120"/>
      <w:ind w:left="1134" w:right="1134"/>
      <w:jc w:val="both"/>
    </w:pPr>
    <w:rPr>
      <w:rFonts w:eastAsia="SimSun"/>
      <w:lang w:val="en-GB"/>
    </w:rPr>
  </w:style>
  <w:style w:type="paragraph" w:customStyle="1" w:styleId="HChG">
    <w:name w:val="_ H _Ch_G"/>
    <w:basedOn w:val="Normal"/>
    <w:next w:val="Normal"/>
    <w:rsid w:val="003A1ABF"/>
    <w:pPr>
      <w:keepNext/>
      <w:keepLines/>
      <w:tabs>
        <w:tab w:val="right" w:pos="851"/>
      </w:tabs>
      <w:suppressAutoHyphens/>
      <w:bidi w:val="0"/>
      <w:spacing w:before="360" w:after="240" w:line="300" w:lineRule="exact"/>
      <w:ind w:left="1134" w:right="1134" w:hanging="1134"/>
      <w:jc w:val="left"/>
    </w:pPr>
    <w:rPr>
      <w:rFonts w:eastAsia="SimSun" w:hint="cs"/>
      <w:b/>
      <w:sz w:val="28"/>
      <w:lang w:val="en-GB"/>
    </w:rPr>
  </w:style>
  <w:style w:type="paragraph" w:customStyle="1" w:styleId="H1G">
    <w:name w:val="_ H_1_G"/>
    <w:basedOn w:val="Normal"/>
    <w:next w:val="Normal"/>
    <w:rsid w:val="003A1ABF"/>
    <w:pPr>
      <w:keepNext/>
      <w:keepLines/>
      <w:tabs>
        <w:tab w:val="right" w:pos="851"/>
      </w:tabs>
      <w:suppressAutoHyphens/>
      <w:bidi w:val="0"/>
      <w:spacing w:before="360" w:after="240" w:line="270" w:lineRule="exact"/>
      <w:ind w:left="1134" w:right="1134" w:hanging="1134"/>
      <w:jc w:val="left"/>
    </w:pPr>
    <w:rPr>
      <w:rFonts w:eastAsia="SimSun" w:hint="cs"/>
      <w:b/>
      <w:sz w:val="24"/>
      <w:lang w:val="en-GB"/>
    </w:rPr>
  </w:style>
  <w:style w:type="paragraph" w:customStyle="1" w:styleId="H23G">
    <w:name w:val="_ H_2/3_G"/>
    <w:basedOn w:val="Normal"/>
    <w:next w:val="Normal"/>
    <w:rsid w:val="003A1ABF"/>
    <w:pPr>
      <w:keepNext/>
      <w:keepLines/>
      <w:tabs>
        <w:tab w:val="right" w:pos="851"/>
      </w:tabs>
      <w:suppressAutoHyphens/>
      <w:bidi w:val="0"/>
      <w:spacing w:before="240" w:after="120" w:line="240" w:lineRule="exact"/>
      <w:ind w:left="1134" w:right="1134" w:hanging="1134"/>
      <w:jc w:val="left"/>
    </w:pPr>
    <w:rPr>
      <w:rFonts w:eastAsia="SimSun" w:hint="cs"/>
      <w:b/>
      <w:lang w:val="en-GB"/>
    </w:rPr>
  </w:style>
  <w:style w:type="character" w:customStyle="1" w:styleId="SingleTxtGChar">
    <w:name w:val="_ Single Txt_G Char"/>
    <w:link w:val="SingleTxtG"/>
    <w:rsid w:val="003A1ABF"/>
    <w:rPr>
      <w:rFonts w:ascii="Times New Roman" w:eastAsia="SimSu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56B3-2799-48F8-B3EB-2C3E769A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2801</Words>
  <Characters>15969</Characters>
  <Application>Microsoft Office Word</Application>
  <DocSecurity>0</DocSecurity>
  <Lines>133</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CRPD/C/13/D/9/2012</vt:lpstr>
      <vt:lpstr/>
    </vt:vector>
  </TitlesOfParts>
  <Company>DCM</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CRPD/C/13/D/9/2012</dc:title>
  <dc:subject>El Khalil Mamoune</dc:subject>
  <dc:creator>Buhnam</dc:creator>
  <cp:keywords/>
  <dc:description/>
  <cp:lastModifiedBy>El-Maseri M.</cp:lastModifiedBy>
  <cp:revision>2</cp:revision>
  <cp:lastPrinted>2015-06-25T07:24:00Z</cp:lastPrinted>
  <dcterms:created xsi:type="dcterms:W3CDTF">2015-06-25T09:38:00Z</dcterms:created>
  <dcterms:modified xsi:type="dcterms:W3CDTF">2015-06-25T09:38:00Z</dcterms:modified>
</cp:coreProperties>
</file>