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третья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 5 предварительной повестки дня</w:t>
      </w:r>
      <w:r>
        <w:rPr>
          <w:rStyle w:val="FootnoteReference"/>
        </w:rPr>
        <w:footnoteReference w:customMarkFollows="1" w:id="1"/>
        <w:t>*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5–22 июля 2005 года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pacing w:val="4"/>
        </w:rPr>
      </w:pPr>
      <w:r>
        <w:t xml:space="preserve">Осуществление статьи 21 Конвенции </w:t>
      </w:r>
      <w:r>
        <w:br/>
      </w:r>
      <w:r>
        <w:rPr>
          <w:spacing w:val="4"/>
        </w:rPr>
        <w:t xml:space="preserve">о ликвидации всех форм дискриминации </w:t>
      </w:r>
      <w:r>
        <w:rPr>
          <w:spacing w:val="4"/>
        </w:rPr>
        <w:br/>
        <w:t>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 специализированных учреждений Организации Объединенных Наций об осуществлении Конвенции в областях, входящих в сферу их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Организация Объединенных Наций по вопросам образования, науки и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23 марта 2005 года Секретариат от имени Комитета предложил Организ</w:t>
      </w:r>
      <w:r>
        <w:t>а</w:t>
      </w:r>
      <w:r>
        <w:t>ции Объединенных Наций по вопросам образования, науки и культуры (ЮНЕСКО) представить Комитету доклад о предоставленной ЮНЕСКО гос</w:t>
      </w:r>
      <w:r>
        <w:t>у</w:t>
      </w:r>
      <w:r>
        <w:t>дарствами информации относительно осуществления Конвенции о ликвидации всех форм дискриминации в отношении женщин в областях, входящих в сферу ее деятельности, которая дополнила бы информацию, содержащуюся в докл</w:t>
      </w:r>
      <w:r>
        <w:t>а</w:t>
      </w:r>
      <w:r>
        <w:t>дах государств — участников Конвенции, намеченных к рассмотрению на тр</w:t>
      </w:r>
      <w:r>
        <w:t>и</w:t>
      </w:r>
      <w:r>
        <w:t>дцать третьей сессии. Комитетом была запрошена также информация о мер</w:t>
      </w:r>
      <w:r>
        <w:t>о</w:t>
      </w:r>
      <w:r>
        <w:t>приятиях, программах и директивных решениях ЮНЕСКО, призванных соде</w:t>
      </w:r>
      <w:r>
        <w:t>й</w:t>
      </w:r>
      <w:r>
        <w:t>ствовать осуществлению Конвенции. Генеральный секретарь имеет честь пр</w:t>
      </w:r>
      <w:r>
        <w:t>е</w:t>
      </w:r>
      <w:r>
        <w:t>проводить доклад ЮНЕСКО, представленный в ответ на вышеупомянутую просьбу.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Организации Объединенных Наций по вопросам образования, науки и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по ликвидации дискриминации в отношении женщин (КЛДОЖ) проведет свою тридцать третью сессию 5–22 июля 2005 года в Центральных учреждениях Организации Объединенных Наций в Нью-Йорке. В ходе сессии Комитет рассмотрит доклады следующих стран: Бенина, Буркина-Фасо, Гай</w:t>
      </w:r>
      <w:r>
        <w:t>а</w:t>
      </w:r>
      <w:r>
        <w:t>ны, Гамбии, Израиля, Ирландии, Корейской Народно-Демократической Ре</w:t>
      </w:r>
      <w:r>
        <w:t>с</w:t>
      </w:r>
      <w:r>
        <w:t>публики, Ливана.</w:t>
      </w:r>
    </w:p>
    <w:p w:rsidR="00000000" w:rsidRDefault="00000000">
      <w:pPr>
        <w:pStyle w:val="SingleTxt"/>
      </w:pPr>
      <w:r>
        <w:t>2.</w:t>
      </w:r>
      <w:r>
        <w:tab/>
        <w:t>В статье 22 Конвенции о ликвидации всех форм дискриминации в отн</w:t>
      </w:r>
      <w:r>
        <w:t>о</w:t>
      </w:r>
      <w:r>
        <w:t>шении женщин специализированным учреждениям предлагается представлять «доклады об осуществлении Конвенции в областях, входящих в сферу их де</w:t>
      </w:r>
      <w:r>
        <w:t>я</w:t>
      </w:r>
      <w:r>
        <w:t>тельности», содержащие последнюю информацию о мероприятиях, стратегиях и программах, связанных с осуществлением статьи 10 и смежных статей. В разделе II настоящего доклада подводятся итоги деятельности ЮНЕСКО по осуществлению Конвенции в рамках самой организации; в разделе III расск</w:t>
      </w:r>
      <w:r>
        <w:t>а</w:t>
      </w:r>
      <w:r>
        <w:t>зывается о мерах, принятых странами, в которых она предположительно ос</w:t>
      </w:r>
      <w:r>
        <w:t>у</w:t>
      </w:r>
      <w:r>
        <w:t>ществляется.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Вклад ЮНЕСКО в осуществление Конвенции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3.</w:t>
      </w:r>
      <w:r>
        <w:tab/>
        <w:t>В контексте реализации среднесрочной стратегии ЮНЕСКО на 2002–</w:t>
      </w:r>
      <w:r>
        <w:br/>
        <w:t>2007 годы в рамках стратегического планирования, составления программ, осуществления и деятельности по оценке во всех областях, входящих в сферу компетенции ЮНЕСКО, стали учитываться аспекты, касающиеся достижения равенства полов, с целью содействовать расширению прав и возможностей женщин и достижению равенства между мужчинами и женщинами. Решение насущных проблем женщин и пропаганда видения женщинами целей развития и подходов к нему осуществляются путем обеспечения более широкого участия женщин на всех уровнях и во всех сферах деятельности ЮНЕСКО. Регионал</w:t>
      </w:r>
      <w:r>
        <w:t>ь</w:t>
      </w:r>
      <w:r>
        <w:t>ные программы и мероприятия в интересах девочек и женщин различного во</w:t>
      </w:r>
      <w:r>
        <w:t>з</w:t>
      </w:r>
      <w:r>
        <w:t>раста, в том числе молодых и пожилых женщин, нацелены на установление контактов, обмен информацией, совместное использование познаний и созд</w:t>
      </w:r>
      <w:r>
        <w:t>а</w:t>
      </w:r>
      <w:r>
        <w:t>ние трансграничных межнациональных альянсов в рамках Декларации и Пр</w:t>
      </w:r>
      <w:r>
        <w:t>о</w:t>
      </w:r>
      <w:r>
        <w:t>граммы действий Организации Объединенных Наций в области культуры мира. Дальнейшая пропаганда и осуществление Конвенции и всех других междун</w:t>
      </w:r>
      <w:r>
        <w:t>а</w:t>
      </w:r>
      <w:r>
        <w:t>родных нормативных документов, в которых поощряются права человека же</w:t>
      </w:r>
      <w:r>
        <w:t>н</w:t>
      </w:r>
      <w:r>
        <w:t>щин, по-прежнему входят в число основных приоритетных направлений де</w:t>
      </w:r>
      <w:r>
        <w:t>я</w:t>
      </w:r>
      <w:r>
        <w:t>тельности.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III.</w:t>
      </w:r>
      <w:r>
        <w:tab/>
        <w:t>Меры, принятые ЮНЕСКО для осуществления положений Конвенции в странах, доклады которых рассматриваются на тридцать третьей сессии Комитета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Бенин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Базовые статистические данные — 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900"/>
        <w:gridCol w:w="1098"/>
        <w:gridCol w:w="1206"/>
        <w:gridCol w:w="1071"/>
        <w:gridCol w:w="16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0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09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20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07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Соотношение между </w:t>
            </w:r>
            <w:r>
              <w:rPr>
                <w:i/>
                <w:sz w:val="14"/>
              </w:rPr>
              <w:br/>
              <w:t xml:space="preserve">числом мужчин и </w:t>
            </w:r>
            <w:r>
              <w:rPr>
                <w:i/>
                <w:sz w:val="14"/>
              </w:rPr>
              <w:br/>
              <w:t xml:space="preserve">числом женщин </w:t>
            </w:r>
            <w:r>
              <w:rPr>
                <w:i/>
                <w:sz w:val="14"/>
              </w:rPr>
              <w:br/>
              <w:t>(число мужчин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40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Бенин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8 439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4 253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4 186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101,6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  <w:t>*</w:t>
      </w:r>
      <w:r>
        <w:tab/>
      </w:r>
      <w:r>
        <w:rPr>
          <w:i/>
        </w:rPr>
        <w:t>Источник</w:t>
      </w:r>
      <w:r>
        <w:t xml:space="preserve">: Отдел народонаселения Департамента по экономическим и социальным вопросам Секретариата Организации Объединенных Наций, </w:t>
      </w:r>
      <w:r>
        <w:rPr>
          <w:i/>
        </w:rPr>
        <w:t>World Population Prospects: The 2004 Revision and World Urbanization Prospects: The 2003 Revision</w:t>
      </w:r>
      <w:r>
        <w:t>, “[Country] Demographic profile: Medium variant 1950–2050”, http://esa.un.org/unpp; 11 April 2005; 11:53:29 AM.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  <w:t>**</w:t>
      </w:r>
      <w:r>
        <w:tab/>
      </w:r>
      <w:r>
        <w:rPr>
          <w:i/>
        </w:rPr>
        <w:t>Источник</w:t>
      </w:r>
      <w:r>
        <w:t>: http://stats.uis.unesco.org/TableViewer/tableView.aspx?ReportId=51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  <w:t>***</w:t>
      </w:r>
      <w:r>
        <w:tab/>
      </w:r>
      <w:r>
        <w:rPr>
          <w:i/>
        </w:rPr>
        <w:t>Источник</w:t>
      </w:r>
      <w:r>
        <w:t>: http://stats.uis.unesco.org/TableViewer/tableView.aspx?ReportId=52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  <w:t>****</w:t>
      </w:r>
      <w:r>
        <w:tab/>
      </w:r>
      <w:r>
        <w:rPr>
          <w:i/>
        </w:rPr>
        <w:t>Источник</w:t>
      </w:r>
      <w:r>
        <w:t>: http://stats.uis.unesco.org/TableViewer/tableView.aspx?ReportId=47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i/>
        </w:rPr>
      </w:pPr>
      <w:r>
        <w:tab/>
      </w:r>
      <w:r>
        <w:rPr>
          <w:vertAlign w:val="superscript"/>
        </w:rPr>
        <w:t>α</w:t>
      </w:r>
      <w:r>
        <w:tab/>
      </w:r>
      <w:r>
        <w:rPr>
          <w:i/>
        </w:rPr>
        <w:t>Источник</w:t>
      </w:r>
      <w:r>
        <w:t xml:space="preserve">: Институт статистики ЮНЕСКО, Сектор образования, файл в формате Excel </w:t>
      </w:r>
      <w:r>
        <w:rPr>
          <w:i/>
        </w:rPr>
        <w:t>Primary_Secondary_WGE_9802</w:t>
      </w:r>
      <w:r>
        <w:t>, Worksheets “Gross Enrolment Ratio (GER), avr-05” and “Net Enrolment Ratio (NER), avr-05”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vertAlign w:val="superscript"/>
        </w:rPr>
        <w:t>β</w:t>
      </w:r>
      <w:r>
        <w:tab/>
      </w:r>
      <w:r>
        <w:rPr>
          <w:i/>
        </w:rPr>
        <w:t>Источник</w:t>
      </w:r>
      <w:r>
        <w:t xml:space="preserve">: Институт статистики ЮНЕСКО, Сектор образования, файл в формате Excel </w:t>
      </w:r>
      <w:r>
        <w:rPr>
          <w:i/>
        </w:rPr>
        <w:t>Tertiary_WGE_9802,</w:t>
      </w:r>
      <w:r>
        <w:t xml:space="preserve"> Worksheet “Gross enrolment ratio in tertiary education (ISCED5 and 6), avr-05”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vertAlign w:val="superscript"/>
        </w:rPr>
        <w:t>γ</w:t>
      </w:r>
      <w:r>
        <w:tab/>
      </w:r>
      <w:r>
        <w:rPr>
          <w:i/>
        </w:rPr>
        <w:t>Источник</w:t>
      </w:r>
      <w:r>
        <w:t xml:space="preserve">: Институт статистики ЮНЕСКО, Сектор образования, файл в формате Excel </w:t>
      </w:r>
      <w:r>
        <w:rPr>
          <w:i/>
        </w:rPr>
        <w:t>Tertiary_WGE_9802</w:t>
      </w:r>
      <w:r>
        <w:t>, Worksheet “Number of students per 100000 inhabitants in Tertiary education, avr-05”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  <w:t>--</w:t>
      </w:r>
      <w:r>
        <w:tab/>
        <w:t>Данные отсутствуют.</w:t>
      </w:r>
    </w:p>
    <w:p w:rsidR="00000000" w:rsidRDefault="00000000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rPr>
          <w:vertAlign w:val="superscript"/>
        </w:rPr>
        <w:t>†</w:t>
      </w:r>
      <w:r>
        <w:tab/>
        <w:t>Оценочные данные Института статистики ЮНЕСКО.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Бенин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  <w:r>
              <w:rPr>
                <w:sz w:val="17"/>
              </w:rPr>
              <w:br/>
              <w:t>(ВПО)</w:t>
            </w:r>
            <w:r>
              <w:rPr>
                <w:sz w:val="17"/>
                <w:vertAlign w:val="superscript"/>
              </w:rPr>
              <w:t>α</w:t>
            </w:r>
            <w:r>
              <w:rPr>
                <w:sz w:val="17"/>
              </w:rPr>
              <w:br/>
              <w:t>1999/2000</w:t>
            </w:r>
            <w:r>
              <w:rPr>
                <w:sz w:val="17"/>
              </w:rPr>
              <w:br/>
              <w:t>(ЧПО)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109</w:t>
            </w:r>
            <w:r>
              <w:rPr>
                <w:sz w:val="17"/>
                <w:vertAlign w:val="superscript"/>
              </w:rPr>
              <w:t xml:space="preserve"> α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127</w:t>
            </w:r>
            <w:r>
              <w:rPr>
                <w:sz w:val="17"/>
                <w:vertAlign w:val="superscript"/>
              </w:rPr>
              <w:t xml:space="preserve"> α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  <w:r>
              <w:rPr>
                <w:sz w:val="17"/>
                <w:vertAlign w:val="superscript"/>
              </w:rPr>
              <w:t>α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58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0,72</w:t>
            </w:r>
            <w:r>
              <w:rPr>
                <w:sz w:val="17"/>
                <w:vertAlign w:val="superscript"/>
              </w:rPr>
              <w:t xml:space="preserve"> α</w:t>
            </w:r>
            <w:r>
              <w:rPr>
                <w:sz w:val="17"/>
              </w:rPr>
              <w:t> — 0,69</w:t>
            </w:r>
            <w:r>
              <w:rPr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школа***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Бенин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  <w:r>
              <w:rPr>
                <w:sz w:val="17"/>
              </w:rPr>
              <w:br/>
              <w:t>(ВПО)</w:t>
            </w:r>
            <w:r>
              <w:rPr>
                <w:sz w:val="17"/>
                <w:vertAlign w:val="superscript"/>
              </w:rPr>
              <w:t>α</w:t>
            </w:r>
            <w:r>
              <w:rPr>
                <w:sz w:val="17"/>
              </w:rPr>
              <w:br/>
              <w:t>2000/2001</w:t>
            </w:r>
            <w:r>
              <w:rPr>
                <w:sz w:val="17"/>
              </w:rPr>
              <w:br/>
              <w:t>(ЧПО)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z w:val="17"/>
                <w:vertAlign w:val="superscript"/>
              </w:rPr>
              <w:t xml:space="preserve"> α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38</w:t>
            </w:r>
            <w:r>
              <w:rPr>
                <w:sz w:val="17"/>
                <w:vertAlign w:val="superscript"/>
              </w:rPr>
              <w:t xml:space="preserve"> α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  <w:r>
              <w:rPr>
                <w:sz w:val="17"/>
                <w:vertAlign w:val="superscript"/>
              </w:rPr>
              <w:t>α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000000" w:rsidRDefault="00000000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0,46</w:t>
            </w:r>
            <w:r>
              <w:rPr>
                <w:sz w:val="17"/>
                <w:vertAlign w:val="superscript"/>
              </w:rPr>
              <w:t xml:space="preserve"> α</w:t>
            </w:r>
            <w:r>
              <w:rPr>
                <w:sz w:val="17"/>
              </w:rPr>
              <w:t> — 0,48</w:t>
            </w:r>
            <w:r>
              <w:rPr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2277"/>
        <w:gridCol w:w="1728"/>
        <w:gridCol w:w="1503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—высшая школа****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Индекс гендерного равенства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72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50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Бенин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1999/2000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0,24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2277"/>
        <w:gridCol w:w="2394"/>
        <w:gridCol w:w="2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100 000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39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21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Бенин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1999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309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rPr>
          <w:i/>
        </w:rPr>
      </w:pPr>
      <w:r>
        <w:t>1.</w:t>
      </w:r>
      <w:r>
        <w:tab/>
      </w:r>
      <w:r>
        <w:rPr>
          <w:i/>
        </w:rPr>
        <w:t>Проект ЮНЕСКО по борьбе с торговлей людьми в Африке</w:t>
      </w:r>
    </w:p>
    <w:p w:rsidR="00000000" w:rsidRDefault="00000000">
      <w:pPr>
        <w:pStyle w:val="SingleTxt"/>
      </w:pPr>
      <w:r>
        <w:tab/>
        <w:t>Осуществление настоящего проекта было начато в 2004 году в рамках всеобъемлющей программы ЮНЕСКО по борьбе с нищетой. Того и Бенин я</w:t>
      </w:r>
      <w:r>
        <w:t>в</w:t>
      </w:r>
      <w:r>
        <w:t>ляются первыми из шести африканских стран, в которых проект будет осущ</w:t>
      </w:r>
      <w:r>
        <w:t>е</w:t>
      </w:r>
      <w:r>
        <w:t>ствляться в экспериментальном порядке, остальные четыре страны — это Н</w:t>
      </w:r>
      <w:r>
        <w:t>и</w:t>
      </w:r>
      <w:r>
        <w:t>герия, Лесото, Мозамбик и Южная Африка.</w:t>
      </w:r>
    </w:p>
    <w:p w:rsidR="00000000" w:rsidRDefault="00000000">
      <w:pPr>
        <w:pStyle w:val="SingleTxt"/>
      </w:pPr>
      <w:r>
        <w:tab/>
        <w:t>Настоящий проект способствует осуществлению Конвенции о ликвидации всех форм дискриминации в отношении женщин: в рамках мероприятий по проекту будет обеспечиваться осуществление следующих статей Конве</w:t>
      </w:r>
      <w:r>
        <w:t>н</w:t>
      </w:r>
      <w:r>
        <w:t>ции: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статьи 2(f), статьи 3, статьи 5, статьи 10 и статьи 14 — на основе пров</w:t>
      </w:r>
      <w:r>
        <w:t>е</w:t>
      </w:r>
      <w:r>
        <w:t>дения нами информационно-пропагандистской работы с субъектами, на местном уровне занимающимися законами, обычаями и видами практики, которые представляют собой дискриминацию в отношении женщин и создают опасность того, что они могут стать жертвами торговли людьми;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статьи 6 — в силу самого характера проекта.</w:t>
      </w:r>
    </w:p>
    <w:p w:rsidR="00000000" w:rsidRDefault="00000000">
      <w:pPr>
        <w:pStyle w:val="SingleTxt"/>
      </w:pPr>
      <w:r>
        <w:tab/>
        <w:t>Цель состоит в том, чтобы вести борьбу с торговлей людьми в Африке, содействуя осуществлению в рамках политики с учетом культурных особенн</w:t>
      </w:r>
      <w:r>
        <w:t>о</w:t>
      </w:r>
      <w:r>
        <w:t>стей соответствующих мер реагирования, разработанных на основе тщательн</w:t>
      </w:r>
      <w:r>
        <w:t>о</w:t>
      </w:r>
      <w:r>
        <w:t>го анализа факторов, послуживших причиной возникновения торговли женщ</w:t>
      </w:r>
      <w:r>
        <w:t>и</w:t>
      </w:r>
      <w:r>
        <w:t xml:space="preserve">нами и детьми. </w:t>
      </w:r>
    </w:p>
    <w:p w:rsidR="00000000" w:rsidRDefault="00000000">
      <w:pPr>
        <w:pStyle w:val="SingleTxt"/>
        <w:keepNext/>
        <w:keepLines/>
        <w:widowControl w:val="0"/>
      </w:pPr>
      <w:r>
        <w:tab/>
        <w:t>В рамках проекта:</w:t>
      </w:r>
    </w:p>
    <w:p w:rsidR="00000000" w:rsidRDefault="00000000">
      <w:pPr>
        <w:pStyle w:val="SingleTxt"/>
        <w:keepNext/>
        <w:keepLines/>
        <w:widowControl w:val="0"/>
        <w:ind w:left="1742" w:hanging="475"/>
      </w:pPr>
      <w:r>
        <w:tab/>
        <w:t>i)</w:t>
      </w:r>
      <w:r>
        <w:tab/>
        <w:t>в шести странах, где проект осуществляется в экспериментальном порядке (включая Бенин и Того), проводятся исследования, посвященные факторам, связанным с торговлей людьми (например, недостаток инфо</w:t>
      </w:r>
      <w:r>
        <w:t>р</w:t>
      </w:r>
      <w:r>
        <w:t>мации, ВИЧ/СПИД, вредные для здоровья традиционные виды практики, пробелы в законодательстве и стратегиях), а также анализируются пр</w:t>
      </w:r>
      <w:r>
        <w:t>и</w:t>
      </w:r>
      <w:r>
        <w:t>чинно-следственные связи между нищетой, миграцией и эксплуатац</w:t>
      </w:r>
      <w:r>
        <w:t>и</w:t>
      </w:r>
      <w:r>
        <w:t>ей;</w:t>
      </w:r>
    </w:p>
    <w:p w:rsidR="00000000" w:rsidRDefault="00000000">
      <w:pPr>
        <w:pStyle w:val="SingleTxt"/>
        <w:ind w:left="1742" w:hanging="475"/>
      </w:pPr>
      <w:r>
        <w:tab/>
        <w:t>ii)</w:t>
      </w:r>
      <w:r>
        <w:tab/>
        <w:t>применяется подход, основанный на принципе участия, позволя</w:t>
      </w:r>
      <w:r>
        <w:t>ю</w:t>
      </w:r>
      <w:r>
        <w:t>щий учитывать особые потребности и социально-культурные условия жизни населения;</w:t>
      </w:r>
    </w:p>
    <w:p w:rsidR="00000000" w:rsidRDefault="00000000">
      <w:pPr>
        <w:pStyle w:val="SingleTxt"/>
        <w:ind w:left="1742" w:hanging="475"/>
      </w:pPr>
      <w:r>
        <w:tab/>
        <w:t>iii)</w:t>
      </w:r>
      <w:r>
        <w:tab/>
        <w:t>собирается и распространяется информация об оптимальных видах практической деятельности по борьбе с миграцией женщин и детей в ц</w:t>
      </w:r>
      <w:r>
        <w:t>е</w:t>
      </w:r>
      <w:r>
        <w:t>лях эк</w:t>
      </w:r>
      <w:r>
        <w:t>с</w:t>
      </w:r>
      <w:r>
        <w:t>плуатации;</w:t>
      </w:r>
    </w:p>
    <w:p w:rsidR="00000000" w:rsidRDefault="00000000">
      <w:pPr>
        <w:pStyle w:val="SingleTxt"/>
        <w:ind w:left="1742" w:hanging="475"/>
      </w:pPr>
      <w:r>
        <w:tab/>
        <w:t>iv)</w:t>
      </w:r>
      <w:r>
        <w:tab/>
        <w:t>организуются региональные семинары и информационно-пропагандистские кампании с целью содействовать формированию нов</w:t>
      </w:r>
      <w:r>
        <w:t>а</w:t>
      </w:r>
      <w:r>
        <w:t>торских стратегий и расширению возможностей гражданского общества (прав женщин и детей, средств массовой информации, религиозных и о</w:t>
      </w:r>
      <w:r>
        <w:t>б</w:t>
      </w:r>
      <w:r>
        <w:t>щинных лидеров) в тесном сотрудничестве с другими учреждениями О</w:t>
      </w:r>
      <w:r>
        <w:t>р</w:t>
      </w:r>
      <w:r>
        <w:t>ганизации Объединенных Наций и местными неправительственными о</w:t>
      </w:r>
      <w:r>
        <w:t>р</w:t>
      </w:r>
      <w:r>
        <w:t>ган</w:t>
      </w:r>
      <w:r>
        <w:t>и</w:t>
      </w:r>
      <w:r>
        <w:t>зациями.</w:t>
      </w:r>
    </w:p>
    <w:p w:rsidR="00000000" w:rsidRDefault="00000000">
      <w:pPr>
        <w:pStyle w:val="SingleTxt"/>
        <w:rPr>
          <w:i/>
        </w:rPr>
      </w:pPr>
      <w:r>
        <w:t>2.</w:t>
      </w:r>
      <w:r>
        <w:tab/>
      </w:r>
      <w:r>
        <w:rPr>
          <w:i/>
        </w:rPr>
        <w:t>Совместный проект ЮНЕСКО/Объединенной программы Организации Объединенных Наций по ВИЧ/СПИДу (ЮНЭЙДС) «Подход к вопросам проф</w:t>
      </w:r>
      <w:r>
        <w:rPr>
          <w:i/>
        </w:rPr>
        <w:t>и</w:t>
      </w:r>
      <w:r>
        <w:rPr>
          <w:i/>
        </w:rPr>
        <w:t>лактики ВИЧ/СПИДа и обеспечения ухода за больными ВИЧ/СПИДом с учетом культурных особенностей»</w:t>
      </w: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</w:t>
      </w:r>
      <w:r>
        <w:t>и</w:t>
      </w:r>
      <w:r>
        <w:t>ально-культурных установок предусматривающих равные возможности мужчин и женщин в том, что касается профилактики ВИЧ/СПИДа.</w:t>
      </w:r>
    </w:p>
    <w:p w:rsidR="00000000" w:rsidRDefault="00000000">
      <w:pPr>
        <w:pStyle w:val="SingleTxt"/>
      </w:pPr>
      <w:r>
        <w:tab/>
        <w:t>Можно особо отметить два мероприятия, которые были недавно провед</w:t>
      </w:r>
      <w:r>
        <w:t>е</w:t>
      </w:r>
      <w:r>
        <w:t>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Международного женского дня был организован дискуссионный форум по теме «Культурные аспекты борьбы африканских стран с ВИЧ/СПИДом: женщины и их усилия», в котором приняли уч</w:t>
      </w:r>
      <w:r>
        <w:t>а</w:t>
      </w:r>
      <w:r>
        <w:t>стие многие специалисты в этой области. Дискуссионный форум был о</w:t>
      </w:r>
      <w:r>
        <w:t>р</w:t>
      </w:r>
      <w:r>
        <w:t>ганизован при участии и в интересах африканских женских организаций, занимающихся проблемой ВИЧ/СПИДа;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SingleTxt"/>
        <w:rPr>
          <w:i/>
        </w:rPr>
      </w:pPr>
      <w:r>
        <w:t>3.</w:t>
      </w:r>
      <w:r>
        <w:tab/>
      </w:r>
      <w:r>
        <w:rPr>
          <w:i/>
        </w:rPr>
        <w:t>Центр всемирного наследия: сохранение и приумножение материального наследия в сотрудничестве с Агентством по охране окружающей среды в странах Аккрской группы</w:t>
      </w:r>
    </w:p>
    <w:p w:rsidR="00000000" w:rsidRDefault="00000000">
      <w:pPr>
        <w:pStyle w:val="SingleTxt"/>
        <w:spacing w:after="0" w:line="120" w:lineRule="exact"/>
        <w:rPr>
          <w:i/>
          <w:sz w:val="10"/>
        </w:rPr>
      </w:pPr>
    </w:p>
    <w:p w:rsidR="00000000" w:rsidRDefault="00000000">
      <w:pPr>
        <w:pStyle w:val="SingleTxt"/>
      </w:pPr>
      <w:r>
        <w:tab/>
        <w:t>Помощь в осуществлении генеральных планов сохранения, охраны и дальнейшего развития исторических центров городов в Бенине, Кот</w:t>
      </w:r>
      <w:r>
        <w:noBreakHyphen/>
        <w:t>д’Ивуаре, Гане и Того. Поставлены, в частности, задачи в отношении: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укрепления потенциала местных органов управления и общин в плане с</w:t>
      </w:r>
      <w:r>
        <w:t>о</w:t>
      </w:r>
      <w:r>
        <w:t>хранения, охраны, приумножения материального наследия и осуществл</w:t>
      </w:r>
      <w:r>
        <w:t>е</w:t>
      </w:r>
      <w:r>
        <w:t>ния соответствующих функций управления;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осуществления стратегии сокращения масштабов нищеты;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решения гендерных вопросов.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Межсекторальная тема: искоренение нищеты, особенно крайней нищеты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Содействие искоренению нищеты за счет повышения уровня безопасности людей в Буркина-Фасо, Мали, Нигере и Бенине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Цель проекта состоит в том, чтобы способствовать искоренению нищеты и повышению степени безопасности человека на основе применения межсе</w:t>
      </w:r>
      <w:r>
        <w:t>к</w:t>
      </w:r>
      <w:r>
        <w:t>торального и междисциплинарного подхода. Помимо неправительственных о</w:t>
      </w:r>
      <w:r>
        <w:t>р</w:t>
      </w:r>
      <w:r>
        <w:t>ганизаций («Каритас», «Помощь и действия» и других), основными партнер</w:t>
      </w:r>
      <w:r>
        <w:t>а</w:t>
      </w:r>
      <w:r>
        <w:t>ми являются посольство Канады в Нигере, Канадский центр международных исследований и сотрудничества (1 495 250 франков КФА), Управление Верхо</w:t>
      </w:r>
      <w:r>
        <w:t>в</w:t>
      </w:r>
      <w:r>
        <w:t>ного комиссара по правам человека (УВКПЧ) (5000 долл. США), Программа развития Организации Объединенных Наций (ПРООН) и Мировая продовол</w:t>
      </w:r>
      <w:r>
        <w:t>ь</w:t>
      </w:r>
      <w:r>
        <w:t>ственная программа (МПП). В течение рассматриваемого периода были до</w:t>
      </w:r>
      <w:r>
        <w:t>с</w:t>
      </w:r>
      <w:r>
        <w:t>тигнуты сл</w:t>
      </w:r>
      <w:r>
        <w:t>е</w:t>
      </w:r>
      <w:r>
        <w:t>дующие результаты:</w:t>
      </w:r>
    </w:p>
    <w:p w:rsidR="00000000" w:rsidRDefault="00000000">
      <w:pPr>
        <w:pStyle w:val="SingleTxt"/>
        <w:ind w:left="1742" w:hanging="475"/>
      </w:pPr>
      <w:r>
        <w:tab/>
        <w:t>i)</w:t>
      </w:r>
      <w:r>
        <w:tab/>
        <w:t>на совещании, проходившем на острове Горе (Сенегал, март — а</w:t>
      </w:r>
      <w:r>
        <w:t>п</w:t>
      </w:r>
      <w:r>
        <w:t>рель 2004 года), была проведена первоначальная оценка проектов и работ, осуществлявшихся созданными в Мали и Нигере национальными комит</w:t>
      </w:r>
      <w:r>
        <w:t>е</w:t>
      </w:r>
      <w:r>
        <w:t>тами по контролю в связи с проблемой взаимозависимости нищеты и с</w:t>
      </w:r>
      <w:r>
        <w:t>о</w:t>
      </w:r>
      <w:r>
        <w:t>блюдения прав человека. На совещании было принято решение продо</w:t>
      </w:r>
      <w:r>
        <w:t>л</w:t>
      </w:r>
      <w:r>
        <w:t>жить обсуждение на национальном и региональном уровнях и были нам</w:t>
      </w:r>
      <w:r>
        <w:t>е</w:t>
      </w:r>
      <w:r>
        <w:t>чены к осуществлению меры в контексте реализации стратегий борьбы с нищетой, главным образом — документов о стратегии сокращения ма</w:t>
      </w:r>
      <w:r>
        <w:t>с</w:t>
      </w:r>
      <w:r>
        <w:t>штабов нищеты;</w:t>
      </w:r>
    </w:p>
    <w:p w:rsidR="00000000" w:rsidRDefault="00000000">
      <w:pPr>
        <w:pStyle w:val="SingleTxt"/>
        <w:ind w:left="1742" w:hanging="475"/>
      </w:pPr>
      <w:r>
        <w:tab/>
        <w:t>ii)</w:t>
      </w:r>
      <w:r>
        <w:tab/>
        <w:t>было обеспечено участие в процессах принятия решений на местном уровне представителей наиболее обездоленных групп населения. В трех селениях (в Буркина-Фасо, Мали и Нигере) учрежденные на уровне о</w:t>
      </w:r>
      <w:r>
        <w:t>б</w:t>
      </w:r>
      <w:r>
        <w:t>щины комитеты по вопросам управления осуществляли контроль за ходом мероприятий (одобренных местным населением). Эти мероприятия, пр</w:t>
      </w:r>
      <w:r>
        <w:t>о</w:t>
      </w:r>
      <w:r>
        <w:t>водившиеся, в частности, в интересах женщин и девочек, охватывали, помимо прочего, такие сферы деятельности, как водоснабжение, обучение грамоте, подготовка по вопросам приносящей доход деятельности, ми</w:t>
      </w:r>
      <w:r>
        <w:t>к</w:t>
      </w:r>
      <w:r>
        <w:t>рокредитован</w:t>
      </w:r>
      <w:r>
        <w:t>и</w:t>
      </w:r>
      <w:r>
        <w:t>е и т.п.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Программа участия и помощь в чрезвычайных ситуациях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На двухгодичный период 2004–2005 годов Бенин в качестве государства-члена или ассоциированного члена в рамках Программы участия или деятел</w:t>
      </w:r>
      <w:r>
        <w:t>ь</w:t>
      </w:r>
      <w:r>
        <w:t>ности по оказанию помощи в чрезвычайных ситуациях получил 22 000 долл. США на цели реализации проекта «Расширение возможностей двух учебных центров, организованных для не посещающих школу девочек младшего во</w:t>
      </w:r>
      <w:r>
        <w:t>з</w:t>
      </w:r>
      <w:r>
        <w:t>раста и жительниц Басилы и Тангиеты».</w:t>
      </w:r>
    </w:p>
    <w:p w:rsidR="00000000" w:rsidRDefault="00000000">
      <w:pPr>
        <w:pStyle w:val="SingleTxt"/>
      </w:pPr>
      <w:r>
        <w:t>2.</w:t>
      </w:r>
      <w:r>
        <w:tab/>
        <w:t>На двухгодичный период 2004–2005 годов Международный совет телер</w:t>
      </w:r>
      <w:r>
        <w:t>а</w:t>
      </w:r>
      <w:r>
        <w:t>диовещания на французском языке, зарегистрированная международная непр</w:t>
      </w:r>
      <w:r>
        <w:t>а</w:t>
      </w:r>
      <w:r>
        <w:t>вительственная организация, поддерживающая официальные отношения с ЮНЕСКО, получил 17 000 долл. США на цели реализации проекта «Журналы (12 журналов радио, 12 телевизионных журналов) и радио- и телереклама, п</w:t>
      </w:r>
      <w:r>
        <w:t>о</w:t>
      </w:r>
      <w:r>
        <w:t>священная правам человека в целом, правам женщин и детей».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Кафедры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Электронная сеть кафедр ЮНЕСКО в Африке и Африканская сеть виртуальных исследований и подготовки в рамках программы ЮНИТВИН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рамках  этого проекта принимаются меры в целях преодоления стан</w:t>
      </w:r>
      <w:r>
        <w:t>о</w:t>
      </w:r>
      <w:r>
        <w:t>вящегося все более серьезным информационного неравенства между Севером и Югом, особенно в отношении стран Африки, путем оказания помощи в нак</w:t>
      </w:r>
      <w:r>
        <w:t>о</w:t>
      </w:r>
      <w:r>
        <w:t>плении знаний и создании возможностей применения новых информац</w:t>
      </w:r>
      <w:r>
        <w:t>и</w:t>
      </w:r>
      <w:r>
        <w:t>онно-коммуникационных технологий для использования их в целях устойчивого развития. В рамках деятельности по проекту помощь в сфере новых информ</w:t>
      </w:r>
      <w:r>
        <w:t>а</w:t>
      </w:r>
      <w:r>
        <w:t>ционно-коммуникационных технологий будет оказана 15 кафедрам ЮНЕСКО и одной региональной исследовательской сети (по проблемам философии и д</w:t>
      </w:r>
      <w:r>
        <w:t>е</w:t>
      </w:r>
      <w:r>
        <w:t>мократии), наряду с другими связанными с ними исследовательскими инстит</w:t>
      </w:r>
      <w:r>
        <w:t>у</w:t>
      </w:r>
      <w:r>
        <w:t>тами, занимающимися вопросами прав человека, демократии, надлежащего управления, вопросами гендерной проблематики и культуры мира в странах Африки, расположенных к югу от Сахары. Кафедры действуют в следующих странах: Бенин, Гвинея (одна — занимается вопросами прав человека и дем</w:t>
      </w:r>
      <w:r>
        <w:t>о</w:t>
      </w:r>
      <w:r>
        <w:t>кратии, другая — проблемами женщин, равенства полов, общества, развития), Кот</w:t>
      </w:r>
      <w:r>
        <w:noBreakHyphen/>
        <w:t>д’Ивуар, Габон, Бурунди, Демократическая Республика Конго, Экватор</w:t>
      </w:r>
      <w:r>
        <w:t>и</w:t>
      </w:r>
      <w:r>
        <w:t>альная Гвинея, Мадагаскар, Эфиопия, Кения, Намибия, Южная Африка, За</w:t>
      </w:r>
      <w:r>
        <w:t>м</w:t>
      </w:r>
      <w:r>
        <w:t>бия, Зимбабве. К этой работе будут привлекаться также университеты и иссл</w:t>
      </w:r>
      <w:r>
        <w:t>е</w:t>
      </w:r>
      <w:r>
        <w:t>довательские институты Мали, Нигера, Камеруна и Сенегала.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Буркина-Фасо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Базовые статистические данные — 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765"/>
        <w:gridCol w:w="1692"/>
        <w:gridCol w:w="1683"/>
        <w:gridCol w:w="1701"/>
        <w:gridCol w:w="15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65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69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68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70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52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Соотношение ме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 xml:space="preserve">ду </w:t>
            </w:r>
            <w:r>
              <w:rPr>
                <w:i/>
                <w:sz w:val="14"/>
              </w:rPr>
              <w:br/>
              <w:t xml:space="preserve">числом мужчин и </w:t>
            </w:r>
            <w:r>
              <w:rPr>
                <w:i/>
                <w:sz w:val="14"/>
              </w:rPr>
              <w:br/>
              <w:t xml:space="preserve">числом женщин </w:t>
            </w:r>
            <w:r>
              <w:rPr>
                <w:i/>
                <w:sz w:val="14"/>
              </w:rPr>
              <w:br/>
              <w:t>(число мужчин</w:t>
            </w:r>
            <w:r>
              <w:rPr>
                <w:i/>
                <w:sz w:val="14"/>
              </w:rPr>
              <w:br/>
              <w:t xml:space="preserve">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Буркина-Фасо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13 228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6 650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6 578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101,1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765"/>
        <w:gridCol w:w="837"/>
        <w:gridCol w:w="855"/>
        <w:gridCol w:w="819"/>
        <w:gridCol w:w="81"/>
        <w:gridCol w:w="783"/>
        <w:gridCol w:w="837"/>
        <w:gridCol w:w="864"/>
        <w:gridCol w:w="15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659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</w:t>
            </w:r>
            <w:r>
              <w:rPr>
                <w:i/>
                <w:sz w:val="14"/>
                <w:vertAlign w:val="superscript"/>
              </w:rPr>
              <w:t>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48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52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1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64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6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52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Буркина-Фасо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64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0,74 — 0,73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765"/>
        <w:gridCol w:w="837"/>
        <w:gridCol w:w="855"/>
        <w:gridCol w:w="819"/>
        <w:gridCol w:w="81"/>
        <w:gridCol w:w="783"/>
        <w:gridCol w:w="837"/>
        <w:gridCol w:w="864"/>
        <w:gridCol w:w="15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659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школа</w:t>
            </w:r>
            <w:r>
              <w:rPr>
                <w:i/>
                <w:sz w:val="14"/>
                <w:vertAlign w:val="superscript"/>
              </w:rPr>
              <w:t>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8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48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52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19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64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6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52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Буркина-Фасо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64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0,67 — 0,67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765"/>
        <w:gridCol w:w="1692"/>
        <w:gridCol w:w="1683"/>
        <w:gridCol w:w="1701"/>
        <w:gridCol w:w="15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65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—высшая школа</w:t>
            </w:r>
            <w:r>
              <w:rPr>
                <w:i/>
                <w:sz w:val="14"/>
                <w:vertAlign w:val="superscript"/>
              </w:rPr>
              <w:t>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152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69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68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70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52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Буркина-Фасо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rFonts w:ascii="Janson Text" w:hAnsi="Janson Text"/>
                <w:sz w:val="17"/>
                <w:vertAlign w:val="superscript"/>
              </w:rPr>
              <w:t>†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rFonts w:ascii="Janson Text" w:hAnsi="Janson Text"/>
                <w:sz w:val="17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rFonts w:ascii="Janson Text" w:hAnsi="Janson Text"/>
                <w:sz w:val="17"/>
                <w:vertAlign w:val="superscript"/>
              </w:rPr>
              <w:t>†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0,34</w:t>
            </w:r>
            <w:r>
              <w:rPr>
                <w:rFonts w:ascii="Janson Text" w:hAnsi="Janson Text"/>
                <w:sz w:val="17"/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765"/>
        <w:gridCol w:w="2196"/>
        <w:gridCol w:w="2196"/>
        <w:gridCol w:w="22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100 000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76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19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19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220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Буркина-Фасо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127</w:t>
            </w:r>
            <w:r>
              <w:rPr>
                <w:rFonts w:ascii="Janson Text" w:hAnsi="Janson Text"/>
                <w:sz w:val="17"/>
                <w:vertAlign w:val="superscript"/>
              </w:rPr>
              <w:t>†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194</w:t>
            </w:r>
            <w:r>
              <w:rPr>
                <w:rFonts w:ascii="Janson Text" w:hAnsi="Janson Text"/>
                <w:sz w:val="17"/>
                <w:vertAlign w:val="superscript"/>
              </w:rPr>
              <w:t>†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  <w:r>
              <w:rPr>
                <w:rFonts w:ascii="Janson Text" w:hAnsi="Janson Text"/>
                <w:sz w:val="17"/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образования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rPr>
          <w:i/>
        </w:rPr>
      </w:pPr>
      <w:r>
        <w:t>1.</w:t>
      </w:r>
      <w:r>
        <w:tab/>
      </w:r>
      <w:r>
        <w:rPr>
          <w:i/>
        </w:rPr>
        <w:t>Укрепление потенциала в области организованного с учетом гендерных факторов научно-технического обучения в целях совершенствования жизне</w:t>
      </w:r>
      <w:r>
        <w:rPr>
          <w:i/>
        </w:rPr>
        <w:t>н</w:t>
      </w:r>
      <w:r>
        <w:rPr>
          <w:i/>
        </w:rPr>
        <w:t>ных навыков (укрепление потенциала в плане обеспечения образования для всех (ОДВ) — финансируемой из внебюджетных источников программы оказания технических услуг государствам-членам) (осуществляется в настоящее вр</w:t>
      </w:r>
      <w:r>
        <w:rPr>
          <w:i/>
        </w:rPr>
        <w:t>е</w:t>
      </w:r>
      <w:r>
        <w:rPr>
          <w:i/>
        </w:rPr>
        <w:t>мя):</w:t>
      </w:r>
    </w:p>
    <w:p w:rsidR="00000000" w:rsidRDefault="00000000">
      <w:pPr>
        <w:pStyle w:val="SingleTxt"/>
      </w:pPr>
      <w:r>
        <w:tab/>
        <w:t>Цель проекта состоит в том, чтобы предусмотреть в национальных планах действий по обеспечению образования для всех мероприятия по организации научно-технического обучения с учетом гендерных и социально-культурных факторов (Непал, Египет, Буркина-Фасо и Аргентина).</w:t>
      </w:r>
    </w:p>
    <w:p w:rsidR="00000000" w:rsidRDefault="00000000">
      <w:pPr>
        <w:pStyle w:val="SingleTxt"/>
      </w:pPr>
      <w:r>
        <w:tab/>
        <w:t>В каждой из четырех стран, в которых осуществляется проект, проводятся исследования по вопросам научно-технического образования и равенства ме</w:t>
      </w:r>
      <w:r>
        <w:t>ж</w:t>
      </w:r>
      <w:r>
        <w:t>ду мужчинами и женщинами, цель которых — понять и выявить недостатки и потребности системы научно-технического обучения (НТО), с тем чтобы все дети имели возможность проходить научно-техническое обучение, организ</w:t>
      </w:r>
      <w:r>
        <w:t>о</w:t>
      </w:r>
      <w:r>
        <w:t>ванное с надлежащим учетом социально-культурных и гендерных факторов. В рамках проекта поставлены следующие конкретные ц</w:t>
      </w:r>
      <w:r>
        <w:t>е</w:t>
      </w:r>
      <w:r>
        <w:t>ли: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провести обзор — с точки зрения учета гендерных аспектов — планов действий по обеспечению образования для всех, стратегий в области н</w:t>
      </w:r>
      <w:r>
        <w:t>а</w:t>
      </w:r>
      <w:r>
        <w:t>учно-технического обучения, материалов учебных программ и условий учебы;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понять, как различные субъекты системы образования (специалисты по планированию, учителя, учащиеся и родители) относятся к вопросам н</w:t>
      </w:r>
      <w:r>
        <w:t>а</w:t>
      </w:r>
      <w:r>
        <w:t>учно-технического обучения в том, что касается доступа, участия, сп</w:t>
      </w:r>
      <w:r>
        <w:t>о</w:t>
      </w:r>
      <w:r>
        <w:t>собностей и выбора девочек;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выявить содействующие и противодействующие факторы, связанные с обеспечением доступа девочек к системе научно-технического обучения;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предложить меры в целях расширения доступа и участия девочек в си</w:t>
      </w:r>
      <w:r>
        <w:t>с</w:t>
      </w:r>
      <w:r>
        <w:t>теме научно-технического обучения.</w:t>
      </w:r>
    </w:p>
    <w:p w:rsidR="00000000" w:rsidRDefault="00000000">
      <w:pPr>
        <w:pStyle w:val="SingleTxt"/>
        <w:rPr>
          <w:i/>
        </w:rPr>
      </w:pPr>
      <w:r>
        <w:t>2.</w:t>
      </w:r>
      <w:r>
        <w:tab/>
      </w:r>
      <w:r>
        <w:rPr>
          <w:i/>
        </w:rPr>
        <w:t>ЮНЕСКО внесла свой вклад в более масштабные усилия международного сообщества по достижению двух взаимосвязанных целей, намеченных в ра</w:t>
      </w:r>
      <w:r>
        <w:rPr>
          <w:i/>
        </w:rPr>
        <w:t>м</w:t>
      </w:r>
      <w:r>
        <w:rPr>
          <w:i/>
        </w:rPr>
        <w:t>ках инициативы «Образование для всех» (цель 5) и в Декларации тысячелетия (цель 3, задача 4) — целей достижения равенства полов к 2005 году и равн</w:t>
      </w:r>
      <w:r>
        <w:rPr>
          <w:i/>
        </w:rPr>
        <w:t>о</w:t>
      </w:r>
      <w:r>
        <w:rPr>
          <w:i/>
        </w:rPr>
        <w:t>правия мужчин и женщин к 2015 году:</w:t>
      </w:r>
    </w:p>
    <w:p w:rsidR="00000000" w:rsidRDefault="00000000">
      <w:pPr>
        <w:pStyle w:val="SingleTxt"/>
      </w:pPr>
      <w:r>
        <w:tab/>
        <w:t>Хотя прогресс с 2000 года замедлился, необходимости обеспечения для всех возможностей получения образования и уменьшения степени неравенства между мужчинами и женщинами стало уделяться приоритетное внимание, что способствовало повышению осведомленности в вопросах, касающихся пол</w:t>
      </w:r>
      <w:r>
        <w:t>у</w:t>
      </w:r>
      <w:r>
        <w:t>чения женщинами образования и его актуальности для обеспечения устойчив</w:t>
      </w:r>
      <w:r>
        <w:t>о</w:t>
      </w:r>
      <w:r>
        <w:t>го развития. ЮНЕСКО активизировала свои усилия и работу с партнерами и правительствами для преодоления препятствий, стоящих на пути полноценного участия женщин и девочек в жизни общества, с тем чтобы цель обеспечения равенства полов и равноправия между мужчинами и женщинами была реально достигнута в 2015 году.</w:t>
      </w:r>
    </w:p>
    <w:p w:rsidR="00000000" w:rsidRDefault="00000000">
      <w:pPr>
        <w:pStyle w:val="SingleTxt"/>
      </w:pPr>
      <w:r>
        <w:tab/>
        <w:t>В Буркина-Фасо ЮНЕСКО разработала программу «Расширение экон</w:t>
      </w:r>
      <w:r>
        <w:t>о</w:t>
      </w:r>
      <w:r>
        <w:t>мических возможностей женщин в плане получения начального образования в сельских районах Буркина-Фасо», цель которой состоит в повышении уровня грамотности женщин для обеспечения возможности обучения в школах дев</w:t>
      </w:r>
      <w:r>
        <w:t>о</w:t>
      </w:r>
      <w:r>
        <w:t>чек. Деятельность в рамках программы охватывает работу в дошкольных у</w:t>
      </w:r>
      <w:r>
        <w:t>ч</w:t>
      </w:r>
      <w:r>
        <w:t>реждениях, организацию курсов обучения грамоте для женщин и организацию приносящих доход видов деятельности.</w:t>
      </w:r>
    </w:p>
    <w:p w:rsidR="00000000" w:rsidRDefault="00000000">
      <w:pPr>
        <w:pStyle w:val="SingleTxt"/>
      </w:pPr>
      <w:r>
        <w:t>3.</w:t>
      </w:r>
      <w:r>
        <w:tab/>
        <w:t>Наряду с этим в Буркина-Фасо осуществляется программа совершенств</w:t>
      </w:r>
      <w:r>
        <w:t>о</w:t>
      </w:r>
      <w:r>
        <w:t>вания жизненных навыков «Укрепление потенциала в области учитывающего гендерные факторы научно-технического обучения». Цель проекта состоит в том, чтобы предусмотреть в национальных планах действий по обеспечению образования для всех учет гендерных и социально-культурных факторов в ра</w:t>
      </w:r>
      <w:r>
        <w:t>м</w:t>
      </w:r>
      <w:r>
        <w:t>ках научно-технического обучения (НТО). Исследования, посвященные нау</w:t>
      </w:r>
      <w:r>
        <w:t>ч</w:t>
      </w:r>
      <w:r>
        <w:t>но-техническому обучению и вопросам равенства полов, проводились с целью понять и выявить недостатки и потребности системы научно-технического обучения, с тем чтобы все дети имели возможность проходить нау</w:t>
      </w:r>
      <w:r>
        <w:t>ч</w:t>
      </w:r>
      <w:r>
        <w:t>но-техни</w:t>
      </w:r>
      <w:r>
        <w:softHyphen/>
        <w:t>ческое обучение, организованное с надлежащим учетом социально-культурных и гендерных факторов.</w:t>
      </w:r>
    </w:p>
    <w:p w:rsidR="00000000" w:rsidRDefault="00000000">
      <w:pPr>
        <w:pStyle w:val="SingleTxt"/>
        <w:rPr>
          <w:i/>
        </w:rPr>
      </w:pPr>
      <w:r>
        <w:t>4.</w:t>
      </w:r>
      <w:r>
        <w:tab/>
      </w:r>
      <w:r>
        <w:rPr>
          <w:i/>
        </w:rPr>
        <w:t>Корректировка объема ассигнований, утвержденных на 2004–2005 годы, связанная с внесением пожертвований или специальных взносов</w:t>
      </w:r>
    </w:p>
    <w:p w:rsidR="00000000" w:rsidRDefault="00000000">
      <w:pPr>
        <w:pStyle w:val="SingleTxt"/>
      </w:pPr>
      <w:r>
        <w:tab/>
        <w:t>Взнос Княжества Монако в размере 35 000 долл. США на цели проекта «Расширение возможностей женщин в плане содействия развитию системы о</w:t>
      </w:r>
      <w:r>
        <w:t>б</w:t>
      </w:r>
      <w:r>
        <w:t>разования детей в сельских районах Буркина-Фасо»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науки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rPr>
          <w:i/>
        </w:rPr>
      </w:pPr>
      <w:r>
        <w:t>1.</w:t>
      </w:r>
      <w:r>
        <w:tab/>
      </w:r>
      <w:r>
        <w:rPr>
          <w:i/>
        </w:rPr>
        <w:t>Африканский форум «Женщины, наука и техника» — январь 1999 года</w:t>
      </w:r>
    </w:p>
    <w:p w:rsidR="00000000" w:rsidRDefault="00000000">
      <w:pPr>
        <w:pStyle w:val="SingleTxt"/>
      </w:pPr>
      <w:r>
        <w:tab/>
        <w:t>Результаты: Декларация и План действий Уагадугу; обсуждались в ходе Всемирной конференции по науке (Будапешт, июль 1999 года).</w:t>
      </w:r>
    </w:p>
    <w:p w:rsidR="00000000" w:rsidRDefault="00000000">
      <w:pPr>
        <w:pStyle w:val="SingleTxt"/>
        <w:rPr>
          <w:i/>
        </w:rPr>
      </w:pPr>
      <w:r>
        <w:t>2.</w:t>
      </w:r>
      <w:r>
        <w:tab/>
      </w:r>
      <w:r>
        <w:rPr>
          <w:i/>
        </w:rPr>
        <w:t>Организация международного научного лагеря для молодых девушек в У</w:t>
      </w:r>
      <w:r>
        <w:rPr>
          <w:i/>
        </w:rPr>
        <w:t>а</w:t>
      </w:r>
      <w:r>
        <w:rPr>
          <w:i/>
        </w:rPr>
        <w:t>гадугу в 2002 году</w:t>
      </w:r>
    </w:p>
    <w:p w:rsidR="00000000" w:rsidRDefault="00000000">
      <w:pPr>
        <w:pStyle w:val="SingleTxt"/>
      </w:pPr>
      <w:r>
        <w:tab/>
        <w:t>Результаты: участниками организованных в лагере мероприятий, посв</w:t>
      </w:r>
      <w:r>
        <w:t>я</w:t>
      </w:r>
      <w:r>
        <w:t>щенных научной деятельности и областям научной специализации, стали около 60 девушек, в том числе более 10 представительниц разных стран Западной Африки.</w:t>
      </w:r>
    </w:p>
    <w:p w:rsidR="00000000" w:rsidRDefault="00000000">
      <w:pPr>
        <w:pStyle w:val="SingleTxt"/>
        <w:rPr>
          <w:i/>
        </w:rPr>
      </w:pPr>
      <w:r>
        <w:t>3.</w:t>
      </w:r>
      <w:r>
        <w:tab/>
      </w:r>
      <w:r>
        <w:rPr>
          <w:i/>
        </w:rPr>
        <w:t>Создание кафедры ЮНЕСКО «Женщины, наука и развитие» в Универс</w:t>
      </w:r>
      <w:r>
        <w:rPr>
          <w:i/>
        </w:rPr>
        <w:t>и</w:t>
      </w:r>
      <w:r>
        <w:rPr>
          <w:i/>
        </w:rPr>
        <w:t>тете Уагадугу — декабрь 2003 года</w:t>
      </w:r>
    </w:p>
    <w:p w:rsidR="00000000" w:rsidRDefault="00000000">
      <w:pPr>
        <w:pStyle w:val="SingleTxt"/>
      </w:pPr>
      <w:r>
        <w:tab/>
        <w:t>Кафедра курирует соответствующий круг вопросов и положение в этой области в Буркина-Фасо, Того, Мали, Нигерии и Кот</w:t>
      </w:r>
      <w:r>
        <w:noBreakHyphen/>
        <w:t>д’Ивуаре.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Совместный проект ЮНЕСКО/ЮНЭЙДС «Подход к вопросам профилактики ВИЧ/СПИДа и обеспечения ухода за больными ВИЧ/СПИДом с учетом культурных особенностей»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</w:t>
      </w:r>
      <w:r>
        <w:t>и</w:t>
      </w:r>
      <w:r>
        <w:t>ально-культурных установок, предусматривающих равные возможности мужчин и женщин в том, что к</w:t>
      </w:r>
      <w:r>
        <w:t>а</w:t>
      </w:r>
      <w:r>
        <w:t>сается профилактики ВИЧ/СПИДа.</w:t>
      </w:r>
    </w:p>
    <w:p w:rsidR="00000000" w:rsidRDefault="00000000">
      <w:pPr>
        <w:pStyle w:val="SingleTxt"/>
      </w:pPr>
      <w:r>
        <w:tab/>
        <w:t>Можно особо отметить два мероприятия, которые были недавно провед</w:t>
      </w:r>
      <w:r>
        <w:t>е</w:t>
      </w:r>
      <w:r>
        <w:t>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Международного женского дня был организован дискуссионный форум по теме «Культурные аспекты борьбы африканских стран с ВИЧ/СПИДом: женщины и их усилия», в котором приняли уч</w:t>
      </w:r>
      <w:r>
        <w:t>а</w:t>
      </w:r>
      <w:r>
        <w:t>стие многие специалисты в этой области. Дискуссионный форум был о</w:t>
      </w:r>
      <w:r>
        <w:t>р</w:t>
      </w:r>
      <w:r>
        <w:t>ганизован при участии и в интересах африканских женских организаций, занимающихся проблемой ВИЧ/СПИДа;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Межсекторальная тема: искоренение нищеты, особенно крайней нищеты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Содействие искоренению нищеты за счет повышения уровня безопасности людей в Буркина-Фасо, Мали, Нигере и Бенине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Цель проекта состоит в том, чтобы способствовать искоренению нищеты и повышению степени безопасности человека на основе применения межсе</w:t>
      </w:r>
      <w:r>
        <w:t>к</w:t>
      </w:r>
      <w:r>
        <w:t>торального и междисциплинарного подхода. Помимо неправительственных о</w:t>
      </w:r>
      <w:r>
        <w:t>р</w:t>
      </w:r>
      <w:r>
        <w:t>ганизаций («Каритас», «Помощь и действия» и других), основными партнер</w:t>
      </w:r>
      <w:r>
        <w:t>а</w:t>
      </w:r>
      <w:r>
        <w:t>ми являются посольство Канады в Нигере, Канадский центр международных исследований и сотрудничества (1 495 250 франков КФА), Управление Верхо</w:t>
      </w:r>
      <w:r>
        <w:t>в</w:t>
      </w:r>
      <w:r>
        <w:t>ного комиссара по правам человека (УВКПЧ) (5000 долл. США), ПРООН и МПП. В течение рассматриваемого периода были достигнуты следующие р</w:t>
      </w:r>
      <w:r>
        <w:t>е</w:t>
      </w:r>
      <w:r>
        <w:t>зультаты:</w:t>
      </w:r>
    </w:p>
    <w:p w:rsidR="00000000" w:rsidRDefault="00000000">
      <w:pPr>
        <w:pStyle w:val="SingleTxt"/>
        <w:ind w:left="1742" w:hanging="475"/>
      </w:pPr>
      <w:r>
        <w:tab/>
        <w:t>i)</w:t>
      </w:r>
      <w:r>
        <w:tab/>
        <w:t>на совещании, проходившем на острове Горе (Сенегал, март-апрель 2004 года), была проведена первоначальная оценка проектов и работ, осуществлявшихся созданными в Мали и Нигере национальными комит</w:t>
      </w:r>
      <w:r>
        <w:t>е</w:t>
      </w:r>
      <w:r>
        <w:t>тами по контролю в связи с проблемой взаимозависимости нищеты и с</w:t>
      </w:r>
      <w:r>
        <w:t>о</w:t>
      </w:r>
      <w:r>
        <w:t>блюдения прав человека. На совещании было принято решение продо</w:t>
      </w:r>
      <w:r>
        <w:t>л</w:t>
      </w:r>
      <w:r>
        <w:t>жать обсуждение на национальном и региональном уровнях и были нам</w:t>
      </w:r>
      <w:r>
        <w:t>е</w:t>
      </w:r>
      <w:r>
        <w:t>чены к осуществлению меры в контексте реализации стратегий борьбы с нищетой, главным образом — документов о стратегии сокращения ма</w:t>
      </w:r>
      <w:r>
        <w:t>с</w:t>
      </w:r>
      <w:r>
        <w:t>штабов нищеты;</w:t>
      </w:r>
    </w:p>
    <w:p w:rsidR="00000000" w:rsidRDefault="00000000">
      <w:pPr>
        <w:pStyle w:val="SingleTxt"/>
        <w:ind w:left="1742" w:hanging="475"/>
      </w:pPr>
      <w:r>
        <w:tab/>
        <w:t>ii)</w:t>
      </w:r>
      <w:r>
        <w:tab/>
        <w:t>было обеспечено участие в процессах принятия решений на местном уровне представителей наиболее обездоленных групп населения. В трех селениях (в Буркина-Фасо, Мали и Нигере) учрежденные на уровне о</w:t>
      </w:r>
      <w:r>
        <w:t>б</w:t>
      </w:r>
      <w:r>
        <w:t>щины комитеты по вопросам управления осуществляли контроль за ходом мероприятий (одобренных местным населением). Эти мероприятия, пр</w:t>
      </w:r>
      <w:r>
        <w:t>о</w:t>
      </w:r>
      <w:r>
        <w:t>водившиеся, в частности, в интересах женщин и девочек, охватывали, помимо прочего, такие сферы деятельности, как водоснабжение, обучение грамоте, подготовка по вопросам приносящей доход деятельности, ми</w:t>
      </w:r>
      <w:r>
        <w:t>к</w:t>
      </w:r>
      <w:r>
        <w:t>рокредитование и т.п.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Программа участия и помощь в чрезвычайных ситуациях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rPr>
          <w:i/>
        </w:rPr>
      </w:pPr>
      <w:r>
        <w:t>1.</w:t>
      </w:r>
      <w:r>
        <w:tab/>
      </w:r>
      <w:r>
        <w:rPr>
          <w:i/>
        </w:rPr>
        <w:t>Оказание содействия Национальному комитету слепых женщин Бурк</w:t>
      </w:r>
      <w:r>
        <w:rPr>
          <w:i/>
        </w:rPr>
        <w:t>и</w:t>
      </w:r>
      <w:r>
        <w:rPr>
          <w:i/>
        </w:rPr>
        <w:t>нийской ассоциации помощи слепым</w:t>
      </w:r>
    </w:p>
    <w:p w:rsidR="00000000" w:rsidRDefault="00000000">
      <w:pPr>
        <w:pStyle w:val="SingleTxt"/>
      </w:pPr>
      <w:r>
        <w:tab/>
        <w:t>Проект призван обеспечить удовлетворение потребностей слепых в Бу</w:t>
      </w:r>
      <w:r>
        <w:t>р</w:t>
      </w:r>
      <w:r>
        <w:t>кина-Фасо. Комитет слепых женщин был создан в 1995 году. Цель проекта — предоставить этому комитету необходимое оборудование и услуги по орган</w:t>
      </w:r>
      <w:r>
        <w:t>и</w:t>
      </w:r>
      <w:r>
        <w:t>зации профессиональной подготовки. Профессиональная подготовка будет осуществляться в рамках серии «микропроектов». Это одна из форм обучения взрослых, которая позволяет расширить права и возможности женщин-инвалидов, с тем чтобы стимулировать их к более активному участию в жизни общества. Помимо этого, проект разработан с целью содействовать созданию в провинции других комитетов.</w:t>
      </w:r>
    </w:p>
    <w:p w:rsidR="00000000" w:rsidRDefault="00000000">
      <w:pPr>
        <w:pStyle w:val="SingleTxt"/>
      </w:pPr>
      <w:r>
        <w:t>2.</w:t>
      </w:r>
      <w:r>
        <w:tab/>
      </w:r>
      <w:r>
        <w:rPr>
          <w:i/>
        </w:rPr>
        <w:t>Организация подготовки по вопросам, касающимся прав человека, гра</w:t>
      </w:r>
      <w:r>
        <w:rPr>
          <w:i/>
        </w:rPr>
        <w:t>ж</w:t>
      </w:r>
      <w:r>
        <w:rPr>
          <w:i/>
        </w:rPr>
        <w:t>данства и местных демократических институтов в Сенегале, Буркина</w:t>
      </w:r>
      <w:r>
        <w:rPr>
          <w:i/>
        </w:rPr>
        <w:noBreakHyphen/>
        <w:t>Фасо и Мали</w:t>
      </w:r>
    </w:p>
    <w:p w:rsidR="00000000" w:rsidRDefault="00000000">
      <w:pPr>
        <w:pStyle w:val="SingleTxt"/>
      </w:pPr>
      <w:r>
        <w:tab/>
        <w:t>Данный проект, концепция которого была согласована с правительствами Сенегала, Мали и Буркина-Фасо и в задачи которого входит популяризация опыта работы ЮНЕСКО в сфере профессиональной подготовки по вопросам, касающимся «прав человека, гражданства и местных демократических инст</w:t>
      </w:r>
      <w:r>
        <w:t>и</w:t>
      </w:r>
      <w:r>
        <w:t>тутов», предполагает также осуществление мероприятий в поддержку и в ц</w:t>
      </w:r>
      <w:r>
        <w:t>е</w:t>
      </w:r>
      <w:r>
        <w:t>лях углубления процессов децентрализации с учетом того, что осуществление прав человека является центральным моментом деятельности в интересах обеспечения демократии и развития.</w:t>
      </w:r>
    </w:p>
    <w:p w:rsidR="00000000" w:rsidRDefault="00000000">
      <w:pPr>
        <w:pStyle w:val="SingleTxt"/>
      </w:pPr>
      <w:r>
        <w:tab/>
        <w:t>В интересах более эффективного обеспечения равенства полов женщинам будет отводиться роль активных участников на всех этапах проектного цикла в контексте исследовательской деятельности, практических мероприятий, пер</w:t>
      </w:r>
      <w:r>
        <w:t>е</w:t>
      </w:r>
      <w:r>
        <w:t>квалификации сотрудников, занимающихся вопросами подготовки, деятельн</w:t>
      </w:r>
      <w:r>
        <w:t>о</w:t>
      </w:r>
      <w:r>
        <w:t>сти по оценке — в целях популяризации и подготовки педагогических мат</w:t>
      </w:r>
      <w:r>
        <w:t>е</w:t>
      </w:r>
      <w:r>
        <w:t>риалов. В осуществлении проекта примут участие отдельные ассоциации же</w:t>
      </w:r>
      <w:r>
        <w:t>н</w:t>
      </w:r>
      <w:r>
        <w:t>щин. В рамках проекта предполагается принять меры, с тем чтобы удовлетв</w:t>
      </w:r>
      <w:r>
        <w:t>о</w:t>
      </w:r>
      <w:r>
        <w:t>рить потребности в подготовке женщин-консультантов и в других видах де</w:t>
      </w:r>
      <w:r>
        <w:t>я</w:t>
      </w:r>
      <w:r>
        <w:t>тельности, нацеленных на обеспечение более активного участия женщин в о</w:t>
      </w:r>
      <w:r>
        <w:t>б</w:t>
      </w:r>
      <w:r>
        <w:t>щественной жизни на местном уровне.</w:t>
      </w:r>
    </w:p>
    <w:p w:rsidR="00000000" w:rsidRDefault="00000000">
      <w:pPr>
        <w:pStyle w:val="SingleTxt"/>
      </w:pPr>
      <w:r>
        <w:t>3.</w:t>
      </w:r>
      <w:r>
        <w:tab/>
        <w:t>На двухгодичный период 2004–2005 годов Буркина-Фасо в качестве гос</w:t>
      </w:r>
      <w:r>
        <w:t>у</w:t>
      </w:r>
      <w:r>
        <w:t>дарства-члена или ассоциированного члена в рамках Программы участия или деятельности по оказанию чрезвычайной помощи получила 45 000 долл. США на цели осуществления регионального проекта «Совещание министров образ</w:t>
      </w:r>
      <w:r>
        <w:t>о</w:t>
      </w:r>
      <w:r>
        <w:t>вания, посвященное международному центру образования девочек и женщин в Африке».</w:t>
      </w:r>
    </w:p>
    <w:p w:rsidR="00000000" w:rsidRDefault="00000000">
      <w:pPr>
        <w:pStyle w:val="SingleTxt"/>
      </w:pPr>
      <w:r>
        <w:t>4.</w:t>
      </w:r>
      <w:r>
        <w:tab/>
        <w:t>На двухгодичный период 2004–2005 годов Международный совет телер</w:t>
      </w:r>
      <w:r>
        <w:t>а</w:t>
      </w:r>
      <w:r>
        <w:t>диовещания на французском языке, зарегистрированная международная непр</w:t>
      </w:r>
      <w:r>
        <w:t>а</w:t>
      </w:r>
      <w:r>
        <w:t>вительственная организация, поддерживающая официальные отношения с ЮНЕСКО, получил 17 000 долл. США на цели реализации проекта «Журналы (12 журналов радио, 12 телевизионных журналов) и радио- и телереклама, п</w:t>
      </w:r>
      <w:r>
        <w:t>о</w:t>
      </w:r>
      <w:r>
        <w:t>священная правам человека в целом, правам женщин и детей».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2005 году стипендия ЮНЕСКО-фирмы «Л’ОРЕАЛЬ», присуждаемая в рамках программы «В поддержку женщин, занимающихся наукой», которая о</w:t>
      </w:r>
      <w:r>
        <w:t>р</w:t>
      </w:r>
      <w:r>
        <w:t>ганизована в интересах женщин, занимающихся исследовательской деятельн</w:t>
      </w:r>
      <w:r>
        <w:t>о</w:t>
      </w:r>
      <w:r>
        <w:t>стью в естественно-научной сфере в целях получения ученой степени либо п</w:t>
      </w:r>
      <w:r>
        <w:t>о</w:t>
      </w:r>
      <w:r>
        <w:t>сле получения таковой, была присуждена г</w:t>
      </w:r>
      <w:r>
        <w:noBreakHyphen/>
        <w:t>же Фати Киракоя из Буркина-Фасо. Максимальный размер к</w:t>
      </w:r>
      <w:r>
        <w:t>а</w:t>
      </w:r>
      <w:r>
        <w:t>ждой стипендии — 20 000 долл. США.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Корейская Народно-Демократическая Республика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Базовые статистические данные — народонаселение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20"/>
        <w:gridCol w:w="990"/>
        <w:gridCol w:w="1080"/>
        <w:gridCol w:w="108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72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2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Соотношение между числом мужчин и числом женщин </w:t>
            </w:r>
            <w:r>
              <w:rPr>
                <w:i/>
                <w:sz w:val="14"/>
              </w:rPr>
              <w:br/>
              <w:t>(число мужчин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4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Корейская Н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родно-Демократическая Ре</w:t>
            </w:r>
            <w:r>
              <w:rPr>
                <w:sz w:val="17"/>
              </w:rPr>
              <w:t>с</w:t>
            </w:r>
            <w:r>
              <w:rPr>
                <w:sz w:val="17"/>
              </w:rPr>
              <w:t>публика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22 488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11 233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11 255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99,8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513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5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Корейская Н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родно-Демо</w:t>
            </w:r>
            <w:r>
              <w:rPr>
                <w:sz w:val="17"/>
              </w:rPr>
              <w:softHyphen/>
              <w:t>кратическая Респу</w:t>
            </w:r>
            <w:r>
              <w:rPr>
                <w:sz w:val="17"/>
              </w:rPr>
              <w:t>б</w:t>
            </w:r>
            <w:r>
              <w:rPr>
                <w:sz w:val="17"/>
              </w:rPr>
              <w:t>лика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513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школа***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5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Корейская Н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родно-Демо</w:t>
            </w:r>
            <w:r>
              <w:rPr>
                <w:sz w:val="17"/>
              </w:rPr>
              <w:softHyphen/>
              <w:t>кратическая Респу</w:t>
            </w:r>
            <w:r>
              <w:rPr>
                <w:sz w:val="17"/>
              </w:rPr>
              <w:t>б</w:t>
            </w:r>
            <w:r>
              <w:rPr>
                <w:sz w:val="17"/>
              </w:rPr>
              <w:t>лика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513"/>
        <w:gridCol w:w="2277"/>
        <w:gridCol w:w="1728"/>
        <w:gridCol w:w="1503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—высшая школа****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5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Индекс гендерного равенства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5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72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50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Корейская Н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родно-Демо</w:t>
            </w:r>
            <w:r>
              <w:rPr>
                <w:sz w:val="17"/>
              </w:rPr>
              <w:softHyphen/>
              <w:t>кратическая Респу</w:t>
            </w:r>
            <w:r>
              <w:rPr>
                <w:sz w:val="17"/>
              </w:rPr>
              <w:t>б</w:t>
            </w:r>
            <w:r>
              <w:rPr>
                <w:sz w:val="17"/>
              </w:rPr>
              <w:t>лика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504"/>
        <w:gridCol w:w="2286"/>
        <w:gridCol w:w="2394"/>
        <w:gridCol w:w="2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100 000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50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8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39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21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8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Корейская Н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родно-Демо</w:t>
            </w:r>
            <w:r>
              <w:rPr>
                <w:sz w:val="17"/>
              </w:rPr>
              <w:softHyphen/>
              <w:t>кратическая Респу</w:t>
            </w:r>
            <w:r>
              <w:rPr>
                <w:sz w:val="17"/>
              </w:rPr>
              <w:t>б</w:t>
            </w:r>
            <w:r>
              <w:rPr>
                <w:sz w:val="17"/>
              </w:rPr>
              <w:t xml:space="preserve">лика 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8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rPr>
          <w:i/>
        </w:rPr>
        <w:t>Совместный проект ЮНЕСКО/ЮНЭЙДС «Подход к вопросам профилактики ВИЧ/СПИДа и обеспечения ухода за больными ВИЧ/СПИДом с учетом кул</w:t>
      </w:r>
      <w:r>
        <w:rPr>
          <w:i/>
        </w:rPr>
        <w:t>ь</w:t>
      </w:r>
      <w:r>
        <w:rPr>
          <w:i/>
        </w:rPr>
        <w:t>турных особенностей</w:t>
      </w: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социально-культурных установок, предусматривающих равные возможности мужчин и женщин в том, что касается пр</w:t>
      </w:r>
      <w:r>
        <w:t>о</w:t>
      </w:r>
      <w:r>
        <w:t>филактики ВИЧ/СПИДа.</w:t>
      </w:r>
    </w:p>
    <w:p w:rsidR="00000000" w:rsidRDefault="00000000">
      <w:pPr>
        <w:pStyle w:val="SingleTxt"/>
      </w:pPr>
      <w:r>
        <w:tab/>
        <w:t>Можно особо отметить мероприятия, которые были недавно проведены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2005 и в 2000 годах стипендии ЮНЕСКО фирмы «Л’ОРЕАЛЬ», прис</w:t>
      </w:r>
      <w:r>
        <w:t>у</w:t>
      </w:r>
      <w:r>
        <w:t>ждаемые в рамках программы «В поддержку женщин, занимающихся наукой», которая организована в интересах женщин, занимающихся исследовательской деятельностью в естественно-научной сфере в целях получения ученой степ</w:t>
      </w:r>
      <w:r>
        <w:t>е</w:t>
      </w:r>
      <w:r>
        <w:t>ни или после получения таковой были присуждены, соответственно, г</w:t>
      </w:r>
      <w:r>
        <w:noBreakHyphen/>
        <w:t>же Ён Сун Гё и г</w:t>
      </w:r>
      <w:r>
        <w:noBreakHyphen/>
        <w:t>же Джун Парк. Максимальный размер каждой стипендии — 20 000 долл. США.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Гамбия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Базовые статистические данные — 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900"/>
        <w:gridCol w:w="1386"/>
        <w:gridCol w:w="1350"/>
        <w:gridCol w:w="126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0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38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3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2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2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Соотношение между числом мужчин и числом женщин </w:t>
            </w:r>
            <w:r>
              <w:rPr>
                <w:i/>
                <w:sz w:val="14"/>
              </w:rPr>
              <w:br/>
              <w:t>(число мужчин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40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Гамбия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1 517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752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765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98,3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</w:t>
            </w:r>
            <w:r>
              <w:rPr>
                <w:vertAlign w:val="superscript"/>
              </w:rPr>
              <w:t xml:space="preserve"> 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Гамбия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  <w:r>
              <w:rPr>
                <w:vertAlign w:val="superscript"/>
              </w:rPr>
              <w:t>†</w:t>
            </w:r>
            <w:r>
              <w:rPr>
                <w:sz w:val="17"/>
              </w:rPr>
              <w:t>–0,99</w:t>
            </w:r>
            <w:r>
              <w:rPr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школа</w:t>
            </w:r>
            <w:r>
              <w:rPr>
                <w:vertAlign w:val="superscript"/>
              </w:rPr>
              <w:t xml:space="preserve"> 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Гамбия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t>41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0,69</w:t>
            </w:r>
            <w:r>
              <w:rPr>
                <w:vertAlign w:val="superscript"/>
              </w:rPr>
              <w:t>†</w:t>
            </w:r>
            <w:r>
              <w:rPr>
                <w:sz w:val="17"/>
              </w:rPr>
              <w:t>–0,68</w:t>
            </w:r>
            <w:r>
              <w:rPr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2277"/>
        <w:gridCol w:w="1728"/>
        <w:gridCol w:w="1503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—высшая школа</w:t>
            </w:r>
            <w:r>
              <w:rPr>
                <w:vertAlign w:val="superscript"/>
              </w:rPr>
              <w:t xml:space="preserve"> 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72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50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Гамбия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1998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0,29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2277"/>
        <w:gridCol w:w="2394"/>
        <w:gridCol w:w="2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100 000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39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21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Гамбия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1998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148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образования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rPr>
          <w:i/>
        </w:rPr>
        <w:t>Организовать субрегиональное совещание старших государственных должн</w:t>
      </w:r>
      <w:r>
        <w:rPr>
          <w:i/>
        </w:rPr>
        <w:t>о</w:t>
      </w:r>
      <w:r>
        <w:rPr>
          <w:i/>
        </w:rPr>
        <w:t>стных лиц и руководителей в интересах переживающих или переживших кр</w:t>
      </w:r>
      <w:r>
        <w:rPr>
          <w:i/>
        </w:rPr>
        <w:t>и</w:t>
      </w:r>
      <w:r>
        <w:rPr>
          <w:i/>
        </w:rPr>
        <w:t>зис западноафр</w:t>
      </w:r>
      <w:r>
        <w:rPr>
          <w:i/>
        </w:rPr>
        <w:t>и</w:t>
      </w:r>
      <w:r>
        <w:rPr>
          <w:i/>
        </w:rPr>
        <w:t>канских стран</w:t>
      </w:r>
    </w:p>
    <w:p w:rsidR="00000000" w:rsidRDefault="00000000">
      <w:pPr>
        <w:pStyle w:val="SingleTxt"/>
      </w:pPr>
      <w:r>
        <w:tab/>
        <w:t>Предпринимаются попытки изыскать дополнительные средства для ф</w:t>
      </w:r>
      <w:r>
        <w:t>и</w:t>
      </w:r>
      <w:r>
        <w:t>нансирования этой деятельности в Гамбии. Ожидается, что эта деятельность будет завершена в апреле 2005 года. Проект имеет целью оказать западноафр</w:t>
      </w:r>
      <w:r>
        <w:t>и</w:t>
      </w:r>
      <w:r>
        <w:t>канским странам, переживающим и пережившим кризис, помощь в достиж</w:t>
      </w:r>
      <w:r>
        <w:t>е</w:t>
      </w:r>
      <w:r>
        <w:t>нии к 2015 году поставленной в Дакаре цели обеспечения образования для всех (ОДВ). Будет оказана поддержка в реализации инициатив, нацеленных на обе</w:t>
      </w:r>
      <w:r>
        <w:t>с</w:t>
      </w:r>
      <w:r>
        <w:t>печение учета ценных практических методов обучения навыкам сосуществов</w:t>
      </w:r>
      <w:r>
        <w:t>а</w:t>
      </w:r>
      <w:r>
        <w:t>ния на всех уровнях системы образования, путем оказания относящимся к да</w:t>
      </w:r>
      <w:r>
        <w:t>н</w:t>
      </w:r>
      <w:r>
        <w:t>ным водосборным бассейнам государствам-членам помощи в переориентации их базовых стратегий в сфере образования таким образом, чтобы в них нашли свое отражение такие ценности, как права человека, равенство полов, мир, терпимость, ненасилие и взаимопонимание между народами.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Совместный проект ЮНЕСКО/ЮНЭЙДС «Подход к вопросам профилактики ВИЧ/СПИДа и обеспечения ухода за больными ВИЧ/СПИДом с учетом культурных особенностей»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эпидемии,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</w:t>
      </w:r>
      <w:r>
        <w:t>и</w:t>
      </w:r>
      <w:r>
        <w:t>ально-культурных установок, предусматривающих равные возможности мужчин и женщин в том, что касается профила</w:t>
      </w:r>
      <w:r>
        <w:t>к</w:t>
      </w:r>
      <w:r>
        <w:t>тики ВИЧ/СПИДа.</w:t>
      </w:r>
    </w:p>
    <w:p w:rsidR="00000000" w:rsidRDefault="00000000">
      <w:pPr>
        <w:pStyle w:val="SingleTxt"/>
      </w:pPr>
      <w:r>
        <w:tab/>
        <w:t>Можно особо отметить два мероприятия, которые были недавно провед</w:t>
      </w:r>
      <w:r>
        <w:t>е</w:t>
      </w:r>
      <w:r>
        <w:t>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Международного женского дня был организован дискуссионный форум по теме «Культурные аспекты борьбы африканских стран с ВИЧ/СПИДом: женщины и их усилия», в котором приняли уч</w:t>
      </w:r>
      <w:r>
        <w:t>а</w:t>
      </w:r>
      <w:r>
        <w:t>стие многие специалисты в этой области. Дискуссионный форум был о</w:t>
      </w:r>
      <w:r>
        <w:t>р</w:t>
      </w:r>
      <w:r>
        <w:t>ганизован при участии и в интересах африканских женских организаций, занимающихся пробл</w:t>
      </w:r>
      <w:r>
        <w:t>е</w:t>
      </w:r>
      <w:r>
        <w:t>мой ВИЧ/СПИДа;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Программа участия и помощь в чрезвычайных ситуациях</w:t>
      </w:r>
    </w:p>
    <w:p w:rsidR="00000000" w:rsidRDefault="00000000">
      <w:pPr>
        <w:pStyle w:val="SingleTxt"/>
        <w:keepNext/>
        <w:keepLines/>
        <w:widowControl w:val="0"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keepLines/>
        <w:widowControl w:val="0"/>
      </w:pPr>
      <w:r>
        <w:tab/>
        <w:t>На двухгодичный период 2004–2005 годов Гамбия в качестве государства-члена или ассоциированного члена в рамках Программы участия или деятел</w:t>
      </w:r>
      <w:r>
        <w:t>ь</w:t>
      </w:r>
      <w:r>
        <w:t>ности по оказанию помощи в чрезвычайных ситуациях получила 20 000 долл. США на цели реализации проекта «Организация конференций специально для девочек и подготовка брошюры о положении девочек».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2005 году в рамках Программы стипендий партнерства ЮНЕСКО/Сюзанн Мубарак/Япония-Египет в интересах расширения возмо</w:t>
      </w:r>
      <w:r>
        <w:t>ж</w:t>
      </w:r>
      <w:r>
        <w:t>ностей женщин, занимающихся исследованиями вопросов мира и гендерных вопросов, стипендия была предоставлена г</w:t>
      </w:r>
      <w:r>
        <w:noBreakHyphen/>
        <w:t>же Мариаме Кхан из Гамбии.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Гайана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Базовые статистические данные — 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70"/>
        <w:gridCol w:w="1260"/>
        <w:gridCol w:w="1260"/>
        <w:gridCol w:w="117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5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2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2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1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Соотношение между числом мужчин и числом женщин </w:t>
            </w:r>
            <w:r>
              <w:rPr>
                <w:i/>
                <w:sz w:val="14"/>
              </w:rPr>
              <w:br/>
              <w:t>(чи</w:t>
            </w:r>
            <w:r>
              <w:rPr>
                <w:i/>
                <w:sz w:val="14"/>
              </w:rPr>
              <w:t>с</w:t>
            </w:r>
            <w:r>
              <w:rPr>
                <w:i/>
                <w:sz w:val="14"/>
              </w:rPr>
              <w:t>ло мужчин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Гайана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751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387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94,2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</w:t>
            </w:r>
            <w:r>
              <w:rPr>
                <w:vertAlign w:val="superscript"/>
              </w:rPr>
              <w:t xml:space="preserve"> 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Гайана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98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</w:t>
            </w:r>
            <w:r>
              <w:rPr>
                <w:vertAlign w:val="superscript"/>
              </w:rPr>
              <w:t>†</w:t>
            </w:r>
            <w:r>
              <w:rPr>
                <w:sz w:val="17"/>
              </w:rPr>
              <w:t>–0,98</w:t>
            </w:r>
            <w:r>
              <w:rPr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школа</w:t>
            </w:r>
            <w:r>
              <w:rPr>
                <w:vertAlign w:val="superscript"/>
              </w:rPr>
              <w:t xml:space="preserve"> 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Гайана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t>87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  <w:r>
              <w:rPr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1,03–1,04</w:t>
            </w:r>
            <w:r>
              <w:rPr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2277"/>
        <w:gridCol w:w="1728"/>
        <w:gridCol w:w="1503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—высшая школа</w:t>
            </w:r>
            <w:r>
              <w:rPr>
                <w:vertAlign w:val="superscript"/>
              </w:rPr>
              <w:t xml:space="preserve"> 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Индекс гендерного равенства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72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50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Гайана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1,58</w:t>
            </w:r>
            <w:r>
              <w:rPr>
                <w:vertAlign w:val="superscript"/>
              </w:rPr>
              <w:t>†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24"/>
        <w:gridCol w:w="2277"/>
        <w:gridCol w:w="2394"/>
        <w:gridCol w:w="2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100 000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81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9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39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21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81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Гайана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635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511</w:t>
            </w:r>
            <w:r>
              <w:rPr>
                <w:vertAlign w:val="superscript"/>
              </w:rPr>
              <w:t>†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752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Совместный проект ЮНЕСКО/ЮНЭЙДС «Подход к вопросам профилактики ВИЧ/СПИДа и обеспечения ухода за больными ВИЧ/СПИДом с учетом культурных особенностей»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эпидемии,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</w:t>
      </w:r>
      <w:r>
        <w:t>и</w:t>
      </w:r>
      <w:r>
        <w:t>ально-культурных установок, предусматривающих равные возможности мужчин и женщин в том, что касается профила</w:t>
      </w:r>
      <w:r>
        <w:t>к</w:t>
      </w:r>
      <w:r>
        <w:t>тики ВИЧ/СПИДа.</w:t>
      </w:r>
    </w:p>
    <w:p w:rsidR="00000000" w:rsidRDefault="00000000">
      <w:pPr>
        <w:pStyle w:val="SingleTxt"/>
      </w:pPr>
      <w:r>
        <w:tab/>
        <w:t>Можно особо отметить мероприятия, которые были недавно проведены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Ирландия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Базовые статистические данные — 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170"/>
        <w:gridCol w:w="1170"/>
        <w:gridCol w:w="1170"/>
        <w:gridCol w:w="108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7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2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Соотношение между числом мужчин и числом женщин </w:t>
            </w:r>
            <w:r>
              <w:rPr>
                <w:i/>
                <w:sz w:val="14"/>
              </w:rPr>
              <w:br/>
              <w:t>(число мужчин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71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Ирландия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4 148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2 063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2 085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99,0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37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</w:t>
            </w:r>
            <w:r>
              <w:rPr>
                <w:i/>
                <w:vertAlign w:val="superscript"/>
              </w:rPr>
              <w:t>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Ирла</w:t>
            </w:r>
            <w:r>
              <w:rPr>
                <w:sz w:val="17"/>
              </w:rPr>
              <w:t>н</w:t>
            </w:r>
            <w:r>
              <w:rPr>
                <w:sz w:val="17"/>
              </w:rPr>
              <w:t>дия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1,00–1,02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37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</w:t>
            </w:r>
            <w:r>
              <w:rPr>
                <w:i/>
                <w:vertAlign w:val="superscript"/>
              </w:rPr>
              <w:t>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83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Ирландия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t>102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1,09–1,08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1170"/>
        <w:gridCol w:w="1620"/>
        <w:gridCol w:w="1620"/>
        <w:gridCol w:w="2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—высшая школа</w:t>
            </w:r>
            <w:r>
              <w:rPr>
                <w:i/>
                <w:vertAlign w:val="superscript"/>
              </w:rPr>
              <w:t>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2106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Индекс гендерного равенс</w:t>
            </w:r>
            <w:r>
              <w:rPr>
                <w:i/>
                <w:sz w:val="14"/>
              </w:rPr>
              <w:t>т</w:t>
            </w:r>
            <w:r>
              <w:rPr>
                <w:i/>
                <w:sz w:val="14"/>
              </w:rP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62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62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106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0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Ирландия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1,32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1944"/>
        <w:gridCol w:w="2394"/>
        <w:gridCol w:w="2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100 000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94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39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21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Ирла</w:t>
            </w:r>
            <w:r>
              <w:rPr>
                <w:sz w:val="17"/>
              </w:rPr>
              <w:t>н</w:t>
            </w:r>
            <w:r>
              <w:rPr>
                <w:sz w:val="17"/>
              </w:rPr>
              <w:t>дия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4 642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4 135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5 144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rPr>
          <w:i/>
        </w:rPr>
      </w:pPr>
      <w:r>
        <w:rPr>
          <w:i/>
        </w:rPr>
        <w:t>Совместный проект ЮНЕСКО/ЮНЭЙДС «Подход к вопросам профилактики ВИЧ/СПИДа и обеспечения ухода за больными ВИЧ/СПИДом с учетом кул</w:t>
      </w:r>
      <w:r>
        <w:rPr>
          <w:i/>
        </w:rPr>
        <w:t>ь</w:t>
      </w:r>
      <w:r>
        <w:rPr>
          <w:i/>
        </w:rPr>
        <w:t>турных особенностей»</w:t>
      </w:r>
    </w:p>
    <w:p w:rsidR="00000000" w:rsidRDefault="00000000">
      <w:pPr>
        <w:pStyle w:val="SingleTxt"/>
        <w:spacing w:after="0" w:line="120" w:lineRule="exact"/>
        <w:rPr>
          <w:i/>
          <w:sz w:val="10"/>
        </w:rPr>
      </w:pP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эпидемии,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</w:t>
      </w:r>
      <w:r>
        <w:t>и</w:t>
      </w:r>
      <w:r>
        <w:t>ально-культурных установок, предусматривающих равные возможности мужчин и женщин в том, что касается профила</w:t>
      </w:r>
      <w:r>
        <w:t>к</w:t>
      </w:r>
      <w:r>
        <w:t>тики ВИЧ/СПИДа.</w:t>
      </w:r>
    </w:p>
    <w:p w:rsidR="00000000" w:rsidRDefault="00000000">
      <w:pPr>
        <w:pStyle w:val="SingleTxt"/>
      </w:pPr>
      <w:r>
        <w:tab/>
        <w:t>Можно особо отметить мероприятия, которые были недавно проведены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Израиль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Базовые статистические данные — народонаселение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350"/>
        <w:gridCol w:w="1170"/>
        <w:gridCol w:w="108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2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3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2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Соотношение между числом мужчин и числом женщин </w:t>
            </w:r>
            <w:r>
              <w:rPr>
                <w:i/>
                <w:sz w:val="14"/>
              </w:rPr>
              <w:br/>
              <w:t>(число мужчин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Израиль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6 725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3 327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3 398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97,9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57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</w:t>
            </w:r>
            <w:r>
              <w:rPr>
                <w:i/>
                <w:sz w:val="14"/>
                <w:vertAlign w:val="superscript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Израиль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1,00–1,00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57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школа</w:t>
            </w:r>
            <w:r>
              <w:rPr>
                <w:i/>
                <w:sz w:val="14"/>
                <w:vertAlign w:val="superscript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Израиль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0,98–1,00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30"/>
        <w:gridCol w:w="1404"/>
        <w:gridCol w:w="1566"/>
        <w:gridCol w:w="1440"/>
        <w:gridCol w:w="1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  <w:vertAlign w:val="superscript"/>
              </w:rPr>
            </w:pPr>
            <w:r>
              <w:rPr>
                <w:i/>
                <w:sz w:val="14"/>
              </w:rPr>
              <w:t>Контингент учащихся —высшая школа</w:t>
            </w:r>
            <w:r>
              <w:rPr>
                <w:i/>
                <w:sz w:val="14"/>
                <w:vertAlign w:val="superscript"/>
              </w:rPr>
              <w:sym w:font="Symbol" w:char="F062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15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1566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</w:t>
            </w:r>
            <w:r>
              <w:rPr>
                <w:i/>
                <w:sz w:val="14"/>
              </w:rPr>
              <w:br/>
              <w:t>р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венства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5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40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56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44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566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Израиль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1,33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30"/>
        <w:gridCol w:w="1980"/>
        <w:gridCol w:w="1818"/>
        <w:gridCol w:w="252"/>
        <w:gridCol w:w="19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100 000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5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19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070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9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Израиль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4 780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4 291</w:t>
            </w:r>
          </w:p>
        </w:tc>
        <w:tc>
          <w:tcPr>
            <w:tcW w:w="217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5 256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</w:rPr>
      </w:pPr>
      <w:r>
        <w:tab/>
      </w:r>
      <w:r>
        <w:tab/>
        <w:t>Совместный проект ЮНЕСКО/ЮНЭЙДС «Подход к вопросам профилактики ВИЧ/СПИДа и обеспечения ухода за больными ВИЧ/СПИДом с учетом культурных особенностей»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социально-культурных установок, предусматривающих равные возможности мужчин и женщин в том, что касается профилактики ВИЧ/СПИДа.</w:t>
      </w:r>
    </w:p>
    <w:p w:rsidR="00000000" w:rsidRDefault="00000000">
      <w:pPr>
        <w:pStyle w:val="SingleTxt"/>
      </w:pPr>
      <w:r>
        <w:tab/>
        <w:t>Можно особо отметить мероприятия, которые были недавно проведены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коммуникации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Создание мультипликационных фильмов, посвященных правам молодых женщин и девочек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2004 году ЮНЕСКО выделила 17 650 долл. США на осуществление проекта по созданию 30 фильмов продолжительностью 60 секунд каждый, п</w:t>
      </w:r>
      <w:r>
        <w:t>о</w:t>
      </w:r>
      <w:r>
        <w:t>священных основным правам девочек и молодых женщин на образование и о</w:t>
      </w:r>
      <w:r>
        <w:t>х</w:t>
      </w:r>
      <w:r>
        <w:t>рану здоровья. Цель создания этой серии фильмов заключается в том, чтобы повысить степень информированности по этим вопросам с помощью досту</w:t>
      </w:r>
      <w:r>
        <w:t>п</w:t>
      </w:r>
      <w:r>
        <w:t>ного всем языка мультипликации. Эта серия фильмов будет распространена для показа во многих странах мира. Проект в полной мере согласуется с разр</w:t>
      </w:r>
      <w:r>
        <w:t>а</w:t>
      </w:r>
      <w:r>
        <w:t>ботанной ЮНЕСКО Рамочной программой выполнения мер по учету генде</w:t>
      </w:r>
      <w:r>
        <w:t>р</w:t>
      </w:r>
      <w:r>
        <w:t>ной проблематики в том, что касается содействия достижению равенства ме</w:t>
      </w:r>
      <w:r>
        <w:t>ж</w:t>
      </w:r>
      <w:r>
        <w:t>ду мужчинами и женщинами и учета гендерных аспектов в рамках планиров</w:t>
      </w:r>
      <w:r>
        <w:t>а</w:t>
      </w:r>
      <w:r>
        <w:t>ния стратегий и составления программ.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В 2003 году стипендия ЮНЕСКО/фирмы «Л’Ореаль», присуждаемая в рамках программы «В поддержку женщин, занимающихся наукой», которая организ</w:t>
      </w:r>
      <w:r>
        <w:t>о</w:t>
      </w:r>
      <w:r>
        <w:t>вана в интересах женщин, занимающихся исследовательской деятельностью в естественно-научной сфере в целях получения ученой степени или после пол</w:t>
      </w:r>
      <w:r>
        <w:t>у</w:t>
      </w:r>
      <w:r>
        <w:t>чения таковой, была присуждена г</w:t>
      </w:r>
      <w:r>
        <w:noBreakHyphen/>
        <w:t>же Виктории Явельски из Израиля. Макс</w:t>
      </w:r>
      <w:r>
        <w:t>и</w:t>
      </w:r>
      <w:r>
        <w:t>мальный размер каждой стипендии — 20 000 долл. США.</w:t>
      </w:r>
    </w:p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</w:pPr>
      <w:r>
        <w:br w:type="page"/>
      </w:r>
      <w:r>
        <w:tab/>
      </w:r>
      <w:r>
        <w:tab/>
        <w:t>Ливан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Базовые статистические данные — народонаселение и 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350"/>
        <w:gridCol w:w="990"/>
        <w:gridCol w:w="1080"/>
        <w:gridCol w:w="1170"/>
        <w:gridCol w:w="2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Население в т</w:t>
            </w:r>
            <w:r>
              <w:rPr>
                <w:i/>
                <w:sz w:val="14"/>
              </w:rPr>
              <w:t>ы</w:t>
            </w:r>
            <w:r>
              <w:rPr>
                <w:i/>
                <w:sz w:val="14"/>
              </w:rPr>
              <w:t>сячах человек*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5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13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1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24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Соотношение между числом му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 xml:space="preserve">чин и числом женщин </w:t>
            </w:r>
            <w:r>
              <w:rPr>
                <w:i/>
                <w:sz w:val="14"/>
              </w:rPr>
              <w:br/>
              <w:t>(число мужчин на 100 женщин)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Ливан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3 577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1 753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1 824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96,1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57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начальная школа</w:t>
            </w:r>
            <w:r>
              <w:rPr>
                <w:i/>
                <w:sz w:val="14"/>
                <w:vertAlign w:val="superscript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Ливан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0,97–0,99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57"/>
        <w:gridCol w:w="927"/>
        <w:gridCol w:w="972"/>
        <w:gridCol w:w="855"/>
        <w:gridCol w:w="126"/>
        <w:gridCol w:w="702"/>
        <w:gridCol w:w="936"/>
        <w:gridCol w:w="990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Контингент учащихся — средняя школа</w:t>
            </w:r>
            <w:r>
              <w:rPr>
                <w:i/>
                <w:sz w:val="14"/>
                <w:vertAlign w:val="superscript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Валовой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2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Чистый показатель охвата </w:t>
            </w:r>
            <w:r>
              <w:rPr>
                <w:i/>
                <w:sz w:val="14"/>
              </w:rPr>
              <w:br/>
              <w:t>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Индекс гендерного равенства </w:t>
            </w:r>
            <w:r>
              <w:rPr>
                <w:i/>
                <w:sz w:val="14"/>
              </w:rPr>
              <w:br/>
              <w:t>(ВПО — ЧПО)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92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7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85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828" w:type="dxa"/>
            <w:gridSpan w:val="2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Ливан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1,09– –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57"/>
        <w:gridCol w:w="2277"/>
        <w:gridCol w:w="1728"/>
        <w:gridCol w:w="1503"/>
        <w:gridCol w:w="1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  <w:vertAlign w:val="superscript"/>
              </w:rPr>
            </w:pPr>
            <w:r>
              <w:rPr>
                <w:i/>
                <w:sz w:val="14"/>
              </w:rPr>
              <w:t>Контингент учащихся — высшая школа</w:t>
            </w:r>
            <w:r>
              <w:rPr>
                <w:i/>
                <w:sz w:val="14"/>
                <w:vertAlign w:val="superscript"/>
              </w:rPr>
              <w:sym w:font="Symbol" w:char="F062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rPr>
                <w:i/>
                <w:sz w:val="14"/>
              </w:rPr>
            </w:pPr>
            <w:r>
              <w:br w:type="page"/>
            </w: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Валовой показатель охвата (в процентах)</w:t>
            </w:r>
          </w:p>
        </w:tc>
        <w:tc>
          <w:tcPr>
            <w:tcW w:w="1341" w:type="dxa"/>
            <w:vMerge w:val="restart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Индекс гендерного равенства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65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77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72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1503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  <w:tc>
          <w:tcPr>
            <w:tcW w:w="1341" w:type="dxa"/>
            <w:vMerge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Ливан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1,19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2286"/>
        <w:gridCol w:w="2394"/>
        <w:gridCol w:w="2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rPr>
                <w:i/>
                <w:sz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учащихся в системе высшей школы на 100 000 жителей</w:t>
            </w:r>
            <w:r>
              <w:rPr>
                <w:vertAlign w:val="superscript"/>
              </w:rPr>
              <w:t>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8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Страна</w:t>
            </w:r>
          </w:p>
        </w:tc>
        <w:tc>
          <w:tcPr>
            <w:tcW w:w="64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28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239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</w:t>
            </w:r>
          </w:p>
        </w:tc>
        <w:tc>
          <w:tcPr>
            <w:tcW w:w="217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28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Ливан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4 006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3 760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4 243</w:t>
            </w: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в рамках Программы ЮНЕСКО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образования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rPr>
          <w:i/>
        </w:rPr>
      </w:pPr>
      <w:r>
        <w:t>1.</w:t>
      </w:r>
      <w:r>
        <w:tab/>
      </w:r>
      <w:r>
        <w:rPr>
          <w:i/>
        </w:rPr>
        <w:t>Проведение исследований в целях оценки потребностей в разработке м</w:t>
      </w:r>
      <w:r>
        <w:rPr>
          <w:i/>
        </w:rPr>
        <w:t>а</w:t>
      </w:r>
      <w:r>
        <w:rPr>
          <w:i/>
        </w:rPr>
        <w:t>териалов и организации информационно-пропагандистской работы для более активного вовлечения девочек и женщин в работу по отдельным направлениям специализации в сфере науки и техники</w:t>
      </w:r>
    </w:p>
    <w:p w:rsidR="00000000" w:rsidRDefault="00000000">
      <w:pPr>
        <w:pStyle w:val="SingleTxt"/>
      </w:pPr>
      <w:r>
        <w:tab/>
        <w:t>Планирование деятельности по проведению исследований в целях оценки потребностей было начато с участием национальных комиссий содействия ЮНЕСКО в отдельных арабских странах, например в Ливане в апреле 2004 года. В контексте этих усилий — на основе осуществления новаторских программ в области научно-технического обучения (НТО) и подготовки соо</w:t>
      </w:r>
      <w:r>
        <w:t>т</w:t>
      </w:r>
      <w:r>
        <w:t>ветствующих материалов — будет пропагандироваться роль женщин в проце</w:t>
      </w:r>
      <w:r>
        <w:t>с</w:t>
      </w:r>
      <w:r>
        <w:t>се социально-экономического развития. Отделение ЮНЕСКО в Бейруте будет сотрудничать с рядом экспертов по вопросам, касающимся значения программ научно-технического обучения в повышении роли женщин в процессе соц</w:t>
      </w:r>
      <w:r>
        <w:t>и</w:t>
      </w:r>
      <w:r>
        <w:t>ально-экономического развития.</w:t>
      </w:r>
    </w:p>
    <w:p w:rsidR="00000000" w:rsidRDefault="00000000">
      <w:pPr>
        <w:pStyle w:val="SingleTxt"/>
        <w:rPr>
          <w:i/>
        </w:rPr>
      </w:pPr>
      <w:r>
        <w:t>2.</w:t>
      </w:r>
      <w:r>
        <w:tab/>
      </w:r>
      <w:r>
        <w:rPr>
          <w:i/>
        </w:rPr>
        <w:t>Участие в международной конференции, организованной Центром обуч</w:t>
      </w:r>
      <w:r>
        <w:rPr>
          <w:i/>
        </w:rPr>
        <w:t>е</w:t>
      </w:r>
      <w:r>
        <w:rPr>
          <w:i/>
        </w:rPr>
        <w:t>ния естествознанию и математике</w:t>
      </w:r>
    </w:p>
    <w:p w:rsidR="00000000" w:rsidRDefault="00000000">
      <w:pPr>
        <w:pStyle w:val="SingleTxt"/>
      </w:pPr>
      <w:r>
        <w:tab/>
        <w:t>Отделение ЮНЕСКО в Каире оказало помощь Студенческому обществу и Центру обучения естествознанию и математике Бейрутского университета в организации в Американском университете Бейрута 16–18 апреля 2004 года одиннадцатой ежегодной ярмарки на тему «Естествознание, математика и те</w:t>
      </w:r>
      <w:r>
        <w:t>х</w:t>
      </w:r>
      <w:r>
        <w:t>ника». Цель ярмарки — предоставить учащимся Ливана возможность расск</w:t>
      </w:r>
      <w:r>
        <w:t>а</w:t>
      </w:r>
      <w:r>
        <w:t>зать о своих естественно-научных, математических и технических проектах своим сверстникам из др</w:t>
      </w:r>
      <w:r>
        <w:t>у</w:t>
      </w:r>
      <w:r>
        <w:t>гих учебных заведений.</w:t>
      </w:r>
    </w:p>
    <w:p w:rsidR="00000000" w:rsidRDefault="00000000">
      <w:pPr>
        <w:pStyle w:val="SingleTxt"/>
      </w:pPr>
      <w:r>
        <w:tab/>
        <w:t>ЮНЕСКО также участвовала в организации в Судане 14–16 сентября 2004 года семинара по вопросам подготовки учителей, в рамках которого ос</w:t>
      </w:r>
      <w:r>
        <w:t>о</w:t>
      </w:r>
      <w:r>
        <w:t>бое внимание было уделено вопросам образования девочек.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Сектор культуры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</w:rPr>
      </w:pPr>
      <w:r>
        <w:tab/>
      </w:r>
      <w:r>
        <w:tab/>
        <w:t>Совместный проект ЮНЕСКО/ЮНЭЙДС «Подход к вопросам профилактики ВИЧ/СПИДа и обеспечения ухода за больными ВИЧ/СПИДом с учетом культурных особенностей»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Данный проект можно увязать со статьей 2(f) («Принимать все соответс</w:t>
      </w:r>
      <w:r>
        <w:t>т</w:t>
      </w:r>
      <w:r>
        <w:t>вующие меры, включая законодательные, для изменения или отмены дейс</w:t>
      </w:r>
      <w:r>
        <w:t>т</w:t>
      </w:r>
      <w:r>
        <w:t>вующих законов, постановлений, обычаев и практики, которые представляют собой дискриминацию в отношении женщин») и статьей 5(a) («Изменить соц</w:t>
      </w:r>
      <w:r>
        <w:t>и</w:t>
      </w:r>
      <w:r>
        <w:t>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неполноценности или превосходства одного из п</w:t>
      </w:r>
      <w:r>
        <w:t>о</w:t>
      </w:r>
      <w:r>
        <w:t>лов или стереотипности роли мужчин и женщин»).</w:t>
      </w:r>
    </w:p>
    <w:p w:rsidR="00000000" w:rsidRDefault="00000000">
      <w:pPr>
        <w:pStyle w:val="SingleTxt"/>
      </w:pPr>
      <w:r>
        <w:tab/>
        <w:t>С учетом повышенной уязвимости девочек и женщин с точки зрения ВИЧ/СПИДа и общей «феминизации» эпидемии гендерная проблематика з</w:t>
      </w:r>
      <w:r>
        <w:t>а</w:t>
      </w:r>
      <w:r>
        <w:t>нимает главное место во всех мероприятиях по проекту. Проект нацелен на проведение анализа социально-культурных факторов, обусловливающих уя</w:t>
      </w:r>
      <w:r>
        <w:t>з</w:t>
      </w:r>
      <w:r>
        <w:t>вимость женщин, и способствует, в частности, закреплению социально-культурных установок, предусматривающих равные возможности мужчин и женщин в том, что касается профилактики ВИЧ/СПИДа.</w:t>
      </w:r>
    </w:p>
    <w:p w:rsidR="00000000" w:rsidRDefault="00000000">
      <w:pPr>
        <w:pStyle w:val="SingleTxt"/>
      </w:pPr>
      <w:r>
        <w:tab/>
        <w:t>Можно особо отметить мероприятия, которые были недавно проведены в штаб-квартире ЮНЕСКО в рамках организованной ЮНЭЙДС кампании «Женщины, девочки, ВИЧ и СПИД» и имеют отношение к целям Конвенции о ликвидации всех форм дискриминации в отношении женщин: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в 2004 году по случаю Всемирного дня борьбы со СПИДом совместно с Международной организацией по миграции и Региональным информац</w:t>
      </w:r>
      <w:r>
        <w:t>и</w:t>
      </w:r>
      <w:r>
        <w:t>онным центром по вопросам профилактики СПИДа (Иль-де-Франс) было организовано совещание за круглым столом по теме «Проблемы же</w:t>
      </w:r>
      <w:r>
        <w:t>н</w:t>
      </w:r>
      <w:r>
        <w:t>щин-мигрантов и ВИЧ/СПИД в глобальном масштабе: антропологический подход». Известные антропологи и демографы проанализировали прич</w:t>
      </w:r>
      <w:r>
        <w:t>и</w:t>
      </w:r>
      <w:r>
        <w:t>ны высокой степени уязвимости женщин-мигрантов с точки зрения ВИЧ/СПИДа в различных регионах мира и особо отметили ту роль, кот</w:t>
      </w:r>
      <w:r>
        <w:t>о</w:t>
      </w:r>
      <w:r>
        <w:t>рую они могут играть в борьбе с ВИЧ/СПИДом в странах своего прои</w:t>
      </w:r>
      <w:r>
        <w:t>с</w:t>
      </w:r>
      <w:r>
        <w:t>хождения, а также в странах своего проживания. Материалы о работе с</w:t>
      </w:r>
      <w:r>
        <w:t>о</w:t>
      </w:r>
      <w:r>
        <w:t>вещания за круглым ст</w:t>
      </w:r>
      <w:r>
        <w:t>о</w:t>
      </w:r>
      <w:r>
        <w:t>лом будут опубликованы в 2005 году.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Стипендии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Стипендии ЮНЕСКО/фирмы «Л’Ореаль», присуждаемые в рамках пр</w:t>
      </w:r>
      <w:r>
        <w:t>о</w:t>
      </w:r>
      <w:r>
        <w:t>граммы «В поддержку женщин, занимающихся наукой», которая организована в интересах женщин, занимающихся исследовательской деятельностью в ест</w:t>
      </w:r>
      <w:r>
        <w:t>е</w:t>
      </w:r>
      <w:r>
        <w:t>ственно-научной сфере в целях получения ученой степени или после получ</w:t>
      </w:r>
      <w:r>
        <w:t>е</w:t>
      </w:r>
      <w:r>
        <w:t>ния таковой, были присуждены в 2004, 2001 и 2000 годах, соответственно, представительницам Ливана г</w:t>
      </w:r>
      <w:r>
        <w:noBreakHyphen/>
        <w:t>же Гинве Наджа, г</w:t>
      </w:r>
      <w:r>
        <w:noBreakHyphen/>
        <w:t>же Шанталь Фарра и г</w:t>
      </w:r>
      <w:r>
        <w:noBreakHyphen/>
        <w:t>же Соне Наср. Максимальный размер каждой стипендии — 20 000 долл. США.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NO&gt;&gt;N0533844R&lt;&lt;ODS JOB NO&gt;&gt;</w:t>
      </w:r>
    </w:p>
    <w:p w:rsidR="00000000" w:rsidRDefault="00000000">
      <w:pPr>
        <w:pStyle w:val="CommentText"/>
      </w:pPr>
      <w:r>
        <w:t>&lt;&lt;ODS DOC SYMBOL1&gt;&gt;CEDAW/C/2005/II/3/Add.3&lt;&lt;ODS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Janson Text"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05-33844 (R)    060605    100605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*0533844*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CEDAW/C/2005/II/1.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CEDAW/C/2005/II/3/Add.3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CEDAW/C/2005/II/3/Add.3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/C/2005/II/3/Add.3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9 May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activeWritingStyle w:appName="MSWord" w:lang="ru-RU" w:vendorID="1" w:dllVersion="512" w:checkStyle="1"/>
  <w:doNotTrackMoves/>
  <w:defaultTabStop w:val="475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8/06/2005 9:16::19"/>
    <w:docVar w:name="DocCategory" w:val="Doc"/>
    <w:docVar w:name="DocType" w:val="Final"/>
    <w:docVar w:name="JobNo" w:val="0533844R"/>
    <w:docVar w:name="OandT" w:val=" "/>
    <w:docVar w:name="Symbol1" w:val="CEDAW/C/2005/II/3/Add.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27</Pages>
  <Words>8089</Words>
  <Characters>46110</Characters>
  <Application>Microsoft Office Word</Application>
  <DocSecurity>4</DocSecurity>
  <Lines>384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56626</CharactersWithSpaces>
  <SharedDoc>false</SharedDoc>
  <HLinks>
    <vt:vector size="6" baseType="variant">
      <vt:variant>
        <vt:i4>4522087</vt:i4>
      </vt:variant>
      <vt:variant>
        <vt:i4>113248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Natalia.Korshunova</dc:creator>
  <cp:keywords/>
  <dc:description/>
  <cp:lastModifiedBy>Sofia.Pochigayeva</cp:lastModifiedBy>
  <cp:revision>8</cp:revision>
  <cp:lastPrinted>2005-06-10T12:34:00Z</cp:lastPrinted>
  <dcterms:created xsi:type="dcterms:W3CDTF">2005-06-10T12:38:00Z</dcterms:created>
  <dcterms:modified xsi:type="dcterms:W3CDTF">2005-06-10T12:48:00Z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0533844</vt:lpwstr>
  </property>
  <property fmtid="{D5CDD505-2E9C-101B-9397-08002B2CF9AE}" pid="3" name="Symbol1">
    <vt:lpwstr>CEDAW/C/2005/II/3/Add.3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27</vt:lpwstr>
  </property>
  <property fmtid="{D5CDD505-2E9C-101B-9397-08002B2CF9AE}" pid="8" name="Operator">
    <vt:lpwstr>Pochigayeva</vt:lpwstr>
  </property>
</Properties>
</file>