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третья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 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5–22 июля 2005 года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Осуществление статьи 21 Конвенции о ликвидации</w:t>
      </w:r>
      <w:r>
        <w:br/>
        <w:t>всех форм дискриминации в отношении женщин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 специализированных учреждений Организации Объединенных Наций об осуществлении Конвенции в 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Записка Генерального секретаря</w:t>
      </w:r>
      <w:r>
        <w:rPr>
          <w:rStyle w:val="FootnoteReference"/>
          <w:b w:val="0"/>
          <w:sz w:val="20"/>
        </w:rPr>
        <w:footnoteReference w:customMarkFollows="1" w:id="2"/>
        <w:t>**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Международная организация труда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23 марта 2005 года Секретариат от имени Комитета предложил Междун</w:t>
      </w:r>
      <w:r>
        <w:t>а</w:t>
      </w:r>
      <w:r>
        <w:t>родной организации труда (МОТ) представить Комитету доклад, содержащий подготовленную государствами для МОТ информацию об осуществлении Ко</w:t>
      </w:r>
      <w:r>
        <w:t>н</w:t>
      </w:r>
      <w:r>
        <w:t>венции о ликвидации всех форм дискриминации в отношении женщин в обла</w:t>
      </w:r>
      <w:r>
        <w:t>с</w:t>
      </w:r>
      <w:r>
        <w:t>тях, входящих в сферу ее деятельности, который дополнил бы информацию, содержащуюся в докладах государств — участников Конвенции, которые будут рассматриваться на тридцать третьей сессии.</w:t>
      </w:r>
    </w:p>
    <w:p w:rsidR="00000000" w:rsidRDefault="00000000">
      <w:pPr>
        <w:pStyle w:val="SingleTxt"/>
      </w:pPr>
      <w:r>
        <w:t>2.</w:t>
      </w:r>
      <w:r>
        <w:tab/>
        <w:t>Прочая информация, запрошенная Комитетом, касается мероприятий, программ и директивных решений, принятых МОТ в целях содействия осущ</w:t>
      </w:r>
      <w:r>
        <w:t>е</w:t>
      </w:r>
      <w:r>
        <w:t>ствлению Конвенции.</w:t>
      </w:r>
    </w:p>
    <w:p w:rsidR="00000000" w:rsidRDefault="00000000">
      <w:pPr>
        <w:pStyle w:val="SingleTxt"/>
      </w:pPr>
      <w:r>
        <w:t>3.</w:t>
      </w:r>
      <w:r>
        <w:tab/>
        <w:t>Прилагаемый к настоящему документу доклад был представлен во испо</w:t>
      </w:r>
      <w:r>
        <w:t>л</w:t>
      </w:r>
      <w:r>
        <w:t>нение просьбы Комитета.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Международной организации труда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spacing w:after="120"/>
      </w:pPr>
      <w:r>
        <w:t>Содержание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</w:tcPr>
          <w:p w:rsidR="00000000" w:rsidRDefault="0000000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533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360"/>
              </w:tabs>
              <w:spacing w:after="120"/>
            </w:pPr>
            <w:r>
              <w:tab/>
              <w:t>Информация о положении в отдельных странах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Бенин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Буркина-Фасо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Гамбия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Гайана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Ирландия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Израиль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Ливан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000000" w:rsidRDefault="00000000"/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I.</w:t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Положения статьи 11 Конвенции о ликвидации всех форм дискриминации в отношении женщин нашли отражение в целом ряде конвенций МОТ. Инфо</w:t>
      </w:r>
      <w:r>
        <w:t>р</w:t>
      </w:r>
      <w:r>
        <w:t>мация, содержащаяся в настоящем докладе, касается в основном следующих из 185 конвенций, принятых до насто</w:t>
      </w:r>
      <w:r>
        <w:t>я</w:t>
      </w:r>
      <w:r>
        <w:t>щего времени: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равном вознаграждении, 1951 год (№ 100), которая была р</w:t>
      </w:r>
      <w:r>
        <w:t>а</w:t>
      </w:r>
      <w:r>
        <w:t>тифицирована 161 государством-членом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дискриминации в области труда и занятий, 1958 год (№ 111), которая была ратифицирована 160 государствами-членами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трудящихся с семейными обязанностями, 1981 год (№ 156), к</w:t>
      </w:r>
      <w:r>
        <w:t>о</w:t>
      </w:r>
      <w:r>
        <w:t>торая была ратифицирована 36 государствами-членами</w:t>
      </w:r>
    </w:p>
    <w:p w:rsidR="00000000" w:rsidRDefault="00000000">
      <w:pPr>
        <w:pStyle w:val="SingleTxt"/>
      </w:pPr>
      <w:r>
        <w:tab/>
        <w:t>Когда это уместно, делается ссылка на другие конвенции, касающиеся в</w:t>
      </w:r>
      <w:r>
        <w:t>о</w:t>
      </w:r>
      <w:r>
        <w:t>просов занятости же</w:t>
      </w:r>
      <w:r>
        <w:t>н</w:t>
      </w:r>
      <w:r>
        <w:t>щин: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Принудительный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принудительном труде, 1930 год (№ 29)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об упразднении принудительного труда, 1957 год (№ 105)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Детский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минимальном возрасте, 1973 год (№ 138)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наихудших формах детского труда, 1999 год (№ 182)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Свобода ассоциации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свободе ассоциации и защите права на организацию, 1948 год (№ 87)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праве на организацию и на ведение коллективных перегов</w:t>
      </w:r>
      <w:r>
        <w:t>о</w:t>
      </w:r>
      <w:r>
        <w:t>ров, 1949 год (№ 98)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ab/>
      </w:r>
      <w:r>
        <w:tab/>
        <w:t>Политика в области занятости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политике в области занятости, 1964 год (№ 122)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развитии людских ресурсов, 1975 год (№ 142)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Охрана материнства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об охране материнства, 1919 год (№ 3)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об охране материнства (пересмотренная), 1952 год (№ 103)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об охране материнства, 2000 год (№ 183)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Ночной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 xml:space="preserve">Конвенция о ночном труде женщин (пересмотренная), 1948 год (№ 89) </w:t>
      </w:r>
      <w:r>
        <w:br/>
        <w:t>[и Протокол к ней]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ночном труде, 1990 год (№ 171)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Подземные работы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применении труда женщин на подземных работах, 1935 год (№ 45)</w:t>
      </w:r>
    </w:p>
    <w:p w:rsidR="00000000" w:rsidRDefault="0000000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ab/>
      </w:r>
      <w:r>
        <w:tab/>
        <w:t>Работа неполный рабочий день</w:t>
      </w:r>
    </w:p>
    <w:p w:rsidR="00000000" w:rsidRDefault="00000000">
      <w:pPr>
        <w:pStyle w:val="SingleTxt"/>
        <w:spacing w:after="0" w:line="120" w:lineRule="exact"/>
        <w:rPr>
          <w:i/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работе на условиях неполного рабочего времени, 1994 год (№ 175)</w:t>
      </w:r>
    </w:p>
    <w:p w:rsidR="00000000" w:rsidRDefault="0000000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Работа на дому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Конвенция о надомном труде, 1996 год (№ 177)</w:t>
      </w:r>
    </w:p>
    <w:p w:rsidR="00000000" w:rsidRDefault="00000000">
      <w:pPr>
        <w:pStyle w:val="SingleTxt"/>
      </w:pPr>
      <w:r>
        <w:tab/>
        <w:t>Надзор за применением положений ратифицированных конвенций осущ</w:t>
      </w:r>
      <w:r>
        <w:t>е</w:t>
      </w:r>
      <w:r>
        <w:t>ствляется в МОТ Комитетом экспертов по применению конвенций и рекоме</w:t>
      </w:r>
      <w:r>
        <w:t>н</w:t>
      </w:r>
      <w:r>
        <w:t>даций, который представляет собой группу независимых экспертов из разных стран мира и проводит свои заседания на ежегодной основе. Содержащаяся в части II настоящего доклада информация состоит из замечаний и прямых з</w:t>
      </w:r>
      <w:r>
        <w:t>а</w:t>
      </w:r>
      <w:r>
        <w:t>просов этого Комитета. Замечания — это комментарии, публикуемые в ежего</w:t>
      </w:r>
      <w:r>
        <w:t>д</w:t>
      </w:r>
      <w:r>
        <w:t>ном докладе Комитета экспертов, который издается на английском, испанском и французском языках и представляется Международной конференции труда. Прямые запросы (на английском и французском языках, а в случае испано</w:t>
      </w:r>
      <w:r>
        <w:t>я</w:t>
      </w:r>
      <w:r>
        <w:t>зычных стран — еще и на испанском языке) в виде книги не публикуются, но тем не менее предаются гласности. Затем они вносятся в базу данных МОТ о деятельности по надзору (ILOLEX).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II.</w:t>
      </w:r>
      <w:r>
        <w:tab/>
        <w:t>Информация о положении в отдельных странах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Бенин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Бенин ратифицировал конве</w:t>
      </w:r>
      <w:r>
        <w:t>н</w:t>
      </w:r>
      <w:r>
        <w:t>ции № 100 и № 111. Были также ратифицированы конвенции №№ 29, 87, 98, 105, 138 и 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затрагивающим полож</w:t>
      </w:r>
      <w:r>
        <w:t>е</w:t>
      </w:r>
      <w:r>
        <w:t>ния Конвенции о ликвидации всех форм дискриминации в отношении женщин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В своем прямом запросе в 2003 году Комитет сослался на ранее представленные правительством статистические данные, которые свидетельствовали о низком уровне представленности женщин на государс</w:t>
      </w:r>
      <w:r>
        <w:t>т</w:t>
      </w:r>
      <w:r>
        <w:t>венной службе, и обратил внимание правительства на тот факт, что положение женщин на рынке труда является одной из причин неравенства между мужч</w:t>
      </w:r>
      <w:r>
        <w:t>и</w:t>
      </w:r>
      <w:r>
        <w:t>нами и женщинами в размере вознаграждения. Он повторил свою просьбу представить ему информацию о любых мерах, которые были приняты или пл</w:t>
      </w:r>
      <w:r>
        <w:t>а</w:t>
      </w:r>
      <w:r>
        <w:t>нируются в целях увеличения числа женщин, занятых на государственной службе, особенно в категориях более высокого уровня, где они недопредста</w:t>
      </w:r>
      <w:r>
        <w:t>в</w:t>
      </w:r>
      <w:r>
        <w:t>лены. Комитет также принял к сведению меры, которые были приняты в целях предоставления женщинам более широких возможностей для трудоустройства в частном секторе, таких, как включение в некоторые объявления о замещении вакантных должностей примечания о том, что предпочтение будет отдаваться кандидатам-женщинам; создание нормативно-правовой базы в интересах же</w:t>
      </w:r>
      <w:r>
        <w:t>н</w:t>
      </w:r>
      <w:r>
        <w:t>щин, работающих на основе самозанятости, и женщин-предпринимателей; и оказание помощи женщинам, занятым в неформальной экономике. Комитет просил правительство и впредь представлять информацию о конкретных м</w:t>
      </w:r>
      <w:r>
        <w:t>е</w:t>
      </w:r>
      <w:r>
        <w:t>рах, которые принимаются или планируются в целях расширения доступа женщин к самым разнообразным видам деятельности в частном сект</w:t>
      </w:r>
      <w:r>
        <w:t>о</w:t>
      </w:r>
      <w:r>
        <w:t>ре.</w:t>
      </w:r>
    </w:p>
    <w:p w:rsidR="00000000" w:rsidRDefault="00000000">
      <w:pPr>
        <w:pStyle w:val="SingleTxt"/>
      </w:pPr>
      <w:r>
        <w:rPr>
          <w:b/>
        </w:rPr>
        <w:tab/>
      </w:r>
      <w:r>
        <w:rPr>
          <w:i/>
        </w:rPr>
        <w:t>Конвенция № 111</w:t>
      </w:r>
      <w:r>
        <w:t>: В своем прямом запросе в 2003 году Комитет в связи со своим Общим замечанием в отношении осуществления Конвенции № 111, сд</w:t>
      </w:r>
      <w:r>
        <w:t>е</w:t>
      </w:r>
      <w:r>
        <w:t>ланным в 2002 году, отметил, что в настоящее время ни в одном правовом д</w:t>
      </w:r>
      <w:r>
        <w:t>о</w:t>
      </w:r>
      <w:r>
        <w:t>кументе нет определения сексуального домогательства со стороны работодат</w:t>
      </w:r>
      <w:r>
        <w:t>е</w:t>
      </w:r>
      <w:r>
        <w:t>ля как вида дискриминации в сфере труда и занятости, однако в разделе 360 проекта Уголовного кодекса предусмотрено, что «лицо, которое причиняет беспокойство кому-либо своими приказами, угрозами, налагаемыми огранич</w:t>
      </w:r>
      <w:r>
        <w:t>е</w:t>
      </w:r>
      <w:r>
        <w:t>ниями и оказанием серьезного давления в целях получения услуг сексуального характера, злоупотребляя при этом своим служебным положением, несет нак</w:t>
      </w:r>
      <w:r>
        <w:t>а</w:t>
      </w:r>
      <w:r>
        <w:t>зание в виде лишения свободы на срок от двух месяцев до одного года и штр</w:t>
      </w:r>
      <w:r>
        <w:t>а</w:t>
      </w:r>
      <w:r>
        <w:t>фа в размере от 50 000 до 500 000 франков КФА». Приняв также во внимание информацию правительства о том, что в проект Кодекса законов о труде Орг</w:t>
      </w:r>
      <w:r>
        <w:t>а</w:t>
      </w:r>
      <w:r>
        <w:t>низации за согласование правового регулирования предпринимательской де</w:t>
      </w:r>
      <w:r>
        <w:t>я</w:t>
      </w:r>
      <w:r>
        <w:t>тельности в Африке (ОХАДА) будет включено положение о сексуальном дом</w:t>
      </w:r>
      <w:r>
        <w:t>о</w:t>
      </w:r>
      <w:r>
        <w:t>гательстве, Комитет просил правительство представить сведения о том, был ли достигнут какой-либо прогресс в деле принятия проекта Уголовного кодекса и проекта Кодекса зак</w:t>
      </w:r>
      <w:r>
        <w:t>о</w:t>
      </w:r>
      <w:r>
        <w:t>нов о труде ОХАДА.</w:t>
      </w:r>
    </w:p>
    <w:p w:rsidR="00000000" w:rsidRDefault="00000000">
      <w:pPr>
        <w:pStyle w:val="SingleTxt"/>
      </w:pPr>
      <w:r>
        <w:tab/>
        <w:t>В прошлом Комитет обращал внимание правительства на его обязанность в соответствии со статьей 2 Конвенции определять и проводить национальную политику, направленную на поощрение равенства возможностей и обращения в отношении труда и занятий. Комитет с сожалением констатировал, что в до</w:t>
      </w:r>
      <w:r>
        <w:t>к</w:t>
      </w:r>
      <w:r>
        <w:t>ладе правительства сообщалось об отсутствии прогресса и что соответству</w:t>
      </w:r>
      <w:r>
        <w:t>ю</w:t>
      </w:r>
      <w:r>
        <w:t>щая политика не была разработана, равно как и не принимались соответс</w:t>
      </w:r>
      <w:r>
        <w:t>т</w:t>
      </w:r>
      <w:r>
        <w:t>вующие меры. Он настоятельно призвал правительство представить в своем следующем докладе подробную информацию о мерах, принятых в целях разр</w:t>
      </w:r>
      <w:r>
        <w:t>а</w:t>
      </w:r>
      <w:r>
        <w:t>ботки и осуществления политики с учетом положений статьи 2 Конве</w:t>
      </w:r>
      <w:r>
        <w:t>н</w:t>
      </w:r>
      <w:r>
        <w:t>ции.</w:t>
      </w:r>
    </w:p>
    <w:p w:rsidR="00000000" w:rsidRDefault="00000000">
      <w:pPr>
        <w:pStyle w:val="SingleTxt"/>
      </w:pPr>
      <w:r>
        <w:tab/>
        <w:t>Комитет далее принял к сведению заявление правительства о том, что, пока еще нет правового документа об особых условиях службы постоянных г</w:t>
      </w:r>
      <w:r>
        <w:t>о</w:t>
      </w:r>
      <w:r>
        <w:t>сударственных служащих, о которых идет речь в разделе 12, где предусматр</w:t>
      </w:r>
      <w:r>
        <w:t>и</w:t>
      </w:r>
      <w:r>
        <w:t>вается, что доступ представителей того или другого пола к определенным должностям ограничивается с учетом присущих тому или другому полу ос</w:t>
      </w:r>
      <w:r>
        <w:t>о</w:t>
      </w:r>
      <w:r>
        <w:t>бенностей. Комитет просил правительство указать в его следующем докладе, каким образом это положение применяется на практике, и представить экзем</w:t>
      </w:r>
      <w:r>
        <w:t>п</w:t>
      </w:r>
      <w:r>
        <w:t>ляр вышеуказанного документа, когда он будет у</w:t>
      </w:r>
      <w:r>
        <w:t>т</w:t>
      </w:r>
      <w:r>
        <w:t>вержден.</w:t>
      </w:r>
    </w:p>
    <w:p w:rsidR="00000000" w:rsidRDefault="00000000">
      <w:pPr>
        <w:pStyle w:val="SingleTxt"/>
      </w:pPr>
      <w:r>
        <w:tab/>
        <w:t>С учетом того, что в докладе правительства не было представлено по</w:t>
      </w:r>
      <w:r>
        <w:t>д</w:t>
      </w:r>
      <w:r>
        <w:t>робной информации о практических мерах, которые были приняты с целью с</w:t>
      </w:r>
      <w:r>
        <w:t>о</w:t>
      </w:r>
      <w:r>
        <w:t>действия эффективному обеспечению равенства возможностей и обращения в отношении труда и занятий в частном и государственном секторах, к прав</w:t>
      </w:r>
      <w:r>
        <w:t>и</w:t>
      </w:r>
      <w:r>
        <w:t>тельству обратились с просьбой представить в его следующем докладе полную информацию о a) положении мужчин и женщин в различных сферах специал</w:t>
      </w:r>
      <w:r>
        <w:t>и</w:t>
      </w:r>
      <w:r>
        <w:t>зации и категориях в государственном секторе и b) мерах, принятых в целях увеличения числа женщин, охваченных деятельностью по профессиональной подготовке и повышению квалификации, а также о числе женщин, работающих и поступающих на работу по таким специальностям и в такие сферы деятел</w:t>
      </w:r>
      <w:r>
        <w:t>ь</w:t>
      </w:r>
      <w:r>
        <w:t>ности в государственном и час</w:t>
      </w:r>
      <w:r>
        <w:t>т</w:t>
      </w:r>
      <w:r>
        <w:t>ном секторах, где они слабо представлены.</w:t>
      </w:r>
    </w:p>
    <w:p w:rsidR="00000000" w:rsidRDefault="00000000">
      <w:pPr>
        <w:pStyle w:val="SingleTxt"/>
      </w:pPr>
      <w:r>
        <w:tab/>
      </w:r>
      <w:r>
        <w:rPr>
          <w:i/>
        </w:rPr>
        <w:t>Дополнительная информация по Конвенции № 182</w:t>
      </w:r>
      <w:r>
        <w:t>: Правительство пре</w:t>
      </w:r>
      <w:r>
        <w:t>д</w:t>
      </w:r>
      <w:r>
        <w:t>ставило свой первый доклад об осуществлении Конвенции (ратифицирована в 2001 году), и он был рассмотрен Комитетом на его сессии в ноябре-декабре 2004 года. В своем прямом запросе, сделанном в этом году, Комитет затронул в основном вопросы, касающиеся торговли детьми и использования детей, в том числе девочек, в качестве домашней прислуги. В связи с этим он отметил, в ч</w:t>
      </w:r>
      <w:r>
        <w:t>а</w:t>
      </w:r>
      <w:r>
        <w:t>стности, информацию, представленную правительством в его докладе Комит</w:t>
      </w:r>
      <w:r>
        <w:t>е</w:t>
      </w:r>
      <w:r>
        <w:t>ту по правам ребенка (CRC/C/3/Add.52 от 4 июля 1997 года, пункты 216–219) о положении “vidomégons”. Комитет отметил, что в постановлении № 26 от 14 апреля 1998 года, определяющем общие условия найма домашней прислуги, нет конкретных положений, которые защищали бы интересы лиц в возрасте до 18 лет, а говорится только о положении тех, кто в качестве прислуги работает у частных лиц и выполняет работу по дому на постоянной и непрерывной осн</w:t>
      </w:r>
      <w:r>
        <w:t>о</w:t>
      </w:r>
      <w:r>
        <w:t>ве. На лиц, занимающихся такой работой периодически в течение непродолж</w:t>
      </w:r>
      <w:r>
        <w:t>и</w:t>
      </w:r>
      <w:r>
        <w:t>тельного времени, не превышающего 20 часов в неделю, действие постановл</w:t>
      </w:r>
      <w:r>
        <w:t>е</w:t>
      </w:r>
      <w:r>
        <w:t>ния от 14 апреля 1998 года не распространяется — в отношении них действует лишь договоренность сторон (раздел 1 постановления). Отметив на основе и</w:t>
      </w:r>
      <w:r>
        <w:t>н</w:t>
      </w:r>
      <w:r>
        <w:t>формации, полученной от Организации Объединенных Наций, что было орг</w:t>
      </w:r>
      <w:r>
        <w:t>а</w:t>
      </w:r>
      <w:r>
        <w:t>низовано два региональных семинара для обсуждения проблемы найма мол</w:t>
      </w:r>
      <w:r>
        <w:t>о</w:t>
      </w:r>
      <w:r>
        <w:t>дых девочек в качестве домашней прислуги, Комитет просил правительство сообщить о мерах, которые были приняты или планируются для того, чтобы дети в возрасте до 18 лет, работающие в качестве домашней прислуги, включая “vidomégons”, не выполняли такую работу, которая может причинить ущерб их здор</w:t>
      </w:r>
      <w:r>
        <w:t>о</w:t>
      </w:r>
      <w:r>
        <w:t>вью, безопасности или морали.</w:t>
      </w:r>
    </w:p>
    <w:p w:rsidR="00000000" w:rsidRDefault="00000000">
      <w:pPr>
        <w:pStyle w:val="SingleTxt"/>
      </w:pPr>
      <w:r>
        <w:tab/>
        <w:t>Кроме того, Комитет принял к сведению сообщения правительства о том, что им были организованы крупные информационно-пропагандистские камп</w:t>
      </w:r>
      <w:r>
        <w:t>а</w:t>
      </w:r>
      <w:r>
        <w:t>нии по борьбе с наихудшими формами детского труда в целом и труда девочек в частности. Комитет далее отметил, что законодательством страны пред</w:t>
      </w:r>
      <w:r>
        <w:t>у</w:t>
      </w:r>
      <w:r>
        <w:t>смотрено бесплатное обязательное начальное образование для девочек. Он о</w:t>
      </w:r>
      <w:r>
        <w:t>т</w:t>
      </w:r>
      <w:r>
        <w:t>мечает, что была учреждена программа действий, призванная обеспечить охват девушек и девочек, находящихся в сложной ситуации, и их профессиональную подготовку и оказание им консультативной помощи, и что Бригаде защиты м</w:t>
      </w:r>
      <w:r>
        <w:t>о</w:t>
      </w:r>
      <w:r>
        <w:t>лодежи удалось вырвать из рук торговцев людьми 1350 детей, 85 процентов из которых составляли девочки, и что в интересах этих девочек принимаются м</w:t>
      </w:r>
      <w:r>
        <w:t>е</w:t>
      </w:r>
      <w:r>
        <w:t>ры по социальной интеграции. Комитет просил правительство представить и</w:t>
      </w:r>
      <w:r>
        <w:t>н</w:t>
      </w:r>
      <w:r>
        <w:t>формацию о том, как осуществление этих мер способствует искоренению на</w:t>
      </w:r>
      <w:r>
        <w:t>и</w:t>
      </w:r>
      <w:r>
        <w:t>худших форм труда девочек.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Буркина-Фасо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Положение с конвенциями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Буркина-Фасо ратифицировала ко</w:t>
      </w:r>
      <w:r>
        <w:t>н</w:t>
      </w:r>
      <w:r>
        <w:t>венции № 100 и № 111. Она также ратифицировала конвенции №№ 3, 29, 87, 98, 105, 138 и 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МОТ.</w:t>
      </w:r>
      <w:r>
        <w:t xml:space="preserve"> Находящиеся на рассмотрении комментарии Комитета экспертов МОТ по вопросам, затрагивающим полож</w:t>
      </w:r>
      <w:r>
        <w:t>е</w:t>
      </w:r>
      <w:r>
        <w:t>ния Конвенции о ликвидации всех форм дискриминации в отношении женщин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В своем прямом запросе в 2003 году Комитет отметил подтверждение правительством того, что раздел 104 Кодекса законов о труде (Закон № 11/92), предусматривающий, что «в случае равных условий труда, профессиональной квалификации и производительности обеспечивается ра</w:t>
      </w:r>
      <w:r>
        <w:t>в</w:t>
      </w:r>
      <w:r>
        <w:t>ная оплата для всех работников, независимо от их происхождения, пола, во</w:t>
      </w:r>
      <w:r>
        <w:t>з</w:t>
      </w:r>
      <w:r>
        <w:t>раста или статуса», остается в силе. В этом контексте Комитет напомнил, что в Конвенции закреплен принцип равного вознаграждения мужчин и женщин за труд равной ценности и что, по его мнению, в разделе 104 в его нынешней формулировке этот принцип Конвенции не отражен в полной мере. Действие Конвенции распространяется также на случаи, когда мужчины и женщины р</w:t>
      </w:r>
      <w:r>
        <w:t>а</w:t>
      </w:r>
      <w:r>
        <w:t>ботают в разных условиях либо имеют разную квалификацию, выполняя при этом работу равной ценности. Комитет выразил надежду на то, что правител</w:t>
      </w:r>
      <w:r>
        <w:t>ь</w:t>
      </w:r>
      <w:r>
        <w:t>ство рассмотрит вопрос о внесении поправок в раздел 104 в целях приведения его в полное соответствие с положениями Ко</w:t>
      </w:r>
      <w:r>
        <w:t>н</w:t>
      </w:r>
      <w:r>
        <w:t>венции.</w:t>
      </w:r>
    </w:p>
    <w:p w:rsidR="00000000" w:rsidRDefault="00000000">
      <w:pPr>
        <w:pStyle w:val="SingleTxt"/>
      </w:pPr>
      <w:r>
        <w:tab/>
        <w:t>Комитет рекомендовал также правительству приложить все усилия для сбора статистической информации о размерах вознаграждения женщин и му</w:t>
      </w:r>
      <w:r>
        <w:t>ж</w:t>
      </w:r>
      <w:r>
        <w:t>чин и довести эту информацию до сведения Комитета. Комитет настоятельно призвал правительство сделать все возможное для улучшения положения же</w:t>
      </w:r>
      <w:r>
        <w:t>н</w:t>
      </w:r>
      <w:r>
        <w:t>щин на рынке труда, повышения уровня образования и профессиональной по</w:t>
      </w:r>
      <w:r>
        <w:t>д</w:t>
      </w:r>
      <w:r>
        <w:t>готовки женщин и расширения возможностей женщин в плане выбора профе</w:t>
      </w:r>
      <w:r>
        <w:t>с</w:t>
      </w:r>
      <w:r>
        <w:t>сии, что в совокупности должно способствовать более эффективному примен</w:t>
      </w:r>
      <w:r>
        <w:t>е</w:t>
      </w:r>
      <w:r>
        <w:t>нию положений Конвенции.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111</w:t>
      </w:r>
      <w:r>
        <w:t>: В своем прямом запросе в 2004 году Комитет сослался на свое общее замечание в отношении осуществления Конвенции, сделанное в 2002 году, и отметил, что определение сексуального домогательства в разд</w:t>
      </w:r>
      <w:r>
        <w:t>е</w:t>
      </w:r>
      <w:r>
        <w:t>ле 34 проекта Кодекса законов о труде охватывало лишь случаи домогательств корыстного характера. Он просил правительство сообщить о мерах, которые были приняты или планируется принять для включения в это определение п</w:t>
      </w:r>
      <w:r>
        <w:t>о</w:t>
      </w:r>
      <w:r>
        <w:t>нятия «непристойных действий, создающих невыносимую обстановку». Ком</w:t>
      </w:r>
      <w:r>
        <w:t>и</w:t>
      </w:r>
      <w:r>
        <w:t>тет выразил надежду на то, что проект Кодекса законов о труде будет принят в самое ближайшее время и что правительство представит информацию о пр</w:t>
      </w:r>
      <w:r>
        <w:t>и</w:t>
      </w:r>
      <w:r>
        <w:t>менении этого положения на практике.</w:t>
      </w:r>
    </w:p>
    <w:p w:rsidR="00000000" w:rsidRDefault="00000000">
      <w:pPr>
        <w:pStyle w:val="SingleTxt"/>
      </w:pPr>
      <w:r>
        <w:tab/>
        <w:t>Что касается равного обращения по отношению к мужчинам и женщинам, то Комитет просил правительство представить подробную информацию о практическом осуществлении Закона от 28 апреля 1998 года, призванного обеспечить равенство возможностей для трудоустройства в государственном секторе без какого бы то ни было различия. Комитет просил также правител</w:t>
      </w:r>
      <w:r>
        <w:t>ь</w:t>
      </w:r>
      <w:r>
        <w:t>ство представить максимально полную информацию о мерах, принятых в целях повышения уровня образования женщин, результатах осуществления мер в ц</w:t>
      </w:r>
      <w:r>
        <w:t>е</w:t>
      </w:r>
      <w:r>
        <w:t>лях содействия прохождению женщинами профессионально-технической по</w:t>
      </w:r>
      <w:r>
        <w:t>д</w:t>
      </w:r>
      <w:r>
        <w:t>готовки, получению ими университетского образования и выдвижению их на руководящие должности, а также представить доклад о прогрессе в деле разр</w:t>
      </w:r>
      <w:r>
        <w:t>а</w:t>
      </w:r>
      <w:r>
        <w:t>ботки проекта закона, призванного стимулировать развитие женщин в сельских районах. Он далее просил правительство представить информацию о мерах, принятых созданным в 2002 году министерством по делам женщин в целях с</w:t>
      </w:r>
      <w:r>
        <w:t>о</w:t>
      </w:r>
      <w:r>
        <w:t>действия осуществлению принципов Конвенции.</w:t>
      </w:r>
    </w:p>
    <w:p w:rsidR="00000000" w:rsidRDefault="00000000">
      <w:pPr>
        <w:pStyle w:val="SingleTxt"/>
      </w:pPr>
      <w:r>
        <w:tab/>
        <w:t>Что касается мер по обеспечению защиты женщин, то Комитет отметил, что в разделе 107 проекта Кодекса законов о труде предусмотрено, что женщ</w:t>
      </w:r>
      <w:r>
        <w:t>и</w:t>
      </w:r>
      <w:r>
        <w:t>ны не могут оставаться на работе, которая, по общему признанию, им не под силу, и должны переводиться на подходящую для них работу. Если это нево</w:t>
      </w:r>
      <w:r>
        <w:t>з</w:t>
      </w:r>
      <w:r>
        <w:t>можно, то трудовой договор с женщиной должен быть расторгнут, а ей должно быть выплачено выходное пособие. Комитет напомнил, что после принятия в 1985 году резолюции о равенстве возможностей и обращения в отношении трудящихся мужчин и женщин, встал вопрос о целесообразности предусмо</w:t>
      </w:r>
      <w:r>
        <w:t>т</w:t>
      </w:r>
      <w:r>
        <w:t>ренных в отношении женщин особых мер защиты, основанных на стереоти</w:t>
      </w:r>
      <w:r>
        <w:t>п</w:t>
      </w:r>
      <w:r>
        <w:t>ных представлениях об их способностях и их роли в обществе, которые могут безосновательно стать причиной нарушения принципа равенства возможностей и обращения. Комитет просил правительство представить информацию о пра</w:t>
      </w:r>
      <w:r>
        <w:t>к</w:t>
      </w:r>
      <w:r>
        <w:t>тическом применении п</w:t>
      </w:r>
      <w:r>
        <w:t>о</w:t>
      </w:r>
      <w:r>
        <w:t>ложений раздела 107.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3</w:t>
      </w:r>
      <w:r>
        <w:t>: В своем прямом запросе в 2003 году Комитет принял к сведению заявление правительства о его конкретном намерении принять во внимание — в контексте пересмотра Кодекса законов о труде — комментарии Комитета к разделам 84 и 85 Кодекса законов о труде, в нынешней формул</w:t>
      </w:r>
      <w:r>
        <w:t>и</w:t>
      </w:r>
      <w:r>
        <w:t>ровке которых уже нет упоминания о том, что женщинам, как того требует ст</w:t>
      </w:r>
      <w:r>
        <w:t>а</w:t>
      </w:r>
      <w:r>
        <w:t>тья 3(а) Конвенции, запрещается работать в течение шести недель после родов. Напоминая, что обязательный характер послеродового отпуска является одной из наиболее важных мер защиты женщин, закрепленных в Конвенции, Комитет выразил надежду на то, что правительство сможет в кратчайшие сроки принять все необходимые меры для приведения национального законодательства в по</w:t>
      </w:r>
      <w:r>
        <w:t>л</w:t>
      </w:r>
      <w:r>
        <w:t>ное соответствие с этим п</w:t>
      </w:r>
      <w:r>
        <w:t>о</w:t>
      </w:r>
      <w:r>
        <w:t>ложением Конвенции.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29</w:t>
      </w:r>
      <w:r>
        <w:t>: В своем замечании, сделанном в 2002 году, Комитет о</w:t>
      </w:r>
      <w:r>
        <w:t>т</w:t>
      </w:r>
      <w:r>
        <w:t>метил, что большое число женщин и детей эксплуатируются торговцами люд</w:t>
      </w:r>
      <w:r>
        <w:t>ь</w:t>
      </w:r>
      <w:r>
        <w:t>ми в качестве рабочей силы. Цель торговцев людьми в таких случаях состоит в том, чтобы эксплуатировать труд женщин и детей, работающих в сельском х</w:t>
      </w:r>
      <w:r>
        <w:t>о</w:t>
      </w:r>
      <w:r>
        <w:t>зяйстве и выполняющих функции домашней прислуги, а также женщин и д</w:t>
      </w:r>
      <w:r>
        <w:t>е</w:t>
      </w:r>
      <w:r>
        <w:t>тей, занимающихся проституцией и попрошайничеством. По результатам и</w:t>
      </w:r>
      <w:r>
        <w:t>с</w:t>
      </w:r>
      <w:r>
        <w:t>следования, проведенного в марте 2000 года министерством занятости, труда и социального обеспечения, в ходе которого изучались различные формы эк</w:t>
      </w:r>
      <w:r>
        <w:t>с</w:t>
      </w:r>
      <w:r>
        <w:t>плуатации детей, было признано, что Буркина-Фасо является страной прои</w:t>
      </w:r>
      <w:r>
        <w:t>с</w:t>
      </w:r>
      <w:r>
        <w:t>хождения, назначения и транзита. Большинство детей, кот</w:t>
      </w:r>
      <w:r>
        <w:t>о</w:t>
      </w:r>
      <w:r>
        <w:t>рых из Буркина-Фасо продают за границу, работают в сельском хозяйстве, а иногда занимаются проституцией. Посредники, действующие с территории Кот</w:t>
      </w:r>
      <w:r>
        <w:noBreakHyphen/>
        <w:t>д’Ивуара, получ</w:t>
      </w:r>
      <w:r>
        <w:t>а</w:t>
      </w:r>
      <w:r>
        <w:t>ют детей от посредников, действующих на территории Буркина-Фасо (краткий отчет о субрегиональном проекте Международной программы по упразднению детского труда (МПУДТ) «Борьба с торговлей детьми в целях эксплуатации их труда в Западной и Центральной Африке») (МПУДТ/МОТ, 2001 год). Комитет принял к сведению информацию об учреждении национальной комиссии по правам ребенка и национального комитета по надзору за соблюдением прав р</w:t>
      </w:r>
      <w:r>
        <w:t>е</w:t>
      </w:r>
      <w:r>
        <w:t>бенка. Он принял также к сведению, что министерство занятости и труда и МПУДТ проводят совместное исследование, посвященное проблеме торговли детьми в Буркина-Фасо. Комитет просил правительство сообщить о любых м</w:t>
      </w:r>
      <w:r>
        <w:t>е</w:t>
      </w:r>
      <w:r>
        <w:t>рах, которые были приняты в целях борьбы с торговлей людьми и обеспечения защиты от прин</w:t>
      </w:r>
      <w:r>
        <w:t>у</w:t>
      </w:r>
      <w:r>
        <w:t>дительного труда.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138</w:t>
      </w:r>
      <w:r>
        <w:t>: В прямом запросе, сделанном в 2004 году, Комитет с</w:t>
      </w:r>
      <w:r>
        <w:t>о</w:t>
      </w:r>
      <w:r>
        <w:t>слался на предыдущие замечания относительно труда детей, выполняющих функции домашней прислуги, в которых он отметил, что, по его мнению, из сферы действия Кодекса законов о труде исключены случаи, когда работы в</w:t>
      </w:r>
      <w:r>
        <w:t>ы</w:t>
      </w:r>
      <w:r>
        <w:t>полняются без официального оформления трудовых отношений (раздел 1). О</w:t>
      </w:r>
      <w:r>
        <w:t>д</w:t>
      </w:r>
      <w:r>
        <w:t>нако, по данным доклада о деятельности, проведенной в 2001 году в Буркина-Фасо в рамках соответствующей национальной программы МПУДТ, больши</w:t>
      </w:r>
      <w:r>
        <w:t>н</w:t>
      </w:r>
      <w:r>
        <w:t>ство детей работало в сельском хозяйстве и в животноводстве, а наиболее н</w:t>
      </w:r>
      <w:r>
        <w:t>е</w:t>
      </w:r>
      <w:r>
        <w:t>защищенные группы работали в качестве подмастерьев в неформальном сект</w:t>
      </w:r>
      <w:r>
        <w:t>о</w:t>
      </w:r>
      <w:r>
        <w:t>ре на работах по промывке золотосодержащего песка и в качестве (это особе</w:t>
      </w:r>
      <w:r>
        <w:t>н</w:t>
      </w:r>
      <w:r>
        <w:t>но касается девочек) домашней прислуги, продавщиц и подмастерьев. Комитет просил правительство сообщить о мерах, которые были приняты или планир</w:t>
      </w:r>
      <w:r>
        <w:t>у</w:t>
      </w:r>
      <w:r>
        <w:t>ется принять с целью распространения действия Конвенции на труд, выпо</w:t>
      </w:r>
      <w:r>
        <w:t>л</w:t>
      </w:r>
      <w:r>
        <w:t>няемый без официального оформления трудовых отношений либо в нефо</w:t>
      </w:r>
      <w:r>
        <w:t>р</w:t>
      </w:r>
      <w:r>
        <w:t>мальном секторе. В этот раз Комитет отметил, что правительство указало, что применяемые в этих случаях документы, включая новый Кодекс законов о тр</w:t>
      </w:r>
      <w:r>
        <w:t>у</w:t>
      </w:r>
      <w:r>
        <w:t>де, распространяются также на работающих в неформальном секторе, подма</w:t>
      </w:r>
      <w:r>
        <w:t>с</w:t>
      </w:r>
      <w:r>
        <w:t>терьев, домашнюю прислугу и продавцов, в тех случаях, когда соответству</w:t>
      </w:r>
      <w:r>
        <w:t>ю</w:t>
      </w:r>
      <w:r>
        <w:t>щие стороны обращаются с жалобами в службы контроля за соблюдением тр</w:t>
      </w:r>
      <w:r>
        <w:t>у</w:t>
      </w:r>
      <w:r>
        <w:t>дового законодательства. Он отметил, что такие жалобы будут приниматься во внимание; исключение составляют дети, занятые на промывке золотосодерж</w:t>
      </w:r>
      <w:r>
        <w:t>а</w:t>
      </w:r>
      <w:r>
        <w:t>щей руды, которые с жалобами не обращаются. Комитет также принял к свед</w:t>
      </w:r>
      <w:r>
        <w:t>е</w:t>
      </w:r>
      <w:r>
        <w:t>нию сообщение правительства о том, что положение лиц, работающих в д</w:t>
      </w:r>
      <w:r>
        <w:t>о</w:t>
      </w:r>
      <w:r>
        <w:t>машних хозяйствах, включая домашнюю прислугу, регулируется Указом № 77</w:t>
      </w:r>
      <w:r>
        <w:noBreakHyphen/>
        <w:t>311 и документами, содержащими поправки к этому указу. Он просил правительство представить экземпляр этого документа, а также экземпляр п</w:t>
      </w:r>
      <w:r>
        <w:t>о</w:t>
      </w:r>
      <w:r>
        <w:t>ложений, регулирующих минимальный возраст, с которого допускается сам</w:t>
      </w:r>
      <w:r>
        <w:t>о</w:t>
      </w:r>
      <w:r>
        <w:t>занятость, т.е. сам</w:t>
      </w:r>
      <w:r>
        <w:t>о</w:t>
      </w:r>
      <w:r>
        <w:t>стоятельная работа детей.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182</w:t>
      </w:r>
      <w:r>
        <w:t>: Следует отметить, что Буркина-Фасо является участн</w:t>
      </w:r>
      <w:r>
        <w:t>и</w:t>
      </w:r>
      <w:r>
        <w:t>цей организованной МОТ/МПУДТ программы борьбы с торговлей детьми в целях эксплуатации их труда в Восточной и Центральной Африке, которая осуществляется в девяти странах. Некоторые программы действий осущест</w:t>
      </w:r>
      <w:r>
        <w:t>в</w:t>
      </w:r>
      <w:r>
        <w:t>ляются в контексте Национальной программы борьбы за упразднение детского труда, в том числе осуществляемая в Уагадугу программа оказания поддержки и помощи девочкам, работающим в неформальном секторе; программа соц</w:t>
      </w:r>
      <w:r>
        <w:t>и</w:t>
      </w:r>
      <w:r>
        <w:t>ально-просветительской деятельности в интересах девочек, живущих в сел</w:t>
      </w:r>
      <w:r>
        <w:t>ь</w:t>
      </w:r>
      <w:r>
        <w:t>ских районах, осуществляемая в провинциях Базега, Булькиемде, Убритенга и Кадиого; и осуществляемая в Уагадугу программа профилактических и уче</w:t>
      </w:r>
      <w:r>
        <w:t>б</w:t>
      </w:r>
      <w:r>
        <w:t>ных мероприятий в целях борьбы с практикой найма девочек для работы в к</w:t>
      </w:r>
      <w:r>
        <w:t>а</w:t>
      </w:r>
      <w:r>
        <w:t>честве домашней прислуги. Согласно данным опубликованного в июне 2004 года национального доклада о развитии системы образования в Буркина-Фасо (пункт 1.2.2), в сфере начального образования осуществляются разли</w:t>
      </w:r>
      <w:r>
        <w:t>ч</w:t>
      </w:r>
      <w:r>
        <w:t>ные инициативы, призванные способствовать увеличению числа девочек, п</w:t>
      </w:r>
      <w:r>
        <w:t>о</w:t>
      </w:r>
      <w:r>
        <w:t>сещающих школу, в числе которых — покрытие государством расходов на уч</w:t>
      </w:r>
      <w:r>
        <w:t>е</w:t>
      </w:r>
      <w:r>
        <w:t>бу в школе.</w:t>
      </w:r>
    </w:p>
    <w:p w:rsidR="00000000" w:rsidRDefault="00000000">
      <w:pPr>
        <w:pStyle w:val="SingleTxt"/>
      </w:pPr>
      <w:r>
        <w:tab/>
        <w:t>Комитет проанализировал первый доклад правительства о ходе осущест</w:t>
      </w:r>
      <w:r>
        <w:t>в</w:t>
      </w:r>
      <w:r>
        <w:t>ления Конвенции (ратифицирована в 2001 году) на своей сессии в 2004 году. В своем Замечании Комитет поднял общие проблемные вопросы, касающиеся торговли детьми в целях сексуальной эксплуатации, и отметил те разнообра</w:t>
      </w:r>
      <w:r>
        <w:t>з</w:t>
      </w:r>
      <w:r>
        <w:t>ные меры, в том числе законодательного характера, которые были приняты правительством для решения этой проблемы. В числе этих мер указывались разработка проекта национального плана действий по борьбе с торговлей детьми и участие в организованной МПУДТ программе действий по запрещ</w:t>
      </w:r>
      <w:r>
        <w:t>е</w:t>
      </w:r>
      <w:r>
        <w:t>нию детского труда (более подробную информацию см. в комментариях Ком</w:t>
      </w:r>
      <w:r>
        <w:t>и</w:t>
      </w:r>
      <w:r>
        <w:t>тета экспертов).</w:t>
      </w:r>
    </w:p>
    <w:p w:rsidR="00000000" w:rsidRDefault="00000000">
      <w:pPr>
        <w:pStyle w:val="SingleTxt"/>
      </w:pPr>
      <w:r>
        <w:tab/>
        <w:t>В своем прямом запросе Комитет отметил отдельные программы дейс</w:t>
      </w:r>
      <w:r>
        <w:t>т</w:t>
      </w:r>
      <w:r>
        <w:t>вий, осуществляемые в контексте Национальной программы борьбы за упраз</w:t>
      </w:r>
      <w:r>
        <w:t>д</w:t>
      </w:r>
      <w:r>
        <w:t>нение детского труда, в частности осуществляемую в Уагадугу программу ок</w:t>
      </w:r>
      <w:r>
        <w:t>а</w:t>
      </w:r>
      <w:r>
        <w:t>зания поддержки и помощи девочкам, работающим в неформальном секторе; программу социально-просветительской деятельности в интересах девочек, живущих в сельских районах, осуществляемую в провинциях Базега, Бульк</w:t>
      </w:r>
      <w:r>
        <w:t>и</w:t>
      </w:r>
      <w:r>
        <w:t>емде, Убритенга и Кадиого; а также осуществляемые в Уагадугу профилакт</w:t>
      </w:r>
      <w:r>
        <w:t>и</w:t>
      </w:r>
      <w:r>
        <w:t>ческие и учебные мероприятия по борьбе с практикой найма девочек для раб</w:t>
      </w:r>
      <w:r>
        <w:t>о</w:t>
      </w:r>
      <w:r>
        <w:t>ты в качестве домашней прислуги. Комитет отметил также, что, по данным, приведенным в опубликованном в июне 2004 года национальном докладе о развитии системы образования в Буркина-Фасо (пункт 1.2.2), в сфере начал</w:t>
      </w:r>
      <w:r>
        <w:t>ь</w:t>
      </w:r>
      <w:r>
        <w:t>ного образования осуществляются различные инициативы, призванные сп</w:t>
      </w:r>
      <w:r>
        <w:t>о</w:t>
      </w:r>
      <w:r>
        <w:t>собствовать увеличению числа девочек, посещающих школу, в числе кот</w:t>
      </w:r>
      <w:r>
        <w:t>о</w:t>
      </w:r>
      <w:r>
        <w:t>рых — покрытие государством расходов на учебу детей в школе. Комитет пр</w:t>
      </w:r>
      <w:r>
        <w:t>о</w:t>
      </w:r>
      <w:r>
        <w:t>сил правительство представить информацию о том, как осуществление этих мер способствует обеспечению защиты девочек от наихудших форм детского труда.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Гамбия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Гамбия ратифицировала конве</w:t>
      </w:r>
      <w:r>
        <w:t>н</w:t>
      </w:r>
      <w:r>
        <w:t>ции № 100 и № 111. Она также ратифицировала конвенции №№ 29, 87, 98, 105, 138 и 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Правительство представило первый доклад по этой конвенции (ратифицированной в 2000 году), который был рассмотрен Комит</w:t>
      </w:r>
      <w:r>
        <w:t>е</w:t>
      </w:r>
      <w:r>
        <w:t>том в 2004 году. В своем прямом запросе Комитет отметил, что, хотя в опред</w:t>
      </w:r>
      <w:r>
        <w:t>е</w:t>
      </w:r>
      <w:r>
        <w:t>лении вознаграждения в разделе 3 Трудового кодекса отчасти использовано о</w:t>
      </w:r>
      <w:r>
        <w:t>п</w:t>
      </w:r>
      <w:r>
        <w:t>ределение, данное в Конвенции, в нем не упоминаются косвенные элементы вознаграждения. Отметив, что Трудовой кодекс в настоящее время пересматр</w:t>
      </w:r>
      <w:r>
        <w:t>и</w:t>
      </w:r>
      <w:r>
        <w:t>вается, Комитет выразил надежду на то, что в него будет включено всеобъе</w:t>
      </w:r>
      <w:r>
        <w:t>м</w:t>
      </w:r>
      <w:r>
        <w:t>лющее определение вознаграждения, включая как прямые, так и косвенные н</w:t>
      </w:r>
      <w:r>
        <w:t>а</w:t>
      </w:r>
      <w:r>
        <w:t>личные платежи или неденежные пособия и льготы. Кроме того, Комитет отм</w:t>
      </w:r>
      <w:r>
        <w:t>е</w:t>
      </w:r>
      <w:r>
        <w:t>тил, что в Трудовом кодексе не закреплен принцип равного вознаграждения за труд равной ценности. Хотя правительство сообщило, что мужчины и женщ</w:t>
      </w:r>
      <w:r>
        <w:t>и</w:t>
      </w:r>
      <w:r>
        <w:t>ны получают, как правило, одинаковое вознаграждение за одинаковый труд, — концепция, имеющая в любом случае более узкое значение, чем концепция труда равной ценности, закрепленная в Конвенции, — оно также отметило, что в одной и той же сфере занятости женщины не получают такой же заработной платы, что и их коллеги-мужчины, ввиду, например, отсутствия у них практ</w:t>
      </w:r>
      <w:r>
        <w:t>и</w:t>
      </w:r>
      <w:r>
        <w:t>ческого опыта. Комитет выразил надежду, что в новом кодексе будет четко у</w:t>
      </w:r>
      <w:r>
        <w:t>с</w:t>
      </w:r>
      <w:r>
        <w:t>тановлен принцип равного вознаграждения мужчин и женщин за труд равной ценности и будет обеспечено сопоставление зарплаты на как можно более ш</w:t>
      </w:r>
      <w:r>
        <w:t>и</w:t>
      </w:r>
      <w:r>
        <w:t>рокой основе в целях избежания недооценки уровней труда и зарплаты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ab/>
        <w:t>В отношении оценки труда Комитет отметил, что в соответствии с разд</w:t>
      </w:r>
      <w:r>
        <w:t>е</w:t>
      </w:r>
      <w:r>
        <w:t>лом 64(1) Трудового кодекса Консультативный совет по вопросам труда может пересматривать признанные классификации и описания должностей, прим</w:t>
      </w:r>
      <w:r>
        <w:t>е</w:t>
      </w:r>
      <w:r>
        <w:t>няемые каким-либо общим советом той или иной индустрии. Комитет напо</w:t>
      </w:r>
      <w:r>
        <w:t>м</w:t>
      </w:r>
      <w:r>
        <w:t>нил, что, как предусматривается в статье 3(1) Конвенции, должны приниматься меры по поощрению объективной оценки видов труда исходя из выполняемой работы, поскольку это будет способствовать осуществлению Конвенции. Кроме того, понятие равного вознаграждения мужчин и женщин за труд равной це</w:t>
      </w:r>
      <w:r>
        <w:t>н</w:t>
      </w:r>
      <w:r>
        <w:t>ности обязательно подразумевает применение определенного метода для об</w:t>
      </w:r>
      <w:r>
        <w:t>ъ</w:t>
      </w:r>
      <w:r>
        <w:t>ективного измерения и сопоставления относительной ценности выполняемых видов работы. Поэтому Комитет просил сообщить о том, принял ли Консульт</w:t>
      </w:r>
      <w:r>
        <w:t>а</w:t>
      </w:r>
      <w:r>
        <w:t>тивный совет по вопросам труда какие</w:t>
      </w:r>
      <w:r>
        <w:noBreakHyphen/>
        <w:t>либо меры по данному разделу, и в ч</w:t>
      </w:r>
      <w:r>
        <w:t>а</w:t>
      </w:r>
      <w:r>
        <w:t>стности предпринял ли он или общие советы индустрий какие</w:t>
      </w:r>
      <w:r>
        <w:noBreakHyphen/>
        <w:t>либо шаги для объективн</w:t>
      </w:r>
      <w:r>
        <w:t>о</w:t>
      </w:r>
      <w:r>
        <w:t>го сопоставления ценности выполняемых видов работы.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111</w:t>
      </w:r>
      <w:r>
        <w:t>: Правительство представило первый доклад по этой конвенции (ратифицированной в 2000 году), который был рассмотрен Комит</w:t>
      </w:r>
      <w:r>
        <w:t>е</w:t>
      </w:r>
      <w:r>
        <w:t>том в 2004 году. В своем прямом запросе Комитет отметил, что, как предусма</w:t>
      </w:r>
      <w:r>
        <w:t>т</w:t>
      </w:r>
      <w:r>
        <w:t>ривается в разделе 28 Конвенции, «женщины обладают правом на то, чтобы к ним относились так же, как к мужчинам, и это право предусматривает предо</w:t>
      </w:r>
      <w:r>
        <w:t>с</w:t>
      </w:r>
      <w:r>
        <w:t>тавление им равных возможностей в политической, экономической и социал</w:t>
      </w:r>
      <w:r>
        <w:t>ь</w:t>
      </w:r>
      <w:r>
        <w:t>ной сферах». Трудовой кодекс, в который в настоящее время вносятся попра</w:t>
      </w:r>
      <w:r>
        <w:t>в</w:t>
      </w:r>
      <w:r>
        <w:t>ки, пока не содержит никаких положений в отношении дискриминации или ссылок на основания для дискриминации, и его сфера применения не охват</w:t>
      </w:r>
      <w:r>
        <w:t>ы</w:t>
      </w:r>
      <w:r>
        <w:t>вает домашних работников. Комитет настоятельно призвал правительство обеспечить, чтобы в новое трудовое законодательство было включено всеоб</w:t>
      </w:r>
      <w:r>
        <w:t>ъ</w:t>
      </w:r>
      <w:r>
        <w:t>емлющее определение дискриминации в дополнение к тем положениям Ко</w:t>
      </w:r>
      <w:r>
        <w:t>н</w:t>
      </w:r>
      <w:r>
        <w:t>ституции, в которых запрещены все основания для дискриминации, указанные в Конвенции, и чтобы в этом законодательстве была рассмотрена как прямая, так и косвенная дискриминация, в том, что касается равенства возможностей и равного обр</w:t>
      </w:r>
      <w:r>
        <w:t>а</w:t>
      </w:r>
      <w:r>
        <w:t>щения на рабочих местах.</w:t>
      </w:r>
    </w:p>
    <w:p w:rsidR="00000000" w:rsidRDefault="00000000">
      <w:pPr>
        <w:pStyle w:val="SingleTxt"/>
      </w:pPr>
      <w:r>
        <w:tab/>
        <w:t>Что касается требования проводить национальную политику, поощря</w:t>
      </w:r>
      <w:r>
        <w:t>ю</w:t>
      </w:r>
      <w:r>
        <w:t>щую равенство, то, как отметил Комитет, хотя в период 2003–2008 годов ос</w:t>
      </w:r>
      <w:r>
        <w:t>у</w:t>
      </w:r>
      <w:r>
        <w:t>ществляется новая национальная политика в области занятости, неясно, сп</w:t>
      </w:r>
      <w:r>
        <w:t>о</w:t>
      </w:r>
      <w:r>
        <w:t>собствует ли эта политика обеспечению равенства в этой области. Комитет о</w:t>
      </w:r>
      <w:r>
        <w:t>т</w:t>
      </w:r>
      <w:r>
        <w:t>метил далее, что принцип равенства должен «пропагандироваться и осущест</w:t>
      </w:r>
      <w:r>
        <w:t>в</w:t>
      </w:r>
      <w:r>
        <w:t>ляться на общегосударственном уровне». Комитет напомнил правительству, что в соответствии с Конвенцией правительство обязано провозгласить и пров</w:t>
      </w:r>
      <w:r>
        <w:t>о</w:t>
      </w:r>
      <w:r>
        <w:t>дить национальную политику, направленную на поощрение равенства и равн</w:t>
      </w:r>
      <w:r>
        <w:t>о</w:t>
      </w:r>
      <w:r>
        <w:t>го обращения на основе методов, соответствующих национальным условиям. Он просил правительство предоставить дополнительную информацию о том, способствует ли обеспечению равенства национальная политика в области з</w:t>
      </w:r>
      <w:r>
        <w:t>а</w:t>
      </w:r>
      <w:r>
        <w:t>нятости и, если нет, когда и каким образом оно разработает и провозгласит т</w:t>
      </w:r>
      <w:r>
        <w:t>а</w:t>
      </w:r>
      <w:r>
        <w:t>кую политику.</w:t>
      </w:r>
    </w:p>
    <w:p w:rsidR="00000000" w:rsidRDefault="00000000">
      <w:pPr>
        <w:pStyle w:val="SingleTxt"/>
      </w:pPr>
      <w:r>
        <w:tab/>
        <w:t>Что касается доступа к профессиональному обучению, то Комитет принял к сведению заявление правительства о том, что в области профессионального обучения, труда и занятий не проявляется никакой дискриминации по признаку расы, цвета кожи, пола, религии или политических убеждений, хотя на практ</w:t>
      </w:r>
      <w:r>
        <w:t>и</w:t>
      </w:r>
      <w:r>
        <w:t>ке общественные уклады способствуют тому, что мужчины и женщины обуч</w:t>
      </w:r>
      <w:r>
        <w:t>а</w:t>
      </w:r>
      <w:r>
        <w:t>ются разным навыкам. Комитет просил правительство предоставить информ</w:t>
      </w:r>
      <w:r>
        <w:t>а</w:t>
      </w:r>
      <w:r>
        <w:t>цию о мерах, принятых в целях сокращения случаев такой косвенной дискр</w:t>
      </w:r>
      <w:r>
        <w:t>и</w:t>
      </w:r>
      <w:r>
        <w:t>минации, которая приводит к сегрегации по видам занятости, и любых шагах, предпринятых в целях поощрения доступа как женщин, так и мужчин к нетр</w:t>
      </w:r>
      <w:r>
        <w:t>а</w:t>
      </w:r>
      <w:r>
        <w:t>диционным профессиям. Он также отметил, что, хотя девочкам образование предоставляется бесплатно, чтобы побуждать родителей отдавать девочек в школу, образованию девочек в сельских районах по</w:t>
      </w:r>
      <w:r>
        <w:noBreakHyphen/>
        <w:t>прежнему придается вт</w:t>
      </w:r>
      <w:r>
        <w:t>о</w:t>
      </w:r>
      <w:r>
        <w:t>ростепенное значение. Комитет напомнил, что, поскольку завершение опред</w:t>
      </w:r>
      <w:r>
        <w:t>е</w:t>
      </w:r>
      <w:r>
        <w:t>ленных видов обучения, относящихся к разделу общего образования, необх</w:t>
      </w:r>
      <w:r>
        <w:t>о</w:t>
      </w:r>
      <w:r>
        <w:t>димо для получения доступа к тому или иному виду занятости, связанные с этим проблемы не следует игнорировать при применении Конвенции (см. пункт 78 общего обследования за 1988 год). Комитет просил правительс</w:t>
      </w:r>
      <w:r>
        <w:t>т</w:t>
      </w:r>
      <w:r>
        <w:t>во держать его в курсе прогресса, достигнутого им в деле расширения доступа всех людей к образованию и профе</w:t>
      </w:r>
      <w:r>
        <w:t>с</w:t>
      </w:r>
      <w:r>
        <w:t>сиональному обучению.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87</w:t>
      </w:r>
      <w:r>
        <w:t>: В своем прямом запросе в 2003 году в ответ на первый доклад правительства Комитет отметил, что домашние работники не охват</w:t>
      </w:r>
      <w:r>
        <w:t>ы</w:t>
      </w:r>
      <w:r>
        <w:t>ваются сферой действия раздела 2(2)(c) и (d) Закона о труде № 12 1990 года. Комитет считает, что домашние работники не исключены из сферы действия Конвенции и поэтому должны быть охвачены гарантиями, предоставляемыми в ней в отношении права на создание профессиональных организаций и всту</w:t>
      </w:r>
      <w:r>
        <w:t>п</w:t>
      </w:r>
      <w:r>
        <w:t>ление в них. Комитет просил правительство сообщить о тех положениях, в к</w:t>
      </w:r>
      <w:r>
        <w:t>о</w:t>
      </w:r>
      <w:r>
        <w:t>торых домашним работникам гарантируется право на создание организаций по своему усмотрению и вступление в них.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Гайана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Гайана ратифицировала конве</w:t>
      </w:r>
      <w:r>
        <w:t>н</w:t>
      </w:r>
      <w:r>
        <w:t>ции № 100 и № 111. Она также ратифицировала конвенции №№ 29, 45, 87, 98, 105, 138, 142, 175 и 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В своем прямом запросе в 2003 году Комитет просил предоставить ему дополнительную информацию в основном по вопросам, к</w:t>
      </w:r>
      <w:r>
        <w:t>а</w:t>
      </w:r>
      <w:r>
        <w:t>сающимся практического применения, включая информацию о a) предлага</w:t>
      </w:r>
      <w:r>
        <w:t>е</w:t>
      </w:r>
      <w:r>
        <w:t>мом изменении раздела 2(3) Закона № 19 о равных правах 1990 года; b) име</w:t>
      </w:r>
      <w:r>
        <w:t>ю</w:t>
      </w:r>
      <w:r>
        <w:t>щихся статистических данных, в том числе о шкале окладов государственных служащих, которые касаются равного вознаграждения женщин и мужчин за труд равной ценности; c) уже принятых или планируемых мерах в области п</w:t>
      </w:r>
      <w:r>
        <w:t>о</w:t>
      </w:r>
      <w:r>
        <w:t>ощрения и мониторинга применения Закона № 26 о предупреждении дискр</w:t>
      </w:r>
      <w:r>
        <w:t>и</w:t>
      </w:r>
      <w:r>
        <w:t>минации 1997 года, в том числе о деятельности трудового инспектората и м</w:t>
      </w:r>
      <w:r>
        <w:t>е</w:t>
      </w:r>
      <w:r>
        <w:t>тодах, применяемых при проведении таких инспекций; и d) конкретных ролях социальных партнеров в деле содействия пониманию и применению Конве</w:t>
      </w:r>
      <w:r>
        <w:t>н</w:t>
      </w:r>
      <w:r>
        <w:t>ции и с</w:t>
      </w:r>
      <w:r>
        <w:t>о</w:t>
      </w:r>
      <w:r>
        <w:t>ответствующих законов о равенстве.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111</w:t>
      </w:r>
      <w:r>
        <w:t>: В своем прямом запросе в 2003 году Комитет отметил, что законодательство Гайаны запрещает сексуальные домогательства, и просил правительство предоставить в докладе за следующий год информацию об ос</w:t>
      </w:r>
      <w:r>
        <w:t>у</w:t>
      </w:r>
      <w:r>
        <w:t>ществлении закона, запрещающего сексуальные домогательства, включая и</w:t>
      </w:r>
      <w:r>
        <w:t>н</w:t>
      </w:r>
      <w:r>
        <w:t>формацию о каких</w:t>
      </w:r>
      <w:r>
        <w:noBreakHyphen/>
        <w:t>либо судебных решениях. Комитет также отметил, что в своем ответе правительство сослалось на трудности, с которыми сталкиваются женщины при попытке прибегать к средствам судебной защиты от дискрим</w:t>
      </w:r>
      <w:r>
        <w:t>и</w:t>
      </w:r>
      <w:r>
        <w:t>нации в области занятости, и просил правительство предоставить более по</w:t>
      </w:r>
      <w:r>
        <w:t>д</w:t>
      </w:r>
      <w:r>
        <w:t>робную информацию об эффективности процедур рассмотрения жалоб на ди</w:t>
      </w:r>
      <w:r>
        <w:t>с</w:t>
      </w:r>
      <w:r>
        <w:t>криминацию в о</w:t>
      </w:r>
      <w:r>
        <w:t>б</w:t>
      </w:r>
      <w:r>
        <w:t>ласти труда и занятий.</w:t>
      </w:r>
    </w:p>
    <w:p w:rsidR="00000000" w:rsidRDefault="00000000">
      <w:pPr>
        <w:pStyle w:val="SingleTxt"/>
      </w:pPr>
      <w:r>
        <w:tab/>
        <w:t>Кроме того, Комитет отметил, что в Национальном плане действий по улучшению положения женщин Гайаны на 2000–2004 годы предусматривается достижение различных целей, таких, как развитие руководящих навыков и п</w:t>
      </w:r>
      <w:r>
        <w:t>о</w:t>
      </w:r>
      <w:r>
        <w:t>вышение уровня образования и профессиональной подготовки женщин. Прав</w:t>
      </w:r>
      <w:r>
        <w:t>и</w:t>
      </w:r>
      <w:r>
        <w:t>тельству было предложено предоставить информацию о принятых мерах и достигнутом прогрессе в деле осуществления Плана за последние три года и о каких</w:t>
      </w:r>
      <w:r>
        <w:noBreakHyphen/>
        <w:t>либо агитационно-просветительных кампаниях и пропагандистских м</w:t>
      </w:r>
      <w:r>
        <w:t>е</w:t>
      </w:r>
      <w:r>
        <w:t>роприятиях, проведенных в целях повышения информированности о важности того, чтобы мужчины и женщины имели доступ ко всем видам занятости. К</w:t>
      </w:r>
      <w:r>
        <w:t>о</w:t>
      </w:r>
      <w:r>
        <w:t>митет обратил в этой связи внимание правительства на большие достижения в области образования девочек и выразил надежду на то, что правительство сможет сообщить, каким образом это транспонировалось на рынок труда. К</w:t>
      </w:r>
      <w:r>
        <w:t>о</w:t>
      </w:r>
      <w:r>
        <w:t>митет просил далее правительство предоставить информацию о том, как пр</w:t>
      </w:r>
      <w:r>
        <w:t>о</w:t>
      </w:r>
      <w:r>
        <w:t>двигается принятие законопроекта № 6 2001 года о создании конституционных комиссий, в том числе комиссии по положению женщин и равенству п</w:t>
      </w:r>
      <w:r>
        <w:t>о</w:t>
      </w:r>
      <w:r>
        <w:t>лов.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175</w:t>
      </w:r>
      <w:r>
        <w:t>: В своем прямом запросе в 2003 году Комитет отметил, что термин «частично занятый работник» никак не определен в национальных нормативно-правовых актах. Он также отметил заявление правительства о том, что для работников не установлено какой</w:t>
      </w:r>
      <w:r>
        <w:noBreakHyphen/>
        <w:t>либо конкретной общепринятой пр</w:t>
      </w:r>
      <w:r>
        <w:t>о</w:t>
      </w:r>
      <w:r>
        <w:t>должительности рабочего времени, меньше которой они считались бы части</w:t>
      </w:r>
      <w:r>
        <w:t>ч</w:t>
      </w:r>
      <w:r>
        <w:t>но занятыми. Комитет просил правительство сообщить, какие меры оно уже приняло или намеревается принять, чтобы дать определение термину «части</w:t>
      </w:r>
      <w:r>
        <w:t>ч</w:t>
      </w:r>
      <w:r>
        <w:t>ная занятость» без учета возможных различий в общепринятой продолжител</w:t>
      </w:r>
      <w:r>
        <w:t>ь</w:t>
      </w:r>
      <w:r>
        <w:t>ности рабочего времени работников, занятых полный рабочий день, примен</w:t>
      </w:r>
      <w:r>
        <w:t>и</w:t>
      </w:r>
      <w:r>
        <w:t>тельно к разным сезонам года, видам занятости, географическим регионам или возрасту работников, в качестве необходимого предварительного условия для обеспечения реальной защиты лиц, занятых таким тр</w:t>
      </w:r>
      <w:r>
        <w:t>у</w:t>
      </w:r>
      <w:r>
        <w:t>дом.</w:t>
      </w:r>
    </w:p>
    <w:p w:rsidR="00000000" w:rsidRDefault="00000000">
      <w:pPr>
        <w:pStyle w:val="SingleTxt"/>
      </w:pPr>
      <w:r>
        <w:tab/>
        <w:t>Комитет принял к сведению предоставленную правительством информ</w:t>
      </w:r>
      <w:r>
        <w:t>а</w:t>
      </w:r>
      <w:r>
        <w:t>цию о том, что все трудящиеся-женщины имеют право на отпуск по береме</w:t>
      </w:r>
      <w:r>
        <w:t>н</w:t>
      </w:r>
      <w:r>
        <w:t>ности и родам продолжительностью 13 недель, если были внесены соответс</w:t>
      </w:r>
      <w:r>
        <w:t>т</w:t>
      </w:r>
      <w:r>
        <w:t>вующие взносы. Он также отметил заявление правительства о том, что в соо</w:t>
      </w:r>
      <w:r>
        <w:t>т</w:t>
      </w:r>
      <w:r>
        <w:t>ветствии с национальной системой страхования все трудящиеся имеют право на отпуск по болезни. Комитет просил правительство предоставить дополн</w:t>
      </w:r>
      <w:r>
        <w:t>и</w:t>
      </w:r>
      <w:r>
        <w:t>тельную информацию о защите частично занятых женщин в том, что касается всех аспектов охраны материнства, помимо отпуска по беременности и родам, таких, как наличные платежи и льготные медицинские услуги, перевод на по</w:t>
      </w:r>
      <w:r>
        <w:t>д</w:t>
      </w:r>
      <w:r>
        <w:t>ходящую работу, сохранение дохода и защита от увольнения. Кроме того, со</w:t>
      </w:r>
      <w:r>
        <w:t>з</w:t>
      </w:r>
      <w:r>
        <w:t>дается впечатление, что минимальные пороговые уровни еженедельного дох</w:t>
      </w:r>
      <w:r>
        <w:t>о</w:t>
      </w:r>
      <w:r>
        <w:t>да или случайный или вспомогательный характер занятости, используемые в качестве оснований для исключения из сферы охвата национальной системы страхования, применяются также в отношении пособий по беременности и р</w:t>
      </w:r>
      <w:r>
        <w:t>о</w:t>
      </w:r>
      <w:r>
        <w:t>дам и по болезни. Поэтому правительству было предложено предоставить д</w:t>
      </w:r>
      <w:r>
        <w:t>о</w:t>
      </w:r>
      <w:r>
        <w:t>полнительную информацию по данному вопросу. Комитет также отметил, что национальная система страхования не предусматривает никаких пороговых уровней, и поэтому никакие работники не должны из нее исключаться. Однако Комитет полагает, что действующее законодательство в сфере социального обеспечения исключает из нее тех работников, которые получают меньше ко</w:t>
      </w:r>
      <w:r>
        <w:t>н</w:t>
      </w:r>
      <w:r>
        <w:t>кретного еженедельного заработка, а также заняты на временных и вспомог</w:t>
      </w:r>
      <w:r>
        <w:t>а</w:t>
      </w:r>
      <w:r>
        <w:t>тельных видах работы. Комитет просил правительство уточнить, какие в этой связи применяются национальные законы и практика, и дать примерную оце</w:t>
      </w:r>
      <w:r>
        <w:t>н</w:t>
      </w:r>
      <w:r>
        <w:t>ку процентной доли частично занятых работников, которые могут подпадать под вышеупомянутые исключ</w:t>
      </w:r>
      <w:r>
        <w:t>е</w:t>
      </w:r>
      <w:r>
        <w:t>ния.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182</w:t>
      </w:r>
      <w:r>
        <w:t>: Комитет рассмотрел первый доклад правительства по этой конвенции (ратифицированной в 2001 году) в 2004 году. В своем прямом запросе правительству Комитет отметил, что разделами 84, 85 и 89 Закона об уголовных правонарушениях предусматривается наказание за похищение и н</w:t>
      </w:r>
      <w:r>
        <w:t>а</w:t>
      </w:r>
      <w:r>
        <w:t>сильственный увоз какого</w:t>
      </w:r>
      <w:r>
        <w:noBreakHyphen/>
        <w:t>либо лица женского пола или незамужней девушки в возрасте до 18 лет с целью ее принуждения к браку или к незаконному пол</w:t>
      </w:r>
      <w:r>
        <w:t>о</w:t>
      </w:r>
      <w:r>
        <w:t>вому акту. Кроме того, Комитет отметил, что разделом 73 Закона об уголовных правонарушениях предусматривается ответственность за приобретение или попытку приобретения любого лица женского пола в возрасте до 21 года для ее вывоза из Гайаны или места ее проживания для целей проституции на терр</w:t>
      </w:r>
      <w:r>
        <w:t>и</w:t>
      </w:r>
      <w:r>
        <w:t>тории Гайаны либо за ее пределами. Однако Комитет отметил, что эти полож</w:t>
      </w:r>
      <w:r>
        <w:t>е</w:t>
      </w:r>
      <w:r>
        <w:t>ния охватывают лишь торговлю женщинами или девочками для целей секс</w:t>
      </w:r>
      <w:r>
        <w:t>у</w:t>
      </w:r>
      <w:r>
        <w:t>альной эксплуатации, и он предложил правительству сообщить, какие меры оно приняло или намеревается принять в целях запрещения торговли девочк</w:t>
      </w:r>
      <w:r>
        <w:t>а</w:t>
      </w:r>
      <w:r>
        <w:t>ми в возрасте до 18 лет для ц</w:t>
      </w:r>
      <w:r>
        <w:t>е</w:t>
      </w:r>
      <w:r>
        <w:t xml:space="preserve">лей эксплуатации труда. </w:t>
      </w:r>
    </w:p>
    <w:p w:rsidR="00000000" w:rsidRDefault="00000000">
      <w:pPr>
        <w:pStyle w:val="SingleTxt"/>
      </w:pPr>
      <w:r>
        <w:tab/>
        <w:t>Кроме того, Комитет отметил те положения Закона об уголовных прав</w:t>
      </w:r>
      <w:r>
        <w:t>о</w:t>
      </w:r>
      <w:r>
        <w:t>нарушениях, которые касаются проституции женщин и девочек. Он отметил, в частности, что в соответствии с разделом 73 Закона об уголовных правонар</w:t>
      </w:r>
      <w:r>
        <w:t>у</w:t>
      </w:r>
      <w:r>
        <w:t>шениях предусматривается судебное наказание любого лица, которое: a) приобретает или пытается приобрести какое</w:t>
      </w:r>
      <w:r>
        <w:noBreakHyphen/>
        <w:t>либо лицо женского пола в во</w:t>
      </w:r>
      <w:r>
        <w:t>з</w:t>
      </w:r>
      <w:r>
        <w:t>расте до 21 года для вступления в любую незаконную половую связь с любым другим лицом на территории Гайаны либо за ее пределами; или b) приобретает или пытается приобрести любое лицо женского пола для использования в к</w:t>
      </w:r>
      <w:r>
        <w:t>а</w:t>
      </w:r>
      <w:r>
        <w:t>честве уличной проститутки на территории Гайаны либо за ее пределами; или c) приобретает или пытается приобрести любое лицо женского пола для вывоза из Гайаны с целью принудительного содержания в публичном доме в другой стране; или d) приобретает или пытается приобрести любое лицо женского п</w:t>
      </w:r>
      <w:r>
        <w:t>о</w:t>
      </w:r>
      <w:r>
        <w:t>ла для вывоза из ее обычного места проживания в Гайане с целью принуд</w:t>
      </w:r>
      <w:r>
        <w:t>и</w:t>
      </w:r>
      <w:r>
        <w:t>тельного содержания в качестве проститутки в публичном доме на территории Гайаны либо за ее пределами. Комитет отмечает также, что разделом 72 Закона об уголовных правонарушениях предусматривается наказание любого лица, к</w:t>
      </w:r>
      <w:r>
        <w:t>о</w:t>
      </w:r>
      <w:r>
        <w:t>торое: a) путем применения угрозы или устрашения приобретает любое лицо женского пола для вступления в незаконную половую связь на территории Га</w:t>
      </w:r>
      <w:r>
        <w:t>й</w:t>
      </w:r>
      <w:r>
        <w:t>аны либо за ее пределами; b) приобретает любыми обманными действиями любое лицо женского пола, не являющееся уличной проституткой, для всту</w:t>
      </w:r>
      <w:r>
        <w:t>п</w:t>
      </w:r>
      <w:r>
        <w:t>ления в любую незаконную половую связь на территории Гайаны или за ее пределами; или c) вводит в наркотическое состояние любое лицо женского п</w:t>
      </w:r>
      <w:r>
        <w:t>о</w:t>
      </w:r>
      <w:r>
        <w:t>ла с целью позволить любому другому лицу вступить с ней в незаконную п</w:t>
      </w:r>
      <w:r>
        <w:t>о</w:t>
      </w:r>
      <w:r>
        <w:t>ловую связь. Комитет далее отметил, что в соответствии с разделом 86 Закона об уголовных правонарушениях лицо, которое содержит любое лицо женского пола против ее воли в любом помещении или публичном доме с намерением вступить с ней в незаконную половую связь или принудить ее к незаконной п</w:t>
      </w:r>
      <w:r>
        <w:t>о</w:t>
      </w:r>
      <w:r>
        <w:t>ловой связи с любым другим лицом или принудительно содержит ее в публи</w:t>
      </w:r>
      <w:r>
        <w:t>ч</w:t>
      </w:r>
      <w:r>
        <w:t>ном доме, подлежит судебному наказанию и тюремному заключению. Кроме того, в соответствии с разделом 165 Закона о суммарном судопроизводстве л</w:t>
      </w:r>
      <w:r>
        <w:t>ю</w:t>
      </w:r>
      <w:r>
        <w:t>бое лицо, которое содержит, контролирует, управляет или помогает управлять публичным домом, либо в качестве арендатора, съемщика, жильца, арендод</w:t>
      </w:r>
      <w:r>
        <w:t>а</w:t>
      </w:r>
      <w:r>
        <w:t>теля, владельца или лица, ведающего какими</w:t>
      </w:r>
      <w:r>
        <w:noBreakHyphen/>
        <w:t>либо помещениями, умышленно разрешает использовать такие помещения или часть таких помещений в кач</w:t>
      </w:r>
      <w:r>
        <w:t>е</w:t>
      </w:r>
      <w:r>
        <w:t>стве публичного дома, подлежит штрафу и тюремному заключ</w:t>
      </w:r>
      <w:r>
        <w:t>е</w:t>
      </w:r>
      <w:r>
        <w:t>нию.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Ирландия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Ирландия ратифицировала конве</w:t>
      </w:r>
      <w:r>
        <w:t>н</w:t>
      </w:r>
      <w:r>
        <w:t>ции № 100 и № 111. Она также ратифицировала конвенции №№ 29, 87, 98, 105, 122, 138, 142, 177 и 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В своем прямом запросе в 2003 году в отношении об</w:t>
      </w:r>
      <w:r>
        <w:t>ъ</w:t>
      </w:r>
      <w:r>
        <w:t>ективной оценки труда по смыслу статьи 3 Конвенции Комитет с интересом отметил, что в разделе 7(1)(c) Закона о равенстве в области занятости 1998 года разрешается проведение официальных сопоставлений видов труда, как об этом свидетельствуют три решения, принятые в период с января 2002 года по апрель 2003 года Бюро Директора по расследованию дел, связанных с вопросами ра</w:t>
      </w:r>
      <w:r>
        <w:t>в</w:t>
      </w:r>
      <w:r>
        <w:t xml:space="preserve">ноправия (БДРР). В каждом из этих случаев сотрудники по вопросам равенства проводили рабочие инспекции и сопоставления разных видов труда исходя из «навыков, физических или умственных требований, степени ответственности и условий работы» в целях установления того, выполнялась ли истцами и их компараторами «одинаковая работа» по смыслу Закона; было установлено, что ни один из истцов не выполнял работу одинаковой ценности. 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111</w:t>
      </w:r>
      <w:r>
        <w:t>: В своем прямом запросе в 2003 году Комитет отметил, что, как предусматривается в Конституции, равенство перед законом не озн</w:t>
      </w:r>
      <w:r>
        <w:t>а</w:t>
      </w:r>
      <w:r>
        <w:t>чает того, что государство не должно в своих нормативных актах должным о</w:t>
      </w:r>
      <w:r>
        <w:t>б</w:t>
      </w:r>
      <w:r>
        <w:t>разом учитывать различия в физических и умственных способностях и в соц</w:t>
      </w:r>
      <w:r>
        <w:t>и</w:t>
      </w:r>
      <w:r>
        <w:t>альных функциях, и в Конституции подтверждается особая ценность домашней жизни женщин и предусматривается, что государство должно обеспечивать, чтобы экономическая необходимость не принуждала женщин к занятости «в ущерб выполнению их домашних обязанностей». Комитет просил правительс</w:t>
      </w:r>
      <w:r>
        <w:t>т</w:t>
      </w:r>
      <w:r>
        <w:t>во пересмотреть эти положения в целях сведения к минимуму или устранения любых возможных несоответствий между ними и принципом поощрения р</w:t>
      </w:r>
      <w:r>
        <w:t>а</w:t>
      </w:r>
      <w:r>
        <w:t>венства во</w:t>
      </w:r>
      <w:r>
        <w:t>з</w:t>
      </w:r>
      <w:r>
        <w:t>можностей мужчин и женщин в области труда и занятий.</w:t>
      </w:r>
    </w:p>
    <w:p w:rsidR="00000000" w:rsidRDefault="00000000">
      <w:pPr>
        <w:pStyle w:val="SingleTxt"/>
      </w:pPr>
      <w:r>
        <w:tab/>
        <w:t>Кроме того, Комитет отметил, что в соответствии с Законом о равенстве в области занятости 1998 года предусматривается, что, когда та или иная дол</w:t>
      </w:r>
      <w:r>
        <w:t>ж</w:t>
      </w:r>
      <w:r>
        <w:t>ность связана с выполнением обязанностей за пределами государства в таком месте, где законы или обычаи не могут в разумной степени выполняться лицом определенного пола, расы или религии, одной из профессиональных квалиф</w:t>
      </w:r>
      <w:r>
        <w:t>и</w:t>
      </w:r>
      <w:r>
        <w:t>каций такой должности будет наличие определенного пола, расы или религии (в зависимости от каждого конкретного случая). Выразив обеспокоенность тем, что возможное дискриминационное обращение в других юрисдикциях может косвенным образом отразиться на ирландской практике трудоустройства, К</w:t>
      </w:r>
      <w:r>
        <w:t>о</w:t>
      </w:r>
      <w:r>
        <w:t>митет просил правительство рассказать, каким образом эти положения прим</w:t>
      </w:r>
      <w:r>
        <w:t>е</w:t>
      </w:r>
      <w:r>
        <w:t xml:space="preserve">няются на практике. </w:t>
      </w:r>
    </w:p>
    <w:p w:rsidR="00000000" w:rsidRDefault="00000000">
      <w:pPr>
        <w:pStyle w:val="SingleTxt"/>
      </w:pPr>
      <w:r>
        <w:tab/>
        <w:t>Комитет принял к сведению расширение полномочий недавно учрежде</w:t>
      </w:r>
      <w:r>
        <w:t>н</w:t>
      </w:r>
      <w:r>
        <w:t>ного Управления по вопросам равноправия («Управление»), а также создание БДРР и Комиссии по правам человека. Кроме того, он отметил широкий круг конструктивных и информативных мероприятий, которые осуществляются этими статутными органами (в особенности Управлением и БДРР) и которые конкретно направлены на борьбу с дискриминацией и поощрение равенства в области занятости. Эти мероприятия включают разработку и применение к</w:t>
      </w:r>
      <w:r>
        <w:t>о</w:t>
      </w:r>
      <w:r>
        <w:t>декса действий по борьбе с сексуальными и другими домогательствами на р</w:t>
      </w:r>
      <w:r>
        <w:t>а</w:t>
      </w:r>
      <w:r>
        <w:t>бочих местах, принятие Управлением мер по анализу и поощрению сбора да</w:t>
      </w:r>
      <w:r>
        <w:t>н</w:t>
      </w:r>
      <w:r>
        <w:t>ных о занятости с разбивкой по всем запрещенным в Конвенции основаниям для дискриминации и проведение обзоров положения с обеспечением равенс</w:t>
      </w:r>
      <w:r>
        <w:t>т</w:t>
      </w:r>
      <w:r>
        <w:t xml:space="preserve">ва. </w:t>
      </w:r>
    </w:p>
    <w:p w:rsidR="00000000" w:rsidRDefault="00000000">
      <w:pPr>
        <w:pStyle w:val="SingleTxt"/>
      </w:pPr>
      <w:r>
        <w:tab/>
        <w:t>Комитет далее отметил, что в некоторых обстоятельствах нынешнее зак</w:t>
      </w:r>
      <w:r>
        <w:t>о</w:t>
      </w:r>
      <w:r>
        <w:t>нодательство разрешает принимать позитивные меры по устранению сущес</w:t>
      </w:r>
      <w:r>
        <w:t>т</w:t>
      </w:r>
      <w:r>
        <w:t>вующих случаев неравенства в области занятости, особенно по отношению к женщинам и жертвам дискриминации в том, что касается организации обуч</w:t>
      </w:r>
      <w:r>
        <w:t>е</w:t>
      </w:r>
      <w:r>
        <w:t>ния или приобретения профессионального опыта. Он просил правительство предоставить дополнительную информацию о каких-либо конкретных мерах и программах, которые намечается разработать, а также о любых таких мер</w:t>
      </w:r>
      <w:r>
        <w:t>о</w:t>
      </w:r>
      <w:r>
        <w:t xml:space="preserve">приятиях, которые уже проводятся или планируются. 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122</w:t>
      </w:r>
      <w:r>
        <w:t>: В своем замечании в 2003 году Комитет подчеркнул, что правительство осуществило целый ряд нормативно-правовых актов для достижения цели расширения доли женщин в составе рабочей силы. Такие н</w:t>
      </w:r>
      <w:r>
        <w:t>е</w:t>
      </w:r>
      <w:r>
        <w:t>давно принятые законодательные меры, как увеличение продолжительности отпуска по беременности и родам и принятие Закона об отпуске по уходу за нуждающимися лицами 2001 года и Закона о частично занятых работниках 2001 года, призваны содействовать сохранению за женщинами их работы и их продвижению по службе. Кроме того, что касается инвестиций в сфере ухода за детьми, то правительство выделило 437 млн. евро в рамках Национального плана развития на 2000–2006 годы, который уже способствовал созданию д</w:t>
      </w:r>
      <w:r>
        <w:t>о</w:t>
      </w:r>
      <w:r>
        <w:t>полнительных 12 200 мест в заведениях по уходу за детьми. Комитет отметил, что относительно значительный рост занятости среди женщин в последние г</w:t>
      </w:r>
      <w:r>
        <w:t>о</w:t>
      </w:r>
      <w:r>
        <w:t>ды был важным фактором сохранения притока рабочей силы на рынок в усл</w:t>
      </w:r>
      <w:r>
        <w:t>о</w:t>
      </w:r>
      <w:r>
        <w:t>виях быс</w:t>
      </w:r>
      <w:r>
        <w:t>т</w:t>
      </w:r>
      <w:r>
        <w:t>рого экономического роста.</w:t>
      </w:r>
    </w:p>
    <w:p w:rsidR="00000000" w:rsidRDefault="00000000">
      <w:pPr>
        <w:pStyle w:val="SingleTxt"/>
      </w:pPr>
      <w:r>
        <w:rPr>
          <w:b/>
        </w:rPr>
        <w:tab/>
      </w:r>
      <w:r>
        <w:rPr>
          <w:i/>
        </w:rPr>
        <w:t>Конвенция № 182</w:t>
      </w:r>
      <w:r>
        <w:t>: Комитет рассмотрел первый и второй доклады прав</w:t>
      </w:r>
      <w:r>
        <w:t>и</w:t>
      </w:r>
      <w:r>
        <w:t>тельства по Конвенции (ратифицированной в 1999 году) в 2004 году. В своем прямом запросе Комитет отметил принятие законодательных актов в целях предотвращения и пресечения торговли, проституции и продажи детей и нак</w:t>
      </w:r>
      <w:r>
        <w:t>а</w:t>
      </w:r>
      <w:r>
        <w:t>зания за них (Закон о борьбе с торговлей детьми и детской порнографией 1998 года, Закон о борьбе с незаконной иммиграцией 2000 года и Закон об о</w:t>
      </w:r>
      <w:r>
        <w:t>т</w:t>
      </w:r>
      <w:r>
        <w:t>правлении правосудия по уголовным делам (делам о сексуальных преступл</w:t>
      </w:r>
      <w:r>
        <w:t>е</w:t>
      </w:r>
      <w:r>
        <w:t>ниях) 1993 года). Дополнительная информация о соответствующих положениях содержится в полном тексте прямого запроса 2004 года (ИЛОЛЕКС).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Израиль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Конвенции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Израиль ратифицировал конве</w:t>
      </w:r>
      <w:r>
        <w:t>н</w:t>
      </w:r>
      <w:r>
        <w:t>ции № 100 и №111. Он также ратифицировал конвенции №№ 29, 87, 98, 105, 122, 138 и 142.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 xml:space="preserve">щин (КЛДОЖ), касаются следующего: 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100</w:t>
      </w:r>
      <w:r>
        <w:t>: Поскольку доклад был представлен правительством с опозданием, Комитет в своем прямом запросе в 2004 году был вынужден п</w:t>
      </w:r>
      <w:r>
        <w:t>о</w:t>
      </w:r>
      <w:r>
        <w:t>вторить свои предыдущие комментарии за 2003 год. Он отметил осуществл</w:t>
      </w:r>
      <w:r>
        <w:t>е</w:t>
      </w:r>
      <w:r>
        <w:t>ние двух мер по расширению представленности женщин в государственном секторе: подготовку подробного доклада об улучшении положения женщин и включение вопроса о положении женщин в планы всех учебных мероприятий. По сообщению правительства, подробные доклады ежегодно подготавливаются Группой по улучшению положения женщин и представляются Комитету кне</w:t>
      </w:r>
      <w:r>
        <w:t>с</w:t>
      </w:r>
      <w:r>
        <w:t>сета по положению женщин. Комитет просил правительство предоставить в его следующем докладе экземпляры вышеупомянутого подробного доклада и м</w:t>
      </w:r>
      <w:r>
        <w:t>а</w:t>
      </w:r>
      <w:r>
        <w:t>териалов, используемых в различных учебных мероприятиях.</w:t>
      </w:r>
    </w:p>
    <w:p w:rsidR="00000000" w:rsidRDefault="00000000">
      <w:pPr>
        <w:pStyle w:val="SingleTxt"/>
      </w:pPr>
      <w:r>
        <w:tab/>
        <w:t>Что касается установления для каждого отдельного государственного подразделения конкретных показателей в отношении назначения женщин, то Комитет с интересом отметил поправки, внесенные в Закон о равноправии женщин и Закон о гражданской службе (назначениях). Измененный Закон о равноправии женщин теперь предусматривает принятие мер по поощрению н</w:t>
      </w:r>
      <w:r>
        <w:t>а</w:t>
      </w:r>
      <w:r>
        <w:t>значения женщин на посты всех уровней в государственных учреждениях. Аналогичным образом, Закон о гражданской службе теперь обязывает госу</w:t>
      </w:r>
      <w:r>
        <w:t>ч</w:t>
      </w:r>
      <w:r>
        <w:t>реждения содействовать более широкой представленности женщин путем в</w:t>
      </w:r>
      <w:r>
        <w:t>ы</w:t>
      </w:r>
      <w:r>
        <w:t>деления конкретных должностей для квалифицированных женщин-кандидатов или отдания им предпочтения при назначении на такие должности. Комитет далее отметил, что был подготовлен проект правительственного решения, у</w:t>
      </w:r>
      <w:r>
        <w:t>с</w:t>
      </w:r>
      <w:r>
        <w:t>танавливающего процентные показатели представленности женщин на ко</w:t>
      </w:r>
      <w:r>
        <w:t>н</w:t>
      </w:r>
      <w:r>
        <w:t>кретных должностях и постах. Отметив, что принятие таких мер в интересах женщин должно привести к сокращению разрыва в уровнях вознаграждения мужчин и женщин, Комитет предложил правительству предоставить информ</w:t>
      </w:r>
      <w:r>
        <w:t>а</w:t>
      </w:r>
      <w:r>
        <w:t>цию, позволяющую дать оценку тому, каким образом принятие мер в интересах женщин способствует применению Конве</w:t>
      </w:r>
      <w:r>
        <w:t>н</w:t>
      </w:r>
      <w:r>
        <w:t>ции.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 № 111</w:t>
      </w:r>
      <w:r>
        <w:t>: Поскольку доклад был представлен правительством с опозданием, Комитет в своем прямом запросе в 2004 году был вынужден п</w:t>
      </w:r>
      <w:r>
        <w:t>о</w:t>
      </w:r>
      <w:r>
        <w:t>вторить свои предыдущие комментарии за 2003 год. Он отметил сохранение общей тенденции к сокращению доли израильских мужчин (как евреев, так и неевреев) в рабочей силе одновременно с увеличением в ней доли израильских женщин. Он также отметил, что доля израильских женщин арабского происх</w:t>
      </w:r>
      <w:r>
        <w:t>о</w:t>
      </w:r>
      <w:r>
        <w:t>ждения в рабочей силе изменилась неполностью — с 13,5 процента в 1995 году до 13,4 процента в 1999 году. Комитет отметил принятие правительством ос</w:t>
      </w:r>
      <w:r>
        <w:t>о</w:t>
      </w:r>
      <w:r>
        <w:t>бых мер по расширению доступа к занятости для ультраортодоксальных евре</w:t>
      </w:r>
      <w:r>
        <w:t>й</w:t>
      </w:r>
      <w:r>
        <w:t>ских женщин и израильских женщин арабского происхождения. Комитет пр</w:t>
      </w:r>
      <w:r>
        <w:t>о</w:t>
      </w:r>
      <w:r>
        <w:t>сил правительство предоставить ему какую-либо такую оценку, включая и</w:t>
      </w:r>
      <w:r>
        <w:t>н</w:t>
      </w:r>
      <w:r>
        <w:t>формацию о фактическом количестве выпускников учебных заведений, реал</w:t>
      </w:r>
      <w:r>
        <w:t>ь</w:t>
      </w:r>
      <w:r>
        <w:t>но поступающих на рынок труда, и о предоставлении им дополнительной пр</w:t>
      </w:r>
      <w:r>
        <w:t>о</w:t>
      </w:r>
      <w:r>
        <w:t>фессиональной подготовки, а также информацию о любых других мерах, кот</w:t>
      </w:r>
      <w:r>
        <w:t>о</w:t>
      </w:r>
      <w:r>
        <w:t>рые были приняты или которые планируется принять в целях улучшения пол</w:t>
      </w:r>
      <w:r>
        <w:t>о</w:t>
      </w:r>
      <w:r>
        <w:t>жения израильских женщин арабского происхождения и ультраортодоксальных еврейских женщин на ры</w:t>
      </w:r>
      <w:r>
        <w:t>н</w:t>
      </w:r>
      <w:r>
        <w:t>ке труда.</w:t>
      </w:r>
    </w:p>
    <w:p w:rsidR="00000000" w:rsidRDefault="00000000">
      <w:pPr>
        <w:pStyle w:val="SingleTxt"/>
      </w:pPr>
      <w:r>
        <w:tab/>
        <w:t>Комитет также отметил, что Комиссар гражданской службы подготовил многолетний план действий по расширению занятости женщин на различных уровнях гражданской службы. Комитет просил правительство продолжать пр</w:t>
      </w:r>
      <w:r>
        <w:t>е</w:t>
      </w:r>
      <w:r>
        <w:t>доставлять информацию о мерах, которые были приняты или планируется пр</w:t>
      </w:r>
      <w:r>
        <w:t>и</w:t>
      </w:r>
      <w:r>
        <w:t>нять в целях содействия равноправию женщин.</w:t>
      </w:r>
    </w:p>
    <w:p w:rsidR="00000000" w:rsidRDefault="00000000">
      <w:pPr>
        <w:pStyle w:val="SingleTxt"/>
      </w:pPr>
      <w:r>
        <w:tab/>
        <w:t>Комитет принял к сведению информацию в отношении Закона о предо</w:t>
      </w:r>
      <w:r>
        <w:t>т</w:t>
      </w:r>
      <w:r>
        <w:t>вращении сексуальных домогательств 1998 года (который охватывает как сл</w:t>
      </w:r>
      <w:r>
        <w:t>у</w:t>
      </w:r>
      <w:r>
        <w:t>чаи кви про кво, так и случаи враждебной обстановки на рабочих местах), в том числе информацию о шагах, предпринимаемых в целях проведения уче</w:t>
      </w:r>
      <w:r>
        <w:t>б</w:t>
      </w:r>
      <w:r>
        <w:t>но-просветительной работы в гражданской службе, информацию о решениях, вынесенных Верховным судом по делам «Государство Израиль против Амоса Брушина» и «Элизер Зарзур против Комиссара гражданской службы». Комитет отметил, что после принятия Закона 1998 года увеличилось число жалоб о се</w:t>
      </w:r>
      <w:r>
        <w:t>к</w:t>
      </w:r>
      <w:r>
        <w:t>суальных домогательствах, поступающих в Департамент по улучшению пол</w:t>
      </w:r>
      <w:r>
        <w:t>о</w:t>
      </w:r>
      <w:r>
        <w:t>жения и интеграции женщин в гражданской службе, что свидетельствует о практическом применении Закона. Комитет просил правительство продолжать предоставлять ему и</w:t>
      </w:r>
      <w:r>
        <w:t>н</w:t>
      </w:r>
      <w:r>
        <w:t>формацию об осуществлении Закона.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Корейская Народно-Демократическая Республика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Не является членом МОТ.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Ливан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Ливан ратифицировал конве</w:t>
      </w:r>
      <w:r>
        <w:t>н</w:t>
      </w:r>
      <w:r>
        <w:t>ции № 100 и № 111. Он также ратифицировал конвенции №№ 29, 45, 89, 98, 105, 122, 138, 142 и 182.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</w:t>
      </w:r>
      <w:r>
        <w:t>.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100</w:t>
      </w:r>
      <w:r>
        <w:t>: В своем прямом запросе в 2003 году Комитет с интер</w:t>
      </w:r>
      <w:r>
        <w:t>е</w:t>
      </w:r>
      <w:r>
        <w:t>сом отметил принятие закона № 207 от 26 мая 2000 года об изменении разд</w:t>
      </w:r>
      <w:r>
        <w:t>е</w:t>
      </w:r>
      <w:r>
        <w:t>ла 26 Трудового кодекса, в котором запрещается дискриминация в области во</w:t>
      </w:r>
      <w:r>
        <w:t>з</w:t>
      </w:r>
      <w:r>
        <w:t>награждения мужчин и женщин. Комитет далее отметил, что проект Трудового кодекса содержит ряд разделов, в которых закреплен принцип равного возн</w:t>
      </w:r>
      <w:r>
        <w:t>а</w:t>
      </w:r>
      <w:r>
        <w:t>граждения мужчин и женщин за труд равной ценности. Он выразил надежду на то, что этот проект будет в скором времени принят и правительство предост</w:t>
      </w:r>
      <w:r>
        <w:t>а</w:t>
      </w:r>
      <w:r>
        <w:t>вит экземпляр измененного текста.</w:t>
      </w:r>
    </w:p>
    <w:p w:rsidR="00000000" w:rsidRDefault="00000000">
      <w:pPr>
        <w:pStyle w:val="SingleTxt"/>
      </w:pPr>
      <w:r>
        <w:tab/>
        <w:t>Комитет отметил, что работающая женщина имеет право на получение таких же семейных пособий, что и работающий мужчина, при условии, если муж и отец ее детей уже не пользуется теми же льготами и если после пров</w:t>
      </w:r>
      <w:r>
        <w:t>е</w:t>
      </w:r>
      <w:r>
        <w:t>дения фондом «социального расследования» было подтверждено, что ее дети живут вместе с ней и она покрывает расходы на их содержание. Комитет с удовлетворением отметил предоставление этих льгот работающим женщинам и выразил надежду на то, что в законодательство будут внесены поправки, кот</w:t>
      </w:r>
      <w:r>
        <w:t>о</w:t>
      </w:r>
      <w:r>
        <w:t>рые дадут мужчинам и женщинам равные права на получение семейных пос</w:t>
      </w:r>
      <w:r>
        <w:t>о</w:t>
      </w:r>
      <w:r>
        <w:t>бий, вместо просто применения того принципа, что такие пособия должны си</w:t>
      </w:r>
      <w:r>
        <w:t>с</w:t>
      </w:r>
      <w:r>
        <w:t>тематически выплачиваться отцу и, в порядке исключения, матери, если она может доказать, что она в одиночку воспитывает детей. В тех случаях, когда оба родителя имеют право пользоваться такими льготами и сообща растят д</w:t>
      </w:r>
      <w:r>
        <w:t>е</w:t>
      </w:r>
      <w:r>
        <w:t>тей, сами супруги должны решать, кто из них будет получать семейное пос</w:t>
      </w:r>
      <w:r>
        <w:t>о</w:t>
      </w:r>
      <w:r>
        <w:t xml:space="preserve">бие. </w:t>
      </w:r>
    </w:p>
    <w:p w:rsidR="00000000" w:rsidRDefault="00000000">
      <w:pPr>
        <w:pStyle w:val="SingleTxt"/>
      </w:pPr>
      <w:r>
        <w:tab/>
        <w:t>Что касается мер по поощрению объективной оценки труда в частном секторе, то, как отметил Комитет, в частном секторе, за исключением нескол</w:t>
      </w:r>
      <w:r>
        <w:t>ь</w:t>
      </w:r>
      <w:r>
        <w:t>ких крупных предприятий, объективной оценки труда не проводится. Комитет подчеркнул, что оценка труда представляет собой метод, который благодаря анализу компонентов различных видов труда помогает их классифицировать с точки зрения их стоимости, обычно для целей определения шкалы окладов. Она заключается в оценке стоимости труда, а не какого-либо отдельного р</w:t>
      </w:r>
      <w:r>
        <w:t>а</w:t>
      </w:r>
      <w:r>
        <w:t>ботника. Отметив заявление правительства о том, что классификации видов труда, которые обеспечивают получение одинакового вознаграждения мужч</w:t>
      </w:r>
      <w:r>
        <w:t>и</w:t>
      </w:r>
      <w:r>
        <w:t>нами и женщинами, в настоящее время в частном секторе не применяются, и просьбу правительства об оказании ему технической помощи в этом отнош</w:t>
      </w:r>
      <w:r>
        <w:t>е</w:t>
      </w:r>
      <w:r>
        <w:t>нии, Комитет выразил надежду на то, что правительство приложит все усилия для изыскания и получения такой помощи и будет в консультации с представ</w:t>
      </w:r>
      <w:r>
        <w:t>и</w:t>
      </w:r>
      <w:r>
        <w:t>телями организаций рабочих и нанимателей содействовать объективной оценке труда в час</w:t>
      </w:r>
      <w:r>
        <w:t>т</w:t>
      </w:r>
      <w:r>
        <w:t xml:space="preserve">ном секторе. 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111</w:t>
      </w:r>
      <w:r>
        <w:t>: В своем прямом запросе в 2002 году Комитет отметил, что в проекте Трудового кодекса запрещается любая дискриминация в области труда и занятий на всех основаниях, указанных в статье 1(1)(а) Конвенции. Он далее отметил, что была учреждена трехсторонняя комиссия для пересмотра проекта Кодекса, которая примет во внимание Протокол 1990 года к Конвенции о ночном труде (женщин) при разработке менее ограничительных положений в отношении ночного труда женщин. Комитет предложил правительству принять также во внимание резолюцию МОТ 1985 года о равных возможностях и ра</w:t>
      </w:r>
      <w:r>
        <w:t>в</w:t>
      </w:r>
      <w:r>
        <w:t>ном обращении с мужчинами и женщинами в области занят</w:t>
      </w:r>
      <w:r>
        <w:t>о</w:t>
      </w:r>
      <w:r>
        <w:t>сти.</w:t>
      </w:r>
    </w:p>
    <w:p w:rsidR="00000000" w:rsidRDefault="00000000">
      <w:pPr>
        <w:pStyle w:val="SingleTxt"/>
      </w:pPr>
      <w:r>
        <w:tab/>
        <w:t>Комитет далее отметил, что доля женщин на рынке труда увеличилась с 27,8 процента в 1997 году до 35,4 процента в 2000 году. Он также отметил з</w:t>
      </w:r>
      <w:r>
        <w:t>а</w:t>
      </w:r>
      <w:r>
        <w:t>явление правительства о том, что в отдельных ограниченных сферах мужчинам отдается предпочтение перед женщинами на основании потребности в «опр</w:t>
      </w:r>
      <w:r>
        <w:t>е</w:t>
      </w:r>
      <w:r>
        <w:t>деленных умственных способностях». Кроме того, Национальное агентство по трудоустройству обеспечивает недискриминационное участие как мужчин, так и женщин в учебных программах. Комитет предложил правительству рассмо</w:t>
      </w:r>
      <w:r>
        <w:t>т</w:t>
      </w:r>
      <w:r>
        <w:t>реть возможность осуществления программ действий в интересах женщин в целях устранения случаев фактического неравенства с учетом того, что юрид</w:t>
      </w:r>
      <w:r>
        <w:t>и</w:t>
      </w:r>
      <w:r>
        <w:t>ческого запрещения дискриминации недостаточно для ликвидации дискрим</w:t>
      </w:r>
      <w:r>
        <w:t>и</w:t>
      </w:r>
      <w:r>
        <w:t>нации или обеспечения равенства на практике. Поэтому правительству было предложено также предоставить информацию о мерах, которые оно намерев</w:t>
      </w:r>
      <w:r>
        <w:t>а</w:t>
      </w:r>
      <w:r>
        <w:t>ется принять или уже приняло в этом отношении.</w:t>
      </w:r>
    </w:p>
    <w:p w:rsidR="00000000" w:rsidRDefault="00000000">
      <w:pPr>
        <w:pStyle w:val="SingleTxt"/>
      </w:pPr>
      <w:r>
        <w:tab/>
        <w:t>Комитет отметил, что, как указывается в докладе правительства, раб</w:t>
      </w:r>
      <w:r>
        <w:t>о</w:t>
      </w:r>
      <w:r>
        <w:t>тающая женщина имеет право на получение таких же семейных пособий, что и работающий мужчина, при условии, если муж и отец ее детей уже не пользуе</w:t>
      </w:r>
      <w:r>
        <w:t>т</w:t>
      </w:r>
      <w:r>
        <w:t>ся теми же льготами и если после проведения фондом «социального расслед</w:t>
      </w:r>
      <w:r>
        <w:t>о</w:t>
      </w:r>
      <w:r>
        <w:t>вания» было подтверждено, что ее дети проживают вместе с ней и она покр</w:t>
      </w:r>
      <w:r>
        <w:t>ы</w:t>
      </w:r>
      <w:r>
        <w:t>вает расходы на их содержание. Комитет также отметил, что в настоящее время разрабатывается новый законопроект, в котором будут закреплены равные пр</w:t>
      </w:r>
      <w:r>
        <w:t>а</w:t>
      </w:r>
      <w:r>
        <w:t>ва мужчин и женщин на получение льготных медицинских услуг в случае б</w:t>
      </w:r>
      <w:r>
        <w:t>е</w:t>
      </w:r>
      <w:r>
        <w:t>ременности и родов, — такими льготами будут пользоваться сама женщина и члены семьи, за которыми она обеспечивает уход. Тем не менее, отметив, что правительство не ответило на предыдущие комментарии Комитета, Комитет был вынужден повторить свою просьбу разъяснить смысл «условия зависим</w:t>
      </w:r>
      <w:r>
        <w:t>о</w:t>
      </w:r>
      <w:r>
        <w:t>сти», которое должно быть выполнено женщинами и детьми для получения с</w:t>
      </w:r>
      <w:r>
        <w:t>е</w:t>
      </w:r>
      <w:r>
        <w:t>мейных пособий. Он выразил надежду на то, что в новом законодательстве б</w:t>
      </w:r>
      <w:r>
        <w:t>у</w:t>
      </w:r>
      <w:r>
        <w:t>дет обеспечено полное равенство прав мужчин и женщин на получение семе</w:t>
      </w:r>
      <w:r>
        <w:t>й</w:t>
      </w:r>
      <w:r>
        <w:t>ных пособий и льгот по месту работы. Наконец, чтобы обеспечить большее с</w:t>
      </w:r>
      <w:r>
        <w:t>о</w:t>
      </w:r>
      <w:r>
        <w:t>ответствие с данной конвенцией, Комитет хотел бы повторить свое первон</w:t>
      </w:r>
      <w:r>
        <w:t>а</w:t>
      </w:r>
      <w:r>
        <w:t>чальное замечание в отношении того, что в целях избежания дублирования в</w:t>
      </w:r>
      <w:r>
        <w:t>ы</w:t>
      </w:r>
      <w:r>
        <w:t>платы семейных пособий одной и той же семье было бы более целесообразно разрешить супругам, которые имеют право на такие пособия, самим выбирать, кто из них должен получать пособия на семью, а не исходить из того принципа, что пособия должны систематически выплачиваться отцу и, в порядке искл</w:t>
      </w:r>
      <w:r>
        <w:t>ю</w:t>
      </w:r>
      <w:r>
        <w:t>чения, матери, если она может доказать, что она в одиночку воспитывает д</w:t>
      </w:r>
      <w:r>
        <w:t>е</w:t>
      </w:r>
      <w:r>
        <w:t>тей.</w:t>
      </w:r>
    </w:p>
    <w:p w:rsidR="00000000" w:rsidRDefault="00000000">
      <w:pPr>
        <w:pStyle w:val="SingleTxt"/>
      </w:pPr>
      <w:r>
        <w:rPr>
          <w:i/>
        </w:rPr>
        <w:tab/>
        <w:t>Дополнительная информация по Конвенции № 111</w:t>
      </w:r>
      <w:r>
        <w:t>: Правительство пре</w:t>
      </w:r>
      <w:r>
        <w:t>д</w:t>
      </w:r>
      <w:r>
        <w:t>ставило доклад, который будет рассмотрен Комитетом на его сессии в ноябре-декабре 2005 года.</w:t>
      </w:r>
    </w:p>
    <w:p w:rsidR="00000000" w:rsidRDefault="00000000">
      <w:pPr>
        <w:pStyle w:val="SingleTxt"/>
      </w:pPr>
      <w:r>
        <w:tab/>
        <w:t>Следует отметить, что в разделе 75 проекта Трудового кодекса в отнош</w:t>
      </w:r>
      <w:r>
        <w:t>е</w:t>
      </w:r>
      <w:r>
        <w:t>нии сексуальных домогательств говорится следующее: «любой работник может покинуть его/ее место работы до истечения срока договора и без представл</w:t>
      </w:r>
      <w:r>
        <w:t>е</w:t>
      </w:r>
      <w:r>
        <w:t>ния уведомления, если наниматель или его/ее представитель совершает ра</w:t>
      </w:r>
      <w:r>
        <w:t>з</w:t>
      </w:r>
      <w:r>
        <w:t>вратные действия в отношении работника или какого</w:t>
      </w:r>
      <w:r>
        <w:noBreakHyphen/>
        <w:t>либо члена его/ее семьи или если наниматель или его/ее представитель совершает акты насилия в о</w:t>
      </w:r>
      <w:r>
        <w:t>т</w:t>
      </w:r>
      <w:r>
        <w:t>ношении этого работника», — этого представляется недостаточным для защ</w:t>
      </w:r>
      <w:r>
        <w:t>и</w:t>
      </w:r>
      <w:r>
        <w:t>ты от сексуальных домогательств.</w:t>
      </w:r>
    </w:p>
    <w:p w:rsidR="00000000" w:rsidRDefault="00000000">
      <w:pPr>
        <w:pStyle w:val="SingleTxt"/>
      </w:pPr>
      <w:r>
        <w:tab/>
        <w:t>В последнем докладе правительства содержится также ссылка на реш</w:t>
      </w:r>
      <w:r>
        <w:t>е</w:t>
      </w:r>
      <w:r>
        <w:t>ние № 70/1 министра труда от 17 июля 2003 года о регулировании работы агентств по трудоустройству иностранных домашних работников, которое пр</w:t>
      </w:r>
      <w:r>
        <w:t>е</w:t>
      </w:r>
      <w:r>
        <w:t>дусматривает защиту прав этих домашних работников, предотвращение к</w:t>
      </w:r>
      <w:r>
        <w:t>а</w:t>
      </w:r>
      <w:r>
        <w:t>ких</w:t>
      </w:r>
      <w:r>
        <w:noBreakHyphen/>
        <w:t>либо злоупотреблений путем судебного преследования или аннулирования лицензий этих агентств и обеспечение охвата страховой политикой иностра</w:t>
      </w:r>
      <w:r>
        <w:t>н</w:t>
      </w:r>
      <w:r>
        <w:t>ных домашних работников обоих полов и любых других иностранных рабо</w:t>
      </w:r>
      <w:r>
        <w:t>т</w:t>
      </w:r>
      <w:r>
        <w:t>ников.</w:t>
      </w:r>
    </w:p>
    <w:p w:rsidR="00000000" w:rsidRDefault="00000000">
      <w:pPr>
        <w:pStyle w:val="SingleTxt"/>
      </w:pPr>
      <w:r>
        <w:tab/>
      </w:r>
      <w:r>
        <w:rPr>
          <w:i/>
        </w:rPr>
        <w:t>Конвенция № 29</w:t>
      </w:r>
      <w:r>
        <w:t>: В своем замечании в 2003 году Комитет отметил пол</w:t>
      </w:r>
      <w:r>
        <w:t>у</w:t>
      </w:r>
      <w:r>
        <w:t>ченное от Всемирной конфедерации труда (ВКТ) сообщение от 27 ноября 2001 года, в котором ВКТ сослалась на случаи нарушения прав трудящихся-мигрантов, в частности домашних работников, включая невыплату зарплаты, корпоративные наказания, сексуальные надругательства и конфискацию им</w:t>
      </w:r>
      <w:r>
        <w:t>у</w:t>
      </w:r>
      <w:r>
        <w:t>щества. ВКТ заявила, что с начала 90</w:t>
      </w:r>
      <w:r>
        <w:noBreakHyphen/>
        <w:t>х годов имел место особенно значител</w:t>
      </w:r>
      <w:r>
        <w:t>ь</w:t>
      </w:r>
      <w:r>
        <w:t>ный приток в Ливан африканских и азиатских женщин, которые выполняют главным образом домашнюю работу в отдельных семьях, и что из</w:t>
      </w:r>
      <w:r>
        <w:noBreakHyphen/>
        <w:t>за отсутс</w:t>
      </w:r>
      <w:r>
        <w:t>т</w:t>
      </w:r>
      <w:r>
        <w:t>вия нормальных условий труда и социального статуса эти женщины крайне уязвимы перед лицом эксплуатации и злоупотреблений и большинство из них подпадает под категорию «договорного рабства». Комитет отметил, что в до</w:t>
      </w:r>
      <w:r>
        <w:t>к</w:t>
      </w:r>
      <w:r>
        <w:t>ладе правительства эти замечания никак не упоминаются. Вместе с тем он принял к сведению информацию, представленную правительством в ответ на его общее замечание 2000 года в отношении мер по борьбе с торговлей люд</w:t>
      </w:r>
      <w:r>
        <w:t>ь</w:t>
      </w:r>
      <w:r>
        <w:t>ми; в этом ответе правительство сообщило, что лица, нанимающие незаконных мигрантов, подлежат наказанию в соответствии с законом и что власти прин</w:t>
      </w:r>
      <w:r>
        <w:t>и</w:t>
      </w:r>
      <w:r>
        <w:t>мают конкретные меры для пресечения или запрещения незаконной практики принудительного труда, которому могут подвергаться трудящиеся-мигранты, незаконно въезжающие в Ливан. Комитет также отметил, что, судя по письму Законодательной и консультативной группы министерства юстиции, прил</w:t>
      </w:r>
      <w:r>
        <w:t>о</w:t>
      </w:r>
      <w:r>
        <w:t>женному к докладу правительства за 2003 год, в трудовом законодательстве Ливана не содержится никаких четких положений, которые предусматривали бы наказание за торговлю людьми, хотя торговцы людьми могут быть привл</w:t>
      </w:r>
      <w:r>
        <w:t>е</w:t>
      </w:r>
      <w:r>
        <w:t>чены к ответственности на основании положений, содержащихся в разд</w:t>
      </w:r>
      <w:r>
        <w:t>е</w:t>
      </w:r>
      <w:r>
        <w:t>лах 514 и 515 Уголовного кодекса (похищение людей). Комитет выразил над</w:t>
      </w:r>
      <w:r>
        <w:t>е</w:t>
      </w:r>
      <w:r>
        <w:t>жду на то, что правительство рассмотрит замечания ВКТ в своем следующем докладе и представит свои комментарии в отношении содержащихся в них о</w:t>
      </w:r>
      <w:r>
        <w:t>б</w:t>
      </w:r>
      <w:r>
        <w:t>винений, а также сообщит о мерах, принятых по затронутым в</w:t>
      </w:r>
      <w:r>
        <w:t>о</w:t>
      </w:r>
      <w:r>
        <w:t>просам.</w:t>
      </w:r>
    </w:p>
    <w:p w:rsidR="00000000" w:rsidRDefault="00000000">
      <w:pPr>
        <w:pStyle w:val="SingleTxt"/>
      </w:pPr>
      <w:r>
        <w:tab/>
      </w:r>
      <w:r>
        <w:rPr>
          <w:i/>
        </w:rPr>
        <w:t>Дополнительная информация по Конвенции № 182</w:t>
      </w:r>
      <w:r>
        <w:t>: Комитет рассмотрел первый доклад правительства по Конвенции № 182 (ратифицированной в 2001 году) в 2004 году и направил прямой запрос, в котором затрагиваются в</w:t>
      </w:r>
      <w:r>
        <w:t>о</w:t>
      </w:r>
      <w:r>
        <w:t>просы, касающиеся главным образом торговли детьми и проституции детей, и отмечаются меры, принятые правительством в целях устранения этих проблем. Дополнительная информация по этим вопросам содержится в комментариях Комитета эк</w:t>
      </w:r>
      <w:r>
        <w:t>с</w:t>
      </w:r>
      <w:r>
        <w:t>пертов (ИЛОЛЕКС).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NO&gt;&gt;N0537407R&lt;&lt;ODS JOB NO&gt;&gt;</w:t>
      </w:r>
    </w:p>
    <w:p w:rsidR="00000000" w:rsidRDefault="00000000">
      <w:pPr>
        <w:pStyle w:val="CommentText"/>
      </w:pPr>
      <w:r>
        <w:t>&lt;&lt;ODS DOC SYMBOL1&gt;&gt;CEDAW/C/2005/II/3/Add.4&lt;&lt;ODS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 xml:space="preserve">05-37407 (R)    </w:t>
    </w:r>
    <w:r>
      <w:rPr>
        <w:b w:val="0"/>
        <w:noProof w:val="0"/>
        <w:sz w:val="20"/>
        <w:lang w:val="ru-RU"/>
      </w:rPr>
      <w:t>28</w:t>
    </w:r>
    <w:r>
      <w:rPr>
        <w:b w:val="0"/>
        <w:sz w:val="20"/>
      </w:rPr>
      <w:t>0605    300605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*0537407*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CEDAW/C/2005/II/1.</w:t>
      </w: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7" w:hanging="432"/>
      </w:pPr>
      <w:r>
        <w:tab/>
      </w:r>
      <w:r>
        <w:rPr>
          <w:rStyle w:val="FootnoteReference"/>
        </w:rPr>
        <w:t>**</w:t>
      </w:r>
      <w:r>
        <w:tab/>
        <w:t>Документ был представлен конференционным службам с опозданием без объяснения, требуемого в соответствии с пунктом 8 резолюции 53/208 </w:t>
      </w:r>
      <w:r>
        <w:rPr>
          <w:lang w:val="en-US"/>
        </w:rPr>
        <w:t>B</w:t>
      </w:r>
      <w:r>
        <w:t xml:space="preserve"> Генеральной Ассамблеи, в котором Ассамблея постановила, что в случае несвоевременного представления доклада в примечании к документу следует указывать причины этого.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CEDAW/C/2005/II/3/Add.4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CEDAW/C/2005/II/3/Add.4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/C/2005/II/3/Add.4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6 June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ACE59DE"/>
    <w:multiLevelType w:val="multilevel"/>
    <w:tmpl w:val="51268F4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30/06/2005 10:27:52"/>
    <w:docVar w:name="DocCategory" w:val="Doc"/>
    <w:docVar w:name="DocType" w:val="Final"/>
    <w:docVar w:name="JobNo" w:val="0537407R"/>
    <w:docVar w:name="OandT" w:val="Nikitina"/>
    <w:docVar w:name="Symbol1" w:val="CEDAW/C/2005/II/3/Add.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22</Pages>
  <Words>8671</Words>
  <Characters>49430</Characters>
  <Application>Microsoft Office Word</Application>
  <DocSecurity>4</DocSecurity>
  <Lines>411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60703</CharactersWithSpaces>
  <SharedDoc>false</SharedDoc>
  <HLinks>
    <vt:vector size="6" baseType="variant">
      <vt:variant>
        <vt:i4>4522087</vt:i4>
      </vt:variant>
      <vt:variant>
        <vt:i4>121912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Tatyana Nikitina</dc:creator>
  <cp:keywords/>
  <dc:description/>
  <cp:lastModifiedBy>Tatyana Nikitina</cp:lastModifiedBy>
  <cp:revision>10</cp:revision>
  <cp:lastPrinted>2005-06-30T12:06:00Z</cp:lastPrinted>
  <dcterms:created xsi:type="dcterms:W3CDTF">2005-06-30T08:52:00Z</dcterms:created>
  <dcterms:modified xsi:type="dcterms:W3CDTF">2005-06-30T12:34:00Z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0537407</vt:lpwstr>
  </property>
  <property fmtid="{D5CDD505-2E9C-101B-9397-08002B2CF9AE}" pid="3" name="Symbol1">
    <vt:lpwstr>CEDAW/C/2005/II/3/Add.4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22</vt:lpwstr>
  </property>
  <property fmtid="{D5CDD505-2E9C-101B-9397-08002B2CF9AE}" pid="8" name="Operator">
    <vt:lpwstr>Nikitina</vt:lpwstr>
  </property>
</Properties>
</file>