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Vingt-neuvième session</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30 juin-18 juillet 2003</w:t>
      </w: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CEDAW/C/2003/II/1.</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de l’ordre du jour provisoire*</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bCs/>
        </w:rPr>
      </w:pPr>
      <w:r>
        <w:rPr>
          <w:b/>
          <w:bCs/>
        </w:rPr>
        <w:t>Application de l’article 21 de la Convention sur l’élimination</w:t>
      </w:r>
      <w:r>
        <w:rPr>
          <w:b/>
          <w:bCs/>
        </w:rPr>
        <w:br/>
        <w:t>de toutes les formes de discrimination à l’égard des femmes</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présentés par les institutions spécialisées</w:t>
      </w:r>
      <w:r>
        <w:br/>
        <w:t>des Nations Unies sur l’application de la Convention</w:t>
      </w:r>
      <w:r>
        <w:br/>
        <w:t>dans les domaines relevant de leur champ d’activité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0"/>
        </w:rPr>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des Nations Unies pour l’éducation,</w:t>
      </w:r>
      <w:r>
        <w:br/>
        <w:t>la science et la culture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left" w:pos="1742"/>
        </w:tabs>
      </w:pPr>
      <w:r>
        <w:t>Au nom du Comité pour l’élimination de la discrimination à l’égard des femmes, le 11 mars 2003, le Secrétariat a invité l’Organisation des Nations Unies pour l’éducation, la science et la culture (UNESCO) à présenter au Comité un rapport sur les informations que lui avaient fournies les États au sujet de l’application de la Convention sur l’élimination de toutes les formes de discrimination à l’égard des femmes dans les domaines relevant de son champ d’activité, rapport qui viendrait compléter les informations contenues dans les rapports des États parties à la Convention devant être examinés à la vingt-neuvième session du Comité.</w:t>
      </w:r>
    </w:p>
    <w:p w:rsidR="00000000" w:rsidRDefault="00000000">
      <w:pPr>
        <w:pStyle w:val="SingleTxt"/>
        <w:numPr>
          <w:ilvl w:val="0"/>
          <w:numId w:val="1"/>
        </w:numPr>
        <w:tabs>
          <w:tab w:val="left" w:pos="1742"/>
        </w:tabs>
      </w:pPr>
      <w:r>
        <w:t>Les autres informations demandées par le Comité concernent les activités et programmes de l’UNESCO ainsi que ses décisions de principe tendant à promouvoir l’application de la Convention.</w:t>
      </w:r>
    </w:p>
    <w:p w:rsidR="00000000" w:rsidRDefault="00000000">
      <w:pPr>
        <w:pStyle w:val="SingleTxt"/>
        <w:numPr>
          <w:ilvl w:val="0"/>
          <w:numId w:val="4"/>
        </w:numPr>
      </w:pPr>
      <w:r>
        <w:t>Le rapport joint en annexe a été établi conformément à la demande du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w:t>
      </w:r>
      <w:r>
        <w:br/>
        <w:t>Rapport de l’Organisation des Nations Unies</w:t>
      </w:r>
      <w:r>
        <w:br/>
        <w:t>pour l’éducation, la science et la culture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clear" w:pos="475"/>
          <w:tab w:val="num" w:pos="1742"/>
        </w:tabs>
        <w:ind w:left="1267"/>
      </w:pPr>
      <w:r>
        <w:t>Le Comité pour l’élimination de la discrimination à l’égard des femmes tiendra sa vingt-neuvième session, du 30 juin au 18 juillet 2003, au Siège de l’Organisation des Nations Unies, à New York. Au cours de cette session, il examinera les rapports des pays suivants : Brésil, Costa Rica, Équateur, France, Japon, Maroc et Slovénie.</w:t>
      </w:r>
    </w:p>
    <w:p w:rsidR="00000000" w:rsidRDefault="00000000">
      <w:pPr>
        <w:pStyle w:val="SingleTxt"/>
        <w:numPr>
          <w:ilvl w:val="0"/>
          <w:numId w:val="2"/>
        </w:numPr>
        <w:tabs>
          <w:tab w:val="clear" w:pos="475"/>
          <w:tab w:val="num" w:pos="1742"/>
        </w:tabs>
        <w:ind w:left="1267"/>
      </w:pPr>
      <w:r>
        <w:t>L’article 22 de la Convention sur l’élimination de toutes les formes de discrimination à l’égard des femmes invite les institutions spécialisées « à soumettre des rapports sur l’application de la Convention dans les domaines qui entrent dans le cadre de leurs activités ». À la section II du présent rapport, l’Organisation des Nations Unies pour l’éducation, la science et la culture (UNESCO) rend compte de sa contribution à l’application de la Convention dans le cadre de ses activités et, à la section III, des mesures prises en application de la Convention dans les pays considérés à la vingt-neuvième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Contribution de l’UNESCO à l’application de la Convention</w:t>
      </w:r>
      <w:r>
        <w:br/>
        <w:t>dans le cadre de ses activités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clear" w:pos="475"/>
          <w:tab w:val="num" w:pos="1742"/>
        </w:tabs>
        <w:ind w:left="1267"/>
      </w:pPr>
      <w:r>
        <w:t>La stratégie à moyen terme pour 2002-2007 de l’UNESCO précise que les besoins des femmes doivent figurer parmi les préoccupations essentielles de tous les projets et activités de l’Organisation. Celle-ci intégrera le souci de l’égalité des sexes dans les activités de planification, de programmation, d’application et d’évaluation des politiques de tous ses domaines de compétence afin de promouvoir le renforcement du pouvoir d’action des femmes et l’égalité des sexes. Elle fera connaître et prévaloir les priorités des femmes et leur point de vue sur les objectifs et les approches du développement en élargissant leur participation à tous les niveaux et dans tous ses domaines d’intervention. Les activités et programmes régionaux mis en place pour les filles et les femmes à différents âges, notamment les jeunes femmes et les femmes âgées, seront axés sur la création de réseaux de contacts, l’échange d’informations, le partage des connaissances et l’établissement de relations par delà les frontières et les différences culturelles, dans le cadre de la Déclaration et du Programme d’action sur une culture de la paix, adoptés par les Nations Unies. La promotion et l’application de la Convention sur l’élimination de toutes les formes de discrimination à l’égard des femmes et de tout autre instrument normatif international de défense des droits fondamentaux des femmes resteront une priorité absolue.</w:t>
      </w:r>
    </w:p>
    <w:p w:rsidR="00000000" w:rsidRDefault="00000000">
      <w:pPr>
        <w:pStyle w:val="SingleTxt"/>
        <w:numPr>
          <w:ilvl w:val="0"/>
          <w:numId w:val="2"/>
        </w:numPr>
        <w:tabs>
          <w:tab w:val="clear" w:pos="475"/>
          <w:tab w:val="num" w:pos="1742"/>
        </w:tabs>
        <w:ind w:left="1267"/>
      </w:pPr>
      <w:r>
        <w:t>La Section pour la femme et l’égalité des sexes du Bureau de la planification stratégique de l’UNESCO organise toute l’année des ateliers de formation sur le thème de l’égalité des sexes. Elle met actuellement au point une stratégie pour promouvoir l’égalité des sexes et les droits de l’homme. En outre, un coordonnateur pour les questions relatives à l’égalité des sexes en ce qui concerne en particulier le VIH/sida vient d’être nommé pour faire partie de l’Équipe spéciale interinstitutions sur l’égalité des sexes du Programme commun des Nations Unies sur le VIH/sida (ONUSIDA).</w:t>
      </w:r>
    </w:p>
    <w:p w:rsidR="00000000" w:rsidRDefault="00000000">
      <w:pPr>
        <w:pStyle w:val="SingleTxt"/>
        <w:numPr>
          <w:ilvl w:val="0"/>
          <w:numId w:val="2"/>
        </w:numPr>
        <w:tabs>
          <w:tab w:val="clear" w:pos="475"/>
          <w:tab w:val="num" w:pos="1742"/>
        </w:tabs>
        <w:ind w:left="1267"/>
      </w:pPr>
      <w:r>
        <w:t xml:space="preserve">La quatrième édition du </w:t>
      </w:r>
      <w:r>
        <w:rPr>
          <w:i/>
          <w:iCs/>
        </w:rPr>
        <w:t>Passeport pour l’égalité</w:t>
      </w:r>
      <w:r>
        <w:t>, présentation personnalisée de la Convention en format de poche, a été publiée cette année, en anglais et en français. Une édition en espagnol est en préparation, ainsi qu’une version pour le grand public, élaborée en étroite collaboration avec le Système des écoles associées.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l’éducation</w:t>
      </w:r>
    </w:p>
    <w:p w:rsidR="00000000" w:rsidRDefault="00000000">
      <w:pPr>
        <w:pStyle w:val="SingleTxt"/>
        <w:spacing w:after="0" w:line="120" w:lineRule="exact"/>
        <w:rPr>
          <w:sz w:val="10"/>
        </w:rPr>
      </w:pPr>
    </w:p>
    <w:p w:rsidR="00000000" w:rsidRDefault="00000000">
      <w:pPr>
        <w:pStyle w:val="SingleTxt"/>
        <w:numPr>
          <w:ilvl w:val="0"/>
          <w:numId w:val="2"/>
        </w:numPr>
        <w:tabs>
          <w:tab w:val="clear" w:pos="475"/>
          <w:tab w:val="num" w:pos="1742"/>
        </w:tabs>
        <w:ind w:left="1267"/>
      </w:pPr>
      <w:r>
        <w:t xml:space="preserve">L’UNESCO lutte contre la discrimination sexuelle dans l’enseignement dans le cadre du Programme des Nations Unies pour l’éducation des filles. L’organisation assure l’exécution de ce programme en s’appuyant sur ses partenaires et donne aux gouvernements des directives concernant l’éducation des filles et des femmes. À cet effet, elle a élaboré, entre autres, un </w:t>
      </w:r>
      <w:r>
        <w:rPr>
          <w:i/>
          <w:iCs/>
        </w:rPr>
        <w:t>Manuel sur les directives pour l’élaboration de plans d’éducation pour tous</w:t>
      </w:r>
      <w:r>
        <w:t xml:space="preserve"> tenant compte de l’égalité des sexes et un </w:t>
      </w:r>
      <w:r>
        <w:rPr>
          <w:i/>
          <w:iCs/>
        </w:rPr>
        <w:t>manuel sur l’égalité des sexes dans l’enseignement élémentaire</w:t>
      </w:r>
      <w:r>
        <w:t>. Dans ce domaine, elle mène également les activités suivantes : examen des plans nationaux d’éducation pour tous sous l’angle de l’égalité des sexes, formation dispensée dans les pays sur la prise en compte des sexospécificités et sur l’amélioration de la collecte et de l’analyse des données et production de documents postalphabétisation prenant en compte les sexospécificités. Actuellement, l’une des principales activités de l’organisation porte sur les directives et les conseils à l’intention des filles africaines, et elle a mis au point du matériel d’enseignement et formé des enseignantes et des assistantes sociales en Afrique.</w:t>
      </w:r>
    </w:p>
    <w:p w:rsidR="00000000" w:rsidRDefault="00000000">
      <w:pPr>
        <w:pStyle w:val="SingleTxt"/>
        <w:numPr>
          <w:ilvl w:val="0"/>
          <w:numId w:val="2"/>
        </w:numPr>
        <w:tabs>
          <w:tab w:val="clear" w:pos="475"/>
          <w:tab w:val="num" w:pos="1742"/>
        </w:tabs>
        <w:ind w:left="1267"/>
      </w:pPr>
      <w:r>
        <w:t>La stratégie adoptée par l’UNESCO pour assurer la prise en considération systématique de l’égalité des sexes dans l’enseignement élémentaire comporte trois grands axes : a) création de milieux d’apprentissage accueillants pour les filles; b) accent à mettre sur les liens entre l’enseignement de type classique ou autre, et mobilisation et sensibilisation en faveur d’une réorientation des politiques afin de susciter une volonté d’agir à tous les niveaux; c) appui à l’élaboration de politiques sous la forme d’études exhaustives et de collecte et d’analyse de données dans l’optique de l’égalité des sexes, et mise en place des capacités nécessaires.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les communications</w:t>
      </w:r>
    </w:p>
    <w:p w:rsidR="00000000" w:rsidRDefault="00000000">
      <w:pPr>
        <w:pStyle w:val="SingleTxt"/>
        <w:spacing w:after="0" w:line="120" w:lineRule="exact"/>
        <w:rPr>
          <w:sz w:val="10"/>
        </w:rPr>
      </w:pPr>
    </w:p>
    <w:p w:rsidR="00000000" w:rsidRDefault="00000000">
      <w:pPr>
        <w:pStyle w:val="SingleTxt"/>
        <w:numPr>
          <w:ilvl w:val="0"/>
          <w:numId w:val="2"/>
        </w:numPr>
        <w:tabs>
          <w:tab w:val="clear" w:pos="475"/>
          <w:tab w:val="num" w:pos="1742"/>
        </w:tabs>
        <w:ind w:left="1267"/>
      </w:pPr>
      <w:r>
        <w:t>Le programme de l’UNESCO intitulé « Les femmes et les médias » a pour but d’améliorer les compétences professionnelles des femmes qui travaillent dans les médias, d’inciter les médias à donner une image équilibrée des femmes et de permettre à celles-ci de s’exprimer et d’intervenir davantage dans la prise de décisions grâce aux médias et aux technologies de l’information et des télécommunications (TIC). Il vise à promouvoir activement le renforcement du pouvoir d’action des femmes en s’appuyant sur les médias et en utilisant davantage les technologies de l’information, de façon à élargir la portée sur leur épanouissement intellectuel et personnel et leur condition. L’utilisation judicieuse et dans une optique à long terme des technologies de l’information et des communications facilitera le transfert et l’apprentissage des compétences nécessaires pour atteindre ces objectifs. Pour remédier à la sous-représentation des femmes et à l’inégalité du traitement des hommes et des femmes dans les médias, l’UNESCO a mis en chantier une série de projets en faveur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Mesures prises par l’Organisation des Nations Unies</w:t>
      </w:r>
      <w:r>
        <w:br/>
        <w:t>pour l’éducation, la science et la culture pour appliquer</w:t>
      </w:r>
      <w:r>
        <w:br/>
        <w:t>la Convention dans les pays dont les rapports seront</w:t>
      </w:r>
      <w:r>
        <w:br/>
        <w:t>examinés à la vingt-neuvième session</w:t>
      </w:r>
      <w:r>
        <w:rPr>
          <w:b w:val="0"/>
          <w:bCs/>
          <w:vertAlign w:val="superscript"/>
        </w:rPr>
        <w:t>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Brésil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Statistiques de base – population et 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46"/>
        <w:gridCol w:w="1046"/>
        <w:gridCol w:w="1046"/>
        <w:gridCol w:w="912"/>
        <w:gridCol w:w="134"/>
        <w:gridCol w:w="1046"/>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6276"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lang w:val="fr-FR"/>
              </w:rPr>
            </w:pPr>
            <w:r>
              <w:rPr>
                <w:i/>
                <w:sz w:val="14"/>
                <w:lang w:val="fr-FR"/>
              </w:rPr>
              <w:t>Population</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4"/>
                <w:lang w:val="fr-FR"/>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fr-FR"/>
              </w:rPr>
            </w:pPr>
            <w:r>
              <w:rPr>
                <w:i/>
                <w:sz w:val="14"/>
                <w:lang w:val="fr-FR"/>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masculine</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féminine</w:t>
            </w:r>
          </w:p>
        </w:tc>
      </w:tr>
      <w:tr w:rsidR="00000000">
        <w:tblPrEx>
          <w:tblCellMar>
            <w:top w:w="0" w:type="dxa"/>
            <w:left w:w="0" w:type="dxa"/>
            <w:bottom w:w="0" w:type="dxa"/>
            <w:right w:w="0" w:type="dxa"/>
          </w:tblCellMar>
        </w:tblPrEx>
        <w:trPr>
          <w:cantSplit/>
        </w:trPr>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2000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170 406 000</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84 169 000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86 238 000</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primaire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primaire (en pourcentage)</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165,96</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169,84</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fr-FR"/>
              </w:rPr>
            </w:pPr>
            <w:r>
              <w:rPr>
                <w:sz w:val="17"/>
                <w:lang w:val="fr-FR"/>
              </w:rPr>
              <w:t>161,94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96,54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99,78</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93,18</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fr-FR"/>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secondaire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secondaire (en pourcentage)</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103,25</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98,00</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fr-FR"/>
              </w:rPr>
            </w:pPr>
            <w:r>
              <w:rPr>
                <w:sz w:val="17"/>
                <w:lang w:val="fr-FR"/>
              </w:rPr>
              <w:t>108,66</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68,46</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65,71</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71,30</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fr-FR"/>
              </w:rPr>
            </w:pPr>
          </w:p>
        </w:tc>
        <w:tc>
          <w:tcPr>
            <w:tcW w:w="6276" w:type="dxa"/>
            <w:gridSpan w:val="7"/>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supérieur (en pourcentage)</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Étudiants</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Étudiantes</w:t>
            </w:r>
          </w:p>
        </w:tc>
      </w:tr>
      <w:tr w:rsidR="00000000">
        <w:tblPrEx>
          <w:tblCellMar>
            <w:top w:w="0" w:type="dxa"/>
            <w:left w:w="0" w:type="dxa"/>
            <w:bottom w:w="0" w:type="dxa"/>
            <w:right w:w="0" w:type="dxa"/>
          </w:tblCellMar>
        </w:tblPrEx>
        <w:trPr>
          <w:cantSplit/>
        </w:trPr>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14,83</w:t>
            </w:r>
          </w:p>
        </w:tc>
        <w:tc>
          <w:tcPr>
            <w:tcW w:w="2092" w:type="dxa"/>
            <w:gridSpan w:val="3"/>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13,15</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menées dans le cadre des programmes de l’UNESCO pour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les filles et l’éducation</w:t>
      </w:r>
    </w:p>
    <w:p w:rsidR="00000000" w:rsidRDefault="00000000">
      <w:pPr>
        <w:pStyle w:val="SingleTxt"/>
        <w:spacing w:after="0" w:line="120" w:lineRule="exact"/>
        <w:rPr>
          <w:sz w:val="10"/>
        </w:rPr>
      </w:pPr>
    </w:p>
    <w:p w:rsidR="00000000" w:rsidRDefault="00000000">
      <w:pPr>
        <w:pStyle w:val="SingleTxt"/>
        <w:numPr>
          <w:ilvl w:val="0"/>
          <w:numId w:val="2"/>
        </w:numPr>
        <w:tabs>
          <w:tab w:val="clear" w:pos="475"/>
          <w:tab w:val="num" w:pos="1742"/>
        </w:tabs>
        <w:ind w:left="1267"/>
      </w:pPr>
      <w:r>
        <w:t>Dans le cadre du Programme des Nations Unies pour l’éducation des filles, l’UNESCO a lancé une étude conjointe portant sur les neuf pays à forte population (E-9) (Bangladesh, Brésil, Chine, Égypte, Inde, Indonésie, Mexique, Nigéria et Pakistan). Au niveau national, le projet consiste à faire le point des réalisations et des blocages existants, à déterminer les politiques adoptées pour faciliter l’accès à l’éducation à toutes les filles et à vérifier si les procédures d’exécution sont en rapport avec les politiques et plans adoptés. Dans une étude de synthèse fondée sur les conclusions par pays, on résumera les enseignements tirés et les pratiques à retenir et on proposera les politiques et des programmes dynamiques permettant de donner accès à l’éducation à toutes les filles.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Bourses d’étude</w:t>
      </w:r>
    </w:p>
    <w:p w:rsidR="00000000" w:rsidRDefault="00000000">
      <w:pPr>
        <w:pStyle w:val="SingleTxt"/>
        <w:spacing w:after="0" w:line="120" w:lineRule="exact"/>
        <w:rPr>
          <w:sz w:val="10"/>
        </w:rPr>
      </w:pPr>
    </w:p>
    <w:p w:rsidR="00000000" w:rsidRDefault="00000000">
      <w:pPr>
        <w:pStyle w:val="SingleTxt"/>
        <w:numPr>
          <w:ilvl w:val="0"/>
          <w:numId w:val="2"/>
        </w:numPr>
        <w:tabs>
          <w:tab w:val="clear" w:pos="475"/>
          <w:tab w:val="num" w:pos="1742"/>
        </w:tabs>
        <w:ind w:left="1267"/>
      </w:pPr>
      <w:r>
        <w:t>Dans le cadre du Programme des bourses pour artistes UNESCO-Aschberg, Mmes Cristiane Grando, Paula Krause Correa, Michelle Agnes Magalhes, Juliana Morães et Emily Sugai Takeuchi ont reçu une bourse qui leur permettra de poursuivre leur formation.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Les femmes, la science et la technique</w:t>
      </w:r>
    </w:p>
    <w:p w:rsidR="00000000" w:rsidRDefault="00000000">
      <w:pPr>
        <w:pStyle w:val="SingleTxt"/>
        <w:spacing w:after="0" w:line="120" w:lineRule="exact"/>
        <w:rPr>
          <w:sz w:val="10"/>
        </w:rPr>
      </w:pPr>
    </w:p>
    <w:p w:rsidR="00000000" w:rsidRDefault="00000000">
      <w:pPr>
        <w:pStyle w:val="SingleTxt"/>
        <w:numPr>
          <w:ilvl w:val="0"/>
          <w:numId w:val="2"/>
        </w:numPr>
        <w:tabs>
          <w:tab w:val="clear" w:pos="475"/>
          <w:tab w:val="num" w:pos="1742"/>
        </w:tabs>
        <w:ind w:left="1267"/>
      </w:pPr>
      <w:r>
        <w:t>Avec le concours du Bureau d’éducation ibéro-américain, l’UNESCO exécute actuellement le projet ibéro-américain sur la science, la technique et les femmes (janvier 2002-décembre 2003) en Argentine, au Brésil, au Costa Rica, en Équateur, en Espagne, au Mexique, au Paraguay, en Uruguay et au Venezuela. Ce projet contribuera à améliorer l’état de la science et de la technique et des connaissances sur les sexospécificités en renforçant les capacités en matière théorique et méthodologique, à mettre en évidence les variables et facteurs sociaux susceptibles de modifier la représentation des femmes dans l’enseignement supérieur et dans le secteur de la science et de la technique, et à promouvoir l’analyse des cadres juridique, organisationnel et administratif des établissements d’enseignement supérieur et des centres de recherche scientifique et technique, à infléchir la conception des politiques, des instruments juridiques et des dispositions réglementaires relatifs à la représentation des femmes dans ces domaines.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l’environnement urbain</w:t>
      </w:r>
    </w:p>
    <w:p w:rsidR="00000000" w:rsidRDefault="00000000">
      <w:pPr>
        <w:pStyle w:val="SingleTxt"/>
        <w:spacing w:after="0" w:line="120" w:lineRule="exact"/>
        <w:rPr>
          <w:sz w:val="10"/>
        </w:rPr>
      </w:pPr>
    </w:p>
    <w:p w:rsidR="00000000" w:rsidRDefault="00000000">
      <w:pPr>
        <w:pStyle w:val="SingleTxt"/>
        <w:numPr>
          <w:ilvl w:val="0"/>
          <w:numId w:val="2"/>
        </w:numPr>
        <w:tabs>
          <w:tab w:val="clear" w:pos="475"/>
          <w:tab w:val="num" w:pos="1742"/>
        </w:tabs>
        <w:ind w:left="1267"/>
      </w:pPr>
      <w:r>
        <w:t>Le projet intitulé « Villes, environnement et relations sociales entre hommes et femmes » se propose d’étudier des groupes de femmes au niveau local dans leurs relations sociales et dans leurs relations avec leur environnement dans des villes moyennes d’Afrique de l’Ouest, d’Amérique latine, d’Europe orientale et de Suisse. Dans le cadre de ce projet, une étude a été menée au Brésil sur la favela Gamboa II de la ville de Santo André. Elle a été financée par la Commission nationale suisse pour l’UNESCO, la Direction du développement et de la coopération de la Suisse et le Programme « Gestion des transformations sociales » de l’UNESCO.</w:t>
      </w:r>
    </w:p>
    <w:p w:rsidR="00000000" w:rsidRDefault="00000000">
      <w:pPr>
        <w:pStyle w:val="SingleTxt"/>
        <w:numPr>
          <w:ilvl w:val="0"/>
          <w:numId w:val="2"/>
        </w:numPr>
        <w:tabs>
          <w:tab w:val="clear" w:pos="475"/>
          <w:tab w:val="num" w:pos="1742"/>
        </w:tabs>
        <w:ind w:left="1267"/>
      </w:pPr>
      <w:r>
        <w:t xml:space="preserve">Les objectifs généraux de ce projet de recherche sont les suivants : apporter une contribution aux stratégies relatives aux transformations sociales et à la participation des citoyens, communiquer les résultats aux décideurs et aux techniciens et contribuer à l’enrichissement de l’ensemble des connaissances. Les objectifs en matière d’égalité des sexes sont les suivants : faire participer les femmes à la prise de décisions, renforcer leur capacité d’action dans la structure des relations sociales de pouvoir et renforcer l’animation des villes. Les conclusions de la première phase du projet ont été publiées intégralement dans un ouvrage intitulé </w:t>
      </w:r>
      <w:r>
        <w:rPr>
          <w:i/>
          <w:iCs/>
        </w:rPr>
        <w:t>Women and Urban Crises:Gender-Sensitive Strategies for Managing Critical Urban Environments in the South and in Eastern Europe</w:t>
      </w:r>
      <w:r>
        <w:t xml:space="preserve"> (« Femmes et crises urbaines : stratégies sexospécifiques pour la gestion des environnements urbains difficiles en Europe orientale et méridionale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Costa Rica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Statistiques de base – population et 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46"/>
        <w:gridCol w:w="1046"/>
        <w:gridCol w:w="1046"/>
        <w:gridCol w:w="912"/>
        <w:gridCol w:w="134"/>
        <w:gridCol w:w="1046"/>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6276"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Population</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masculine</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féminine</w:t>
            </w:r>
          </w:p>
        </w:tc>
      </w:tr>
      <w:tr w:rsidR="00000000">
        <w:tblPrEx>
          <w:tblCellMar>
            <w:top w:w="0" w:type="dxa"/>
            <w:left w:w="0" w:type="dxa"/>
            <w:bottom w:w="0" w:type="dxa"/>
            <w:right w:w="0" w:type="dxa"/>
          </w:tblCellMar>
        </w:tblPrEx>
        <w:trPr>
          <w:cantSplit/>
        </w:trPr>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4 024 000</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2 040 000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1 983 000</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primaire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primaire (en pourcentage)</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rPr>
            </w:pPr>
            <w:r>
              <w:rPr>
                <w:i/>
                <w:sz w:val="14"/>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107,51</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108,99</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rPr>
            </w:pPr>
            <w:r>
              <w:rPr>
                <w:sz w:val="17"/>
              </w:rPr>
              <w:t>105,97</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91,27</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91,39</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91,15</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secondaire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secondaire (en pourcentage)</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rPr>
            </w:pPr>
            <w:r>
              <w:rPr>
                <w:i/>
                <w:sz w:val="14"/>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50,94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48,09</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rPr>
            </w:pPr>
            <w:r>
              <w:rPr>
                <w:sz w:val="17"/>
              </w:rPr>
              <w:t>53,94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43,37</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40,84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46,04</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6276" w:type="dxa"/>
            <w:gridSpan w:val="7"/>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supérieur (en pourcentage)</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Étudiants</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Étudiantes</w:t>
            </w:r>
          </w:p>
        </w:tc>
      </w:tr>
      <w:tr w:rsidR="00000000">
        <w:tblPrEx>
          <w:tblCellMar>
            <w:top w:w="0" w:type="dxa"/>
            <w:left w:w="0" w:type="dxa"/>
            <w:bottom w:w="0" w:type="dxa"/>
            <w:right w:w="0" w:type="dxa"/>
          </w:tblCellMar>
        </w:tblPrEx>
        <w:trPr>
          <w:cantSplit/>
        </w:trPr>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n.c.</w:t>
            </w:r>
          </w:p>
        </w:tc>
        <w:tc>
          <w:tcPr>
            <w:tcW w:w="2092" w:type="dxa"/>
            <w:gridSpan w:val="3"/>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n.c</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n.c</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menées dans le cadre des programmes de l’UNESCO pour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rPr>
      </w:pPr>
      <w:r>
        <w:tab/>
      </w:r>
      <w:r>
        <w:tab/>
        <w:t>Les femmes, la science et la technique</w:t>
      </w:r>
    </w:p>
    <w:p w:rsidR="00000000" w:rsidRDefault="00000000">
      <w:pPr>
        <w:pStyle w:val="SingleTxt"/>
        <w:spacing w:after="0" w:line="120" w:lineRule="exact"/>
        <w:rPr>
          <w:sz w:val="10"/>
        </w:rPr>
      </w:pPr>
    </w:p>
    <w:p w:rsidR="00000000" w:rsidRDefault="00000000">
      <w:pPr>
        <w:pStyle w:val="SingleTxt"/>
        <w:numPr>
          <w:ilvl w:val="0"/>
          <w:numId w:val="6"/>
        </w:numPr>
      </w:pPr>
      <w:r>
        <w:t>Avec le concours du Bureau d’éducation ibéro-américain, l’UNESCO exécute actuellement le projet ibéro-américain sur la science, la technique et les femmes (voir par. 11 ci-dessus).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Équateur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Statistiques de base – population et 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46"/>
        <w:gridCol w:w="1046"/>
        <w:gridCol w:w="1046"/>
        <w:gridCol w:w="912"/>
        <w:gridCol w:w="134"/>
        <w:gridCol w:w="1046"/>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6276"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lang w:val="en-US"/>
              </w:rPr>
            </w:pPr>
            <w:r>
              <w:rPr>
                <w:i/>
                <w:sz w:val="14"/>
                <w:lang w:val="en-US"/>
              </w:rPr>
              <w:t>Population</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4"/>
                <w:lang w:val="en-US"/>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masculine</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féminine</w:t>
            </w:r>
          </w:p>
        </w:tc>
      </w:tr>
      <w:tr w:rsidR="00000000">
        <w:tblPrEx>
          <w:tblCellMar>
            <w:top w:w="0" w:type="dxa"/>
            <w:left w:w="0" w:type="dxa"/>
            <w:bottom w:w="0" w:type="dxa"/>
            <w:right w:w="0" w:type="dxa"/>
          </w:tblCellMar>
        </w:tblPrEx>
        <w:trPr>
          <w:cantSplit/>
        </w:trPr>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2000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12 646 000</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6 350 000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6 296 000</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primaire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primaire (en pourcentage)</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113,91</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114,28</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en-US"/>
              </w:rPr>
            </w:pPr>
            <w:r>
              <w:rPr>
                <w:sz w:val="17"/>
                <w:lang w:val="en-US"/>
              </w:rPr>
              <w:t>113,53</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97,73</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97,44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98,03</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secondaire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secondaire (en pourcentage)</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56,66</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56,22</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en-US"/>
              </w:rPr>
            </w:pPr>
            <w:r>
              <w:rPr>
                <w:sz w:val="17"/>
                <w:lang w:val="en-US"/>
              </w:rPr>
              <w:t>57,12</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46,90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46,21</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47,62</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en-US"/>
              </w:rPr>
            </w:pPr>
          </w:p>
        </w:tc>
        <w:tc>
          <w:tcPr>
            <w:tcW w:w="6276" w:type="dxa"/>
            <w:gridSpan w:val="7"/>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supérieur (en pourcentage)</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Étudiants</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Étudiantes</w:t>
            </w:r>
          </w:p>
        </w:tc>
      </w:tr>
      <w:tr w:rsidR="00000000">
        <w:tblPrEx>
          <w:tblCellMar>
            <w:top w:w="0" w:type="dxa"/>
            <w:left w:w="0" w:type="dxa"/>
            <w:bottom w:w="0" w:type="dxa"/>
            <w:right w:w="0" w:type="dxa"/>
          </w:tblCellMar>
        </w:tblPrEx>
        <w:trPr>
          <w:cantSplit/>
        </w:trPr>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n.c.</w:t>
            </w:r>
          </w:p>
        </w:tc>
        <w:tc>
          <w:tcPr>
            <w:tcW w:w="2092" w:type="dxa"/>
            <w:gridSpan w:val="3"/>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n.c.</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n.c.</w:t>
            </w:r>
          </w:p>
        </w:tc>
      </w:tr>
    </w:tbl>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menées dans le cadre des programmes de l’UNESCO pour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la science et la technologie</w:t>
      </w:r>
    </w:p>
    <w:p w:rsidR="00000000" w:rsidRDefault="00000000">
      <w:pPr>
        <w:pStyle w:val="SingleTxt"/>
        <w:spacing w:after="0" w:line="120" w:lineRule="exact"/>
        <w:rPr>
          <w:sz w:val="10"/>
        </w:rPr>
      </w:pPr>
    </w:p>
    <w:p w:rsidR="00000000" w:rsidRDefault="00000000">
      <w:pPr>
        <w:pStyle w:val="SingleTxt"/>
        <w:numPr>
          <w:ilvl w:val="0"/>
          <w:numId w:val="6"/>
        </w:numPr>
      </w:pPr>
      <w:r>
        <w:t>Avec le concours du Bureau d’éducation ibéro-américain, l’UNESCO exécute actuellement le projet ibéro-américain sur la science et la technique et les femmes (voir par. 11 ci-dessus)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r>
      <w:r>
        <w:rPr>
          <w:lang w:val="en-US"/>
        </w:rPr>
        <w:t>France</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Statistiques de base – population et 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46"/>
        <w:gridCol w:w="1046"/>
        <w:gridCol w:w="1046"/>
        <w:gridCol w:w="912"/>
        <w:gridCol w:w="134"/>
        <w:gridCol w:w="1046"/>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6276"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lang w:val="en-US"/>
              </w:rPr>
            </w:pPr>
            <w:r>
              <w:rPr>
                <w:i/>
                <w:sz w:val="14"/>
                <w:lang w:val="en-US"/>
              </w:rPr>
              <w:t>Population</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4"/>
                <w:lang w:val="en-US"/>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masculine</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féminine</w:t>
            </w:r>
          </w:p>
        </w:tc>
      </w:tr>
      <w:tr w:rsidR="00000000">
        <w:tblPrEx>
          <w:tblCellMar>
            <w:top w:w="0" w:type="dxa"/>
            <w:left w:w="0" w:type="dxa"/>
            <w:bottom w:w="0" w:type="dxa"/>
            <w:right w:w="0" w:type="dxa"/>
          </w:tblCellMar>
        </w:tblPrEx>
        <w:trPr>
          <w:cantSplit/>
        </w:trPr>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2000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59 238 000</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28 856 000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30 382 000</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primaire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primaire (en pourcentage)</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105,16</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105,78</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en-US"/>
              </w:rPr>
            </w:pPr>
            <w:r>
              <w:rPr>
                <w:sz w:val="17"/>
                <w:lang w:val="en-US"/>
              </w:rPr>
              <w:t>104,51</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100</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secondaire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secondaire (en pourcentage)</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108,69</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108,53</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en-US"/>
              </w:rPr>
            </w:pPr>
            <w:r>
              <w:rPr>
                <w:sz w:val="17"/>
                <w:lang w:val="en-US"/>
              </w:rPr>
              <w:t>108,85</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92,55</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91,64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93,51</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en-US"/>
              </w:rPr>
            </w:pPr>
          </w:p>
        </w:tc>
        <w:tc>
          <w:tcPr>
            <w:tcW w:w="6276" w:type="dxa"/>
            <w:gridSpan w:val="7"/>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supérieur (en pourcentage)</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Étudiants</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Étudiantes</w:t>
            </w:r>
          </w:p>
        </w:tc>
      </w:tr>
      <w:tr w:rsidR="00000000">
        <w:tblPrEx>
          <w:tblCellMar>
            <w:top w:w="0" w:type="dxa"/>
            <w:left w:w="0" w:type="dxa"/>
            <w:bottom w:w="0" w:type="dxa"/>
            <w:right w:w="0" w:type="dxa"/>
          </w:tblCellMar>
        </w:tblPrEx>
        <w:trPr>
          <w:cantSplit/>
        </w:trPr>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52,53</w:t>
            </w:r>
          </w:p>
        </w:tc>
        <w:tc>
          <w:tcPr>
            <w:tcW w:w="2092" w:type="dxa"/>
            <w:gridSpan w:val="3"/>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47,19</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58,09</w:t>
            </w:r>
          </w:p>
        </w:tc>
      </w:tr>
    </w:tbl>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Activités menées dans le cadre des programmes de l’UNESCO pour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la santé</w:t>
      </w:r>
    </w:p>
    <w:p w:rsidR="00000000" w:rsidRDefault="00000000">
      <w:pPr>
        <w:pStyle w:val="SingleTxt"/>
        <w:spacing w:after="0" w:line="120" w:lineRule="exact"/>
        <w:rPr>
          <w:sz w:val="10"/>
        </w:rPr>
      </w:pPr>
    </w:p>
    <w:p w:rsidR="00000000" w:rsidRDefault="00000000">
      <w:pPr>
        <w:pStyle w:val="SingleTxt"/>
        <w:numPr>
          <w:ilvl w:val="0"/>
          <w:numId w:val="6"/>
        </w:numPr>
      </w:pPr>
      <w:r>
        <w:t>L’UNESCO a organisé à Paris, le 10 mars 2003, un colloque intitulé « Au-delà de la peur, des armes pour gagner » avec la collaboration de Paris Match et de la Ligue nationale contre le cancer. Des spécialistes du monde entier ont été invités à donner un aperçu des plus récentes avancées dans ce domaine.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Japon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Statistiques de base – population et 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46"/>
        <w:gridCol w:w="1046"/>
        <w:gridCol w:w="1046"/>
        <w:gridCol w:w="912"/>
        <w:gridCol w:w="134"/>
        <w:gridCol w:w="1046"/>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6276"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lang w:val="en-US"/>
              </w:rPr>
            </w:pPr>
            <w:r>
              <w:rPr>
                <w:i/>
                <w:sz w:val="14"/>
                <w:lang w:val="en-US"/>
              </w:rPr>
              <w:t>Population</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4"/>
                <w:lang w:val="en-US"/>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masculine</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féminine</w:t>
            </w:r>
          </w:p>
        </w:tc>
      </w:tr>
      <w:tr w:rsidR="00000000">
        <w:tblPrEx>
          <w:tblCellMar>
            <w:top w:w="0" w:type="dxa"/>
            <w:left w:w="0" w:type="dxa"/>
            <w:bottom w:w="0" w:type="dxa"/>
            <w:right w:w="0" w:type="dxa"/>
          </w:tblCellMar>
        </w:tblPrEx>
        <w:trPr>
          <w:cantSplit/>
        </w:trPr>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2000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127 096 000</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62 212 000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64 884 000</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primaire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 xml:space="preserve">Taux net d’inscription dans l’enseignement primaire (en pourcentage) </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101,26</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101,31</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en-US"/>
              </w:rPr>
            </w:pPr>
            <w:r>
              <w:rPr>
                <w:sz w:val="17"/>
                <w:lang w:val="en-US"/>
              </w:rPr>
              <w:t>101,22</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100</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secondaire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 xml:space="preserve">Taux net d’inscription dans l’enseignement secondaire (en pourcentage) </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102,05</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101,48</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en-US"/>
              </w:rPr>
            </w:pPr>
            <w:r>
              <w:rPr>
                <w:sz w:val="17"/>
                <w:lang w:val="en-US"/>
              </w:rPr>
              <w:t>102,65</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100</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en-US"/>
              </w:rPr>
            </w:pPr>
          </w:p>
        </w:tc>
        <w:tc>
          <w:tcPr>
            <w:tcW w:w="6276" w:type="dxa"/>
            <w:gridSpan w:val="7"/>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brut dans l’enseignement supérieur (en pourcentage)</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Étudiants</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Étudiantes</w:t>
            </w:r>
          </w:p>
        </w:tc>
      </w:tr>
      <w:tr w:rsidR="00000000">
        <w:tblPrEx>
          <w:tblCellMar>
            <w:top w:w="0" w:type="dxa"/>
            <w:left w:w="0" w:type="dxa"/>
            <w:bottom w:w="0" w:type="dxa"/>
            <w:right w:w="0" w:type="dxa"/>
          </w:tblCellMar>
        </w:tblPrEx>
        <w:trPr>
          <w:cantSplit/>
        </w:trPr>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46,05</w:t>
            </w:r>
          </w:p>
        </w:tc>
        <w:tc>
          <w:tcPr>
            <w:tcW w:w="2092" w:type="dxa"/>
            <w:gridSpan w:val="3"/>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49,57</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42,35</w:t>
            </w:r>
          </w:p>
        </w:tc>
      </w:tr>
    </w:tbl>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t>Maroc</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Statistiques de base – population et 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46"/>
        <w:gridCol w:w="1046"/>
        <w:gridCol w:w="1046"/>
        <w:gridCol w:w="912"/>
        <w:gridCol w:w="134"/>
        <w:gridCol w:w="1046"/>
        <w:gridCol w:w="1046"/>
        <w:gridCol w:w="1046"/>
      </w:tblGrid>
      <w:tr w:rsidR="00000000">
        <w:tblPrEx>
          <w:tblCellMar>
            <w:top w:w="0" w:type="dxa"/>
            <w:left w:w="0" w:type="dxa"/>
            <w:bottom w:w="0" w:type="dxa"/>
            <w:right w:w="0" w:type="dxa"/>
          </w:tblCellMar>
        </w:tblPrEx>
        <w:trPr>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6276"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lang w:val="en-US"/>
              </w:rPr>
            </w:pPr>
            <w:r>
              <w:rPr>
                <w:i/>
                <w:sz w:val="14"/>
                <w:lang w:val="en-US"/>
              </w:rPr>
              <w:t>Population</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4"/>
                <w:lang w:val="en-US"/>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masculine</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Population féminine</w:t>
            </w:r>
          </w:p>
        </w:tc>
      </w:tr>
      <w:tr w:rsidR="00000000">
        <w:tblPrEx>
          <w:tblCellMar>
            <w:top w:w="0" w:type="dxa"/>
            <w:left w:w="0" w:type="dxa"/>
            <w:bottom w:w="0" w:type="dxa"/>
            <w:right w:w="0" w:type="dxa"/>
          </w:tblCellMar>
        </w:tblPrEx>
        <w:trPr>
          <w:cantSplit/>
        </w:trPr>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2000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29 878 000</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14 964 000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14 914 000</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primaire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primaire (en pourcentage)</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90,43</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98,04</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en-US"/>
              </w:rPr>
            </w:pPr>
            <w:r>
              <w:rPr>
                <w:sz w:val="17"/>
                <w:lang w:val="en-US"/>
              </w:rPr>
              <w:t>82,55</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74,48</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78,97</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69,81</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secondaire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secondaire (en pourcentage)</w:t>
            </w:r>
          </w:p>
        </w:tc>
      </w:tr>
      <w:tr w:rsidR="00000000">
        <w:tblPrEx>
          <w:tblCellMar>
            <w:top w:w="0" w:type="dxa"/>
            <w:left w:w="0" w:type="dxa"/>
            <w:bottom w:w="0" w:type="dxa"/>
            <w:right w:w="0" w:type="dxa"/>
          </w:tblCellMar>
        </w:tblPrEx>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39,34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43,58</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en-US"/>
              </w:rPr>
            </w:pPr>
            <w:r>
              <w:rPr>
                <w:sz w:val="17"/>
                <w:lang w:val="en-US"/>
              </w:rPr>
              <w:t>34,95</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29,94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32,74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27,04</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en-US"/>
              </w:rPr>
            </w:pPr>
          </w:p>
        </w:tc>
        <w:tc>
          <w:tcPr>
            <w:tcW w:w="6276" w:type="dxa"/>
            <w:gridSpan w:val="7"/>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 xml:space="preserve">Taux brut d’inscription dans l’enseignement supérieur (en pourcentage) </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Étudiants</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Étudiantes</w:t>
            </w:r>
          </w:p>
        </w:tc>
      </w:tr>
      <w:tr w:rsidR="00000000">
        <w:tblPrEx>
          <w:tblCellMar>
            <w:top w:w="0" w:type="dxa"/>
            <w:left w:w="0" w:type="dxa"/>
            <w:bottom w:w="0" w:type="dxa"/>
            <w:right w:w="0" w:type="dxa"/>
          </w:tblCellMar>
        </w:tblPrEx>
        <w:trPr>
          <w:cantSplit/>
        </w:trPr>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1999/2000</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9,34</w:t>
            </w:r>
          </w:p>
        </w:tc>
        <w:tc>
          <w:tcPr>
            <w:tcW w:w="2092" w:type="dxa"/>
            <w:gridSpan w:val="3"/>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10,59</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8,04</w:t>
            </w:r>
          </w:p>
        </w:tc>
      </w:tr>
    </w:tbl>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Activités menées dans le cadre des programmes de l’UNESCO pour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l’éducation</w:t>
      </w:r>
    </w:p>
    <w:p w:rsidR="00000000" w:rsidRDefault="00000000">
      <w:pPr>
        <w:pStyle w:val="SingleTxt"/>
        <w:spacing w:after="0" w:line="120" w:lineRule="exact"/>
        <w:rPr>
          <w:sz w:val="10"/>
        </w:rPr>
      </w:pPr>
    </w:p>
    <w:p w:rsidR="00000000" w:rsidRDefault="00000000">
      <w:pPr>
        <w:pStyle w:val="SingleTxt"/>
        <w:numPr>
          <w:ilvl w:val="0"/>
          <w:numId w:val="6"/>
        </w:numPr>
      </w:pPr>
      <w:r>
        <w:t>Avec la collaboration de la faculté des sciences juridiques, économiques et sociales de Casablanca et du Centre d’études et de recherche en migration et droits de l’homme, la chaire UNESCO « Migration et droits de l’homme » de l’Université Hassan II Ain Chock de Casablanca a organisé, en 2002, une conférence internationale sur le thème « Femmes, migrations et droits de l’homme » et, en 2003, une table ronde sur le thème « Femmes migrantes et culture ».</w:t>
      </w:r>
    </w:p>
    <w:p w:rsidR="00000000" w:rsidRDefault="00000000">
      <w:pPr>
        <w:pStyle w:val="SingleTxt"/>
        <w:numPr>
          <w:ilvl w:val="0"/>
          <w:numId w:val="6"/>
        </w:numPr>
      </w:pPr>
      <w:r>
        <w:t>Une chaire UNESCO d’éducation des adultes et d’alphabétisation a été créée au Maroc. La titulaire de la chaire a été nommée membre du Forum national sur l’éducation pour tous et de l’équipe d’appui des Nations Unies pour l’éducation pour tous et sera chargée de donner des avis consultatifs sur l’élaboration et l’application des plans d’action nationaux en matière d’éducation pour tous, en particulier, en ce qui concerne l’alphabétisation.</w:t>
      </w:r>
    </w:p>
    <w:p w:rsidR="00000000" w:rsidRDefault="00000000">
      <w:pPr>
        <w:pStyle w:val="SingleTxt"/>
        <w:numPr>
          <w:ilvl w:val="0"/>
          <w:numId w:val="6"/>
        </w:numPr>
      </w:pPr>
      <w:r>
        <w:t>L’UNESCO a signé, le 28 octobre 2002, un accord avec l’Université Mohammed V (Rabat-Souissi) et l’Université Ibn Tofail (Kénitra) en vue de la création d’une chaire UNESCO « La femme et ses droits » chargée de promouvoir la recherche, la formation, l’information et la documentation sur la condition féminine, la défense des droits des femmes et l’élimination de la discrimination sexuelle. Elle s’efforcera également de promouvoir la coopération régionale entre chercheurs et enseignants universitaires.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la santé</w:t>
      </w:r>
    </w:p>
    <w:p w:rsidR="00000000" w:rsidRDefault="00000000">
      <w:pPr>
        <w:pStyle w:val="SingleTxt"/>
        <w:spacing w:after="0" w:line="120" w:lineRule="exact"/>
        <w:rPr>
          <w:sz w:val="10"/>
        </w:rPr>
      </w:pPr>
    </w:p>
    <w:p w:rsidR="00000000" w:rsidRDefault="00000000">
      <w:pPr>
        <w:pStyle w:val="SingleTxt"/>
        <w:numPr>
          <w:ilvl w:val="0"/>
          <w:numId w:val="6"/>
        </w:numPr>
      </w:pPr>
      <w:r>
        <w:t>L’UNESCO a organisé, en partenariat avec le Fonds de développement des Nations Unies pour la femme (UNIFEM) et l’ONUSIDA, à Rabat, un séminaire visant à faire connaître les dimensions socioculturelles du VIH/sida en mettant l’accent, en particulier, sur ce qui est spécifique à chaque sexe. Les participants ont essayé de déterminer les facteurs socioculturels et sexospécifiques qui favorisent la transmission du virus ou freinent la prévention et les traitements. Il leur a été demandé de procéder en groupes à l’analyse de leurs propres conceptions, valeurs et comportements culturels pouvant mener à l’ostracisme ou à de la discrimination envers des personnes atteintes de sida ou ayant un lien avec le sida. L’objet du séminaire était d’aider les participants à mettre en évidence les ressources culturelles positives susceptibles de modifier durablement les comportements et de mettre fin à l’ostracisme et à la discrimination envers les malades.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Renforcement des capacités locales – promotion des pratiques culturelles</w:t>
      </w:r>
    </w:p>
    <w:p w:rsidR="00000000" w:rsidRDefault="00000000">
      <w:pPr>
        <w:pStyle w:val="SingleTxt"/>
        <w:spacing w:after="0" w:line="120" w:lineRule="exact"/>
        <w:rPr>
          <w:sz w:val="10"/>
        </w:rPr>
      </w:pPr>
    </w:p>
    <w:p w:rsidR="00000000" w:rsidRDefault="00000000">
      <w:pPr>
        <w:pStyle w:val="SingleTxt"/>
        <w:numPr>
          <w:ilvl w:val="0"/>
          <w:numId w:val="6"/>
        </w:numPr>
      </w:pPr>
      <w:r>
        <w:t>L’UNESCO, en coopération avec l’Organisation islamique pour l’éducation, la science et la culture, a organisé un atelier de formation à la fabrication de tapis pour des formateurs (2 par pays) venant des pays francophones d’Afrique subsaharienne (Burkina Faso, Guinée, Mali, Niger, Sénégal et Tchad). Le but de cet atelier, qui s’est tenu à Ouarzazate, était de donner aux participants les compétences nécessaires pour pouvoir initier les membres des centres et des associations de femmes dans leurs pays respectifs à la fabrication de tapis faits à la main.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Slovénie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Statistiques de base – population et 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046"/>
        <w:gridCol w:w="1046"/>
        <w:gridCol w:w="1046"/>
        <w:gridCol w:w="912"/>
        <w:gridCol w:w="134"/>
        <w:gridCol w:w="1046"/>
        <w:gridCol w:w="1046"/>
        <w:gridCol w:w="1046"/>
        <w:gridCol w:w="134"/>
      </w:tblGrid>
      <w:tr w:rsidR="00000000">
        <w:tblPrEx>
          <w:tblCellMar>
            <w:top w:w="0" w:type="dxa"/>
            <w:left w:w="0" w:type="dxa"/>
            <w:bottom w:w="0" w:type="dxa"/>
            <w:right w:w="0" w:type="dxa"/>
          </w:tblCellMar>
        </w:tblPrEx>
        <w:trPr>
          <w:gridAfter w:val="1"/>
          <w:wAfter w:w="134" w:type="dxa"/>
          <w:cantSplit/>
          <w:tblHeader/>
        </w:trPr>
        <w:tc>
          <w:tcPr>
            <w:tcW w:w="1046"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6276"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lang w:val="en-US"/>
              </w:rPr>
            </w:pPr>
            <w:r>
              <w:rPr>
                <w:i/>
                <w:sz w:val="14"/>
                <w:lang w:val="en-US"/>
              </w:rPr>
              <w:t>Population</w:t>
            </w:r>
          </w:p>
        </w:tc>
      </w:tr>
      <w:tr w:rsidR="00000000">
        <w:tblPrEx>
          <w:tblCellMar>
            <w:top w:w="0" w:type="dxa"/>
            <w:left w:w="0" w:type="dxa"/>
            <w:bottom w:w="0" w:type="dxa"/>
            <w:right w:w="0" w:type="dxa"/>
          </w:tblCellMar>
        </w:tblPrEx>
        <w:trPr>
          <w:gridAfter w:val="1"/>
          <w:wAfter w:w="134" w:type="dxa"/>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4"/>
                <w:lang w:val="en-US"/>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fr-BE"/>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fr-BE"/>
              </w:rPr>
              <w:t>Garçons</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rPr>
          <w:gridAfter w:val="1"/>
          <w:wAfter w:w="134" w:type="dxa"/>
          <w:cantSplit/>
        </w:trPr>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2000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1 988 000</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966 000</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1 022 000</w:t>
            </w:r>
          </w:p>
        </w:tc>
      </w:tr>
      <w:tr w:rsidR="00000000">
        <w:tblPrEx>
          <w:tblCellMar>
            <w:top w:w="0" w:type="dxa"/>
            <w:left w:w="0" w:type="dxa"/>
            <w:bottom w:w="0" w:type="dxa"/>
            <w:right w:w="0" w:type="dxa"/>
          </w:tblCellMar>
        </w:tblPrEx>
        <w:trPr>
          <w:gridAfter w:val="1"/>
          <w:wAfter w:w="134" w:type="dxa"/>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 xml:space="preserve">Taux brut d’inscription dans l’enseignement primaire (en pourcentage) </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net d’inscription dans l’enseignement primaire (en pourcentage)</w:t>
            </w:r>
          </w:p>
        </w:tc>
      </w:tr>
      <w:tr w:rsidR="00000000">
        <w:tblPrEx>
          <w:tblCellMar>
            <w:top w:w="0" w:type="dxa"/>
            <w:left w:w="0" w:type="dxa"/>
            <w:bottom w:w="0" w:type="dxa"/>
            <w:right w:w="0" w:type="dxa"/>
          </w:tblCellMar>
        </w:tblPrEx>
        <w:trPr>
          <w:gridAfter w:val="1"/>
          <w:wAfter w:w="134" w:type="dxa"/>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i/>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rPr>
          <w:gridAfter w:val="1"/>
          <w:wAfter w:w="134" w:type="dxa"/>
        </w:trPr>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1998/1999</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97,65</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98,14</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en-US"/>
              </w:rPr>
            </w:pPr>
            <w:r>
              <w:rPr>
                <w:sz w:val="17"/>
                <w:lang w:val="en-US"/>
              </w:rPr>
              <w:t>97,14</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93,89</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94,32</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93,44</w:t>
            </w:r>
          </w:p>
        </w:tc>
      </w:tr>
      <w:tr w:rsidR="00000000">
        <w:tblPrEx>
          <w:tblCellMar>
            <w:top w:w="0" w:type="dxa"/>
            <w:left w:w="0" w:type="dxa"/>
            <w:bottom w:w="0" w:type="dxa"/>
            <w:right w:w="0" w:type="dxa"/>
          </w:tblCellMar>
        </w:tblPrEx>
        <w:trPr>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en-US"/>
              </w:rPr>
            </w:pPr>
          </w:p>
        </w:tc>
        <w:tc>
          <w:tcPr>
            <w:tcW w:w="3004"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secondaire (en pourcentage)</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3138"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 xml:space="preserve">Taux net d’inscription dans l’enseignement secondaire (en pourcentage) </w:t>
            </w:r>
          </w:p>
        </w:tc>
        <w:tc>
          <w:tcPr>
            <w:tcW w:w="134"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r>
      <w:tr w:rsidR="00000000">
        <w:tblPrEx>
          <w:tblCellMar>
            <w:top w:w="0" w:type="dxa"/>
            <w:left w:w="0" w:type="dxa"/>
            <w:bottom w:w="0" w:type="dxa"/>
            <w:right w:w="0" w:type="dxa"/>
          </w:tblCellMar>
        </w:tblPrEx>
        <w:trPr>
          <w:gridAfter w:val="1"/>
          <w:wAfter w:w="134" w:type="dxa"/>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912" w:type="dxa"/>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jc w:val="right"/>
              <w:rPr>
                <w:i/>
                <w:sz w:val="14"/>
                <w:lang w:val="en-US"/>
              </w:rPr>
            </w:pPr>
            <w:r>
              <w:rPr>
                <w:i/>
                <w:sz w:val="14"/>
                <w:lang w:val="en-US"/>
              </w:rPr>
              <w:t>Filles</w:t>
            </w:r>
          </w:p>
        </w:tc>
        <w:tc>
          <w:tcPr>
            <w:tcW w:w="134" w:type="dxa"/>
            <w:vAlign w:val="bottom"/>
          </w:tcPr>
          <w:p w:rsidR="00000000" w:rsidRDefault="00000000">
            <w:pPr>
              <w:tabs>
                <w:tab w:val="left" w:pos="288"/>
                <w:tab w:val="left" w:pos="576"/>
                <w:tab w:val="left" w:pos="864"/>
                <w:tab w:val="left" w:pos="1152"/>
              </w:tabs>
              <w:spacing w:before="40" w:after="80" w:line="160" w:lineRule="exact"/>
              <w:ind w:right="130"/>
              <w:jc w:val="right"/>
              <w:rPr>
                <w:i/>
                <w:sz w:val="14"/>
                <w:lang w:val="en-US"/>
              </w:rPr>
            </w:pP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Garçons</w:t>
            </w:r>
          </w:p>
        </w:tc>
        <w:tc>
          <w:tcPr>
            <w:tcW w:w="1046" w:type="dxa"/>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Filles</w:t>
            </w:r>
          </w:p>
        </w:tc>
      </w:tr>
      <w:tr w:rsidR="00000000">
        <w:tblPrEx>
          <w:tblCellMar>
            <w:top w:w="0" w:type="dxa"/>
            <w:left w:w="0" w:type="dxa"/>
            <w:bottom w:w="0" w:type="dxa"/>
            <w:right w:w="0" w:type="dxa"/>
          </w:tblCellMar>
        </w:tblPrEx>
        <w:trPr>
          <w:gridAfter w:val="1"/>
          <w:wAfter w:w="134" w:type="dxa"/>
        </w:trPr>
        <w:tc>
          <w:tcPr>
            <w:tcW w:w="1046"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en-US"/>
              </w:rPr>
            </w:pPr>
            <w:r>
              <w:rPr>
                <w:sz w:val="17"/>
                <w:lang w:val="en-US"/>
              </w:rPr>
              <w:t>1998/1999</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98,75</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97,40</w:t>
            </w:r>
          </w:p>
        </w:tc>
        <w:tc>
          <w:tcPr>
            <w:tcW w:w="1046"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130"/>
              <w:jc w:val="right"/>
              <w:rPr>
                <w:sz w:val="17"/>
                <w:lang w:val="en-US"/>
              </w:rPr>
            </w:pPr>
            <w:r>
              <w:rPr>
                <w:sz w:val="17"/>
                <w:lang w:val="en-US"/>
              </w:rPr>
              <w:t>100,17</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89,50</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87,95</w:t>
            </w:r>
          </w:p>
        </w:tc>
        <w:tc>
          <w:tcPr>
            <w:tcW w:w="1046"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en-US"/>
              </w:rPr>
            </w:pPr>
            <w:r>
              <w:rPr>
                <w:sz w:val="17"/>
                <w:lang w:val="en-US"/>
              </w:rPr>
              <w:t>91,13</w:t>
            </w:r>
          </w:p>
        </w:tc>
      </w:tr>
      <w:tr w:rsidR="00000000">
        <w:tblPrEx>
          <w:tblCellMar>
            <w:top w:w="0" w:type="dxa"/>
            <w:left w:w="0" w:type="dxa"/>
            <w:bottom w:w="0" w:type="dxa"/>
            <w:right w:w="0" w:type="dxa"/>
          </w:tblCellMar>
        </w:tblPrEx>
        <w:trPr>
          <w:gridAfter w:val="1"/>
          <w:wAfter w:w="134" w:type="dxa"/>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lang w:val="en-US"/>
              </w:rPr>
            </w:pPr>
          </w:p>
        </w:tc>
        <w:tc>
          <w:tcPr>
            <w:tcW w:w="6276" w:type="dxa"/>
            <w:gridSpan w:val="7"/>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Taux brut d’inscription dans l’enseignement supérieur (en pourcentage)</w:t>
            </w:r>
          </w:p>
        </w:tc>
      </w:tr>
      <w:tr w:rsidR="00000000">
        <w:tblPrEx>
          <w:tblCellMar>
            <w:top w:w="0" w:type="dxa"/>
            <w:left w:w="0" w:type="dxa"/>
            <w:bottom w:w="0" w:type="dxa"/>
            <w:right w:w="0" w:type="dxa"/>
          </w:tblCellMar>
        </w:tblPrEx>
        <w:trPr>
          <w:gridAfter w:val="1"/>
          <w:wAfter w:w="134" w:type="dxa"/>
          <w:cantSplit/>
        </w:trPr>
        <w:tc>
          <w:tcPr>
            <w:tcW w:w="1046" w:type="dxa"/>
            <w:vAlign w:val="bottom"/>
          </w:tcPr>
          <w:p w:rsidR="00000000" w:rsidRDefault="00000000">
            <w:pPr>
              <w:tabs>
                <w:tab w:val="left" w:pos="288"/>
                <w:tab w:val="left" w:pos="576"/>
                <w:tab w:val="left" w:pos="864"/>
                <w:tab w:val="left" w:pos="1152"/>
              </w:tabs>
              <w:spacing w:before="40" w:after="80" w:line="160" w:lineRule="exact"/>
              <w:ind w:right="43"/>
              <w:rPr>
                <w:sz w:val="17"/>
              </w:rPr>
            </w:pP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lang w:val="en-US"/>
              </w:rPr>
            </w:pPr>
            <w:r>
              <w:rPr>
                <w:i/>
                <w:sz w:val="14"/>
                <w:lang w:val="en-US"/>
              </w:rPr>
              <w:t>Total</w:t>
            </w:r>
          </w:p>
        </w:tc>
        <w:tc>
          <w:tcPr>
            <w:tcW w:w="2092" w:type="dxa"/>
            <w:gridSpan w:val="3"/>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Étudiants</w:t>
            </w:r>
          </w:p>
        </w:tc>
        <w:tc>
          <w:tcPr>
            <w:tcW w:w="2092" w:type="dxa"/>
            <w:gridSpan w:val="2"/>
            <w:tcBorders>
              <w:bottom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Étudiantes</w:t>
            </w:r>
          </w:p>
        </w:tc>
      </w:tr>
      <w:tr w:rsidR="00000000">
        <w:tblPrEx>
          <w:tblCellMar>
            <w:top w:w="0" w:type="dxa"/>
            <w:left w:w="0" w:type="dxa"/>
            <w:bottom w:w="0" w:type="dxa"/>
            <w:right w:w="0" w:type="dxa"/>
          </w:tblCellMar>
        </w:tblPrEx>
        <w:trPr>
          <w:gridAfter w:val="1"/>
          <w:wAfter w:w="134" w:type="dxa"/>
          <w:cantSplit/>
        </w:trPr>
        <w:tc>
          <w:tcPr>
            <w:tcW w:w="104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53,33</w:t>
            </w:r>
          </w:p>
        </w:tc>
        <w:tc>
          <w:tcPr>
            <w:tcW w:w="2092" w:type="dxa"/>
            <w:gridSpan w:val="3"/>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45,72</w:t>
            </w:r>
          </w:p>
        </w:tc>
        <w:tc>
          <w:tcPr>
            <w:tcW w:w="2092"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61,34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menées dans le cadre des programmes de l’UNESCO pour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la science</w:t>
      </w:r>
    </w:p>
    <w:p w:rsidR="00000000" w:rsidRDefault="00000000">
      <w:pPr>
        <w:pStyle w:val="SingleTxt"/>
        <w:spacing w:after="0" w:line="120" w:lineRule="exact"/>
        <w:rPr>
          <w:sz w:val="10"/>
        </w:rPr>
      </w:pPr>
    </w:p>
    <w:p w:rsidR="00000000" w:rsidRDefault="00000000">
      <w:pPr>
        <w:pStyle w:val="SingleTxt"/>
        <w:numPr>
          <w:ilvl w:val="0"/>
          <w:numId w:val="6"/>
        </w:numPr>
      </w:pPr>
      <w:r>
        <w:rPr>
          <w:lang w:val="en-US"/>
        </w:rPr>
        <w:t>Un atelier international sur les indicateurs</w:t>
      </w:r>
      <w:r>
        <w:t xml:space="preserve"> sociaux</w:t>
      </w:r>
      <w:r>
        <w:rPr>
          <w:lang w:val="en-US"/>
        </w:rPr>
        <w:t xml:space="preserve"> relatifs aux femmes et à la science s’est tenu à Bled, en octobre 2002, avec le financement de l’UNESCO. </w:t>
      </w:r>
      <w:r>
        <w:t>Les objectifs de cet atelier étaient les suivants : amélioration des techniques de collecte de données dans les domaines de la science, de la recherche-développement et de l’enseignement supérieur d’un point de vue sexospécifique, contribution à une meilleure connaissance des sexospécificités dans ces domaines au niveau national et élaboration d’indicateurs statistiques plus transparents à l’intention des décideurs.</w:t>
      </w:r>
    </w:p>
    <w:p w:rsidR="00000000" w:rsidRDefault="00000000">
      <w:pPr>
        <w:pStyle w:val="SingleTxt"/>
      </w:pPr>
    </w:p>
    <w:p w:rsidR="00000000" w:rsidRDefault="00000000">
      <w:pPr>
        <w:pStyle w:val="End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right="1260" w:hanging="1267"/>
        <w:rPr>
          <w:i/>
          <w:sz w:val="20"/>
        </w:rPr>
      </w:pPr>
      <w:r>
        <w:rPr>
          <w:i/>
          <w:sz w:val="20"/>
        </w:rPr>
        <w:tab/>
        <w:t>Notes</w:t>
      </w:r>
    </w:p>
    <w:p w:rsidR="00000000" w:rsidRDefault="00000000">
      <w:pPr>
        <w:pStyle w:val="EndnoteText"/>
        <w:tabs>
          <w:tab w:val="clear" w:pos="418"/>
          <w:tab w:val="right" w:pos="1143"/>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vertAlign w:val="superscript"/>
        </w:rPr>
        <w:t>a</w:t>
      </w:r>
      <w:r>
        <w:tab/>
      </w:r>
      <w:r>
        <w:rPr>
          <w:i/>
        </w:rPr>
        <w:t xml:space="preserve">Sources </w:t>
      </w:r>
      <w:r>
        <w:rPr>
          <w:iCs/>
        </w:rPr>
        <w:t>:</w:t>
      </w:r>
      <w:r>
        <w:rPr>
          <w:i/>
        </w:rPr>
        <w:t xml:space="preserve"> </w:t>
      </w:r>
      <w:r>
        <w:rPr>
          <w:iCs/>
        </w:rPr>
        <w:t>Les s</w:t>
      </w:r>
      <w:r>
        <w:t>tatistiques démographiques sont extraites des « Perspectives d’avenir de la population mondiale : Révision 2000 », document publié par la Division de la population de l’ONU. Les statistiques de base de l’éducation dans chaque pays ont été fournies par l’Institut de statistique de l’UNESCO. Les années scolaires et universitaires 1998/1999 et 1999/2000 correspondent dans certains cas aux années civiles 1998 et 1999.</w:t>
      </w:r>
    </w:p>
    <w:p w:rsidR="00000000" w:rsidRDefault="00000000">
      <w:pPr>
        <w:pStyle w:val="End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0" w:hanging="1267"/>
        <w:rPr>
          <w:sz w:val="20"/>
          <w:lang w:val="en-US"/>
        </w:rPr>
      </w:pPr>
      <w:r>
        <w:rPr>
          <w:noProof/>
          <w:w w:val="100"/>
          <w:sz w:val="20"/>
          <w:lang w:val="en-US"/>
        </w:rPr>
        <w:pict>
          <v:line id="_x0000_s2051" style="position:absolute;left:0;text-align:left;z-index:2;mso-position-horizontal-relative:page" from="270pt,24pt" to="342pt,24pt" strokeweight=".25pt">
            <w10:anchorlock/>
          </v:line>
        </w:pict>
      </w:r>
    </w:p>
    <w:p w:rsidR="00000000" w:rsidRDefault="00000000">
      <w:pPr>
        <w:pStyle w:val="SingleTxt"/>
      </w:pPr>
    </w:p>
    <w:p w:rsidR="00000000" w:rsidRDefault="00000000">
      <w:pPr>
        <w:pStyle w:val="SingleTxt"/>
      </w:pPr>
    </w:p>
    <w:sectPr w:rsidR="00000000">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NO&gt;&gt;N0334616F&lt;&lt;ODS JOB NO&gt;&gt;</w:t>
      </w:r>
    </w:p>
    <w:p w:rsidR="00000000" w:rsidRDefault="00000000">
      <w:pPr>
        <w:pStyle w:val="CommentText"/>
      </w:pPr>
      <w:r>
        <w:t>&lt;&lt;ODS DOC SYMBOL1&gt;&gt;CEDAW/C/2003/II/3/Add.3&lt;&lt;ODS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0334616f.doc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0334616f.doc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03-34616 (F)</w:t>
    </w:r>
    <w:r>
      <w:rPr>
        <w:b w:val="0"/>
        <w:sz w:val="20"/>
      </w:rPr>
      <w:fldChar w:fldCharType="end"/>
    </w:r>
    <w:r>
      <w:rPr>
        <w:b w:val="0"/>
        <w:sz w:val="20"/>
      </w:rPr>
      <w:t xml:space="preserve">    290503    290503</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*0334616*</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CEDAW/C/2003/II/3/Add.3</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CEDAW/C/2003/II/3/Add.3</w:t>
                      </w:r>
                      <w:r>
                        <w:rPr>
                          <w:b/>
                        </w:rPr>
                        <w:fldChar w:fldCharType="end"/>
                      </w:r>
                    </w:p>
                  </w:tc>
                </w:tr>
              </w:tbl>
              <w:p w:rsidR="00000000" w:rsidRDefault="0000000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/C/2003/II/3/Add.3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1er mai 2003</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3AE"/>
    <w:multiLevelType w:val="singleLevel"/>
    <w:tmpl w:val="5CFA4450"/>
    <w:lvl w:ilvl="0">
      <w:start w:val="14"/>
      <w:numFmt w:val="decimal"/>
      <w:lvlRestart w:val="0"/>
      <w:lvlText w:val="%1."/>
      <w:lvlJc w:val="left"/>
      <w:pPr>
        <w:tabs>
          <w:tab w:val="num" w:pos="1742"/>
        </w:tabs>
        <w:ind w:left="1267" w:firstLine="0"/>
      </w:pPr>
      <w:rPr>
        <w:rFonts w:hint="default"/>
        <w:b w:val="0"/>
        <w:i w:val="0"/>
        <w:w w:val="100"/>
      </w:rPr>
    </w:lvl>
  </w:abstractNum>
  <w:abstractNum w:abstractNumId="1">
    <w:nsid w:val="11AF1541"/>
    <w:multiLevelType w:val="singleLevel"/>
    <w:tmpl w:val="634A7ABC"/>
    <w:lvl w:ilvl="0">
      <w:start w:val="15"/>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2">
    <w:nsid w:val="420F7835"/>
    <w:multiLevelType w:val="singleLevel"/>
    <w:tmpl w:val="0F745702"/>
    <w:lvl w:ilvl="0">
      <w:start w:val="1"/>
      <w:numFmt w:val="decimal"/>
      <w:lvlRestart w:val="0"/>
      <w:lvlText w:val="%1."/>
      <w:lvlJc w:val="left"/>
      <w:pPr>
        <w:tabs>
          <w:tab w:val="num" w:pos="475"/>
        </w:tabs>
        <w:ind w:left="0" w:firstLine="0"/>
      </w:pPr>
      <w:rPr>
        <w:rFonts w:hint="default"/>
        <w:b w:val="0"/>
        <w:i w:val="0"/>
        <w:w w:val="100"/>
      </w:rPr>
    </w:lvl>
  </w:abstractNum>
  <w:abstractNum w:abstractNumId="3">
    <w:nsid w:val="5F6902E3"/>
    <w:multiLevelType w:val="singleLevel"/>
    <w:tmpl w:val="75D4C526"/>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effect w:val="none"/>
        <w:vertAlign w:val="baseline"/>
      </w:rPr>
    </w:lvl>
  </w:abstractNum>
  <w:abstractNum w:abstractNumId="4">
    <w:nsid w:val="685C5252"/>
    <w:multiLevelType w:val="singleLevel"/>
    <w:tmpl w:val="C6F42146"/>
    <w:lvl w:ilvl="0">
      <w:start w:val="1"/>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5">
    <w:nsid w:val="6E046B8F"/>
    <w:multiLevelType w:val="singleLevel"/>
    <w:tmpl w:val="634A7ABC"/>
    <w:lvl w:ilvl="0">
      <w:start w:val="15"/>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abstractNum w:abstractNumId="6">
    <w:nsid w:val="74483E86"/>
    <w:multiLevelType w:val="singleLevel"/>
    <w:tmpl w:val="89B8EFAC"/>
    <w:lvl w:ilvl="0">
      <w:start w:val="1"/>
      <w:numFmt w:val="decimal"/>
      <w:lvlRestart w:val="0"/>
      <w:lvlText w:val="%1."/>
      <w:lvlJc w:val="left"/>
      <w:pPr>
        <w:tabs>
          <w:tab w:val="num" w:pos="475"/>
        </w:tabs>
        <w:ind w:left="0" w:firstLine="0"/>
      </w:pPr>
      <w:rPr>
        <w:w w:val="100"/>
      </w:rPr>
    </w:lvl>
  </w:abstractNum>
  <w:abstractNum w:abstractNumId="7">
    <w:nsid w:val="768F1433"/>
    <w:multiLevelType w:val="singleLevel"/>
    <w:tmpl w:val="23F60EEC"/>
    <w:lvl w:ilvl="0">
      <w:start w:val="3"/>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3"/>
  </w:num>
  <w:num w:numId="8">
    <w:abstractNumId w:val="5"/>
  </w:num>
  <w:num w:numId="9">
    <w:abstractNumId w:val="5"/>
    <w:lvlOverride w:ilvl="0">
      <w:lvl w:ilvl="0">
        <w:start w:val="15"/>
        <w:numFmt w:val="decimal"/>
        <w:lvlRestart w:val="0"/>
        <w:lvlText w:val="%1."/>
        <w:lvlJc w:val="left"/>
        <w:pPr>
          <w:tabs>
            <w:tab w:val="num" w:pos="1742"/>
          </w:tabs>
          <w:ind w:left="1267" w:firstLine="0"/>
        </w:pPr>
        <w:rPr>
          <w:rFonts w:hint="default"/>
          <w:b w:val="0"/>
          <w:i w:val="0"/>
          <w:caps w:val="0"/>
          <w:strike w:val="0"/>
          <w:dstrike w:val="0"/>
          <w:shadow w:val="0"/>
          <w:emboss w:val="0"/>
          <w:imprint w:val="0"/>
          <w:vanish w:val="0"/>
          <w:w w:val="100"/>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34616*"/>
    <w:docVar w:name="CreationDt" w:val="29/05/2003 19:09:52"/>
    <w:docVar w:name="DocCategory" w:val="Doc"/>
    <w:docVar w:name="DocType" w:val="Final"/>
    <w:docVar w:name="jobn" w:val="03-34616 (F)"/>
    <w:docVar w:name="jobnDT" w:val="03-34616 (F)   290503"/>
    <w:docVar w:name="jobnDTDT" w:val="03-34616 (F)   290503   290503"/>
    <w:docVar w:name="JobNo" w:val="0334616F"/>
    <w:docVar w:name="OandT" w:val="fb"/>
    <w:docVar w:name="sss1" w:val="CEDAW/C/2003/II/3/Add.3"/>
    <w:docVar w:name="sss2" w:val="-"/>
    <w:docVar w:name="Symbol1" w:val="CEDAW/C/2003/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10</Pages>
  <Words>3314</Words>
  <Characters>19046</Characters>
  <Application>Microsoft Office Word</Application>
  <DocSecurity>4</DocSecurity>
  <Lines>809</Lines>
  <Paragraphs>395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22058</CharactersWithSpaces>
  <SharedDoc>false</SharedDoc>
  <HLinks>
    <vt:vector size="6" baseType="variant">
      <vt:variant>
        <vt:i4>4522087</vt:i4>
      </vt:variant>
      <vt:variant>
        <vt:i4>23890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16</cp:revision>
  <cp:lastPrinted>2003-05-29T21:10:00Z</cp:lastPrinted>
  <dcterms:created xsi:type="dcterms:W3CDTF">2003-05-29T17:09:00Z</dcterms:created>
  <dcterms:modified xsi:type="dcterms:W3CDTF">2003-05-29T21:11:00Z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0334616</vt:lpwstr>
  </property>
  <property fmtid="{D5CDD505-2E9C-101B-9397-08002B2CF9AE}" pid="3" name="Symbol1">
    <vt:lpwstr>CEDAW/C/2003/II/3/Add.3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fb/mh</vt:lpwstr>
  </property>
</Properties>
</file>