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AF" w:rsidRDefault="00BC5BAF" w:rsidP="00BC5BAF">
      <w:pPr>
        <w:spacing w:line="60" w:lineRule="exact"/>
        <w:rPr>
          <w:sz w:val="6"/>
          <w:lang w:val="en-US"/>
        </w:rPr>
        <w:sectPr w:rsidR="00BC5BAF" w:rsidSect="00BC5B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5F0EB5" w:rsidRPr="005F0EB5" w:rsidRDefault="005F0EB5" w:rsidP="005F0EB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F0EB5">
        <w:t xml:space="preserve">Комитет по ликвидации дискриминации </w:t>
      </w:r>
      <w:r w:rsidRPr="005F0EB5">
        <w:br/>
        <w:t>в отношении женщин</w:t>
      </w:r>
    </w:p>
    <w:p w:rsidR="005F0EB5" w:rsidRPr="005F0EB5" w:rsidRDefault="005F0EB5" w:rsidP="005F0EB5">
      <w:pPr>
        <w:rPr>
          <w:b/>
        </w:rPr>
      </w:pPr>
      <w:r w:rsidRPr="005F0EB5">
        <w:rPr>
          <w:b/>
        </w:rPr>
        <w:t xml:space="preserve">Сорок </w:t>
      </w:r>
      <w:r>
        <w:rPr>
          <w:b/>
        </w:rPr>
        <w:t xml:space="preserve">третья </w:t>
      </w:r>
      <w:r w:rsidRPr="005F0EB5">
        <w:rPr>
          <w:b/>
        </w:rPr>
        <w:t>сессия</w:t>
      </w:r>
    </w:p>
    <w:p w:rsidR="005F0EB5" w:rsidRDefault="005F0EB5" w:rsidP="005F0EB5">
      <w:r>
        <w:t>19 января — 6 февраля 2009 года</w:t>
      </w:r>
    </w:p>
    <w:p w:rsidR="005F0EB5" w:rsidRPr="005F0EB5" w:rsidRDefault="005F0EB5" w:rsidP="005F0EB5">
      <w:r>
        <w:t>Пункт </w:t>
      </w:r>
      <w:r w:rsidR="00DA22E5">
        <w:t>7 предварительной повестки дня*</w:t>
      </w:r>
    </w:p>
    <w:p w:rsidR="005F0EB5" w:rsidRPr="005F0EB5" w:rsidRDefault="005F0EB5" w:rsidP="005F0EB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5F0EB5">
        <w:rPr>
          <w:b/>
        </w:rPr>
        <w:t xml:space="preserve">Осуществление статьи 21 Конвенции </w:t>
      </w:r>
      <w:r w:rsidRPr="005F0EB5">
        <w:rPr>
          <w:b/>
        </w:rPr>
        <w:br/>
      </w:r>
      <w:r>
        <w:rPr>
          <w:b/>
        </w:rPr>
        <w:t xml:space="preserve">о </w:t>
      </w:r>
      <w:r w:rsidRPr="005F0EB5">
        <w:rPr>
          <w:b/>
        </w:rPr>
        <w:t xml:space="preserve">ликвидации всех форм дискриминации </w:t>
      </w:r>
      <w:r w:rsidRPr="005F0EB5">
        <w:rPr>
          <w:b/>
        </w:rPr>
        <w:br/>
        <w:t>в отношении женщин</w:t>
      </w:r>
    </w:p>
    <w:p w:rsidR="005F0EB5" w:rsidRPr="005F0EB5" w:rsidRDefault="005F0EB5" w:rsidP="005F0EB5">
      <w:pPr>
        <w:pStyle w:val="SingleTxt"/>
        <w:spacing w:after="0" w:line="120" w:lineRule="exact"/>
        <w:rPr>
          <w:sz w:val="10"/>
        </w:rPr>
      </w:pPr>
    </w:p>
    <w:p w:rsidR="005F0EB5" w:rsidRPr="005F0EB5" w:rsidRDefault="005F0EB5" w:rsidP="005F0EB5">
      <w:pPr>
        <w:pStyle w:val="SingleTxt"/>
        <w:spacing w:after="0" w:line="120" w:lineRule="exact"/>
        <w:rPr>
          <w:sz w:val="10"/>
        </w:rPr>
      </w:pPr>
    </w:p>
    <w:p w:rsidR="005F0EB5" w:rsidRPr="005F0EB5" w:rsidRDefault="005F0EB5" w:rsidP="005F0EB5">
      <w:pPr>
        <w:pStyle w:val="SingleTxt"/>
        <w:spacing w:after="0" w:line="120" w:lineRule="exact"/>
        <w:rPr>
          <w:sz w:val="10"/>
        </w:rPr>
      </w:pPr>
    </w:p>
    <w:p w:rsidR="005F0EB5" w:rsidRPr="005F0EB5" w:rsidRDefault="005F0EB5" w:rsidP="005F0E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F0EB5">
        <w:t>Доклады, представл</w:t>
      </w:r>
      <w:r>
        <w:t xml:space="preserve">енные </w:t>
      </w:r>
      <w:r w:rsidRPr="005F0EB5">
        <w:t xml:space="preserve">специализированными учреждениями системы Организации Объединенных Наций </w:t>
      </w:r>
      <w:r>
        <w:t xml:space="preserve">по </w:t>
      </w:r>
      <w:r w:rsidRPr="005F0EB5">
        <w:t>вопросу об осуществлении Конвенции в</w:t>
      </w:r>
      <w:r>
        <w:t> </w:t>
      </w:r>
      <w:r w:rsidRPr="005F0EB5">
        <w:t>областях, входящих в сферу их деятельности</w:t>
      </w:r>
    </w:p>
    <w:p w:rsidR="005F0EB5" w:rsidRPr="005F0EB5" w:rsidRDefault="005F0EB5" w:rsidP="005F0EB5">
      <w:pPr>
        <w:pStyle w:val="SingleTxt"/>
        <w:spacing w:after="0" w:line="120" w:lineRule="exact"/>
        <w:rPr>
          <w:b/>
          <w:sz w:val="10"/>
        </w:rPr>
      </w:pPr>
    </w:p>
    <w:p w:rsidR="005F0EB5" w:rsidRPr="005F0EB5" w:rsidRDefault="005F0EB5" w:rsidP="005F0EB5">
      <w:pPr>
        <w:pStyle w:val="SingleTxt"/>
        <w:spacing w:after="0" w:line="120" w:lineRule="exact"/>
        <w:rPr>
          <w:b/>
          <w:sz w:val="10"/>
        </w:rPr>
      </w:pPr>
    </w:p>
    <w:p w:rsidR="005F0EB5" w:rsidRPr="005F0EB5" w:rsidRDefault="005F0EB5" w:rsidP="005F0E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F0EB5">
        <w:tab/>
      </w:r>
      <w:r w:rsidRPr="005F0EB5">
        <w:tab/>
        <w:t>Записка Генерального секретаря</w:t>
      </w:r>
    </w:p>
    <w:p w:rsidR="005F0EB5" w:rsidRPr="005F0EB5" w:rsidRDefault="005F0EB5" w:rsidP="005F0EB5">
      <w:pPr>
        <w:pStyle w:val="SingleTxt"/>
        <w:spacing w:after="0" w:line="120" w:lineRule="exact"/>
        <w:rPr>
          <w:sz w:val="10"/>
        </w:rPr>
      </w:pPr>
    </w:p>
    <w:p w:rsidR="005F0EB5" w:rsidRPr="005F0EB5" w:rsidRDefault="005F0EB5" w:rsidP="005F0EB5">
      <w:pPr>
        <w:pStyle w:val="SingleTxt"/>
        <w:spacing w:after="0" w:line="120" w:lineRule="exact"/>
        <w:rPr>
          <w:sz w:val="10"/>
        </w:rPr>
      </w:pPr>
    </w:p>
    <w:p w:rsidR="005F0EB5" w:rsidRPr="005F0EB5" w:rsidRDefault="005F0EB5" w:rsidP="005F0E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F0EB5">
        <w:t>Добавление</w:t>
      </w:r>
    </w:p>
    <w:p w:rsidR="005F0EB5" w:rsidRPr="005F0EB5" w:rsidRDefault="005F0EB5" w:rsidP="005F0EB5">
      <w:pPr>
        <w:pStyle w:val="SingleTxt"/>
        <w:spacing w:after="0" w:line="120" w:lineRule="exact"/>
        <w:rPr>
          <w:sz w:val="10"/>
        </w:rPr>
      </w:pPr>
    </w:p>
    <w:p w:rsidR="005F0EB5" w:rsidRPr="005F0EB5" w:rsidRDefault="005F0EB5" w:rsidP="005F0EB5">
      <w:pPr>
        <w:pStyle w:val="SingleTxt"/>
        <w:spacing w:after="0" w:line="120" w:lineRule="exact"/>
        <w:rPr>
          <w:sz w:val="10"/>
        </w:rPr>
      </w:pPr>
    </w:p>
    <w:p w:rsidR="005F0EB5" w:rsidRPr="005F0EB5" w:rsidRDefault="005F0EB5" w:rsidP="005F0EB5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5F0EB5" w:rsidRPr="005F0EB5" w:rsidRDefault="005F0EB5" w:rsidP="005F0EB5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5F0EB5">
        <w:rPr>
          <w:noProof/>
          <w:w w:val="100"/>
          <w:sz w:val="6"/>
          <w:lang w:eastAsia="ru-RU"/>
        </w:rPr>
        <w:pict>
          <v:line id="_x0000_s1035" style="position:absolute;z-index:1;mso-position-horizontal-relative:page" from="108pt,-1pt" to="180pt,-1pt" strokeweight=".25pt">
            <w10:wrap anchorx="page"/>
          </v:line>
        </w:pict>
      </w:r>
    </w:p>
    <w:p w:rsidR="005F0EB5" w:rsidRDefault="005F0EB5" w:rsidP="005F0EB5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</w:r>
      <w:r w:rsidR="00DA22E5">
        <w:rPr>
          <w:sz w:val="17"/>
        </w:rPr>
        <w:t>C</w:t>
      </w:r>
      <w:r w:rsidR="00DA22E5">
        <w:rPr>
          <w:sz w:val="17"/>
          <w:lang w:val="en-US"/>
        </w:rPr>
        <w:t>E</w:t>
      </w:r>
      <w:r w:rsidR="00DA22E5">
        <w:rPr>
          <w:sz w:val="17"/>
        </w:rPr>
        <w:t>DAW/C/2009/I/1.</w:t>
      </w:r>
    </w:p>
    <w:p w:rsidR="005F0EB5" w:rsidRPr="00DA22E5" w:rsidRDefault="005F0EB5" w:rsidP="00775E6F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**</w:t>
      </w:r>
      <w:r>
        <w:rPr>
          <w:sz w:val="17"/>
        </w:rPr>
        <w:tab/>
      </w:r>
      <w:r w:rsidR="00DA22E5">
        <w:rPr>
          <w:sz w:val="17"/>
        </w:rPr>
        <w:t>С представлением настоящего доклада Международной организацией труда произошла задержка.</w:t>
      </w:r>
    </w:p>
    <w:p w:rsidR="005F0EB5" w:rsidRDefault="005F0EB5" w:rsidP="005F0E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F0EB5">
        <w:t>Международная организация труда</w:t>
      </w:r>
      <w:r>
        <w:t>*</w:t>
      </w:r>
      <w:r w:rsidR="00DA22E5">
        <w:t>*</w:t>
      </w:r>
    </w:p>
    <w:p w:rsidR="00775E6F" w:rsidRPr="00775E6F" w:rsidRDefault="00775E6F" w:rsidP="00775E6F">
      <w:pPr>
        <w:pStyle w:val="SingleTxt"/>
      </w:pPr>
    </w:p>
    <w:p w:rsidR="002850EC" w:rsidRPr="002850EC" w:rsidRDefault="00B70AB5" w:rsidP="002850EC">
      <w:pPr>
        <w:spacing w:line="120" w:lineRule="exact"/>
        <w:jc w:val="both"/>
        <w:rPr>
          <w:sz w:val="10"/>
        </w:rPr>
      </w:pPr>
      <w:r>
        <w:br w:type="page"/>
      </w:r>
    </w:p>
    <w:p w:rsidR="002850EC" w:rsidRPr="002850EC" w:rsidRDefault="002850EC" w:rsidP="002850EC">
      <w:pPr>
        <w:pStyle w:val="HCh"/>
        <w:spacing w:after="120"/>
        <w:rPr>
          <w:b w:val="0"/>
        </w:rPr>
      </w:pPr>
      <w:r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ED472F" w:rsidRPr="00ED472F" w:rsidTr="00ED472F">
        <w:tblPrEx>
          <w:tblCellMar>
            <w:top w:w="0" w:type="dxa"/>
            <w:bottom w:w="0" w:type="dxa"/>
          </w:tblCellMar>
        </w:tblPrEx>
        <w:tc>
          <w:tcPr>
            <w:tcW w:w="1060" w:type="dxa"/>
            <w:shd w:val="clear" w:color="auto" w:fill="auto"/>
          </w:tcPr>
          <w:p w:rsidR="00ED472F" w:rsidRPr="00ED472F" w:rsidRDefault="00ED472F" w:rsidP="00ED472F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ED472F" w:rsidRPr="00ED472F" w:rsidRDefault="00ED472F" w:rsidP="00ED472F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ED472F" w:rsidRPr="00ED472F" w:rsidRDefault="00ED472F" w:rsidP="00ED472F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ED472F" w:rsidRPr="00ED472F" w:rsidRDefault="00ED472F" w:rsidP="00ED472F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ED472F" w:rsidRPr="00ED472F" w:rsidTr="00ED472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D472F" w:rsidRPr="00ED472F" w:rsidRDefault="00ED472F" w:rsidP="00ED472F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</w:pPr>
            <w:r>
              <w:tab/>
              <w:t>Введение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D472F" w:rsidRPr="00ED472F" w:rsidRDefault="00493EC3" w:rsidP="00ED472F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ED472F" w:rsidRPr="00ED472F" w:rsidTr="00ED472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D472F" w:rsidRDefault="00ED472F" w:rsidP="00ED472F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>
              <w:tab/>
              <w:t xml:space="preserve">Указания на положение в отдельно взятых </w:t>
            </w:r>
            <w:r w:rsidR="00735BE0">
              <w:t>странах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D472F" w:rsidRPr="00ED472F" w:rsidRDefault="00493EC3" w:rsidP="00ED472F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ED472F" w:rsidRPr="00ED472F" w:rsidTr="00ED472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D472F" w:rsidRPr="00ED472F" w:rsidRDefault="00ED472F" w:rsidP="00BB4D2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left="1341" w:firstLine="9"/>
              <w:rPr>
                <w:spacing w:val="60"/>
                <w:sz w:val="17"/>
              </w:rPr>
            </w:pPr>
            <w:r>
              <w:t>Армения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D472F" w:rsidRPr="00ED472F" w:rsidRDefault="00493EC3" w:rsidP="00ED472F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ED472F" w:rsidRPr="00ED472F" w:rsidTr="00ED472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D472F" w:rsidRPr="00BB4D20" w:rsidRDefault="00ED472F" w:rsidP="00BB4D20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ind w:left="1341" w:firstLine="9"/>
              <w:rPr>
                <w:spacing w:val="60"/>
                <w:sz w:val="17"/>
              </w:rPr>
            </w:pPr>
            <w:r>
              <w:t>Камерун</w:t>
            </w:r>
            <w:r w:rsidR="00BB4D2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D472F" w:rsidRPr="00ED472F" w:rsidRDefault="00493EC3" w:rsidP="00ED472F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ED472F" w:rsidRPr="00ED472F" w:rsidTr="00ED472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D472F" w:rsidRPr="00ED472F" w:rsidRDefault="00ED472F" w:rsidP="00BB4D2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left="1341" w:firstLine="9"/>
              <w:rPr>
                <w:spacing w:val="60"/>
                <w:sz w:val="17"/>
              </w:rPr>
            </w:pPr>
            <w:r>
              <w:t>Доминика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D472F" w:rsidRPr="00ED472F" w:rsidRDefault="00493EC3" w:rsidP="00ED472F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ED472F" w:rsidRPr="00ED472F" w:rsidTr="00ED472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D472F" w:rsidRPr="00ED472F" w:rsidRDefault="00ED472F" w:rsidP="00BB4D2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left="1341" w:firstLine="9"/>
              <w:rPr>
                <w:spacing w:val="60"/>
                <w:sz w:val="17"/>
              </w:rPr>
            </w:pPr>
            <w:r>
              <w:t>Германия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D472F" w:rsidRPr="00EA7AD6" w:rsidRDefault="00EA7AD6" w:rsidP="00ED472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D472F" w:rsidRPr="00ED472F" w:rsidTr="00ED472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D472F" w:rsidRPr="00ED472F" w:rsidRDefault="00ED472F" w:rsidP="00BB4D2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left="1341" w:firstLine="9"/>
              <w:rPr>
                <w:spacing w:val="60"/>
                <w:sz w:val="17"/>
              </w:rPr>
            </w:pPr>
            <w:r>
              <w:t>Гватемала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D472F" w:rsidRPr="00EA7AD6" w:rsidRDefault="00EA7AD6" w:rsidP="00ED472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ED472F" w:rsidRPr="00ED472F" w:rsidTr="00ED472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D472F" w:rsidRPr="00ED472F" w:rsidRDefault="00ED472F" w:rsidP="00BB4D20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ind w:left="1341" w:firstLine="9"/>
              <w:rPr>
                <w:spacing w:val="60"/>
                <w:sz w:val="17"/>
              </w:rPr>
            </w:pPr>
            <w:r>
              <w:t>Гаити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D472F" w:rsidRPr="00EA7AD6" w:rsidRDefault="00EA7AD6" w:rsidP="00ED472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ED472F" w:rsidRPr="00ED472F" w:rsidTr="00ED472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D472F" w:rsidRPr="00ED472F" w:rsidRDefault="00C65E4E" w:rsidP="00BB4D2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ind w:left="1341" w:firstLine="9"/>
              <w:rPr>
                <w:spacing w:val="60"/>
                <w:sz w:val="17"/>
              </w:rPr>
            </w:pPr>
            <w:r>
              <w:t>Ливийская А</w:t>
            </w:r>
            <w:r w:rsidR="00ED472F">
              <w:t>рабская Джамахирия</w:t>
            </w:r>
            <w:r w:rsidR="00ED472F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D472F" w:rsidRPr="000F4E84" w:rsidRDefault="000F4E84" w:rsidP="00ED472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D472F" w:rsidRPr="00ED472F" w:rsidTr="00ED472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D472F" w:rsidRPr="00ED472F" w:rsidRDefault="00ED472F" w:rsidP="00BB4D20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ind w:left="1341" w:firstLine="9"/>
              <w:rPr>
                <w:spacing w:val="60"/>
                <w:sz w:val="17"/>
              </w:rPr>
            </w:pPr>
            <w:r>
              <w:t>Руанда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D472F" w:rsidRPr="000F4E84" w:rsidRDefault="000F4E84" w:rsidP="00ED472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</w:tbl>
    <w:p w:rsidR="004524F3" w:rsidRPr="00ED472F" w:rsidRDefault="004524F3" w:rsidP="00ED472F"/>
    <w:p w:rsidR="004524F3" w:rsidRDefault="004524F3" w:rsidP="003627B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</w:pPr>
      <w:r>
        <w:br w:type="page"/>
      </w:r>
      <w:r w:rsidR="00BA7CFD">
        <w:tab/>
      </w:r>
      <w:r w:rsidR="00BA7CFD">
        <w:tab/>
        <w:t>Ча</w:t>
      </w:r>
      <w:r w:rsidRPr="003C66DA">
        <w:t>сть</w:t>
      </w:r>
      <w:r w:rsidR="00A56845">
        <w:t> </w:t>
      </w:r>
      <w:r w:rsidRPr="003C66DA">
        <w:t>I</w:t>
      </w:r>
      <w:r w:rsidR="00BA7CFD">
        <w:t>.</w:t>
      </w:r>
      <w:r w:rsidR="003627B4">
        <w:t xml:space="preserve"> </w:t>
      </w:r>
      <w:r w:rsidRPr="003C66DA">
        <w:t>Введение</w:t>
      </w:r>
    </w:p>
    <w:p w:rsidR="00A56845" w:rsidRPr="00A56845" w:rsidRDefault="00A56845" w:rsidP="00A56845">
      <w:pPr>
        <w:pStyle w:val="SingleTxt"/>
        <w:spacing w:after="0" w:line="120" w:lineRule="exact"/>
        <w:rPr>
          <w:sz w:val="10"/>
        </w:rPr>
      </w:pPr>
    </w:p>
    <w:p w:rsidR="00A56845" w:rsidRPr="00A56845" w:rsidRDefault="00A56845" w:rsidP="00A56845">
      <w:pPr>
        <w:pStyle w:val="SingleTxt"/>
        <w:spacing w:after="0" w:line="120" w:lineRule="exact"/>
        <w:rPr>
          <w:sz w:val="10"/>
        </w:rPr>
      </w:pPr>
    </w:p>
    <w:p w:rsidR="004524F3" w:rsidRPr="003C66DA" w:rsidRDefault="00BA7CFD" w:rsidP="00BA7CFD">
      <w:pPr>
        <w:pStyle w:val="SingleTxt"/>
      </w:pPr>
      <w:r>
        <w:tab/>
      </w:r>
      <w:r w:rsidR="004524F3" w:rsidRPr="003C66DA">
        <w:t xml:space="preserve">В ряде конвенций </w:t>
      </w:r>
      <w:r>
        <w:t>Международной организации труда (</w:t>
      </w:r>
      <w:r w:rsidR="004524F3" w:rsidRPr="003C66DA">
        <w:t>МОТ</w:t>
      </w:r>
      <w:r>
        <w:t>)</w:t>
      </w:r>
      <w:r w:rsidR="004524F3" w:rsidRPr="003C66DA">
        <w:t xml:space="preserve"> </w:t>
      </w:r>
      <w:r>
        <w:t>затрагив</w:t>
      </w:r>
      <w:r>
        <w:t>а</w:t>
      </w:r>
      <w:r>
        <w:t xml:space="preserve">ются </w:t>
      </w:r>
      <w:r w:rsidR="004524F3" w:rsidRPr="003C66DA">
        <w:t>положения статьи 11 Конвенции о ликвидации всех форм дискриминации в отношении женщин. Сведения, содержащиеся в настоящем докладе, в осно</w:t>
      </w:r>
      <w:r w:rsidR="004524F3" w:rsidRPr="003C66DA">
        <w:t>в</w:t>
      </w:r>
      <w:r w:rsidR="004524F3" w:rsidRPr="003C66DA">
        <w:t>ном относятся к следующим из 188</w:t>
      </w:r>
      <w:r>
        <w:t> конвенций</w:t>
      </w:r>
      <w:r w:rsidR="004524F3" w:rsidRPr="003C66DA">
        <w:t>, принятых до настоящего вр</w:t>
      </w:r>
      <w:r w:rsidR="004524F3" w:rsidRPr="003C66DA">
        <w:t>е</w:t>
      </w:r>
      <w:r w:rsidR="004524F3" w:rsidRPr="003C66DA">
        <w:t>мени:</w:t>
      </w:r>
    </w:p>
    <w:p w:rsidR="004524F3" w:rsidRPr="003C66DA" w:rsidRDefault="00BA7CFD" w:rsidP="00BA7CFD">
      <w:pPr>
        <w:pStyle w:val="SingleTxt"/>
        <w:tabs>
          <w:tab w:val="right" w:pos="1685"/>
        </w:tabs>
        <w:ind w:left="1742" w:hanging="475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•</w:t>
      </w:r>
      <w:r w:rsidR="004524F3" w:rsidRPr="003C66DA">
        <w:rPr>
          <w:rFonts w:eastAsia="SimSun"/>
          <w:lang w:eastAsia="zh-CN"/>
        </w:rPr>
        <w:tab/>
        <w:t xml:space="preserve">Конвенция </w:t>
      </w:r>
      <w:r>
        <w:rPr>
          <w:rFonts w:eastAsia="SimSun"/>
          <w:lang w:eastAsia="zh-CN"/>
        </w:rPr>
        <w:t xml:space="preserve">1951 года </w:t>
      </w:r>
      <w:r w:rsidR="004524F3" w:rsidRPr="003C66DA">
        <w:rPr>
          <w:rFonts w:eastAsia="SimSun"/>
          <w:lang w:eastAsia="zh-CN"/>
        </w:rPr>
        <w:t>о равном вознаграждении (№ 100), которая ратиф</w:t>
      </w:r>
      <w:r w:rsidR="004524F3" w:rsidRPr="003C66DA">
        <w:rPr>
          <w:rFonts w:eastAsia="SimSun"/>
          <w:lang w:eastAsia="zh-CN"/>
        </w:rPr>
        <w:t>и</w:t>
      </w:r>
      <w:r w:rsidR="004524F3" w:rsidRPr="003C66DA">
        <w:rPr>
          <w:rFonts w:eastAsia="SimSun"/>
          <w:lang w:eastAsia="zh-CN"/>
        </w:rPr>
        <w:t>цирована 166</w:t>
      </w:r>
      <w:r>
        <w:rPr>
          <w:rFonts w:eastAsia="SimSun"/>
          <w:lang w:eastAsia="zh-CN"/>
        </w:rPr>
        <w:t> </w:t>
      </w:r>
      <w:r w:rsidR="004524F3" w:rsidRPr="003C66DA">
        <w:rPr>
          <w:rFonts w:eastAsia="SimSun"/>
          <w:lang w:eastAsia="zh-CN"/>
        </w:rPr>
        <w:t>государствами-членами</w:t>
      </w:r>
    </w:p>
    <w:p w:rsidR="004524F3" w:rsidRPr="003C66DA" w:rsidRDefault="00BA7CFD" w:rsidP="00BA7CFD">
      <w:pPr>
        <w:pStyle w:val="SingleTxt"/>
        <w:tabs>
          <w:tab w:val="right" w:pos="1685"/>
        </w:tabs>
        <w:ind w:left="1742" w:hanging="475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•</w:t>
      </w:r>
      <w:r w:rsidR="004524F3" w:rsidRPr="003C66DA">
        <w:rPr>
          <w:rFonts w:eastAsia="SimSun"/>
          <w:lang w:eastAsia="zh-CN"/>
        </w:rPr>
        <w:tab/>
        <w:t xml:space="preserve">Конвенция </w:t>
      </w:r>
      <w:r>
        <w:rPr>
          <w:rFonts w:eastAsia="SimSun"/>
          <w:lang w:eastAsia="zh-CN"/>
        </w:rPr>
        <w:t xml:space="preserve">1958 года </w:t>
      </w:r>
      <w:r w:rsidR="004524F3" w:rsidRPr="003C66DA">
        <w:rPr>
          <w:rFonts w:eastAsia="SimSun"/>
          <w:lang w:eastAsia="zh-CN"/>
        </w:rPr>
        <w:t>о дискриминации в области труда и занятий (№ 111), к</w:t>
      </w:r>
      <w:r w:rsidR="004524F3" w:rsidRPr="003C66DA">
        <w:rPr>
          <w:rFonts w:eastAsia="SimSun"/>
          <w:lang w:eastAsia="zh-CN"/>
        </w:rPr>
        <w:t>о</w:t>
      </w:r>
      <w:r w:rsidR="004524F3" w:rsidRPr="003C66DA">
        <w:rPr>
          <w:rFonts w:eastAsia="SimSun"/>
          <w:lang w:eastAsia="zh-CN"/>
        </w:rPr>
        <w:t>торая ратифицирована 168</w:t>
      </w:r>
      <w:r>
        <w:rPr>
          <w:rFonts w:eastAsia="SimSun"/>
          <w:lang w:eastAsia="zh-CN"/>
        </w:rPr>
        <w:t> </w:t>
      </w:r>
      <w:r w:rsidR="004524F3" w:rsidRPr="003C66DA">
        <w:rPr>
          <w:rFonts w:eastAsia="SimSun"/>
          <w:lang w:eastAsia="zh-CN"/>
        </w:rPr>
        <w:t>государствами-членами</w:t>
      </w:r>
    </w:p>
    <w:p w:rsidR="004524F3" w:rsidRPr="003C66DA" w:rsidRDefault="00BA7CFD" w:rsidP="00BA7CFD">
      <w:pPr>
        <w:pStyle w:val="SingleTxt"/>
        <w:tabs>
          <w:tab w:val="right" w:pos="1685"/>
        </w:tabs>
        <w:ind w:left="1742" w:hanging="475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•</w:t>
      </w:r>
      <w:r w:rsidR="004524F3" w:rsidRPr="003C66DA">
        <w:rPr>
          <w:rFonts w:eastAsia="SimSun"/>
          <w:lang w:eastAsia="zh-CN"/>
        </w:rPr>
        <w:tab/>
        <w:t xml:space="preserve">Конвенция </w:t>
      </w:r>
      <w:r>
        <w:rPr>
          <w:rFonts w:eastAsia="SimSun"/>
          <w:lang w:eastAsia="zh-CN"/>
        </w:rPr>
        <w:t xml:space="preserve">1981 года </w:t>
      </w:r>
      <w:r w:rsidR="004524F3" w:rsidRPr="003C66DA">
        <w:rPr>
          <w:rFonts w:eastAsia="SimSun"/>
          <w:lang w:eastAsia="zh-CN"/>
        </w:rPr>
        <w:t xml:space="preserve">о трудящихся с семейными обязанностями (№ 156), </w:t>
      </w:r>
      <w:r>
        <w:rPr>
          <w:rFonts w:eastAsia="SimSun"/>
          <w:lang w:eastAsia="zh-CN"/>
        </w:rPr>
        <w:t xml:space="preserve">которая </w:t>
      </w:r>
      <w:r w:rsidR="004524F3" w:rsidRPr="003C66DA">
        <w:rPr>
          <w:rFonts w:eastAsia="SimSun"/>
          <w:lang w:eastAsia="zh-CN"/>
        </w:rPr>
        <w:t>ратифицирована 40</w:t>
      </w:r>
      <w:r>
        <w:rPr>
          <w:rFonts w:eastAsia="SimSun"/>
          <w:lang w:eastAsia="zh-CN"/>
        </w:rPr>
        <w:t> </w:t>
      </w:r>
      <w:r w:rsidR="004524F3" w:rsidRPr="003C66DA">
        <w:rPr>
          <w:rFonts w:eastAsia="SimSun"/>
          <w:lang w:eastAsia="zh-CN"/>
        </w:rPr>
        <w:t>государствами-членами</w:t>
      </w:r>
    </w:p>
    <w:p w:rsidR="004524F3" w:rsidRDefault="00BA7CFD" w:rsidP="00BA7CFD">
      <w:pPr>
        <w:pStyle w:val="SingleTxt"/>
      </w:pPr>
      <w:r>
        <w:tab/>
      </w:r>
      <w:r w:rsidR="004524F3" w:rsidRPr="003C66DA">
        <w:t>Там, где это применимо, даются ссылки на ряд других конвенций, отн</w:t>
      </w:r>
      <w:r w:rsidR="004524F3" w:rsidRPr="003C66DA">
        <w:t>о</w:t>
      </w:r>
      <w:r w:rsidR="004524F3" w:rsidRPr="003C66DA">
        <w:t xml:space="preserve">сящихся к </w:t>
      </w:r>
      <w:r>
        <w:t xml:space="preserve">занятости </w:t>
      </w:r>
      <w:r w:rsidR="004524F3" w:rsidRPr="003C66DA">
        <w:t>женщин</w:t>
      </w:r>
      <w:r>
        <w:t>:</w:t>
      </w:r>
    </w:p>
    <w:p w:rsidR="00BA7CFD" w:rsidRPr="00BA7CFD" w:rsidRDefault="00BA7CFD" w:rsidP="00BA7CFD">
      <w:pPr>
        <w:pStyle w:val="SingleTxt"/>
        <w:spacing w:after="0" w:line="120" w:lineRule="exact"/>
        <w:rPr>
          <w:sz w:val="10"/>
        </w:rPr>
      </w:pPr>
    </w:p>
    <w:p w:rsidR="004524F3" w:rsidRDefault="00BA7CFD" w:rsidP="00BA7CF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524F3" w:rsidRPr="003C66DA">
        <w:t>Принудительный труд</w:t>
      </w:r>
    </w:p>
    <w:p w:rsidR="00BA7CFD" w:rsidRPr="00BA7CFD" w:rsidRDefault="00BA7CFD" w:rsidP="00BA7CFD">
      <w:pPr>
        <w:pStyle w:val="SingleTxt"/>
        <w:spacing w:after="0" w:line="120" w:lineRule="exact"/>
        <w:rPr>
          <w:sz w:val="10"/>
        </w:rPr>
      </w:pPr>
    </w:p>
    <w:p w:rsidR="004524F3" w:rsidRPr="003C66DA" w:rsidRDefault="00BA7CFD" w:rsidP="00BA7CFD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524F3" w:rsidRPr="003C66DA">
        <w:tab/>
        <w:t xml:space="preserve">Конвенция </w:t>
      </w:r>
      <w:r>
        <w:t xml:space="preserve">1930 года </w:t>
      </w:r>
      <w:r w:rsidR="004524F3" w:rsidRPr="003C66DA">
        <w:t>о принудительном труде (№ 29)</w:t>
      </w:r>
    </w:p>
    <w:p w:rsidR="004524F3" w:rsidRDefault="00BA7CFD" w:rsidP="00BA7CFD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524F3" w:rsidRPr="003C66DA">
        <w:tab/>
        <w:t xml:space="preserve">Конвенция </w:t>
      </w:r>
      <w:r>
        <w:t xml:space="preserve">1957 года </w:t>
      </w:r>
      <w:r w:rsidR="004524F3" w:rsidRPr="003C66DA">
        <w:t>об упразднении принудительного труда (№ 105)</w:t>
      </w:r>
    </w:p>
    <w:p w:rsidR="00BA7CFD" w:rsidRPr="00BA7CFD" w:rsidRDefault="00BA7CFD" w:rsidP="00BA7CFD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4524F3" w:rsidRDefault="00BA7CFD" w:rsidP="00BA7CF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524F3" w:rsidRPr="003C66DA">
        <w:t>Детский труд</w:t>
      </w:r>
    </w:p>
    <w:p w:rsidR="00BA7CFD" w:rsidRPr="00BA7CFD" w:rsidRDefault="00BA7CFD" w:rsidP="00BA7CFD">
      <w:pPr>
        <w:pStyle w:val="SingleTxt"/>
        <w:spacing w:after="0" w:line="120" w:lineRule="exact"/>
        <w:rPr>
          <w:sz w:val="10"/>
        </w:rPr>
      </w:pPr>
    </w:p>
    <w:p w:rsidR="004524F3" w:rsidRPr="003C66DA" w:rsidRDefault="00737949" w:rsidP="00BA7CFD">
      <w:pPr>
        <w:pStyle w:val="SingleTxt"/>
        <w:tabs>
          <w:tab w:val="right" w:pos="1685"/>
        </w:tabs>
        <w:ind w:left="1742" w:hanging="475"/>
        <w:rPr>
          <w:rFonts w:eastAsia="SimSun"/>
          <w:lang w:eastAsia="zh-CN"/>
        </w:rPr>
      </w:pPr>
      <w:r>
        <w:rPr>
          <w:lang w:val="en-US"/>
        </w:rPr>
        <w:tab/>
      </w:r>
      <w:r w:rsidRPr="00737949">
        <w:t>•</w:t>
      </w:r>
      <w:r w:rsidR="004524F3" w:rsidRPr="003C66DA">
        <w:tab/>
        <w:t>Конвенция</w:t>
      </w:r>
      <w:r w:rsidR="004524F3" w:rsidRPr="003C66D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1973 года </w:t>
      </w:r>
      <w:r w:rsidR="004524F3" w:rsidRPr="003C66DA">
        <w:rPr>
          <w:rFonts w:eastAsia="SimSun"/>
          <w:lang w:eastAsia="zh-CN"/>
        </w:rPr>
        <w:t>о минимальном возрасте (№ 138)</w:t>
      </w:r>
    </w:p>
    <w:p w:rsidR="004524F3" w:rsidRDefault="00737949" w:rsidP="00BA7CFD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524F3" w:rsidRPr="003C66DA">
        <w:tab/>
        <w:t xml:space="preserve">Конвенция </w:t>
      </w:r>
      <w:r>
        <w:t xml:space="preserve">1999 года </w:t>
      </w:r>
      <w:r w:rsidR="004524F3" w:rsidRPr="003C66DA">
        <w:t>о наихудших формах детского труда (№ 182)</w:t>
      </w:r>
    </w:p>
    <w:p w:rsidR="00737949" w:rsidRPr="00737949" w:rsidRDefault="00737949" w:rsidP="00737949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4524F3" w:rsidRDefault="00737949" w:rsidP="0073794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524F3" w:rsidRPr="003C66DA">
        <w:t>Свобода ассоциации</w:t>
      </w:r>
    </w:p>
    <w:p w:rsidR="00737949" w:rsidRPr="00737949" w:rsidRDefault="00737949" w:rsidP="00737949">
      <w:pPr>
        <w:pStyle w:val="SingleTxt"/>
        <w:spacing w:after="0" w:line="120" w:lineRule="exact"/>
        <w:rPr>
          <w:sz w:val="10"/>
        </w:rPr>
      </w:pPr>
    </w:p>
    <w:p w:rsidR="004524F3" w:rsidRPr="003C66DA" w:rsidRDefault="00737949" w:rsidP="00737949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524F3" w:rsidRPr="003C66DA">
        <w:tab/>
        <w:t xml:space="preserve">Конвенция </w:t>
      </w:r>
      <w:r>
        <w:t xml:space="preserve">1948 года о </w:t>
      </w:r>
      <w:r w:rsidR="004524F3" w:rsidRPr="003C66DA">
        <w:t>свободе ассоциации и защите права на организ</w:t>
      </w:r>
      <w:r w:rsidR="004524F3" w:rsidRPr="003C66DA">
        <w:t>а</w:t>
      </w:r>
      <w:r w:rsidR="004524F3" w:rsidRPr="003C66DA">
        <w:t>цию (№ 87)</w:t>
      </w:r>
    </w:p>
    <w:p w:rsidR="004524F3" w:rsidRDefault="00737949" w:rsidP="00737949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524F3" w:rsidRPr="003C66DA">
        <w:tab/>
        <w:t xml:space="preserve">Конвенция </w:t>
      </w:r>
      <w:r>
        <w:t xml:space="preserve">1949 года </w:t>
      </w:r>
      <w:r w:rsidR="004524F3" w:rsidRPr="003C66DA">
        <w:t>о праве на организацию и на ведение коллективных переговоров (№ 98)</w:t>
      </w:r>
    </w:p>
    <w:p w:rsidR="00737949" w:rsidRPr="00737949" w:rsidRDefault="00737949" w:rsidP="00737949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4524F3" w:rsidRDefault="00737949" w:rsidP="0073794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524F3" w:rsidRPr="003C66DA">
        <w:t>Политика в области занятости</w:t>
      </w:r>
    </w:p>
    <w:p w:rsidR="00737949" w:rsidRPr="00737949" w:rsidRDefault="00737949" w:rsidP="00737949">
      <w:pPr>
        <w:pStyle w:val="SingleTxt"/>
        <w:spacing w:after="0" w:line="120" w:lineRule="exact"/>
        <w:rPr>
          <w:sz w:val="10"/>
        </w:rPr>
      </w:pPr>
    </w:p>
    <w:p w:rsidR="004524F3" w:rsidRPr="003C66DA" w:rsidRDefault="00737949" w:rsidP="00737949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524F3" w:rsidRPr="003C66DA">
        <w:tab/>
        <w:t xml:space="preserve">Конвенция </w:t>
      </w:r>
      <w:r>
        <w:t xml:space="preserve">1964 года </w:t>
      </w:r>
      <w:r w:rsidR="004524F3" w:rsidRPr="003C66DA">
        <w:t>о политике в области занятости (№ 122)</w:t>
      </w:r>
    </w:p>
    <w:p w:rsidR="004524F3" w:rsidRDefault="00737949" w:rsidP="00737949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524F3" w:rsidRPr="003C66DA">
        <w:tab/>
        <w:t xml:space="preserve">Конвенция </w:t>
      </w:r>
      <w:r>
        <w:t xml:space="preserve">1975 года </w:t>
      </w:r>
      <w:r w:rsidR="004524F3" w:rsidRPr="003C66DA">
        <w:t>о развитии людских ресурсов (№ 142)</w:t>
      </w:r>
    </w:p>
    <w:p w:rsidR="00737949" w:rsidRPr="00737949" w:rsidRDefault="00737949" w:rsidP="00737949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4524F3" w:rsidRDefault="00737949" w:rsidP="0073794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524F3" w:rsidRPr="003C66DA">
        <w:t>Охрана материнства</w:t>
      </w:r>
    </w:p>
    <w:p w:rsidR="00737949" w:rsidRPr="00737949" w:rsidRDefault="00737949" w:rsidP="00737949">
      <w:pPr>
        <w:pStyle w:val="SingleTxt"/>
        <w:spacing w:after="0" w:line="120" w:lineRule="exact"/>
        <w:rPr>
          <w:sz w:val="10"/>
        </w:rPr>
      </w:pPr>
    </w:p>
    <w:p w:rsidR="004524F3" w:rsidRPr="003C66DA" w:rsidRDefault="00737949" w:rsidP="00737949">
      <w:pPr>
        <w:pStyle w:val="SingleTxt"/>
        <w:tabs>
          <w:tab w:val="right" w:pos="1685"/>
        </w:tabs>
        <w:ind w:left="1742" w:hanging="475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•</w:t>
      </w:r>
      <w:r w:rsidR="004524F3" w:rsidRPr="003C66DA">
        <w:rPr>
          <w:rFonts w:eastAsia="SimSun"/>
          <w:lang w:eastAsia="zh-CN"/>
        </w:rPr>
        <w:tab/>
        <w:t xml:space="preserve">Конвенция </w:t>
      </w:r>
      <w:r>
        <w:rPr>
          <w:rFonts w:eastAsia="SimSun"/>
          <w:lang w:eastAsia="zh-CN"/>
        </w:rPr>
        <w:t xml:space="preserve">1919 года </w:t>
      </w:r>
      <w:r w:rsidR="004524F3" w:rsidRPr="003C66DA">
        <w:rPr>
          <w:rFonts w:eastAsia="SimSun"/>
          <w:lang w:eastAsia="zh-CN"/>
        </w:rPr>
        <w:t>об охране материнства (№ 3)</w:t>
      </w:r>
    </w:p>
    <w:p w:rsidR="004524F3" w:rsidRPr="003C66DA" w:rsidRDefault="00737949" w:rsidP="00737949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524F3" w:rsidRPr="003C66DA">
        <w:tab/>
        <w:t xml:space="preserve">Конвенция (пересмотренная) </w:t>
      </w:r>
      <w:r>
        <w:t xml:space="preserve">1952 года </w:t>
      </w:r>
      <w:r w:rsidR="004524F3" w:rsidRPr="003C66DA">
        <w:t>об охране материнства (№ 103)</w:t>
      </w:r>
    </w:p>
    <w:p w:rsidR="004524F3" w:rsidRDefault="00737949" w:rsidP="00737949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524F3" w:rsidRPr="003C66DA">
        <w:tab/>
        <w:t xml:space="preserve">Конвенция </w:t>
      </w:r>
      <w:r>
        <w:t xml:space="preserve">2000 года </w:t>
      </w:r>
      <w:r w:rsidR="004524F3" w:rsidRPr="003C66DA">
        <w:t>об охране материнства (№ 183)</w:t>
      </w:r>
    </w:p>
    <w:p w:rsidR="00944ED9" w:rsidRPr="00944ED9" w:rsidRDefault="00944ED9" w:rsidP="00944ED9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4524F3" w:rsidRDefault="00944ED9" w:rsidP="00944ED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 w:val="0"/>
        </w:rPr>
      </w:pPr>
      <w:r>
        <w:tab/>
      </w:r>
      <w:r>
        <w:tab/>
      </w:r>
      <w:r w:rsidR="004524F3" w:rsidRPr="003C66DA">
        <w:t>Работа в ночное время</w:t>
      </w:r>
    </w:p>
    <w:p w:rsidR="00944ED9" w:rsidRPr="00944ED9" w:rsidRDefault="00944ED9" w:rsidP="00944ED9">
      <w:pPr>
        <w:pStyle w:val="SingleTxt"/>
        <w:spacing w:after="0" w:line="120" w:lineRule="exact"/>
        <w:rPr>
          <w:sz w:val="10"/>
        </w:rPr>
      </w:pPr>
    </w:p>
    <w:p w:rsidR="004524F3" w:rsidRPr="003C66DA" w:rsidRDefault="00944ED9" w:rsidP="00944ED9">
      <w:pPr>
        <w:pStyle w:val="SingleTxt"/>
        <w:tabs>
          <w:tab w:val="right" w:pos="1685"/>
        </w:tabs>
        <w:ind w:left="1742" w:hanging="475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•</w:t>
      </w:r>
      <w:r w:rsidR="004524F3" w:rsidRPr="003C66DA">
        <w:rPr>
          <w:rFonts w:eastAsia="SimSun"/>
          <w:lang w:eastAsia="zh-CN"/>
        </w:rPr>
        <w:tab/>
        <w:t xml:space="preserve">Конвенция (пересмотренная) </w:t>
      </w:r>
      <w:r>
        <w:rPr>
          <w:rFonts w:eastAsia="SimSun"/>
          <w:lang w:eastAsia="zh-CN"/>
        </w:rPr>
        <w:t xml:space="preserve">1948 года </w:t>
      </w:r>
      <w:r w:rsidR="004524F3" w:rsidRPr="003C66DA">
        <w:rPr>
          <w:rFonts w:eastAsia="SimSun"/>
          <w:lang w:eastAsia="zh-CN"/>
        </w:rPr>
        <w:t>о ночном труде (женщин) (№ 89) [и Протокол]</w:t>
      </w:r>
    </w:p>
    <w:p w:rsidR="004524F3" w:rsidRDefault="00944ED9" w:rsidP="00944ED9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524F3" w:rsidRPr="003C66DA">
        <w:tab/>
        <w:t xml:space="preserve">Конвенция </w:t>
      </w:r>
      <w:r>
        <w:t xml:space="preserve">1990 года </w:t>
      </w:r>
      <w:r w:rsidR="004524F3" w:rsidRPr="003C66DA">
        <w:t>о ночном труде (№ 171)</w:t>
      </w:r>
    </w:p>
    <w:p w:rsidR="00944ED9" w:rsidRPr="00944ED9" w:rsidRDefault="00944ED9" w:rsidP="00944ED9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4524F3" w:rsidRDefault="00944ED9" w:rsidP="00944ED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524F3" w:rsidRPr="003C66DA">
        <w:t>Работа под землей</w:t>
      </w:r>
    </w:p>
    <w:p w:rsidR="00944ED9" w:rsidRPr="00944ED9" w:rsidRDefault="00944ED9" w:rsidP="00944ED9">
      <w:pPr>
        <w:pStyle w:val="SingleTxt"/>
        <w:spacing w:after="0" w:line="120" w:lineRule="exact"/>
        <w:rPr>
          <w:sz w:val="10"/>
        </w:rPr>
      </w:pPr>
    </w:p>
    <w:p w:rsidR="004524F3" w:rsidRPr="00944ED9" w:rsidRDefault="00944ED9" w:rsidP="00944ED9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524F3" w:rsidRPr="003C66DA">
        <w:tab/>
        <w:t xml:space="preserve">Конвенция </w:t>
      </w:r>
      <w:r>
        <w:t xml:space="preserve">1935 года </w:t>
      </w:r>
      <w:r w:rsidR="004524F3" w:rsidRPr="003C66DA">
        <w:t>о применении труда женщин на подземных работах (№ 45)</w:t>
      </w:r>
    </w:p>
    <w:p w:rsidR="00944ED9" w:rsidRPr="00944ED9" w:rsidRDefault="00944ED9" w:rsidP="00944ED9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4524F3" w:rsidRDefault="00944ED9" w:rsidP="00944ED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4524F3" w:rsidRPr="003C66DA">
        <w:t>Работа на условиях неполного рабочего времени</w:t>
      </w:r>
    </w:p>
    <w:p w:rsidR="00944ED9" w:rsidRPr="00944ED9" w:rsidRDefault="00944ED9" w:rsidP="00944ED9">
      <w:pPr>
        <w:pStyle w:val="SingleTxt"/>
        <w:spacing w:after="0" w:line="120" w:lineRule="exact"/>
        <w:rPr>
          <w:sz w:val="10"/>
          <w:lang w:val="en-US"/>
        </w:rPr>
      </w:pPr>
    </w:p>
    <w:p w:rsidR="004524F3" w:rsidRDefault="00944ED9" w:rsidP="00944ED9">
      <w:pPr>
        <w:pStyle w:val="SingleTxt"/>
        <w:tabs>
          <w:tab w:val="right" w:pos="1685"/>
        </w:tabs>
        <w:ind w:left="1742" w:hanging="475"/>
      </w:pPr>
      <w:r>
        <w:rPr>
          <w:lang w:val="en-US"/>
        </w:rPr>
        <w:tab/>
      </w:r>
      <w:r w:rsidRPr="00944ED9">
        <w:t>•</w:t>
      </w:r>
      <w:r w:rsidR="004524F3" w:rsidRPr="003C66DA">
        <w:tab/>
        <w:t xml:space="preserve">Конвенция </w:t>
      </w:r>
      <w:r>
        <w:t xml:space="preserve">1994 года </w:t>
      </w:r>
      <w:r w:rsidR="004524F3" w:rsidRPr="003C66DA">
        <w:t>о работе на условиях неполного рабочего времени (№ 175)</w:t>
      </w:r>
    </w:p>
    <w:p w:rsidR="00944ED9" w:rsidRPr="00944ED9" w:rsidRDefault="00944ED9" w:rsidP="00944ED9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4524F3" w:rsidRDefault="00944ED9" w:rsidP="00944ED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524F3" w:rsidRPr="003C66DA">
        <w:t>Надомный труд</w:t>
      </w:r>
    </w:p>
    <w:p w:rsidR="00944ED9" w:rsidRPr="00944ED9" w:rsidRDefault="00944ED9" w:rsidP="00944ED9">
      <w:pPr>
        <w:pStyle w:val="SingleTxt"/>
        <w:spacing w:after="0" w:line="120" w:lineRule="exact"/>
        <w:rPr>
          <w:sz w:val="10"/>
        </w:rPr>
      </w:pPr>
    </w:p>
    <w:p w:rsidR="00B46D7A" w:rsidRDefault="00944ED9" w:rsidP="00944ED9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524F3" w:rsidRPr="003C66DA">
        <w:tab/>
        <w:t xml:space="preserve">Конвенция </w:t>
      </w:r>
      <w:r>
        <w:t xml:space="preserve">1996 года </w:t>
      </w:r>
      <w:r w:rsidR="004524F3" w:rsidRPr="003C66DA">
        <w:t>о надомном труде (№ 177)</w:t>
      </w:r>
    </w:p>
    <w:p w:rsidR="00944ED9" w:rsidRPr="00944ED9" w:rsidRDefault="00944ED9" w:rsidP="00944ED9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695E4F" w:rsidRDefault="00F2277F" w:rsidP="00277E29">
      <w:pPr>
        <w:pStyle w:val="SingleTxt"/>
      </w:pPr>
      <w:r>
        <w:tab/>
      </w:r>
      <w:r w:rsidR="00695E4F">
        <w:t>В МОТ предусмотрен надзор за применением ратифицированных конве</w:t>
      </w:r>
      <w:r w:rsidR="00695E4F">
        <w:t>н</w:t>
      </w:r>
      <w:r w:rsidR="00695E4F">
        <w:t>ций, реализуемый Комитетом экспертов по применению конвенций и рекоме</w:t>
      </w:r>
      <w:r w:rsidR="00695E4F">
        <w:t>н</w:t>
      </w:r>
      <w:r w:rsidR="00695E4F">
        <w:t>даций («Комитет экспертов») — заседающим раз в году органом в составе н</w:t>
      </w:r>
      <w:r w:rsidR="00695E4F">
        <w:t>е</w:t>
      </w:r>
      <w:r w:rsidR="00695E4F">
        <w:t>зависимых экспертов со всего мира. Информация, приводимая в части II н</w:t>
      </w:r>
      <w:r w:rsidR="00695E4F">
        <w:t>а</w:t>
      </w:r>
      <w:r w:rsidR="00695E4F">
        <w:t>стоящего доклада, составлена из исходящих от Комитета экспертов замечаний и прямых запросов. Замечания — это комментарии, публикуемые в годовом докладе К</w:t>
      </w:r>
      <w:r w:rsidR="00695E4F">
        <w:t>о</w:t>
      </w:r>
      <w:r w:rsidR="00695E4F">
        <w:t>митета экспертов, который выходит на английском, испанском и французском языках и представляется Международной конференции труда. Прямые запросы (составляемые на английском и французском языках, а в сл</w:t>
      </w:r>
      <w:r w:rsidR="00695E4F">
        <w:t>у</w:t>
      </w:r>
      <w:r w:rsidR="00695E4F">
        <w:t>чае испаноязычных стран также и на испанском) не публикуются в книжно</w:t>
      </w:r>
      <w:r w:rsidR="007E058B">
        <w:t>м</w:t>
      </w:r>
      <w:r w:rsidR="00695E4F">
        <w:t xml:space="preserve"> ф</w:t>
      </w:r>
      <w:r w:rsidR="007E058B">
        <w:t>ормате</w:t>
      </w:r>
      <w:r w:rsidR="00695E4F">
        <w:t>, но обнародуются. Позднее они публикуются в ведущейся МОТ базе данных ILOLEX, посвященной надзорной деятельности.</w:t>
      </w:r>
    </w:p>
    <w:p w:rsidR="00695E4F" w:rsidRDefault="00695E4F" w:rsidP="00277E29">
      <w:pPr>
        <w:pStyle w:val="SingleTxt"/>
      </w:pPr>
      <w:r>
        <w:tab/>
        <w:t xml:space="preserve">Приводимые ниже пояснения представляют собой выжимки из гораздо более развернутых комментариев, </w:t>
      </w:r>
      <w:r w:rsidR="007E058B">
        <w:t xml:space="preserve">выносимых </w:t>
      </w:r>
      <w:r>
        <w:t>надзорными органами МОТ. С соответствующими комментариями Комитета экспертов, о которых говори</w:t>
      </w:r>
      <w:r>
        <w:t>т</w:t>
      </w:r>
      <w:r>
        <w:t>ся в части II, можно ознакомиться, посетив веб-страницу www.ilo.org/public/english/</w:t>
      </w:r>
      <w:r w:rsidR="007E058B">
        <w:t xml:space="preserve"> </w:t>
      </w:r>
      <w:r>
        <w:t>standards/norm/index.htm и перейдя оттуда по ссылке в базу данных APPLIS.</w:t>
      </w:r>
    </w:p>
    <w:p w:rsidR="00954AA9" w:rsidRDefault="00954AA9" w:rsidP="00277E29">
      <w:pPr>
        <w:pStyle w:val="SingleTxt"/>
      </w:pPr>
    </w:p>
    <w:p w:rsidR="00695E4F" w:rsidRDefault="00695E4F" w:rsidP="00954AA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</w:pPr>
      <w:r>
        <w:br w:type="page"/>
      </w:r>
      <w:r>
        <w:tab/>
      </w:r>
      <w:r>
        <w:tab/>
        <w:t xml:space="preserve">Часть II. </w:t>
      </w:r>
      <w:r w:rsidR="007E058B">
        <w:t xml:space="preserve">Указания на </w:t>
      </w:r>
      <w:r>
        <w:t>положени</w:t>
      </w:r>
      <w:r w:rsidR="007E058B">
        <w:t>е</w:t>
      </w:r>
      <w:r>
        <w:t xml:space="preserve"> в отдельно взятых странах</w:t>
      </w:r>
    </w:p>
    <w:p w:rsidR="00695E4F" w:rsidRPr="00695E4F" w:rsidRDefault="00695E4F" w:rsidP="00695E4F">
      <w:pPr>
        <w:pStyle w:val="SingleTxt"/>
        <w:spacing w:after="0" w:line="120" w:lineRule="exact"/>
        <w:rPr>
          <w:sz w:val="10"/>
        </w:rPr>
      </w:pPr>
    </w:p>
    <w:p w:rsidR="00695E4F" w:rsidRPr="00695E4F" w:rsidRDefault="00695E4F" w:rsidP="00695E4F">
      <w:pPr>
        <w:pStyle w:val="SingleTxt"/>
        <w:spacing w:after="0" w:line="120" w:lineRule="exact"/>
        <w:rPr>
          <w:sz w:val="10"/>
        </w:rPr>
      </w:pPr>
    </w:p>
    <w:p w:rsidR="00695E4F" w:rsidRDefault="00695E4F" w:rsidP="00695E4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Армения</w:t>
      </w:r>
    </w:p>
    <w:p w:rsidR="00695E4F" w:rsidRPr="00695E4F" w:rsidRDefault="00695E4F" w:rsidP="00695E4F">
      <w:pPr>
        <w:pStyle w:val="SingleTxt"/>
        <w:spacing w:after="0" w:line="120" w:lineRule="exact"/>
        <w:rPr>
          <w:sz w:val="10"/>
        </w:rPr>
      </w:pPr>
    </w:p>
    <w:p w:rsidR="00695E4F" w:rsidRPr="00695E4F" w:rsidRDefault="00695E4F" w:rsidP="00695E4F">
      <w:pPr>
        <w:pStyle w:val="SingleTxt"/>
        <w:spacing w:after="0" w:line="120" w:lineRule="exact"/>
        <w:rPr>
          <w:sz w:val="10"/>
        </w:rPr>
      </w:pPr>
    </w:p>
    <w:p w:rsidR="00695E4F" w:rsidRDefault="00695E4F" w:rsidP="00277E29">
      <w:pPr>
        <w:pStyle w:val="SingleTxt"/>
      </w:pPr>
      <w:r>
        <w:t>I.</w:t>
      </w:r>
      <w:r>
        <w:tab/>
        <w:t>Из соответствующих конвенций МОТ Армения ратифицировала конве</w:t>
      </w:r>
      <w:r>
        <w:t>н</w:t>
      </w:r>
      <w:r>
        <w:t>ции </w:t>
      </w:r>
      <w:r w:rsidR="007E058B">
        <w:t>№</w:t>
      </w:r>
      <w:r>
        <w:t>№ 100 и</w:t>
      </w:r>
      <w:r w:rsidR="007E058B">
        <w:t> </w:t>
      </w:r>
      <w:r>
        <w:t>111. Ею ратифицированы также конвенции </w:t>
      </w:r>
      <w:r w:rsidR="007E058B">
        <w:t>№№</w:t>
      </w:r>
      <w:r>
        <w:t> 29, 87, 98, 105, 122, 138 и 182.</w:t>
      </w:r>
    </w:p>
    <w:p w:rsidR="00695E4F" w:rsidRDefault="00695E4F" w:rsidP="00277E29">
      <w:pPr>
        <w:pStyle w:val="SingleTxt"/>
      </w:pPr>
      <w:r>
        <w:rPr>
          <w:lang w:val="en-US"/>
        </w:rPr>
        <w:t>II</w:t>
      </w:r>
      <w:r w:rsidRPr="00562740">
        <w:t>.</w:t>
      </w:r>
      <w:r w:rsidRPr="00562740">
        <w:tab/>
        <w:t xml:space="preserve">Комментарии, </w:t>
      </w:r>
      <w:r w:rsidR="007E058B">
        <w:t xml:space="preserve">вынесенные </w:t>
      </w:r>
      <w:r w:rsidRPr="00562740">
        <w:t xml:space="preserve">надзорными органами МОТ. </w:t>
      </w:r>
      <w:r w:rsidR="007E058B">
        <w:t>Предстоящие к</w:t>
      </w:r>
      <w:r>
        <w:t>омментарии Комитет</w:t>
      </w:r>
      <w:r w:rsidR="007E058B">
        <w:t>а</w:t>
      </w:r>
      <w:r>
        <w:t xml:space="preserve"> экспертов МОТ</w:t>
      </w:r>
      <w:r w:rsidR="007E058B">
        <w:t>,</w:t>
      </w:r>
      <w:r>
        <w:t xml:space="preserve"> </w:t>
      </w:r>
      <w:r w:rsidR="007E058B">
        <w:t xml:space="preserve">затрагивающие </w:t>
      </w:r>
      <w:r>
        <w:t>положения Конве</w:t>
      </w:r>
      <w:r>
        <w:t>н</w:t>
      </w:r>
      <w:r>
        <w:t xml:space="preserve">ции о ликвидации всех форм дискриминации в отношении женщин, </w:t>
      </w:r>
      <w:r w:rsidR="007E058B">
        <w:t xml:space="preserve">посвящены </w:t>
      </w:r>
      <w:r>
        <w:t>следующе</w:t>
      </w:r>
      <w:r w:rsidR="007E058B">
        <w:t>му</w:t>
      </w:r>
      <w:r>
        <w:t>:</w:t>
      </w:r>
    </w:p>
    <w:p w:rsidR="00695E4F" w:rsidRDefault="00695E4F" w:rsidP="00277E29">
      <w:pPr>
        <w:pStyle w:val="SingleTxt"/>
      </w:pPr>
      <w:r>
        <w:t>Конвенция № 100. В своем прямом запросе 2007 года Комитет экспертов отм</w:t>
      </w:r>
      <w:r>
        <w:t>е</w:t>
      </w:r>
      <w:r>
        <w:t>тил, что женщины сталкиваются с косвенной и прямой дискриминацией в ча</w:t>
      </w:r>
      <w:r>
        <w:t>с</w:t>
      </w:r>
      <w:r>
        <w:t>ти вознаграждения, а также с вертикальной и горизонтальной сегрегацией на рынке труда</w:t>
      </w:r>
      <w:r w:rsidR="007E058B">
        <w:t>, в связи с чем</w:t>
      </w:r>
      <w:r>
        <w:t xml:space="preserve"> средняя ставка вознаграждения для женщин соста</w:t>
      </w:r>
      <w:r>
        <w:t>в</w:t>
      </w:r>
      <w:r>
        <w:t xml:space="preserve">ляет 39 процентов от аналогичной ставки для мужчин. Комитет отметил также </w:t>
      </w:r>
      <w:r w:rsidR="007E058B">
        <w:t xml:space="preserve">указание </w:t>
      </w:r>
      <w:r>
        <w:t>правительств</w:t>
      </w:r>
      <w:r w:rsidR="007E058B">
        <w:t>а</w:t>
      </w:r>
      <w:r>
        <w:t xml:space="preserve"> </w:t>
      </w:r>
      <w:r w:rsidR="007E058B">
        <w:t xml:space="preserve">на то, что </w:t>
      </w:r>
      <w:r>
        <w:t>женщины постепенно вытесняются из эк</w:t>
      </w:r>
      <w:r>
        <w:t>о</w:t>
      </w:r>
      <w:r>
        <w:t xml:space="preserve">номических </w:t>
      </w:r>
      <w:r w:rsidR="007E058B">
        <w:t xml:space="preserve">отраслей </w:t>
      </w:r>
      <w:r>
        <w:t xml:space="preserve">со сравнительно высокой оплатой труда в </w:t>
      </w:r>
      <w:r w:rsidR="007E058B">
        <w:t>низкооплач</w:t>
      </w:r>
      <w:r w:rsidR="007E058B">
        <w:t>и</w:t>
      </w:r>
      <w:r w:rsidR="007E058B">
        <w:t xml:space="preserve">ваемые отрасли, </w:t>
      </w:r>
      <w:r>
        <w:t>такие как здравоохранение, образование и культура. Как пре</w:t>
      </w:r>
      <w:r>
        <w:t>д</w:t>
      </w:r>
      <w:r>
        <w:t xml:space="preserve">ставляется, первопричины этой тенденции состоят в том, что </w:t>
      </w:r>
      <w:r w:rsidR="007E058B">
        <w:t xml:space="preserve">работодатели </w:t>
      </w:r>
      <w:r>
        <w:t xml:space="preserve">предпочитают </w:t>
      </w:r>
      <w:r w:rsidR="007E058B">
        <w:t xml:space="preserve">нанимать </w:t>
      </w:r>
      <w:r>
        <w:t>мужчин, а женщин</w:t>
      </w:r>
      <w:r w:rsidR="007E058B">
        <w:t xml:space="preserve">ам трудно сочетать </w:t>
      </w:r>
      <w:r>
        <w:t>трудовы</w:t>
      </w:r>
      <w:r w:rsidR="007E058B">
        <w:t>е об</w:t>
      </w:r>
      <w:r w:rsidR="007E058B">
        <w:t>я</w:t>
      </w:r>
      <w:r w:rsidR="007E058B">
        <w:t xml:space="preserve">занности с </w:t>
      </w:r>
      <w:r>
        <w:t>семейны</w:t>
      </w:r>
      <w:r w:rsidR="007E058B">
        <w:t>ми</w:t>
      </w:r>
      <w:r>
        <w:t>, особенно когда они пытаются устроиться в более выс</w:t>
      </w:r>
      <w:r>
        <w:t>о</w:t>
      </w:r>
      <w:r>
        <w:t>кооплачиваемы</w:t>
      </w:r>
      <w:r w:rsidR="00277E29">
        <w:t>е</w:t>
      </w:r>
      <w:r>
        <w:t xml:space="preserve"> </w:t>
      </w:r>
      <w:r w:rsidR="00277E29">
        <w:t xml:space="preserve">отрасли </w:t>
      </w:r>
      <w:r>
        <w:t>и сфер</w:t>
      </w:r>
      <w:r w:rsidR="00277E29">
        <w:t>ы</w:t>
      </w:r>
      <w:r>
        <w:t xml:space="preserve"> профессиональной деятельности. Комитет выразил надежду, что правительство приложит все необходимые усилия к пр</w:t>
      </w:r>
      <w:r>
        <w:t>е</w:t>
      </w:r>
      <w:r>
        <w:t>одолению косвенной и прямой дискриминации, которой женщины подвергаю</w:t>
      </w:r>
      <w:r>
        <w:t>т</w:t>
      </w:r>
      <w:r>
        <w:t xml:space="preserve">ся в </w:t>
      </w:r>
      <w:r w:rsidR="00277E29">
        <w:t xml:space="preserve">части </w:t>
      </w:r>
      <w:r>
        <w:t xml:space="preserve">вознаграждения, </w:t>
      </w:r>
      <w:r w:rsidR="00277E29">
        <w:t xml:space="preserve">а также </w:t>
      </w:r>
      <w:r>
        <w:t>первопричин вертикальной и горизонтал</w:t>
      </w:r>
      <w:r>
        <w:t>ь</w:t>
      </w:r>
      <w:r>
        <w:t>ной сегрегации женщин на рынке труда</w:t>
      </w:r>
      <w:r w:rsidR="00277E29">
        <w:t xml:space="preserve"> и</w:t>
      </w:r>
      <w:r>
        <w:t xml:space="preserve"> той разниц</w:t>
      </w:r>
      <w:r w:rsidR="00277E29">
        <w:t>ы</w:t>
      </w:r>
      <w:r>
        <w:t xml:space="preserve"> в оплате труда мужчин и женщин, к которой приводит такая сегрег</w:t>
      </w:r>
      <w:r>
        <w:t>а</w:t>
      </w:r>
      <w:r>
        <w:t>ция.</w:t>
      </w:r>
    </w:p>
    <w:p w:rsidR="00695E4F" w:rsidRDefault="00695E4F" w:rsidP="00277E29">
      <w:pPr>
        <w:pStyle w:val="SingleTxt"/>
      </w:pPr>
      <w:r>
        <w:tab/>
        <w:t xml:space="preserve">Кроме того, Комитет экспертов отметил, что, согласно </w:t>
      </w:r>
      <w:r w:rsidR="00277E29">
        <w:t>пункту 2 ст</w:t>
      </w:r>
      <w:r w:rsidR="00277E29">
        <w:t>а</w:t>
      </w:r>
      <w:r w:rsidR="00277E29">
        <w:t xml:space="preserve">тьи 178 </w:t>
      </w:r>
      <w:r>
        <w:t>Трудового кодекса, мужчин</w:t>
      </w:r>
      <w:r w:rsidR="00277E29">
        <w:t>ам</w:t>
      </w:r>
      <w:r>
        <w:t xml:space="preserve"> и женщин</w:t>
      </w:r>
      <w:r w:rsidR="00277E29">
        <w:t>ам</w:t>
      </w:r>
      <w:r>
        <w:t xml:space="preserve"> </w:t>
      </w:r>
      <w:r w:rsidR="00277E29">
        <w:t>за одну и ту же или равн</w:t>
      </w:r>
      <w:r w:rsidR="00277E29">
        <w:t>о</w:t>
      </w:r>
      <w:r w:rsidR="00277E29">
        <w:t>ценную работу заработная плата выплачивается в одинаковом размере</w:t>
      </w:r>
      <w:r>
        <w:t>. Однако в своем докладе правительство говорило об одинаковом или равном вознагр</w:t>
      </w:r>
      <w:r>
        <w:t>а</w:t>
      </w:r>
      <w:r>
        <w:t>ждении за один и тот же труд или труд равной ценности. Комитет подчеркнул, что понятие «труд равной ценности» включает равное вознаграждение за «ра</w:t>
      </w:r>
      <w:r>
        <w:t>в</w:t>
      </w:r>
      <w:r>
        <w:t>ный», «один и тот же» или «сходный» труд, но при этом охватывает и труд, имеющий совершенно иной характер, но равный при этом по ценности. Отм</w:t>
      </w:r>
      <w:r>
        <w:t>е</w:t>
      </w:r>
      <w:r>
        <w:t xml:space="preserve">чая осуществляемый пересмотр Трудового кодекса 2004 года, Комитет просил правительство воспользоваться этим </w:t>
      </w:r>
      <w:r w:rsidR="00411041">
        <w:t>как</w:t>
      </w:r>
      <w:r w:rsidR="00277E29" w:rsidRPr="00277E29">
        <w:t xml:space="preserve"> </w:t>
      </w:r>
      <w:r>
        <w:t>поводом для обеспечения того, чт</w:t>
      </w:r>
      <w:r>
        <w:t>о</w:t>
      </w:r>
      <w:r>
        <w:t>бы новая редакция Трудового кодекса прямо предусматривала выплату мужч</w:t>
      </w:r>
      <w:r>
        <w:t>и</w:t>
      </w:r>
      <w:r>
        <w:t xml:space="preserve">нам и женщинам равного вознаграждения </w:t>
      </w:r>
      <w:r w:rsidR="00277E29">
        <w:t xml:space="preserve">не только </w:t>
      </w:r>
      <w:r w:rsidR="00954AA9">
        <w:t>за один и тот же</w:t>
      </w:r>
      <w:r>
        <w:t xml:space="preserve"> сходный или равный труд, но и за труд равной ценности по смыслу пункта </w:t>
      </w:r>
      <w:r w:rsidR="00277E29" w:rsidRPr="00277E29">
        <w:t>“</w:t>
      </w:r>
      <w:r>
        <w:t>b</w:t>
      </w:r>
      <w:r w:rsidR="00277E29" w:rsidRPr="00277E29">
        <w:t>”</w:t>
      </w:r>
      <w:r>
        <w:t xml:space="preserve"> статьи 1 Ко</w:t>
      </w:r>
      <w:r>
        <w:t>н</w:t>
      </w:r>
      <w:r>
        <w:t>венции.</w:t>
      </w:r>
    </w:p>
    <w:p w:rsidR="00695E4F" w:rsidRDefault="00695E4F" w:rsidP="00277E29">
      <w:pPr>
        <w:pStyle w:val="SingleTxt"/>
      </w:pPr>
      <w:r>
        <w:t>Конвенция № 111. Первый доклад Армении о применении Конвенции № 111 рассматривался Комитетом экспертов на его сессии в ноябре-декабре 2008 года. Комментарии Комитета по нему будут опубликованы в н</w:t>
      </w:r>
      <w:r>
        <w:t>а</w:t>
      </w:r>
      <w:r>
        <w:t>чале 2009 года.</w:t>
      </w:r>
    </w:p>
    <w:p w:rsidR="00695E4F" w:rsidRPr="00695E4F" w:rsidRDefault="00695E4F" w:rsidP="00695E4F">
      <w:pPr>
        <w:pStyle w:val="SingleTxt"/>
        <w:spacing w:after="0" w:line="120" w:lineRule="exact"/>
        <w:rPr>
          <w:sz w:val="10"/>
        </w:rPr>
      </w:pPr>
    </w:p>
    <w:p w:rsidR="00695E4F" w:rsidRDefault="00695E4F" w:rsidP="00695E4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Камерун</w:t>
      </w:r>
    </w:p>
    <w:p w:rsidR="00695E4F" w:rsidRPr="00695E4F" w:rsidRDefault="00695E4F" w:rsidP="00695E4F">
      <w:pPr>
        <w:pStyle w:val="SingleTxt"/>
        <w:spacing w:after="0" w:line="120" w:lineRule="exact"/>
        <w:rPr>
          <w:sz w:val="10"/>
        </w:rPr>
      </w:pPr>
    </w:p>
    <w:p w:rsidR="00695E4F" w:rsidRPr="00695E4F" w:rsidRDefault="00695E4F" w:rsidP="00695E4F">
      <w:pPr>
        <w:pStyle w:val="SingleTxt"/>
        <w:spacing w:after="0" w:line="120" w:lineRule="exact"/>
        <w:rPr>
          <w:sz w:val="10"/>
        </w:rPr>
      </w:pPr>
    </w:p>
    <w:p w:rsidR="00695E4F" w:rsidRDefault="00695E4F" w:rsidP="00277E29">
      <w:pPr>
        <w:pStyle w:val="SingleTxt"/>
      </w:pPr>
      <w:r>
        <w:t>I.</w:t>
      </w:r>
      <w:r>
        <w:tab/>
        <w:t>Из соответствующих конвенций МОТ Камерун ратифицировал конве</w:t>
      </w:r>
      <w:r>
        <w:t>н</w:t>
      </w:r>
      <w:r>
        <w:t>ции </w:t>
      </w:r>
      <w:r w:rsidR="00277E29">
        <w:t>№</w:t>
      </w:r>
      <w:r>
        <w:t>№ 100 и</w:t>
      </w:r>
      <w:r w:rsidR="00277E29">
        <w:t> </w:t>
      </w:r>
      <w:r>
        <w:t>111. Им ратифицированы также конвенции </w:t>
      </w:r>
      <w:r w:rsidR="00277E29">
        <w:t>№</w:t>
      </w:r>
      <w:r>
        <w:t>№ </w:t>
      </w:r>
      <w:r w:rsidR="00277E29">
        <w:t xml:space="preserve">3, </w:t>
      </w:r>
      <w:r>
        <w:t xml:space="preserve">29, </w:t>
      </w:r>
      <w:r w:rsidR="00277E29">
        <w:t xml:space="preserve">45, </w:t>
      </w:r>
      <w:r>
        <w:t xml:space="preserve">87, </w:t>
      </w:r>
      <w:r w:rsidR="00277E29">
        <w:t xml:space="preserve">89, </w:t>
      </w:r>
      <w:r>
        <w:t>98, 105, 138 и 182.</w:t>
      </w:r>
    </w:p>
    <w:p w:rsidR="00695E4F" w:rsidRDefault="00695E4F" w:rsidP="00277E29">
      <w:pPr>
        <w:pStyle w:val="SingleTxt"/>
      </w:pPr>
      <w:r>
        <w:rPr>
          <w:lang w:val="en-US"/>
        </w:rPr>
        <w:t>II</w:t>
      </w:r>
      <w:r w:rsidRPr="00562740">
        <w:t>.</w:t>
      </w:r>
      <w:r w:rsidRPr="00562740">
        <w:tab/>
        <w:t xml:space="preserve">Комментарии, </w:t>
      </w:r>
      <w:r w:rsidR="00277E29">
        <w:t xml:space="preserve">вынесенные </w:t>
      </w:r>
      <w:r w:rsidRPr="00562740">
        <w:t xml:space="preserve">надзорными органами МОТ. </w:t>
      </w:r>
      <w:r w:rsidR="00954AA9">
        <w:t>П</w:t>
      </w:r>
      <w:r w:rsidR="00277E29">
        <w:t>ре</w:t>
      </w:r>
      <w:r w:rsidR="00277E29">
        <w:t>д</w:t>
      </w:r>
      <w:r w:rsidR="00277E29">
        <w:t>стоящие к</w:t>
      </w:r>
      <w:r>
        <w:t>омментарии Комитет</w:t>
      </w:r>
      <w:r w:rsidR="00277E29">
        <w:t>а</w:t>
      </w:r>
      <w:r>
        <w:t xml:space="preserve"> экспертов МОТ</w:t>
      </w:r>
      <w:r w:rsidR="00277E29">
        <w:t>,</w:t>
      </w:r>
      <w:r>
        <w:t xml:space="preserve"> </w:t>
      </w:r>
      <w:r w:rsidR="00277E29">
        <w:t xml:space="preserve">затрагивающие </w:t>
      </w:r>
      <w:r>
        <w:t xml:space="preserve">положения Конвенции о ликвидации всех форм дискриминации в отношении женщин, </w:t>
      </w:r>
      <w:r w:rsidR="00735BE0">
        <w:t>п</w:t>
      </w:r>
      <w:r w:rsidR="00735BE0">
        <w:t>о</w:t>
      </w:r>
      <w:r w:rsidR="00735BE0">
        <w:t>священы</w:t>
      </w:r>
      <w:r w:rsidR="00277E29">
        <w:t xml:space="preserve"> следующему</w:t>
      </w:r>
      <w:r>
        <w:t>:</w:t>
      </w:r>
    </w:p>
    <w:p w:rsidR="008C02F1" w:rsidRDefault="008C02F1" w:rsidP="00ED472F">
      <w:pPr>
        <w:pStyle w:val="SingleTxt"/>
      </w:pPr>
      <w:r>
        <w:t>Конвенция № 89. В своем прямом запросе 2004 года Комитет сослался на пункты 191–202 подготовленного им в 2001 году общего обследования по но</w:t>
      </w:r>
      <w:r>
        <w:t>ч</w:t>
      </w:r>
      <w:r>
        <w:t>ному труду женщин в промышленности, где он отметил наличие в настоящее время несомненной тенденции к отходу от однозначного запрета на ночной труд женщин и к наделению социальных партнеров ответственностью за опр</w:t>
      </w:r>
      <w:r>
        <w:t>е</w:t>
      </w:r>
      <w:r>
        <w:t>деление объема допускаемых исключений. Комитет напомнил также, что гос</w:t>
      </w:r>
      <w:r>
        <w:t>у</w:t>
      </w:r>
      <w:r>
        <w:t>дарства-члены обязаны подвергать корпус законодательной защиты периодич</w:t>
      </w:r>
      <w:r>
        <w:t>е</w:t>
      </w:r>
      <w:r>
        <w:t>ской ревизии с учетом известных научно-технических данных, чтобы пер</w:t>
      </w:r>
      <w:r>
        <w:t>е</w:t>
      </w:r>
      <w:r>
        <w:t>сматривать все гендерно ориентированные положения и дискриминационные ограничения. Комитет напомнил, что Протокол 1990 года к Конвенции № 89 был задуман в качестве инструмента для плавного перехода от кат</w:t>
      </w:r>
      <w:r>
        <w:t>е</w:t>
      </w:r>
      <w:r>
        <w:t>горического запрета на свободный доступ к устройству на ночную работу, ос</w:t>
      </w:r>
      <w:r>
        <w:t>о</w:t>
      </w:r>
      <w:r>
        <w:t>бенно для тех государств, которые желают предоставить работницам возможность такого трудоустройства, однако считают необходимым сохранить определенную и</w:t>
      </w:r>
      <w:r>
        <w:t>н</w:t>
      </w:r>
      <w:r>
        <w:t>ституциональную защиту, чтобы избежать проявлений эксплуатации и внеза</w:t>
      </w:r>
      <w:r>
        <w:t>п</w:t>
      </w:r>
      <w:r>
        <w:t>ного ухудшения социального положения работниц. Комитет предложил прав</w:t>
      </w:r>
      <w:r>
        <w:t>и</w:t>
      </w:r>
      <w:r>
        <w:t>тельству положительно рассмотреть вопрос о рат</w:t>
      </w:r>
      <w:r>
        <w:t>и</w:t>
      </w:r>
      <w:r>
        <w:t>фикации Протокола 1990 года.</w:t>
      </w:r>
    </w:p>
    <w:p w:rsidR="008C02F1" w:rsidRDefault="008C02F1" w:rsidP="00ED472F">
      <w:pPr>
        <w:pStyle w:val="SingleTxt"/>
      </w:pPr>
      <w:r>
        <w:t>Конвенция № 100. В своем прямом запросе 2007 года Комитет экспертов отм</w:t>
      </w:r>
      <w:r>
        <w:t>е</w:t>
      </w:r>
      <w:r>
        <w:t>тил, что в разделе 61(2) Трудового кодекса предусматривается, что «при ра</w:t>
      </w:r>
      <w:r>
        <w:t>в</w:t>
      </w:r>
      <w:r>
        <w:t>ных условиях труда и профессиональных способностях все трудящиеся пол</w:t>
      </w:r>
      <w:r>
        <w:t>у</w:t>
      </w:r>
      <w:r>
        <w:t>чают равную заработную плату, независимо от их происхождения, пола, во</w:t>
      </w:r>
      <w:r>
        <w:t>з</w:t>
      </w:r>
      <w:r>
        <w:t>раста, положения и религиозных убеждений». Комитет отметил, что этот ра</w:t>
      </w:r>
      <w:r>
        <w:t>з</w:t>
      </w:r>
      <w:r>
        <w:t>дел не полностью отражает изложенный в Конвенции принцип равного возн</w:t>
      </w:r>
      <w:r>
        <w:t>а</w:t>
      </w:r>
      <w:r>
        <w:t>граждения мужчин и женщин, поскольку этот принцип охватывает не только труд в равных условиях или сходные виды труда, но и такие виды труда, кот</w:t>
      </w:r>
      <w:r>
        <w:t>о</w:t>
      </w:r>
      <w:r>
        <w:t>рые, будучи разными, имеют равную ценность. Комитет просил правительство принять все необходимые шаги к тому, чтобы дать полное законодательное в</w:t>
      </w:r>
      <w:r>
        <w:t>о</w:t>
      </w:r>
      <w:r>
        <w:t>площение принципу равного вознаграждения за труд равной ценн</w:t>
      </w:r>
      <w:r>
        <w:t>о</w:t>
      </w:r>
      <w:r>
        <w:t>сти.</w:t>
      </w:r>
    </w:p>
    <w:p w:rsidR="008C02F1" w:rsidRDefault="008C02F1" w:rsidP="00ED472F">
      <w:pPr>
        <w:pStyle w:val="SingleTxt"/>
      </w:pPr>
      <w:r>
        <w:tab/>
        <w:t>В своих предыдущих комментариях Комитет констатировал замечания, вынесенные Союзом свободных профсоюзов Камеруна относительно примен</w:t>
      </w:r>
      <w:r>
        <w:t>е</w:t>
      </w:r>
      <w:r>
        <w:t>ния некоторыми работодателями, особенно на периферии, разных ставок опл</w:t>
      </w:r>
      <w:r>
        <w:t>а</w:t>
      </w:r>
      <w:r>
        <w:t>ты труда для мужчин и женщин. Правительство заявило, что для исправления этой ситуации необходимо, чтобы затрагиваемые трудящиеся и профсоюзные деятели изобличали таких работодателей. В этой связи Комитет отметил, что, по данным обследования, проведенного в сентябре 2007 года при содействии МОТ, действующие законоположения, касающиеся доказывания факта дискр</w:t>
      </w:r>
      <w:r>
        <w:t>и</w:t>
      </w:r>
      <w:r>
        <w:t xml:space="preserve">минации, весьма затрудняют для работников доказывание </w:t>
      </w:r>
      <w:r w:rsidR="008170EE">
        <w:t>допущенной по о</w:t>
      </w:r>
      <w:r w:rsidR="008170EE">
        <w:t>т</w:t>
      </w:r>
      <w:r w:rsidR="008170EE">
        <w:t xml:space="preserve">ношению к ним </w:t>
      </w:r>
      <w:r>
        <w:t>дискриминации в части о</w:t>
      </w:r>
      <w:r>
        <w:t>п</w:t>
      </w:r>
      <w:r>
        <w:t>латы труда. Обнаружилось, что в этом кроется одна из причин того, почему, несмотря на повсеместную осв</w:t>
      </w:r>
      <w:r>
        <w:t>е</w:t>
      </w:r>
      <w:r>
        <w:t>домленность о систематических проявлениях дискриминации, отмечено мало споров, возбужденных по факту дискриминации. Комитет просил правительс</w:t>
      </w:r>
      <w:r>
        <w:t>т</w:t>
      </w:r>
      <w:r>
        <w:t xml:space="preserve">во предоставить информацию о шагах, предпринятых для </w:t>
      </w:r>
      <w:r w:rsidR="008170EE">
        <w:t xml:space="preserve">облегчения подачи </w:t>
      </w:r>
      <w:r>
        <w:t>жалоб по поводу дискриминации в части оплаты труда. Комитет также пр</w:t>
      </w:r>
      <w:r>
        <w:t>о</w:t>
      </w:r>
      <w:r>
        <w:t>сил правительство предоставить информацию о том, как инспекции труда обесп</w:t>
      </w:r>
      <w:r>
        <w:t>е</w:t>
      </w:r>
      <w:r>
        <w:t>чивают эффективное применение Конвенции, и особенно информацию о кол</w:t>
      </w:r>
      <w:r>
        <w:t>и</w:t>
      </w:r>
      <w:r>
        <w:t>честве инспекций труда, проведенных в периферийных районах, и о х</w:t>
      </w:r>
      <w:r>
        <w:t>а</w:t>
      </w:r>
      <w:r>
        <w:t>рактере сообщаемых нарушений принципа равного вознаграждения му</w:t>
      </w:r>
      <w:r>
        <w:t>ж</w:t>
      </w:r>
      <w:r>
        <w:t>чин и женщин за труд равной ценности.</w:t>
      </w:r>
    </w:p>
    <w:p w:rsidR="008C02F1" w:rsidRDefault="008C02F1" w:rsidP="00ED472F">
      <w:pPr>
        <w:pStyle w:val="SingleTxt"/>
      </w:pPr>
      <w:r>
        <w:t xml:space="preserve">Конвенция № 111. В своем прямом запросе 2007 года Комитет отметил, что по </w:t>
      </w:r>
      <w:r w:rsidR="008170EE">
        <w:t xml:space="preserve">итогам </w:t>
      </w:r>
      <w:r>
        <w:t>обследования, которое было проведено в сентябре 2007 года по линии проекта МОТ «Поддержка Декларации об основополагающих принц</w:t>
      </w:r>
      <w:r>
        <w:t>и</w:t>
      </w:r>
      <w:r>
        <w:t>пах и правах в сфере труда» и было посвящено выяснению факторов, препятству</w:t>
      </w:r>
      <w:r>
        <w:t>ю</w:t>
      </w:r>
      <w:r>
        <w:t>щих осуществлению основополагающих принципов и прав в сфере труда в К</w:t>
      </w:r>
      <w:r>
        <w:t>а</w:t>
      </w:r>
      <w:r>
        <w:t xml:space="preserve">меруне, </w:t>
      </w:r>
      <w:r w:rsidR="008170EE">
        <w:t xml:space="preserve">было установлено отсутствие </w:t>
      </w:r>
      <w:r>
        <w:t>в камерунском законодательстве пол</w:t>
      </w:r>
      <w:r>
        <w:t>о</w:t>
      </w:r>
      <w:r>
        <w:t>жени</w:t>
      </w:r>
      <w:r w:rsidR="008170EE">
        <w:t>й</w:t>
      </w:r>
      <w:r>
        <w:t xml:space="preserve">, </w:t>
      </w:r>
      <w:r w:rsidR="008170EE">
        <w:t xml:space="preserve">где </w:t>
      </w:r>
      <w:r>
        <w:t>конкретно разбиралась бы проблема сексуального домогательс</w:t>
      </w:r>
      <w:r>
        <w:t>т</w:t>
      </w:r>
      <w:r>
        <w:t>ва. Это обследование показало также, что раздел 12 предварител</w:t>
      </w:r>
      <w:r>
        <w:t>ь</w:t>
      </w:r>
      <w:r>
        <w:t>ного проекта единообразного акта Организации по согласованию предприн</w:t>
      </w:r>
      <w:r>
        <w:t>и</w:t>
      </w:r>
      <w:r>
        <w:t>мательского права в Африке, посвященного трудовому праву, запрещает в производстве</w:t>
      </w:r>
      <w:r>
        <w:t>н</w:t>
      </w:r>
      <w:r>
        <w:t xml:space="preserve">ных отношениях любую форму психологического или сексуального </w:t>
      </w:r>
      <w:r w:rsidR="008170EE">
        <w:t>притесн</w:t>
      </w:r>
      <w:r w:rsidR="008170EE">
        <w:t>е</w:t>
      </w:r>
      <w:r w:rsidR="008170EE">
        <w:t>ния</w:t>
      </w:r>
      <w:r>
        <w:t>, порождаемого систематически</w:t>
      </w:r>
      <w:r w:rsidR="008170EE">
        <w:t>м</w:t>
      </w:r>
      <w:r>
        <w:t xml:space="preserve"> оскорбительным поведением. Однако К</w:t>
      </w:r>
      <w:r>
        <w:t>о</w:t>
      </w:r>
      <w:r>
        <w:t>митет отметил, что, по данным вышеупомянутого обследования, э</w:t>
      </w:r>
      <w:r>
        <w:t>ф</w:t>
      </w:r>
      <w:r>
        <w:t>фективная борьба с сексуальным домогательством на основании данного раздела будет з</w:t>
      </w:r>
      <w:r>
        <w:t>а</w:t>
      </w:r>
      <w:r>
        <w:t xml:space="preserve">труднена, поскольку в предварительном проекте единообразного акта </w:t>
      </w:r>
      <w:r w:rsidR="008170EE">
        <w:t>недост</w:t>
      </w:r>
      <w:r w:rsidR="008170EE">
        <w:t>а</w:t>
      </w:r>
      <w:r w:rsidR="008170EE">
        <w:t xml:space="preserve">точно прописаны такие моменты, как </w:t>
      </w:r>
      <w:r>
        <w:t>брем</w:t>
      </w:r>
      <w:r w:rsidR="008170EE">
        <w:t>я</w:t>
      </w:r>
      <w:r>
        <w:t xml:space="preserve"> доказывания, защит</w:t>
      </w:r>
      <w:r w:rsidR="008170EE">
        <w:t>а</w:t>
      </w:r>
      <w:r>
        <w:t xml:space="preserve"> свидет</w:t>
      </w:r>
      <w:r>
        <w:t>е</w:t>
      </w:r>
      <w:r>
        <w:t>лей и применимы</w:t>
      </w:r>
      <w:r w:rsidR="008170EE">
        <w:t>е</w:t>
      </w:r>
      <w:r>
        <w:t xml:space="preserve"> </w:t>
      </w:r>
      <w:r w:rsidR="008170EE">
        <w:t>меры воздействия</w:t>
      </w:r>
      <w:r>
        <w:t>. Учитывая серьезность пр</w:t>
      </w:r>
      <w:r>
        <w:t>о</w:t>
      </w:r>
      <w:r>
        <w:t xml:space="preserve">блемы сексуального домогательства в сфере </w:t>
      </w:r>
      <w:r w:rsidR="008170EE">
        <w:t xml:space="preserve">труда и занятий и ее </w:t>
      </w:r>
      <w:r>
        <w:t>последствия, Комитет привлек внимание правительства к необходимости прямо предусмотреть в законод</w:t>
      </w:r>
      <w:r>
        <w:t>а</w:t>
      </w:r>
      <w:r>
        <w:t>тельстве запрет на сексуальное домогательс</w:t>
      </w:r>
      <w:r>
        <w:t>т</w:t>
      </w:r>
      <w:r>
        <w:t>во.</w:t>
      </w:r>
    </w:p>
    <w:p w:rsidR="008C02F1" w:rsidRDefault="008C02F1" w:rsidP="00ED472F">
      <w:pPr>
        <w:pStyle w:val="SingleTxt"/>
      </w:pPr>
      <w:r>
        <w:tab/>
        <w:t>Комитет неоднократно высказывал озабоченность по поводу неравного юридического статуса женщин с точки зрения права владеть имуществом, з</w:t>
      </w:r>
      <w:r>
        <w:t>а</w:t>
      </w:r>
      <w:r>
        <w:t>конов о кредитовании и банкротстве, а также права мужчин добиваться через суд предписания, запрещающего их женам выбирать определенные виды зан</w:t>
      </w:r>
      <w:r>
        <w:t>я</w:t>
      </w:r>
      <w:r>
        <w:t>тий. Отмечая, что женщины составляют лишь 25 процентов среди государс</w:t>
      </w:r>
      <w:r>
        <w:t>т</w:t>
      </w:r>
      <w:r>
        <w:t>венных служащих и лишь 30 процентов среди трудоустраивающихся в ц</w:t>
      </w:r>
      <w:r>
        <w:t>е</w:t>
      </w:r>
      <w:r>
        <w:t>лом, Комитет просил правительство предоставить информацию о мерах, пр</w:t>
      </w:r>
      <w:r>
        <w:t>и</w:t>
      </w:r>
      <w:r>
        <w:t>нятых в рамках национальной политики в области занятости для содейств</w:t>
      </w:r>
      <w:r w:rsidR="008170EE">
        <w:t xml:space="preserve">ия </w:t>
      </w:r>
      <w:r>
        <w:t>р</w:t>
      </w:r>
      <w:r>
        <w:t>а</w:t>
      </w:r>
      <w:r>
        <w:t>венству полов в том, что касается трудоустройства и профессионально</w:t>
      </w:r>
      <w:r w:rsidR="008170EE">
        <w:t>го обучения</w:t>
      </w:r>
      <w:r>
        <w:t>, и направить информацию о результатах, достигнутых в этой области.</w:t>
      </w:r>
    </w:p>
    <w:p w:rsidR="008C02F1" w:rsidRDefault="008C02F1" w:rsidP="00ED472F">
      <w:pPr>
        <w:pStyle w:val="SingleTxt"/>
      </w:pPr>
      <w:r>
        <w:tab/>
        <w:t>Комитет отметил раздел 82 Трудового кодекса, запреща</w:t>
      </w:r>
      <w:r w:rsidR="008170EE">
        <w:t>ющий</w:t>
      </w:r>
      <w:r>
        <w:t xml:space="preserve"> женщин</w:t>
      </w:r>
      <w:r w:rsidR="008170EE">
        <w:t>ам</w:t>
      </w:r>
      <w:r>
        <w:t xml:space="preserve"> ночн</w:t>
      </w:r>
      <w:r w:rsidR="008170EE">
        <w:t>ой</w:t>
      </w:r>
      <w:r>
        <w:t xml:space="preserve"> </w:t>
      </w:r>
      <w:r w:rsidR="008170EE">
        <w:t xml:space="preserve">труд </w:t>
      </w:r>
      <w:r>
        <w:t>в промышленности, и раздел 83 Трудового кодекса, предусматр</w:t>
      </w:r>
      <w:r>
        <w:t>и</w:t>
      </w:r>
      <w:r>
        <w:t>ва</w:t>
      </w:r>
      <w:r w:rsidR="008170EE">
        <w:t>ющий</w:t>
      </w:r>
      <w:r>
        <w:t xml:space="preserve"> принятие постановления, определяющего вид</w:t>
      </w:r>
      <w:r w:rsidR="008170EE">
        <w:t>ы</w:t>
      </w:r>
      <w:r>
        <w:t xml:space="preserve"> работ</w:t>
      </w:r>
      <w:r w:rsidR="008170EE">
        <w:t>, к которым</w:t>
      </w:r>
      <w:r>
        <w:t xml:space="preserve"> д</w:t>
      </w:r>
      <w:r>
        <w:t>о</w:t>
      </w:r>
      <w:r>
        <w:t>пускаются женщины. Это постановление не допускает женщин к работам, к</w:t>
      </w:r>
      <w:r>
        <w:t>о</w:t>
      </w:r>
      <w:r>
        <w:t>торые им физически непосильны либо считаются опасными или вредными для здоровья. Комитет отметил, что, по данн</w:t>
      </w:r>
      <w:r w:rsidR="00A8122D">
        <w:t>ы</w:t>
      </w:r>
      <w:r>
        <w:t>м упоминавшегося выше обследов</w:t>
      </w:r>
      <w:r>
        <w:t>а</w:t>
      </w:r>
      <w:r>
        <w:t>ния, огромное большинство опрошенных женщин высказалось в том плане, что постановление, предусмотренное в разделе 83 Трудового кодекса, следует п</w:t>
      </w:r>
      <w:r>
        <w:t>е</w:t>
      </w:r>
      <w:r>
        <w:t>риодически обновлять, корректируя его с учетом новых профессиональных н</w:t>
      </w:r>
      <w:r>
        <w:t>а</w:t>
      </w:r>
      <w:r>
        <w:t>выков и возможностей, приобретаемых женщинами. Комитет просил прав</w:t>
      </w:r>
      <w:r>
        <w:t>и</w:t>
      </w:r>
      <w:r>
        <w:t xml:space="preserve">тельство предоставить информацию о ревизии </w:t>
      </w:r>
      <w:r w:rsidR="00A8122D">
        <w:t xml:space="preserve">перечня </w:t>
      </w:r>
      <w:r>
        <w:t>видов работ, запреще</w:t>
      </w:r>
      <w:r>
        <w:t>н</w:t>
      </w:r>
      <w:r>
        <w:t>ных к выполнению женщинами, и просил правительство ограничить примен</w:t>
      </w:r>
      <w:r>
        <w:t>е</w:t>
      </w:r>
      <w:r>
        <w:t>ние защитительных мер по отношению к женщинам теми мерами, к</w:t>
      </w:r>
      <w:r>
        <w:t>о</w:t>
      </w:r>
      <w:r>
        <w:t>торые призваны обеспечит</w:t>
      </w:r>
      <w:r w:rsidR="00A8122D">
        <w:t>ь</w:t>
      </w:r>
      <w:r>
        <w:t xml:space="preserve"> охрану материнства.</w:t>
      </w:r>
    </w:p>
    <w:p w:rsidR="008C02F1" w:rsidRDefault="008C02F1" w:rsidP="008C02F1">
      <w:pPr>
        <w:pStyle w:val="SingleTxt"/>
        <w:spacing w:after="0" w:line="120" w:lineRule="exact"/>
        <w:rPr>
          <w:sz w:val="10"/>
        </w:rPr>
      </w:pPr>
    </w:p>
    <w:p w:rsidR="00A8122D" w:rsidRPr="008C02F1" w:rsidRDefault="00A8122D" w:rsidP="008C02F1">
      <w:pPr>
        <w:pStyle w:val="SingleTxt"/>
        <w:spacing w:after="0" w:line="120" w:lineRule="exact"/>
        <w:rPr>
          <w:sz w:val="10"/>
        </w:rPr>
      </w:pPr>
    </w:p>
    <w:p w:rsidR="008C02F1" w:rsidRDefault="008C02F1" w:rsidP="00A8122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Доминика</w:t>
      </w:r>
    </w:p>
    <w:p w:rsidR="00A8122D" w:rsidRPr="00A8122D" w:rsidRDefault="00A8122D" w:rsidP="00A8122D">
      <w:pPr>
        <w:pStyle w:val="SingleTxt"/>
        <w:spacing w:after="0" w:line="120" w:lineRule="exact"/>
        <w:rPr>
          <w:sz w:val="10"/>
        </w:rPr>
      </w:pPr>
    </w:p>
    <w:p w:rsidR="008C02F1" w:rsidRPr="008C02F1" w:rsidRDefault="008C02F1" w:rsidP="008C02F1">
      <w:pPr>
        <w:pStyle w:val="SingleTxt"/>
        <w:spacing w:after="0" w:line="120" w:lineRule="exact"/>
        <w:rPr>
          <w:sz w:val="10"/>
        </w:rPr>
      </w:pPr>
    </w:p>
    <w:p w:rsidR="008C02F1" w:rsidRDefault="008C02F1" w:rsidP="00ED472F">
      <w:pPr>
        <w:pStyle w:val="SingleTxt"/>
      </w:pPr>
      <w:r>
        <w:t>I.</w:t>
      </w:r>
      <w:r>
        <w:tab/>
        <w:t>Из соответствующих конвенций МОТ Доминика ратифицировала конве</w:t>
      </w:r>
      <w:r>
        <w:t>н</w:t>
      </w:r>
      <w:r>
        <w:t>ции </w:t>
      </w:r>
      <w:r w:rsidR="00A8122D">
        <w:t>№</w:t>
      </w:r>
      <w:r>
        <w:t>№ 100 и 111. Ею ратифицированы также конвенции </w:t>
      </w:r>
      <w:r w:rsidR="00A8122D">
        <w:t>№</w:t>
      </w:r>
      <w:r>
        <w:t>№ 29, 87, 98, 105, 138 и 182.</w:t>
      </w:r>
    </w:p>
    <w:p w:rsidR="008C02F1" w:rsidRDefault="008C02F1" w:rsidP="00ED472F">
      <w:pPr>
        <w:pStyle w:val="SingleTxt"/>
      </w:pPr>
      <w:r>
        <w:rPr>
          <w:lang w:val="en-US"/>
        </w:rPr>
        <w:t>II</w:t>
      </w:r>
      <w:r w:rsidRPr="007D30C5">
        <w:t>.</w:t>
      </w:r>
      <w:r w:rsidRPr="007D30C5">
        <w:tab/>
        <w:t xml:space="preserve">Комментарии, </w:t>
      </w:r>
      <w:r w:rsidR="00A8122D">
        <w:t xml:space="preserve">вынесенные </w:t>
      </w:r>
      <w:r w:rsidRPr="007D30C5">
        <w:t xml:space="preserve">надзорными органами МОТ. </w:t>
      </w:r>
      <w:r w:rsidR="00A8122D">
        <w:t>Предстоящие к</w:t>
      </w:r>
      <w:r>
        <w:t>омментарии Комитет</w:t>
      </w:r>
      <w:r w:rsidR="00A8122D">
        <w:t>а</w:t>
      </w:r>
      <w:r>
        <w:t xml:space="preserve"> экспертов МОТ</w:t>
      </w:r>
      <w:r w:rsidR="00A8122D">
        <w:t xml:space="preserve">, затрагивающие </w:t>
      </w:r>
      <w:r>
        <w:t>положения Конве</w:t>
      </w:r>
      <w:r>
        <w:t>н</w:t>
      </w:r>
      <w:r>
        <w:t xml:space="preserve">ции о ликвидации всех форм дискриминации в отношении женщин, </w:t>
      </w:r>
      <w:r w:rsidR="00A8122D">
        <w:t xml:space="preserve">посвящены </w:t>
      </w:r>
      <w:r>
        <w:t>следующе</w:t>
      </w:r>
      <w:r w:rsidR="00A8122D">
        <w:t>му</w:t>
      </w:r>
      <w:r>
        <w:t>:</w:t>
      </w:r>
    </w:p>
    <w:p w:rsidR="008C02F1" w:rsidRDefault="008C02F1" w:rsidP="00ED472F">
      <w:pPr>
        <w:pStyle w:val="SingleTxt"/>
      </w:pPr>
      <w:r>
        <w:t>Конвенция № 100. В своем прямом запросе 2007 года Комитет экспертов, с</w:t>
      </w:r>
      <w:r>
        <w:t>о</w:t>
      </w:r>
      <w:r>
        <w:t>славшись на раздел 24 Акта о стандартах труда</w:t>
      </w:r>
      <w:r w:rsidR="00A8122D">
        <w:t>, где</w:t>
      </w:r>
      <w:r>
        <w:t xml:space="preserve"> предусматривается, что «работодатель не устанавливает и не сохраняет различия в оплате труда раб</w:t>
      </w:r>
      <w:r>
        <w:t>о</w:t>
      </w:r>
      <w:r>
        <w:t xml:space="preserve">тающих на одном и том же предприятии мужчин и женщин, которые заняты при одинаковых условиях труда на одних и тех же работах или должностях, предусматривающих сходные навыки, усилия и обязанности», вновь отметил, что </w:t>
      </w:r>
      <w:r w:rsidR="00A8122D">
        <w:t xml:space="preserve">эта формулировка носит </w:t>
      </w:r>
      <w:r>
        <w:t xml:space="preserve">более ограничительный характер, </w:t>
      </w:r>
      <w:r w:rsidR="00A8122D">
        <w:t xml:space="preserve">чем </w:t>
      </w:r>
      <w:r>
        <w:t xml:space="preserve">принцип равного вознаграждения мужчин и женщин за труд равной ценности, </w:t>
      </w:r>
      <w:r w:rsidR="00A8122D">
        <w:t>изложе</w:t>
      </w:r>
      <w:r w:rsidR="00A8122D">
        <w:t>н</w:t>
      </w:r>
      <w:r w:rsidR="00A8122D">
        <w:t xml:space="preserve">ный </w:t>
      </w:r>
      <w:r>
        <w:t>в Конвенции. Комитет подчеркнул, что важно дать закрепленному в Ко</w:t>
      </w:r>
      <w:r>
        <w:t>н</w:t>
      </w:r>
      <w:r>
        <w:t xml:space="preserve">венции принципу полное законодательное </w:t>
      </w:r>
      <w:r w:rsidR="00A8122D">
        <w:t>воплощение</w:t>
      </w:r>
      <w:r>
        <w:t>, предусмотрев не тол</w:t>
      </w:r>
      <w:r>
        <w:t>ь</w:t>
      </w:r>
      <w:r>
        <w:t xml:space="preserve">ко равное вознаграждение за равный, одинаковый или </w:t>
      </w:r>
      <w:r w:rsidR="00A8122D">
        <w:t xml:space="preserve">сходный </w:t>
      </w:r>
      <w:r>
        <w:t>труд, но и з</w:t>
      </w:r>
      <w:r>
        <w:t>а</w:t>
      </w:r>
      <w:r>
        <w:t>прет на дискриминацию в оплате труда, которая происходит в с</w:t>
      </w:r>
      <w:r>
        <w:t>и</w:t>
      </w:r>
      <w:r>
        <w:t>туациях, когда мужчины и женщины выполняют разную работу, имеющую, тем не менее, ра</w:t>
      </w:r>
      <w:r>
        <w:t>в</w:t>
      </w:r>
      <w:r>
        <w:t>ную ценность. Комитет просил правительство внести в раздел 24 соответс</w:t>
      </w:r>
      <w:r>
        <w:t>т</w:t>
      </w:r>
      <w:r>
        <w:t>вующие поправки.</w:t>
      </w:r>
    </w:p>
    <w:p w:rsidR="0084609B" w:rsidRDefault="008C02F1" w:rsidP="0084609B">
      <w:pPr>
        <w:pStyle w:val="SingleTxt"/>
      </w:pPr>
      <w:r>
        <w:t>Конвенция № 111. В своем прямом запросе 2007 года Комитет экспертов отм</w:t>
      </w:r>
      <w:r>
        <w:t>е</w:t>
      </w:r>
      <w:r w:rsidR="00A61A7B">
        <w:t>тил, что в июн</w:t>
      </w:r>
      <w:r>
        <w:t>е 2006 года правительством были утверждены национальная п</w:t>
      </w:r>
      <w:r>
        <w:t>о</w:t>
      </w:r>
      <w:r>
        <w:t>литика и план действий в области равенства и равноправия полов.</w:t>
      </w:r>
      <w:r w:rsidR="0084609B">
        <w:t xml:space="preserve"> Комитет просил правительство указать, какие конкретно меры приняты или предусмо</w:t>
      </w:r>
      <w:r w:rsidR="0084609B">
        <w:t>т</w:t>
      </w:r>
      <w:r w:rsidR="0084609B">
        <w:t>рены по этому плану действий для того, чтобы содействовать обе</w:t>
      </w:r>
      <w:r w:rsidR="0084609B">
        <w:t>с</w:t>
      </w:r>
      <w:r w:rsidR="0084609B">
        <w:t>печению женщинам равенства возможностей и обращения в сфере труда и з</w:t>
      </w:r>
      <w:r w:rsidR="0084609B">
        <w:t>а</w:t>
      </w:r>
      <w:r w:rsidR="0084609B">
        <w:t>нятий, включая доступ к образ</w:t>
      </w:r>
      <w:r w:rsidR="0084609B">
        <w:t>о</w:t>
      </w:r>
      <w:r w:rsidR="0084609B">
        <w:t>ванию и профессиональной подготовке.</w:t>
      </w:r>
    </w:p>
    <w:p w:rsidR="0084609B" w:rsidRPr="00DC1A51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Pr="00471D72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Default="0084609B" w:rsidP="0084609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Германия</w:t>
      </w:r>
    </w:p>
    <w:p w:rsidR="0084609B" w:rsidRPr="00DC1A51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Pr="00471D72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Default="0084609B" w:rsidP="0084609B">
      <w:pPr>
        <w:pStyle w:val="SingleTxt"/>
      </w:pPr>
      <w:smartTag w:uri="urn:schemas-microsoft-com:office:smarttags" w:element="place">
        <w:r>
          <w:rPr>
            <w:lang w:val="en-US"/>
          </w:rPr>
          <w:t>I</w:t>
        </w:r>
        <w:r w:rsidRPr="00D3003B">
          <w:t>.</w:t>
        </w:r>
      </w:smartTag>
      <w:r w:rsidRPr="00D3003B">
        <w:tab/>
        <w:t>Из соответствующи</w:t>
      </w:r>
      <w:r>
        <w:t>х</w:t>
      </w:r>
      <w:r w:rsidRPr="00D3003B">
        <w:t xml:space="preserve"> конвенций МОТ Германия ратифицировала конве</w:t>
      </w:r>
      <w:r w:rsidRPr="00D3003B">
        <w:t>н</w:t>
      </w:r>
      <w:r w:rsidRPr="00D3003B">
        <w:t>ци</w:t>
      </w:r>
      <w:r>
        <w:t>и</w:t>
      </w:r>
      <w:r>
        <w:rPr>
          <w:lang w:val="en-US"/>
        </w:rPr>
        <w:t> </w:t>
      </w:r>
      <w:r>
        <w:t>№№ </w:t>
      </w:r>
      <w:r w:rsidRPr="00D3003B">
        <w:t xml:space="preserve">100 и 111. </w:t>
      </w:r>
      <w:r>
        <w:t>Ею ратифицированы также конвенции №№ 3, 29, 87, 98, 105, 122, 138, 142 и 182.</w:t>
      </w:r>
    </w:p>
    <w:p w:rsidR="0084609B" w:rsidRDefault="0084609B" w:rsidP="0084609B">
      <w:pPr>
        <w:pStyle w:val="SingleTxt"/>
      </w:pPr>
      <w:r>
        <w:rPr>
          <w:lang w:val="en-US"/>
        </w:rPr>
        <w:t>II</w:t>
      </w:r>
      <w:r w:rsidRPr="00D3003B">
        <w:t>.</w:t>
      </w:r>
      <w:r w:rsidRPr="00D3003B">
        <w:tab/>
        <w:t xml:space="preserve">Комментарии, </w:t>
      </w:r>
      <w:r>
        <w:t xml:space="preserve">вынесенные </w:t>
      </w:r>
      <w:r w:rsidRPr="00D3003B">
        <w:t xml:space="preserve">надзорными органами МОТ. </w:t>
      </w:r>
      <w:r>
        <w:t>Предстоящие комментарии Комитета экспертов МОТ, затрагивающие положения Конвенции о ликвидации всех форм дискриминации в отношении женщин, посвящены следующему:</w:t>
      </w:r>
    </w:p>
    <w:p w:rsidR="0084609B" w:rsidRDefault="0084609B" w:rsidP="0084609B">
      <w:pPr>
        <w:pStyle w:val="SingleTxt"/>
      </w:pPr>
      <w:r>
        <w:t>Конвенция № 100. В своем прямом запросе 2007 года Комитет экспертов пр</w:t>
      </w:r>
      <w:r>
        <w:t>и</w:t>
      </w:r>
      <w:r>
        <w:t>ветствовал опубликование правительством обновленной редакции руков</w:t>
      </w:r>
      <w:r>
        <w:t>о</w:t>
      </w:r>
      <w:r>
        <w:t>дства по осуществлению принципов равного вознаграждения женщин и мужчин за равный труд и труд равной ценности под названием «Игра по правилам: равная оплата труда женщин и мужчин». Комитет отметил также, что правительство побуждает участников коллективных переговоров к осуществлению совмес</w:t>
      </w:r>
      <w:r>
        <w:t>т</w:t>
      </w:r>
      <w:r>
        <w:t>ных инициатив и проведению систематического анализа и редактирования ко</w:t>
      </w:r>
      <w:r>
        <w:t>л</w:t>
      </w:r>
      <w:r>
        <w:t>лективных договоров и что сейчас выполняется анализ коллективного дог</w:t>
      </w:r>
      <w:r>
        <w:t>о</w:t>
      </w:r>
      <w:r>
        <w:t>вора для федеральных служащих на предмет выявления потенциальной дискрим</w:t>
      </w:r>
      <w:r>
        <w:t>и</w:t>
      </w:r>
      <w:r>
        <w:t>нации. Комитет просил правительство указать результаты анализа коллекти</w:t>
      </w:r>
      <w:r>
        <w:t>в</w:t>
      </w:r>
      <w:r>
        <w:t>ного договора для федеральных служащих в том, что касается потенциальной дискриминации, а также сообщить, не привели ли результаты этого анализа к каким-либо изменениям в этом коллективном дог</w:t>
      </w:r>
      <w:r>
        <w:t>о</w:t>
      </w:r>
      <w:r>
        <w:t>воре.</w:t>
      </w:r>
    </w:p>
    <w:p w:rsidR="0084609B" w:rsidRDefault="0084609B" w:rsidP="0084609B">
      <w:pPr>
        <w:pStyle w:val="SingleTxt"/>
      </w:pPr>
      <w:r>
        <w:t>Конвенция № 111. В своем замечании 2007 года Комитет экспертов с интер</w:t>
      </w:r>
      <w:r>
        <w:t>е</w:t>
      </w:r>
      <w:r>
        <w:t>сом констатировал, что 18 августа 2006 года вступили в действие О</w:t>
      </w:r>
      <w:r>
        <w:t>б</w:t>
      </w:r>
      <w:r>
        <w:t>щий закон о равном обращении и Закон о равном обращении с военнослужащими, кот</w:t>
      </w:r>
      <w:r>
        <w:t>о</w:t>
      </w:r>
      <w:r>
        <w:t>рые были приняты в целях введения в действие недавних европейских дире</w:t>
      </w:r>
      <w:r>
        <w:t>к</w:t>
      </w:r>
      <w:r>
        <w:t>тив, касающихся принципа равного обращения. Комитет отметил, что Общий закон о равном обращении запрещает прямую и косвенную дискриминацию работников на почве расового или этнического происхождения, пола, религии или мировоззрения, инвалидности, возраста либо сексуальной ориентации. З</w:t>
      </w:r>
      <w:r>
        <w:t>а</w:t>
      </w:r>
      <w:r>
        <w:t>кон запрещает также притеснение по каким-либо из перечисленных мотивов и сексуальное домогательство. Комитет с интересом отметил, что новое закон</w:t>
      </w:r>
      <w:r>
        <w:t>о</w:t>
      </w:r>
      <w:r>
        <w:t>дательство не только запрещает дискриминацию в сфере труда и занятий, но и устанавливает для работодателя обязанность принимать меры, необходимые для защиты работников от дискр</w:t>
      </w:r>
      <w:r>
        <w:t>и</w:t>
      </w:r>
      <w:r>
        <w:t>минации, в том числе превентивные меры (раздел 12), например информирование и просвещение персонала в вопросах равного обращения, и обеспечивать наличие надлежащих процедур для пр</w:t>
      </w:r>
      <w:r>
        <w:t>е</w:t>
      </w:r>
      <w:r>
        <w:t>одоления случаев дискриминации. Комитет отметил, что в Федеральном мин</w:t>
      </w:r>
      <w:r>
        <w:t>и</w:t>
      </w:r>
      <w:r>
        <w:t>стерстве по делами семьи, престарелых, женщин и молодежи создано фед</w:t>
      </w:r>
      <w:r>
        <w:t>е</w:t>
      </w:r>
      <w:r>
        <w:t>ральное антидискриминационное ведомство, и просил правительство предо</w:t>
      </w:r>
      <w:r>
        <w:t>с</w:t>
      </w:r>
      <w:r>
        <w:t>тавить информацию о практическом применении нового законодательства, в том числе соответствующих административных и судебных решениях и о де</w:t>
      </w:r>
      <w:r>
        <w:t>я</w:t>
      </w:r>
      <w:r>
        <w:t>тельности названного ведомства.</w:t>
      </w:r>
    </w:p>
    <w:p w:rsidR="0084609B" w:rsidRDefault="00506C2C" w:rsidP="0084609B">
      <w:pPr>
        <w:pStyle w:val="SingleTxt"/>
      </w:pPr>
      <w:r>
        <w:tab/>
      </w:r>
      <w:r w:rsidR="0084609B">
        <w:t>На своей сессии в ноябре-декабре 2008 года Комитет вновь рассмотрел вопрос о применении Германией Конвенции № 111. Комментарии Комитета по этому поводу будут опубликованы в начале 2009 года.</w:t>
      </w:r>
    </w:p>
    <w:p w:rsidR="0084609B" w:rsidRPr="00DC1A51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Pr="00471D72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Default="0084609B" w:rsidP="0084609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Гватемала</w:t>
      </w:r>
    </w:p>
    <w:p w:rsidR="0084609B" w:rsidRPr="00DC1A51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Pr="00471D72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Default="0084609B" w:rsidP="0084609B">
      <w:pPr>
        <w:pStyle w:val="SingleTxt"/>
      </w:pPr>
      <w:smartTag w:uri="urn:schemas-microsoft-com:office:smarttags" w:element="place">
        <w:r>
          <w:rPr>
            <w:lang w:val="en-US"/>
          </w:rPr>
          <w:t>I</w:t>
        </w:r>
        <w:r w:rsidRPr="00D3003B">
          <w:t>.</w:t>
        </w:r>
      </w:smartTag>
      <w:r w:rsidRPr="00D3003B">
        <w:tab/>
        <w:t>Из соотве</w:t>
      </w:r>
      <w:r>
        <w:t>тствующих конвенций МОТ Гватемала</w:t>
      </w:r>
      <w:r w:rsidRPr="00D3003B">
        <w:t xml:space="preserve"> ратифицировала конве</w:t>
      </w:r>
      <w:r w:rsidRPr="00D3003B">
        <w:t>н</w:t>
      </w:r>
      <w:r w:rsidRPr="00D3003B">
        <w:t>ци</w:t>
      </w:r>
      <w:r>
        <w:t>и</w:t>
      </w:r>
      <w:r>
        <w:rPr>
          <w:lang w:val="en-US"/>
        </w:rPr>
        <w:t> </w:t>
      </w:r>
      <w:r>
        <w:t xml:space="preserve">№№ 100, </w:t>
      </w:r>
      <w:r w:rsidRPr="00D3003B">
        <w:t>111</w:t>
      </w:r>
      <w:r>
        <w:t xml:space="preserve"> и 156</w:t>
      </w:r>
      <w:r w:rsidRPr="00D3003B">
        <w:t xml:space="preserve">. </w:t>
      </w:r>
      <w:r>
        <w:t>Ею ратифицированы также конвенции №№ 29, 45, 87, 89, 98, 103, 105, 122, 138 и 182.</w:t>
      </w:r>
    </w:p>
    <w:p w:rsidR="0084609B" w:rsidRPr="00615AE3" w:rsidRDefault="0084609B" w:rsidP="0084609B">
      <w:pPr>
        <w:pStyle w:val="SingleTxt"/>
      </w:pPr>
      <w:r>
        <w:rPr>
          <w:lang w:val="en-US"/>
        </w:rPr>
        <w:t>II</w:t>
      </w:r>
      <w:r w:rsidRPr="00D3003B">
        <w:t>.</w:t>
      </w:r>
      <w:r w:rsidRPr="00D3003B">
        <w:tab/>
        <w:t xml:space="preserve">Комментарии, </w:t>
      </w:r>
      <w:r>
        <w:t xml:space="preserve">вынесенные </w:t>
      </w:r>
      <w:r w:rsidRPr="00D3003B">
        <w:t xml:space="preserve">надзорными органами МОТ. </w:t>
      </w:r>
      <w:r>
        <w:t>Предстоящие комментарии Комитета экспертов МОТ, затрагивающие положения Конве</w:t>
      </w:r>
      <w:r>
        <w:t>н</w:t>
      </w:r>
      <w:r>
        <w:t>ции о ликвидации всех форм дискриминации в отношении женщин, посвящены следующему:</w:t>
      </w:r>
    </w:p>
    <w:p w:rsidR="0084609B" w:rsidRDefault="0084609B" w:rsidP="0084609B">
      <w:pPr>
        <w:pStyle w:val="SingleTxt"/>
      </w:pPr>
      <w:r>
        <w:t>Конвенция № 100. В пункте (с) статьи 102 Конституции Гватемалы предусма</w:t>
      </w:r>
      <w:r>
        <w:t>т</w:t>
      </w:r>
      <w:r>
        <w:t>ривается «равная заработная плата за равную работу, выполняемую при раве</w:t>
      </w:r>
      <w:r>
        <w:t>н</w:t>
      </w:r>
      <w:r>
        <w:t>стве условий труда, производительности и стажа». В статье 89 Трудового к</w:t>
      </w:r>
      <w:r>
        <w:t>о</w:t>
      </w:r>
      <w:r>
        <w:t>декса предусматривается, что «за равную работу, выполняемую на равных должностях и при равенстве производительности и стажа на одном и том же предприятии, выплачивается равная заработная плата». Комитет экспертов подчеркивал (последний раз — в замечании 2007 года), что эти положения не являются полным воплощением принципа равного вознаграждения мужчин и женщин за труд равной ценности, изложенного в Конвенции. Комитет указал, что понятие «труд равной ценности» включает равное вознаграждение за «ра</w:t>
      </w:r>
      <w:r>
        <w:t>в</w:t>
      </w:r>
      <w:r>
        <w:t>ный», «один и тот же» или «сходный» труд, но охватывает также и труд, с</w:t>
      </w:r>
      <w:r>
        <w:t>о</w:t>
      </w:r>
      <w:r>
        <w:t>вершенно иной по характеру, но имеющий, тем не менее, равную ценность. Комитет настоятельно призвал правительство удвоить свои усилия в направл</w:t>
      </w:r>
      <w:r>
        <w:t>е</w:t>
      </w:r>
      <w:r>
        <w:t>нии законодательного оформления принципа, сформулированного в Конве</w:t>
      </w:r>
      <w:r>
        <w:t>н</w:t>
      </w:r>
      <w:r>
        <w:t>ции.</w:t>
      </w:r>
    </w:p>
    <w:p w:rsidR="0084609B" w:rsidRDefault="0084609B" w:rsidP="0084609B">
      <w:pPr>
        <w:pStyle w:val="SingleTxt"/>
      </w:pPr>
      <w:r>
        <w:t>Конвенция № 111. В своем замечании 2007 года Комитет экспертов сослался на сообщения Конфедерации профессиональных союзов Гватемалы и Междун</w:t>
      </w:r>
      <w:r>
        <w:t>а</w:t>
      </w:r>
      <w:r>
        <w:t>родной конфедерации свободных профсоюзов (ныне — Международная конф</w:t>
      </w:r>
      <w:r>
        <w:t>е</w:t>
      </w:r>
      <w:r>
        <w:t>дерация профсоюзов), касавшиеся тестирования на беременность и увольнен</w:t>
      </w:r>
      <w:r>
        <w:t>и</w:t>
      </w:r>
      <w:r>
        <w:t>я на почве беременности, особенно на предприятиях по изготовлению идущей на экспорт продукции (</w:t>
      </w:r>
      <w:r w:rsidRPr="008B475F">
        <w:rPr>
          <w:i/>
          <w:lang w:val="en-US"/>
        </w:rPr>
        <w:t>maquiladoras</w:t>
      </w:r>
      <w:r w:rsidRPr="008F16D0">
        <w:t xml:space="preserve">). </w:t>
      </w:r>
      <w:r>
        <w:t>Комитет отметил, что, как следует из пр</w:t>
      </w:r>
      <w:r>
        <w:t>а</w:t>
      </w:r>
      <w:r>
        <w:t>вительственного доклада, инспекторат труда не получал каких-либо жалоб по поводу тестирования на беременность в качестве условия для получения или сохранения работы. Кроме того, правительство сослалось на исследование под названием «Анализ гендерно мотивированной дискриминации женщин на пр</w:t>
      </w:r>
      <w:r>
        <w:t>о</w:t>
      </w:r>
      <w:r>
        <w:t>изводстве, особенно на текстильных и ориентированных на экспорт предпр</w:t>
      </w:r>
      <w:r>
        <w:t>и</w:t>
      </w:r>
      <w:r>
        <w:t>ятиях», подготовленное в рамках программы «Соблюдай и выигрывай». По данным этого анализа, сообщений о тестировании на беременность на шве</w:t>
      </w:r>
      <w:r>
        <w:t>й</w:t>
      </w:r>
      <w:r>
        <w:t>ных и текстильных предприятиях не поступало, однако отмечается большое количество увольнений беременных работниц, которые, по утверждению раб</w:t>
      </w:r>
      <w:r>
        <w:t>о</w:t>
      </w:r>
      <w:r>
        <w:t>тодателей, были уволены по другим мотивам. Комитет напомнил, что отсутс</w:t>
      </w:r>
      <w:r>
        <w:t>т</w:t>
      </w:r>
      <w:r>
        <w:t>вие жалоб на дискриминацию на почве беременности применительно к пол</w:t>
      </w:r>
      <w:r>
        <w:t>у</w:t>
      </w:r>
      <w:r>
        <w:t>чению или сохранению рабочего места не означает отсутствия такого рода дискриминации на практике и что, как показывают разные сообщения и то и</w:t>
      </w:r>
      <w:r>
        <w:t>с</w:t>
      </w:r>
      <w:r>
        <w:t>следование, на которое сослалось правительство, проблемы в этом отношении имеются. Комитет просил правительство активизировать свои усилия по пр</w:t>
      </w:r>
      <w:r>
        <w:t>е</w:t>
      </w:r>
      <w:r>
        <w:t>одолению дискриминации на почве беременности применительно к получению или сохранению работы и усилить защиту, предоставляемую беременным р</w:t>
      </w:r>
      <w:r>
        <w:t>а</w:t>
      </w:r>
      <w:r>
        <w:t>ботницам, для недопущения того, чтобы происходили увольнения на почве б</w:t>
      </w:r>
      <w:r>
        <w:t>е</w:t>
      </w:r>
      <w:r>
        <w:t>реме</w:t>
      </w:r>
      <w:r>
        <w:t>н</w:t>
      </w:r>
      <w:r>
        <w:t>ности, выдаваемые за увольнения по другим мотивам. Комитет также просил правительство держать его в курсе развития событий в этой о</w:t>
      </w:r>
      <w:r>
        <w:t>б</w:t>
      </w:r>
      <w:r>
        <w:t>ласти.</w:t>
      </w:r>
    </w:p>
    <w:p w:rsidR="0084609B" w:rsidRDefault="0084609B" w:rsidP="0084609B">
      <w:pPr>
        <w:pStyle w:val="SingleTxt"/>
      </w:pPr>
      <w:r>
        <w:t>Конвенция № 182. В своем наблюдении 2006 года Комитет экспертов отметил, что правительство занимается оценкой мер, принятых в контексте Национал</w:t>
      </w:r>
      <w:r>
        <w:t>ь</w:t>
      </w:r>
      <w:r>
        <w:t>ного плана действий по борьбе с коммерческой сексуальной эксплуатацией д</w:t>
      </w:r>
      <w:r>
        <w:t>е</w:t>
      </w:r>
      <w:r>
        <w:t>вочек, мальчиков и молодежи в Гватемале, и достигнутых результатов на пре</w:t>
      </w:r>
      <w:r>
        <w:t>д</w:t>
      </w:r>
      <w:r>
        <w:t>мет выработки нового плана. Комитет просил правительство снабдить его э</w:t>
      </w:r>
      <w:r>
        <w:t>к</w:t>
      </w:r>
      <w:r>
        <w:t>земпляром нового плана действий по борьбе с коммерческой сексуальной эк</w:t>
      </w:r>
      <w:r>
        <w:t>с</w:t>
      </w:r>
      <w:r>
        <w:t>плуатацией девочек, мальчиков и молодежи в Гватемале и предоставить и</w:t>
      </w:r>
      <w:r>
        <w:t>н</w:t>
      </w:r>
      <w:r>
        <w:t>формацию о его осуществлении.</w:t>
      </w:r>
    </w:p>
    <w:p w:rsidR="0084609B" w:rsidRDefault="0084609B" w:rsidP="0084609B">
      <w:pPr>
        <w:pStyle w:val="SingleTxt"/>
      </w:pPr>
      <w:r>
        <w:t>Конвенция № 122. В своем замечании 2006 года Комитет констатировал, что правительство разрабатывает национальную политику в области занятости и достойных условий труда, призванную обеспечить массовый доступ к прои</w:t>
      </w:r>
      <w:r>
        <w:t>з</w:t>
      </w:r>
      <w:r>
        <w:t>водительной занятости, повысить число трудоустроенных людей, бороться с безработицей и неполной занятостью и гарантировать надежность занятости и дохода для трудящихся. Изложение политики в области занятости и достойн</w:t>
      </w:r>
      <w:r>
        <w:t>ы</w:t>
      </w:r>
      <w:r>
        <w:t>х условий труда пронизывают гендерная проблематика и вопрос о коренных н</w:t>
      </w:r>
      <w:r>
        <w:t>а</w:t>
      </w:r>
      <w:r>
        <w:t>родах. Комитет просил правительство и впредь предоставлять информацию о том, как правительство обеспечивает существенную роль занятости в макр</w:t>
      </w:r>
      <w:r>
        <w:t>о</w:t>
      </w:r>
      <w:r>
        <w:t>экономической и социальной политике при разработке и осуществлении н</w:t>
      </w:r>
      <w:r>
        <w:t>а</w:t>
      </w:r>
      <w:r>
        <w:t>циональной стратегии сокращения масштабов нищеты и при содействии до</w:t>
      </w:r>
      <w:r>
        <w:t>с</w:t>
      </w:r>
      <w:r>
        <w:t>тойным у</w:t>
      </w:r>
      <w:r>
        <w:t>с</w:t>
      </w:r>
      <w:r>
        <w:t>ловиям труда.</w:t>
      </w:r>
    </w:p>
    <w:p w:rsidR="0084609B" w:rsidRPr="003E3C76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Pr="00397BFD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Default="0084609B" w:rsidP="0084609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Гаити</w:t>
      </w:r>
    </w:p>
    <w:p w:rsidR="0084609B" w:rsidRPr="003E3C76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Pr="00397BFD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Default="0084609B" w:rsidP="0084609B">
      <w:pPr>
        <w:pStyle w:val="SingleTxt"/>
      </w:pPr>
      <w:r>
        <w:t>I.</w:t>
      </w:r>
      <w:r>
        <w:tab/>
        <w:t>Из соответствующих конвенций МОТ Гаити ратифицировало конве</w:t>
      </w:r>
      <w:r>
        <w:t>н</w:t>
      </w:r>
      <w:r>
        <w:t>ции №№ 100 и 111. Страной ра</w:t>
      </w:r>
      <w:r w:rsidR="00E10759">
        <w:t>тифицированы также конвенции №№ </w:t>
      </w:r>
      <w:r>
        <w:t>29, 45, 87, 98, 105 и 182.</w:t>
      </w:r>
    </w:p>
    <w:p w:rsidR="0084609B" w:rsidRDefault="0084609B" w:rsidP="0084609B">
      <w:pPr>
        <w:pStyle w:val="SingleTxt"/>
      </w:pPr>
      <w:r>
        <w:t>II.</w:t>
      </w:r>
      <w:r>
        <w:tab/>
        <w:t>Комментарии, вынесенные надзорными органами МОТ. Предстоящие комментарии Комитета экспертов МОТ, затрагивающие положения Конве</w:t>
      </w:r>
      <w:r>
        <w:t>н</w:t>
      </w:r>
      <w:r>
        <w:t>ции о ликвидации всех форм дискриминации в отношении женщин, посвящены следующему:</w:t>
      </w:r>
    </w:p>
    <w:p w:rsidR="0084609B" w:rsidRDefault="00E10759" w:rsidP="0084609B">
      <w:pPr>
        <w:pStyle w:val="SingleTxt"/>
      </w:pPr>
      <w:r>
        <w:t>Конвенция № </w:t>
      </w:r>
      <w:r w:rsidR="0084609B">
        <w:t>100. В своем прямом запросе 2007 года Комитет экспертов отм</w:t>
      </w:r>
      <w:r w:rsidR="0084609B">
        <w:t>е</w:t>
      </w:r>
      <w:r w:rsidR="0084609B">
        <w:t>тил, что Министерство по положению и правам женщин развернуло обзор де</w:t>
      </w:r>
      <w:r w:rsidR="0084609B">
        <w:t>й</w:t>
      </w:r>
      <w:r w:rsidR="0084609B">
        <w:t>ствующего законодательства, преследуя цель провести ревизию законов, пр</w:t>
      </w:r>
      <w:r w:rsidR="0084609B">
        <w:t>и</w:t>
      </w:r>
      <w:r w:rsidR="0084609B">
        <w:t>водящих к дискриминации на почве половой принадлежности. Комитет отм</w:t>
      </w:r>
      <w:r w:rsidR="0084609B">
        <w:t>е</w:t>
      </w:r>
      <w:r w:rsidR="0084609B">
        <w:t>тил, в частности, что этот обзор законодательства охватывает и п</w:t>
      </w:r>
      <w:r w:rsidR="0084609B">
        <w:t>о</w:t>
      </w:r>
      <w:r w:rsidR="0084609B">
        <w:t>ложения Трудового кодекса, регулирующие труд домашней прислуги. Комитет отметил, что для этой группы работников зачастую характерны серьезное неравенство между мужчинами и женщинами в оплате труда равной ценности и се</w:t>
      </w:r>
      <w:r w:rsidR="0084609B">
        <w:t>г</w:t>
      </w:r>
      <w:r w:rsidR="0084609B">
        <w:t>регация женщин на низкооплачиваемой работе. Комитет рекомендовал правительству продолжить свой обзор действующего законодательства, чтобы выявить и ус</w:t>
      </w:r>
      <w:r w:rsidR="0084609B">
        <w:t>т</w:t>
      </w:r>
      <w:r w:rsidR="0084609B">
        <w:t>ранить дискриминационные положения, и просил правительство предост</w:t>
      </w:r>
      <w:r w:rsidR="0084609B">
        <w:t>а</w:t>
      </w:r>
      <w:r w:rsidR="0084609B">
        <w:t>вить информацию о шагах, предпринятых на практике для поощрения и введения равного вознаграждения для домашней прислуги. Комитет также просил пр</w:t>
      </w:r>
      <w:r w:rsidR="0084609B">
        <w:t>а</w:t>
      </w:r>
      <w:r w:rsidR="0084609B">
        <w:t>вительство предоставить информацию о применении на практике статьи 317 Трудового кодекса, где предусматривается, что за труд равной ценности же</w:t>
      </w:r>
      <w:r w:rsidR="0084609B">
        <w:t>н</w:t>
      </w:r>
      <w:r w:rsidR="0084609B">
        <w:t>щины получают заработную плату, равную той, которую получают рабо</w:t>
      </w:r>
      <w:r w:rsidR="0084609B">
        <w:t>т</w:t>
      </w:r>
      <w:r w:rsidR="0084609B">
        <w:t>ники-мужчины.</w:t>
      </w:r>
    </w:p>
    <w:p w:rsidR="0084609B" w:rsidRDefault="0084609B" w:rsidP="0084609B">
      <w:pPr>
        <w:pStyle w:val="SingleTxt"/>
      </w:pPr>
      <w:r>
        <w:t>Конвенция №</w:t>
      </w:r>
      <w:r w:rsidR="00E10759">
        <w:t> </w:t>
      </w:r>
      <w:r>
        <w:t>111. В своем прямом запросе 2007 года Комитет экспертов с</w:t>
      </w:r>
      <w:r>
        <w:t>о</w:t>
      </w:r>
      <w:r>
        <w:t>слался на предоставленную Международной конфедерацией свободных про</w:t>
      </w:r>
      <w:r>
        <w:t>ф</w:t>
      </w:r>
      <w:r>
        <w:t>союзов (ныне — Международная конфедерация профсоюзов) информацию о том, что в зонах экспортного производства нередко отмечаются случаи секс</w:t>
      </w:r>
      <w:r>
        <w:t>у</w:t>
      </w:r>
      <w:r>
        <w:t>ального домогательства. Комитет отметил заявление правительства о том, что ему известно об изолированных случаях сексуального домогательства в эк</w:t>
      </w:r>
      <w:r>
        <w:t>с</w:t>
      </w:r>
      <w:r>
        <w:t>портном секторе. Он также отметил, что Министерство социальных дел и тр</w:t>
      </w:r>
      <w:r>
        <w:t>у</w:t>
      </w:r>
      <w:r>
        <w:t>да вызвалось внести в Трехсторонний совет примирения и а</w:t>
      </w:r>
      <w:r>
        <w:t>р</w:t>
      </w:r>
      <w:r>
        <w:t>битража, который отвечает за составление новой редакции Трудового кодекса, предложения о том, чтобы Совет охватил в своей работе положения о сексуальном домог</w:t>
      </w:r>
      <w:r>
        <w:t>а</w:t>
      </w:r>
      <w:r>
        <w:t>тельстве. Комитет выразил надежду, что в новых положениях будет опред</w:t>
      </w:r>
      <w:r>
        <w:t>е</w:t>
      </w:r>
      <w:r>
        <w:t>ляться и запрещаться как сексуальное домогательс</w:t>
      </w:r>
      <w:r>
        <w:t>т</w:t>
      </w:r>
      <w:r>
        <w:t>во, облекаемое в форму «услуга за услугу», так и притеснение, принимающее форму неприязненной обстановки на производстве. Комитет также выразил надежду, что в своем сл</w:t>
      </w:r>
      <w:r>
        <w:t>е</w:t>
      </w:r>
      <w:r>
        <w:t>дующем докладе правительство сумеет указать меры, предусмотренные в зак</w:t>
      </w:r>
      <w:r>
        <w:t>о</w:t>
      </w:r>
      <w:r>
        <w:t>нах и осуществляемые на практике для предупреждения и запрещения секс</w:t>
      </w:r>
      <w:r>
        <w:t>у</w:t>
      </w:r>
      <w:r>
        <w:t>ального домогательства на рабочем месте, и в частности в зонах экспортного производства.</w:t>
      </w:r>
    </w:p>
    <w:p w:rsidR="0084609B" w:rsidRDefault="00E10759" w:rsidP="0084609B">
      <w:pPr>
        <w:pStyle w:val="SingleTxt"/>
      </w:pPr>
      <w:r>
        <w:t>Конвенция № </w:t>
      </w:r>
      <w:r w:rsidR="0084609B">
        <w:t>29. В своих комментариях по этой Конвенции (последний раз они выносились в его замечании 2007 года) Комитет экспертов разобрал пр</w:t>
      </w:r>
      <w:r w:rsidR="0084609B">
        <w:t>о</w:t>
      </w:r>
      <w:r w:rsidR="0084609B">
        <w:t>блему эксплуатации детей, нанимаемых в качестве домашней прислуги, так н</w:t>
      </w:r>
      <w:r w:rsidR="0084609B">
        <w:t>а</w:t>
      </w:r>
      <w:r w:rsidR="0084609B">
        <w:t>зываемых «реставек». Комитет выразил озабоченность по поводу того, что д</w:t>
      </w:r>
      <w:r w:rsidR="0084609B">
        <w:t>е</w:t>
      </w:r>
      <w:r w:rsidR="0084609B">
        <w:t>ти, нанимаемые в качестве домашней прислуги и попадающие при этом в по</w:t>
      </w:r>
      <w:r w:rsidR="0084609B">
        <w:t>л</w:t>
      </w:r>
      <w:r w:rsidR="0084609B">
        <w:t>ную зависимость от хозяев, становятся жертвами эксплуатации. Принимая во внимание условия, в которых может происходить подобный труд, м</w:t>
      </w:r>
      <w:r w:rsidR="0084609B">
        <w:t>а</w:t>
      </w:r>
      <w:r w:rsidR="0084609B">
        <w:t>лолетство работников и отсутствие у них возможности бросить свою работу и покинуть семью, в которой они оказались, Комитет выразил мнение о том, что этот труд может подпадать под даваемое в Конве</w:t>
      </w:r>
      <w:r w:rsidR="0084609B">
        <w:t>н</w:t>
      </w:r>
      <w:r w:rsidR="0084609B">
        <w:t>ции</w:t>
      </w:r>
      <w:r w:rsidR="0084609B" w:rsidRPr="001D2B49">
        <w:t xml:space="preserve"> </w:t>
      </w:r>
      <w:r w:rsidR="0084609B">
        <w:t>определение принудительного труда. Комитет настоятельно просил правительство безотлагательно принять необходимые меры, а также предост</w:t>
      </w:r>
      <w:r w:rsidR="0084609B">
        <w:t>а</w:t>
      </w:r>
      <w:r w:rsidR="0084609B">
        <w:t>вить информацию о шагах, предпринятых для обеспечения эффективной реализации существующих в этой области зак</w:t>
      </w:r>
      <w:r w:rsidR="0084609B">
        <w:t>о</w:t>
      </w:r>
      <w:r w:rsidR="0084609B">
        <w:t>ноположений о мерах пресечения.</w:t>
      </w:r>
    </w:p>
    <w:p w:rsidR="0084609B" w:rsidRPr="003E3C76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Pr="00397BFD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Default="0084609B" w:rsidP="0084609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Ливийская Арабская Джамахирия</w:t>
      </w:r>
    </w:p>
    <w:p w:rsidR="0084609B" w:rsidRPr="003E3C76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Pr="00397BFD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Default="0084609B" w:rsidP="0084609B">
      <w:pPr>
        <w:pStyle w:val="SingleTxt"/>
      </w:pPr>
      <w:r>
        <w:t>I.</w:t>
      </w:r>
      <w:r>
        <w:tab/>
        <w:t>Из соответствующих конвенций МОТ Ливия ратифицировала конве</w:t>
      </w:r>
      <w:r>
        <w:t>н</w:t>
      </w:r>
      <w:r>
        <w:t>ции №№ 100 и 111. Ею ра</w:t>
      </w:r>
      <w:r w:rsidR="00E10759">
        <w:t>тифицированы также конвенции №№ </w:t>
      </w:r>
      <w:r w:rsidRPr="002C6ED6">
        <w:t xml:space="preserve">3, </w:t>
      </w:r>
      <w:r>
        <w:t>29, 87, 89, 98, 103, 105, 122, 138 и 182.</w:t>
      </w:r>
    </w:p>
    <w:p w:rsidR="0084609B" w:rsidRDefault="0084609B" w:rsidP="0084609B">
      <w:pPr>
        <w:pStyle w:val="SingleTxt"/>
      </w:pPr>
      <w:r>
        <w:t>II.</w:t>
      </w:r>
      <w:r>
        <w:tab/>
        <w:t>Комментарии, вынесенные надзорными органами МОТ. Предстоящие комментарии Комитета экспертов МОТ, затрагивающие положения Конве</w:t>
      </w:r>
      <w:r>
        <w:t>н</w:t>
      </w:r>
      <w:r>
        <w:t>ции о ликвидации всех форм дискриминации в отношении женщин, посвящены следующему:</w:t>
      </w:r>
    </w:p>
    <w:p w:rsidR="0084609B" w:rsidRDefault="0084609B" w:rsidP="0084609B">
      <w:pPr>
        <w:pStyle w:val="SingleTxt"/>
      </w:pPr>
      <w:r>
        <w:t>Конвенция № 100. В своем прямом запросе 2007 года Комитет экспертов отм</w:t>
      </w:r>
      <w:r>
        <w:t>е</w:t>
      </w:r>
      <w:r>
        <w:t>тил, что раздел 31 Трудового кодекса (Закон № 58 1970 года) предусматривает, что для работодателя недопустима дискриминация между мужчинами и же</w:t>
      </w:r>
      <w:r>
        <w:t>н</w:t>
      </w:r>
      <w:r>
        <w:t>щинами в части оплаты их труда, если «характер и условия труда одинаковы». Комитет отметил, что понятие «работа, имеющая тот же характер или выпо</w:t>
      </w:r>
      <w:r>
        <w:t>л</w:t>
      </w:r>
      <w:r>
        <w:t>няемая в тех же условиях» ýже понятия «труд равной ценности», предусмо</w:t>
      </w:r>
      <w:r>
        <w:t>т</w:t>
      </w:r>
      <w:r>
        <w:t>ренного в Конвенции. Вместе с тем он отметил также раздел 91 Кодекса, где предусматривается, что все документы, регулирующие занятость работников, распространяются на женщин и молодежь без дискриминации в том, что кас</w:t>
      </w:r>
      <w:r>
        <w:t>а</w:t>
      </w:r>
      <w:r>
        <w:t>ется труда равной ценности. Учитывая расхождение в формул</w:t>
      </w:r>
      <w:r>
        <w:t>и</w:t>
      </w:r>
      <w:r>
        <w:t>ровке этих двух положений, Комитет сослался на свое общее замечание 2006 года, в котором подчеркивается и уточняется понятие «труд равной ценности». Он просил пр</w:t>
      </w:r>
      <w:r>
        <w:t>а</w:t>
      </w:r>
      <w:r>
        <w:t>вительство устранить неоднозначность в своем законодательстве и подумать над внесением в законодательство поправок, предусматривающих более четкое определение равного вознаграждения мужчин и женщин в ситуациях, когда они выполняют разную работу, имеющую, тем не м</w:t>
      </w:r>
      <w:r>
        <w:t>е</w:t>
      </w:r>
      <w:r>
        <w:t>нее, равную ценность.</w:t>
      </w:r>
    </w:p>
    <w:p w:rsidR="0084609B" w:rsidRDefault="00E10759" w:rsidP="0084609B">
      <w:pPr>
        <w:pStyle w:val="SingleTxt"/>
      </w:pPr>
      <w:r>
        <w:t>Конвенция № </w:t>
      </w:r>
      <w:r w:rsidR="0084609B">
        <w:t>111. В своем замечании 2007 года Ко</w:t>
      </w:r>
      <w:r>
        <w:t>митет экспертов отметил решение </w:t>
      </w:r>
      <w:r w:rsidR="0084609B">
        <w:t>258, принятое в 1989 году Высшим народным комитетом и касающе</w:t>
      </w:r>
      <w:r w:rsidR="0084609B">
        <w:t>е</w:t>
      </w:r>
      <w:r w:rsidR="0084609B">
        <w:t>ся профессиональной реабилитации и обучения ливийских женщин. Он отм</w:t>
      </w:r>
      <w:r w:rsidR="0084609B">
        <w:t>е</w:t>
      </w:r>
      <w:r w:rsidR="0084609B">
        <w:t>тил, что в некоторых из его положений говорится о «подходящих женщинам возможностях трудоустройства», об их обучении «профессиям и навыкам, о</w:t>
      </w:r>
      <w:r w:rsidR="0084609B">
        <w:t>т</w:t>
      </w:r>
      <w:r w:rsidR="0084609B">
        <w:t>вечающим их психологическим и физическим особенностям», и учебных ди</w:t>
      </w:r>
      <w:r w:rsidR="0084609B">
        <w:t>с</w:t>
      </w:r>
      <w:r w:rsidR="0084609B">
        <w:t>циплинах, «подходящих для женской натуры и социального положения же</w:t>
      </w:r>
      <w:r w:rsidR="0084609B">
        <w:t>н</w:t>
      </w:r>
      <w:r w:rsidR="0084609B">
        <w:t>щин». Комитет напомнил правительству, что социальные стереотипы, при к</w:t>
      </w:r>
      <w:r w:rsidR="0084609B">
        <w:t>о</w:t>
      </w:r>
      <w:r w:rsidR="0084609B">
        <w:t>торых определенные виды труда рассматриваются как «подходящие для же</w:t>
      </w:r>
      <w:r w:rsidR="0084609B">
        <w:t>н</w:t>
      </w:r>
      <w:r w:rsidR="0084609B">
        <w:t>ской натуры и социального положения женщин» или «отвечающие их психол</w:t>
      </w:r>
      <w:r w:rsidR="0084609B">
        <w:t>о</w:t>
      </w:r>
      <w:r w:rsidR="0084609B">
        <w:t>гическим и физическим особенностям», будут, скорее всего, вести к разобщ</w:t>
      </w:r>
      <w:r w:rsidR="0084609B">
        <w:t>е</w:t>
      </w:r>
      <w:r w:rsidR="0084609B">
        <w:t>нию женщин и мужчин по разным направлениям образования и професси</w:t>
      </w:r>
      <w:r w:rsidR="0084609B">
        <w:t>о</w:t>
      </w:r>
      <w:r w:rsidR="0084609B">
        <w:t>нального обучения, а затем по разным профессиональным и служебным сф</w:t>
      </w:r>
      <w:r w:rsidR="0084609B">
        <w:t>е</w:t>
      </w:r>
      <w:r w:rsidR="0084609B">
        <w:t>рам, способствуя тем самым сегрегации по роду занятий. Женщинам, возмо</w:t>
      </w:r>
      <w:r w:rsidR="0084609B">
        <w:t>ж</w:t>
      </w:r>
      <w:r w:rsidR="0084609B">
        <w:t>но, открываются новые сферы для профессионального обучения и трудоус</w:t>
      </w:r>
      <w:r w:rsidR="0084609B">
        <w:t>т</w:t>
      </w:r>
      <w:r w:rsidR="0084609B">
        <w:t>ройства, однако Комитет выразил озабоченность по поводу того, что действие этих положений на практике может породить неравенство на рынке труда и з</w:t>
      </w:r>
      <w:r w:rsidR="0084609B">
        <w:t>а</w:t>
      </w:r>
      <w:r w:rsidR="0084609B">
        <w:t>крепить генде</w:t>
      </w:r>
      <w:r w:rsidR="0084609B">
        <w:t>р</w:t>
      </w:r>
      <w:r w:rsidR="0084609B">
        <w:t>ные стереотипы в отношении каких-то профессий. Комитет просил правительство уточнить значение выражений «подходящие женщинам возможности трудоустройства», «отвечающие их психологическим и физич</w:t>
      </w:r>
      <w:r w:rsidR="0084609B">
        <w:t>е</w:t>
      </w:r>
      <w:r w:rsidR="0084609B">
        <w:t>ским особенностям» и «подходящие для женской натуры и социального пол</w:t>
      </w:r>
      <w:r w:rsidR="0084609B">
        <w:t>о</w:t>
      </w:r>
      <w:r w:rsidR="0084609B">
        <w:t>жения женщин», а также предоставить информацию о мерах, принятых или предусматриваемых для обеспечения того, чтобы женщины не сталкивались с факторами, исключающими или затрудняющими их профессиональное обуч</w:t>
      </w:r>
      <w:r w:rsidR="0084609B">
        <w:t>е</w:t>
      </w:r>
      <w:r w:rsidR="0084609B">
        <w:t>ние или получение ими работы в традиционно «мужских» сферах.</w:t>
      </w:r>
    </w:p>
    <w:p w:rsidR="0084609B" w:rsidRDefault="0084609B" w:rsidP="0084609B">
      <w:pPr>
        <w:pStyle w:val="SingleTxt"/>
      </w:pPr>
      <w:r>
        <w:tab/>
        <w:t>Комитет отметил, что, как следует из статистических данных, приведе</w:t>
      </w:r>
      <w:r>
        <w:t>н</w:t>
      </w:r>
      <w:r>
        <w:t>ных в правительственном докладе, доля экономически активных женщин в</w:t>
      </w:r>
      <w:r>
        <w:t>ы</w:t>
      </w:r>
      <w:r>
        <w:t>росла с 15,65 процента в 1995 году до 29,59 процента в 2006 году. Комитет приветствовал увеличение этого показателя, однако счел, что по сравнению с мужчинами (60,48 процента в 2006 году) доля женщин остается низкой.</w:t>
      </w:r>
    </w:p>
    <w:p w:rsidR="0084609B" w:rsidRPr="003E3C76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Pr="003A4A8A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Default="0084609B" w:rsidP="0084609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Руанда</w:t>
      </w:r>
    </w:p>
    <w:p w:rsidR="0084609B" w:rsidRPr="003E3C76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Pr="003A4A8A" w:rsidRDefault="0084609B" w:rsidP="0084609B">
      <w:pPr>
        <w:pStyle w:val="SingleTxt"/>
        <w:spacing w:after="0" w:line="120" w:lineRule="exact"/>
        <w:rPr>
          <w:sz w:val="10"/>
        </w:rPr>
      </w:pPr>
    </w:p>
    <w:p w:rsidR="0084609B" w:rsidRDefault="0084609B" w:rsidP="0084609B">
      <w:pPr>
        <w:pStyle w:val="SingleTxt"/>
      </w:pPr>
      <w:r>
        <w:t>I.</w:t>
      </w:r>
      <w:r>
        <w:tab/>
        <w:t>Из соответствующих конвенций МОТ Руанда ратифицировала конве</w:t>
      </w:r>
      <w:r>
        <w:t>н</w:t>
      </w:r>
      <w:r>
        <w:t>ции №№ 100 и 111. Ею ратифицированы также конвенции №№ 29, 87, 89, 98, 105, 138 и 182.</w:t>
      </w:r>
    </w:p>
    <w:p w:rsidR="0084609B" w:rsidRDefault="0084609B" w:rsidP="0084609B">
      <w:pPr>
        <w:pStyle w:val="SingleTxt"/>
      </w:pPr>
      <w:r>
        <w:t>II.</w:t>
      </w:r>
      <w:r>
        <w:tab/>
        <w:t>Комментарии, вынесенные надзорными органами МОТ. Предстоящие комментарии Комитета экспертов МОТ, затрагивающие положения Конве</w:t>
      </w:r>
      <w:r>
        <w:t>н</w:t>
      </w:r>
      <w:r>
        <w:t>ции о ликвидации всех форм дискриминации в отношении ж</w:t>
      </w:r>
      <w:r w:rsidR="00E10759">
        <w:t>енщин, посвящены следующему:</w:t>
      </w:r>
    </w:p>
    <w:p w:rsidR="0084609B" w:rsidRDefault="0084609B" w:rsidP="0084609B">
      <w:pPr>
        <w:pStyle w:val="SingleTxt"/>
      </w:pPr>
      <w:r>
        <w:t>Конвенция № 100. В своем замечании 2007 года Комитет экспертов с</w:t>
      </w:r>
      <w:r>
        <w:t>о</w:t>
      </w:r>
      <w:r>
        <w:t>слался на стать</w:t>
      </w:r>
      <w:r w:rsidRPr="003A4A8A">
        <w:t>ю</w:t>
      </w:r>
      <w:r>
        <w:t> 84 Трудового кодекса, где предусматривается, что одинаково квалиф</w:t>
      </w:r>
      <w:r>
        <w:t>и</w:t>
      </w:r>
      <w:r>
        <w:t>цированные работники, выполняющие одну и ту же работу в одинаковых усл</w:t>
      </w:r>
      <w:r>
        <w:t>о</w:t>
      </w:r>
      <w:r>
        <w:t>виях, должны получать равное вознаграждение, безотносительно их происхо</w:t>
      </w:r>
      <w:r>
        <w:t>ж</w:t>
      </w:r>
      <w:r>
        <w:t>дения, половой принадлежности или во</w:t>
      </w:r>
      <w:r>
        <w:t>з</w:t>
      </w:r>
      <w:r>
        <w:t>раста. Ранее Комитет отмечал, что это положение ýже по своему охвату, чем принцип, сформулированный в Конве</w:t>
      </w:r>
      <w:r>
        <w:t>н</w:t>
      </w:r>
      <w:r>
        <w:t>ции, поскольку оно подчеркивает равное вознаграждение за «одну и ту же р</w:t>
      </w:r>
      <w:r>
        <w:t>а</w:t>
      </w:r>
      <w:r>
        <w:t>боту», а не за труд равной ценности, как того требует Конвенция. В своем до</w:t>
      </w:r>
      <w:r>
        <w:t>к</w:t>
      </w:r>
      <w:r>
        <w:t>ладе правительство заявило, что в новом проекте Трудового кодекса уже нет положений, фигурирующих сейчас в статье 84, и что статья 7 этого проекта предусматривает более широкий запрет на дискриминацию на почве половой принадлежности в сфере занятости, в том числе в том, что касается вознагра</w:t>
      </w:r>
      <w:r>
        <w:t>ж</w:t>
      </w:r>
      <w:r>
        <w:t>дения. Комитет отметил, что, хотя общий запрет на дискриминацию на почве половой принадлежности в сфере занятости имеет важное значение, сам по с</w:t>
      </w:r>
      <w:r>
        <w:t>е</w:t>
      </w:r>
      <w:r>
        <w:t>бе он может оказаться недостаточным для обеспечения полного применения принципа равного вознаграждения мужчин и женщин за труд равной ценности, заложенного в Конвенции. В связи с этим Комитет настоятельно призвал пр</w:t>
      </w:r>
      <w:r>
        <w:t>а</w:t>
      </w:r>
      <w:r>
        <w:t>вительство обеспечить, чтобы в Трудовой кодекс попали согласующиеся с Ко</w:t>
      </w:r>
      <w:r>
        <w:t>н</w:t>
      </w:r>
      <w:r>
        <w:t>венцией положения о равном вознаграждении, что позволит дать полное зак</w:t>
      </w:r>
      <w:r>
        <w:t>о</w:t>
      </w:r>
      <w:r>
        <w:t>нодательное воплощение принципу равного вознаграждения мужчин и женщин за труд равной ценности.</w:t>
      </w:r>
    </w:p>
    <w:p w:rsidR="0084609B" w:rsidRDefault="0084609B" w:rsidP="0084609B">
      <w:pPr>
        <w:pStyle w:val="SingleTxt"/>
      </w:pPr>
      <w:r>
        <w:t>Конвенция № 111. В своем замечании 2007 года Комитет экспертов отметил, что, согласно комментариям, полученным от организаций трудящихся, ди</w:t>
      </w:r>
      <w:r>
        <w:t>с</w:t>
      </w:r>
      <w:r>
        <w:t>криминация на почве половой принадлежности, этнического происхождения, религиозных убеждений, политических пристрастий или социального прои</w:t>
      </w:r>
      <w:r>
        <w:t>с</w:t>
      </w:r>
      <w:r>
        <w:t>хождения продолжает существовать на практике, несмотря на то, что подобная дискриминация запрещена законом. Отвечая на эти комментарии, правительс</w:t>
      </w:r>
      <w:r>
        <w:t>т</w:t>
      </w:r>
      <w:r>
        <w:t>во указало, что службам инспекции труда ни о каких случаях дискриминации не сообщалось. Не было предоставлено информации о том, занимались ли сл</w:t>
      </w:r>
      <w:r>
        <w:t>у</w:t>
      </w:r>
      <w:r>
        <w:t>чаями дискриминации (и если занимались, то как) Национальная комиссия по правам человека, ведомство омбудсмена или судебные учреждения.</w:t>
      </w:r>
    </w:p>
    <w:p w:rsidR="0084609B" w:rsidRDefault="00EE1D58" w:rsidP="0084609B">
      <w:pPr>
        <w:pStyle w:val="SingleTxt"/>
      </w:pPr>
      <w:r>
        <w:tab/>
      </w:r>
      <w:r w:rsidR="0084609B">
        <w:t>Комитет подчеркнул, что юридическое запрещение дискриминации явл</w:t>
      </w:r>
      <w:r w:rsidR="0084609B">
        <w:t>я</w:t>
      </w:r>
      <w:r w:rsidR="0084609B">
        <w:t>ется важным элементом в обеспечении применения Конвенции. Однако пред</w:t>
      </w:r>
      <w:r w:rsidR="0084609B">
        <w:t>у</w:t>
      </w:r>
      <w:r w:rsidR="0084609B">
        <w:t>смотренная статьей 2 Конвенции национальная политика, направленная на п</w:t>
      </w:r>
      <w:r w:rsidR="0084609B">
        <w:t>о</w:t>
      </w:r>
      <w:r w:rsidR="0084609B">
        <w:t>ощрение равенства возможностей и обращения в отношении труда и занятий, требует также, чтобы правительство принимало конкретные меры к обеспеч</w:t>
      </w:r>
      <w:r w:rsidR="0084609B">
        <w:t>е</w:t>
      </w:r>
      <w:r w:rsidR="0084609B">
        <w:t>нию того, чтобы равенством возможностей и обращения можно было польз</w:t>
      </w:r>
      <w:r w:rsidR="0084609B">
        <w:t>о</w:t>
      </w:r>
      <w:r w:rsidR="0084609B">
        <w:t>ваться и на практике. В этой связи Комитет рекомендовал правительству ра</w:t>
      </w:r>
      <w:r w:rsidR="0084609B">
        <w:t>с</w:t>
      </w:r>
      <w:r w:rsidR="0084609B">
        <w:t>смотреть вопрос о том, подходят ли имеющиеся средства административной и судебной защиты для того, чтобы преодолевать дискриминацию в сфере труда и занятий, а также любых других препятствий к выявлению и улаживанию случаев дискриминации в названной сфере. В этом контексте Комитет рек</w:t>
      </w:r>
      <w:r w:rsidR="0084609B">
        <w:t>о</w:t>
      </w:r>
      <w:r w:rsidR="0084609B">
        <w:t>мендовал усилить воспитательно-просветительную работу по вопросам раве</w:t>
      </w:r>
      <w:r w:rsidR="0084609B">
        <w:t>н</w:t>
      </w:r>
      <w:r w:rsidR="0084609B">
        <w:t>ства. Комитет просил правительство предоставить подробную информацию о мерах, принятых или предусматриваемых в этом отношении, указав при этом, как налаживается сотрудничество с организациями трудящихся и работодат</w:t>
      </w:r>
      <w:r w:rsidR="0084609B">
        <w:t>е</w:t>
      </w:r>
      <w:r w:rsidR="0084609B">
        <w:t>лей и друг</w:t>
      </w:r>
      <w:r w:rsidR="0084609B">
        <w:t>и</w:t>
      </w:r>
      <w:r w:rsidR="0084609B">
        <w:t>ми надлежащими органами, например Национальной комиссией по правам человека. Комитет также просил правительство указать любые случаи дискриминации в сфере труда и занятий, которые разбирались ко</w:t>
      </w:r>
      <w:r w:rsidR="0084609B">
        <w:t>м</w:t>
      </w:r>
      <w:r w:rsidR="0084609B">
        <w:t>петентными органами.</w:t>
      </w:r>
    </w:p>
    <w:p w:rsidR="0084609B" w:rsidRDefault="00EE1D58" w:rsidP="0084609B">
      <w:pPr>
        <w:pStyle w:val="SingleTxt"/>
      </w:pPr>
      <w:r>
        <w:tab/>
      </w:r>
      <w:r w:rsidR="0084609B">
        <w:t>Комитет отметил указание правительства на то, что в статье 16 проекта Трудового кодекса предусматривается, что работник не может подвергнуться взыск</w:t>
      </w:r>
      <w:r w:rsidR="0084609B">
        <w:t>а</w:t>
      </w:r>
      <w:r w:rsidR="0084609B">
        <w:t>нию за то, что он стал жертвой сексуального домогательства или отверг сексуальные домогательства со стороны работодателя, представителя работ</w:t>
      </w:r>
      <w:r w:rsidR="0084609B">
        <w:t>о</w:t>
      </w:r>
      <w:r w:rsidR="0084609B">
        <w:t>дателя или любого иного лица, злоупотребляющего своей властью. То же п</w:t>
      </w:r>
      <w:r w:rsidR="0084609B">
        <w:t>о</w:t>
      </w:r>
      <w:r w:rsidR="0084609B">
        <w:t>ложение защищает и работников, доносящих о сексуальном домогательстве. Комитет выразил надежду, что новые законоположения о сексуальном домог</w:t>
      </w:r>
      <w:r w:rsidR="0084609B">
        <w:t>а</w:t>
      </w:r>
      <w:r w:rsidR="0084609B">
        <w:t>тельстве позволят не только защитить трудящихся от репрессий, но и опред</w:t>
      </w:r>
      <w:r w:rsidR="0084609B">
        <w:t>е</w:t>
      </w:r>
      <w:r w:rsidR="0084609B">
        <w:t>лить и з</w:t>
      </w:r>
      <w:r w:rsidR="0084609B">
        <w:t>а</w:t>
      </w:r>
      <w:r w:rsidR="0084609B">
        <w:t>претить сексуальное домогательство как таковое. Комитет просил правител</w:t>
      </w:r>
      <w:r w:rsidR="0084609B">
        <w:t>ь</w:t>
      </w:r>
      <w:r w:rsidR="0084609B">
        <w:t>ство держать его в курсе шагов, предпринимаемых для включения в Трудовой кодекс надлежащих положений о сексуальном домогател</w:t>
      </w:r>
      <w:r w:rsidR="0084609B">
        <w:t>ь</w:t>
      </w:r>
      <w:r w:rsidR="0084609B">
        <w:t>стве.</w:t>
      </w:r>
    </w:p>
    <w:p w:rsidR="0084609B" w:rsidRDefault="0084609B" w:rsidP="0084609B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38" style="position:absolute;left:0;text-align:left;z-index:2" from="210.2pt,30pt" to="282.2pt,30pt" strokeweight=".25pt"/>
        </w:pict>
      </w:r>
    </w:p>
    <w:sectPr w:rsidR="0084609B" w:rsidSect="00695E4F">
      <w:headerReference w:type="first" r:id="rId14"/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2-23T08:14:00Z" w:initials="Start">
    <w:p w:rsidR="00BA1C3E" w:rsidRPr="005F0EB5" w:rsidRDefault="00BA1C3E">
      <w:pPr>
        <w:pStyle w:val="CommentText"/>
        <w:rPr>
          <w:lang w:val="en-US"/>
        </w:rPr>
      </w:pPr>
      <w:r>
        <w:fldChar w:fldCharType="begin"/>
      </w:r>
      <w:r w:rsidRPr="005F0EB5">
        <w:rPr>
          <w:rStyle w:val="CommentReference"/>
          <w:lang w:val="en-US"/>
        </w:rPr>
        <w:instrText xml:space="preserve"> </w:instrText>
      </w:r>
      <w:r w:rsidRPr="005F0EB5">
        <w:rPr>
          <w:lang w:val="en-US"/>
        </w:rPr>
        <w:instrText>PAGE \# "'Page: '#'</w:instrText>
      </w:r>
      <w:r w:rsidRPr="005F0EB5">
        <w:rPr>
          <w:lang w:val="en-US"/>
        </w:rPr>
        <w:br/>
        <w:instrText>'"</w:instrText>
      </w:r>
      <w:r w:rsidRPr="005F0EB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F0EB5">
        <w:rPr>
          <w:lang w:val="en-US"/>
        </w:rPr>
        <w:t>&lt;&lt;ODS JOB NO&gt;&gt;N0920561R&lt;&lt;ODS JOB NO&gt;&gt;</w:t>
      </w:r>
    </w:p>
    <w:p w:rsidR="00BA1C3E" w:rsidRPr="005F0EB5" w:rsidRDefault="00BA1C3E">
      <w:pPr>
        <w:pStyle w:val="CommentText"/>
        <w:rPr>
          <w:lang w:val="en-US"/>
        </w:rPr>
      </w:pPr>
      <w:r w:rsidRPr="005F0EB5">
        <w:rPr>
          <w:lang w:val="en-US"/>
        </w:rPr>
        <w:t>&lt;&lt;ODS DOC SYMBOL1&gt;&gt;CEDAW/C/2009/I/3/Add.4&lt;&lt;ODS DOC SYMBOL1&gt;&gt;</w:t>
      </w:r>
    </w:p>
    <w:p w:rsidR="00BA1C3E" w:rsidRPr="005F0EB5" w:rsidRDefault="00BA1C3E">
      <w:pPr>
        <w:pStyle w:val="CommentText"/>
        <w:rPr>
          <w:lang w:val="en-US"/>
        </w:rPr>
      </w:pPr>
      <w:r w:rsidRPr="005F0EB5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73" w:rsidRDefault="00097573">
      <w:r>
        <w:separator/>
      </w:r>
    </w:p>
  </w:endnote>
  <w:endnote w:type="continuationSeparator" w:id="0">
    <w:p w:rsidR="00097573" w:rsidRDefault="0009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A1C3E" w:rsidTr="00BC5BA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A1C3E" w:rsidRPr="00BC5BAF" w:rsidRDefault="00BA1C3E" w:rsidP="00BC5BAF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92481">
            <w:t>14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A1C3E" w:rsidRPr="00BC5BAF" w:rsidRDefault="00BA1C3E" w:rsidP="00BC5BAF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09-20561</w:t>
          </w:r>
          <w:r>
            <w:rPr>
              <w:b w:val="0"/>
              <w:sz w:val="14"/>
            </w:rPr>
            <w:fldChar w:fldCharType="end"/>
          </w:r>
        </w:p>
      </w:tc>
    </w:tr>
  </w:tbl>
  <w:p w:rsidR="00BA1C3E" w:rsidRPr="00BC5BAF" w:rsidRDefault="00BA1C3E" w:rsidP="00BC5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A1C3E" w:rsidTr="00BC5BA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A1C3E" w:rsidRPr="00BC5BAF" w:rsidRDefault="00BA1C3E" w:rsidP="00BC5BAF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09-20561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A1C3E" w:rsidRPr="00BC5BAF" w:rsidRDefault="00BA1C3E" w:rsidP="00BC5BAF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92481">
            <w:t>15</w:t>
          </w:r>
          <w:r>
            <w:fldChar w:fldCharType="end"/>
          </w:r>
        </w:p>
      </w:tc>
    </w:tr>
  </w:tbl>
  <w:p w:rsidR="00BA1C3E" w:rsidRPr="00BC5BAF" w:rsidRDefault="00BA1C3E" w:rsidP="00BC5B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3E" w:rsidRDefault="00BA1C3E">
    <w:pPr>
      <w:pStyle w:val="Footer"/>
    </w:pPr>
  </w:p>
  <w:p w:rsidR="00BA1C3E" w:rsidRDefault="00BA1C3E" w:rsidP="00BC5BAF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09-20561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230209    2</w:t>
    </w:r>
    <w:r>
      <w:rPr>
        <w:b w:val="0"/>
        <w:sz w:val="20"/>
        <w:lang w:val="ru-RU"/>
      </w:rPr>
      <w:t>5</w:t>
    </w:r>
    <w:r>
      <w:rPr>
        <w:b w:val="0"/>
        <w:sz w:val="20"/>
      </w:rPr>
      <w:t>0209</w:t>
    </w:r>
  </w:p>
  <w:p w:rsidR="00BA1C3E" w:rsidRPr="00BC5BAF" w:rsidRDefault="00BA1C3E" w:rsidP="00BC5BAF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*0920561*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73" w:rsidRDefault="00097573">
      <w:r>
        <w:separator/>
      </w:r>
    </w:p>
  </w:footnote>
  <w:footnote w:type="continuationSeparator" w:id="0">
    <w:p w:rsidR="00097573" w:rsidRDefault="0009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A1C3E" w:rsidTr="00BC5BA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A1C3E" w:rsidRPr="00BC5BAF" w:rsidRDefault="00BA1C3E" w:rsidP="00BC5BA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CEDAW/C/2009/I/3/Add.4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A1C3E" w:rsidRDefault="00BA1C3E" w:rsidP="00BC5BAF">
          <w:pPr>
            <w:pStyle w:val="Header"/>
          </w:pPr>
        </w:p>
      </w:tc>
    </w:tr>
  </w:tbl>
  <w:p w:rsidR="00BA1C3E" w:rsidRPr="00BC5BAF" w:rsidRDefault="00BA1C3E" w:rsidP="00BC5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A1C3E" w:rsidTr="00BC5BA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A1C3E" w:rsidRDefault="00BA1C3E" w:rsidP="00BC5BAF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BA1C3E" w:rsidRPr="00BC5BAF" w:rsidRDefault="00BA1C3E" w:rsidP="00BC5BA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CEDAW/C/2009/I/3/Add.4</w:t>
          </w:r>
          <w:r>
            <w:rPr>
              <w:b/>
            </w:rPr>
            <w:fldChar w:fldCharType="end"/>
          </w:r>
        </w:p>
      </w:tc>
    </w:tr>
  </w:tbl>
  <w:p w:rsidR="00BA1C3E" w:rsidRPr="00BC5BAF" w:rsidRDefault="00BA1C3E" w:rsidP="00BC5B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BA1C3E" w:rsidTr="00BC5BA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A1C3E" w:rsidRPr="00BC5BAF" w:rsidRDefault="00BA1C3E" w:rsidP="00BC5BA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A1C3E" w:rsidRDefault="00BA1C3E" w:rsidP="00BC5BAF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A1C3E" w:rsidRPr="00BC5BAF" w:rsidRDefault="00BA1C3E" w:rsidP="00BC5BA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/C/2009/I/3/Add.4</w:t>
          </w:r>
        </w:p>
      </w:tc>
    </w:tr>
    <w:tr w:rsidR="00BA1C3E" w:rsidRPr="005F0EB5" w:rsidTr="00BC5BAF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A1C3E" w:rsidRDefault="00BA1C3E" w:rsidP="00BC5BAF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BA1C3E" w:rsidRPr="00BC5BAF" w:rsidRDefault="00BA1C3E" w:rsidP="00BC5BAF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A1C3E" w:rsidRPr="00BC5BAF" w:rsidRDefault="00BA1C3E" w:rsidP="00BC5BAF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A1C3E" w:rsidRPr="005F0EB5" w:rsidRDefault="00BA1C3E" w:rsidP="00BC5BAF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A1C3E" w:rsidRPr="005F0EB5" w:rsidRDefault="00BA1C3E" w:rsidP="00BC5BAF">
          <w:pPr>
            <w:spacing w:before="240"/>
            <w:rPr>
              <w:lang w:val="en-US"/>
            </w:rPr>
          </w:pPr>
          <w:r w:rsidRPr="005F0EB5">
            <w:rPr>
              <w:lang w:val="en-US"/>
            </w:rPr>
            <w:t>Distr.: General</w:t>
          </w:r>
        </w:p>
        <w:p w:rsidR="00BA1C3E" w:rsidRPr="005F0EB5" w:rsidRDefault="00BA1C3E" w:rsidP="00BC5BAF">
          <w:pPr>
            <w:rPr>
              <w:lang w:val="en-US"/>
            </w:rPr>
          </w:pPr>
          <w:r w:rsidRPr="005F0EB5">
            <w:rPr>
              <w:lang w:val="en-US"/>
            </w:rPr>
            <w:t>12 January 2009</w:t>
          </w:r>
        </w:p>
        <w:p w:rsidR="00BA1C3E" w:rsidRPr="005F0EB5" w:rsidRDefault="00BA1C3E" w:rsidP="00BC5BAF">
          <w:pPr>
            <w:rPr>
              <w:lang w:val="en-US"/>
            </w:rPr>
          </w:pPr>
          <w:r w:rsidRPr="005F0EB5">
            <w:rPr>
              <w:lang w:val="en-US"/>
            </w:rPr>
            <w:t>Russian</w:t>
          </w:r>
        </w:p>
        <w:p w:rsidR="00BA1C3E" w:rsidRPr="005F0EB5" w:rsidRDefault="00BA1C3E" w:rsidP="00BC5BAF">
          <w:pPr>
            <w:rPr>
              <w:lang w:val="en-US"/>
            </w:rPr>
          </w:pPr>
          <w:r w:rsidRPr="005F0EB5">
            <w:rPr>
              <w:lang w:val="en-US"/>
            </w:rPr>
            <w:t>Original: English</w:t>
          </w:r>
        </w:p>
      </w:tc>
    </w:tr>
  </w:tbl>
  <w:p w:rsidR="00BA1C3E" w:rsidRPr="00BC5BAF" w:rsidRDefault="00BA1C3E" w:rsidP="00BC5BAF">
    <w:pPr>
      <w:pStyle w:val="Header"/>
      <w:spacing w:line="20" w:lineRule="exac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4833"/>
      <w:gridCol w:w="20"/>
      <w:gridCol w:w="374"/>
      <w:gridCol w:w="245"/>
      <w:gridCol w:w="3140"/>
      <w:gridCol w:w="28"/>
    </w:tblGrid>
    <w:tr w:rsidR="00BA1C3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vAlign w:val="bottom"/>
        </w:tcPr>
        <w:p w:rsidR="00BA1C3E" w:rsidRDefault="00BA1C3E">
          <w:pPr>
            <w:pStyle w:val="Header"/>
            <w:spacing w:after="120"/>
          </w:pPr>
        </w:p>
      </w:tc>
      <w:tc>
        <w:tcPr>
          <w:tcW w:w="4833" w:type="dxa"/>
          <w:tcBorders>
            <w:bottom w:val="single" w:sz="4" w:space="0" w:color="auto"/>
          </w:tcBorders>
          <w:vAlign w:val="bottom"/>
        </w:tcPr>
        <w:p w:rsidR="00BA1C3E" w:rsidRDefault="00BA1C3E">
          <w:pPr>
            <w:spacing w:after="80"/>
            <w:rPr>
              <w:b/>
              <w:spacing w:val="2"/>
              <w:w w:val="96"/>
            </w:rPr>
          </w:pPr>
          <w:r>
            <w:rPr>
              <w:b/>
              <w:spacing w:val="2"/>
              <w:w w:val="96"/>
            </w:rPr>
            <w:t>Организация Объединенных Наций</w:t>
          </w:r>
        </w:p>
      </w:tc>
      <w:tc>
        <w:tcPr>
          <w:tcW w:w="20" w:type="dxa"/>
          <w:tcBorders>
            <w:bottom w:val="single" w:sz="4" w:space="0" w:color="auto"/>
          </w:tcBorders>
          <w:vAlign w:val="bottom"/>
        </w:tcPr>
        <w:p w:rsidR="00BA1C3E" w:rsidRDefault="00BA1C3E">
          <w:pPr>
            <w:pStyle w:val="Header"/>
            <w:spacing w:after="120"/>
          </w:pPr>
        </w:p>
      </w:tc>
      <w:tc>
        <w:tcPr>
          <w:tcW w:w="3787" w:type="dxa"/>
          <w:gridSpan w:val="4"/>
          <w:tcBorders>
            <w:bottom w:val="single" w:sz="4" w:space="0" w:color="auto"/>
          </w:tcBorders>
          <w:vAlign w:val="bottom"/>
        </w:tcPr>
        <w:p w:rsidR="00BA1C3E" w:rsidRDefault="00BA1C3E">
          <w:pPr>
            <w:spacing w:after="80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/C/2008/III/3/Add.2</w:t>
          </w:r>
        </w:p>
      </w:tc>
    </w:tr>
    <w:tr w:rsidR="00BA1C3E">
      <w:tblPrEx>
        <w:tblCellMar>
          <w:top w:w="0" w:type="dxa"/>
          <w:bottom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</w:tcPr>
        <w:p w:rsidR="00BA1C3E" w:rsidRDefault="00BA1C3E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25pt;height:46.5pt">
                <v:imagedata r:id="rId1" o:title="_unlogo"/>
              </v:shape>
            </w:pict>
          </w:r>
        </w:p>
        <w:p w:rsidR="00BA1C3E" w:rsidRDefault="00BA1C3E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</w:tcPr>
        <w:p w:rsidR="00BA1C3E" w:rsidRDefault="00BA1C3E">
          <w:pPr>
            <w:spacing w:before="109" w:line="330" w:lineRule="exact"/>
            <w:rPr>
              <w:sz w:val="34"/>
            </w:rPr>
          </w:pPr>
        </w:p>
        <w:p w:rsidR="00BA1C3E" w:rsidRDefault="00BA1C3E">
          <w:pPr>
            <w:spacing w:before="109" w:line="330" w:lineRule="exact"/>
            <w:rPr>
              <w:sz w:val="34"/>
            </w:rPr>
          </w:pPr>
          <w:r>
            <w:rPr>
              <w:sz w:val="34"/>
            </w:rPr>
            <w:t xml:space="preserve">Конвенция о ликвидации </w:t>
          </w:r>
          <w:r w:rsidRPr="008351B5">
            <w:rPr>
              <w:sz w:val="34"/>
            </w:rPr>
            <w:br/>
          </w:r>
          <w:r>
            <w:rPr>
              <w:sz w:val="34"/>
            </w:rPr>
            <w:t xml:space="preserve">всех форм дискриминации </w:t>
          </w:r>
          <w:r w:rsidRPr="008351B5">
            <w:rPr>
              <w:sz w:val="34"/>
            </w:rPr>
            <w:br/>
          </w:r>
          <w:r>
            <w:rPr>
              <w:sz w:val="34"/>
            </w:rPr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</w:tcPr>
        <w:p w:rsidR="00BA1C3E" w:rsidRDefault="00BA1C3E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</w:tcPr>
        <w:p w:rsidR="00BA1C3E" w:rsidRPr="008351B5" w:rsidRDefault="00BA1C3E">
          <w:pPr>
            <w:spacing w:before="240"/>
            <w:rPr>
              <w:sz w:val="22"/>
              <w:szCs w:val="22"/>
              <w:lang w:val="en-US"/>
            </w:rPr>
          </w:pPr>
          <w:r w:rsidRPr="008351B5">
            <w:rPr>
              <w:sz w:val="22"/>
              <w:szCs w:val="22"/>
              <w:lang w:val="en-US"/>
            </w:rPr>
            <w:t>Distr.: General</w:t>
          </w:r>
        </w:p>
        <w:p w:rsidR="00BA1C3E" w:rsidRPr="008351B5" w:rsidRDefault="00BA1C3E">
          <w:pPr>
            <w:rPr>
              <w:sz w:val="22"/>
              <w:szCs w:val="22"/>
              <w:lang w:val="en-US"/>
            </w:rPr>
          </w:pPr>
          <w:r w:rsidRPr="008351B5">
            <w:rPr>
              <w:sz w:val="22"/>
              <w:szCs w:val="22"/>
              <w:lang w:val="en-US"/>
            </w:rPr>
            <w:t>12 September 2008</w:t>
          </w:r>
        </w:p>
        <w:p w:rsidR="00BA1C3E" w:rsidRPr="008351B5" w:rsidRDefault="00BA1C3E">
          <w:pPr>
            <w:rPr>
              <w:sz w:val="22"/>
              <w:szCs w:val="22"/>
              <w:lang w:val="en-US"/>
            </w:rPr>
          </w:pPr>
        </w:p>
        <w:p w:rsidR="00BA1C3E" w:rsidRPr="008351B5" w:rsidRDefault="00BA1C3E">
          <w:pPr>
            <w:rPr>
              <w:sz w:val="22"/>
              <w:szCs w:val="22"/>
              <w:lang w:val="en-US"/>
            </w:rPr>
          </w:pPr>
          <w:r w:rsidRPr="008351B5">
            <w:rPr>
              <w:sz w:val="22"/>
              <w:szCs w:val="22"/>
              <w:lang w:val="en-US"/>
            </w:rPr>
            <w:t>Russian</w:t>
          </w:r>
        </w:p>
        <w:p w:rsidR="00BA1C3E" w:rsidRDefault="00BA1C3E">
          <w:pPr>
            <w:rPr>
              <w:lang w:val="en-US"/>
            </w:rPr>
          </w:pPr>
          <w:r w:rsidRPr="008351B5">
            <w:rPr>
              <w:sz w:val="22"/>
              <w:szCs w:val="22"/>
              <w:lang w:val="en-US"/>
            </w:rPr>
            <w:t>Original: English</w:t>
          </w:r>
        </w:p>
      </w:tc>
    </w:tr>
  </w:tbl>
  <w:p w:rsidR="00BA1C3E" w:rsidRDefault="00BA1C3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6">
    <w:nsid w:val="786D3D37"/>
    <w:multiLevelType w:val="multilevel"/>
    <w:tmpl w:val="EE3C04B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20561*"/>
    <w:docVar w:name="CreationDt" w:val="23/02/2009 8:14::17"/>
    <w:docVar w:name="DocCategory" w:val="Doc"/>
    <w:docVar w:name="DocType" w:val="Final"/>
    <w:docVar w:name="FooterJN" w:val="09-20561"/>
    <w:docVar w:name="jobn" w:val="09-20561 (R)"/>
    <w:docVar w:name="jobnDT" w:val="09-20561 (R)   230209"/>
    <w:docVar w:name="jobnDTDT" w:val="09-20561 (R)   230209   230209"/>
    <w:docVar w:name="JobNo" w:val="0920561R"/>
    <w:docVar w:name="OandT" w:val=" "/>
    <w:docVar w:name="sss1" w:val="CEDAW/C/2009/I/3/Add.4"/>
    <w:docVar w:name="sss2" w:val="-"/>
    <w:docVar w:name="Symbol1" w:val="CEDAW/C/2009/I/3/Add.4"/>
    <w:docVar w:name="Symbol2" w:val="-"/>
  </w:docVars>
  <w:rsids>
    <w:rsidRoot w:val="00042481"/>
    <w:rsid w:val="000121EB"/>
    <w:rsid w:val="00042481"/>
    <w:rsid w:val="000453DA"/>
    <w:rsid w:val="000456EE"/>
    <w:rsid w:val="00051525"/>
    <w:rsid w:val="00054707"/>
    <w:rsid w:val="00067768"/>
    <w:rsid w:val="00086C68"/>
    <w:rsid w:val="00094451"/>
    <w:rsid w:val="00097573"/>
    <w:rsid w:val="000D4332"/>
    <w:rsid w:val="000E22D8"/>
    <w:rsid w:val="000E5AE4"/>
    <w:rsid w:val="000F4E8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16A2C"/>
    <w:rsid w:val="00220608"/>
    <w:rsid w:val="00224617"/>
    <w:rsid w:val="002300BF"/>
    <w:rsid w:val="00252F1F"/>
    <w:rsid w:val="0026033B"/>
    <w:rsid w:val="00263747"/>
    <w:rsid w:val="0027035E"/>
    <w:rsid w:val="00273D16"/>
    <w:rsid w:val="00277E29"/>
    <w:rsid w:val="002850EC"/>
    <w:rsid w:val="00295953"/>
    <w:rsid w:val="002A529E"/>
    <w:rsid w:val="002B7B47"/>
    <w:rsid w:val="002C4926"/>
    <w:rsid w:val="00301FA0"/>
    <w:rsid w:val="003173D2"/>
    <w:rsid w:val="00322BEE"/>
    <w:rsid w:val="00323640"/>
    <w:rsid w:val="00324CF9"/>
    <w:rsid w:val="00334763"/>
    <w:rsid w:val="0033684A"/>
    <w:rsid w:val="00340AEC"/>
    <w:rsid w:val="00342A7A"/>
    <w:rsid w:val="003439DF"/>
    <w:rsid w:val="00350BA4"/>
    <w:rsid w:val="003546B2"/>
    <w:rsid w:val="003575F3"/>
    <w:rsid w:val="0036225D"/>
    <w:rsid w:val="003627B4"/>
    <w:rsid w:val="003723B7"/>
    <w:rsid w:val="00385C15"/>
    <w:rsid w:val="003967E4"/>
    <w:rsid w:val="003A37AF"/>
    <w:rsid w:val="003B41AA"/>
    <w:rsid w:val="003C543A"/>
    <w:rsid w:val="003C5DC2"/>
    <w:rsid w:val="003F2AAD"/>
    <w:rsid w:val="0040710C"/>
    <w:rsid w:val="004106FC"/>
    <w:rsid w:val="00411041"/>
    <w:rsid w:val="00412514"/>
    <w:rsid w:val="004238B0"/>
    <w:rsid w:val="00425121"/>
    <w:rsid w:val="00426C2A"/>
    <w:rsid w:val="00427059"/>
    <w:rsid w:val="00450ABB"/>
    <w:rsid w:val="004524F3"/>
    <w:rsid w:val="0045465A"/>
    <w:rsid w:val="00465704"/>
    <w:rsid w:val="004740E4"/>
    <w:rsid w:val="00480A82"/>
    <w:rsid w:val="00493EC3"/>
    <w:rsid w:val="0049561B"/>
    <w:rsid w:val="004B3EAA"/>
    <w:rsid w:val="004C1CDE"/>
    <w:rsid w:val="004C5361"/>
    <w:rsid w:val="004D67BC"/>
    <w:rsid w:val="004E1B63"/>
    <w:rsid w:val="004E2D79"/>
    <w:rsid w:val="004E2F73"/>
    <w:rsid w:val="004E7281"/>
    <w:rsid w:val="00506C2C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0EB5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95E4F"/>
    <w:rsid w:val="006A70C8"/>
    <w:rsid w:val="006E1E10"/>
    <w:rsid w:val="006E57BD"/>
    <w:rsid w:val="006F23E6"/>
    <w:rsid w:val="006F365F"/>
    <w:rsid w:val="007211BA"/>
    <w:rsid w:val="00735BE0"/>
    <w:rsid w:val="00737949"/>
    <w:rsid w:val="00751357"/>
    <w:rsid w:val="007529E4"/>
    <w:rsid w:val="00775E6F"/>
    <w:rsid w:val="0077752C"/>
    <w:rsid w:val="00777664"/>
    <w:rsid w:val="007807F7"/>
    <w:rsid w:val="00785467"/>
    <w:rsid w:val="007A7D19"/>
    <w:rsid w:val="007D0821"/>
    <w:rsid w:val="007D7973"/>
    <w:rsid w:val="007E058B"/>
    <w:rsid w:val="007E2B96"/>
    <w:rsid w:val="008014B4"/>
    <w:rsid w:val="00801F92"/>
    <w:rsid w:val="00807207"/>
    <w:rsid w:val="008076CB"/>
    <w:rsid w:val="00814840"/>
    <w:rsid w:val="008170EE"/>
    <w:rsid w:val="0082546D"/>
    <w:rsid w:val="00825D6F"/>
    <w:rsid w:val="0083450F"/>
    <w:rsid w:val="00842CEF"/>
    <w:rsid w:val="0084609B"/>
    <w:rsid w:val="00864B77"/>
    <w:rsid w:val="00871EEE"/>
    <w:rsid w:val="00882568"/>
    <w:rsid w:val="00890728"/>
    <w:rsid w:val="008A267B"/>
    <w:rsid w:val="008A2A07"/>
    <w:rsid w:val="008B1543"/>
    <w:rsid w:val="008C02F1"/>
    <w:rsid w:val="008D09BB"/>
    <w:rsid w:val="008D20C2"/>
    <w:rsid w:val="008D2173"/>
    <w:rsid w:val="008F21B6"/>
    <w:rsid w:val="0091632F"/>
    <w:rsid w:val="00920724"/>
    <w:rsid w:val="00926417"/>
    <w:rsid w:val="00927EEA"/>
    <w:rsid w:val="00944E74"/>
    <w:rsid w:val="00944ED9"/>
    <w:rsid w:val="00954AA9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4530"/>
    <w:rsid w:val="009F64BE"/>
    <w:rsid w:val="00A25540"/>
    <w:rsid w:val="00A56845"/>
    <w:rsid w:val="00A61A7B"/>
    <w:rsid w:val="00A66744"/>
    <w:rsid w:val="00A66F3C"/>
    <w:rsid w:val="00A8122D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0AB5"/>
    <w:rsid w:val="00B742FC"/>
    <w:rsid w:val="00B93D7B"/>
    <w:rsid w:val="00BA1C3E"/>
    <w:rsid w:val="00BA6CEF"/>
    <w:rsid w:val="00BA7CFD"/>
    <w:rsid w:val="00BB39DF"/>
    <w:rsid w:val="00BB4D20"/>
    <w:rsid w:val="00BB592C"/>
    <w:rsid w:val="00BC5BAF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5E4E"/>
    <w:rsid w:val="00C67968"/>
    <w:rsid w:val="00C74A64"/>
    <w:rsid w:val="00C91290"/>
    <w:rsid w:val="00CA13D0"/>
    <w:rsid w:val="00CA5356"/>
    <w:rsid w:val="00CB63B3"/>
    <w:rsid w:val="00CD1F13"/>
    <w:rsid w:val="00CE23C8"/>
    <w:rsid w:val="00CE57D7"/>
    <w:rsid w:val="00CE5881"/>
    <w:rsid w:val="00CF623C"/>
    <w:rsid w:val="00CF7A09"/>
    <w:rsid w:val="00D06046"/>
    <w:rsid w:val="00D06B8D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2481"/>
    <w:rsid w:val="00D932CB"/>
    <w:rsid w:val="00D95BEC"/>
    <w:rsid w:val="00D95CBB"/>
    <w:rsid w:val="00D96620"/>
    <w:rsid w:val="00DA22E5"/>
    <w:rsid w:val="00DA5F52"/>
    <w:rsid w:val="00DA666E"/>
    <w:rsid w:val="00DB699A"/>
    <w:rsid w:val="00DC24D3"/>
    <w:rsid w:val="00DC32E5"/>
    <w:rsid w:val="00DC4696"/>
    <w:rsid w:val="00DE5E5D"/>
    <w:rsid w:val="00DF1785"/>
    <w:rsid w:val="00E05593"/>
    <w:rsid w:val="00E06BB2"/>
    <w:rsid w:val="00E10759"/>
    <w:rsid w:val="00E3468B"/>
    <w:rsid w:val="00E44AA6"/>
    <w:rsid w:val="00E45B2C"/>
    <w:rsid w:val="00E54D9D"/>
    <w:rsid w:val="00E6707A"/>
    <w:rsid w:val="00E825E7"/>
    <w:rsid w:val="00E840BA"/>
    <w:rsid w:val="00E9069B"/>
    <w:rsid w:val="00EA2334"/>
    <w:rsid w:val="00EA7AD6"/>
    <w:rsid w:val="00EB05F9"/>
    <w:rsid w:val="00EB451F"/>
    <w:rsid w:val="00EC0362"/>
    <w:rsid w:val="00EC4F9E"/>
    <w:rsid w:val="00EC55FB"/>
    <w:rsid w:val="00ED472F"/>
    <w:rsid w:val="00EE1D58"/>
    <w:rsid w:val="00F01AD0"/>
    <w:rsid w:val="00F1582B"/>
    <w:rsid w:val="00F219A2"/>
    <w:rsid w:val="00F2277F"/>
    <w:rsid w:val="00F24A3B"/>
    <w:rsid w:val="00F32208"/>
    <w:rsid w:val="00F34ED6"/>
    <w:rsid w:val="00F409BE"/>
    <w:rsid w:val="00F4347F"/>
    <w:rsid w:val="00F805C0"/>
    <w:rsid w:val="00F91203"/>
    <w:rsid w:val="00FA0AC9"/>
    <w:rsid w:val="00FB6F38"/>
    <w:rsid w:val="00FC23A9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paragraph" w:styleId="Heading2">
    <w:name w:val="heading 2"/>
    <w:basedOn w:val="Normal"/>
    <w:next w:val="Normal"/>
    <w:qFormat/>
    <w:rsid w:val="004524F3"/>
    <w:pPr>
      <w:keepNext/>
      <w:spacing w:line="240" w:lineRule="auto"/>
      <w:outlineLvl w:val="1"/>
    </w:pPr>
    <w:rPr>
      <w:rFonts w:ascii="Times New Roman TUR" w:hAnsi="Times New Roman TUR"/>
      <w:b/>
      <w:bCs/>
      <w:spacing w:val="0"/>
      <w:w w:val="100"/>
      <w:kern w:val="0"/>
      <w:sz w:val="24"/>
      <w:szCs w:val="24"/>
      <w:lang w:val="de-DE"/>
    </w:rPr>
  </w:style>
  <w:style w:type="paragraph" w:styleId="Heading3">
    <w:name w:val="heading 3"/>
    <w:basedOn w:val="Normal"/>
    <w:next w:val="Normal"/>
    <w:qFormat/>
    <w:rsid w:val="004524F3"/>
    <w:pPr>
      <w:keepNext/>
      <w:spacing w:line="240" w:lineRule="auto"/>
      <w:jc w:val="center"/>
      <w:outlineLvl w:val="2"/>
    </w:pPr>
    <w:rPr>
      <w:rFonts w:ascii="Times New Roman TUR" w:hAnsi="Times New Roman TUR"/>
      <w:b/>
      <w:bCs/>
      <w:spacing w:val="0"/>
      <w:w w:val="100"/>
      <w:kern w:val="0"/>
      <w:sz w:val="24"/>
      <w:szCs w:val="24"/>
      <w:lang w:val="en-US"/>
    </w:rPr>
  </w:style>
  <w:style w:type="paragraph" w:styleId="Heading4">
    <w:name w:val="heading 4"/>
    <w:basedOn w:val="Normal"/>
    <w:qFormat/>
    <w:rsid w:val="004524F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pacing w:val="0"/>
      <w:w w:val="100"/>
      <w:kern w:val="0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4524F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uto"/>
      <w:ind w:left="720"/>
      <w:jc w:val="both"/>
      <w:outlineLvl w:val="4"/>
    </w:pPr>
    <w:rPr>
      <w:spacing w:val="0"/>
      <w:w w:val="100"/>
      <w:kern w:val="0"/>
      <w:sz w:val="24"/>
      <w:szCs w:val="24"/>
      <w:lang w:val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BC5BAF"/>
  </w:style>
  <w:style w:type="paragraph" w:styleId="CommentSubject">
    <w:name w:val="annotation subject"/>
    <w:basedOn w:val="CommentText"/>
    <w:next w:val="CommentText"/>
    <w:semiHidden/>
    <w:rsid w:val="00BC5BAF"/>
    <w:rPr>
      <w:b/>
      <w:bCs/>
    </w:rPr>
  </w:style>
  <w:style w:type="paragraph" w:customStyle="1" w:styleId="FootnoteTex">
    <w:name w:val="Footnote Tex"/>
    <w:rsid w:val="004524F3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BodyText">
    <w:name w:val="Body Text"/>
    <w:basedOn w:val="Normal"/>
    <w:rsid w:val="004524F3"/>
    <w:pPr>
      <w:spacing w:line="240" w:lineRule="auto"/>
      <w:jc w:val="both"/>
    </w:pPr>
    <w:rPr>
      <w:rFonts w:ascii="Times New Roman TUR" w:hAnsi="Times New Roman TUR"/>
      <w:spacing w:val="0"/>
      <w:w w:val="100"/>
      <w:kern w:val="0"/>
      <w:sz w:val="24"/>
      <w:szCs w:val="24"/>
      <w:lang w:val="de-DE"/>
    </w:rPr>
  </w:style>
  <w:style w:type="paragraph" w:customStyle="1" w:styleId="BodyTextIn">
    <w:name w:val="Body Text In"/>
    <w:rsid w:val="004524F3"/>
    <w:pPr>
      <w:widowControl w:val="0"/>
      <w:autoSpaceDE w:val="0"/>
      <w:autoSpaceDN w:val="0"/>
      <w:adjustRightInd w:val="0"/>
      <w:jc w:val="both"/>
    </w:pPr>
    <w:rPr>
      <w:sz w:val="24"/>
      <w:szCs w:val="24"/>
      <w:lang w:val="en-US" w:eastAsia="en-US"/>
    </w:rPr>
  </w:style>
  <w:style w:type="paragraph" w:customStyle="1" w:styleId="1">
    <w:name w:val="1"/>
    <w:rsid w:val="004524F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4576</Words>
  <Characters>30621</Characters>
  <Application>Microsoft Office Word</Application>
  <DocSecurity>4</DocSecurity>
  <Lines>651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Elena Petrichenko</dc:creator>
  <cp:keywords/>
  <dc:description/>
  <cp:lastModifiedBy>Tatiana Khotuleva</cp:lastModifiedBy>
  <cp:revision>3</cp:revision>
  <cp:lastPrinted>2009-02-25T13:38:00Z</cp:lastPrinted>
  <dcterms:created xsi:type="dcterms:W3CDTF">2009-02-25T13:40:00Z</dcterms:created>
  <dcterms:modified xsi:type="dcterms:W3CDTF">2009-02-25T13:40:00Z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0920561</vt:lpwstr>
  </property>
  <property fmtid="{D5CDD505-2E9C-101B-9397-08002B2CF9AE}" pid="3" name="Symbol1">
    <vt:lpwstr>CEDAW/C/2009/I/3/Add.4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15</vt:lpwstr>
  </property>
  <property fmtid="{D5CDD505-2E9C-101B-9397-08002B2CF9AE}" pid="8" name="Operator">
    <vt:lpwstr>Khotuleva</vt:lpwstr>
  </property>
</Properties>
</file>