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C576D1" w:rsidP="00C576D1">
            <w:pPr>
              <w:jc w:val="right"/>
            </w:pPr>
            <w:r w:rsidRPr="00C576D1">
              <w:rPr>
                <w:sz w:val="40"/>
              </w:rPr>
              <w:t>CERD</w:t>
            </w:r>
            <w:r>
              <w:t>/C/IRL/CO/3-4/Add.1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sidR="0071186E">
              <w:rPr>
                <w:b/>
                <w:sz w:val="34"/>
                <w:szCs w:val="34"/>
              </w:rPr>
              <w:t xml:space="preserve"> </w:t>
            </w:r>
            <w:r>
              <w:rPr>
                <w:b/>
                <w:sz w:val="34"/>
                <w:szCs w:val="34"/>
              </w:rPr>
              <w:t>l</w:t>
            </w:r>
            <w:r w:rsidR="004F61DE">
              <w:rPr>
                <w:b/>
                <w:sz w:val="34"/>
                <w:szCs w:val="34"/>
              </w:rPr>
              <w:t>’</w:t>
            </w:r>
            <w:r>
              <w:rPr>
                <w:b/>
                <w:sz w:val="34"/>
                <w:szCs w:val="34"/>
              </w:rPr>
              <w:t>é</w:t>
            </w:r>
            <w:r w:rsidR="0071186E">
              <w:rPr>
                <w:b/>
                <w:sz w:val="34"/>
                <w:szCs w:val="34"/>
              </w:rPr>
              <w:t>limination de toutes les formes de </w:t>
            </w:r>
            <w:r>
              <w:rPr>
                <w:b/>
                <w:sz w:val="34"/>
                <w:szCs w:val="34"/>
              </w:rPr>
              <w:t>discrimination raciale</w:t>
            </w:r>
          </w:p>
        </w:tc>
        <w:tc>
          <w:tcPr>
            <w:tcW w:w="2835" w:type="dxa"/>
            <w:tcBorders>
              <w:top w:val="single" w:sz="4" w:space="0" w:color="auto"/>
              <w:bottom w:val="single" w:sz="12" w:space="0" w:color="auto"/>
            </w:tcBorders>
          </w:tcPr>
          <w:p w:rsidR="00C576D1" w:rsidRDefault="00C576D1" w:rsidP="00593658">
            <w:pPr>
              <w:spacing w:before="240"/>
            </w:pPr>
            <w:r>
              <w:t>Distr. générale</w:t>
            </w:r>
          </w:p>
          <w:p w:rsidR="00C576D1" w:rsidRDefault="0065143D" w:rsidP="00C576D1">
            <w:pPr>
              <w:spacing w:line="240" w:lineRule="exact"/>
            </w:pPr>
            <w:r>
              <w:t>3</w:t>
            </w:r>
            <w:r w:rsidR="00C576D1">
              <w:t xml:space="preserve"> juillet 2012</w:t>
            </w:r>
          </w:p>
          <w:p w:rsidR="00C576D1" w:rsidRDefault="00C576D1" w:rsidP="00C576D1">
            <w:pPr>
              <w:spacing w:line="240" w:lineRule="exact"/>
            </w:pPr>
            <w:r>
              <w:t>Français</w:t>
            </w:r>
          </w:p>
          <w:p w:rsidR="002E0D40" w:rsidRPr="00DB58B5" w:rsidRDefault="00C576D1" w:rsidP="00C576D1">
            <w:pPr>
              <w:spacing w:line="240" w:lineRule="exact"/>
            </w:pPr>
            <w:r>
              <w:t>Original: anglais</w:t>
            </w:r>
          </w:p>
        </w:tc>
      </w:tr>
    </w:tbl>
    <w:p w:rsidR="00FF1DBD" w:rsidRDefault="0078670C" w:rsidP="00C576D1">
      <w:pPr>
        <w:spacing w:before="120"/>
        <w:rPr>
          <w:b/>
          <w:sz w:val="24"/>
          <w:szCs w:val="24"/>
        </w:rPr>
      </w:pPr>
      <w:r w:rsidRPr="00C56102">
        <w:rPr>
          <w:b/>
          <w:sz w:val="24"/>
          <w:szCs w:val="24"/>
        </w:rPr>
        <w:t>Comité pour l</w:t>
      </w:r>
      <w:r w:rsidR="004F61DE">
        <w:rPr>
          <w:b/>
          <w:sz w:val="24"/>
          <w:szCs w:val="24"/>
        </w:rPr>
        <w:t>’</w:t>
      </w:r>
      <w:r w:rsidRPr="00C56102">
        <w:rPr>
          <w:b/>
          <w:sz w:val="24"/>
          <w:szCs w:val="24"/>
        </w:rPr>
        <w:t>éliminati</w:t>
      </w:r>
      <w:r w:rsidR="00C576D1">
        <w:rPr>
          <w:b/>
          <w:sz w:val="24"/>
          <w:szCs w:val="24"/>
        </w:rPr>
        <w:t>on de la discrimination raciale</w:t>
      </w:r>
    </w:p>
    <w:p w:rsidR="00C576D1" w:rsidRPr="00087AEA" w:rsidRDefault="00C576D1" w:rsidP="00444D01">
      <w:pPr>
        <w:pStyle w:val="HMG"/>
      </w:pPr>
      <w:r>
        <w:tab/>
      </w:r>
      <w:r>
        <w:tab/>
      </w:r>
      <w:r w:rsidRPr="00087AEA">
        <w:t>Examen des rapports soumis par les États parties</w:t>
      </w:r>
      <w:r>
        <w:t xml:space="preserve"> </w:t>
      </w:r>
      <w:r w:rsidRPr="00087AEA">
        <w:t>en</w:t>
      </w:r>
      <w:r>
        <w:t> </w:t>
      </w:r>
      <w:r w:rsidRPr="00087AEA">
        <w:t>application de l</w:t>
      </w:r>
      <w:r w:rsidR="004F61DE">
        <w:t>’</w:t>
      </w:r>
      <w:r w:rsidRPr="00087AEA">
        <w:t>article 9 de la Convention</w:t>
      </w:r>
    </w:p>
    <w:p w:rsidR="00C576D1" w:rsidRPr="00087AEA" w:rsidRDefault="00C576D1" w:rsidP="00444D01">
      <w:pPr>
        <w:pStyle w:val="HChG"/>
      </w:pPr>
      <w:r>
        <w:tab/>
      </w:r>
      <w:r>
        <w:tab/>
      </w:r>
      <w:r w:rsidRPr="00087AEA">
        <w:t>Observations finales du Comité pour l</w:t>
      </w:r>
      <w:r w:rsidR="004F61DE">
        <w:t>’</w:t>
      </w:r>
      <w:r w:rsidRPr="00087AEA">
        <w:t xml:space="preserve">élimination </w:t>
      </w:r>
      <w:r w:rsidR="00E00EF5">
        <w:t>de la </w:t>
      </w:r>
      <w:r w:rsidRPr="00087AEA">
        <w:t>discrimination raciale</w:t>
      </w:r>
    </w:p>
    <w:p w:rsidR="00C576D1" w:rsidRPr="00087AEA" w:rsidRDefault="00C576D1" w:rsidP="00444D01">
      <w:pPr>
        <w:pStyle w:val="HMG"/>
      </w:pPr>
      <w:r>
        <w:tab/>
      </w:r>
      <w:r>
        <w:tab/>
        <w:t>Irlande</w:t>
      </w:r>
    </w:p>
    <w:p w:rsidR="00C576D1" w:rsidRPr="00444D01" w:rsidRDefault="00C576D1" w:rsidP="00444D01">
      <w:pPr>
        <w:pStyle w:val="H23G"/>
      </w:pPr>
      <w:r>
        <w:tab/>
      </w:r>
      <w:r>
        <w:tab/>
      </w:r>
      <w:r w:rsidRPr="00087AEA">
        <w:t>Additif</w:t>
      </w:r>
    </w:p>
    <w:p w:rsidR="00C576D1" w:rsidRPr="00087AEA" w:rsidRDefault="00C576D1" w:rsidP="00444D01">
      <w:pPr>
        <w:pStyle w:val="HChG"/>
      </w:pPr>
      <w:r>
        <w:tab/>
      </w:r>
      <w:r>
        <w:tab/>
      </w:r>
      <w:r w:rsidRPr="00087AEA">
        <w:t xml:space="preserve">Informations communiquées par le Gouvernement </w:t>
      </w:r>
      <w:r>
        <w:t xml:space="preserve">irlandais </w:t>
      </w:r>
      <w:r w:rsidRPr="00087AEA">
        <w:t>sur la suite donnée aux observations finales du Comité</w:t>
      </w:r>
      <w:r>
        <w:t xml:space="preserve"> (CERD/C/IRL/CO/3-4)</w:t>
      </w:r>
      <w:r w:rsidRPr="00087AEA">
        <w:rPr>
          <w:rStyle w:val="FootnoteReference"/>
          <w:b w:val="0"/>
          <w:sz w:val="20"/>
          <w:vertAlign w:val="baseline"/>
        </w:rPr>
        <w:footnoteReference w:customMarkFollows="1" w:id="2"/>
        <w:t>*</w:t>
      </w:r>
    </w:p>
    <w:p w:rsidR="00C576D1" w:rsidRPr="00087AEA" w:rsidRDefault="00C576D1" w:rsidP="00C576D1">
      <w:pPr>
        <w:pStyle w:val="SingleTxtG"/>
        <w:jc w:val="right"/>
      </w:pPr>
      <w:r w:rsidRPr="00087AEA">
        <w:t>[</w:t>
      </w:r>
      <w:r>
        <w:t>24 mai</w:t>
      </w:r>
      <w:r w:rsidRPr="00087AEA">
        <w:t xml:space="preserve"> 2012]</w:t>
      </w:r>
    </w:p>
    <w:p w:rsidR="00444D01" w:rsidRPr="007C1F01" w:rsidRDefault="00444D01" w:rsidP="00E00EF5">
      <w:pPr>
        <w:pStyle w:val="HChG"/>
      </w:pPr>
      <w:r>
        <w:rPr>
          <w:sz w:val="24"/>
          <w:szCs w:val="24"/>
        </w:rPr>
        <w:br w:type="page"/>
      </w:r>
      <w:r>
        <w:rPr>
          <w:sz w:val="24"/>
          <w:szCs w:val="24"/>
        </w:rPr>
        <w:tab/>
      </w:r>
      <w:r>
        <w:rPr>
          <w:sz w:val="24"/>
          <w:szCs w:val="24"/>
        </w:rPr>
        <w:tab/>
      </w:r>
      <w:r>
        <w:t>Réponse aux questions soul</w:t>
      </w:r>
      <w:r w:rsidR="00E00EF5">
        <w:t>evées dans le paragraphe 11 des </w:t>
      </w:r>
      <w:r>
        <w:t>observations finales du Comité (</w:t>
      </w:r>
      <w:r w:rsidR="00CD0630">
        <w:t>CERD</w:t>
      </w:r>
      <w:r>
        <w:t>/C/IRL/CO/3-4)</w:t>
      </w:r>
    </w:p>
    <w:p w:rsidR="00444D01" w:rsidRDefault="00444D01" w:rsidP="00BB205A">
      <w:pPr>
        <w:pStyle w:val="SingleTxtG"/>
      </w:pPr>
      <w:r>
        <w:t>1.</w:t>
      </w:r>
      <w:r>
        <w:tab/>
        <w:t>L</w:t>
      </w:r>
      <w:r w:rsidR="004F61DE">
        <w:t>’</w:t>
      </w:r>
      <w:r>
        <w:t xml:space="preserve">Irlande ne considère pas que la récession économique actuelle a entraîné une </w:t>
      </w:r>
      <w:r w:rsidR="00BB205A">
        <w:t>in</w:t>
      </w:r>
      <w:r>
        <w:t>version des résultats qu</w:t>
      </w:r>
      <w:r w:rsidR="004F61DE">
        <w:t>’</w:t>
      </w:r>
      <w:r>
        <w:t xml:space="preserve">elle a obtenus dans la lutte contre la discrimination raciale. </w:t>
      </w:r>
    </w:p>
    <w:p w:rsidR="00444D01" w:rsidRDefault="00444D01" w:rsidP="00444D01">
      <w:pPr>
        <w:pStyle w:val="SingleTxtG"/>
      </w:pPr>
      <w:r>
        <w:t>2.</w:t>
      </w:r>
      <w:r>
        <w:tab/>
        <w:t>S</w:t>
      </w:r>
      <w:r w:rsidR="004F61DE">
        <w:t>’</w:t>
      </w:r>
      <w:r>
        <w:t>il est vrai que des coupes importantes ont été opérées au cours des années récentes dans les budgets alloués à l</w:t>
      </w:r>
      <w:r w:rsidR="004F61DE">
        <w:t>’</w:t>
      </w:r>
      <w:r>
        <w:t>Autorité pour l</w:t>
      </w:r>
      <w:r w:rsidR="004F61DE">
        <w:t>’</w:t>
      </w:r>
      <w:r>
        <w:t>égalité et à la Commission des droits de l</w:t>
      </w:r>
      <w:r w:rsidR="004F61DE">
        <w:t>’</w:t>
      </w:r>
      <w:r>
        <w:t xml:space="preserve">homme, ces crédits ont été largement protégés dans le budget 2012 en dépit des </w:t>
      </w:r>
      <w:r w:rsidR="00BB205A">
        <w:t xml:space="preserve">très </w:t>
      </w:r>
      <w:r>
        <w:t>fortes réductions des dépenses de l</w:t>
      </w:r>
      <w:r w:rsidR="004F61DE">
        <w:t>’</w:t>
      </w:r>
      <w:r>
        <w:t>ensemble du secteur public opérées cette année en Irlande. Le Gouvernement a annoncé des propositions tendant à fusionner l</w:t>
      </w:r>
      <w:r w:rsidR="004F61DE">
        <w:t>’</w:t>
      </w:r>
      <w:r>
        <w:t>Autorité pour l</w:t>
      </w:r>
      <w:r w:rsidR="004F61DE">
        <w:t>’</w:t>
      </w:r>
      <w:r>
        <w:t>égalité et la Commission des droits de l</w:t>
      </w:r>
      <w:r w:rsidR="004F61DE">
        <w:t>’</w:t>
      </w:r>
      <w:r>
        <w:t>homme. Ce fusion</w:t>
      </w:r>
      <w:r w:rsidR="00BB205A">
        <w:t>nement</w:t>
      </w:r>
      <w:r>
        <w:t xml:space="preserve"> permettra de renforcer l</w:t>
      </w:r>
      <w:r w:rsidR="004F61DE">
        <w:t>’</w:t>
      </w:r>
      <w:r>
        <w:t>infrastructure irlandaise de protection de l</w:t>
      </w:r>
      <w:r w:rsidR="004F61DE">
        <w:t>’</w:t>
      </w:r>
      <w:r>
        <w:t xml:space="preserve">égalité </w:t>
      </w:r>
      <w:r w:rsidR="00BB205A">
        <w:t xml:space="preserve">et </w:t>
      </w:r>
      <w:r>
        <w:t>des droits de l</w:t>
      </w:r>
      <w:r w:rsidR="004F61DE">
        <w:t>’</w:t>
      </w:r>
      <w:r>
        <w:t>homme, notamment quant à son rôle et à ses fonctions.</w:t>
      </w:r>
    </w:p>
    <w:p w:rsidR="00444D01" w:rsidRPr="00504EAE" w:rsidRDefault="00444D01" w:rsidP="00444D01">
      <w:pPr>
        <w:pStyle w:val="HChG"/>
      </w:pPr>
      <w:r>
        <w:tab/>
      </w:r>
      <w:r>
        <w:tab/>
        <w:t>Réponse aux questions soulevées dans le paragra</w:t>
      </w:r>
      <w:r w:rsidR="00E00EF5">
        <w:t>phe 12 des </w:t>
      </w:r>
      <w:r>
        <w:t>observations finales</w:t>
      </w:r>
    </w:p>
    <w:p w:rsidR="00444D01" w:rsidRDefault="00444D01" w:rsidP="00444D01">
      <w:pPr>
        <w:pStyle w:val="SingleTxtG"/>
      </w:pPr>
      <w:r>
        <w:t>3.</w:t>
      </w:r>
      <w:r>
        <w:tab/>
        <w:t>En octobre 2011, au cours de l</w:t>
      </w:r>
      <w:r w:rsidR="004F61DE">
        <w:t>’</w:t>
      </w:r>
      <w:r>
        <w:t>examen par un groupe de travail du Conseil des droits de l</w:t>
      </w:r>
      <w:r w:rsidR="004F61DE">
        <w:t>’</w:t>
      </w:r>
      <w:r>
        <w:t xml:space="preserve">homme </w:t>
      </w:r>
      <w:r w:rsidR="00BB205A">
        <w:t xml:space="preserve">de </w:t>
      </w:r>
      <w:r>
        <w:t>deux rapports présentés au Conseil par l</w:t>
      </w:r>
      <w:r w:rsidR="004F61DE">
        <w:t>’</w:t>
      </w:r>
      <w:r>
        <w:t xml:space="preserve">Irlande au titre de </w:t>
      </w:r>
      <w:r w:rsidR="00BB205A">
        <w:t>la procédure d</w:t>
      </w:r>
      <w:r w:rsidR="004F61DE">
        <w:t>’</w:t>
      </w:r>
      <w:r>
        <w:t>Examen périodique universel du Conseil, il a été demandé au Ministre de la justice et de l</w:t>
      </w:r>
      <w:r w:rsidR="004F61DE">
        <w:t>’</w:t>
      </w:r>
      <w:r>
        <w:t>égalité, entre autres choses, de donner des p</w:t>
      </w:r>
      <w:r w:rsidR="00404367">
        <w:t xml:space="preserve">récisions sur la situation des </w:t>
      </w:r>
      <w:r w:rsidR="0065143D">
        <w:t>g</w:t>
      </w:r>
      <w:r>
        <w:t xml:space="preserve">ens du voyage irlandais dans la société irlandaise. Une délégation a </w:t>
      </w:r>
      <w:r w:rsidR="00E00EF5">
        <w:t>expressément</w:t>
      </w:r>
      <w:r>
        <w:t xml:space="preserve"> recommandé à l</w:t>
      </w:r>
      <w:r w:rsidR="004F61DE">
        <w:t>’</w:t>
      </w:r>
      <w:r>
        <w:t xml:space="preserve">Irlande de reconnaître les </w:t>
      </w:r>
      <w:r w:rsidR="0065143D">
        <w:t xml:space="preserve">gens </w:t>
      </w:r>
      <w:r>
        <w:t>du voyage comme une minorité ethnique tandis que d</w:t>
      </w:r>
      <w:r w:rsidR="004F61DE">
        <w:t>’</w:t>
      </w:r>
      <w:r>
        <w:t xml:space="preserve">autres interventions </w:t>
      </w:r>
      <w:r w:rsidR="00E00EF5">
        <w:t>s</w:t>
      </w:r>
      <w:r>
        <w:t xml:space="preserve">ont </w:t>
      </w:r>
      <w:r w:rsidR="00E00EF5">
        <w:t xml:space="preserve">restées </w:t>
      </w:r>
      <w:r>
        <w:t>plus générale</w:t>
      </w:r>
      <w:r w:rsidR="00E00EF5">
        <w:t>s</w:t>
      </w:r>
      <w:r>
        <w:t xml:space="preserve">. Le Ministre a répondu que la question de la reconnaissance des </w:t>
      </w:r>
      <w:r w:rsidR="0065143D">
        <w:t xml:space="preserve">gens </w:t>
      </w:r>
      <w:r>
        <w:t>du voyage était examinée</w:t>
      </w:r>
      <w:r w:rsidR="00E00EF5">
        <w:t xml:space="preserve"> attentivement</w:t>
      </w:r>
      <w:r>
        <w:t xml:space="preserve">. Ce processus </w:t>
      </w:r>
      <w:r w:rsidR="00E00EF5">
        <w:t>d</w:t>
      </w:r>
      <w:r w:rsidR="004F61DE">
        <w:t>’</w:t>
      </w:r>
      <w:r w:rsidR="00E00EF5">
        <w:t xml:space="preserve">examen </w:t>
      </w:r>
      <w:r>
        <w:t>se poursuit.</w:t>
      </w:r>
    </w:p>
    <w:p w:rsidR="00444D01" w:rsidRDefault="00444D01" w:rsidP="00444D01">
      <w:pPr>
        <w:pStyle w:val="SingleTxtG"/>
      </w:pPr>
      <w:r>
        <w:t>4.</w:t>
      </w:r>
      <w:r>
        <w:tab/>
        <w:t>Cette question a été également discutée au cours d</w:t>
      </w:r>
      <w:r w:rsidR="004F61DE">
        <w:t>’</w:t>
      </w:r>
      <w:r w:rsidR="00E00EF5">
        <w:t>un séminaire</w:t>
      </w:r>
      <w:r>
        <w:t xml:space="preserve"> sur le troisième rapport </w:t>
      </w:r>
      <w:r w:rsidR="00E00EF5">
        <w:t xml:space="preserve">des </w:t>
      </w:r>
      <w:r>
        <w:t xml:space="preserve">États </w:t>
      </w:r>
      <w:r w:rsidR="00E00EF5">
        <w:t xml:space="preserve">parties sur la mise en œuvre </w:t>
      </w:r>
      <w:r>
        <w:t>de la Convention-cadre du Conseil de l</w:t>
      </w:r>
      <w:r w:rsidR="004F61DE">
        <w:t>’</w:t>
      </w:r>
      <w:r>
        <w:t xml:space="preserve">Europe pour la protection des minorités nationales, le 11 novembre 2010. Plusieurs personnes appartenant à la communauté des </w:t>
      </w:r>
      <w:r w:rsidR="0065143D">
        <w:t xml:space="preserve">gens </w:t>
      </w:r>
      <w:r>
        <w:t xml:space="preserve">du voyage irlandais se sont prononcées pour ou contre la reconnaissance des </w:t>
      </w:r>
      <w:r w:rsidR="0065143D">
        <w:t xml:space="preserve">gens </w:t>
      </w:r>
      <w:r>
        <w:t xml:space="preserve">du voyage </w:t>
      </w:r>
      <w:r w:rsidR="00E00EF5">
        <w:t xml:space="preserve">irlandais </w:t>
      </w:r>
      <w:r>
        <w:t>comme un groupe ethnique distinct. En dépit de forts désaccords entre les personnes présentes, on s</w:t>
      </w:r>
      <w:r w:rsidR="004F61DE">
        <w:t>’</w:t>
      </w:r>
      <w:r>
        <w:t>est accordé à reconnaître qu</w:t>
      </w:r>
      <w:r w:rsidR="004F61DE">
        <w:t>’</w:t>
      </w:r>
      <w:r>
        <w:t xml:space="preserve">il convenait de susciter un dialogue national entre les </w:t>
      </w:r>
      <w:r w:rsidR="0065143D">
        <w:t xml:space="preserve">gens </w:t>
      </w:r>
      <w:r>
        <w:t xml:space="preserve">du voyage irlandais en vue de parvenir à une décision définitive sur </w:t>
      </w:r>
      <w:r w:rsidR="00E00EF5">
        <w:t xml:space="preserve">la </w:t>
      </w:r>
      <w:r>
        <w:t>question.</w:t>
      </w:r>
    </w:p>
    <w:p w:rsidR="00444D01" w:rsidRDefault="00444D01" w:rsidP="00444D01">
      <w:pPr>
        <w:pStyle w:val="SingleTxtG"/>
      </w:pPr>
      <w:r>
        <w:t>5.</w:t>
      </w:r>
      <w:r>
        <w:tab/>
        <w:t xml:space="preserve">Cette question a été longuement discutée au cours des réunions du Comité consultatif national pour le suivi des </w:t>
      </w:r>
      <w:r w:rsidR="0065143D">
        <w:t xml:space="preserve">gens </w:t>
      </w:r>
      <w:r>
        <w:t xml:space="preserve">du voyage. Les discussions engagées avec les cinq organisations nationales des </w:t>
      </w:r>
      <w:r w:rsidR="0065143D">
        <w:t xml:space="preserve">gens </w:t>
      </w:r>
      <w:r>
        <w:t>du voyage ont fait apparaître l</w:t>
      </w:r>
      <w:r w:rsidR="004F61DE">
        <w:t>’</w:t>
      </w:r>
      <w:r>
        <w:t>existence, au sein de la communauté d</w:t>
      </w:r>
      <w:r w:rsidR="00E00EF5">
        <w:t xml:space="preserve">es </w:t>
      </w:r>
      <w:r w:rsidR="0065143D">
        <w:t xml:space="preserve">gens </w:t>
      </w:r>
      <w:r w:rsidR="00E00EF5">
        <w:t>du voyage irlandais, de</w:t>
      </w:r>
      <w:r>
        <w:t xml:space="preserve"> divergences </w:t>
      </w:r>
      <w:r w:rsidR="00E00EF5">
        <w:t xml:space="preserve">sur </w:t>
      </w:r>
      <w:r>
        <w:t>la question de l</w:t>
      </w:r>
      <w:r w:rsidR="004F61DE">
        <w:t>’</w:t>
      </w:r>
      <w:r>
        <w:t>ethnicité.</w:t>
      </w:r>
    </w:p>
    <w:p w:rsidR="00444D01" w:rsidRDefault="00444D01" w:rsidP="00444D01">
      <w:pPr>
        <w:pStyle w:val="SingleTxtG"/>
      </w:pPr>
      <w:r>
        <w:t>6.</w:t>
      </w:r>
      <w:r>
        <w:tab/>
        <w:t xml:space="preserve">Il importe que ce débat </w:t>
      </w:r>
      <w:r w:rsidR="00E00EF5">
        <w:t>s</w:t>
      </w:r>
      <w:r w:rsidR="004F61DE">
        <w:t>’</w:t>
      </w:r>
      <w:r w:rsidR="00E00EF5">
        <w:t xml:space="preserve">instaure </w:t>
      </w:r>
      <w:r>
        <w:t>au</w:t>
      </w:r>
      <w:r w:rsidR="0071186E">
        <w:t xml:space="preserve"> sein de la communauté des </w:t>
      </w:r>
      <w:r w:rsidR="0065143D">
        <w:t xml:space="preserve">gens </w:t>
      </w:r>
      <w:r>
        <w:t>du voyage irlandais et que les incidences et conséquences d</w:t>
      </w:r>
      <w:r w:rsidR="004F61DE">
        <w:t>’</w:t>
      </w:r>
      <w:r>
        <w:t>une telle reconnaissance soient pleinement examinées.</w:t>
      </w:r>
    </w:p>
    <w:p w:rsidR="00444D01" w:rsidRDefault="00444D01" w:rsidP="00444D01">
      <w:pPr>
        <w:pStyle w:val="HChG"/>
      </w:pPr>
      <w:r>
        <w:tab/>
      </w:r>
      <w:r>
        <w:tab/>
        <w:t>Réponse aux questions soul</w:t>
      </w:r>
      <w:r w:rsidR="00E00EF5">
        <w:t>evées dans le paragraphe 15 des </w:t>
      </w:r>
      <w:r>
        <w:t>observations finales</w:t>
      </w:r>
    </w:p>
    <w:p w:rsidR="00444D01" w:rsidRPr="00504EAE" w:rsidRDefault="00444D01" w:rsidP="00444D01">
      <w:pPr>
        <w:pStyle w:val="H1G"/>
      </w:pPr>
      <w:r>
        <w:tab/>
        <w:t>1.</w:t>
      </w:r>
      <w:r>
        <w:tab/>
        <w:t>Projet de loi sur l</w:t>
      </w:r>
      <w:r w:rsidR="004F61DE">
        <w:t>’</w:t>
      </w:r>
      <w:r>
        <w:t>immigration et la sécurité de résidence</w:t>
      </w:r>
    </w:p>
    <w:p w:rsidR="00C576D1" w:rsidRDefault="00444D01" w:rsidP="00404367">
      <w:pPr>
        <w:pStyle w:val="SingleTxtG"/>
      </w:pPr>
      <w:r>
        <w:t>7.</w:t>
      </w:r>
      <w:r>
        <w:tab/>
        <w:t>Le Ministre a décidé de publier de nouveau la loi sur l</w:t>
      </w:r>
      <w:r w:rsidR="004F61DE">
        <w:t>’</w:t>
      </w:r>
      <w:r>
        <w:t xml:space="preserve">immigration et la sécurité de résidence. Les dispositions relatives au réexamen juridictionnel, qui </w:t>
      </w:r>
      <w:r w:rsidR="006B73A5">
        <w:t>y figurent</w:t>
      </w:r>
      <w:r w:rsidR="00404367">
        <w:t>,</w:t>
      </w:r>
      <w:r w:rsidR="006B73A5">
        <w:t xml:space="preserve"> </w:t>
      </w:r>
      <w:r>
        <w:t>font partie des dispositions que le Ministre examine actuellement.</w:t>
      </w:r>
    </w:p>
    <w:p w:rsidR="00444D01" w:rsidRDefault="00444D01" w:rsidP="00444D01">
      <w:pPr>
        <w:pStyle w:val="SingleTxtG"/>
      </w:pPr>
      <w:r>
        <w:t>8.</w:t>
      </w:r>
      <w:r>
        <w:tab/>
        <w:t>Il importe de noter qu</w:t>
      </w:r>
      <w:r w:rsidR="004F61DE">
        <w:t>’</w:t>
      </w:r>
      <w:r>
        <w:t>il n</w:t>
      </w:r>
      <w:r w:rsidR="004F61DE">
        <w:t>’</w:t>
      </w:r>
      <w:r>
        <w:t xml:space="preserve">existe absolument rien dans </w:t>
      </w:r>
      <w:r w:rsidR="006B73A5">
        <w:t>l</w:t>
      </w:r>
      <w:r w:rsidR="004F61DE">
        <w:t>’</w:t>
      </w:r>
      <w:r w:rsidR="006B73A5">
        <w:t xml:space="preserve">ordre </w:t>
      </w:r>
      <w:r>
        <w:t xml:space="preserve">juridique </w:t>
      </w:r>
      <w:r w:rsidR="006B73A5">
        <w:t>de l</w:t>
      </w:r>
      <w:r w:rsidR="004F61DE">
        <w:t>’</w:t>
      </w:r>
      <w:r>
        <w:t>Irlande qui empêche d</w:t>
      </w:r>
      <w:r w:rsidR="004F61DE">
        <w:t>’</w:t>
      </w:r>
      <w:r>
        <w:t>octroyer des permis de résidence séparée aux femmes victimes d</w:t>
      </w:r>
      <w:r w:rsidR="004F61DE">
        <w:t>’</w:t>
      </w:r>
      <w:r>
        <w:t>un conjoint violent. Un certain nombre de permis ont déjà été octroyés dans des cas de cette nature. Les demandes sont examinées avec sympathie</w:t>
      </w:r>
      <w:r w:rsidR="006B73A5">
        <w:t xml:space="preserve">, au </w:t>
      </w:r>
      <w:r>
        <w:t>cas par cas, méthode qui sera maintenue. Il n</w:t>
      </w:r>
      <w:r w:rsidR="004F61DE">
        <w:t>’</w:t>
      </w:r>
      <w:r>
        <w:t>est donc pas nécessaire de légiférer. Même si une action législative était réellement nécessaire dans ce domaine, elle passerait par l</w:t>
      </w:r>
      <w:r w:rsidR="004F61DE">
        <w:t>’</w:t>
      </w:r>
      <w:r>
        <w:t>adoption de règlements (décrets ministériels) plutôt que par la voie de la loi sur l</w:t>
      </w:r>
      <w:r w:rsidR="004F61DE">
        <w:t>’</w:t>
      </w:r>
      <w:r>
        <w:t>immigration</w:t>
      </w:r>
      <w:r w:rsidR="006B73A5">
        <w:t xml:space="preserve"> et</w:t>
      </w:r>
      <w:r>
        <w:t xml:space="preserve"> la </w:t>
      </w:r>
      <w:r w:rsidR="006B73A5">
        <w:t>sécurité de résidence</w:t>
      </w:r>
      <w:r>
        <w:t>. Toutefois, les autorités chargées de l</w:t>
      </w:r>
      <w:r w:rsidR="004F61DE">
        <w:t>’</w:t>
      </w:r>
      <w:r>
        <w:t>immigration détermineront s</w:t>
      </w:r>
      <w:r w:rsidR="004F61DE">
        <w:t>’</w:t>
      </w:r>
      <w:r>
        <w:t>il faut en faire davantage pour faire connaître les possibilités existantes.</w:t>
      </w:r>
    </w:p>
    <w:p w:rsidR="00444D01" w:rsidRDefault="00444D01" w:rsidP="00444D01">
      <w:pPr>
        <w:pStyle w:val="H1G"/>
      </w:pPr>
      <w:r>
        <w:tab/>
        <w:t>2.</w:t>
      </w:r>
      <w:r>
        <w:tab/>
      </w:r>
      <w:r w:rsidR="006B73A5">
        <w:t>Projet de loi sur les mutilations génitales féminines</w:t>
      </w:r>
    </w:p>
    <w:p w:rsidR="00444D01" w:rsidRDefault="00444D01" w:rsidP="00444D01">
      <w:pPr>
        <w:pStyle w:val="SingleTxtG"/>
      </w:pPr>
      <w:r>
        <w:t>9.</w:t>
      </w:r>
      <w:r>
        <w:tab/>
        <w:t xml:space="preserve">En janvier 2011, le Gouvernement </w:t>
      </w:r>
      <w:r w:rsidR="00B32BC8">
        <w:t xml:space="preserve">alors au pouvoir </w:t>
      </w:r>
      <w:r>
        <w:t xml:space="preserve">a </w:t>
      </w:r>
      <w:r w:rsidR="00B32BC8">
        <w:t>publié le texte d</w:t>
      </w:r>
      <w:r w:rsidR="004F61DE">
        <w:t>’</w:t>
      </w:r>
      <w:r w:rsidR="00B32BC8">
        <w:t xml:space="preserve">un projet </w:t>
      </w:r>
      <w:r>
        <w:t>de loi interdisant expressément les mutilations génitales féminines</w:t>
      </w:r>
      <w:r w:rsidR="00B32BC8">
        <w:t xml:space="preserve"> ainsi que des infractions connexes</w:t>
      </w:r>
      <w:r>
        <w:t xml:space="preserve">, dont certaines des dispositions ont une portée extraterritoriale. Ce texte de loi, </w:t>
      </w:r>
      <w:r w:rsidR="00B32BC8">
        <w:t xml:space="preserve">conçu du point de vue </w:t>
      </w:r>
      <w:r>
        <w:t>des droits de l</w:t>
      </w:r>
      <w:r w:rsidR="004F61DE">
        <w:t>’</w:t>
      </w:r>
      <w:r>
        <w:t xml:space="preserve">homme, stipule que le droit de </w:t>
      </w:r>
      <w:r w:rsidR="00B32BC8">
        <w:t xml:space="preserve">chacun de </w:t>
      </w:r>
      <w:r>
        <w:t>pratique</w:t>
      </w:r>
      <w:r w:rsidR="00B32BC8">
        <w:t>r</w:t>
      </w:r>
      <w:r>
        <w:t xml:space="preserve"> ses propres traditions culturelles et </w:t>
      </w:r>
      <w:r w:rsidR="00B32BC8">
        <w:t xml:space="preserve">ses propres </w:t>
      </w:r>
      <w:r>
        <w:t xml:space="preserve">croyances ne saurait justifier la pratique des mutilations génitales féminines qui est considérée sur le plan international comme une forme de violence fondée sur le sexe. Le projet de loi, conçu au </w:t>
      </w:r>
      <w:r w:rsidRPr="00035163">
        <w:rPr>
          <w:i/>
        </w:rPr>
        <w:t>Seanad</w:t>
      </w:r>
      <w:r>
        <w:t xml:space="preserve"> (Sénat) a été de nouveau inscrit à l</w:t>
      </w:r>
      <w:r w:rsidR="004F61DE">
        <w:t>’</w:t>
      </w:r>
      <w:r>
        <w:t xml:space="preserve">ordre du jour </w:t>
      </w:r>
      <w:r w:rsidR="00B32BC8">
        <w:t xml:space="preserve">de cette assemblée </w:t>
      </w:r>
      <w:r>
        <w:t>le 1</w:t>
      </w:r>
      <w:r w:rsidRPr="00577438">
        <w:rPr>
          <w:vertAlign w:val="superscript"/>
        </w:rPr>
        <w:t>er</w:t>
      </w:r>
      <w:r w:rsidR="0071186E">
        <w:t> </w:t>
      </w:r>
      <w:r>
        <w:t>juin 2011 puis a</w:t>
      </w:r>
      <w:r w:rsidR="00035163">
        <w:t xml:space="preserve">dopté par la </w:t>
      </w:r>
      <w:r w:rsidR="00035163" w:rsidRPr="00035163">
        <w:rPr>
          <w:i/>
        </w:rPr>
        <w:t>Dáil</w:t>
      </w:r>
      <w:r w:rsidR="00035163">
        <w:t xml:space="preserve"> (Chambre des r</w:t>
      </w:r>
      <w:r>
        <w:t xml:space="preserve">eprésentants) et le </w:t>
      </w:r>
      <w:r w:rsidRPr="00035163">
        <w:rPr>
          <w:i/>
        </w:rPr>
        <w:t>Seanad</w:t>
      </w:r>
      <w:r>
        <w:t>. Il a été signé par le Président de l</w:t>
      </w:r>
      <w:r w:rsidR="004F61DE">
        <w:t>’</w:t>
      </w:r>
      <w:r>
        <w:t>Irlande le 2 avril 2012. Il faut espérer que le décret d</w:t>
      </w:r>
      <w:r w:rsidR="004F61DE">
        <w:t>’</w:t>
      </w:r>
      <w:r>
        <w:t xml:space="preserve">application de la loi sera publié avant que la </w:t>
      </w:r>
      <w:r w:rsidRPr="00035163">
        <w:rPr>
          <w:i/>
        </w:rPr>
        <w:t>Dáil</w:t>
      </w:r>
      <w:r>
        <w:t xml:space="preserve"> n</w:t>
      </w:r>
      <w:r w:rsidR="004F61DE">
        <w:t>’</w:t>
      </w:r>
      <w:r>
        <w:t>ajourne ses travaux pour l</w:t>
      </w:r>
      <w:r w:rsidR="004F61DE">
        <w:t>’</w:t>
      </w:r>
      <w:r>
        <w:t>été 2012.</w:t>
      </w:r>
    </w:p>
    <w:p w:rsidR="00444D01" w:rsidRDefault="00444D01" w:rsidP="00444D01">
      <w:pPr>
        <w:pStyle w:val="H1G"/>
      </w:pPr>
      <w:r>
        <w:tab/>
        <w:t>3.</w:t>
      </w:r>
      <w:r>
        <w:tab/>
        <w:t>Loi sur l</w:t>
      </w:r>
      <w:r w:rsidR="004F61DE">
        <w:t>’</w:t>
      </w:r>
      <w:r>
        <w:t>interdiction de l</w:t>
      </w:r>
      <w:r w:rsidR="004F61DE">
        <w:t>’</w:t>
      </w:r>
      <w:r>
        <w:t>incitation à la haine</w:t>
      </w:r>
      <w:r w:rsidR="00B32BC8">
        <w:t>,</w:t>
      </w:r>
      <w:r>
        <w:t xml:space="preserve"> de 1989</w:t>
      </w:r>
    </w:p>
    <w:p w:rsidR="00444D01" w:rsidRDefault="00444D01" w:rsidP="00444D01">
      <w:pPr>
        <w:pStyle w:val="SingleTxtG"/>
      </w:pPr>
      <w:r>
        <w:t>10.</w:t>
      </w:r>
      <w:r>
        <w:tab/>
        <w:t>Il semble</w:t>
      </w:r>
      <w:r w:rsidR="00B32BC8">
        <w:t>rait</w:t>
      </w:r>
      <w:r>
        <w:t xml:space="preserve"> qu</w:t>
      </w:r>
      <w:r w:rsidR="004F61DE">
        <w:t>’</w:t>
      </w:r>
      <w:r>
        <w:t>il y ait un malentendu en ce qui concerne la situation de l</w:t>
      </w:r>
      <w:r w:rsidR="004F61DE">
        <w:t>’</w:t>
      </w:r>
      <w:r>
        <w:t>examen de la loi sur l</w:t>
      </w:r>
      <w:r w:rsidR="004F61DE">
        <w:t>’</w:t>
      </w:r>
      <w:r>
        <w:t>interdiction de l</w:t>
      </w:r>
      <w:r w:rsidR="004F61DE">
        <w:t>’</w:t>
      </w:r>
      <w:r>
        <w:t>incitation à la haine</w:t>
      </w:r>
      <w:r w:rsidR="00B32BC8">
        <w:t>,</w:t>
      </w:r>
      <w:r>
        <w:t xml:space="preserve"> de 1989</w:t>
      </w:r>
      <w:r w:rsidR="00B32BC8">
        <w:t xml:space="preserve">, à la date </w:t>
      </w:r>
      <w:r>
        <w:t>indiqué</w:t>
      </w:r>
      <w:r w:rsidR="00B32BC8">
        <w:t>e</w:t>
      </w:r>
      <w:r>
        <w:t xml:space="preserve"> par le Comité (février 2011). S</w:t>
      </w:r>
      <w:r w:rsidR="004F61DE">
        <w:t>’</w:t>
      </w:r>
      <w:r>
        <w:t xml:space="preserve">il est </w:t>
      </w:r>
      <w:r w:rsidR="00B32BC8">
        <w:t xml:space="preserve">exact </w:t>
      </w:r>
      <w:r>
        <w:t>que l</w:t>
      </w:r>
      <w:r w:rsidR="004F61DE">
        <w:t>’</w:t>
      </w:r>
      <w:r>
        <w:t>examen de projets de loi tels que le projet de loi sur l</w:t>
      </w:r>
      <w:r w:rsidR="004F61DE">
        <w:t>’</w:t>
      </w:r>
      <w:r>
        <w:t>immigration et la protection de la résidence de 2010 et le projet de loi sur la justice pénale (mutilatio</w:t>
      </w:r>
      <w:r w:rsidR="00B32BC8">
        <w:t>ns génitales féminines), de 2011, n</w:t>
      </w:r>
      <w:r w:rsidR="004F61DE">
        <w:t>’</w:t>
      </w:r>
      <w:r w:rsidR="00B32BC8">
        <w:t xml:space="preserve">est pas allé à son terme </w:t>
      </w:r>
      <w:r>
        <w:t>en raison du changement de gouvernement, l</w:t>
      </w:r>
      <w:r w:rsidR="004F61DE">
        <w:t>’</w:t>
      </w:r>
      <w:r>
        <w:t>examen officiel de la loi de 1989 était par contre achevé</w:t>
      </w:r>
      <w:r w:rsidR="00B32BC8">
        <w:t xml:space="preserve"> à cette date</w:t>
      </w:r>
      <w:r>
        <w:t>.</w:t>
      </w:r>
    </w:p>
    <w:p w:rsidR="00444D01" w:rsidRDefault="00444D01" w:rsidP="00444D01">
      <w:pPr>
        <w:pStyle w:val="SingleTxtG"/>
      </w:pPr>
      <w:r>
        <w:t>11.</w:t>
      </w:r>
      <w:r>
        <w:tab/>
        <w:t>L</w:t>
      </w:r>
      <w:r w:rsidR="004F61DE">
        <w:t>’</w:t>
      </w:r>
      <w:r>
        <w:t xml:space="preserve">examen de la loi de 1989 a débouché sur la publication de </w:t>
      </w:r>
      <w:r>
        <w:rPr>
          <w:i/>
        </w:rPr>
        <w:t>Research into Racism and the Criminal Law</w:t>
      </w:r>
      <w:r w:rsidR="00B32BC8" w:rsidRPr="00B32BC8">
        <w:t>,</w:t>
      </w:r>
      <w:r w:rsidR="00B32BC8">
        <w:rPr>
          <w:i/>
        </w:rPr>
        <w:t xml:space="preserve"> </w:t>
      </w:r>
      <w:r>
        <w:t>étude effectuée par le Centre de recherche sur la justice pénale de l</w:t>
      </w:r>
      <w:r w:rsidR="004F61DE">
        <w:t>’</w:t>
      </w:r>
      <w:r>
        <w:t>Université de Limerick à la demande du Comité consultatif national sur le racisme et l</w:t>
      </w:r>
      <w:r w:rsidR="004F61DE">
        <w:t>’</w:t>
      </w:r>
      <w:r>
        <w:t>interculturalisme dans le cadre du Plan d</w:t>
      </w:r>
      <w:r w:rsidR="004F61DE">
        <w:t>’</w:t>
      </w:r>
      <w:r>
        <w:t xml:space="preserve">action national contre le racisme (2005-2008). Les </w:t>
      </w:r>
      <w:r w:rsidR="00B32BC8">
        <w:t xml:space="preserve">conclusions de cette étude ont été publiées </w:t>
      </w:r>
      <w:r>
        <w:t>le 18 décembre 2008.</w:t>
      </w:r>
    </w:p>
    <w:p w:rsidR="00444D01" w:rsidRDefault="00444D01" w:rsidP="00444D01">
      <w:pPr>
        <w:pStyle w:val="SingleTxtG"/>
      </w:pPr>
      <w:r>
        <w:t>12.</w:t>
      </w:r>
      <w:r>
        <w:tab/>
        <w:t xml:space="preserve">Les auteurs ont affirmé que des changements de la loi pénale seraient </w:t>
      </w:r>
      <w:r w:rsidR="00B32BC8">
        <w:t xml:space="preserve">à eux seuls </w:t>
      </w:r>
      <w:r>
        <w:t>insuffisants pour combattre le racisme et ont fait observer qu</w:t>
      </w:r>
      <w:r w:rsidR="004F61DE">
        <w:t>’</w:t>
      </w:r>
      <w:r>
        <w:t>il était clairement établi aux niveaux national et international</w:t>
      </w:r>
      <w:r w:rsidR="00B32BC8">
        <w:t xml:space="preserve">, </w:t>
      </w:r>
      <w:r>
        <w:t xml:space="preserve">que </w:t>
      </w:r>
      <w:r w:rsidR="00B32BC8">
        <w:t>de</w:t>
      </w:r>
      <w:r>
        <w:t xml:space="preserve"> meilleurs résultats </w:t>
      </w:r>
      <w:r w:rsidR="00B32BC8">
        <w:t xml:space="preserve">seraient obtenus </w:t>
      </w:r>
      <w:r>
        <w:t>en investissant davantage dans les mesures sociales et l</w:t>
      </w:r>
      <w:r w:rsidR="004F61DE">
        <w:t>’</w:t>
      </w:r>
      <w:r>
        <w:t>éducation.</w:t>
      </w:r>
    </w:p>
    <w:p w:rsidR="00444D01" w:rsidRDefault="00444D01" w:rsidP="00444D01">
      <w:pPr>
        <w:pStyle w:val="SingleTxtG"/>
      </w:pPr>
      <w:r>
        <w:t>13.</w:t>
      </w:r>
      <w:r>
        <w:tab/>
        <w:t>Les auteurs du rapport n</w:t>
      </w:r>
      <w:r w:rsidR="004F61DE">
        <w:t>’</w:t>
      </w:r>
      <w:r>
        <w:t>ont formulé qu</w:t>
      </w:r>
      <w:r w:rsidR="004F61DE">
        <w:t>’</w:t>
      </w:r>
      <w:r>
        <w:t xml:space="preserve">une seule recommandation </w:t>
      </w:r>
      <w:r w:rsidR="00B32BC8">
        <w:t>concernant l</w:t>
      </w:r>
      <w:r>
        <w:t xml:space="preserve">e droit pénal. Ayant </w:t>
      </w:r>
      <w:r w:rsidR="00B32BC8">
        <w:t xml:space="preserve">pesé </w:t>
      </w:r>
      <w:r>
        <w:t xml:space="preserve">les arguments pour et contre </w:t>
      </w:r>
      <w:r w:rsidR="00B32BC8">
        <w:t>l</w:t>
      </w:r>
      <w:r w:rsidR="004F61DE">
        <w:t>’</w:t>
      </w:r>
      <w:r w:rsidR="00B32BC8">
        <w:t xml:space="preserve">aggravation </w:t>
      </w:r>
      <w:r>
        <w:t>des dispositions pénales, ils ont recommandé une di</w:t>
      </w:r>
      <w:r w:rsidR="00B32BC8">
        <w:t>sposition inspirée de l</w:t>
      </w:r>
      <w:r w:rsidR="004F61DE">
        <w:t>’</w:t>
      </w:r>
      <w:r w:rsidR="00B32BC8">
        <w:t>article </w:t>
      </w:r>
      <w:r w:rsidR="008531A3">
        <w:t>11 </w:t>
      </w:r>
      <w:r>
        <w:t>4) de la loi sur la justice pénale de 1984</w:t>
      </w:r>
      <w:r w:rsidR="00D71600">
        <w:t>,</w:t>
      </w:r>
      <w:r>
        <w:t xml:space="preserve"> en vertu de laquelle les juges doivent considérer le racisme comme une circonstance aggravante </w:t>
      </w:r>
      <w:r w:rsidR="00D71600">
        <w:t xml:space="preserve">de </w:t>
      </w:r>
      <w:r>
        <w:t>la peine.</w:t>
      </w:r>
    </w:p>
    <w:p w:rsidR="00444D01" w:rsidRDefault="00444D01" w:rsidP="00444D01">
      <w:pPr>
        <w:pStyle w:val="SingleTxtG"/>
      </w:pPr>
      <w:r>
        <w:t>14.</w:t>
      </w:r>
      <w:r>
        <w:tab/>
        <w:t>La disposition de la loi de 1984 (</w:t>
      </w:r>
      <w:r w:rsidR="00D71600">
        <w:t xml:space="preserve">condamnations </w:t>
      </w:r>
      <w:r>
        <w:t xml:space="preserve">consécutives) </w:t>
      </w:r>
      <w:r w:rsidR="00D71600">
        <w:t xml:space="preserve">sur les circonstances </w:t>
      </w:r>
      <w:r>
        <w:t>aggravant</w:t>
      </w:r>
      <w:r w:rsidR="00742C36">
        <w:t>es de</w:t>
      </w:r>
      <w:r w:rsidR="00C13BF0">
        <w:t xml:space="preserve"> </w:t>
      </w:r>
      <w:r>
        <w:t xml:space="preserve">la peine a été adoptée pour régler un problème </w:t>
      </w:r>
      <w:r w:rsidR="00742C36">
        <w:t xml:space="preserve">très </w:t>
      </w:r>
      <w:r>
        <w:t>spécifique: celui des personnes qui commettent des infractions, dans de nombreux cas des infractions multiples, alors qu</w:t>
      </w:r>
      <w:r w:rsidR="004F61DE">
        <w:t>’</w:t>
      </w:r>
      <w:r>
        <w:t xml:space="preserve">elles sont en liberté </w:t>
      </w:r>
      <w:r w:rsidR="00742C36">
        <w:t>sous caution</w:t>
      </w:r>
      <w:r>
        <w:t xml:space="preserve">. Cependant, </w:t>
      </w:r>
      <w:r w:rsidR="00742C36">
        <w:t>l</w:t>
      </w:r>
      <w:r w:rsidR="004F61DE">
        <w:t>’</w:t>
      </w:r>
      <w:r w:rsidR="00742C36">
        <w:t xml:space="preserve">institution de circonstances aggravantes de la peine encourue </w:t>
      </w:r>
      <w:r>
        <w:t xml:space="preserve">pour les infractions </w:t>
      </w:r>
      <w:r w:rsidR="00742C36">
        <w:t xml:space="preserve">à motivation raciste </w:t>
      </w:r>
      <w:r>
        <w:t xml:space="preserve">entraînerait une restructuration des peines prévues pour </w:t>
      </w:r>
      <w:r w:rsidR="00742C36">
        <w:t>l</w:t>
      </w:r>
      <w:r>
        <w:t>es infractions pénales mineures (l</w:t>
      </w:r>
      <w:r w:rsidR="004F61DE">
        <w:t>’</w:t>
      </w:r>
      <w:r>
        <w:t xml:space="preserve">agression ou </w:t>
      </w:r>
      <w:r w:rsidR="00891371">
        <w:t>les</w:t>
      </w:r>
      <w:r w:rsidR="00742C36">
        <w:t xml:space="preserve"> dégradation</w:t>
      </w:r>
      <w:r w:rsidR="004F61DE">
        <w:t>s</w:t>
      </w:r>
      <w:r w:rsidR="00742C36">
        <w:t xml:space="preserve"> de biens </w:t>
      </w:r>
      <w:r>
        <w:t>par exemple) en vue d</w:t>
      </w:r>
      <w:r w:rsidR="004F61DE">
        <w:t>’</w:t>
      </w:r>
      <w:r>
        <w:t>accroître les peines</w:t>
      </w:r>
      <w:r w:rsidR="00742C36">
        <w:t>,</w:t>
      </w:r>
      <w:r>
        <w:t xml:space="preserve"> ce qui aurait des incidences </w:t>
      </w:r>
      <w:r w:rsidR="00742C36">
        <w:t xml:space="preserve">importantes </w:t>
      </w:r>
      <w:r>
        <w:t>sur la loi pénale.</w:t>
      </w:r>
    </w:p>
    <w:p w:rsidR="00444D01" w:rsidRDefault="00444D01" w:rsidP="00444D01">
      <w:pPr>
        <w:pStyle w:val="SingleTxtG"/>
      </w:pPr>
      <w:r>
        <w:t>15.</w:t>
      </w:r>
      <w:r>
        <w:tab/>
        <w:t>En Irlande, l</w:t>
      </w:r>
      <w:r w:rsidR="00742C36">
        <w:t>e</w:t>
      </w:r>
      <w:r>
        <w:t xml:space="preserve"> législa</w:t>
      </w:r>
      <w:r w:rsidR="00742C36">
        <w:t>teur</w:t>
      </w:r>
      <w:r>
        <w:t xml:space="preserve"> adopte les lois pénales qui généralement fixent les peines maximales encourues sous forme d</w:t>
      </w:r>
      <w:r w:rsidR="004F61DE">
        <w:t>’</w:t>
      </w:r>
      <w:r>
        <w:t>amende ou d</w:t>
      </w:r>
      <w:r w:rsidR="004F61DE">
        <w:t>’</w:t>
      </w:r>
      <w:r>
        <w:t>emprisonnement</w:t>
      </w:r>
      <w:r w:rsidR="00742C36">
        <w:t>,</w:t>
      </w:r>
      <w:r>
        <w:t xml:space="preserve"> ou </w:t>
      </w:r>
      <w:r w:rsidR="00742C36">
        <w:t>les deux à la fois</w:t>
      </w:r>
      <w:r>
        <w:t>. En règle générale, il n</w:t>
      </w:r>
      <w:r w:rsidR="004F61DE">
        <w:t>’</w:t>
      </w:r>
      <w:r>
        <w:t xml:space="preserve">existe pas de directives pour la </w:t>
      </w:r>
      <w:r w:rsidR="00742C36">
        <w:t xml:space="preserve">fixation </w:t>
      </w:r>
      <w:r>
        <w:t xml:space="preserve">des peines. Dans </w:t>
      </w:r>
      <w:r w:rsidR="00742C36">
        <w:t>l</w:t>
      </w:r>
      <w:r w:rsidR="004F61DE">
        <w:t>’</w:t>
      </w:r>
      <w:r w:rsidR="00742C36">
        <w:t xml:space="preserve">ordre juridique </w:t>
      </w:r>
      <w:r>
        <w:t>de l</w:t>
      </w:r>
      <w:r w:rsidR="004F61DE">
        <w:t>’</w:t>
      </w:r>
      <w:r>
        <w:t xml:space="preserve">Irlande, le juge a une grande latitude pour fixer la peine dans chaque cas </w:t>
      </w:r>
      <w:r w:rsidR="00742C36">
        <w:t>dont il est saisi</w:t>
      </w:r>
      <w:r>
        <w:t>, en prenant en considération la jurisprudence</w:t>
      </w:r>
      <w:r w:rsidR="00661CC3">
        <w:t xml:space="preserve"> pertinente</w:t>
      </w:r>
      <w:r>
        <w:t>, y compris les recours. Les tribunaux peuvent ainsi prendre en considération l</w:t>
      </w:r>
      <w:r w:rsidR="004F61DE">
        <w:t>’</w:t>
      </w:r>
      <w:r>
        <w:t>ensemble des circonstances de l</w:t>
      </w:r>
      <w:r w:rsidR="004F61DE">
        <w:t>’</w:t>
      </w:r>
      <w:r>
        <w:t xml:space="preserve">infraction, notamment </w:t>
      </w:r>
      <w:r w:rsidR="00661CC3">
        <w:t xml:space="preserve">toutes </w:t>
      </w:r>
      <w:r>
        <w:t>les circonstances aggravantes ou atténuantes pertinentes. La gravité de l</w:t>
      </w:r>
      <w:r w:rsidR="004F61DE">
        <w:t>’</w:t>
      </w:r>
      <w:r>
        <w:t xml:space="preserve">infraction, les circonstances dans lesquelles elle a été commise, </w:t>
      </w:r>
      <w:r w:rsidR="00661CC3">
        <w:t xml:space="preserve">les antécédents </w:t>
      </w:r>
      <w:r>
        <w:t>judiciaire</w:t>
      </w:r>
      <w:r w:rsidR="00661CC3">
        <w:t>s</w:t>
      </w:r>
      <w:r>
        <w:t xml:space="preserve"> du prévenu et les préjudices subis par la victime </w:t>
      </w:r>
      <w:r w:rsidR="00661CC3">
        <w:t xml:space="preserve">comptent </w:t>
      </w:r>
      <w:r>
        <w:t xml:space="preserve">parmi les facteurs essentiels qui sont pris en considération avant de rendre une décision. Le juge doit </w:t>
      </w:r>
      <w:r w:rsidR="00661CC3">
        <w:t xml:space="preserve">prendre en </w:t>
      </w:r>
      <w:r>
        <w:t xml:space="preserve">compte </w:t>
      </w:r>
      <w:r w:rsidR="00661CC3">
        <w:t>l</w:t>
      </w:r>
      <w:r>
        <w:t>es circonstances de l</w:t>
      </w:r>
      <w:r w:rsidR="004F61DE">
        <w:t>’</w:t>
      </w:r>
      <w:r>
        <w:t>infraction et la personnalité de son auteur. En outre, le Directeur des poursuites publiques peut faire appel de la condamnation s</w:t>
      </w:r>
      <w:r w:rsidR="004F61DE">
        <w:t>’</w:t>
      </w:r>
      <w:r>
        <w:t xml:space="preserve">il </w:t>
      </w:r>
      <w:r w:rsidR="00661CC3">
        <w:t>l</w:t>
      </w:r>
      <w:r w:rsidR="004F61DE">
        <w:t>’</w:t>
      </w:r>
      <w:r w:rsidR="00661CC3">
        <w:t xml:space="preserve">estime </w:t>
      </w:r>
      <w:r>
        <w:t>trop clémente (loi sur la justice pénale, 1993).</w:t>
      </w:r>
    </w:p>
    <w:p w:rsidR="00444D01" w:rsidRDefault="00444D01" w:rsidP="00444D01">
      <w:pPr>
        <w:pStyle w:val="SingleTxtG"/>
      </w:pPr>
      <w:r>
        <w:t>16.</w:t>
      </w:r>
      <w:r>
        <w:tab/>
        <w:t>En outre, il serait très difficile de justifier une disposition législative qui aggraverait la peine encourue en cas de motivation</w:t>
      </w:r>
      <w:r w:rsidR="00661CC3">
        <w:t>s</w:t>
      </w:r>
      <w:r>
        <w:t xml:space="preserve"> raciste</w:t>
      </w:r>
      <w:r w:rsidR="00661CC3">
        <w:t>s</w:t>
      </w:r>
      <w:r>
        <w:t xml:space="preserve"> sans adopter des dispositions analogues à l</w:t>
      </w:r>
      <w:r w:rsidR="004F61DE">
        <w:t>’</w:t>
      </w:r>
      <w:r>
        <w:t>égard des crimes (qui peuvent être encore plus nombreux et tout aussi répréhensibles) commis contre d</w:t>
      </w:r>
      <w:r w:rsidR="004F61DE">
        <w:t>’</w:t>
      </w:r>
      <w:r>
        <w:t>autres groupes vulnérables, par exemple les enfants et les personnes âgées.</w:t>
      </w:r>
    </w:p>
    <w:p w:rsidR="00444D01" w:rsidRDefault="00444D01" w:rsidP="00444D01">
      <w:pPr>
        <w:pStyle w:val="SingleTxtG"/>
      </w:pPr>
      <w:r>
        <w:t>17.</w:t>
      </w:r>
      <w:r>
        <w:tab/>
        <w:t>En tout état de cause, il n</w:t>
      </w:r>
      <w:r w:rsidR="004F61DE">
        <w:t>’</w:t>
      </w:r>
      <w:r>
        <w:t>est pas envisagé à l</w:t>
      </w:r>
      <w:r w:rsidR="004F61DE">
        <w:t>’</w:t>
      </w:r>
      <w:r>
        <w:t>heure actuelle d</w:t>
      </w:r>
      <w:r w:rsidR="004F61DE">
        <w:t>’</w:t>
      </w:r>
      <w:r>
        <w:t>adopter des directives fixant les peines encourues pour les infractions aggravées par des motivations racistes.</w:t>
      </w:r>
    </w:p>
    <w:p w:rsidR="00444D01" w:rsidRDefault="00444D01" w:rsidP="00444D01">
      <w:pPr>
        <w:pStyle w:val="SingleTxtG"/>
      </w:pPr>
      <w:r>
        <w:t>18.</w:t>
      </w:r>
      <w:r>
        <w:tab/>
        <w:t>Les auteurs du rapport ont en outre estimé qu</w:t>
      </w:r>
      <w:r w:rsidR="004F61DE">
        <w:t>’</w:t>
      </w:r>
      <w:r>
        <w:t>il ne serait pas bon d</w:t>
      </w:r>
      <w:r w:rsidR="004F61DE">
        <w:t>’</w:t>
      </w:r>
      <w:r>
        <w:t xml:space="preserve">introduire </w:t>
      </w:r>
      <w:r w:rsidR="00661CC3">
        <w:t xml:space="preserve">dans le droit irlandais </w:t>
      </w:r>
      <w:r>
        <w:t>la notion de circonstances aggravantes</w:t>
      </w:r>
      <w:r w:rsidR="00661CC3">
        <w:t xml:space="preserve"> en cas de motivations racistes</w:t>
      </w:r>
      <w:r>
        <w:t xml:space="preserve">. Pour parvenir à cette conclusion, ils ont examiné le </w:t>
      </w:r>
      <w:r w:rsidR="00661CC3">
        <w:t>fonctionnement de la règle de</w:t>
      </w:r>
      <w:r w:rsidR="004F61DE">
        <w:t>s</w:t>
      </w:r>
      <w:r w:rsidR="00661CC3">
        <w:t xml:space="preserve"> </w:t>
      </w:r>
      <w:r>
        <w:t xml:space="preserve">circonstances aggravantes pour motivations racistes dans des pays voisins. Ils ont </w:t>
      </w:r>
      <w:r w:rsidR="0052390F">
        <w:t xml:space="preserve">noté </w:t>
      </w:r>
      <w:r>
        <w:t>la difficulté de prouver qu</w:t>
      </w:r>
      <w:r w:rsidR="004F61DE">
        <w:t>’</w:t>
      </w:r>
      <w:r>
        <w:t xml:space="preserve">une infraction </w:t>
      </w:r>
      <w:r w:rsidR="0052390F" w:rsidRPr="00891371">
        <w:t xml:space="preserve">a </w:t>
      </w:r>
      <w:r w:rsidRPr="00891371">
        <w:t>obéi</w:t>
      </w:r>
      <w:r>
        <w:t xml:space="preserve"> à des motivations racistes et le faible nombre de condamnations prononcées dans ces pays. Ils ont en outre estimé, eu égard à la portée de la législation relative à l</w:t>
      </w:r>
      <w:r w:rsidR="004F61DE">
        <w:t>’</w:t>
      </w:r>
      <w:r>
        <w:t>égalité dans le droit irlandais, que les circonstances aggravantes devraient s</w:t>
      </w:r>
      <w:r w:rsidR="004F61DE">
        <w:t>’</w:t>
      </w:r>
      <w:r>
        <w:t>étendre au-delà des infractions racistes.</w:t>
      </w:r>
    </w:p>
    <w:p w:rsidR="00444D01" w:rsidRDefault="00444D01" w:rsidP="00444D01">
      <w:pPr>
        <w:pStyle w:val="HChG"/>
      </w:pPr>
      <w:r>
        <w:tab/>
      </w:r>
      <w:r>
        <w:tab/>
        <w:t>Réponse aux questions soul</w:t>
      </w:r>
      <w:r w:rsidR="0071186E">
        <w:t>evées dans le paragraphe 16 des </w:t>
      </w:r>
      <w:r>
        <w:t>observations finales</w:t>
      </w:r>
    </w:p>
    <w:p w:rsidR="00444D01" w:rsidRDefault="00444D01" w:rsidP="00444D01">
      <w:pPr>
        <w:pStyle w:val="SingleTxtG"/>
      </w:pPr>
      <w:r>
        <w:t>19.</w:t>
      </w:r>
      <w:r>
        <w:tab/>
        <w:t>L</w:t>
      </w:r>
      <w:r w:rsidR="004F61DE">
        <w:t>’</w:t>
      </w:r>
      <w:r>
        <w:t xml:space="preserve">Irlande a un système dualiste, en vertu duquel les instruments internationaux auxquels le pays devient partie ne </w:t>
      </w:r>
      <w:r w:rsidR="0052390F">
        <w:t xml:space="preserve">sont intégrés dans </w:t>
      </w:r>
      <w:r>
        <w:t>l</w:t>
      </w:r>
      <w:r w:rsidR="004F61DE">
        <w:t>’</w:t>
      </w:r>
      <w:r>
        <w:t>ordre juridique interne que lorsque l</w:t>
      </w:r>
      <w:r w:rsidR="004F61DE">
        <w:t>’</w:t>
      </w:r>
      <w:r w:rsidRPr="00891371">
        <w:rPr>
          <w:i/>
        </w:rPr>
        <w:t>Oireachtas</w:t>
      </w:r>
      <w:r>
        <w:t xml:space="preserve"> (le Parlement) en a ainsi décidé </w:t>
      </w:r>
      <w:r w:rsidR="0052390F">
        <w:t>en adoptant une loi</w:t>
      </w:r>
      <w:r>
        <w:t>. Selon le dispositif constitutionnel concernant les accords internationaux, le Gouvernement, dans l</w:t>
      </w:r>
      <w:r w:rsidR="004F61DE">
        <w:t>’</w:t>
      </w:r>
      <w:r>
        <w:t>exercice du pouvoir exécutif, peut contracter des accords internationaux</w:t>
      </w:r>
      <w:r w:rsidR="0052390F">
        <w:t>,</w:t>
      </w:r>
      <w:r>
        <w:t xml:space="preserve"> étant entendu que lesdits accords doivent être soumis à la </w:t>
      </w:r>
      <w:r w:rsidRPr="00891371">
        <w:rPr>
          <w:i/>
        </w:rPr>
        <w:t>Dáil Eireann</w:t>
      </w:r>
      <w:r w:rsidR="00891371">
        <w:t xml:space="preserve"> (Chambre des r</w:t>
      </w:r>
      <w:r>
        <w:t>eprésentants) et, si l</w:t>
      </w:r>
      <w:r w:rsidR="004F61DE">
        <w:t>’</w:t>
      </w:r>
      <w:r>
        <w:t>accord entraînera des dépenses publiques, que l</w:t>
      </w:r>
      <w:r w:rsidR="004F61DE">
        <w:t>’</w:t>
      </w:r>
      <w:r>
        <w:t>État ne peut être lié par ces dispositions</w:t>
      </w:r>
      <w:r w:rsidR="0052390F">
        <w:t xml:space="preserve"> que </w:t>
      </w:r>
      <w:r>
        <w:t>si elles on</w:t>
      </w:r>
      <w:r w:rsidR="000F5589">
        <w:t>t été approuvées par la Chambre</w:t>
      </w:r>
      <w:r>
        <w:t xml:space="preserve"> (</w:t>
      </w:r>
      <w:r>
        <w:rPr>
          <w:i/>
        </w:rPr>
        <w:t xml:space="preserve">Crotty </w:t>
      </w:r>
      <w:r w:rsidR="000F5589">
        <w:rPr>
          <w:i/>
        </w:rPr>
        <w:t>v.</w:t>
      </w:r>
      <w:r>
        <w:rPr>
          <w:i/>
        </w:rPr>
        <w:t xml:space="preserve"> An Taoiseach </w:t>
      </w:r>
      <w:r w:rsidR="000F5589">
        <w:t>(</w:t>
      </w:r>
      <w:r w:rsidRPr="00BD2E40">
        <w:t>1987</w:t>
      </w:r>
      <w:r w:rsidR="000F5589">
        <w:t>)</w:t>
      </w:r>
      <w:r w:rsidRPr="00BD2E40">
        <w:t xml:space="preserve"> IR </w:t>
      </w:r>
      <w:r>
        <w:t>p. </w:t>
      </w:r>
      <w:r w:rsidRPr="00BD2E40">
        <w:t>792</w:t>
      </w:r>
      <w:r w:rsidR="000F5589">
        <w:t>).</w:t>
      </w:r>
      <w:r>
        <w:t xml:space="preserve"> Selon le droit interne, l</w:t>
      </w:r>
      <w:r w:rsidR="004F61DE">
        <w:t>’</w:t>
      </w:r>
      <w:r>
        <w:t>État n</w:t>
      </w:r>
      <w:r w:rsidR="004F61DE">
        <w:t>’</w:t>
      </w:r>
      <w:r>
        <w:t>est pas tenu de ratifier une convention quelle qu</w:t>
      </w:r>
      <w:r w:rsidR="004F61DE">
        <w:t>’</w:t>
      </w:r>
      <w:r>
        <w:t>elle soit simplement parce qu</w:t>
      </w:r>
      <w:r w:rsidR="004F61DE">
        <w:t>’</w:t>
      </w:r>
      <w:r>
        <w:t>elle a été signée. L</w:t>
      </w:r>
      <w:r w:rsidR="004F61DE">
        <w:t>’</w:t>
      </w:r>
      <w:r>
        <w:t>Irlande ne peut devenir partie à un accord et un accord ne peut être considéré comme tel tant qu</w:t>
      </w:r>
      <w:r w:rsidR="004F61DE">
        <w:t>’</w:t>
      </w:r>
      <w:r>
        <w:t>il n</w:t>
      </w:r>
      <w:r w:rsidR="004F61DE">
        <w:t>’</w:t>
      </w:r>
      <w:r>
        <w:t>a pas été ratifié. Une fois qu</w:t>
      </w:r>
      <w:r w:rsidR="004F61DE">
        <w:t>’</w:t>
      </w:r>
      <w:r>
        <w:t>il a été ratifié, tout accord international a force obligatoire à l</w:t>
      </w:r>
      <w:r w:rsidR="004F61DE">
        <w:t>’</w:t>
      </w:r>
      <w:r>
        <w:t>égard de l</w:t>
      </w:r>
      <w:r w:rsidR="004F61DE">
        <w:t>’</w:t>
      </w:r>
      <w:r>
        <w:t>État en vertu du droit international.</w:t>
      </w:r>
    </w:p>
    <w:p w:rsidR="00444D01" w:rsidRDefault="00444D01" w:rsidP="00444D01">
      <w:pPr>
        <w:pStyle w:val="SingleTxtG"/>
      </w:pPr>
      <w:r>
        <w:t>20.</w:t>
      </w:r>
      <w:r>
        <w:tab/>
        <w:t>Tant que le Parlement n</w:t>
      </w:r>
      <w:r w:rsidR="004F61DE">
        <w:t>’</w:t>
      </w:r>
      <w:r>
        <w:t>a pas décidé que la Convention fait partie du droit interne de l</w:t>
      </w:r>
      <w:r w:rsidR="004F61DE">
        <w:t>’</w:t>
      </w:r>
      <w:r>
        <w:t>État, les tribunaux irlandais ne peuvent l</w:t>
      </w:r>
      <w:r w:rsidR="004F61DE">
        <w:t>’</w:t>
      </w:r>
      <w:r>
        <w:t>appliquer lorsqu</w:t>
      </w:r>
      <w:r w:rsidR="004F61DE">
        <w:t>’</w:t>
      </w:r>
      <w:r>
        <w:t>elle est contraire au droit national</w:t>
      </w:r>
      <w:r w:rsidR="00B675AC">
        <w:t>,</w:t>
      </w:r>
      <w:r>
        <w:t xml:space="preserve"> reconnaît des droits ou impose des obligations </w:t>
      </w:r>
      <w:r w:rsidR="00B675AC">
        <w:t xml:space="preserve">en sus de </w:t>
      </w:r>
      <w:r>
        <w:t xml:space="preserve">ceux qui sont reconnus ou imposés par le droit interne (voir </w:t>
      </w:r>
      <w:r>
        <w:rPr>
          <w:i/>
        </w:rPr>
        <w:t xml:space="preserve">Re Ó Laighléis </w:t>
      </w:r>
      <w:r w:rsidR="000F5589">
        <w:t>(</w:t>
      </w:r>
      <w:r w:rsidR="0071186E">
        <w:t>1960</w:t>
      </w:r>
      <w:r w:rsidR="000F5589">
        <w:t>)</w:t>
      </w:r>
      <w:r w:rsidR="0071186E">
        <w:t xml:space="preserve"> IR 93, p. </w:t>
      </w:r>
      <w:r w:rsidRPr="00BD2E40">
        <w:t>124 et 125).</w:t>
      </w:r>
    </w:p>
    <w:p w:rsidR="00444D01" w:rsidRDefault="00444D01" w:rsidP="004F61DE">
      <w:pPr>
        <w:pStyle w:val="SingleTxtG"/>
      </w:pPr>
      <w:r>
        <w:t>2</w:t>
      </w:r>
      <w:r w:rsidR="00B675AC">
        <w:t>1.</w:t>
      </w:r>
      <w:r w:rsidR="00B675AC">
        <w:tab/>
        <w:t>Il convient de souligner que</w:t>
      </w:r>
      <w:r>
        <w:t>, au lieu d</w:t>
      </w:r>
      <w:r w:rsidR="004F61DE">
        <w:t>’</w:t>
      </w:r>
      <w:r>
        <w:t xml:space="preserve">intégrer une convention internationale dans le droit interne en </w:t>
      </w:r>
      <w:r w:rsidR="00B675AC">
        <w:t xml:space="preserve">application </w:t>
      </w:r>
      <w:r w:rsidR="0071186E">
        <w:t>de l</w:t>
      </w:r>
      <w:r w:rsidR="004F61DE">
        <w:t>’</w:t>
      </w:r>
      <w:r w:rsidR="0071186E">
        <w:t>article </w:t>
      </w:r>
      <w:r>
        <w:t xml:space="preserve">29.6 de la Constitution, le Parlement procède </w:t>
      </w:r>
      <w:r w:rsidR="00B675AC">
        <w:t xml:space="preserve">régulièrement </w:t>
      </w:r>
      <w:r>
        <w:t>d</w:t>
      </w:r>
      <w:r w:rsidR="004F61DE">
        <w:t>’</w:t>
      </w:r>
      <w:r>
        <w:t>une autre manière qui consiste à promulguer une loi ou des lois donnant effet aux obligations énoncées dans l</w:t>
      </w:r>
      <w:r w:rsidR="004F61DE">
        <w:t>’</w:t>
      </w:r>
      <w:r>
        <w:t>accord. Il a procédé de cette manière dans le cas de la Convention internationale sur l</w:t>
      </w:r>
      <w:r w:rsidR="004F61DE">
        <w:t>’</w:t>
      </w:r>
      <w:r>
        <w:t>élimination de toutes les formes de discrimination raciale. Étant donné que le fait d</w:t>
      </w:r>
      <w:r w:rsidR="004F61DE">
        <w:t>’</w:t>
      </w:r>
      <w:r>
        <w:t>adhérer à une convention n</w:t>
      </w:r>
      <w:r w:rsidR="004F61DE">
        <w:t>’</w:t>
      </w:r>
      <w:r>
        <w:t>entraîne pas généralement l</w:t>
      </w:r>
      <w:r w:rsidR="004F61DE">
        <w:t>’</w:t>
      </w:r>
      <w:r>
        <w:t>obligation de l</w:t>
      </w:r>
      <w:r w:rsidR="004F61DE">
        <w:t>’</w:t>
      </w:r>
      <w:r>
        <w:t>incorporer dans le droit interne, l</w:t>
      </w:r>
      <w:r w:rsidR="004F61DE">
        <w:t>’</w:t>
      </w:r>
      <w:r>
        <w:t>Irlande a fait le choix de s</w:t>
      </w:r>
      <w:r w:rsidR="004F61DE">
        <w:t>’</w:t>
      </w:r>
      <w:r>
        <w:t>acquitter</w:t>
      </w:r>
      <w:r w:rsidR="00B675AC">
        <w:t>, en légiférant sur le plan national,</w:t>
      </w:r>
      <w:r>
        <w:t xml:space="preserve"> des obligations internationales qui s</w:t>
      </w:r>
      <w:r w:rsidR="004F61DE">
        <w:t>’</w:t>
      </w:r>
      <w:r>
        <w:t>imposent à elle lorsq</w:t>
      </w:r>
      <w:r w:rsidR="00B675AC">
        <w:t>u</w:t>
      </w:r>
      <w:r w:rsidR="004F61DE">
        <w:t>’</w:t>
      </w:r>
      <w:r w:rsidR="00B675AC">
        <w:t>elle adhère à des conventions</w:t>
      </w:r>
      <w:r>
        <w:t xml:space="preserve">. Une fois que les dispositions nécessaires ont été prises pour que </w:t>
      </w:r>
      <w:r w:rsidR="00D15D58">
        <w:t xml:space="preserve">toutes </w:t>
      </w:r>
      <w:r>
        <w:t xml:space="preserve">les obligations établies dans la convention </w:t>
      </w:r>
      <w:r w:rsidR="00B675AC">
        <w:t xml:space="preserve">considérée </w:t>
      </w:r>
      <w:r>
        <w:t xml:space="preserve">soient </w:t>
      </w:r>
      <w:r w:rsidR="00B675AC">
        <w:t>reconnues</w:t>
      </w:r>
      <w:r>
        <w:t>, il n</w:t>
      </w:r>
      <w:r w:rsidR="004F61DE">
        <w:t>’</w:t>
      </w:r>
      <w:r>
        <w:t>existe aucune raison particulière de l</w:t>
      </w:r>
      <w:r w:rsidR="004F61DE">
        <w:t>’</w:t>
      </w:r>
      <w:r>
        <w:t>incorporer dans le droit national.</w:t>
      </w:r>
    </w:p>
    <w:p w:rsidR="00444D01" w:rsidRPr="00444D01" w:rsidRDefault="00444D01" w:rsidP="00444D01">
      <w:pPr>
        <w:pStyle w:val="SingleTxtG"/>
        <w:spacing w:before="240" w:after="0"/>
        <w:jc w:val="center"/>
        <w:rPr>
          <w:u w:val="single"/>
        </w:rPr>
      </w:pPr>
      <w:r>
        <w:rPr>
          <w:u w:val="single"/>
        </w:rPr>
        <w:tab/>
      </w:r>
      <w:r>
        <w:rPr>
          <w:u w:val="single"/>
        </w:rPr>
        <w:tab/>
      </w:r>
      <w:r>
        <w:rPr>
          <w:u w:val="single"/>
        </w:rPr>
        <w:tab/>
      </w:r>
    </w:p>
    <w:sectPr w:rsidR="00444D01" w:rsidRPr="00444D01" w:rsidSect="00C576D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F4" w:rsidRDefault="003317F4"/>
  </w:endnote>
  <w:endnote w:type="continuationSeparator" w:id="0">
    <w:p w:rsidR="003317F4" w:rsidRDefault="003317F4"/>
  </w:endnote>
  <w:endnote w:type="continuationNotice" w:id="1">
    <w:p w:rsidR="003317F4" w:rsidRPr="00201F68" w:rsidRDefault="003317F4" w:rsidP="00201F68">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F4" w:rsidRPr="00C576D1" w:rsidRDefault="003317F4" w:rsidP="00C576D1">
    <w:pPr>
      <w:pStyle w:val="Footer"/>
      <w:tabs>
        <w:tab w:val="right" w:pos="9638"/>
      </w:tabs>
    </w:pPr>
    <w:r w:rsidRPr="00C576D1">
      <w:rPr>
        <w:b/>
        <w:sz w:val="18"/>
      </w:rPr>
      <w:fldChar w:fldCharType="begin"/>
    </w:r>
    <w:r w:rsidRPr="00C576D1">
      <w:rPr>
        <w:b/>
        <w:sz w:val="18"/>
      </w:rPr>
      <w:instrText xml:space="preserve"> PAGE  \* MERGEFORMAT </w:instrText>
    </w:r>
    <w:r w:rsidRPr="00C576D1">
      <w:rPr>
        <w:b/>
        <w:sz w:val="18"/>
      </w:rPr>
      <w:fldChar w:fldCharType="separate"/>
    </w:r>
    <w:r w:rsidR="00F17AE8">
      <w:rPr>
        <w:b/>
        <w:noProof/>
        <w:sz w:val="18"/>
      </w:rPr>
      <w:t>4</w:t>
    </w:r>
    <w:r w:rsidRPr="00C576D1">
      <w:rPr>
        <w:b/>
        <w:sz w:val="18"/>
      </w:rPr>
      <w:fldChar w:fldCharType="end"/>
    </w:r>
    <w:r>
      <w:rPr>
        <w:b/>
        <w:sz w:val="18"/>
      </w:rPr>
      <w:tab/>
    </w:r>
    <w:r>
      <w:t>GE.12-43792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F4" w:rsidRPr="00C576D1" w:rsidRDefault="003317F4" w:rsidP="00C576D1">
    <w:pPr>
      <w:pStyle w:val="Footer"/>
      <w:tabs>
        <w:tab w:val="right" w:pos="9638"/>
      </w:tabs>
      <w:rPr>
        <w:b/>
        <w:sz w:val="18"/>
      </w:rPr>
    </w:pPr>
    <w:r>
      <w:t>GE.12-43792</w:t>
    </w:r>
    <w:r>
      <w:tab/>
    </w:r>
    <w:r w:rsidRPr="00C576D1">
      <w:rPr>
        <w:b/>
        <w:sz w:val="18"/>
      </w:rPr>
      <w:fldChar w:fldCharType="begin"/>
    </w:r>
    <w:r w:rsidRPr="00C576D1">
      <w:rPr>
        <w:b/>
        <w:sz w:val="18"/>
      </w:rPr>
      <w:instrText xml:space="preserve"> PAGE  \* MERGEFORMAT </w:instrText>
    </w:r>
    <w:r w:rsidRPr="00C576D1">
      <w:rPr>
        <w:b/>
        <w:sz w:val="18"/>
      </w:rPr>
      <w:fldChar w:fldCharType="separate"/>
    </w:r>
    <w:r w:rsidR="00F17AE8">
      <w:rPr>
        <w:b/>
        <w:noProof/>
        <w:sz w:val="18"/>
      </w:rPr>
      <w:t>5</w:t>
    </w:r>
    <w:r w:rsidRPr="00C576D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F4" w:rsidRPr="001F2BDD" w:rsidRDefault="003317F4" w:rsidP="001F2BDD">
    <w:pPr>
      <w:pStyle w:val="Footer"/>
      <w:rPr>
        <w:u w:val="single"/>
      </w:rPr>
    </w:pPr>
    <w:r>
      <w:rPr>
        <w:sz w:val="20"/>
      </w:rPr>
      <w:t>GE.12-43792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160712    300712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F4" w:rsidRPr="00D27D5E" w:rsidRDefault="003317F4" w:rsidP="00D27D5E">
      <w:pPr>
        <w:tabs>
          <w:tab w:val="right" w:pos="2155"/>
        </w:tabs>
        <w:spacing w:after="80"/>
        <w:ind w:left="680"/>
        <w:rPr>
          <w:u w:val="single"/>
        </w:rPr>
      </w:pPr>
      <w:r>
        <w:rPr>
          <w:u w:val="single"/>
        </w:rPr>
        <w:tab/>
      </w:r>
    </w:p>
  </w:footnote>
  <w:footnote w:type="continuationSeparator" w:id="0">
    <w:p w:rsidR="003317F4" w:rsidRPr="00AA7FE7" w:rsidRDefault="003317F4" w:rsidP="00AA7FE7">
      <w:pPr>
        <w:tabs>
          <w:tab w:val="right" w:pos="2155"/>
        </w:tabs>
        <w:spacing w:after="80"/>
        <w:ind w:left="680"/>
        <w:rPr>
          <w:u w:val="single"/>
        </w:rPr>
      </w:pPr>
      <w:r w:rsidRPr="00AA7FE7">
        <w:rPr>
          <w:u w:val="single"/>
        </w:rPr>
        <w:tab/>
      </w:r>
    </w:p>
  </w:footnote>
  <w:footnote w:type="continuationNotice" w:id="1">
    <w:p w:rsidR="003317F4" w:rsidRPr="00201F68" w:rsidRDefault="003317F4" w:rsidP="00201F68">
      <w:pPr>
        <w:spacing w:line="240" w:lineRule="auto"/>
        <w:rPr>
          <w:sz w:val="2"/>
          <w:szCs w:val="2"/>
        </w:rPr>
      </w:pPr>
    </w:p>
  </w:footnote>
  <w:footnote w:id="2">
    <w:p w:rsidR="003317F4" w:rsidRPr="00087AEA" w:rsidRDefault="003317F4" w:rsidP="00C576D1">
      <w:pPr>
        <w:pStyle w:val="FootnoteText"/>
      </w:pPr>
      <w:r>
        <w:tab/>
      </w:r>
      <w:r w:rsidRPr="00087AEA">
        <w:rPr>
          <w:rStyle w:val="FootnoteReference"/>
          <w:sz w:val="20"/>
          <w:vertAlign w:val="baseline"/>
        </w:rPr>
        <w:t>*</w:t>
      </w:r>
      <w:r>
        <w:rPr>
          <w:sz w:val="20"/>
        </w:rPr>
        <w:tab/>
      </w:r>
      <w: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F4" w:rsidRPr="00C576D1" w:rsidRDefault="003317F4">
    <w:pPr>
      <w:pStyle w:val="Header"/>
    </w:pPr>
    <w:r>
      <w:t>CERD/C/IRL/CO/3-4/Add.1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F4" w:rsidRPr="00C576D1" w:rsidRDefault="003317F4" w:rsidP="00C576D1">
    <w:pPr>
      <w:pStyle w:val="Header"/>
      <w:jc w:val="right"/>
    </w:pPr>
    <w:r>
      <w:t>CERD/C/IRL/CO/3-4/Add.1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680"/>
    <w:rsid w:val="00016AC5"/>
    <w:rsid w:val="00035163"/>
    <w:rsid w:val="00054609"/>
    <w:rsid w:val="00063680"/>
    <w:rsid w:val="000A6F55"/>
    <w:rsid w:val="000E7579"/>
    <w:rsid w:val="000F41F2"/>
    <w:rsid w:val="000F5589"/>
    <w:rsid w:val="001231AD"/>
    <w:rsid w:val="001450E6"/>
    <w:rsid w:val="00150465"/>
    <w:rsid w:val="00160540"/>
    <w:rsid w:val="00192EEB"/>
    <w:rsid w:val="00197832"/>
    <w:rsid w:val="001A20FB"/>
    <w:rsid w:val="001B3867"/>
    <w:rsid w:val="001D72C5"/>
    <w:rsid w:val="001D7F8A"/>
    <w:rsid w:val="001E3FEB"/>
    <w:rsid w:val="001E4A02"/>
    <w:rsid w:val="001F2BDD"/>
    <w:rsid w:val="00201F68"/>
    <w:rsid w:val="00225A8C"/>
    <w:rsid w:val="002626D4"/>
    <w:rsid w:val="002659F1"/>
    <w:rsid w:val="00265CD7"/>
    <w:rsid w:val="00287E79"/>
    <w:rsid w:val="002928F9"/>
    <w:rsid w:val="002A5D07"/>
    <w:rsid w:val="002D3F03"/>
    <w:rsid w:val="002E0D40"/>
    <w:rsid w:val="002E5B0C"/>
    <w:rsid w:val="00300D06"/>
    <w:rsid w:val="003016B7"/>
    <w:rsid w:val="003317F4"/>
    <w:rsid w:val="003515AA"/>
    <w:rsid w:val="00374106"/>
    <w:rsid w:val="00381F58"/>
    <w:rsid w:val="003976D5"/>
    <w:rsid w:val="003D6C68"/>
    <w:rsid w:val="00404367"/>
    <w:rsid w:val="004159D0"/>
    <w:rsid w:val="004330BA"/>
    <w:rsid w:val="00444D01"/>
    <w:rsid w:val="00472145"/>
    <w:rsid w:val="004A39F3"/>
    <w:rsid w:val="004F61DE"/>
    <w:rsid w:val="0052390F"/>
    <w:rsid w:val="00540389"/>
    <w:rsid w:val="00543D5E"/>
    <w:rsid w:val="00571F41"/>
    <w:rsid w:val="00593658"/>
    <w:rsid w:val="005E5D1F"/>
    <w:rsid w:val="006034FC"/>
    <w:rsid w:val="00611D43"/>
    <w:rsid w:val="00612D48"/>
    <w:rsid w:val="00616B45"/>
    <w:rsid w:val="00630D9B"/>
    <w:rsid w:val="00631953"/>
    <w:rsid w:val="006439EC"/>
    <w:rsid w:val="0065143D"/>
    <w:rsid w:val="0065167E"/>
    <w:rsid w:val="00654781"/>
    <w:rsid w:val="00657120"/>
    <w:rsid w:val="00661CC3"/>
    <w:rsid w:val="00693E16"/>
    <w:rsid w:val="006B4590"/>
    <w:rsid w:val="006B57B6"/>
    <w:rsid w:val="006B73A5"/>
    <w:rsid w:val="006C340C"/>
    <w:rsid w:val="006D1218"/>
    <w:rsid w:val="006D7B0B"/>
    <w:rsid w:val="006E6AE5"/>
    <w:rsid w:val="006F2D2D"/>
    <w:rsid w:val="006F39E4"/>
    <w:rsid w:val="0070347C"/>
    <w:rsid w:val="0071186E"/>
    <w:rsid w:val="007176C1"/>
    <w:rsid w:val="007231EF"/>
    <w:rsid w:val="00742C36"/>
    <w:rsid w:val="0078670C"/>
    <w:rsid w:val="007F55CB"/>
    <w:rsid w:val="00844750"/>
    <w:rsid w:val="008531A3"/>
    <w:rsid w:val="00891371"/>
    <w:rsid w:val="008B44C4"/>
    <w:rsid w:val="008D2259"/>
    <w:rsid w:val="008E7FAE"/>
    <w:rsid w:val="00911BF7"/>
    <w:rsid w:val="00977EC8"/>
    <w:rsid w:val="009C17F5"/>
    <w:rsid w:val="009D3A8C"/>
    <w:rsid w:val="009E7956"/>
    <w:rsid w:val="00A2492E"/>
    <w:rsid w:val="00A82B6C"/>
    <w:rsid w:val="00AA7FE7"/>
    <w:rsid w:val="00AB3173"/>
    <w:rsid w:val="00AC01AA"/>
    <w:rsid w:val="00AC67A1"/>
    <w:rsid w:val="00AC7977"/>
    <w:rsid w:val="00AE352C"/>
    <w:rsid w:val="00B259CF"/>
    <w:rsid w:val="00B32BC8"/>
    <w:rsid w:val="00B32E2D"/>
    <w:rsid w:val="00B36DCA"/>
    <w:rsid w:val="00B61990"/>
    <w:rsid w:val="00B675AC"/>
    <w:rsid w:val="00BB205A"/>
    <w:rsid w:val="00BF0556"/>
    <w:rsid w:val="00C03431"/>
    <w:rsid w:val="00C13BF0"/>
    <w:rsid w:val="00C261F8"/>
    <w:rsid w:val="00C33100"/>
    <w:rsid w:val="00C576D1"/>
    <w:rsid w:val="00CD0630"/>
    <w:rsid w:val="00CD1A71"/>
    <w:rsid w:val="00CD1FBB"/>
    <w:rsid w:val="00D016B5"/>
    <w:rsid w:val="00D034F1"/>
    <w:rsid w:val="00D15D58"/>
    <w:rsid w:val="00D27D5E"/>
    <w:rsid w:val="00D37345"/>
    <w:rsid w:val="00D71600"/>
    <w:rsid w:val="00DC156C"/>
    <w:rsid w:val="00DE6D90"/>
    <w:rsid w:val="00DF002F"/>
    <w:rsid w:val="00E00EF5"/>
    <w:rsid w:val="00E0244D"/>
    <w:rsid w:val="00E42D5E"/>
    <w:rsid w:val="00E81E94"/>
    <w:rsid w:val="00E82607"/>
    <w:rsid w:val="00EC5A42"/>
    <w:rsid w:val="00F17AE8"/>
    <w:rsid w:val="00F63BC6"/>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5</Pages>
  <Words>2025</Words>
  <Characters>10981</Characters>
  <Application>Microsoft Office Word</Application>
  <DocSecurity>4</DocSecurity>
  <Lines>168</Lines>
  <Paragraphs>41</Paragraphs>
  <ScaleCrop>false</ScaleCrop>
  <HeadingPairs>
    <vt:vector size="2" baseType="variant">
      <vt:variant>
        <vt:lpstr>Titre</vt:lpstr>
      </vt:variant>
      <vt:variant>
        <vt:i4>1</vt:i4>
      </vt:variant>
    </vt:vector>
  </HeadingPairs>
  <TitlesOfParts>
    <vt:vector size="1" baseType="lpstr">
      <vt:lpstr>CERD/C/IRL/CO/3-4/Add.1</vt:lpstr>
    </vt:vector>
  </TitlesOfParts>
  <Company>CSD</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CERD/C/IRL/CO/3-4/Add.1</dc:title>
  <dc:subject>final</dc:subject>
  <dc:creator>Morin</dc:creator>
  <cp:keywords/>
  <dc:description/>
  <cp:lastModifiedBy>D. Toutain</cp:lastModifiedBy>
  <cp:revision>2</cp:revision>
  <cp:lastPrinted>2012-07-30T13:52:00Z</cp:lastPrinted>
  <dcterms:created xsi:type="dcterms:W3CDTF">2012-07-30T14:19:00Z</dcterms:created>
  <dcterms:modified xsi:type="dcterms:W3CDTF">2012-07-30T14:19:00Z</dcterms:modified>
</cp:coreProperties>
</file>