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728E" w:rsidTr="00E4728E">
        <w:trPr>
          <w:cantSplit/>
          <w:trHeight w:hRule="exact" w:val="851"/>
        </w:trPr>
        <w:tc>
          <w:tcPr>
            <w:tcW w:w="1276" w:type="dxa"/>
            <w:tcBorders>
              <w:bottom w:val="single" w:sz="4" w:space="0" w:color="auto"/>
            </w:tcBorders>
            <w:shd w:val="clear" w:color="auto" w:fill="auto"/>
            <w:vAlign w:val="bottom"/>
          </w:tcPr>
          <w:p w:rsidR="00B56E9C" w:rsidRPr="00ED616A" w:rsidRDefault="00B56E9C" w:rsidP="00E4728E">
            <w:pPr>
              <w:pStyle w:val="SingleTxtG"/>
            </w:pPr>
            <w:bookmarkStart w:id="0" w:name="_GoBack"/>
            <w:bookmarkEnd w:id="0"/>
          </w:p>
        </w:tc>
        <w:tc>
          <w:tcPr>
            <w:tcW w:w="2268" w:type="dxa"/>
            <w:tcBorders>
              <w:bottom w:val="single" w:sz="4" w:space="0" w:color="auto"/>
            </w:tcBorders>
            <w:shd w:val="clear" w:color="auto" w:fill="auto"/>
            <w:vAlign w:val="bottom"/>
          </w:tcPr>
          <w:p w:rsidR="00B56E9C" w:rsidRPr="00E4728E" w:rsidRDefault="00B56E9C" w:rsidP="00E4728E">
            <w:pPr>
              <w:spacing w:after="80" w:line="300" w:lineRule="exact"/>
              <w:rPr>
                <w:b/>
                <w:sz w:val="24"/>
                <w:szCs w:val="24"/>
              </w:rPr>
            </w:pPr>
            <w:r w:rsidRPr="00E4728E">
              <w:rPr>
                <w:sz w:val="28"/>
                <w:szCs w:val="28"/>
              </w:rPr>
              <w:t>United Nations</w:t>
            </w:r>
          </w:p>
        </w:tc>
        <w:tc>
          <w:tcPr>
            <w:tcW w:w="6095" w:type="dxa"/>
            <w:gridSpan w:val="2"/>
            <w:tcBorders>
              <w:bottom w:val="single" w:sz="4" w:space="0" w:color="auto"/>
            </w:tcBorders>
            <w:shd w:val="clear" w:color="auto" w:fill="auto"/>
            <w:vAlign w:val="bottom"/>
          </w:tcPr>
          <w:p w:rsidR="00B56E9C" w:rsidRPr="00E4728E" w:rsidRDefault="00317454" w:rsidP="003F5449">
            <w:pPr>
              <w:suppressAutoHyphens w:val="0"/>
              <w:spacing w:after="20"/>
              <w:jc w:val="right"/>
              <w:rPr>
                <w:lang w:val="es-BO"/>
              </w:rPr>
            </w:pPr>
            <w:r w:rsidRPr="00E4728E">
              <w:rPr>
                <w:sz w:val="40"/>
                <w:lang w:val="es-BO"/>
              </w:rPr>
              <w:t>CERD</w:t>
            </w:r>
            <w:r w:rsidRPr="00E4728E">
              <w:rPr>
                <w:lang w:val="es-BO"/>
              </w:rPr>
              <w:t>/C/</w:t>
            </w:r>
            <w:r w:rsidR="003F5449">
              <w:rPr>
                <w:lang w:val="es-BO"/>
              </w:rPr>
              <w:t>GBR</w:t>
            </w:r>
            <w:r w:rsidR="00BC70F2">
              <w:rPr>
                <w:lang w:val="es-BO"/>
              </w:rPr>
              <w:t>/</w:t>
            </w:r>
            <w:r w:rsidRPr="00E4728E">
              <w:rPr>
                <w:lang w:val="es-BO"/>
              </w:rPr>
              <w:t>Q/</w:t>
            </w:r>
            <w:r w:rsidR="003F5449">
              <w:rPr>
                <w:lang w:val="es-BO"/>
              </w:rPr>
              <w:t>21-23</w:t>
            </w:r>
          </w:p>
        </w:tc>
      </w:tr>
      <w:tr w:rsidR="00B56E9C" w:rsidTr="00E4728E">
        <w:trPr>
          <w:cantSplit/>
          <w:trHeight w:hRule="exact" w:val="2835"/>
        </w:trPr>
        <w:tc>
          <w:tcPr>
            <w:tcW w:w="1276" w:type="dxa"/>
            <w:tcBorders>
              <w:top w:val="single" w:sz="4" w:space="0" w:color="auto"/>
              <w:bottom w:val="single" w:sz="12" w:space="0" w:color="auto"/>
            </w:tcBorders>
            <w:shd w:val="clear" w:color="auto" w:fill="auto"/>
          </w:tcPr>
          <w:p w:rsidR="00B56E9C" w:rsidRDefault="00323BE9" w:rsidP="00E4728E">
            <w:pPr>
              <w:spacing w:before="120"/>
              <w:jc w:val="center"/>
            </w:pPr>
            <w:r>
              <w:rPr>
                <w:noProof/>
                <w:lang w:val="en-US" w:eastAsia="zh-CN"/>
              </w:rPr>
              <w:drawing>
                <wp:inline distT="0" distB="0" distL="0" distR="0" wp14:anchorId="0E4345F4" wp14:editId="45DF5976">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4728E" w:rsidRDefault="00B56E9C" w:rsidP="00E4728E">
            <w:pPr>
              <w:spacing w:before="120" w:line="380" w:lineRule="exact"/>
              <w:rPr>
                <w:b/>
                <w:sz w:val="34"/>
                <w:szCs w:val="40"/>
              </w:rPr>
            </w:pPr>
            <w:r w:rsidRPr="00E4728E">
              <w:rPr>
                <w:b/>
                <w:sz w:val="34"/>
                <w:szCs w:val="40"/>
              </w:rPr>
              <w:t>International Convention on</w:t>
            </w:r>
            <w:r w:rsidR="00A01489" w:rsidRPr="00E4728E">
              <w:rPr>
                <w:b/>
                <w:sz w:val="34"/>
                <w:szCs w:val="40"/>
              </w:rPr>
              <w:br/>
            </w:r>
            <w:r w:rsidR="00E63389" w:rsidRPr="00E4728E">
              <w:rPr>
                <w:b/>
                <w:sz w:val="34"/>
                <w:szCs w:val="40"/>
              </w:rPr>
              <w:t>the Elimination of A</w:t>
            </w:r>
            <w:r w:rsidRPr="00E4728E">
              <w:rPr>
                <w:b/>
                <w:sz w:val="34"/>
                <w:szCs w:val="40"/>
              </w:rPr>
              <w:t>ll Forms</w:t>
            </w:r>
            <w:r w:rsidR="00A01489" w:rsidRPr="00E4728E">
              <w:rPr>
                <w:b/>
                <w:sz w:val="34"/>
                <w:szCs w:val="40"/>
              </w:rPr>
              <w:br/>
            </w:r>
            <w:r w:rsidRPr="00E4728E">
              <w:rPr>
                <w:b/>
                <w:sz w:val="34"/>
                <w:szCs w:val="40"/>
              </w:rPr>
              <w:t>of Racial Discrimination</w:t>
            </w:r>
          </w:p>
        </w:tc>
        <w:tc>
          <w:tcPr>
            <w:tcW w:w="2835" w:type="dxa"/>
            <w:tcBorders>
              <w:top w:val="single" w:sz="4" w:space="0" w:color="auto"/>
              <w:bottom w:val="single" w:sz="12" w:space="0" w:color="auto"/>
            </w:tcBorders>
            <w:shd w:val="clear" w:color="auto" w:fill="auto"/>
          </w:tcPr>
          <w:p w:rsidR="00317454" w:rsidRDefault="00317454" w:rsidP="00E4728E">
            <w:pPr>
              <w:suppressAutoHyphens w:val="0"/>
              <w:spacing w:before="240" w:line="240" w:lineRule="exact"/>
            </w:pPr>
            <w:r>
              <w:t>Distr.: General</w:t>
            </w:r>
          </w:p>
          <w:p w:rsidR="00317454" w:rsidRPr="003F5449" w:rsidRDefault="00C2671E" w:rsidP="001F1EE5">
            <w:pPr>
              <w:suppressAutoHyphens w:val="0"/>
            </w:pPr>
            <w:r>
              <w:t>1</w:t>
            </w:r>
            <w:r w:rsidR="001F1EE5">
              <w:t>4</w:t>
            </w:r>
            <w:r w:rsidR="003F5449" w:rsidRPr="003F5449">
              <w:t xml:space="preserve"> June 2016</w:t>
            </w:r>
          </w:p>
          <w:p w:rsidR="00317454" w:rsidRDefault="00317454" w:rsidP="00E4728E">
            <w:pPr>
              <w:suppressAutoHyphens w:val="0"/>
            </w:pPr>
          </w:p>
          <w:p w:rsidR="00B56E9C" w:rsidRDefault="00317454" w:rsidP="0048272E">
            <w:pPr>
              <w:suppressAutoHyphens w:val="0"/>
            </w:pPr>
            <w:r>
              <w:t xml:space="preserve">Original: </w:t>
            </w:r>
            <w:r w:rsidR="003F5449">
              <w:t>English</w:t>
            </w:r>
          </w:p>
          <w:p w:rsidR="00172B6E" w:rsidRDefault="003F5449" w:rsidP="0048272E">
            <w:pPr>
              <w:suppressAutoHyphens w:val="0"/>
            </w:pPr>
            <w:r>
              <w:t xml:space="preserve">English, French and Spanish </w:t>
            </w:r>
            <w:r w:rsidR="00172B6E">
              <w:t>only</w:t>
            </w:r>
          </w:p>
        </w:tc>
      </w:tr>
    </w:tbl>
    <w:p w:rsidR="0024532E" w:rsidRPr="0024532E" w:rsidRDefault="0024532E" w:rsidP="0024532E">
      <w:pPr>
        <w:spacing w:before="120"/>
        <w:rPr>
          <w:b/>
          <w:sz w:val="24"/>
          <w:szCs w:val="24"/>
        </w:rPr>
      </w:pPr>
      <w:r w:rsidRPr="0024532E">
        <w:rPr>
          <w:b/>
          <w:sz w:val="24"/>
          <w:szCs w:val="24"/>
        </w:rPr>
        <w:t>Committee on the Elimination of Racial Discrimination</w:t>
      </w:r>
    </w:p>
    <w:p w:rsidR="0024532E" w:rsidRPr="00172B6E" w:rsidRDefault="003F5449" w:rsidP="0024532E">
      <w:pPr>
        <w:rPr>
          <w:b/>
        </w:rPr>
      </w:pPr>
      <w:r w:rsidRPr="003F5449">
        <w:rPr>
          <w:b/>
        </w:rPr>
        <w:t>Ninetieth</w:t>
      </w:r>
      <w:r w:rsidR="00F3702E" w:rsidRPr="0048272E">
        <w:rPr>
          <w:b/>
          <w:color w:val="FF0000"/>
        </w:rPr>
        <w:t xml:space="preserve"> </w:t>
      </w:r>
      <w:r w:rsidR="00F3702E">
        <w:rPr>
          <w:b/>
        </w:rPr>
        <w:t>session</w:t>
      </w:r>
    </w:p>
    <w:p w:rsidR="0024532E" w:rsidRPr="003F5449" w:rsidRDefault="003F5449" w:rsidP="00C2671E">
      <w:r w:rsidRPr="003F5449">
        <w:t>2</w:t>
      </w:r>
      <w:r w:rsidR="00C2671E">
        <w:t>-</w:t>
      </w:r>
      <w:r w:rsidRPr="003F5449">
        <w:t>26 August 2016</w:t>
      </w:r>
    </w:p>
    <w:p w:rsidR="0024532E" w:rsidRPr="0024532E" w:rsidRDefault="0024532E" w:rsidP="0048272E">
      <w:r w:rsidRPr="00172B6E">
        <w:t>Item</w:t>
      </w:r>
      <w:r w:rsidRPr="003F5449">
        <w:t xml:space="preserve"> </w:t>
      </w:r>
      <w:r w:rsidR="003F5449" w:rsidRPr="003F5449">
        <w:t>4</w:t>
      </w:r>
      <w:r w:rsidRPr="003F5449">
        <w:t xml:space="preserve"> </w:t>
      </w:r>
      <w:r w:rsidRPr="00172B6E">
        <w:t>of</w:t>
      </w:r>
      <w:r w:rsidRPr="0024532E">
        <w:t xml:space="preserve"> the provisional agenda</w:t>
      </w:r>
    </w:p>
    <w:p w:rsidR="0024532E" w:rsidRPr="0024532E" w:rsidRDefault="0024532E" w:rsidP="0024532E">
      <w:pPr>
        <w:rPr>
          <w:b/>
        </w:rPr>
      </w:pPr>
      <w:r w:rsidRPr="0024532E">
        <w:rPr>
          <w:b/>
        </w:rPr>
        <w:t xml:space="preserve">Consideration of reports, comments and information </w:t>
      </w:r>
      <w:r w:rsidR="004D6628" w:rsidRPr="0024532E">
        <w:rPr>
          <w:b/>
        </w:rPr>
        <w:t>submitted</w:t>
      </w:r>
      <w:r w:rsidRPr="0024532E">
        <w:rPr>
          <w:b/>
        </w:rPr>
        <w:br/>
        <w:t>by States parties under article 9 of the Convention</w:t>
      </w:r>
    </w:p>
    <w:p w:rsidR="0024532E" w:rsidRPr="0024532E" w:rsidRDefault="0024532E" w:rsidP="00C2671E">
      <w:pPr>
        <w:pStyle w:val="HChG"/>
      </w:pPr>
      <w:r w:rsidRPr="0024532E">
        <w:tab/>
      </w:r>
      <w:r w:rsidRPr="0024532E">
        <w:tab/>
        <w:t xml:space="preserve">List of themes in relation to the </w:t>
      </w:r>
      <w:r w:rsidR="003F5449">
        <w:t xml:space="preserve">twenty-first to twenty-third </w:t>
      </w:r>
      <w:r w:rsidR="0048272E" w:rsidRPr="003F5449">
        <w:rPr>
          <w:szCs w:val="28"/>
        </w:rPr>
        <w:t>periodic</w:t>
      </w:r>
      <w:r w:rsidRPr="003F5449">
        <w:t xml:space="preserve"> report</w:t>
      </w:r>
      <w:r w:rsidR="00BC70F2" w:rsidRPr="003F5449">
        <w:t>s</w:t>
      </w:r>
      <w:r w:rsidRPr="003F5449">
        <w:t xml:space="preserve"> of </w:t>
      </w:r>
      <w:r w:rsidR="003F5449">
        <w:t>the United Kingdom of Great Britain and Northern Ireland</w:t>
      </w:r>
    </w:p>
    <w:p w:rsidR="0024532E" w:rsidRDefault="0024532E" w:rsidP="0024532E">
      <w:pPr>
        <w:pStyle w:val="H1G"/>
      </w:pPr>
      <w:r w:rsidRPr="0024532E">
        <w:tab/>
      </w:r>
      <w:r w:rsidRPr="0024532E">
        <w:tab/>
        <w:t>Note by the Country Rapporteur</w:t>
      </w:r>
    </w:p>
    <w:p w:rsidR="002E4A8B" w:rsidRPr="002E4A8B" w:rsidRDefault="002E4A8B" w:rsidP="002E4A8B">
      <w:pPr>
        <w:pStyle w:val="SingleTxtG"/>
      </w:pPr>
      <w:r>
        <w:t>1.</w:t>
      </w:r>
      <w:r>
        <w:tab/>
        <w:t xml:space="preserve">The </w:t>
      </w:r>
      <w:r w:rsidRPr="0024532E">
        <w:t>Committee on the Elimination of Racial Discrimination decided at its seventy-sixth session (</w:t>
      </w:r>
      <w:r>
        <w:t xml:space="preserve">see </w:t>
      </w:r>
      <w:r w:rsidRPr="0024532E">
        <w:t xml:space="preserve">A/65/18, para. 85) that the Country Rapporteur would send to the State party concerned a short list of themes with a view to guiding and focusing the dialogue between the State party’s delegation and the Committee during the consideration of the State party’s report. </w:t>
      </w:r>
      <w:r>
        <w:t>The present</w:t>
      </w:r>
      <w:r w:rsidRPr="0024532E">
        <w:t xml:space="preserve"> document contains a list of such themes. </w:t>
      </w:r>
      <w:r>
        <w:t>It</w:t>
      </w:r>
      <w:r w:rsidRPr="0024532E">
        <w:t xml:space="preserve"> is not an exhaustive list; other issues may also be raised in the course of the dialogue. No written replies are required.</w:t>
      </w:r>
    </w:p>
    <w:p w:rsidR="003F5449" w:rsidRPr="00C91E1F" w:rsidRDefault="003F5449" w:rsidP="00C2671E">
      <w:pPr>
        <w:pStyle w:val="H23G"/>
      </w:pPr>
      <w:r>
        <w:tab/>
      </w:r>
      <w:r>
        <w:tab/>
      </w:r>
      <w:r w:rsidRPr="008F23EB">
        <w:t>Legal and institutional framework for</w:t>
      </w:r>
      <w:r w:rsidR="003C30D7">
        <w:t xml:space="preserve"> the</w:t>
      </w:r>
      <w:r w:rsidRPr="008F23EB">
        <w:t xml:space="preserve"> implementation of the Convention </w:t>
      </w:r>
      <w:r w:rsidR="003C30D7">
        <w:t xml:space="preserve">and access to justice </w:t>
      </w:r>
      <w:r w:rsidRPr="008F23EB">
        <w:t>(arts. 1</w:t>
      </w:r>
      <w:r w:rsidR="00C2671E">
        <w:t>-</w:t>
      </w:r>
      <w:r>
        <w:t>4</w:t>
      </w:r>
      <w:r w:rsidR="00C2671E">
        <w:t xml:space="preserve"> and</w:t>
      </w:r>
      <w:r w:rsidR="003C30D7">
        <w:t xml:space="preserve"> 6</w:t>
      </w:r>
      <w:r w:rsidRPr="008F23EB">
        <w:t>)</w:t>
      </w:r>
    </w:p>
    <w:p w:rsidR="003F5449" w:rsidRDefault="00C2671E" w:rsidP="008711DF">
      <w:pPr>
        <w:pStyle w:val="SingleTxtG"/>
      </w:pPr>
      <w:r>
        <w:t>2.</w:t>
      </w:r>
      <w:r>
        <w:tab/>
      </w:r>
      <w:r w:rsidR="003F5449">
        <w:t xml:space="preserve">Detailed information on domestic legislation prohibiting racial discrimination in accordance with the definition contained in article 1 </w:t>
      </w:r>
      <w:r w:rsidR="00ED0C52">
        <w:t>(</w:t>
      </w:r>
      <w:r w:rsidR="003F5449">
        <w:t>1</w:t>
      </w:r>
      <w:r w:rsidR="00ED0C52">
        <w:t>)</w:t>
      </w:r>
      <w:r w:rsidR="003F5449">
        <w:t xml:space="preserve"> of the Convention, and </w:t>
      </w:r>
      <w:r w:rsidR="00CF5042">
        <w:t>its</w:t>
      </w:r>
      <w:r w:rsidR="003C30D7">
        <w:t xml:space="preserve"> application</w:t>
      </w:r>
      <w:r w:rsidR="003F5449">
        <w:t xml:space="preserve"> in all </w:t>
      </w:r>
      <w:r w:rsidR="003F5449" w:rsidRPr="00761111">
        <w:t>the State party</w:t>
      </w:r>
      <w:r w:rsidR="00CF5042">
        <w:t xml:space="preserve">’s </w:t>
      </w:r>
      <w:r w:rsidR="00CF5042" w:rsidRPr="00761111">
        <w:t>jurisdictions</w:t>
      </w:r>
      <w:r w:rsidR="003F5449" w:rsidRPr="00761111">
        <w:t>, including its overseas territories and Crown d</w:t>
      </w:r>
      <w:r w:rsidR="003F5449">
        <w:t>ependencies (CERD/C/GBR/CO/18-20, para.</w:t>
      </w:r>
      <w:r>
        <w:t xml:space="preserve"> </w:t>
      </w:r>
      <w:r w:rsidR="003F5449">
        <w:t>10; CERD/C/GBR/21-23, paras.</w:t>
      </w:r>
      <w:r>
        <w:t xml:space="preserve"> </w:t>
      </w:r>
      <w:r w:rsidR="003F5449">
        <w:t xml:space="preserve">1 and 2). Updated information on the status of </w:t>
      </w:r>
      <w:r w:rsidR="008711DF">
        <w:t xml:space="preserve">the </w:t>
      </w:r>
      <w:r w:rsidR="003F5449">
        <w:t xml:space="preserve">legislative reform of the Race Relations (Northern Ireland) Order (1997) (CERD/C/GBR/21-23, para. 14). </w:t>
      </w:r>
    </w:p>
    <w:p w:rsidR="003F5449" w:rsidRDefault="00C2671E" w:rsidP="008711DF">
      <w:pPr>
        <w:pStyle w:val="SingleTxtG"/>
      </w:pPr>
      <w:r>
        <w:t>3.</w:t>
      </w:r>
      <w:r>
        <w:tab/>
      </w:r>
      <w:r w:rsidR="003F5449">
        <w:t xml:space="preserve">Progress </w:t>
      </w:r>
      <w:r w:rsidR="008711DF">
        <w:t xml:space="preserve">made </w:t>
      </w:r>
      <w:r w:rsidR="003F5449">
        <w:t xml:space="preserve">in prohibiting discrimination based on descent, as elaborated in </w:t>
      </w:r>
      <w:r w:rsidR="008711DF">
        <w:t xml:space="preserve">the Committee’s </w:t>
      </w:r>
      <w:r w:rsidR="003F5449">
        <w:t xml:space="preserve">general recommendation No. 29 (2002) </w:t>
      </w:r>
      <w:r w:rsidR="003F5449" w:rsidRPr="00170D61">
        <w:t>on article 1</w:t>
      </w:r>
      <w:r w:rsidR="003F5449">
        <w:t xml:space="preserve"> </w:t>
      </w:r>
      <w:r>
        <w:t>(</w:t>
      </w:r>
      <w:r w:rsidR="003F5449">
        <w:t>1</w:t>
      </w:r>
      <w:r>
        <w:t>)</w:t>
      </w:r>
      <w:r w:rsidR="003F5449">
        <w:t xml:space="preserve"> of the Convention (CERD/C/GBR/CO/18-20, para. 30). </w:t>
      </w:r>
    </w:p>
    <w:p w:rsidR="003F5449" w:rsidRDefault="00C2671E" w:rsidP="008711DF">
      <w:pPr>
        <w:pStyle w:val="SingleTxtG"/>
      </w:pPr>
      <w:r>
        <w:t>4.</w:t>
      </w:r>
      <w:r>
        <w:tab/>
      </w:r>
      <w:r w:rsidR="008711DF">
        <w:t>The i</w:t>
      </w:r>
      <w:r w:rsidR="003F5449">
        <w:t xml:space="preserve">mplementation of the rights contained in the Convention in the State party’s overseas territories and Crown dependencies, including updated information on the situation in the British Indian Ocean Territory and the return of </w:t>
      </w:r>
      <w:proofErr w:type="spellStart"/>
      <w:r w:rsidR="003F5449">
        <w:t>Chagossians</w:t>
      </w:r>
      <w:proofErr w:type="spellEnd"/>
      <w:r w:rsidR="003F5449">
        <w:t xml:space="preserve"> (</w:t>
      </w:r>
      <w:proofErr w:type="spellStart"/>
      <w:r w:rsidR="003F5449">
        <w:t>Ilois</w:t>
      </w:r>
      <w:proofErr w:type="spellEnd"/>
      <w:r w:rsidR="003F5449">
        <w:t>) to Diego Garcia and other outlying islands (CERD/C/GBR/CO/18-20, para. 12).</w:t>
      </w:r>
    </w:p>
    <w:p w:rsidR="003F5449" w:rsidRPr="006E6343" w:rsidRDefault="00C2671E" w:rsidP="00545A98">
      <w:pPr>
        <w:pStyle w:val="SingleTxtG"/>
        <w:keepLines/>
      </w:pPr>
      <w:r>
        <w:lastRenderedPageBreak/>
        <w:t>5.</w:t>
      </w:r>
      <w:r>
        <w:tab/>
      </w:r>
      <w:r w:rsidR="00E7063C">
        <w:t>Information on cases in which corporations registered in the State party have been held accountable</w:t>
      </w:r>
      <w:r w:rsidR="003F5449">
        <w:t xml:space="preserve"> for breaches of the Convention, including with regard to their operations abroad and in particular</w:t>
      </w:r>
      <w:r w:rsidR="008711DF">
        <w:t>,</w:t>
      </w:r>
      <w:r w:rsidR="003F5449">
        <w:t xml:space="preserve"> violations of the rights of indigenous peoples </w:t>
      </w:r>
      <w:r w:rsidR="003F5449" w:rsidRPr="006E6343">
        <w:t>(CERD/C/GBR/CO/18-20, para.</w:t>
      </w:r>
      <w:r>
        <w:t xml:space="preserve"> </w:t>
      </w:r>
      <w:r w:rsidR="003F5449" w:rsidRPr="006E6343">
        <w:t xml:space="preserve">29). </w:t>
      </w:r>
    </w:p>
    <w:p w:rsidR="003F5449" w:rsidRDefault="00C2671E" w:rsidP="00C64C39">
      <w:pPr>
        <w:pStyle w:val="SingleTxtG"/>
      </w:pPr>
      <w:r>
        <w:t>6.</w:t>
      </w:r>
      <w:r>
        <w:tab/>
      </w:r>
      <w:r w:rsidR="003F5449">
        <w:t xml:space="preserve">Detailed information on legislative provisions </w:t>
      </w:r>
      <w:r w:rsidR="00C64C39">
        <w:t>that</w:t>
      </w:r>
      <w:r w:rsidR="003F5449">
        <w:t xml:space="preserve"> prohibit </w:t>
      </w:r>
      <w:r w:rsidR="00C64C39">
        <w:t xml:space="preserve">the </w:t>
      </w:r>
      <w:r w:rsidR="003F5449">
        <w:t xml:space="preserve">dissemination of ideas based on racial superiority or hatred, incitement to racial discrimination or acts of violence, and organizations that promote and incite racial discrimination. </w:t>
      </w:r>
    </w:p>
    <w:p w:rsidR="003F5449" w:rsidRDefault="00C2671E" w:rsidP="00C64C39">
      <w:pPr>
        <w:pStyle w:val="SingleTxtG"/>
      </w:pPr>
      <w:r>
        <w:t>7.</w:t>
      </w:r>
      <w:r>
        <w:tab/>
      </w:r>
      <w:r w:rsidR="003F5449">
        <w:t>Information on cases of racist hate speech and hate crimes, including the number of complaints, investigations launched, prosecutions, convictions and remedies provided to victims</w:t>
      </w:r>
      <w:r w:rsidR="00C64C39">
        <w:t>, and</w:t>
      </w:r>
      <w:r w:rsidR="003F5449">
        <w:t xml:space="preserve"> </w:t>
      </w:r>
      <w:r w:rsidR="00C64C39">
        <w:t>i</w:t>
      </w:r>
      <w:r w:rsidR="003F5449">
        <w:t xml:space="preserve">nformation on cases </w:t>
      </w:r>
      <w:r w:rsidR="00C64C39">
        <w:t xml:space="preserve">in </w:t>
      </w:r>
      <w:r w:rsidR="003F5449">
        <w:t>wh</w:t>
      </w:r>
      <w:r w:rsidR="00C64C39">
        <w:t>ich</w:t>
      </w:r>
      <w:r w:rsidR="003F5449">
        <w:t xml:space="preserve"> racial motivation has been considered an aggravating circumstance. </w:t>
      </w:r>
    </w:p>
    <w:p w:rsidR="003F5449" w:rsidRDefault="00C2671E" w:rsidP="00C64C39">
      <w:pPr>
        <w:pStyle w:val="SingleTxtG"/>
      </w:pPr>
      <w:r>
        <w:t>8.</w:t>
      </w:r>
      <w:r>
        <w:tab/>
      </w:r>
      <w:r w:rsidR="00C64C39">
        <w:t>The j</w:t>
      </w:r>
      <w:r w:rsidR="003F5449">
        <w:t xml:space="preserve">ustification for maintaining the reservation to article 4 of the Convention, particularly in </w:t>
      </w:r>
      <w:r w:rsidR="00C64C39">
        <w:t xml:space="preserve">the </w:t>
      </w:r>
      <w:r w:rsidR="003F5449">
        <w:t>light of the Committee’s general recommendation No. 35 (201</w:t>
      </w:r>
      <w:r w:rsidR="00C64C39">
        <w:t>3</w:t>
      </w:r>
      <w:r w:rsidR="003F5449">
        <w:t>) on combating racist hate speech (CERD/C/GBR/CO/18-20, para.</w:t>
      </w:r>
      <w:r>
        <w:t xml:space="preserve"> </w:t>
      </w:r>
      <w:r w:rsidR="003F5449">
        <w:t>11; CERD/C/GBR/21-23, para. 54).</w:t>
      </w:r>
    </w:p>
    <w:p w:rsidR="003C30D7" w:rsidRDefault="00C2671E" w:rsidP="00ED0C52">
      <w:pPr>
        <w:pStyle w:val="SingleTxtG"/>
      </w:pPr>
      <w:r>
        <w:t>9.</w:t>
      </w:r>
      <w:r>
        <w:tab/>
      </w:r>
      <w:r w:rsidR="003C30D7">
        <w:t>Information on the scope of legal aid and representation available to ethnic minorities, asylum</w:t>
      </w:r>
      <w:r>
        <w:t xml:space="preserve"> </w:t>
      </w:r>
      <w:r w:rsidR="003C30D7">
        <w:t xml:space="preserve">seekers, refugees, victims of trafficking and other persons in vulnerable situations. </w:t>
      </w:r>
    </w:p>
    <w:p w:rsidR="003F5449" w:rsidRPr="003E5DA5" w:rsidRDefault="003F5449" w:rsidP="00C2671E">
      <w:pPr>
        <w:keepNext/>
        <w:keepLines/>
        <w:tabs>
          <w:tab w:val="right" w:pos="851"/>
        </w:tabs>
        <w:spacing w:before="240" w:after="120" w:line="240" w:lineRule="exact"/>
        <w:ind w:left="1134" w:right="1134" w:hanging="1134"/>
        <w:rPr>
          <w:b/>
        </w:rPr>
      </w:pPr>
      <w:r w:rsidRPr="003E5DA5">
        <w:rPr>
          <w:b/>
        </w:rPr>
        <w:tab/>
      </w:r>
      <w:r w:rsidRPr="003E5DA5">
        <w:rPr>
          <w:b/>
        </w:rPr>
        <w:tab/>
        <w:t xml:space="preserve">Discrimination </w:t>
      </w:r>
      <w:r w:rsidRPr="0072572A">
        <w:rPr>
          <w:b/>
        </w:rPr>
        <w:t>against national or ethnic</w:t>
      </w:r>
      <w:r w:rsidRPr="003E5DA5">
        <w:rPr>
          <w:b/>
        </w:rPr>
        <w:t xml:space="preserve"> minorities (arts. 2</w:t>
      </w:r>
      <w:r w:rsidR="00C2671E">
        <w:rPr>
          <w:b/>
        </w:rPr>
        <w:t>-</w:t>
      </w:r>
      <w:r w:rsidRPr="003E5DA5">
        <w:rPr>
          <w:b/>
        </w:rPr>
        <w:t xml:space="preserve">7) </w:t>
      </w:r>
    </w:p>
    <w:p w:rsidR="003F5449" w:rsidRDefault="00C2671E">
      <w:pPr>
        <w:pStyle w:val="SingleTxtG"/>
      </w:pPr>
      <w:r>
        <w:t>10.</w:t>
      </w:r>
      <w:r>
        <w:tab/>
      </w:r>
      <w:r w:rsidR="003F5449">
        <w:t xml:space="preserve">Information on the representation of ethnic minorities in the executive branch, </w:t>
      </w:r>
      <w:r w:rsidR="009546A2">
        <w:t>P</w:t>
      </w:r>
      <w:r w:rsidR="003F5449">
        <w:t>arliament, political parties, the police force, the criminal justice system and other public bodies, including the public broadcasting sector (CERD/C/GBR/CO/18-20, para.</w:t>
      </w:r>
      <w:r w:rsidR="002858D5">
        <w:t> </w:t>
      </w:r>
      <w:r w:rsidR="003F5449">
        <w:t>22; CERD/C/GBR/21-23, paras.</w:t>
      </w:r>
      <w:r>
        <w:t xml:space="preserve"> </w:t>
      </w:r>
      <w:r w:rsidR="003F5449">
        <w:t>89</w:t>
      </w:r>
      <w:r>
        <w:t>-</w:t>
      </w:r>
      <w:r w:rsidR="003F5449">
        <w:t>95).</w:t>
      </w:r>
    </w:p>
    <w:p w:rsidR="003F5449" w:rsidRDefault="00C2671E" w:rsidP="00BE483C">
      <w:pPr>
        <w:pStyle w:val="SingleTxtG"/>
      </w:pPr>
      <w:r>
        <w:t>11.</w:t>
      </w:r>
      <w:r>
        <w:tab/>
      </w:r>
      <w:r w:rsidR="003F5449">
        <w:t>Detailed and updated information on the use of “stop and search” powers by the police</w:t>
      </w:r>
      <w:r w:rsidR="0072572A">
        <w:t>,</w:t>
      </w:r>
      <w:r w:rsidR="003F5449">
        <w:t xml:space="preserve"> and the impact of measures taken to eliminate </w:t>
      </w:r>
      <w:r w:rsidR="0072572A">
        <w:t>the</w:t>
      </w:r>
      <w:r w:rsidR="003F5449">
        <w:t xml:space="preserve"> disproportionate impact </w:t>
      </w:r>
      <w:r w:rsidR="00BE483C">
        <w:t>of</w:t>
      </w:r>
      <w:r w:rsidR="0072572A">
        <w:t xml:space="preserve"> </w:t>
      </w:r>
      <w:r w:rsidR="00BE483C">
        <w:t xml:space="preserve">the use of </w:t>
      </w:r>
      <w:r w:rsidR="0072572A">
        <w:t xml:space="preserve">those powers </w:t>
      </w:r>
      <w:r w:rsidR="003F5449">
        <w:t>on ethnic minority groups (CERD/C/GBR/CO/18-20, para. 18; CERD/C/GBR/21-23, paras. 84</w:t>
      </w:r>
      <w:r>
        <w:t>-</w:t>
      </w:r>
      <w:r w:rsidR="003F5449">
        <w:t xml:space="preserve">88). </w:t>
      </w:r>
    </w:p>
    <w:p w:rsidR="003F5449" w:rsidRDefault="00C2671E" w:rsidP="00ED0C52">
      <w:pPr>
        <w:pStyle w:val="SingleTxtG"/>
      </w:pPr>
      <w:r>
        <w:t>12.</w:t>
      </w:r>
      <w:r>
        <w:tab/>
      </w:r>
      <w:r w:rsidR="003F5449">
        <w:t>Updated information on measures taken to implement the recommendations contained in the final report of the Riot Communities and Victims Panel of March 2012 (CERD/C/GBR/CO/18-20, para.</w:t>
      </w:r>
      <w:r>
        <w:t xml:space="preserve"> </w:t>
      </w:r>
      <w:r w:rsidR="003F5449">
        <w:t>9; CERD/C/GBR/21-23, para.</w:t>
      </w:r>
      <w:r>
        <w:t xml:space="preserve"> </w:t>
      </w:r>
      <w:r w:rsidR="003F5449">
        <w:t>28).</w:t>
      </w:r>
    </w:p>
    <w:p w:rsidR="003F5449" w:rsidRDefault="00C2671E" w:rsidP="00FF34CD">
      <w:pPr>
        <w:pStyle w:val="SingleTxtG"/>
      </w:pPr>
      <w:r>
        <w:t>13.</w:t>
      </w:r>
      <w:r>
        <w:tab/>
      </w:r>
      <w:r w:rsidR="003F5449">
        <w:t>Information and statistical data on the prosecution and sentencing of individuals belonging to ethic minority groups, including children</w:t>
      </w:r>
      <w:r w:rsidR="00FF34CD">
        <w:t>, and the i</w:t>
      </w:r>
      <w:r w:rsidR="003F5449">
        <w:t xml:space="preserve">mpact of measures taken to address the overrepresentation of ethnic minority groups in the criminal justice system. </w:t>
      </w:r>
    </w:p>
    <w:p w:rsidR="003F5449" w:rsidRDefault="00C2671E" w:rsidP="00ED0C52">
      <w:pPr>
        <w:pStyle w:val="SingleTxtG"/>
      </w:pPr>
      <w:r>
        <w:t>14.</w:t>
      </w:r>
      <w:r>
        <w:tab/>
      </w:r>
      <w:r w:rsidR="003F5449">
        <w:t>Updated statistical information on unemployment trends based on ethnicity (CERD/C/GBR/CO/18-20, para.</w:t>
      </w:r>
      <w:r>
        <w:t xml:space="preserve"> </w:t>
      </w:r>
      <w:r w:rsidR="003F5449">
        <w:t>25; CERD/C/GBR/21-23, paras.</w:t>
      </w:r>
      <w:r>
        <w:t xml:space="preserve"> </w:t>
      </w:r>
      <w:r w:rsidR="003F5449">
        <w:t>120-129).</w:t>
      </w:r>
    </w:p>
    <w:p w:rsidR="003F5449" w:rsidRDefault="00C2671E">
      <w:pPr>
        <w:pStyle w:val="SingleTxtG"/>
      </w:pPr>
      <w:r>
        <w:t>15.</w:t>
      </w:r>
      <w:r>
        <w:tab/>
      </w:r>
      <w:r w:rsidR="003F5449">
        <w:t>Updated statistics on school attainment and exclusion</w:t>
      </w:r>
      <w:r w:rsidR="007C587E">
        <w:t>,</w:t>
      </w:r>
      <w:r w:rsidR="003F5449">
        <w:t xml:space="preserve"> disaggregated by ethnicity</w:t>
      </w:r>
      <w:r w:rsidR="007C587E">
        <w:t>, and information on</w:t>
      </w:r>
      <w:r w:rsidR="003F5449">
        <w:t xml:space="preserve"> </w:t>
      </w:r>
      <w:r w:rsidR="007C587E">
        <w:t>the i</w:t>
      </w:r>
      <w:r w:rsidR="003F5449">
        <w:t xml:space="preserve">mpact of measures taken to address underachievement and </w:t>
      </w:r>
      <w:r w:rsidR="007C587E">
        <w:t xml:space="preserve">the </w:t>
      </w:r>
      <w:r w:rsidR="003F5449">
        <w:t xml:space="preserve">high exclusion rate of students from ethnic minority backgrounds, as well as racist bullying and name-calling in schools </w:t>
      </w:r>
      <w:r w:rsidR="003F5449" w:rsidRPr="00136D78">
        <w:t>(CERD/C/GBR/CO/18-20, para</w:t>
      </w:r>
      <w:r w:rsidR="003F5449">
        <w:t>s</w:t>
      </w:r>
      <w:r w:rsidR="003F5449" w:rsidRPr="00136D78">
        <w:t>.</w:t>
      </w:r>
      <w:r w:rsidR="00ED0C52">
        <w:t xml:space="preserve"> </w:t>
      </w:r>
      <w:r w:rsidR="003F5449" w:rsidRPr="00136D78">
        <w:t>23</w:t>
      </w:r>
      <w:r w:rsidR="003F5449">
        <w:t xml:space="preserve"> and 24; CERD/C/GBR/21-23, para.</w:t>
      </w:r>
      <w:r w:rsidR="00ED0C52">
        <w:t xml:space="preserve"> </w:t>
      </w:r>
      <w:r w:rsidR="003F5449">
        <w:t>210).</w:t>
      </w:r>
    </w:p>
    <w:p w:rsidR="003F5449" w:rsidRPr="00846865" w:rsidRDefault="00C2671E" w:rsidP="007C587E">
      <w:pPr>
        <w:pStyle w:val="SingleTxtG"/>
      </w:pPr>
      <w:r>
        <w:t>16.</w:t>
      </w:r>
      <w:r>
        <w:tab/>
      </w:r>
      <w:r w:rsidR="003F5449">
        <w:t>Updated statistics on access to social housing and on rates of homelessness, disaggregated by ethnicity</w:t>
      </w:r>
      <w:r w:rsidR="007C587E">
        <w:t>, and</w:t>
      </w:r>
      <w:r w:rsidR="003F5449">
        <w:t xml:space="preserve"> </w:t>
      </w:r>
      <w:r w:rsidR="007C587E">
        <w:t>i</w:t>
      </w:r>
      <w:r w:rsidR="003F5449">
        <w:t>nformation on measures taken to address substandard housing conditions and overcrowded housing for ethnic minority groups (CERD/C/GBR/21-23, paras.</w:t>
      </w:r>
      <w:r w:rsidR="00ED0C52">
        <w:t xml:space="preserve"> </w:t>
      </w:r>
      <w:r w:rsidR="003F5449">
        <w:t>130</w:t>
      </w:r>
      <w:r w:rsidR="00ED0C52">
        <w:t>-</w:t>
      </w:r>
      <w:r w:rsidR="003F5449">
        <w:t xml:space="preserve">144). </w:t>
      </w:r>
    </w:p>
    <w:p w:rsidR="003F5449" w:rsidRDefault="00C2671E" w:rsidP="006C1133">
      <w:pPr>
        <w:pStyle w:val="SingleTxtG"/>
      </w:pPr>
      <w:r>
        <w:t>17.</w:t>
      </w:r>
      <w:r>
        <w:tab/>
      </w:r>
      <w:r w:rsidR="003F5449">
        <w:t xml:space="preserve">Progress achieved in improving the socioeconomic situation of Gypsies and Travellers, including </w:t>
      </w:r>
      <w:r w:rsidR="0082000A">
        <w:t xml:space="preserve">their </w:t>
      </w:r>
      <w:r w:rsidR="003F5449">
        <w:t>access to education, health</w:t>
      </w:r>
      <w:r w:rsidR="00ED0C52">
        <w:t xml:space="preserve"> </w:t>
      </w:r>
      <w:r w:rsidR="003F5449">
        <w:t>care, employment and housing (CERD/C/GBR/CO/18-20, para.</w:t>
      </w:r>
      <w:r w:rsidR="00ED0C52">
        <w:t xml:space="preserve"> </w:t>
      </w:r>
      <w:r w:rsidR="003F5449">
        <w:t>27; CERD/C/GBR/21-23, paras.</w:t>
      </w:r>
      <w:r w:rsidR="00ED0C52">
        <w:t xml:space="preserve"> </w:t>
      </w:r>
      <w:r w:rsidR="003F5449">
        <w:t>11</w:t>
      </w:r>
      <w:r w:rsidR="006C1133">
        <w:t>0</w:t>
      </w:r>
      <w:r w:rsidR="00ED0C52">
        <w:t>-</w:t>
      </w:r>
      <w:r w:rsidR="003F5449">
        <w:t>117).</w:t>
      </w:r>
    </w:p>
    <w:p w:rsidR="003F5449" w:rsidRDefault="00C2671E" w:rsidP="00ED0C52">
      <w:pPr>
        <w:pStyle w:val="SingleTxtG"/>
      </w:pPr>
      <w:r>
        <w:t>18.</w:t>
      </w:r>
      <w:r>
        <w:tab/>
      </w:r>
      <w:r w:rsidR="003F5449">
        <w:t>Obstacles faced by Roma in accessing education, health</w:t>
      </w:r>
      <w:r w:rsidR="00ED0C52">
        <w:t xml:space="preserve"> </w:t>
      </w:r>
      <w:r w:rsidR="003F5449">
        <w:t>care, employment and housing and measures taken by the State party.</w:t>
      </w:r>
    </w:p>
    <w:p w:rsidR="003F5449" w:rsidRDefault="00C2671E">
      <w:pPr>
        <w:pStyle w:val="SingleTxtG"/>
      </w:pPr>
      <w:r>
        <w:t>19.</w:t>
      </w:r>
      <w:r>
        <w:tab/>
      </w:r>
      <w:r w:rsidR="00E7063C">
        <w:t>Information on the impact of measures taken to combat r</w:t>
      </w:r>
      <w:r w:rsidR="003F5449">
        <w:t xml:space="preserve">acial stereotypes and bias in the media and among the </w:t>
      </w:r>
      <w:r w:rsidR="006C1133">
        <w:t xml:space="preserve">general </w:t>
      </w:r>
      <w:r w:rsidR="003F5449">
        <w:t>public (CERD/C/GBR/CO/18-20)</w:t>
      </w:r>
      <w:r w:rsidR="006C1133">
        <w:t xml:space="preserve"> and</w:t>
      </w:r>
      <w:r w:rsidR="003F5449">
        <w:t xml:space="preserve"> racism in sports. </w:t>
      </w:r>
    </w:p>
    <w:p w:rsidR="003F5449" w:rsidRDefault="00C2671E">
      <w:pPr>
        <w:pStyle w:val="SingleTxtG"/>
      </w:pPr>
      <w:r>
        <w:t>2</w:t>
      </w:r>
      <w:r w:rsidR="001F1EE5">
        <w:t>0</w:t>
      </w:r>
      <w:r>
        <w:t>.</w:t>
      </w:r>
      <w:r>
        <w:tab/>
      </w:r>
      <w:r w:rsidR="006C1133">
        <w:t>The i</w:t>
      </w:r>
      <w:r w:rsidR="003F5449">
        <w:t xml:space="preserve">mpact of measures taken to address inequalities in health and access to health care based on ethnicity. </w:t>
      </w:r>
    </w:p>
    <w:p w:rsidR="003F5449" w:rsidRDefault="003F5449" w:rsidP="00C2671E">
      <w:pPr>
        <w:pStyle w:val="H23G"/>
      </w:pPr>
      <w:r>
        <w:tab/>
      </w:r>
      <w:r w:rsidRPr="00431769">
        <w:tab/>
        <w:t>Situation of non-citizens, including migrants, asylum seekers</w:t>
      </w:r>
      <w:r>
        <w:t xml:space="preserve">, refugees and stateless persons </w:t>
      </w:r>
      <w:r w:rsidRPr="00431769">
        <w:t>(arts. 5 and 7)</w:t>
      </w:r>
    </w:p>
    <w:p w:rsidR="003F5449" w:rsidRDefault="00C2671E" w:rsidP="006C1133">
      <w:pPr>
        <w:pStyle w:val="SingleTxtG"/>
      </w:pPr>
      <w:r>
        <w:t>21.</w:t>
      </w:r>
      <w:r>
        <w:tab/>
      </w:r>
      <w:r w:rsidR="003F5449">
        <w:t>Information and updated statistics on the number of asylum</w:t>
      </w:r>
      <w:r w:rsidR="00ED0C52">
        <w:t xml:space="preserve"> </w:t>
      </w:r>
      <w:r w:rsidR="003F5449">
        <w:t>seekers and migrants held in immigration centres, including children</w:t>
      </w:r>
      <w:r w:rsidR="006C1133">
        <w:t>,</w:t>
      </w:r>
      <w:r w:rsidR="003F5449">
        <w:t xml:space="preserve"> </w:t>
      </w:r>
      <w:r w:rsidR="006C1133">
        <w:t xml:space="preserve">and </w:t>
      </w:r>
      <w:r w:rsidR="003F5449">
        <w:t>on the conditions and the range of services provided during their stay in the centres</w:t>
      </w:r>
      <w:r w:rsidR="006C1133">
        <w:t>, and</w:t>
      </w:r>
      <w:r w:rsidR="003F5449">
        <w:t xml:space="preserve"> clarification on the statutory time limit and judicial oversight for detention. </w:t>
      </w:r>
    </w:p>
    <w:p w:rsidR="003F5449" w:rsidRDefault="00C2671E" w:rsidP="006C1133">
      <w:pPr>
        <w:pStyle w:val="SingleTxtG"/>
      </w:pPr>
      <w:r>
        <w:t>22.</w:t>
      </w:r>
      <w:r>
        <w:tab/>
      </w:r>
      <w:r w:rsidR="003F5449" w:rsidRPr="005A7C0C">
        <w:t>Information on the situation</w:t>
      </w:r>
      <w:r w:rsidR="003F5449">
        <w:t xml:space="preserve"> of migrants, asylum seekers,</w:t>
      </w:r>
      <w:r w:rsidR="003F5449" w:rsidRPr="005A7C0C">
        <w:t xml:space="preserve"> refugees</w:t>
      </w:r>
      <w:r w:rsidR="003F5449">
        <w:t xml:space="preserve"> and stateless persons</w:t>
      </w:r>
      <w:r w:rsidR="003F5449" w:rsidRPr="005A7C0C">
        <w:t>, particular</w:t>
      </w:r>
      <w:r w:rsidR="006C1133">
        <w:t>ly</w:t>
      </w:r>
      <w:r w:rsidR="003F5449" w:rsidRPr="005A7C0C">
        <w:t xml:space="preserve"> in relation to access to education, housing, health services and </w:t>
      </w:r>
      <w:r w:rsidR="003F5449">
        <w:t>employment</w:t>
      </w:r>
      <w:r w:rsidR="006C1133">
        <w:t>, and</w:t>
      </w:r>
      <w:r w:rsidR="003F5449">
        <w:t xml:space="preserve"> information on cases of exploitation and forced labour of migrants and the outcomes</w:t>
      </w:r>
      <w:r w:rsidR="006C1133">
        <w:t xml:space="preserve"> of those cases</w:t>
      </w:r>
      <w:r w:rsidR="003F5449">
        <w:t>, including prosecution</w:t>
      </w:r>
      <w:r w:rsidR="0082000A">
        <w:t>s</w:t>
      </w:r>
      <w:r w:rsidR="003F5449">
        <w:t>, conviction</w:t>
      </w:r>
      <w:r w:rsidR="0082000A">
        <w:t>s</w:t>
      </w:r>
      <w:r w:rsidR="003F5449">
        <w:t xml:space="preserve"> and remedies provided to victims. </w:t>
      </w:r>
    </w:p>
    <w:p w:rsidR="003F5449" w:rsidRDefault="00C2671E" w:rsidP="006C1133">
      <w:pPr>
        <w:pStyle w:val="SingleTxtG"/>
      </w:pPr>
      <w:r>
        <w:t>23.</w:t>
      </w:r>
      <w:r>
        <w:tab/>
      </w:r>
      <w:r w:rsidR="003F5449" w:rsidRPr="00004C85">
        <w:t>Info</w:t>
      </w:r>
      <w:r w:rsidR="003F5449">
        <w:t>rmation</w:t>
      </w:r>
      <w:r w:rsidR="003F5449" w:rsidRPr="00004C85">
        <w:t xml:space="preserve"> on </w:t>
      </w:r>
      <w:r w:rsidR="006C1133">
        <w:t xml:space="preserve">the </w:t>
      </w:r>
      <w:r w:rsidR="003F5449" w:rsidRPr="00004C85">
        <w:t xml:space="preserve">measures taken or planned </w:t>
      </w:r>
      <w:r w:rsidR="006C1133">
        <w:t>to address</w:t>
      </w:r>
      <w:r w:rsidR="003F5449" w:rsidRPr="00004C85">
        <w:t xml:space="preserve"> racial discrimination as a result of xenophobic political discourse.</w:t>
      </w:r>
    </w:p>
    <w:p w:rsidR="003F5449" w:rsidRPr="00DB50D3" w:rsidRDefault="003F5449" w:rsidP="00C2671E">
      <w:pPr>
        <w:pStyle w:val="H23G"/>
      </w:pPr>
      <w:r w:rsidRPr="00DB50D3">
        <w:tab/>
      </w:r>
      <w:r w:rsidRPr="00DB50D3">
        <w:tab/>
      </w:r>
      <w:r>
        <w:t xml:space="preserve">Training, </w:t>
      </w:r>
      <w:r w:rsidRPr="00CD11BF">
        <w:t>education and other measures to combat prejudice and intolerance (art. 7)</w:t>
      </w:r>
    </w:p>
    <w:p w:rsidR="003F5449" w:rsidRPr="00743B88" w:rsidRDefault="00C2671E">
      <w:pPr>
        <w:pStyle w:val="SingleTxtG"/>
      </w:pPr>
      <w:r>
        <w:t>24.</w:t>
      </w:r>
      <w:r>
        <w:tab/>
      </w:r>
      <w:r w:rsidR="006C1133">
        <w:t>The a</w:t>
      </w:r>
      <w:r w:rsidR="003F5449" w:rsidRPr="00743B88">
        <w:t>doption of a national strategy or plan of action to fully implement the provisions of the Convention and to eliminate structural discrimination.</w:t>
      </w:r>
    </w:p>
    <w:p w:rsidR="003F5449" w:rsidRPr="00743B88" w:rsidRDefault="00C2671E" w:rsidP="006C1133">
      <w:pPr>
        <w:pStyle w:val="SingleTxtG"/>
      </w:pPr>
      <w:r>
        <w:t>25.</w:t>
      </w:r>
      <w:r>
        <w:tab/>
      </w:r>
      <w:r w:rsidR="006C1133">
        <w:t>Information on any t</w:t>
      </w:r>
      <w:r w:rsidR="003F5449" w:rsidRPr="00743B88">
        <w:t>raining programmes or courses provided to Government officials, the judiciary, federal and State law enforcement officials, teachers, social workers and other public officials to raise awareness about the Convention and its provisions.</w:t>
      </w:r>
    </w:p>
    <w:p w:rsidR="003F5449" w:rsidRDefault="00C2671E" w:rsidP="006C1133">
      <w:pPr>
        <w:pStyle w:val="SingleTxtG"/>
      </w:pPr>
      <w:r>
        <w:t>26.</w:t>
      </w:r>
      <w:r>
        <w:tab/>
      </w:r>
      <w:r w:rsidR="006C1133">
        <w:t>The i</w:t>
      </w:r>
      <w:r w:rsidR="003F5449" w:rsidRPr="00743B88">
        <w:t>nclusion of the history and culture of different ethnic groups in the State party, including people of African descent, in the curricula and textbooks for primary and secondary schools.</w:t>
      </w:r>
    </w:p>
    <w:p w:rsidR="00172B6E" w:rsidRPr="003C30D7" w:rsidRDefault="00172B6E" w:rsidP="00172B6E">
      <w:pPr>
        <w:pStyle w:val="SingleTxtG"/>
        <w:spacing w:before="240" w:after="0"/>
        <w:jc w:val="center"/>
      </w:pPr>
      <w:r w:rsidRPr="003C30D7">
        <w:rPr>
          <w:u w:val="single"/>
        </w:rPr>
        <w:tab/>
      </w:r>
      <w:r w:rsidRPr="003C30D7">
        <w:rPr>
          <w:u w:val="single"/>
        </w:rPr>
        <w:tab/>
      </w:r>
      <w:r w:rsidRPr="003C30D7">
        <w:rPr>
          <w:u w:val="single"/>
        </w:rPr>
        <w:tab/>
      </w:r>
    </w:p>
    <w:sectPr w:rsidR="00172B6E" w:rsidRPr="003C30D7" w:rsidSect="00AE0A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7B" w:rsidRDefault="0082637B"/>
  </w:endnote>
  <w:endnote w:type="continuationSeparator" w:id="0">
    <w:p w:rsidR="0082637B" w:rsidRDefault="0082637B"/>
  </w:endnote>
  <w:endnote w:type="continuationNotice" w:id="1">
    <w:p w:rsidR="0082637B" w:rsidRDefault="00826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1" w:rsidRPr="00317454" w:rsidRDefault="00900021" w:rsidP="00317454">
    <w:pPr>
      <w:pStyle w:val="Footer"/>
      <w:tabs>
        <w:tab w:val="right" w:pos="9598"/>
      </w:tabs>
    </w:pPr>
    <w:r w:rsidRPr="00317454">
      <w:rPr>
        <w:b/>
        <w:sz w:val="18"/>
      </w:rPr>
      <w:fldChar w:fldCharType="begin"/>
    </w:r>
    <w:r w:rsidRPr="00317454">
      <w:rPr>
        <w:b/>
        <w:sz w:val="18"/>
      </w:rPr>
      <w:instrText xml:space="preserve"> PAGE  \* MERGEFORMAT </w:instrText>
    </w:r>
    <w:r w:rsidRPr="00317454">
      <w:rPr>
        <w:b/>
        <w:sz w:val="18"/>
      </w:rPr>
      <w:fldChar w:fldCharType="separate"/>
    </w:r>
    <w:r w:rsidR="008F70C4">
      <w:rPr>
        <w:b/>
        <w:noProof/>
        <w:sz w:val="18"/>
      </w:rPr>
      <w:t>2</w:t>
    </w:r>
    <w:r w:rsidRPr="003174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1" w:rsidRPr="00317454" w:rsidRDefault="00900021" w:rsidP="00317454">
    <w:pPr>
      <w:pStyle w:val="Footer"/>
      <w:tabs>
        <w:tab w:val="right" w:pos="9598"/>
      </w:tabs>
      <w:rPr>
        <w:b/>
        <w:sz w:val="18"/>
      </w:rPr>
    </w:pPr>
    <w:r>
      <w:tab/>
    </w:r>
    <w:r w:rsidRPr="00317454">
      <w:rPr>
        <w:b/>
        <w:sz w:val="18"/>
      </w:rPr>
      <w:fldChar w:fldCharType="begin"/>
    </w:r>
    <w:r w:rsidRPr="00317454">
      <w:rPr>
        <w:b/>
        <w:sz w:val="18"/>
      </w:rPr>
      <w:instrText xml:space="preserve"> PAGE  \* MERGEFORMAT </w:instrText>
    </w:r>
    <w:r w:rsidRPr="00317454">
      <w:rPr>
        <w:b/>
        <w:sz w:val="18"/>
      </w:rPr>
      <w:fldChar w:fldCharType="separate"/>
    </w:r>
    <w:r w:rsidR="008F70C4">
      <w:rPr>
        <w:b/>
        <w:noProof/>
        <w:sz w:val="18"/>
      </w:rPr>
      <w:t>3</w:t>
    </w:r>
    <w:r w:rsidRPr="003174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C4" w:rsidRDefault="008F70C4" w:rsidP="008F70C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F70C4" w:rsidRDefault="008F70C4" w:rsidP="008F70C4">
    <w:pPr>
      <w:pStyle w:val="Footer"/>
      <w:ind w:right="1134"/>
      <w:rPr>
        <w:sz w:val="20"/>
      </w:rPr>
    </w:pPr>
    <w:r>
      <w:rPr>
        <w:sz w:val="20"/>
      </w:rPr>
      <w:t>GE.16-09775(E)</w:t>
    </w:r>
  </w:p>
  <w:p w:rsidR="008F70C4" w:rsidRPr="008F70C4" w:rsidRDefault="008F70C4" w:rsidP="008F70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RD/C/GBR/Q/21-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GBR/Q/21-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7B" w:rsidRPr="000B175B" w:rsidRDefault="0082637B" w:rsidP="000B175B">
      <w:pPr>
        <w:tabs>
          <w:tab w:val="right" w:pos="2155"/>
        </w:tabs>
        <w:spacing w:after="80"/>
        <w:ind w:left="680"/>
        <w:rPr>
          <w:u w:val="single"/>
        </w:rPr>
      </w:pPr>
      <w:r>
        <w:rPr>
          <w:u w:val="single"/>
        </w:rPr>
        <w:tab/>
      </w:r>
    </w:p>
  </w:footnote>
  <w:footnote w:type="continuationSeparator" w:id="0">
    <w:p w:rsidR="0082637B" w:rsidRPr="00FC68B7" w:rsidRDefault="0082637B" w:rsidP="00FC68B7">
      <w:pPr>
        <w:tabs>
          <w:tab w:val="left" w:pos="2155"/>
        </w:tabs>
        <w:spacing w:after="80"/>
        <w:ind w:left="680"/>
        <w:rPr>
          <w:u w:val="single"/>
        </w:rPr>
      </w:pPr>
      <w:r>
        <w:rPr>
          <w:u w:val="single"/>
        </w:rPr>
        <w:tab/>
      </w:r>
    </w:p>
  </w:footnote>
  <w:footnote w:type="continuationNotice" w:id="1">
    <w:p w:rsidR="0082637B" w:rsidRDefault="008263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1" w:rsidRPr="00317454" w:rsidRDefault="00900021" w:rsidP="00317454">
    <w:pPr>
      <w:pStyle w:val="Header"/>
    </w:pPr>
    <w:r w:rsidRPr="00317454">
      <w:t>CERD/C/</w:t>
    </w:r>
    <w:r w:rsidR="00154C6B">
      <w:t>GBR/Q/21-2</w:t>
    </w:r>
    <w:r w:rsidR="003F5449">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1" w:rsidRPr="00317454" w:rsidRDefault="00900021" w:rsidP="00317454">
    <w:pPr>
      <w:pStyle w:val="Header"/>
      <w:jc w:val="right"/>
    </w:pPr>
    <w:r w:rsidRPr="00317454">
      <w:t>CERD/C/</w:t>
    </w:r>
    <w:r w:rsidR="003F5449">
      <w:t>GBR</w:t>
    </w:r>
    <w:r w:rsidRPr="00317454">
      <w:t>/Q/</w:t>
    </w:r>
    <w:r w:rsidR="003F5449">
      <w:t>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1622F6"/>
    <w:multiLevelType w:val="hybridMultilevel"/>
    <w:tmpl w:val="DD2A170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A2071D"/>
    <w:multiLevelType w:val="hybridMultilevel"/>
    <w:tmpl w:val="124E8CC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2D10C67"/>
    <w:multiLevelType w:val="hybridMultilevel"/>
    <w:tmpl w:val="047C7AE8"/>
    <w:lvl w:ilvl="0" w:tplc="97F29854">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1F54E9"/>
    <w:multiLevelType w:val="hybridMultilevel"/>
    <w:tmpl w:val="44A6065A"/>
    <w:lvl w:ilvl="0" w:tplc="0642580A">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AE56DC6"/>
    <w:multiLevelType w:val="hybridMultilevel"/>
    <w:tmpl w:val="966C4B3A"/>
    <w:lvl w:ilvl="0" w:tplc="73C25656">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5941D5"/>
    <w:multiLevelType w:val="hybridMultilevel"/>
    <w:tmpl w:val="6DB6421C"/>
    <w:lvl w:ilvl="0" w:tplc="F0940FF4">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C894F14"/>
    <w:multiLevelType w:val="hybridMultilevel"/>
    <w:tmpl w:val="BA78114E"/>
    <w:lvl w:ilvl="0" w:tplc="5E08B712">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D624856"/>
    <w:multiLevelType w:val="hybridMultilevel"/>
    <w:tmpl w:val="59F6CC9E"/>
    <w:lvl w:ilvl="0" w:tplc="B344B0D4">
      <w:start w:val="1"/>
      <w:numFmt w:val="lowerLetter"/>
      <w:lvlText w:val="(%1)"/>
      <w:lvlJc w:val="left"/>
      <w:pPr>
        <w:ind w:left="2838" w:hanging="564"/>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55679"/>
    <w:multiLevelType w:val="hybridMultilevel"/>
    <w:tmpl w:val="63DA40B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ACF1BA5"/>
    <w:multiLevelType w:val="hybridMultilevel"/>
    <w:tmpl w:val="9FCC036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EED4EBB"/>
    <w:multiLevelType w:val="hybridMultilevel"/>
    <w:tmpl w:val="F6468C14"/>
    <w:lvl w:ilvl="0" w:tplc="87A64F8A">
      <w:start w:val="1"/>
      <w:numFmt w:val="lowerLetter"/>
      <w:lvlText w:val="(%1)"/>
      <w:lvlJc w:val="left"/>
      <w:pPr>
        <w:ind w:left="2838" w:hanging="564"/>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7">
    <w:nsid w:val="6FA84C5F"/>
    <w:multiLevelType w:val="hybridMultilevel"/>
    <w:tmpl w:val="ABBE212A"/>
    <w:lvl w:ilvl="0" w:tplc="921A7D3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nsid w:val="736B2713"/>
    <w:multiLevelType w:val="hybridMultilevel"/>
    <w:tmpl w:val="C2A26B6C"/>
    <w:lvl w:ilvl="0" w:tplc="D7823272">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4F52D8F"/>
    <w:multiLevelType w:val="hybridMultilevel"/>
    <w:tmpl w:val="2526A66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5"/>
  </w:num>
  <w:num w:numId="15">
    <w:abstractNumId w:val="15"/>
  </w:num>
  <w:num w:numId="16">
    <w:abstractNumId w:val="12"/>
  </w:num>
  <w:num w:numId="17">
    <w:abstractNumId w:val="16"/>
  </w:num>
  <w:num w:numId="18">
    <w:abstractNumId w:val="20"/>
  </w:num>
  <w:num w:numId="19">
    <w:abstractNumId w:val="14"/>
  </w:num>
  <w:num w:numId="20">
    <w:abstractNumId w:val="27"/>
  </w:num>
  <w:num w:numId="21">
    <w:abstractNumId w:val="13"/>
  </w:num>
  <w:num w:numId="22">
    <w:abstractNumId w:val="17"/>
  </w:num>
  <w:num w:numId="23">
    <w:abstractNumId w:val="29"/>
  </w:num>
  <w:num w:numId="24">
    <w:abstractNumId w:val="28"/>
  </w:num>
  <w:num w:numId="25">
    <w:abstractNumId w:val="11"/>
  </w:num>
  <w:num w:numId="26">
    <w:abstractNumId w:val="26"/>
  </w:num>
  <w:num w:numId="27">
    <w:abstractNumId w:val="24"/>
  </w:num>
  <w:num w:numId="28">
    <w:abstractNumId w:val="21"/>
  </w:num>
  <w:num w:numId="29">
    <w:abstractNumId w:val="23"/>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A"/>
    <w:rsid w:val="0001250C"/>
    <w:rsid w:val="000309A7"/>
    <w:rsid w:val="00032FF2"/>
    <w:rsid w:val="00050F6B"/>
    <w:rsid w:val="000551DC"/>
    <w:rsid w:val="00072C8C"/>
    <w:rsid w:val="000733B5"/>
    <w:rsid w:val="00077485"/>
    <w:rsid w:val="000814F4"/>
    <w:rsid w:val="000931C0"/>
    <w:rsid w:val="000951C3"/>
    <w:rsid w:val="000A5D3B"/>
    <w:rsid w:val="000B175B"/>
    <w:rsid w:val="000B3A0F"/>
    <w:rsid w:val="000B4EF7"/>
    <w:rsid w:val="000C1462"/>
    <w:rsid w:val="000C2D2E"/>
    <w:rsid w:val="000E0415"/>
    <w:rsid w:val="001103AA"/>
    <w:rsid w:val="00130208"/>
    <w:rsid w:val="0014249A"/>
    <w:rsid w:val="00154C6B"/>
    <w:rsid w:val="00155467"/>
    <w:rsid w:val="001575A4"/>
    <w:rsid w:val="00172B6E"/>
    <w:rsid w:val="00180D95"/>
    <w:rsid w:val="0018711F"/>
    <w:rsid w:val="001B4B04"/>
    <w:rsid w:val="001C1A04"/>
    <w:rsid w:val="001C6663"/>
    <w:rsid w:val="001C7895"/>
    <w:rsid w:val="001D26DF"/>
    <w:rsid w:val="001E05F2"/>
    <w:rsid w:val="001E5A23"/>
    <w:rsid w:val="001E5AA0"/>
    <w:rsid w:val="001F1EE5"/>
    <w:rsid w:val="001F325D"/>
    <w:rsid w:val="001F52F5"/>
    <w:rsid w:val="00202DA8"/>
    <w:rsid w:val="00206627"/>
    <w:rsid w:val="00211E0B"/>
    <w:rsid w:val="0021613A"/>
    <w:rsid w:val="00224887"/>
    <w:rsid w:val="0024532E"/>
    <w:rsid w:val="00254F8E"/>
    <w:rsid w:val="00280B28"/>
    <w:rsid w:val="002858D5"/>
    <w:rsid w:val="002B0464"/>
    <w:rsid w:val="002C1F21"/>
    <w:rsid w:val="002E4A8B"/>
    <w:rsid w:val="002F175C"/>
    <w:rsid w:val="00317454"/>
    <w:rsid w:val="003229D8"/>
    <w:rsid w:val="00323BE9"/>
    <w:rsid w:val="003305AB"/>
    <w:rsid w:val="00351921"/>
    <w:rsid w:val="00352709"/>
    <w:rsid w:val="00371178"/>
    <w:rsid w:val="00372E8A"/>
    <w:rsid w:val="003A2C1A"/>
    <w:rsid w:val="003A4810"/>
    <w:rsid w:val="003A6810"/>
    <w:rsid w:val="003C2CC4"/>
    <w:rsid w:val="003C30D7"/>
    <w:rsid w:val="003D4B23"/>
    <w:rsid w:val="003E055E"/>
    <w:rsid w:val="003F5449"/>
    <w:rsid w:val="00405DDC"/>
    <w:rsid w:val="00410C89"/>
    <w:rsid w:val="00422BCA"/>
    <w:rsid w:val="004325CB"/>
    <w:rsid w:val="00446D0D"/>
    <w:rsid w:val="0045495B"/>
    <w:rsid w:val="0046010F"/>
    <w:rsid w:val="0048272E"/>
    <w:rsid w:val="004978B8"/>
    <w:rsid w:val="004B5E00"/>
    <w:rsid w:val="004D25E4"/>
    <w:rsid w:val="004D5444"/>
    <w:rsid w:val="004D5DC7"/>
    <w:rsid w:val="004D6628"/>
    <w:rsid w:val="00517B36"/>
    <w:rsid w:val="005420F2"/>
    <w:rsid w:val="00543EFC"/>
    <w:rsid w:val="0054530F"/>
    <w:rsid w:val="00545A98"/>
    <w:rsid w:val="00567E18"/>
    <w:rsid w:val="005738B3"/>
    <w:rsid w:val="00583795"/>
    <w:rsid w:val="00592933"/>
    <w:rsid w:val="005B3DB3"/>
    <w:rsid w:val="005B5659"/>
    <w:rsid w:val="005C6A79"/>
    <w:rsid w:val="006001EE"/>
    <w:rsid w:val="006050D0"/>
    <w:rsid w:val="00611FC4"/>
    <w:rsid w:val="006176FB"/>
    <w:rsid w:val="006212FD"/>
    <w:rsid w:val="00625B36"/>
    <w:rsid w:val="00640B26"/>
    <w:rsid w:val="00663445"/>
    <w:rsid w:val="006966DA"/>
    <w:rsid w:val="006C1133"/>
    <w:rsid w:val="006C1ADD"/>
    <w:rsid w:val="006D0852"/>
    <w:rsid w:val="006E0B6A"/>
    <w:rsid w:val="006E564B"/>
    <w:rsid w:val="006E5DD6"/>
    <w:rsid w:val="0070619B"/>
    <w:rsid w:val="0072572A"/>
    <w:rsid w:val="0072632A"/>
    <w:rsid w:val="00743B88"/>
    <w:rsid w:val="007841AD"/>
    <w:rsid w:val="007B112D"/>
    <w:rsid w:val="007B6BA5"/>
    <w:rsid w:val="007C3390"/>
    <w:rsid w:val="007C4F4B"/>
    <w:rsid w:val="007C587E"/>
    <w:rsid w:val="007E04A3"/>
    <w:rsid w:val="007F6462"/>
    <w:rsid w:val="007F6611"/>
    <w:rsid w:val="0082000A"/>
    <w:rsid w:val="008242D7"/>
    <w:rsid w:val="0082637B"/>
    <w:rsid w:val="00832D01"/>
    <w:rsid w:val="008711DF"/>
    <w:rsid w:val="00872945"/>
    <w:rsid w:val="008979B1"/>
    <w:rsid w:val="008A447F"/>
    <w:rsid w:val="008A6B25"/>
    <w:rsid w:val="008A6C4F"/>
    <w:rsid w:val="008B2335"/>
    <w:rsid w:val="008B7C1C"/>
    <w:rsid w:val="008F3574"/>
    <w:rsid w:val="008F4B1E"/>
    <w:rsid w:val="008F70C4"/>
    <w:rsid w:val="00900021"/>
    <w:rsid w:val="0091275B"/>
    <w:rsid w:val="00914E79"/>
    <w:rsid w:val="00916443"/>
    <w:rsid w:val="0091673B"/>
    <w:rsid w:val="009223CA"/>
    <w:rsid w:val="009369F6"/>
    <w:rsid w:val="00940F93"/>
    <w:rsid w:val="00942718"/>
    <w:rsid w:val="00944640"/>
    <w:rsid w:val="009546A2"/>
    <w:rsid w:val="009603EF"/>
    <w:rsid w:val="009A3D56"/>
    <w:rsid w:val="009B4A1B"/>
    <w:rsid w:val="009C0EE8"/>
    <w:rsid w:val="009C14AA"/>
    <w:rsid w:val="009C547C"/>
    <w:rsid w:val="00A01489"/>
    <w:rsid w:val="00A0681D"/>
    <w:rsid w:val="00A24435"/>
    <w:rsid w:val="00A30FB2"/>
    <w:rsid w:val="00A61147"/>
    <w:rsid w:val="00A61CCD"/>
    <w:rsid w:val="00A64909"/>
    <w:rsid w:val="00A72F22"/>
    <w:rsid w:val="00A748A6"/>
    <w:rsid w:val="00A776B4"/>
    <w:rsid w:val="00A94361"/>
    <w:rsid w:val="00A95A79"/>
    <w:rsid w:val="00AC1552"/>
    <w:rsid w:val="00AE0A05"/>
    <w:rsid w:val="00B016FE"/>
    <w:rsid w:val="00B06775"/>
    <w:rsid w:val="00B30179"/>
    <w:rsid w:val="00B452CD"/>
    <w:rsid w:val="00B50A8A"/>
    <w:rsid w:val="00B56E9C"/>
    <w:rsid w:val="00B64B1F"/>
    <w:rsid w:val="00B6553F"/>
    <w:rsid w:val="00B7541A"/>
    <w:rsid w:val="00B76D56"/>
    <w:rsid w:val="00B804A6"/>
    <w:rsid w:val="00B81E12"/>
    <w:rsid w:val="00B9109E"/>
    <w:rsid w:val="00B938F1"/>
    <w:rsid w:val="00B96D98"/>
    <w:rsid w:val="00BA7876"/>
    <w:rsid w:val="00BC70F2"/>
    <w:rsid w:val="00BC74E9"/>
    <w:rsid w:val="00BE483C"/>
    <w:rsid w:val="00BF68A8"/>
    <w:rsid w:val="00C00F01"/>
    <w:rsid w:val="00C2671E"/>
    <w:rsid w:val="00C3206E"/>
    <w:rsid w:val="00C373A8"/>
    <w:rsid w:val="00C463DD"/>
    <w:rsid w:val="00C4724C"/>
    <w:rsid w:val="00C475AB"/>
    <w:rsid w:val="00C53A77"/>
    <w:rsid w:val="00C629A0"/>
    <w:rsid w:val="00C64C39"/>
    <w:rsid w:val="00C745C3"/>
    <w:rsid w:val="00C75FB9"/>
    <w:rsid w:val="00C97C90"/>
    <w:rsid w:val="00CC00AC"/>
    <w:rsid w:val="00CC24D2"/>
    <w:rsid w:val="00CC3F8B"/>
    <w:rsid w:val="00CE4A8F"/>
    <w:rsid w:val="00CF04CA"/>
    <w:rsid w:val="00CF5042"/>
    <w:rsid w:val="00D06422"/>
    <w:rsid w:val="00D2031B"/>
    <w:rsid w:val="00D218CB"/>
    <w:rsid w:val="00D25FE2"/>
    <w:rsid w:val="00D43252"/>
    <w:rsid w:val="00D51E7F"/>
    <w:rsid w:val="00D67DBF"/>
    <w:rsid w:val="00D7767E"/>
    <w:rsid w:val="00D77BDA"/>
    <w:rsid w:val="00D978C6"/>
    <w:rsid w:val="00DA2183"/>
    <w:rsid w:val="00DA3C1C"/>
    <w:rsid w:val="00DA43CC"/>
    <w:rsid w:val="00DB172F"/>
    <w:rsid w:val="00DE4D3B"/>
    <w:rsid w:val="00E06156"/>
    <w:rsid w:val="00E109FB"/>
    <w:rsid w:val="00E1439F"/>
    <w:rsid w:val="00E47088"/>
    <w:rsid w:val="00E4728E"/>
    <w:rsid w:val="00E63389"/>
    <w:rsid w:val="00E7063C"/>
    <w:rsid w:val="00E71BC8"/>
    <w:rsid w:val="00E7260F"/>
    <w:rsid w:val="00E73170"/>
    <w:rsid w:val="00E96630"/>
    <w:rsid w:val="00ED0C52"/>
    <w:rsid w:val="00ED32A3"/>
    <w:rsid w:val="00ED616A"/>
    <w:rsid w:val="00ED7A2A"/>
    <w:rsid w:val="00ED7FFC"/>
    <w:rsid w:val="00EF1D7F"/>
    <w:rsid w:val="00EF77EC"/>
    <w:rsid w:val="00F14D89"/>
    <w:rsid w:val="00F31777"/>
    <w:rsid w:val="00F32B3C"/>
    <w:rsid w:val="00F34583"/>
    <w:rsid w:val="00F3702E"/>
    <w:rsid w:val="00F40A6C"/>
    <w:rsid w:val="00F47035"/>
    <w:rsid w:val="00F504DF"/>
    <w:rsid w:val="00FA271C"/>
    <w:rsid w:val="00FB2916"/>
    <w:rsid w:val="00FC68B7"/>
    <w:rsid w:val="00FD05BE"/>
    <w:rsid w:val="00FF2169"/>
    <w:rsid w:val="00FF34CD"/>
    <w:rsid w:val="00FF72C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qFormat/>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B452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52CD"/>
    <w:rPr>
      <w:rFonts w:ascii="Tahoma" w:hAnsi="Tahoma" w:cs="Tahoma"/>
      <w:sz w:val="16"/>
      <w:szCs w:val="16"/>
      <w:lang w:eastAsia="en-US"/>
    </w:rPr>
  </w:style>
  <w:style w:type="paragraph" w:styleId="CommentSubject">
    <w:name w:val="annotation subject"/>
    <w:basedOn w:val="CommentText"/>
    <w:next w:val="CommentText"/>
    <w:link w:val="CommentSubjectChar"/>
    <w:rsid w:val="006E0B6A"/>
    <w:pPr>
      <w:spacing w:line="240" w:lineRule="auto"/>
    </w:pPr>
    <w:rPr>
      <w:b/>
      <w:bCs/>
    </w:rPr>
  </w:style>
  <w:style w:type="character" w:customStyle="1" w:styleId="CommentTextChar">
    <w:name w:val="Comment Text Char"/>
    <w:basedOn w:val="DefaultParagraphFont"/>
    <w:link w:val="CommentText"/>
    <w:semiHidden/>
    <w:rsid w:val="006E0B6A"/>
    <w:rPr>
      <w:lang w:eastAsia="en-US"/>
    </w:rPr>
  </w:style>
  <w:style w:type="character" w:customStyle="1" w:styleId="CommentSubjectChar">
    <w:name w:val="Comment Subject Char"/>
    <w:basedOn w:val="CommentTextChar"/>
    <w:link w:val="CommentSubject"/>
    <w:rsid w:val="006E0B6A"/>
    <w:rPr>
      <w:b/>
      <w:bCs/>
      <w:lang w:eastAsia="en-US"/>
    </w:rPr>
  </w:style>
  <w:style w:type="paragraph" w:styleId="Revision">
    <w:name w:val="Revision"/>
    <w:hidden/>
    <w:uiPriority w:val="99"/>
    <w:semiHidden/>
    <w:rsid w:val="006E0B6A"/>
    <w:rPr>
      <w:lang w:eastAsia="en-US"/>
    </w:rPr>
  </w:style>
  <w:style w:type="character" w:customStyle="1" w:styleId="FootnoteTextChar">
    <w:name w:val="Footnote Text Char"/>
    <w:aliases w:val="5_G Char"/>
    <w:link w:val="FootnoteText"/>
    <w:rsid w:val="003F5449"/>
    <w:rPr>
      <w:sz w:val="18"/>
      <w:lang w:eastAsia="en-US"/>
    </w:rPr>
  </w:style>
  <w:style w:type="character" w:customStyle="1" w:styleId="SingleTxtGChar">
    <w:name w:val="_ Single Txt_G Char"/>
    <w:link w:val="SingleTxtG"/>
    <w:locked/>
    <w:rsid w:val="003F544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qFormat/>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B452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52CD"/>
    <w:rPr>
      <w:rFonts w:ascii="Tahoma" w:hAnsi="Tahoma" w:cs="Tahoma"/>
      <w:sz w:val="16"/>
      <w:szCs w:val="16"/>
      <w:lang w:eastAsia="en-US"/>
    </w:rPr>
  </w:style>
  <w:style w:type="paragraph" w:styleId="CommentSubject">
    <w:name w:val="annotation subject"/>
    <w:basedOn w:val="CommentText"/>
    <w:next w:val="CommentText"/>
    <w:link w:val="CommentSubjectChar"/>
    <w:rsid w:val="006E0B6A"/>
    <w:pPr>
      <w:spacing w:line="240" w:lineRule="auto"/>
    </w:pPr>
    <w:rPr>
      <w:b/>
      <w:bCs/>
    </w:rPr>
  </w:style>
  <w:style w:type="character" w:customStyle="1" w:styleId="CommentTextChar">
    <w:name w:val="Comment Text Char"/>
    <w:basedOn w:val="DefaultParagraphFont"/>
    <w:link w:val="CommentText"/>
    <w:semiHidden/>
    <w:rsid w:val="006E0B6A"/>
    <w:rPr>
      <w:lang w:eastAsia="en-US"/>
    </w:rPr>
  </w:style>
  <w:style w:type="character" w:customStyle="1" w:styleId="CommentSubjectChar">
    <w:name w:val="Comment Subject Char"/>
    <w:basedOn w:val="CommentTextChar"/>
    <w:link w:val="CommentSubject"/>
    <w:rsid w:val="006E0B6A"/>
    <w:rPr>
      <w:b/>
      <w:bCs/>
      <w:lang w:eastAsia="en-US"/>
    </w:rPr>
  </w:style>
  <w:style w:type="paragraph" w:styleId="Revision">
    <w:name w:val="Revision"/>
    <w:hidden/>
    <w:uiPriority w:val="99"/>
    <w:semiHidden/>
    <w:rsid w:val="006E0B6A"/>
    <w:rPr>
      <w:lang w:eastAsia="en-US"/>
    </w:rPr>
  </w:style>
  <w:style w:type="character" w:customStyle="1" w:styleId="FootnoteTextChar">
    <w:name w:val="Footnote Text Char"/>
    <w:aliases w:val="5_G Char"/>
    <w:link w:val="FootnoteText"/>
    <w:rsid w:val="003F5449"/>
    <w:rPr>
      <w:sz w:val="18"/>
      <w:lang w:eastAsia="en-US"/>
    </w:rPr>
  </w:style>
  <w:style w:type="character" w:customStyle="1" w:styleId="SingleTxtGChar">
    <w:name w:val="_ Single Txt_G Char"/>
    <w:link w:val="SingleTxtG"/>
    <w:locked/>
    <w:rsid w:val="003F54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6601</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1363907</vt:lpstr>
    </vt:vector>
  </TitlesOfParts>
  <Company>CSD</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1609775</dc:title>
  <dc:subject>CERD/C/GBR/Q/21-23</dc:subject>
  <dc:creator>pdfeng</dc:creator>
  <cp:keywords/>
  <dc:description>Final</dc:description>
  <cp:lastModifiedBy>pdfeng</cp:lastModifiedBy>
  <cp:revision>2</cp:revision>
  <cp:lastPrinted>2016-02-19T10:51:00Z</cp:lastPrinted>
  <dcterms:created xsi:type="dcterms:W3CDTF">2016-06-14T12:50:00Z</dcterms:created>
  <dcterms:modified xsi:type="dcterms:W3CDTF">2016-06-14T12:50:00Z</dcterms:modified>
</cp:coreProperties>
</file>