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B56E9C" w:rsidRPr="00987BFA"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987BFA" w:rsidRDefault="00913539" w:rsidP="00EE088D">
            <w:pPr>
              <w:jc w:val="right"/>
              <w:rPr>
                <w:lang w:val="fr-CH"/>
              </w:rPr>
            </w:pPr>
            <w:r w:rsidRPr="00987BFA">
              <w:rPr>
                <w:sz w:val="40"/>
                <w:lang w:val="fr-CH"/>
              </w:rPr>
              <w:t>CAT</w:t>
            </w:r>
            <w:r w:rsidR="00700A68" w:rsidRPr="00987BFA">
              <w:rPr>
                <w:lang w:val="fr-CH"/>
              </w:rPr>
              <w:t>/C/FIN</w:t>
            </w:r>
            <w:r w:rsidRPr="00987BFA">
              <w:rPr>
                <w:lang w:val="fr-CH"/>
              </w:rPr>
              <w:t>/Q</w:t>
            </w:r>
            <w:r w:rsidR="00751B55" w:rsidRPr="00987BFA">
              <w:rPr>
                <w:lang w:val="fr-CH"/>
              </w:rPr>
              <w:t>PR</w:t>
            </w:r>
            <w:r w:rsidRPr="00987BFA">
              <w:rPr>
                <w:lang w:val="fr-CH"/>
              </w:rPr>
              <w:t>/</w:t>
            </w:r>
            <w:r w:rsidR="0021377B" w:rsidRPr="00987BFA">
              <w:rPr>
                <w:lang w:val="fr-CH"/>
              </w:rPr>
              <w:t>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F48D9"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913539" w:rsidP="00913539">
            <w:pPr>
              <w:spacing w:before="240" w:line="240" w:lineRule="exact"/>
            </w:pPr>
            <w:r>
              <w:t xml:space="preserve">Distr.: </w:t>
            </w:r>
            <w:r w:rsidR="00EE088D">
              <w:t>General</w:t>
            </w:r>
          </w:p>
          <w:p w:rsidR="00913539" w:rsidRDefault="00FB44E9" w:rsidP="00913539">
            <w:pPr>
              <w:spacing w:line="240" w:lineRule="exact"/>
            </w:pPr>
            <w:r>
              <w:t>1</w:t>
            </w:r>
            <w:r w:rsidR="00F80C4C">
              <w:t>5</w:t>
            </w:r>
            <w:r>
              <w:t xml:space="preserve"> </w:t>
            </w:r>
            <w:r w:rsidR="00EE088D">
              <w:t>Ju</w:t>
            </w:r>
            <w:r w:rsidR="000940D4">
              <w:t>ly</w:t>
            </w:r>
            <w:r w:rsidR="00913539">
              <w:t xml:space="preserve"> 2013</w:t>
            </w:r>
          </w:p>
          <w:p w:rsidR="00913539" w:rsidRDefault="00913539" w:rsidP="00913539">
            <w:pPr>
              <w:spacing w:line="240" w:lineRule="exact"/>
            </w:pPr>
          </w:p>
          <w:p w:rsidR="00913539" w:rsidRDefault="00913539" w:rsidP="00913539">
            <w:pPr>
              <w:spacing w:line="240" w:lineRule="exact"/>
            </w:pPr>
            <w:r>
              <w:t>Original: English</w:t>
            </w:r>
          </w:p>
        </w:tc>
      </w:tr>
    </w:tbl>
    <w:p w:rsidR="00913539" w:rsidRPr="00913539" w:rsidRDefault="00913539" w:rsidP="00934E47">
      <w:pPr>
        <w:spacing w:before="120"/>
        <w:rPr>
          <w:b/>
        </w:rPr>
      </w:pPr>
      <w:r w:rsidRPr="00913539">
        <w:rPr>
          <w:b/>
        </w:rPr>
        <w:t>Committee against Torture</w:t>
      </w:r>
    </w:p>
    <w:p w:rsidR="00700A68" w:rsidRDefault="00913539" w:rsidP="0005105D">
      <w:pPr>
        <w:pStyle w:val="HChG"/>
      </w:pPr>
      <w:r>
        <w:tab/>
      </w:r>
      <w:r>
        <w:tab/>
      </w:r>
      <w:r w:rsidR="0005105D">
        <w:t>L</w:t>
      </w:r>
      <w:r w:rsidR="00265002">
        <w:t>ist of issues</w:t>
      </w:r>
      <w:r w:rsidR="002E009A">
        <w:t xml:space="preserve"> </w:t>
      </w:r>
      <w:r w:rsidR="0005105D">
        <w:t>prior to</w:t>
      </w:r>
      <w:r w:rsidRPr="00913539">
        <w:t xml:space="preserve"> </w:t>
      </w:r>
      <w:r w:rsidR="006821D8">
        <w:t>submission</w:t>
      </w:r>
      <w:r w:rsidR="00A32832">
        <w:t xml:space="preserve"> of the</w:t>
      </w:r>
      <w:r w:rsidR="00751B55">
        <w:t xml:space="preserve"> seventh</w:t>
      </w:r>
      <w:r w:rsidRPr="00913539">
        <w:t xml:space="preserve"> periodic report of </w:t>
      </w:r>
      <w:smartTag w:uri="urn:schemas-microsoft-com:office:smarttags" w:element="country-region">
        <w:smartTag w:uri="urn:schemas-microsoft-com:office:smarttags" w:element="place">
          <w:r w:rsidR="00700A68" w:rsidRPr="00700A68">
            <w:t>Finland</w:t>
          </w:r>
        </w:smartTag>
      </w:smartTag>
      <w:r w:rsidR="002333A7">
        <w:t>, adopted by the Committee at its fiftieth session (6</w:t>
      </w:r>
      <w:r w:rsidR="00332F76">
        <w:t>–</w:t>
      </w:r>
      <w:r w:rsidR="002333A7">
        <w:t>31 May 2013)</w:t>
      </w:r>
    </w:p>
    <w:p w:rsidR="004416D8" w:rsidRDefault="00751B55" w:rsidP="00230D04">
      <w:pPr>
        <w:pStyle w:val="SingleTxtG"/>
      </w:pPr>
      <w:r>
        <w:t xml:space="preserve">The Committee against Torture at its thirty-eighth session (A/62/44, paras. 23 and 24) established a new optional procedure which consists in the preparation and adoption of list of issues to be transmitted to States parties prior to the submission of their respective periodic report. The replies of the State party to this list of issues will constitute its report under article 19 of the Convention. </w:t>
      </w:r>
    </w:p>
    <w:p w:rsidR="006821D8" w:rsidRPr="006821D8" w:rsidRDefault="00F80C4C" w:rsidP="00F80C4C">
      <w:pPr>
        <w:pStyle w:val="H23G"/>
        <w:rPr>
          <w:rFonts w:eastAsia="SimSun"/>
          <w:lang w:val="en-US" w:eastAsia="zh-CN"/>
        </w:rPr>
      </w:pPr>
      <w:r>
        <w:br w:type="page"/>
      </w:r>
      <w:r>
        <w:tab/>
      </w:r>
      <w:r>
        <w:tab/>
      </w:r>
      <w:r w:rsidR="006821D8" w:rsidRPr="006821D8">
        <w:rPr>
          <w:rFonts w:eastAsia="SimSun"/>
          <w:lang w:val="en-US" w:eastAsia="zh-CN"/>
        </w:rPr>
        <w:t>Articles 1 and 4</w:t>
      </w:r>
    </w:p>
    <w:p w:rsidR="006821D8" w:rsidRPr="006821D8" w:rsidRDefault="006821D8" w:rsidP="006821D8">
      <w:pPr>
        <w:pStyle w:val="SingleTxtG"/>
        <w:rPr>
          <w:rFonts w:eastAsia="SimSun"/>
          <w:lang w:val="en-US" w:eastAsia="zh-CN"/>
        </w:rPr>
      </w:pPr>
      <w:r w:rsidRPr="006821D8">
        <w:rPr>
          <w:rFonts w:eastAsia="SimSun"/>
          <w:lang w:val="en-US" w:eastAsia="zh-CN"/>
        </w:rPr>
        <w:t>1.</w:t>
      </w:r>
      <w:r w:rsidRPr="006821D8">
        <w:rPr>
          <w:rFonts w:eastAsia="SimSun"/>
          <w:lang w:val="en-US" w:eastAsia="zh-CN"/>
        </w:rPr>
        <w:tab/>
        <w:t>Have the rights contained in the Convention been invoked by national courts, either as a ground for a case or as interpretative guidance for legal norms</w:t>
      </w:r>
      <w:r w:rsidR="00934E47">
        <w:rPr>
          <w:rFonts w:eastAsia="SimSun"/>
          <w:lang w:val="en-US" w:eastAsia="zh-CN"/>
        </w:rPr>
        <w:t>?</w:t>
      </w:r>
      <w:r w:rsidRPr="006821D8">
        <w:rPr>
          <w:rFonts w:eastAsia="SimSun"/>
          <w:lang w:val="en-US" w:eastAsia="zh-CN"/>
        </w:rPr>
        <w:t xml:space="preserve"> Please cite examples, if any, of cases in which the provisions of the Covenant have been invoked before and by the courts, and to what effect. </w:t>
      </w:r>
    </w:p>
    <w:p w:rsidR="006821D8" w:rsidRPr="006821D8" w:rsidRDefault="006821D8" w:rsidP="006821D8">
      <w:pPr>
        <w:pStyle w:val="SingleTxtG"/>
        <w:rPr>
          <w:rFonts w:eastAsia="SimSun"/>
          <w:lang w:val="en-US" w:eastAsia="zh-CN"/>
        </w:rPr>
      </w:pPr>
      <w:r w:rsidRPr="006821D8">
        <w:rPr>
          <w:rFonts w:eastAsia="SimSun"/>
          <w:lang w:val="en-US" w:eastAsia="zh-CN"/>
        </w:rPr>
        <w:t>2.</w:t>
      </w:r>
      <w:r w:rsidRPr="006821D8">
        <w:rPr>
          <w:rFonts w:eastAsia="SimSun"/>
          <w:lang w:val="en-US" w:eastAsia="zh-CN"/>
        </w:rPr>
        <w:tab/>
        <w:t>With reference to the previous recommendations of the Committee (para.</w:t>
      </w:r>
      <w:r w:rsidR="00934E47">
        <w:rPr>
          <w:rFonts w:eastAsia="SimSun"/>
          <w:lang w:val="en-US" w:eastAsia="zh-CN"/>
        </w:rPr>
        <w:t xml:space="preserve"> </w:t>
      </w:r>
      <w:r w:rsidRPr="006821D8">
        <w:rPr>
          <w:rFonts w:eastAsia="SimSun"/>
          <w:lang w:val="en-US" w:eastAsia="zh-CN"/>
        </w:rPr>
        <w:t>7)</w:t>
      </w:r>
      <w:r w:rsidR="00934E47">
        <w:rPr>
          <w:rFonts w:eastAsia="SimSun"/>
          <w:lang w:val="en-US" w:eastAsia="zh-CN"/>
        </w:rPr>
        <w:t>,</w:t>
      </w:r>
      <w:r w:rsidR="00A32832" w:rsidRPr="006821D8">
        <w:rPr>
          <w:rFonts w:eastAsia="SimSun"/>
          <w:vertAlign w:val="superscript"/>
          <w:lang w:val="en-US" w:eastAsia="zh-CN"/>
        </w:rPr>
        <w:footnoteReference w:id="2"/>
      </w:r>
      <w:r w:rsidRPr="006821D8">
        <w:rPr>
          <w:rFonts w:eastAsia="SimSun"/>
          <w:lang w:val="en-US" w:eastAsia="zh-CN"/>
        </w:rPr>
        <w:t xml:space="preserve"> please update the Committee whether the State party has amended its legislation to ensure that acts amounting to torture are not subject to any statute of limitations.</w:t>
      </w:r>
      <w:r w:rsidRPr="006821D8">
        <w:rPr>
          <w:rFonts w:eastAsia="SimSun"/>
          <w:vertAlign w:val="superscript"/>
          <w:lang w:val="en-US" w:eastAsia="zh-CN"/>
        </w:rPr>
        <w:footnoteReference w:id="3"/>
      </w:r>
    </w:p>
    <w:p w:rsidR="006821D8" w:rsidRPr="006821D8" w:rsidRDefault="006821D8" w:rsidP="00230D04">
      <w:pPr>
        <w:pStyle w:val="H23G"/>
        <w:rPr>
          <w:rFonts w:eastAsia="SimSun"/>
          <w:lang w:val="en-US" w:eastAsia="zh-CN"/>
        </w:rPr>
      </w:pPr>
      <w:r>
        <w:rPr>
          <w:rFonts w:eastAsia="SimSun"/>
          <w:lang w:val="en-US" w:eastAsia="zh-CN"/>
        </w:rPr>
        <w:tab/>
      </w:r>
      <w:r>
        <w:rPr>
          <w:rFonts w:eastAsia="SimSun"/>
          <w:lang w:val="en-US" w:eastAsia="zh-CN"/>
        </w:rPr>
        <w:tab/>
      </w:r>
      <w:r w:rsidRPr="006821D8">
        <w:rPr>
          <w:rFonts w:eastAsia="SimSun"/>
          <w:lang w:val="en-US" w:eastAsia="zh-CN"/>
        </w:rPr>
        <w:t>Article 2</w:t>
      </w:r>
      <w:r w:rsidRPr="00952FA8">
        <w:rPr>
          <w:rFonts w:eastAsia="SimSun"/>
          <w:b w:val="0"/>
          <w:vertAlign w:val="superscript"/>
          <w:lang w:val="en-US" w:eastAsia="zh-CN"/>
        </w:rPr>
        <w:footnoteReference w:id="4"/>
      </w:r>
    </w:p>
    <w:p w:rsidR="006821D8" w:rsidRPr="006821D8" w:rsidRDefault="006821D8" w:rsidP="006821D8">
      <w:pPr>
        <w:pStyle w:val="SingleTxtG"/>
        <w:rPr>
          <w:rFonts w:eastAsia="SimSun"/>
          <w:lang w:val="en-US" w:eastAsia="zh-CN"/>
        </w:rPr>
      </w:pPr>
      <w:r w:rsidRPr="006821D8">
        <w:rPr>
          <w:rFonts w:eastAsia="SimSun"/>
          <w:lang w:val="en-US" w:eastAsia="zh-CN"/>
        </w:rPr>
        <w:t>3.</w:t>
      </w:r>
      <w:r w:rsidRPr="006821D8">
        <w:rPr>
          <w:rFonts w:eastAsia="SimSun"/>
          <w:lang w:val="en-US" w:eastAsia="zh-CN"/>
        </w:rPr>
        <w:tab/>
        <w:t xml:space="preserve">In </w:t>
      </w:r>
      <w:r w:rsidR="00C63388">
        <w:rPr>
          <w:rFonts w:eastAsia="SimSun"/>
          <w:lang w:val="en-US" w:eastAsia="zh-CN"/>
        </w:rPr>
        <w:t xml:space="preserve">the </w:t>
      </w:r>
      <w:r w:rsidRPr="006821D8">
        <w:rPr>
          <w:rFonts w:eastAsia="SimSun"/>
          <w:lang w:val="en-US" w:eastAsia="zh-CN"/>
        </w:rPr>
        <w:t>light of the Committee’s previous concluding observations (para.</w:t>
      </w:r>
      <w:r w:rsidR="00C63388">
        <w:rPr>
          <w:rFonts w:eastAsia="SimSun"/>
          <w:lang w:val="en-US" w:eastAsia="zh-CN"/>
        </w:rPr>
        <w:t xml:space="preserve"> </w:t>
      </w:r>
      <w:r w:rsidRPr="006821D8">
        <w:rPr>
          <w:rFonts w:eastAsia="SimSun"/>
          <w:lang w:val="en-US" w:eastAsia="zh-CN"/>
        </w:rPr>
        <w:t>8) and the recommendations made by the European Committee for the Prevention of Torture and Inhuman or Degrading treatment or Punishment, please provide updated information on the outcome and impact of the project on more efficient provision of information in cases of deprivation of liberty under the national action plan on fundamental and human rights for 2012</w:t>
      </w:r>
      <w:r w:rsidR="00AA0151">
        <w:rPr>
          <w:rFonts w:eastAsia="SimSun"/>
          <w:lang w:val="en-US" w:eastAsia="zh-CN"/>
        </w:rPr>
        <w:t>–</w:t>
      </w:r>
      <w:r w:rsidRPr="006821D8">
        <w:rPr>
          <w:rFonts w:eastAsia="SimSun"/>
          <w:lang w:val="en-US" w:eastAsia="zh-CN"/>
        </w:rPr>
        <w:t>2013.</w:t>
      </w:r>
      <w:r w:rsidRPr="006821D8">
        <w:rPr>
          <w:rFonts w:eastAsia="SimSun"/>
          <w:vertAlign w:val="superscript"/>
          <w:lang w:val="en-US" w:eastAsia="zh-CN"/>
        </w:rPr>
        <w:footnoteReference w:id="5"/>
      </w:r>
      <w:r w:rsidRPr="006821D8">
        <w:rPr>
          <w:rFonts w:eastAsia="SimSun"/>
          <w:lang w:val="en-US" w:eastAsia="zh-CN"/>
        </w:rPr>
        <w:t xml:space="preserve"> </w:t>
      </w:r>
    </w:p>
    <w:p w:rsidR="006821D8" w:rsidRPr="006821D8" w:rsidRDefault="006821D8" w:rsidP="006821D8">
      <w:pPr>
        <w:pStyle w:val="SingleTxtG"/>
        <w:rPr>
          <w:rFonts w:eastAsia="SimSun"/>
          <w:lang w:val="en-US" w:eastAsia="zh-CN"/>
        </w:rPr>
      </w:pPr>
      <w:r w:rsidRPr="006821D8">
        <w:rPr>
          <w:rFonts w:eastAsia="SimSun"/>
          <w:lang w:val="en-US" w:eastAsia="zh-CN"/>
        </w:rPr>
        <w:t>4.</w:t>
      </w:r>
      <w:r w:rsidRPr="006821D8">
        <w:rPr>
          <w:rFonts w:eastAsia="SimSun"/>
          <w:lang w:val="en-US" w:eastAsia="zh-CN"/>
        </w:rPr>
        <w:tab/>
        <w:t>With reference to the previous recommendations of the Committee (para.</w:t>
      </w:r>
      <w:r w:rsidR="00AA0151">
        <w:rPr>
          <w:rFonts w:eastAsia="SimSun"/>
          <w:lang w:val="en-US" w:eastAsia="zh-CN"/>
        </w:rPr>
        <w:t xml:space="preserve"> </w:t>
      </w:r>
      <w:r w:rsidRPr="006821D8">
        <w:rPr>
          <w:rFonts w:eastAsia="SimSun"/>
          <w:lang w:val="en-US" w:eastAsia="zh-CN"/>
        </w:rPr>
        <w:t xml:space="preserve">9), please provide information concerning </w:t>
      </w:r>
      <w:r w:rsidR="00952FA8">
        <w:rPr>
          <w:rFonts w:eastAsia="SimSun"/>
          <w:lang w:val="en-US" w:eastAsia="zh-CN"/>
        </w:rPr>
        <w:t xml:space="preserve">the </w:t>
      </w:r>
      <w:r w:rsidRPr="006821D8">
        <w:rPr>
          <w:rFonts w:eastAsia="SimSun"/>
          <w:lang w:val="en-US" w:eastAsia="zh-CN"/>
        </w:rPr>
        <w:t xml:space="preserve">standardization of techniques used to interrogate persons in police custody and implementation of new techniques, particularly use of audio- and </w:t>
      </w:r>
      <w:r>
        <w:rPr>
          <w:rFonts w:eastAsia="SimSun"/>
          <w:lang w:val="en-US" w:eastAsia="zh-CN"/>
        </w:rPr>
        <w:t>video-r</w:t>
      </w:r>
      <w:r w:rsidRPr="006821D8">
        <w:rPr>
          <w:rFonts w:eastAsia="SimSun"/>
          <w:lang w:val="en-US" w:eastAsia="zh-CN"/>
        </w:rPr>
        <w:t>ecording of interrogations.</w:t>
      </w:r>
    </w:p>
    <w:p w:rsidR="006821D8" w:rsidRPr="006821D8" w:rsidRDefault="006821D8" w:rsidP="006821D8">
      <w:pPr>
        <w:pStyle w:val="SingleTxtG"/>
        <w:rPr>
          <w:rFonts w:eastAsia="SimSun"/>
          <w:lang w:val="en-US" w:eastAsia="zh-CN"/>
        </w:rPr>
      </w:pPr>
      <w:r w:rsidRPr="006821D8">
        <w:rPr>
          <w:rFonts w:eastAsia="SimSun"/>
          <w:lang w:val="en-US" w:eastAsia="zh-CN"/>
        </w:rPr>
        <w:t>5.</w:t>
      </w:r>
      <w:r w:rsidRPr="006821D8">
        <w:rPr>
          <w:rFonts w:eastAsia="SimSun"/>
          <w:lang w:val="en-US" w:eastAsia="zh-CN"/>
        </w:rPr>
        <w:tab/>
        <w:t>Pursuant to the Committee’s previous concluding observations (para.</w:t>
      </w:r>
      <w:r w:rsidR="00AA0151">
        <w:rPr>
          <w:rFonts w:eastAsia="SimSun"/>
          <w:lang w:val="en-US" w:eastAsia="zh-CN"/>
        </w:rPr>
        <w:t xml:space="preserve"> </w:t>
      </w:r>
      <w:r w:rsidRPr="006821D8">
        <w:rPr>
          <w:rFonts w:eastAsia="SimSun"/>
          <w:lang w:val="en-US" w:eastAsia="zh-CN"/>
        </w:rPr>
        <w:t>12) and the recommendation accepted by the State party in the course of the universal periodic review (A/HRC/21/8, paras.</w:t>
      </w:r>
      <w:r w:rsidR="00AA0151">
        <w:rPr>
          <w:rFonts w:eastAsia="SimSun"/>
          <w:lang w:val="en-US" w:eastAsia="zh-CN"/>
        </w:rPr>
        <w:t xml:space="preserve"> </w:t>
      </w:r>
      <w:r w:rsidRPr="006821D8">
        <w:rPr>
          <w:rFonts w:eastAsia="SimSun"/>
          <w:lang w:val="en-US" w:eastAsia="zh-CN"/>
        </w:rPr>
        <w:t>89.14, 29 and 34), please provide information on efforts undertaken by the State party to combat all forms of violence against women, including domestic violence. This should include statistical data on the number of complaints relating to violence against women and related investigations, prosecutions and convictions, as well as on compensation provided to victims.</w:t>
      </w:r>
      <w:r w:rsidRPr="006821D8">
        <w:rPr>
          <w:rFonts w:eastAsia="SimSun"/>
          <w:vertAlign w:val="superscript"/>
          <w:lang w:val="en-US" w:eastAsia="zh-CN"/>
        </w:rPr>
        <w:footnoteReference w:id="6"/>
      </w:r>
      <w:r w:rsidRPr="006821D8">
        <w:rPr>
          <w:rFonts w:eastAsia="SimSun"/>
          <w:lang w:val="en-US" w:eastAsia="zh-CN"/>
        </w:rPr>
        <w:t xml:space="preserve"> </w:t>
      </w:r>
    </w:p>
    <w:p w:rsidR="006821D8" w:rsidRPr="006821D8" w:rsidRDefault="006821D8" w:rsidP="006821D8">
      <w:pPr>
        <w:pStyle w:val="SingleTxtG"/>
        <w:rPr>
          <w:rFonts w:eastAsia="SimSun"/>
          <w:lang w:val="en-US" w:eastAsia="zh-CN"/>
        </w:rPr>
      </w:pPr>
      <w:r w:rsidRPr="006821D8">
        <w:rPr>
          <w:rFonts w:eastAsia="SimSun"/>
          <w:lang w:val="en-US" w:eastAsia="zh-CN"/>
        </w:rPr>
        <w:t>6.</w:t>
      </w:r>
      <w:r w:rsidRPr="006821D8">
        <w:rPr>
          <w:rFonts w:eastAsia="SimSun"/>
          <w:lang w:val="en-US" w:eastAsia="zh-CN"/>
        </w:rPr>
        <w:tab/>
        <w:t>Please provide information on the implementation of measures to combat trafficking in human beings and to assist and protect the victims of trafficking. The information should include statistical data, disaggregated on the basis of gender, age and country of origin, on persons trafficked for the purpose of sexual exploitation, as well as information on prosecutions and convictions, and on the sanctions imposed on perpetrators.</w:t>
      </w:r>
      <w:r w:rsidRPr="006821D8">
        <w:rPr>
          <w:rFonts w:eastAsia="SimSun"/>
          <w:vertAlign w:val="superscript"/>
          <w:lang w:val="en-US" w:eastAsia="zh-CN"/>
        </w:rPr>
        <w:footnoteReference w:id="7"/>
      </w:r>
      <w:r w:rsidRPr="006821D8">
        <w:rPr>
          <w:rFonts w:eastAsia="SimSun"/>
          <w:lang w:val="en-US" w:eastAsia="zh-CN"/>
        </w:rPr>
        <w:t xml:space="preserve"> In addition, please comment on the information that trafficked persons were not recogni</w:t>
      </w:r>
      <w:r w:rsidR="003E1809">
        <w:rPr>
          <w:rFonts w:eastAsia="SimSun"/>
          <w:lang w:val="en-US" w:eastAsia="zh-CN"/>
        </w:rPr>
        <w:t>z</w:t>
      </w:r>
      <w:r w:rsidRPr="006821D8">
        <w:rPr>
          <w:rFonts w:eastAsia="SimSun"/>
          <w:lang w:val="en-US" w:eastAsia="zh-CN"/>
        </w:rPr>
        <w:t>ed as victims, were not provided with adequate protection and assistance and were often deported.</w:t>
      </w:r>
      <w:r w:rsidR="00230D04">
        <w:rPr>
          <w:rStyle w:val="FootnoteReference"/>
          <w:rFonts w:eastAsia="SimSun"/>
          <w:lang w:val="en-US" w:eastAsia="zh-CN"/>
        </w:rPr>
        <w:footnoteReference w:id="8"/>
      </w:r>
      <w:r w:rsidRPr="006821D8">
        <w:rPr>
          <w:rFonts w:eastAsia="SimSun"/>
          <w:lang w:val="en-US" w:eastAsia="zh-CN"/>
        </w:rPr>
        <w:t xml:space="preserve">  </w:t>
      </w:r>
    </w:p>
    <w:p w:rsidR="006821D8" w:rsidRPr="006821D8" w:rsidRDefault="006821D8" w:rsidP="006821D8">
      <w:pPr>
        <w:pStyle w:val="SingleTxtG"/>
        <w:rPr>
          <w:rFonts w:eastAsia="SimSun"/>
          <w:lang w:eastAsia="ko-KR"/>
        </w:rPr>
      </w:pPr>
      <w:r w:rsidRPr="006821D8">
        <w:rPr>
          <w:rFonts w:eastAsia="SimSun"/>
          <w:lang w:eastAsia="ko-KR"/>
        </w:rPr>
        <w:t>7.</w:t>
      </w:r>
      <w:r w:rsidRPr="006821D8">
        <w:rPr>
          <w:rFonts w:eastAsia="SimSun"/>
          <w:lang w:eastAsia="ko-KR"/>
        </w:rPr>
        <w:tab/>
      </w:r>
      <w:r w:rsidRPr="006821D8">
        <w:rPr>
          <w:rFonts w:eastAsia="SimSun"/>
          <w:lang w:val="en-US" w:eastAsia="zh-CN"/>
        </w:rPr>
        <w:t xml:space="preserve">Please describe measures taken by the State party to protect women from </w:t>
      </w:r>
      <w:r w:rsidRPr="006821D8">
        <w:rPr>
          <w:rFonts w:eastAsia="SimSun"/>
          <w:lang w:eastAsia="ko-KR"/>
        </w:rPr>
        <w:t xml:space="preserve">violence in some national minority cultures and immigrant communities, who </w:t>
      </w:r>
      <w:r w:rsidRPr="006821D8">
        <w:rPr>
          <w:rFonts w:eastAsia="SimSun"/>
          <w:lang w:val="en-US" w:eastAsia="zh-CN"/>
        </w:rPr>
        <w:t>are exposed, in particular, to domestic violence, traditional honour violence and female genital mutilation</w:t>
      </w:r>
      <w:r w:rsidRPr="006821D8">
        <w:rPr>
          <w:rFonts w:eastAsia="SimSun"/>
          <w:lang w:eastAsia="ko-KR"/>
        </w:rPr>
        <w:t>.</w:t>
      </w:r>
      <w:r w:rsidRPr="006821D8">
        <w:rPr>
          <w:rFonts w:ascii="TimesNewRomanPSMT" w:hAnsi="TimesNewRomanPSMT"/>
          <w:vertAlign w:val="superscript"/>
          <w:lang w:eastAsia="ko-KR"/>
        </w:rPr>
        <w:footnoteReference w:id="9"/>
      </w:r>
      <w:r w:rsidRPr="006821D8">
        <w:rPr>
          <w:rFonts w:eastAsia="SimSun"/>
          <w:lang w:eastAsia="ko-KR"/>
        </w:rPr>
        <w:t xml:space="preserve"> </w:t>
      </w:r>
    </w:p>
    <w:p w:rsidR="006821D8" w:rsidRPr="006821D8" w:rsidRDefault="006821D8" w:rsidP="00230D04">
      <w:pPr>
        <w:pStyle w:val="H23G"/>
        <w:rPr>
          <w:rFonts w:eastAsia="SimSun"/>
          <w:lang w:val="en-US" w:eastAsia="zh-CN"/>
        </w:rPr>
      </w:pPr>
      <w:r>
        <w:rPr>
          <w:rFonts w:eastAsia="SimSun"/>
          <w:lang w:val="en-US" w:eastAsia="zh-CN"/>
        </w:rPr>
        <w:tab/>
      </w:r>
      <w:r>
        <w:rPr>
          <w:rFonts w:eastAsia="SimSun"/>
          <w:lang w:val="en-US" w:eastAsia="zh-CN"/>
        </w:rPr>
        <w:tab/>
      </w:r>
      <w:r w:rsidRPr="006821D8">
        <w:rPr>
          <w:rFonts w:eastAsia="SimSun"/>
          <w:lang w:val="en-US" w:eastAsia="zh-CN"/>
        </w:rPr>
        <w:t xml:space="preserve">Article 3 </w:t>
      </w:r>
    </w:p>
    <w:p w:rsidR="006821D8" w:rsidRPr="006821D8" w:rsidRDefault="006821D8" w:rsidP="006821D8">
      <w:pPr>
        <w:pStyle w:val="SingleTxtG"/>
        <w:rPr>
          <w:rFonts w:eastAsia="SimSun"/>
          <w:lang w:eastAsia="zh-CN"/>
        </w:rPr>
      </w:pPr>
      <w:r w:rsidRPr="006821D8">
        <w:rPr>
          <w:rFonts w:eastAsia="SimSun"/>
          <w:lang w:eastAsia="zh-CN"/>
        </w:rPr>
        <w:t>8.</w:t>
      </w:r>
      <w:r w:rsidRPr="006821D8">
        <w:rPr>
          <w:rFonts w:eastAsia="SimSun"/>
          <w:lang w:eastAsia="zh-CN"/>
        </w:rPr>
        <w:tab/>
      </w:r>
      <w:r w:rsidRPr="006821D8">
        <w:rPr>
          <w:rFonts w:eastAsia="SimSun"/>
          <w:lang w:val="en-US" w:eastAsia="zh-CN"/>
        </w:rPr>
        <w:t>With reference to the Committee’s previous concluding observations (para.</w:t>
      </w:r>
      <w:r w:rsidR="003E1809">
        <w:rPr>
          <w:rFonts w:eastAsia="SimSun"/>
          <w:lang w:val="en-US" w:eastAsia="zh-CN"/>
        </w:rPr>
        <w:t xml:space="preserve"> </w:t>
      </w:r>
      <w:r w:rsidRPr="006821D8">
        <w:rPr>
          <w:rFonts w:eastAsia="SimSun"/>
          <w:lang w:val="en-US" w:eastAsia="zh-CN"/>
        </w:rPr>
        <w:t>10), what legal guarantees have been established to meet fully the requirements of article 3 of the Convention in cases of expulsion or return (refoulement) of foreigners? Has article 3 of the Convention been directly applied in these cases? Please comment on how accelerated procedures under the Aliens Act are compatible with the principles of non-refoulement mandated by article 3 of the Convention</w:t>
      </w:r>
      <w:r w:rsidRPr="006821D8">
        <w:rPr>
          <w:rFonts w:eastAsia="SimSun"/>
          <w:sz w:val="24"/>
          <w:lang w:val="en-US" w:eastAsia="zh-CN"/>
        </w:rPr>
        <w:t>.</w:t>
      </w:r>
      <w:r w:rsidRPr="006821D8">
        <w:rPr>
          <w:rFonts w:eastAsia="SimSun"/>
          <w:vertAlign w:val="superscript"/>
          <w:lang w:val="en-US" w:eastAsia="zh-CN"/>
        </w:rPr>
        <w:footnoteReference w:id="10"/>
      </w:r>
      <w:r w:rsidRPr="006821D8">
        <w:rPr>
          <w:rFonts w:eastAsia="SimSun"/>
          <w:lang w:val="en-US" w:eastAsia="zh-CN"/>
        </w:rPr>
        <w:t xml:space="preserve"> </w:t>
      </w:r>
      <w:r w:rsidRPr="006821D8">
        <w:rPr>
          <w:rFonts w:eastAsia="SimSun"/>
          <w:vertAlign w:val="superscript"/>
          <w:lang w:val="en-US" w:eastAsia="zh-CN"/>
        </w:rPr>
        <w:t xml:space="preserve"> </w:t>
      </w:r>
      <w:r w:rsidRPr="006821D8">
        <w:rPr>
          <w:rFonts w:eastAsia="SimSun"/>
          <w:lang w:val="en-US" w:eastAsia="zh-CN"/>
        </w:rPr>
        <w:t xml:space="preserve"> </w:t>
      </w:r>
    </w:p>
    <w:p w:rsidR="006821D8" w:rsidRPr="006821D8" w:rsidRDefault="006821D8" w:rsidP="006821D8">
      <w:pPr>
        <w:pStyle w:val="SingleTxtG"/>
        <w:rPr>
          <w:rFonts w:eastAsia="SimSun"/>
          <w:lang w:val="en-US" w:eastAsia="zh-CN"/>
        </w:rPr>
      </w:pPr>
      <w:r w:rsidRPr="006821D8">
        <w:rPr>
          <w:rFonts w:eastAsia="SimSun"/>
          <w:lang w:val="en-US" w:eastAsia="zh-CN"/>
        </w:rPr>
        <w:t>9.</w:t>
      </w:r>
      <w:r w:rsidRPr="006821D8">
        <w:rPr>
          <w:rFonts w:eastAsia="SimSun"/>
          <w:lang w:val="en-US" w:eastAsia="zh-CN"/>
        </w:rPr>
        <w:tab/>
        <w:t xml:space="preserve">Please provide information on steps taken to (a) ensure that </w:t>
      </w:r>
      <w:r w:rsidR="003E1809">
        <w:rPr>
          <w:rFonts w:eastAsia="SimSun"/>
          <w:lang w:val="en-US" w:eastAsia="zh-CN"/>
        </w:rPr>
        <w:t xml:space="preserve">the </w:t>
      </w:r>
      <w:r w:rsidRPr="006821D8">
        <w:rPr>
          <w:rFonts w:eastAsia="SimSun"/>
          <w:lang w:val="en-US" w:eastAsia="zh-CN"/>
        </w:rPr>
        <w:t>detention of asylum</w:t>
      </w:r>
      <w:r w:rsidR="003E1809">
        <w:rPr>
          <w:rFonts w:eastAsia="SimSun"/>
          <w:lang w:val="en-US" w:eastAsia="zh-CN"/>
        </w:rPr>
        <w:t xml:space="preserve"> </w:t>
      </w:r>
      <w:r w:rsidRPr="006821D8">
        <w:rPr>
          <w:rFonts w:eastAsia="SimSun"/>
          <w:lang w:val="en-US" w:eastAsia="zh-CN"/>
        </w:rPr>
        <w:t>seekers is used only in exceptional circumstances or as a last resort, and then only for the shortest possible time; (b) avoid accommodating asylum</w:t>
      </w:r>
      <w:r w:rsidR="003E127F">
        <w:rPr>
          <w:rFonts w:eastAsia="SimSun"/>
          <w:lang w:val="en-US" w:eastAsia="zh-CN"/>
        </w:rPr>
        <w:t xml:space="preserve"> </w:t>
      </w:r>
      <w:r w:rsidRPr="006821D8">
        <w:rPr>
          <w:rFonts w:eastAsia="SimSun"/>
          <w:lang w:val="en-US" w:eastAsia="zh-CN"/>
        </w:rPr>
        <w:t>seekers aged 16 and above in adult units of reception centres and provide sufficient mental health services, therapy and psychiatric care for unaccompanied minors;</w:t>
      </w:r>
      <w:r w:rsidR="00230D04">
        <w:rPr>
          <w:rStyle w:val="FootnoteReference"/>
          <w:rFonts w:eastAsia="SimSun"/>
          <w:lang w:val="en-US" w:eastAsia="zh-CN"/>
        </w:rPr>
        <w:footnoteReference w:id="11"/>
      </w:r>
      <w:r w:rsidRPr="006821D8">
        <w:rPr>
          <w:rFonts w:eastAsia="SimSun"/>
          <w:lang w:val="en-US" w:eastAsia="zh-CN"/>
        </w:rPr>
        <w:t xml:space="preserve"> (c) ensure due process in asylum applications and deportation proceedings, including access to counsel, legal aid and an interpreter; and (d) guarantee access to judicial review for all asylum</w:t>
      </w:r>
      <w:r w:rsidR="003E1809">
        <w:rPr>
          <w:rFonts w:eastAsia="SimSun"/>
          <w:lang w:val="en-US" w:eastAsia="zh-CN"/>
        </w:rPr>
        <w:t xml:space="preserve"> </w:t>
      </w:r>
      <w:r w:rsidRPr="006821D8">
        <w:rPr>
          <w:rFonts w:eastAsia="SimSun"/>
          <w:lang w:val="en-US" w:eastAsia="zh-CN"/>
        </w:rPr>
        <w:t>seekers and to an entirely independent appeal mechanism to review rejected applications.</w:t>
      </w:r>
      <w:r w:rsidRPr="006821D8">
        <w:rPr>
          <w:rFonts w:eastAsia="SimSun"/>
          <w:vertAlign w:val="superscript"/>
          <w:lang w:val="en-US" w:eastAsia="zh-CN"/>
        </w:rPr>
        <w:footnoteReference w:id="12"/>
      </w:r>
      <w:r w:rsidRPr="006821D8">
        <w:rPr>
          <w:rFonts w:eastAsia="SimSun"/>
          <w:lang w:val="en-US" w:eastAsia="zh-CN"/>
        </w:rPr>
        <w:t xml:space="preserve"> </w:t>
      </w:r>
    </w:p>
    <w:p w:rsidR="006821D8" w:rsidRPr="006821D8" w:rsidRDefault="006821D8" w:rsidP="00230D04">
      <w:pPr>
        <w:pStyle w:val="H23G"/>
        <w:rPr>
          <w:rFonts w:eastAsia="SimSun"/>
          <w:lang w:val="en-US" w:eastAsia="zh-CN"/>
        </w:rPr>
      </w:pPr>
      <w:r>
        <w:rPr>
          <w:rFonts w:eastAsia="SimSun"/>
          <w:lang w:val="en-US" w:eastAsia="zh-CN"/>
        </w:rPr>
        <w:tab/>
      </w:r>
      <w:r>
        <w:rPr>
          <w:rFonts w:eastAsia="SimSun"/>
          <w:lang w:val="en-US" w:eastAsia="zh-CN"/>
        </w:rPr>
        <w:tab/>
      </w:r>
      <w:r w:rsidRPr="006821D8">
        <w:rPr>
          <w:rFonts w:eastAsia="SimSun"/>
          <w:lang w:val="en-US" w:eastAsia="zh-CN"/>
        </w:rPr>
        <w:t>Articles 5 and 7</w:t>
      </w:r>
    </w:p>
    <w:p w:rsidR="006821D8" w:rsidRPr="006821D8" w:rsidRDefault="006821D8" w:rsidP="006821D8">
      <w:pPr>
        <w:pStyle w:val="SingleTxtG"/>
        <w:rPr>
          <w:rFonts w:eastAsia="SimSun"/>
          <w:lang w:eastAsia="zh-CN"/>
        </w:rPr>
      </w:pPr>
      <w:r w:rsidRPr="006821D8">
        <w:rPr>
          <w:rFonts w:eastAsia="SimSun"/>
          <w:lang w:eastAsia="zh-CN"/>
        </w:rPr>
        <w:t>10.</w:t>
      </w:r>
      <w:r w:rsidRPr="006821D8">
        <w:rPr>
          <w:rFonts w:eastAsia="SimSun"/>
          <w:lang w:eastAsia="zh-CN"/>
        </w:rPr>
        <w:tab/>
        <w:t>Since the consideration of the previous report, please indicate whether the State party has rejected, for any reason, any request for extradition by a</w:t>
      </w:r>
      <w:r w:rsidR="003E127F">
        <w:rPr>
          <w:rFonts w:eastAsia="SimSun"/>
          <w:lang w:eastAsia="zh-CN"/>
        </w:rPr>
        <w:t>nother</w:t>
      </w:r>
      <w:r w:rsidRPr="006821D8">
        <w:rPr>
          <w:rFonts w:eastAsia="SimSun"/>
          <w:lang w:eastAsia="zh-CN"/>
        </w:rPr>
        <w:t xml:space="preserve"> State for an individual suspected of having committed an offence of torture, and thus </w:t>
      </w:r>
      <w:r w:rsidR="003E127F">
        <w:rPr>
          <w:rFonts w:eastAsia="SimSun"/>
          <w:lang w:eastAsia="zh-CN"/>
        </w:rPr>
        <w:t>started prosecution proceedings</w:t>
      </w:r>
      <w:r w:rsidRPr="006821D8">
        <w:rPr>
          <w:rFonts w:eastAsia="SimSun"/>
          <w:lang w:eastAsia="zh-CN"/>
        </w:rPr>
        <w:t xml:space="preserve"> as a result. If so, please provide information on the status and outcome of such proceedings.</w:t>
      </w:r>
    </w:p>
    <w:p w:rsidR="006821D8" w:rsidRPr="006821D8" w:rsidRDefault="006821D8" w:rsidP="00230D04">
      <w:pPr>
        <w:pStyle w:val="H23G"/>
        <w:rPr>
          <w:rFonts w:eastAsia="SimSun"/>
          <w:lang w:val="en-US" w:eastAsia="zh-CN"/>
        </w:rPr>
      </w:pPr>
      <w:r>
        <w:rPr>
          <w:rFonts w:eastAsia="SimSun"/>
          <w:lang w:val="en-US" w:eastAsia="zh-CN"/>
        </w:rPr>
        <w:tab/>
      </w:r>
      <w:r>
        <w:rPr>
          <w:rFonts w:eastAsia="SimSun"/>
          <w:lang w:val="en-US" w:eastAsia="zh-CN"/>
        </w:rPr>
        <w:tab/>
      </w:r>
      <w:r w:rsidRPr="006821D8">
        <w:rPr>
          <w:rFonts w:eastAsia="SimSun"/>
          <w:lang w:val="en-US" w:eastAsia="zh-CN"/>
        </w:rPr>
        <w:t>Article 10</w:t>
      </w:r>
    </w:p>
    <w:p w:rsidR="006821D8" w:rsidRPr="006821D8" w:rsidRDefault="006821D8" w:rsidP="006821D8">
      <w:pPr>
        <w:pStyle w:val="SingleTxtG"/>
        <w:rPr>
          <w:rFonts w:eastAsia="SimSun"/>
          <w:lang w:val="en-US" w:eastAsia="zh-CN"/>
        </w:rPr>
      </w:pPr>
      <w:r w:rsidRPr="006821D8">
        <w:rPr>
          <w:rFonts w:eastAsia="SimSun"/>
          <w:lang w:val="en-US" w:eastAsia="zh-CN"/>
        </w:rPr>
        <w:t>11.</w:t>
      </w:r>
      <w:r w:rsidRPr="006821D8">
        <w:rPr>
          <w:rFonts w:eastAsia="SimSun"/>
          <w:lang w:val="en-US" w:eastAsia="zh-CN"/>
        </w:rPr>
        <w:tab/>
        <w:t xml:space="preserve">Please provide detailed information on the implementation of the Committee’s previous recommendation </w:t>
      </w:r>
      <w:r w:rsidR="00952FA8">
        <w:rPr>
          <w:rFonts w:eastAsia="SimSun"/>
          <w:lang w:val="en-US" w:eastAsia="zh-CN"/>
        </w:rPr>
        <w:t>i</w:t>
      </w:r>
      <w:r w:rsidRPr="006821D8">
        <w:rPr>
          <w:rFonts w:eastAsia="SimSun"/>
          <w:lang w:val="en-US" w:eastAsia="zh-CN"/>
        </w:rPr>
        <w:t xml:space="preserve">n </w:t>
      </w:r>
      <w:r w:rsidR="006A3EFA">
        <w:rPr>
          <w:rFonts w:eastAsia="SimSun"/>
          <w:lang w:val="en-US" w:eastAsia="zh-CN"/>
        </w:rPr>
        <w:t xml:space="preserve">the </w:t>
      </w:r>
      <w:r w:rsidRPr="006821D8">
        <w:rPr>
          <w:rFonts w:eastAsia="SimSun"/>
          <w:lang w:val="en-US" w:eastAsia="zh-CN"/>
        </w:rPr>
        <w:t>training of public officials who come into contact with persons deprived of their liberty (para.</w:t>
      </w:r>
      <w:r w:rsidR="003E1809">
        <w:rPr>
          <w:rFonts w:eastAsia="SimSun"/>
          <w:lang w:val="en-US" w:eastAsia="zh-CN"/>
        </w:rPr>
        <w:t xml:space="preserve"> </w:t>
      </w:r>
      <w:r w:rsidRPr="006821D8">
        <w:rPr>
          <w:rFonts w:eastAsia="SimSun"/>
          <w:lang w:val="en-US" w:eastAsia="zh-CN"/>
        </w:rPr>
        <w:t>13). In particular, please indicate whether</w:t>
      </w:r>
      <w:r w:rsidR="00952FA8">
        <w:rPr>
          <w:rFonts w:eastAsia="SimSun"/>
          <w:lang w:val="en-US" w:eastAsia="zh-CN"/>
        </w:rPr>
        <w:t xml:space="preserve"> the</w:t>
      </w:r>
      <w:r w:rsidRPr="006821D8">
        <w:rPr>
          <w:rFonts w:eastAsia="SimSun"/>
          <w:lang w:val="en-US" w:eastAsia="zh-CN"/>
        </w:rPr>
        <w:t xml:space="preserve"> training of public officials </w:t>
      </w:r>
      <w:r w:rsidR="006A3EFA">
        <w:rPr>
          <w:rFonts w:eastAsia="SimSun"/>
          <w:lang w:val="en-US" w:eastAsia="zh-CN"/>
        </w:rPr>
        <w:t>is</w:t>
      </w:r>
      <w:r w:rsidR="006A3EFA" w:rsidRPr="006821D8">
        <w:rPr>
          <w:rFonts w:eastAsia="SimSun"/>
          <w:lang w:val="en-US" w:eastAsia="zh-CN"/>
        </w:rPr>
        <w:t xml:space="preserve"> </w:t>
      </w:r>
      <w:r w:rsidRPr="006821D8">
        <w:rPr>
          <w:rFonts w:eastAsia="SimSun"/>
          <w:lang w:val="en-US" w:eastAsia="zh-CN"/>
        </w:rPr>
        <w:t>assessed and evaluated by a qualified independent body. What steps have been taken to ensure adequate training for all medical personnel involved with detainees in the detection of signs of torture and ill-treatment</w:t>
      </w:r>
      <w:r w:rsidR="006A3EFA">
        <w:rPr>
          <w:rFonts w:eastAsia="SimSun"/>
          <w:lang w:val="en-US" w:eastAsia="zh-CN"/>
        </w:rPr>
        <w:t>,</w:t>
      </w:r>
      <w:r w:rsidRPr="006821D8">
        <w:rPr>
          <w:rFonts w:eastAsia="SimSun"/>
          <w:lang w:val="en-US" w:eastAsia="zh-CN"/>
        </w:rPr>
        <w:t xml:space="preserve"> in accordance with international standards, as outlined in the </w:t>
      </w:r>
      <w:r w:rsidR="006A3EFA" w:rsidRPr="00952FA8">
        <w:rPr>
          <w:rFonts w:eastAsia="SimSun"/>
          <w:lang w:val="en-US" w:eastAsia="zh-CN"/>
        </w:rPr>
        <w:t>M</w:t>
      </w:r>
      <w:r w:rsidRPr="00952FA8">
        <w:rPr>
          <w:rFonts w:eastAsia="SimSun"/>
          <w:lang w:val="en-US" w:eastAsia="zh-CN"/>
        </w:rPr>
        <w:t xml:space="preserve">anual on the </w:t>
      </w:r>
      <w:r w:rsidR="006A3EFA" w:rsidRPr="00952FA8">
        <w:rPr>
          <w:rFonts w:eastAsia="SimSun"/>
          <w:lang w:val="en-US" w:eastAsia="zh-CN"/>
        </w:rPr>
        <w:t>E</w:t>
      </w:r>
      <w:r w:rsidRPr="00952FA8">
        <w:rPr>
          <w:rFonts w:eastAsia="SimSun"/>
          <w:lang w:val="en-US" w:eastAsia="zh-CN"/>
        </w:rPr>
        <w:t xml:space="preserve">ffective </w:t>
      </w:r>
      <w:r w:rsidR="006A3EFA" w:rsidRPr="00952FA8">
        <w:rPr>
          <w:rFonts w:eastAsia="SimSun"/>
          <w:lang w:val="en-US" w:eastAsia="zh-CN"/>
        </w:rPr>
        <w:t>I</w:t>
      </w:r>
      <w:r w:rsidRPr="00952FA8">
        <w:rPr>
          <w:rFonts w:eastAsia="SimSun"/>
          <w:lang w:val="en-US" w:eastAsia="zh-CN"/>
        </w:rPr>
        <w:t xml:space="preserve">nvestigation and </w:t>
      </w:r>
      <w:r w:rsidR="006A3EFA" w:rsidRPr="00952FA8">
        <w:rPr>
          <w:rFonts w:eastAsia="SimSun"/>
          <w:lang w:val="en-US" w:eastAsia="zh-CN"/>
        </w:rPr>
        <w:t>D</w:t>
      </w:r>
      <w:r w:rsidRPr="00952FA8">
        <w:rPr>
          <w:rFonts w:eastAsia="SimSun"/>
          <w:lang w:val="en-US" w:eastAsia="zh-CN"/>
        </w:rPr>
        <w:t xml:space="preserve">ocumentation of </w:t>
      </w:r>
      <w:r w:rsidR="006A3EFA" w:rsidRPr="00952FA8">
        <w:rPr>
          <w:rFonts w:eastAsia="SimSun"/>
          <w:lang w:val="en-US" w:eastAsia="zh-CN"/>
        </w:rPr>
        <w:t>T</w:t>
      </w:r>
      <w:r w:rsidRPr="00952FA8">
        <w:rPr>
          <w:rFonts w:eastAsia="SimSun"/>
          <w:lang w:val="en-US" w:eastAsia="zh-CN"/>
        </w:rPr>
        <w:t xml:space="preserve">orture and </w:t>
      </w:r>
      <w:r w:rsidR="006A3EFA" w:rsidRPr="00952FA8">
        <w:rPr>
          <w:rFonts w:eastAsia="SimSun"/>
          <w:lang w:val="en-US" w:eastAsia="zh-CN"/>
        </w:rPr>
        <w:t>O</w:t>
      </w:r>
      <w:r w:rsidRPr="00952FA8">
        <w:rPr>
          <w:rFonts w:eastAsia="SimSun"/>
          <w:lang w:val="en-US" w:eastAsia="zh-CN"/>
        </w:rPr>
        <w:t xml:space="preserve">ther </w:t>
      </w:r>
      <w:r w:rsidR="006A3EFA" w:rsidRPr="00952FA8">
        <w:rPr>
          <w:rFonts w:eastAsia="SimSun"/>
          <w:lang w:val="en-US" w:eastAsia="zh-CN"/>
        </w:rPr>
        <w:t>C</w:t>
      </w:r>
      <w:r w:rsidRPr="00952FA8">
        <w:rPr>
          <w:rFonts w:eastAsia="SimSun"/>
          <w:lang w:val="en-US" w:eastAsia="zh-CN"/>
        </w:rPr>
        <w:t xml:space="preserve">ruel, </w:t>
      </w:r>
      <w:r w:rsidR="006A3EFA" w:rsidRPr="00952FA8">
        <w:rPr>
          <w:rFonts w:eastAsia="SimSun"/>
          <w:lang w:val="en-US" w:eastAsia="zh-CN"/>
        </w:rPr>
        <w:t>I</w:t>
      </w:r>
      <w:r w:rsidRPr="00952FA8">
        <w:rPr>
          <w:rFonts w:eastAsia="SimSun"/>
          <w:lang w:val="en-US" w:eastAsia="zh-CN"/>
        </w:rPr>
        <w:t xml:space="preserve">nhuman or </w:t>
      </w:r>
      <w:r w:rsidR="006A3EFA" w:rsidRPr="00952FA8">
        <w:rPr>
          <w:rFonts w:eastAsia="SimSun"/>
          <w:lang w:val="en-US" w:eastAsia="zh-CN"/>
        </w:rPr>
        <w:t>D</w:t>
      </w:r>
      <w:r w:rsidRPr="00952FA8">
        <w:rPr>
          <w:rFonts w:eastAsia="SimSun"/>
          <w:lang w:val="en-US" w:eastAsia="zh-CN"/>
        </w:rPr>
        <w:t xml:space="preserve">egrading </w:t>
      </w:r>
      <w:r w:rsidR="006A3EFA" w:rsidRPr="00952FA8">
        <w:rPr>
          <w:rFonts w:eastAsia="SimSun"/>
          <w:lang w:val="en-US" w:eastAsia="zh-CN"/>
        </w:rPr>
        <w:t>T</w:t>
      </w:r>
      <w:r w:rsidRPr="00952FA8">
        <w:rPr>
          <w:rFonts w:eastAsia="SimSun"/>
          <w:lang w:val="en-US" w:eastAsia="zh-CN"/>
        </w:rPr>
        <w:t xml:space="preserve">reatment or </w:t>
      </w:r>
      <w:r w:rsidR="006A3EFA" w:rsidRPr="00952FA8">
        <w:rPr>
          <w:rFonts w:eastAsia="SimSun"/>
          <w:lang w:val="en-US" w:eastAsia="zh-CN"/>
        </w:rPr>
        <w:t>P</w:t>
      </w:r>
      <w:r w:rsidRPr="00952FA8">
        <w:rPr>
          <w:rFonts w:eastAsia="SimSun"/>
          <w:lang w:val="en-US" w:eastAsia="zh-CN"/>
        </w:rPr>
        <w:t>unishment (Istanbul Protocol)</w:t>
      </w:r>
      <w:r w:rsidRPr="006821D8">
        <w:rPr>
          <w:rFonts w:eastAsia="SimSun"/>
          <w:lang w:val="en-US" w:eastAsia="zh-CN"/>
        </w:rPr>
        <w:t>?</w:t>
      </w:r>
    </w:p>
    <w:p w:rsidR="006821D8" w:rsidRPr="006821D8" w:rsidRDefault="006821D8" w:rsidP="006821D8">
      <w:pPr>
        <w:pStyle w:val="SingleTxtG"/>
        <w:rPr>
          <w:rFonts w:eastAsia="SimSun"/>
          <w:lang w:val="en-US" w:eastAsia="zh-CN"/>
        </w:rPr>
      </w:pPr>
      <w:r w:rsidRPr="006821D8">
        <w:rPr>
          <w:rFonts w:eastAsia="SimSun"/>
          <w:lang w:val="en-US" w:eastAsia="zh-CN"/>
        </w:rPr>
        <w:t>12.</w:t>
      </w:r>
      <w:r w:rsidRPr="006821D8">
        <w:rPr>
          <w:rFonts w:eastAsia="SimSun"/>
          <w:lang w:val="en-US" w:eastAsia="zh-CN"/>
        </w:rPr>
        <w:tab/>
      </w:r>
      <w:r w:rsidRPr="006821D8">
        <w:rPr>
          <w:rFonts w:eastAsia="SimSun"/>
          <w:lang w:eastAsia="zh-CN"/>
        </w:rPr>
        <w:t xml:space="preserve">Please include updated information </w:t>
      </w:r>
      <w:r w:rsidRPr="006821D8">
        <w:rPr>
          <w:rFonts w:eastAsia="SimSun"/>
          <w:lang w:val="en-US" w:eastAsia="zh-CN"/>
        </w:rPr>
        <w:t>on steps</w:t>
      </w:r>
      <w:r w:rsidRPr="006821D8">
        <w:rPr>
          <w:rFonts w:eastAsia="SimSun"/>
          <w:lang w:eastAsia="zh-CN"/>
        </w:rPr>
        <w:t xml:space="preserve"> taken to develop and implement a methodology to evaluate the implementation of its training/educational programmes, and its effectiveness and impact on the reduction of cases of torture and ill-treatment. </w:t>
      </w:r>
      <w:r w:rsidR="00632035">
        <w:rPr>
          <w:rFonts w:eastAsia="SimSun"/>
          <w:lang w:eastAsia="zh-CN"/>
        </w:rPr>
        <w:t>P</w:t>
      </w:r>
      <w:r w:rsidRPr="006821D8">
        <w:rPr>
          <w:rFonts w:eastAsia="SimSun"/>
          <w:lang w:eastAsia="zh-CN"/>
        </w:rPr>
        <w:t xml:space="preserve">lease provide information on the content and implementation of </w:t>
      </w:r>
      <w:r w:rsidR="00632035">
        <w:rPr>
          <w:rFonts w:eastAsia="SimSun"/>
          <w:lang w:eastAsia="zh-CN"/>
        </w:rPr>
        <w:t>that</w:t>
      </w:r>
      <w:r w:rsidR="00632035" w:rsidRPr="006821D8">
        <w:rPr>
          <w:rFonts w:eastAsia="SimSun"/>
          <w:lang w:eastAsia="zh-CN"/>
        </w:rPr>
        <w:t xml:space="preserve"> </w:t>
      </w:r>
      <w:r w:rsidRPr="006821D8">
        <w:rPr>
          <w:rFonts w:eastAsia="SimSun"/>
          <w:lang w:eastAsia="zh-CN"/>
        </w:rPr>
        <w:t xml:space="preserve">methodology as well as on the results of the implemented measures. </w:t>
      </w:r>
      <w:r w:rsidRPr="006821D8">
        <w:rPr>
          <w:rFonts w:eastAsia="SimSun"/>
          <w:lang w:val="en-US" w:eastAsia="zh-CN"/>
        </w:rPr>
        <w:t>Please provide updated information on the availability of the updated police directions concerning treatment of persons deprived of their liberty and training materials in that regard.</w:t>
      </w:r>
      <w:r w:rsidRPr="006821D8">
        <w:rPr>
          <w:rStyle w:val="FootnoteReference"/>
          <w:rFonts w:eastAsia="SimSun"/>
        </w:rPr>
        <w:footnoteReference w:id="13"/>
      </w:r>
      <w:r w:rsidRPr="006821D8">
        <w:rPr>
          <w:rStyle w:val="FootnoteReference"/>
          <w:rFonts w:eastAsia="SimSun"/>
        </w:rPr>
        <w:t xml:space="preserve"> </w:t>
      </w:r>
    </w:p>
    <w:p w:rsidR="006821D8" w:rsidRPr="006821D8" w:rsidRDefault="006821D8" w:rsidP="00230D04">
      <w:pPr>
        <w:pStyle w:val="H23G"/>
        <w:rPr>
          <w:rFonts w:eastAsia="SimSun"/>
          <w:lang w:eastAsia="zh-CN"/>
        </w:rPr>
      </w:pPr>
      <w:r>
        <w:rPr>
          <w:rFonts w:eastAsia="SimSun"/>
          <w:lang w:eastAsia="zh-CN"/>
        </w:rPr>
        <w:tab/>
      </w:r>
      <w:r>
        <w:rPr>
          <w:rFonts w:eastAsia="SimSun"/>
          <w:lang w:eastAsia="zh-CN"/>
        </w:rPr>
        <w:tab/>
      </w:r>
      <w:r w:rsidRPr="006821D8">
        <w:rPr>
          <w:rFonts w:eastAsia="SimSun"/>
          <w:lang w:eastAsia="zh-CN"/>
        </w:rPr>
        <w:t>Article 11</w:t>
      </w:r>
    </w:p>
    <w:p w:rsidR="006821D8" w:rsidRPr="006821D8" w:rsidRDefault="006821D8" w:rsidP="006821D8">
      <w:pPr>
        <w:pStyle w:val="SingleTxtG"/>
        <w:rPr>
          <w:rFonts w:eastAsia="SimSun"/>
          <w:lang w:val="en-US" w:eastAsia="zh-CN"/>
        </w:rPr>
      </w:pPr>
      <w:r w:rsidRPr="006821D8">
        <w:rPr>
          <w:rFonts w:eastAsia="SimSun"/>
          <w:lang w:val="en-US" w:eastAsia="zh-CN"/>
        </w:rPr>
        <w:t>13.</w:t>
      </w:r>
      <w:r w:rsidRPr="006821D8">
        <w:rPr>
          <w:rFonts w:eastAsia="SimSun"/>
          <w:lang w:val="en-US" w:eastAsia="zh-CN"/>
        </w:rPr>
        <w:tab/>
        <w:t>Please provide information on any new interrogation rules, instructions, methods and practices, as well as arrangements for the custody of persons subject to any form of arrest, detention or imprisonment, that may have been introduced since the consideration of the last periodic report</w:t>
      </w:r>
      <w:r w:rsidR="001A59FC">
        <w:rPr>
          <w:rFonts w:eastAsia="SimSun"/>
          <w:lang w:val="en-US" w:eastAsia="zh-CN"/>
        </w:rPr>
        <w:t xml:space="preserve"> </w:t>
      </w:r>
      <w:r w:rsidRPr="006821D8">
        <w:rPr>
          <w:rFonts w:eastAsia="SimSun"/>
          <w:lang w:val="en-US" w:eastAsia="zh-CN"/>
        </w:rPr>
        <w:t>with a view to prevent</w:t>
      </w:r>
      <w:r w:rsidR="001A59FC">
        <w:rPr>
          <w:rFonts w:eastAsia="SimSun"/>
          <w:lang w:val="en-US" w:eastAsia="zh-CN"/>
        </w:rPr>
        <w:t>ing</w:t>
      </w:r>
      <w:r w:rsidRPr="006821D8">
        <w:rPr>
          <w:rFonts w:eastAsia="SimSun"/>
          <w:lang w:val="en-US" w:eastAsia="zh-CN"/>
        </w:rPr>
        <w:t xml:space="preserve"> any cases of torture or ill-treatment.</w:t>
      </w:r>
    </w:p>
    <w:p w:rsidR="006821D8" w:rsidRPr="006821D8" w:rsidRDefault="006821D8" w:rsidP="006821D8">
      <w:pPr>
        <w:pStyle w:val="SingleTxtG"/>
        <w:rPr>
          <w:rFonts w:eastAsia="SimSun"/>
          <w:lang w:val="en-US" w:eastAsia="zh-CN"/>
        </w:rPr>
      </w:pPr>
      <w:r w:rsidRPr="006821D8">
        <w:rPr>
          <w:rFonts w:eastAsia="SimSun"/>
          <w:lang w:val="en-US" w:eastAsia="zh-CN"/>
        </w:rPr>
        <w:t>14.</w:t>
      </w:r>
      <w:r w:rsidRPr="006821D8">
        <w:rPr>
          <w:rFonts w:eastAsia="SimSun"/>
          <w:lang w:val="en-US" w:eastAsia="zh-CN"/>
        </w:rPr>
        <w:tab/>
        <w:t>Please provide information on measures taken to effectively and systematically monitor all places of detention, including those of aliens. In</w:t>
      </w:r>
      <w:r w:rsidR="001A59FC">
        <w:rPr>
          <w:rFonts w:eastAsia="SimSun"/>
          <w:lang w:val="en-US" w:eastAsia="zh-CN"/>
        </w:rPr>
        <w:t xml:space="preserve"> the</w:t>
      </w:r>
      <w:r w:rsidRPr="006821D8">
        <w:rPr>
          <w:rFonts w:eastAsia="SimSun"/>
          <w:lang w:val="en-US" w:eastAsia="zh-CN"/>
        </w:rPr>
        <w:t xml:space="preserve"> light of the Committee’s previous concluding observations (para.</w:t>
      </w:r>
      <w:r w:rsidR="001A59FC">
        <w:rPr>
          <w:rFonts w:eastAsia="SimSun"/>
          <w:lang w:val="en-US" w:eastAsia="zh-CN"/>
        </w:rPr>
        <w:t xml:space="preserve"> </w:t>
      </w:r>
      <w:r w:rsidRPr="006821D8">
        <w:rPr>
          <w:rFonts w:eastAsia="SimSun"/>
          <w:lang w:val="en-US" w:eastAsia="zh-CN"/>
        </w:rPr>
        <w:t>16) and the recommendation accepted by the State party in the course of the universal periodic review (</w:t>
      </w:r>
      <w:r w:rsidRPr="006821D8">
        <w:rPr>
          <w:rFonts w:eastAsia="SimSun"/>
          <w:lang w:eastAsia="zh-CN"/>
        </w:rPr>
        <w:t>A/HRC/21/8, para.</w:t>
      </w:r>
      <w:r w:rsidR="001A59FC">
        <w:rPr>
          <w:rFonts w:eastAsia="SimSun"/>
          <w:lang w:eastAsia="zh-CN"/>
        </w:rPr>
        <w:t xml:space="preserve"> </w:t>
      </w:r>
      <w:r w:rsidRPr="006821D8">
        <w:rPr>
          <w:rFonts w:eastAsia="SimSun"/>
          <w:lang w:eastAsia="zh-CN"/>
        </w:rPr>
        <w:t>89.37)</w:t>
      </w:r>
      <w:r w:rsidRPr="006821D8">
        <w:rPr>
          <w:rFonts w:eastAsia="SimSun"/>
          <w:lang w:val="en-US" w:eastAsia="zh-CN"/>
        </w:rPr>
        <w:t>, please provide updated information on (a) the allocation of human and financial resources to the Parliamentary Ombudsm</w:t>
      </w:r>
      <w:r w:rsidR="00136389">
        <w:rPr>
          <w:rFonts w:eastAsia="SimSun"/>
          <w:lang w:val="en-US" w:eastAsia="zh-CN"/>
        </w:rPr>
        <w:t>e</w:t>
      </w:r>
      <w:r w:rsidRPr="006821D8">
        <w:rPr>
          <w:rFonts w:eastAsia="SimSun"/>
          <w:lang w:val="en-US" w:eastAsia="zh-CN"/>
        </w:rPr>
        <w:t>n and (b) the plan to create a national preventive mechanism. To what extent</w:t>
      </w:r>
      <w:r w:rsidR="00136389">
        <w:rPr>
          <w:rFonts w:eastAsia="SimSun"/>
          <w:lang w:val="en-US" w:eastAsia="zh-CN"/>
        </w:rPr>
        <w:t xml:space="preserve"> have</w:t>
      </w:r>
      <w:r w:rsidRPr="006821D8">
        <w:rPr>
          <w:rFonts w:eastAsia="SimSun"/>
          <w:lang w:val="en-US" w:eastAsia="zh-CN"/>
        </w:rPr>
        <w:t xml:space="preserve"> the Ombudsm</w:t>
      </w:r>
      <w:r w:rsidR="00136389">
        <w:rPr>
          <w:rFonts w:eastAsia="SimSun"/>
          <w:lang w:val="en-US" w:eastAsia="zh-CN"/>
        </w:rPr>
        <w:t>e</w:t>
      </w:r>
      <w:r w:rsidRPr="006821D8">
        <w:rPr>
          <w:rFonts w:eastAsia="SimSun"/>
          <w:lang w:val="en-US" w:eastAsia="zh-CN"/>
        </w:rPr>
        <w:t>n carried out frequent and unannounced visits to places of deprivation of liberty under their mandate? In addition, please state what measures have been taken to ratify the Optional Protocol to the Convention, which the State party signed in 2003. Please elaborate on the reasons why the State party has not yet ratified the Optional Protocol.</w:t>
      </w:r>
    </w:p>
    <w:p w:rsidR="006821D8" w:rsidRPr="006821D8" w:rsidRDefault="006821D8" w:rsidP="00230D04">
      <w:pPr>
        <w:pStyle w:val="H23G"/>
        <w:rPr>
          <w:rFonts w:eastAsia="SimSun"/>
          <w:lang w:val="en-US" w:eastAsia="zh-CN"/>
        </w:rPr>
      </w:pPr>
      <w:r>
        <w:rPr>
          <w:rFonts w:eastAsia="SimSun"/>
          <w:lang w:val="en-US" w:eastAsia="zh-CN"/>
        </w:rPr>
        <w:tab/>
      </w:r>
      <w:r>
        <w:rPr>
          <w:rFonts w:eastAsia="SimSun"/>
          <w:lang w:val="en-US" w:eastAsia="zh-CN"/>
        </w:rPr>
        <w:tab/>
      </w:r>
      <w:r w:rsidRPr="006821D8">
        <w:rPr>
          <w:rFonts w:eastAsia="SimSun"/>
          <w:lang w:val="en-US" w:eastAsia="zh-CN"/>
        </w:rPr>
        <w:t>Articles 12 and 13</w:t>
      </w:r>
    </w:p>
    <w:p w:rsidR="006821D8" w:rsidRPr="006821D8" w:rsidRDefault="006821D8" w:rsidP="006821D8">
      <w:pPr>
        <w:pStyle w:val="SingleTxtG"/>
        <w:rPr>
          <w:rFonts w:ascii="Sylfaen" w:eastAsia="SimSun" w:hAnsi="Sylfaen"/>
          <w:color w:val="000000"/>
          <w:lang w:val="en-US" w:eastAsia="zh-CN"/>
        </w:rPr>
      </w:pPr>
      <w:r w:rsidRPr="00237A68">
        <w:rPr>
          <w:rFonts w:eastAsia="SimSun"/>
          <w:color w:val="000000"/>
          <w:lang w:val="en-US" w:eastAsia="zh-CN"/>
        </w:rPr>
        <w:t>15.</w:t>
      </w:r>
      <w:r w:rsidRPr="006821D8">
        <w:rPr>
          <w:rFonts w:ascii="Sylfaen" w:eastAsia="SimSun" w:hAnsi="Sylfaen"/>
          <w:color w:val="000000"/>
          <w:lang w:val="en-US" w:eastAsia="zh-CN"/>
        </w:rPr>
        <w:tab/>
      </w:r>
      <w:r w:rsidRPr="006821D8">
        <w:rPr>
          <w:rFonts w:eastAsia="SimSun"/>
          <w:lang w:val="en-US" w:eastAsia="zh-CN"/>
        </w:rPr>
        <w:t>In</w:t>
      </w:r>
      <w:r w:rsidR="00237A68">
        <w:rPr>
          <w:rFonts w:eastAsia="SimSun"/>
          <w:lang w:val="en-US" w:eastAsia="zh-CN"/>
        </w:rPr>
        <w:t xml:space="preserve"> the</w:t>
      </w:r>
      <w:r w:rsidRPr="006821D8">
        <w:rPr>
          <w:rFonts w:eastAsia="SimSun"/>
          <w:lang w:val="en-US" w:eastAsia="zh-CN"/>
        </w:rPr>
        <w:t xml:space="preserve"> light of the Committee’s previous concluding observations, please provide detailed statistical data, disaggregated by crime committed, ethnicity, age and sex, on complaints relating to torture and ill-treatment allegedly committed by law enforcement officials</w:t>
      </w:r>
      <w:r w:rsidR="00237A68">
        <w:rPr>
          <w:rFonts w:eastAsia="SimSun"/>
          <w:lang w:val="en-US" w:eastAsia="zh-CN"/>
        </w:rPr>
        <w:t>,</w:t>
      </w:r>
      <w:r w:rsidRPr="006821D8">
        <w:rPr>
          <w:rFonts w:eastAsia="SimSun"/>
          <w:lang w:val="en-US" w:eastAsia="zh-CN"/>
        </w:rPr>
        <w:t xml:space="preserve"> on related investigations, prosecutions, convictions and on the penal or disciplinary sanctions applied.</w:t>
      </w:r>
    </w:p>
    <w:p w:rsidR="006821D8" w:rsidRPr="006821D8" w:rsidRDefault="006821D8" w:rsidP="006821D8">
      <w:pPr>
        <w:pStyle w:val="SingleTxtG"/>
        <w:rPr>
          <w:rFonts w:eastAsia="SimSun"/>
          <w:lang w:val="en-US" w:eastAsia="zh-CN"/>
        </w:rPr>
      </w:pPr>
      <w:r w:rsidRPr="006821D8">
        <w:rPr>
          <w:rFonts w:eastAsia="SimSun"/>
          <w:lang w:val="en-US" w:eastAsia="zh-CN"/>
        </w:rPr>
        <w:t>16.</w:t>
      </w:r>
      <w:r w:rsidRPr="006821D8">
        <w:rPr>
          <w:rFonts w:eastAsia="SimSun"/>
          <w:lang w:val="en-US" w:eastAsia="zh-CN"/>
        </w:rPr>
        <w:tab/>
      </w:r>
      <w:r w:rsidRPr="006821D8">
        <w:rPr>
          <w:rFonts w:eastAsia="SimSun"/>
          <w:lang w:eastAsia="zh-CN"/>
        </w:rPr>
        <w:t>P</w:t>
      </w:r>
      <w:r w:rsidRPr="006821D8">
        <w:rPr>
          <w:rFonts w:eastAsia="SimSun"/>
          <w:lang w:val="en-US" w:eastAsia="zh-CN"/>
        </w:rPr>
        <w:t>lease provide information on the measures, in addition to the legal framework, taken to implement the current laws combating trafficking. This information should include the number of trafficking cases reported to the police and other authorities, the number of resulting investigations, and the timeliness, status and findings of all such investigations including any resulting penalties.</w:t>
      </w:r>
    </w:p>
    <w:p w:rsidR="006821D8" w:rsidRPr="006821D8" w:rsidRDefault="00A32832" w:rsidP="00230D04">
      <w:pPr>
        <w:pStyle w:val="H23G"/>
        <w:rPr>
          <w:rFonts w:eastAsia="SimSun"/>
          <w:lang w:val="en-US" w:eastAsia="zh-CN"/>
        </w:rPr>
      </w:pPr>
      <w:r>
        <w:rPr>
          <w:rFonts w:eastAsia="SimSun"/>
          <w:lang w:val="en-US" w:eastAsia="zh-CN"/>
        </w:rPr>
        <w:tab/>
      </w:r>
      <w:r>
        <w:rPr>
          <w:rFonts w:eastAsia="SimSun"/>
          <w:lang w:val="en-US" w:eastAsia="zh-CN"/>
        </w:rPr>
        <w:tab/>
      </w:r>
      <w:r w:rsidR="006821D8" w:rsidRPr="006821D8">
        <w:rPr>
          <w:rFonts w:eastAsia="SimSun"/>
          <w:lang w:val="en-US" w:eastAsia="zh-CN"/>
        </w:rPr>
        <w:t>Article 14</w:t>
      </w:r>
    </w:p>
    <w:p w:rsidR="006821D8" w:rsidRPr="006821D8" w:rsidRDefault="006821D8" w:rsidP="006821D8">
      <w:pPr>
        <w:pStyle w:val="SingleTxtG"/>
        <w:rPr>
          <w:rFonts w:eastAsia="SimSun"/>
          <w:shd w:val="pct15" w:color="auto" w:fill="FFFFFF"/>
          <w:lang w:eastAsia="zh-CN"/>
        </w:rPr>
      </w:pPr>
      <w:r w:rsidRPr="006821D8">
        <w:rPr>
          <w:rFonts w:eastAsia="SimSun"/>
          <w:lang w:eastAsia="zh-CN"/>
        </w:rPr>
        <w:t>17.</w:t>
      </w:r>
      <w:r w:rsidRPr="006821D8">
        <w:rPr>
          <w:rFonts w:eastAsia="SimSun"/>
          <w:lang w:eastAsia="zh-CN"/>
        </w:rPr>
        <w:tab/>
      </w:r>
      <w:r w:rsidRPr="006821D8">
        <w:rPr>
          <w:rFonts w:eastAsia="SimSun"/>
          <w:lang w:val="en-US" w:eastAsia="zh-CN"/>
        </w:rPr>
        <w:t xml:space="preserve">In </w:t>
      </w:r>
      <w:r w:rsidR="00FD2319">
        <w:rPr>
          <w:rFonts w:eastAsia="SimSun"/>
          <w:lang w:val="en-US" w:eastAsia="zh-CN"/>
        </w:rPr>
        <w:t xml:space="preserve">the </w:t>
      </w:r>
      <w:r w:rsidRPr="006821D8">
        <w:rPr>
          <w:rFonts w:eastAsia="SimSun"/>
          <w:lang w:val="en-US" w:eastAsia="zh-CN"/>
        </w:rPr>
        <w:t>light of the Committee’s previous concluding observations (para.</w:t>
      </w:r>
      <w:r w:rsidR="00FD2319">
        <w:rPr>
          <w:rFonts w:eastAsia="SimSun"/>
          <w:lang w:val="en-US" w:eastAsia="zh-CN"/>
        </w:rPr>
        <w:t xml:space="preserve"> </w:t>
      </w:r>
      <w:r w:rsidRPr="006821D8">
        <w:rPr>
          <w:rFonts w:eastAsia="SimSun"/>
          <w:lang w:val="en-US" w:eastAsia="zh-CN"/>
        </w:rPr>
        <w:t xml:space="preserve">20), please provide details on steps taken to ensure that adequate compensation, redress and appropriate rehabilitation programmes, including medical and psychological assistance, are provided to victims of torture and other ill-treatment, trafficking, domestic, sexual and other violence. Please also elaborate on the allocation of adequate resources to ensure that as full rehabilitation as possible is made available to all victims of such crimes. </w:t>
      </w:r>
    </w:p>
    <w:p w:rsidR="006821D8" w:rsidRPr="006821D8" w:rsidRDefault="006821D8" w:rsidP="006821D8">
      <w:pPr>
        <w:pStyle w:val="SingleTxtG"/>
        <w:rPr>
          <w:rFonts w:eastAsia="SimSun"/>
          <w:shd w:val="pct15" w:color="auto" w:fill="FFFFFF"/>
          <w:lang w:eastAsia="zh-CN"/>
        </w:rPr>
      </w:pPr>
      <w:r w:rsidRPr="006821D8">
        <w:rPr>
          <w:rFonts w:eastAsia="SimSun"/>
          <w:lang w:eastAsia="zh-CN"/>
        </w:rPr>
        <w:t>18.</w:t>
      </w:r>
      <w:r w:rsidRPr="006821D8">
        <w:rPr>
          <w:rFonts w:eastAsia="SimSun"/>
          <w:lang w:eastAsia="zh-CN"/>
        </w:rPr>
        <w:tab/>
      </w:r>
      <w:r w:rsidRPr="006821D8">
        <w:rPr>
          <w:rFonts w:eastAsia="SimSun"/>
          <w:lang w:val="en-US" w:eastAsia="zh-CN"/>
        </w:rPr>
        <w:t>Please provide information on redress and compensation measures ordered by the courts and actually provided to victims of torture, or their families, since the examination of the last periodic report in 2011. This information should include the number of requests for compensation made, the number granted, and the amounts ordered and those actually provided in each case, the kinds of rehabilitation programmes provided to victims, and whether they include medical and psychological assistance, as well as the accessibility of such programmes.</w:t>
      </w:r>
      <w:r w:rsidRPr="006821D8">
        <w:rPr>
          <w:rFonts w:eastAsia="SimSun"/>
          <w:shd w:val="pct15" w:color="auto" w:fill="FFFFFF"/>
          <w:lang w:eastAsia="zh-CN"/>
        </w:rPr>
        <w:t xml:space="preserve"> </w:t>
      </w:r>
    </w:p>
    <w:p w:rsidR="006821D8" w:rsidRPr="006821D8" w:rsidRDefault="006821D8" w:rsidP="00230D04">
      <w:pPr>
        <w:pStyle w:val="H23G"/>
        <w:rPr>
          <w:rFonts w:eastAsia="SimSun"/>
          <w:lang w:val="en-US" w:eastAsia="zh-CN"/>
        </w:rPr>
      </w:pPr>
      <w:r>
        <w:rPr>
          <w:rFonts w:eastAsia="SimSun"/>
          <w:lang w:val="en-US" w:eastAsia="zh-CN"/>
        </w:rPr>
        <w:tab/>
      </w:r>
      <w:r>
        <w:rPr>
          <w:rFonts w:eastAsia="SimSun"/>
          <w:lang w:val="en-US" w:eastAsia="zh-CN"/>
        </w:rPr>
        <w:tab/>
      </w:r>
      <w:r w:rsidRPr="006821D8">
        <w:rPr>
          <w:rFonts w:eastAsia="SimSun"/>
          <w:lang w:val="en-US" w:eastAsia="zh-CN"/>
        </w:rPr>
        <w:t>Article 15</w:t>
      </w:r>
    </w:p>
    <w:p w:rsidR="006821D8" w:rsidRPr="006821D8" w:rsidRDefault="006821D8" w:rsidP="006821D8">
      <w:pPr>
        <w:pStyle w:val="SingleTxtG"/>
        <w:rPr>
          <w:rFonts w:eastAsia="SimSun"/>
          <w:lang w:val="en-US" w:eastAsia="zh-CN"/>
        </w:rPr>
      </w:pPr>
      <w:r w:rsidRPr="006821D8">
        <w:rPr>
          <w:rFonts w:eastAsia="SimSun"/>
          <w:lang w:val="en-US" w:eastAsia="zh-CN"/>
        </w:rPr>
        <w:t>19.</w:t>
      </w:r>
      <w:r w:rsidRPr="006821D8">
        <w:rPr>
          <w:rFonts w:eastAsia="SimSun"/>
          <w:lang w:val="en-US" w:eastAsia="zh-CN"/>
        </w:rPr>
        <w:tab/>
        <w:t>Pursuant to the Committee’s previous concluding observations (para.</w:t>
      </w:r>
      <w:r w:rsidR="00097FE0">
        <w:rPr>
          <w:rFonts w:eastAsia="SimSun"/>
          <w:lang w:val="en-US" w:eastAsia="zh-CN"/>
        </w:rPr>
        <w:t xml:space="preserve"> </w:t>
      </w:r>
      <w:r w:rsidRPr="006821D8">
        <w:rPr>
          <w:rFonts w:eastAsia="SimSun"/>
          <w:lang w:val="en-US" w:eastAsia="zh-CN"/>
        </w:rPr>
        <w:t>21), please provide information on the legislative measures taken to introduce in</w:t>
      </w:r>
      <w:r w:rsidR="00097FE0">
        <w:rPr>
          <w:rFonts w:eastAsia="SimSun"/>
          <w:lang w:val="en-US" w:eastAsia="zh-CN"/>
        </w:rPr>
        <w:t>to</w:t>
      </w:r>
      <w:r w:rsidRPr="006821D8">
        <w:rPr>
          <w:rFonts w:eastAsia="SimSun"/>
          <w:lang w:val="en-US" w:eastAsia="zh-CN"/>
        </w:rPr>
        <w:t xml:space="preserve"> the domestic legislation </w:t>
      </w:r>
      <w:r w:rsidR="00097FE0">
        <w:rPr>
          <w:rFonts w:eastAsia="SimSun"/>
          <w:lang w:val="en-US" w:eastAsia="zh-CN"/>
        </w:rPr>
        <w:t xml:space="preserve">a </w:t>
      </w:r>
      <w:r w:rsidRPr="006821D8">
        <w:rPr>
          <w:rFonts w:eastAsia="SimSun"/>
          <w:lang w:val="en-US" w:eastAsia="zh-CN"/>
        </w:rPr>
        <w:t xml:space="preserve">specific provision governing the inadmissibility of evidence obtained through torture or ill-treatment. </w:t>
      </w:r>
    </w:p>
    <w:p w:rsidR="006821D8" w:rsidRPr="006821D8" w:rsidRDefault="006821D8" w:rsidP="00230D04">
      <w:pPr>
        <w:pStyle w:val="H23G"/>
        <w:rPr>
          <w:rFonts w:eastAsia="SimSun"/>
          <w:szCs w:val="24"/>
          <w:lang w:val="en-US" w:eastAsia="zh-CN"/>
        </w:rPr>
      </w:pPr>
      <w:r>
        <w:rPr>
          <w:rFonts w:eastAsia="SimSun"/>
          <w:lang w:val="en-US" w:eastAsia="zh-CN"/>
        </w:rPr>
        <w:tab/>
      </w:r>
      <w:r>
        <w:rPr>
          <w:rFonts w:eastAsia="SimSun"/>
          <w:lang w:val="en-US" w:eastAsia="zh-CN"/>
        </w:rPr>
        <w:tab/>
      </w:r>
      <w:r w:rsidRPr="006821D8">
        <w:rPr>
          <w:rFonts w:eastAsia="SimSun"/>
          <w:lang w:val="en-US" w:eastAsia="zh-CN"/>
        </w:rPr>
        <w:t>Article</w:t>
      </w:r>
      <w:r w:rsidRPr="006821D8">
        <w:rPr>
          <w:rFonts w:eastAsia="SimSun"/>
          <w:szCs w:val="24"/>
          <w:lang w:val="en-US" w:eastAsia="zh-CN"/>
        </w:rPr>
        <w:t xml:space="preserve"> 16</w:t>
      </w:r>
    </w:p>
    <w:p w:rsidR="006821D8" w:rsidRPr="006821D8" w:rsidRDefault="006821D8" w:rsidP="006821D8">
      <w:pPr>
        <w:pStyle w:val="SingleTxtG"/>
      </w:pPr>
      <w:r w:rsidRPr="006821D8">
        <w:t>20.</w:t>
      </w:r>
      <w:r w:rsidRPr="006821D8">
        <w:tab/>
        <w:t>Further to the Committee’s previous concluding observations (para.</w:t>
      </w:r>
      <w:r w:rsidR="00097FE0">
        <w:t xml:space="preserve"> </w:t>
      </w:r>
      <w:r w:rsidRPr="006821D8">
        <w:t>14) and the recommendations made by the European Committee for the Prevention of Torture and Inhuman or Degrading treatment or Punishment</w:t>
      </w:r>
      <w:r w:rsidR="00097FE0">
        <w:t>,</w:t>
      </w:r>
      <w:r w:rsidRPr="006821D8">
        <w:rPr>
          <w:rStyle w:val="FootnoteReference"/>
        </w:rPr>
        <w:footnoteReference w:id="14"/>
      </w:r>
      <w:r w:rsidRPr="006821D8">
        <w:t xml:space="preserve"> please provide updated information on measures taken to improve conditions in all detention facilities, including places of detention for asylum</w:t>
      </w:r>
      <w:r w:rsidR="00097FE0">
        <w:t xml:space="preserve"> </w:t>
      </w:r>
      <w:r w:rsidRPr="006821D8">
        <w:t>seekers and psychiatric institutions, to bring them in line with international minimum standards, in particular to address overcrowding and sanitary equipment.</w:t>
      </w:r>
    </w:p>
    <w:p w:rsidR="006821D8" w:rsidRPr="006821D8" w:rsidRDefault="006821D8" w:rsidP="006821D8">
      <w:pPr>
        <w:pStyle w:val="SingleTxtG"/>
      </w:pPr>
      <w:r w:rsidRPr="006821D8">
        <w:t>21.</w:t>
      </w:r>
      <w:r w:rsidRPr="006821D8">
        <w:tab/>
        <w:t>Further to the Committee’s previous concluding observations (para.</w:t>
      </w:r>
      <w:r w:rsidR="00097FE0">
        <w:t xml:space="preserve"> </w:t>
      </w:r>
      <w:r w:rsidRPr="006821D8">
        <w:t xml:space="preserve">15) and </w:t>
      </w:r>
      <w:r w:rsidR="00097FE0">
        <w:t xml:space="preserve">the </w:t>
      </w:r>
      <w:r w:rsidRPr="006821D8">
        <w:t>State party’s follow-up information dated 11 June 2012, please provide updated information on measures taken to implement the relevant recommendations as well as the outcome and impact of such efforts, in particular regarding the plan (a) to amend domestic law allowing for remand prisoners to be moved more quickly from police station to regular prisons and (b) to expedite pretrial investigation, consideration of charges and legal proceedings.</w:t>
      </w:r>
      <w:r w:rsidRPr="006821D8">
        <w:rPr>
          <w:rStyle w:val="FootnoteReference"/>
        </w:rPr>
        <w:footnoteReference w:id="15"/>
      </w:r>
      <w:r w:rsidRPr="006821D8">
        <w:rPr>
          <w:rStyle w:val="FootnoteReference"/>
        </w:rPr>
        <w:t xml:space="preserve"> </w:t>
      </w:r>
      <w:r w:rsidRPr="006821D8">
        <w:t>Furthermore, please clarify whether there are any members of ethnic minorities among the judiciary.</w:t>
      </w:r>
      <w:r w:rsidRPr="006821D8">
        <w:rPr>
          <w:rStyle w:val="FootnoteReference"/>
        </w:rPr>
        <w:footnoteReference w:id="16"/>
      </w:r>
      <w:r w:rsidRPr="006821D8">
        <w:rPr>
          <w:rStyle w:val="FootnoteReference"/>
        </w:rPr>
        <w:t xml:space="preserve"> </w:t>
      </w:r>
    </w:p>
    <w:p w:rsidR="006821D8" w:rsidRPr="006821D8" w:rsidRDefault="006821D8" w:rsidP="006821D8">
      <w:pPr>
        <w:pStyle w:val="SingleTxtG"/>
      </w:pPr>
      <w:r w:rsidRPr="006821D8">
        <w:t>22.</w:t>
      </w:r>
      <w:r w:rsidRPr="006821D8">
        <w:tab/>
        <w:t>Please provide detailed information on the implementation of the Committee’s previous recommendation on involuntary psychiatric hospitalization and treatment (para.</w:t>
      </w:r>
      <w:r w:rsidR="00097FE0">
        <w:t xml:space="preserve"> </w:t>
      </w:r>
      <w:r w:rsidRPr="006821D8">
        <w:t xml:space="preserve">11), including the amendment of the Mental Health Act. </w:t>
      </w:r>
    </w:p>
    <w:p w:rsidR="006821D8" w:rsidRPr="006821D8" w:rsidRDefault="006821D8" w:rsidP="006821D8">
      <w:pPr>
        <w:pStyle w:val="SingleTxtG"/>
      </w:pPr>
      <w:r w:rsidRPr="006821D8">
        <w:t>23.</w:t>
      </w:r>
      <w:r w:rsidRPr="006821D8">
        <w:tab/>
        <w:t>In</w:t>
      </w:r>
      <w:r w:rsidR="00097FE0">
        <w:t xml:space="preserve"> the</w:t>
      </w:r>
      <w:r w:rsidRPr="006821D8">
        <w:t xml:space="preserve"> light of the Committee’s previous concluding observations (paras.</w:t>
      </w:r>
      <w:r w:rsidR="00097FE0">
        <w:t xml:space="preserve"> </w:t>
      </w:r>
      <w:r w:rsidRPr="006821D8">
        <w:t>17</w:t>
      </w:r>
      <w:r w:rsidR="00097FE0">
        <w:t>–</w:t>
      </w:r>
      <w:r w:rsidRPr="006821D8">
        <w:t>19), please provide updated and detailed information on the measures taken to reduce the use of administrative detention and put an end to ill-treatment of asylum</w:t>
      </w:r>
      <w:r w:rsidR="00097FE0">
        <w:t xml:space="preserve"> </w:t>
      </w:r>
      <w:r w:rsidRPr="006821D8">
        <w:t>seekers, irregular immigrants and other aliens. The information should include:</w:t>
      </w:r>
      <w:r w:rsidRPr="006821D8">
        <w:rPr>
          <w:rStyle w:val="FootnoteReference"/>
        </w:rPr>
        <w:footnoteReference w:id="17"/>
      </w:r>
    </w:p>
    <w:p w:rsidR="006821D8" w:rsidRPr="006821D8" w:rsidRDefault="006821D8" w:rsidP="006821D8">
      <w:pPr>
        <w:pStyle w:val="SingleTxtG"/>
      </w:pPr>
      <w:r>
        <w:tab/>
      </w:r>
      <w:r w:rsidRPr="006821D8">
        <w:t>(a)</w:t>
      </w:r>
      <w:r w:rsidRPr="006821D8">
        <w:tab/>
      </w:r>
      <w:r>
        <w:t>T</w:t>
      </w:r>
      <w:r w:rsidRPr="006821D8">
        <w:t>he availability of alternatives to the detention of asylum</w:t>
      </w:r>
      <w:r w:rsidR="00EF2BF5">
        <w:t xml:space="preserve"> </w:t>
      </w:r>
      <w:r w:rsidRPr="006821D8">
        <w:t>seekers and irregular immigrants and of a mechanism to examine the frequent detention of such persons;</w:t>
      </w:r>
    </w:p>
    <w:p w:rsidR="006821D8" w:rsidRPr="006821D8" w:rsidRDefault="006821D8" w:rsidP="006821D8">
      <w:pPr>
        <w:pStyle w:val="SingleTxtG"/>
      </w:pPr>
      <w:r>
        <w:tab/>
      </w:r>
      <w:r w:rsidRPr="006821D8">
        <w:t>(b)</w:t>
      </w:r>
      <w:r w:rsidRPr="006821D8">
        <w:tab/>
      </w:r>
      <w:r>
        <w:t>T</w:t>
      </w:r>
      <w:r w:rsidRPr="006821D8">
        <w:t>he number of asylum</w:t>
      </w:r>
      <w:r w:rsidR="00EF2BF5">
        <w:t xml:space="preserve"> </w:t>
      </w:r>
      <w:r w:rsidRPr="006821D8">
        <w:t>seekers and irregular immigrants in detention, disaggregated on the basis of gender, age and country of origin, as well as the frequency and average length of and grounds for detention;</w:t>
      </w:r>
    </w:p>
    <w:p w:rsidR="006821D8" w:rsidRPr="006821D8" w:rsidRDefault="006821D8" w:rsidP="006821D8">
      <w:pPr>
        <w:pStyle w:val="SingleTxtG"/>
        <w:rPr>
          <w:rFonts w:eastAsia="SimSun"/>
          <w:lang w:val="en-US" w:eastAsia="zh-CN"/>
        </w:rPr>
      </w:pPr>
      <w:r>
        <w:tab/>
      </w:r>
      <w:r w:rsidRPr="006821D8">
        <w:t>(c)</w:t>
      </w:r>
      <w:r w:rsidRPr="006821D8">
        <w:tab/>
      </w:r>
      <w:r>
        <w:t>S</w:t>
      </w:r>
      <w:r w:rsidRPr="006821D8">
        <w:t xml:space="preserve">teps taken to increase the capacity of the Metsälä detention centre or establish a new detention centre for foreigners. Please indicate to what extent the State party reviewed the detention </w:t>
      </w:r>
      <w:r w:rsidR="00EF2BF5">
        <w:t>(</w:t>
      </w:r>
      <w:r w:rsidRPr="006821D8">
        <w:t xml:space="preserve">including </w:t>
      </w:r>
      <w:r w:rsidR="00EF2BF5">
        <w:t xml:space="preserve">its </w:t>
      </w:r>
      <w:r w:rsidRPr="006821D8">
        <w:t>length</w:t>
      </w:r>
      <w:r w:rsidR="00EF2BF5">
        <w:t>)</w:t>
      </w:r>
      <w:r w:rsidRPr="006821D8">
        <w:t xml:space="preserve"> of asylum</w:t>
      </w:r>
      <w:r w:rsidR="00EF2BF5">
        <w:t xml:space="preserve"> </w:t>
      </w:r>
      <w:r w:rsidRPr="006821D8">
        <w:t>seekers, irregular immigrants and other foreigners in the Metsälä centre as well as in police and border-guard detention facilities, provided them with</w:t>
      </w:r>
      <w:r w:rsidRPr="006821D8">
        <w:rPr>
          <w:rFonts w:eastAsia="SimSun"/>
          <w:lang w:val="en-US" w:eastAsia="zh-CN"/>
        </w:rPr>
        <w:t xml:space="preserve"> fundamental legal safeguards and set up a complaints mechanism regarding conditions of detention</w:t>
      </w:r>
      <w:r w:rsidR="00EF2BF5">
        <w:rPr>
          <w:rFonts w:eastAsia="SimSun"/>
          <w:lang w:val="en-US" w:eastAsia="zh-CN"/>
        </w:rPr>
        <w:t>;</w:t>
      </w:r>
    </w:p>
    <w:p w:rsidR="006821D8" w:rsidRPr="006821D8" w:rsidRDefault="006821D8" w:rsidP="006821D8">
      <w:pPr>
        <w:pStyle w:val="SingleTxtG"/>
      </w:pPr>
      <w:r w:rsidRPr="006821D8">
        <w:rPr>
          <w:rFonts w:eastAsia="SimSun"/>
        </w:rPr>
        <w:tab/>
      </w:r>
      <w:r w:rsidRPr="006821D8">
        <w:t>(d)</w:t>
      </w:r>
      <w:r w:rsidRPr="006821D8">
        <w:tab/>
      </w:r>
      <w:r w:rsidRPr="006821D8">
        <w:rPr>
          <w:rFonts w:eastAsia="SimSun"/>
        </w:rPr>
        <w:t>S</w:t>
      </w:r>
      <w:r w:rsidRPr="006821D8">
        <w:t>teps taken to ensure that specialized training and internal guidelines for police, border guards and other law enforcement authorities make them aware of their obligations under human rights and refugee law</w:t>
      </w:r>
    </w:p>
    <w:p w:rsidR="006821D8" w:rsidRPr="006821D8" w:rsidRDefault="006821D8" w:rsidP="006821D8">
      <w:pPr>
        <w:pStyle w:val="SingleTxtG"/>
        <w:rPr>
          <w:rFonts w:eastAsia="SimSun"/>
          <w:shd w:val="pct15" w:color="auto" w:fill="FFFFFF"/>
          <w:lang w:val="en-US" w:eastAsia="zh-CN"/>
        </w:rPr>
      </w:pPr>
      <w:r w:rsidRPr="006821D8">
        <w:rPr>
          <w:rFonts w:eastAsia="SimSun"/>
          <w:lang w:val="en-US" w:eastAsia="zh-CN"/>
        </w:rPr>
        <w:t>24.</w:t>
      </w:r>
      <w:r w:rsidRPr="006821D8">
        <w:rPr>
          <w:rFonts w:eastAsia="SimSun"/>
          <w:lang w:val="en-US" w:eastAsia="zh-CN"/>
        </w:rPr>
        <w:tab/>
        <w:t xml:space="preserve">In </w:t>
      </w:r>
      <w:r w:rsidR="00EF2BF5">
        <w:rPr>
          <w:rFonts w:eastAsia="SimSun"/>
          <w:lang w:val="en-US" w:eastAsia="zh-CN"/>
        </w:rPr>
        <w:t xml:space="preserve">the </w:t>
      </w:r>
      <w:r w:rsidRPr="006821D8">
        <w:rPr>
          <w:rFonts w:eastAsia="SimSun"/>
          <w:lang w:val="en-US" w:eastAsia="zh-CN"/>
        </w:rPr>
        <w:t>light of the Committee’s previous concluding observations (para.</w:t>
      </w:r>
      <w:r w:rsidR="00EF2BF5">
        <w:rPr>
          <w:rFonts w:eastAsia="SimSun"/>
          <w:lang w:val="en-US" w:eastAsia="zh-CN"/>
        </w:rPr>
        <w:t xml:space="preserve"> </w:t>
      </w:r>
      <w:r w:rsidRPr="006821D8">
        <w:rPr>
          <w:rFonts w:eastAsia="SimSun"/>
          <w:lang w:val="en-US" w:eastAsia="zh-CN"/>
        </w:rPr>
        <w:t xml:space="preserve">22), please </w:t>
      </w:r>
      <w:r w:rsidRPr="006821D8">
        <w:rPr>
          <w:rFonts w:eastAsia="SimSun"/>
          <w:lang w:eastAsia="zh-CN"/>
        </w:rPr>
        <w:t>indicate steps taken by the State party to prevent ill-treatment and excessive use of force by police, inter alia, the issuance of clear guidelines for the police when arresting and dealing with persons deprived of their liberty. Information should also be provided on the impact and effectiveness of these measures in reducing cases of ill-treatment by police.</w:t>
      </w:r>
    </w:p>
    <w:p w:rsidR="006821D8" w:rsidRPr="006821D8" w:rsidRDefault="000D4C85" w:rsidP="00230D04">
      <w:pPr>
        <w:pStyle w:val="H23G"/>
        <w:rPr>
          <w:rFonts w:eastAsia="SimSun"/>
          <w:lang w:val="en-US" w:eastAsia="zh-CN"/>
        </w:rPr>
      </w:pPr>
      <w:r>
        <w:rPr>
          <w:rFonts w:eastAsia="SimSun"/>
          <w:lang w:val="en-US" w:eastAsia="zh-CN"/>
        </w:rPr>
        <w:tab/>
      </w:r>
      <w:r>
        <w:rPr>
          <w:rFonts w:eastAsia="SimSun"/>
          <w:lang w:val="en-US" w:eastAsia="zh-CN"/>
        </w:rPr>
        <w:tab/>
      </w:r>
      <w:r w:rsidR="006821D8" w:rsidRPr="006821D8">
        <w:rPr>
          <w:rFonts w:eastAsia="SimSun"/>
          <w:lang w:val="en-US" w:eastAsia="zh-CN"/>
        </w:rPr>
        <w:t>Other issues</w:t>
      </w:r>
    </w:p>
    <w:p w:rsidR="006821D8" w:rsidRPr="006821D8" w:rsidRDefault="006821D8" w:rsidP="006821D8">
      <w:pPr>
        <w:pStyle w:val="SingleTxtG"/>
        <w:rPr>
          <w:rFonts w:eastAsia="SimSun"/>
          <w:lang w:val="en-US" w:eastAsia="zh-CN"/>
        </w:rPr>
      </w:pPr>
      <w:r w:rsidRPr="006821D8">
        <w:rPr>
          <w:rFonts w:eastAsia="SimSun"/>
          <w:lang w:val="en-US" w:eastAsia="zh-CN"/>
        </w:rPr>
        <w:t>25.</w:t>
      </w:r>
      <w:r w:rsidRPr="006821D8">
        <w:rPr>
          <w:rFonts w:eastAsia="SimSun"/>
          <w:lang w:val="en-US" w:eastAsia="zh-CN"/>
        </w:rPr>
        <w:tab/>
        <w:t>Please provide updated information on the measures taken by the State party to respond to any threats of terrorism and please describe if, and how, these anti-terrorism measures have affected human rights safeguards in law and practice and how it has ensured that those measures comply with all its obligations under international law, esp</w:t>
      </w:r>
      <w:r w:rsidRPr="006821D8">
        <w:rPr>
          <w:rFonts w:eastAsia="SimSun"/>
          <w:lang w:eastAsia="zh-CN"/>
        </w:rPr>
        <w:t>ecially the Convention, in accordance with relevant Security Council resolutions, in particular resolution 1624 (2005). Please describe the relevant training given to law enforcement officers; the number and types of persons convicted under such legislation; the legal safeguards and remedies available to persons subjected to anti-terrorist measures in law and in practice; whether there are complaints of non-observance of international standards; and the outcome of these complaints.</w:t>
      </w:r>
    </w:p>
    <w:p w:rsidR="006821D8" w:rsidRPr="006821D8" w:rsidRDefault="006821D8" w:rsidP="006821D8">
      <w:pPr>
        <w:pStyle w:val="SingleTxtG"/>
        <w:rPr>
          <w:rFonts w:ascii="Calibri" w:eastAsia="SimSun" w:hAnsi="Calibri"/>
          <w:lang w:val="en-US" w:eastAsia="zh-CN"/>
        </w:rPr>
      </w:pPr>
      <w:r w:rsidRPr="006821D8">
        <w:rPr>
          <w:rFonts w:ascii="Calibri" w:eastAsia="SimSun" w:hAnsi="Calibri"/>
          <w:lang w:val="en-US" w:eastAsia="zh-CN"/>
        </w:rPr>
        <w:t>26.</w:t>
      </w:r>
      <w:r w:rsidRPr="006821D8">
        <w:rPr>
          <w:rFonts w:ascii="Calibri" w:eastAsia="SimSun" w:hAnsi="Calibri"/>
          <w:lang w:val="en-US" w:eastAsia="zh-CN"/>
        </w:rPr>
        <w:tab/>
      </w:r>
      <w:r w:rsidRPr="006821D8">
        <w:rPr>
          <w:rFonts w:eastAsia="SimSun"/>
          <w:lang w:val="en-US" w:eastAsia="zh-CN"/>
        </w:rPr>
        <w:t>According to the information before the Committee,</w:t>
      </w:r>
      <w:r w:rsidR="00230D04">
        <w:rPr>
          <w:rStyle w:val="FootnoteReference"/>
          <w:rFonts w:eastAsia="SimSun"/>
          <w:lang w:val="en-US" w:eastAsia="zh-CN"/>
        </w:rPr>
        <w:footnoteReference w:id="18"/>
      </w:r>
      <w:r w:rsidRPr="006821D8">
        <w:rPr>
          <w:rFonts w:eastAsia="SimSun"/>
          <w:lang w:val="en-US" w:eastAsia="zh-CN"/>
        </w:rPr>
        <w:t xml:space="preserve"> a significant number of aircraft connected to the </w:t>
      </w:r>
      <w:smartTag w:uri="urn:schemas-microsoft-com:office:smarttags" w:element="country-region">
        <w:r w:rsidR="000940D4">
          <w:rPr>
            <w:rFonts w:eastAsia="SimSun"/>
            <w:lang w:val="en-US" w:eastAsia="zh-CN"/>
          </w:rPr>
          <w:t>United States</w:t>
        </w:r>
      </w:smartTag>
      <w:r w:rsidR="000940D4" w:rsidRPr="006821D8">
        <w:rPr>
          <w:rFonts w:eastAsia="SimSun"/>
          <w:lang w:val="en-US" w:eastAsia="zh-CN"/>
        </w:rPr>
        <w:t xml:space="preserve"> </w:t>
      </w:r>
      <w:r w:rsidRPr="006821D8">
        <w:rPr>
          <w:rFonts w:eastAsia="SimSun"/>
          <w:lang w:val="en-US" w:eastAsia="zh-CN"/>
        </w:rPr>
        <w:t xml:space="preserve">rendition and secret detention programmes landed in </w:t>
      </w:r>
      <w:smartTag w:uri="urn:schemas-microsoft-com:office:smarttags" w:element="country-region">
        <w:smartTag w:uri="urn:schemas-microsoft-com:office:smarttags" w:element="place">
          <w:r w:rsidRPr="006821D8">
            <w:rPr>
              <w:rFonts w:eastAsia="SimSun"/>
              <w:lang w:val="en-US" w:eastAsia="zh-CN"/>
            </w:rPr>
            <w:t>Finland</w:t>
          </w:r>
        </w:smartTag>
      </w:smartTag>
      <w:r w:rsidRPr="006821D8">
        <w:rPr>
          <w:rFonts w:eastAsia="SimSun"/>
          <w:lang w:val="en-US" w:eastAsia="zh-CN"/>
        </w:rPr>
        <w:t xml:space="preserve"> between 2001 and 2006 and the Finnish Security Intelligence Service operated without any parliamentary oversight.</w:t>
      </w:r>
      <w:r w:rsidRPr="006821D8">
        <w:rPr>
          <w:rFonts w:eastAsia="SimSun"/>
          <w:vertAlign w:val="superscript"/>
          <w:lang w:val="en-US" w:eastAsia="zh-CN"/>
        </w:rPr>
        <w:footnoteReference w:id="19"/>
      </w:r>
      <w:r w:rsidRPr="006821D8">
        <w:rPr>
          <w:rFonts w:eastAsia="SimSun"/>
          <w:vertAlign w:val="superscript"/>
          <w:lang w:val="en-US" w:eastAsia="zh-CN"/>
        </w:rPr>
        <w:t xml:space="preserve"> </w:t>
      </w:r>
      <w:r w:rsidRPr="006821D8">
        <w:rPr>
          <w:rFonts w:eastAsia="SimSun"/>
          <w:lang w:val="en-US" w:eastAsia="zh-CN"/>
        </w:rPr>
        <w:t>Further to the replies by the State party on recommendations made in the course of the universal periodic review,</w:t>
      </w:r>
      <w:r w:rsidR="00230D04">
        <w:rPr>
          <w:rStyle w:val="FootnoteReference"/>
          <w:rFonts w:eastAsia="SimSun"/>
          <w:lang w:val="en-US" w:eastAsia="zh-CN"/>
        </w:rPr>
        <w:footnoteReference w:id="20"/>
      </w:r>
      <w:r w:rsidRPr="006821D8">
        <w:rPr>
          <w:rFonts w:eastAsia="SimSun"/>
          <w:lang w:val="en-US" w:eastAsia="zh-CN"/>
        </w:rPr>
        <w:t xml:space="preserve"> please inform the Committee of the conclusion of the review by the Parliamentary Ombudsman.</w:t>
      </w:r>
      <w:r w:rsidRPr="006821D8">
        <w:rPr>
          <w:rFonts w:ascii="TimesNewRomanPSMT" w:hAnsi="TimesNewRomanPSMT" w:cs="TimesNewRomanPSMT"/>
          <w:lang w:eastAsia="ko-KR"/>
        </w:rPr>
        <w:t xml:space="preserve"> </w:t>
      </w:r>
    </w:p>
    <w:p w:rsidR="006821D8" w:rsidRPr="006821D8" w:rsidRDefault="006821D8" w:rsidP="00230D04">
      <w:pPr>
        <w:pStyle w:val="H23G"/>
        <w:rPr>
          <w:rFonts w:eastAsia="SimSun"/>
          <w:lang w:eastAsia="zh-CN"/>
        </w:rPr>
      </w:pPr>
      <w:r>
        <w:rPr>
          <w:rFonts w:eastAsia="SimSun"/>
          <w:lang w:eastAsia="zh-CN"/>
        </w:rPr>
        <w:tab/>
      </w:r>
      <w:r>
        <w:rPr>
          <w:rFonts w:eastAsia="SimSun"/>
          <w:lang w:eastAsia="zh-CN"/>
        </w:rPr>
        <w:tab/>
      </w:r>
      <w:r w:rsidR="00E97810" w:rsidRPr="00E97810">
        <w:rPr>
          <w:rFonts w:eastAsia="SimSun"/>
          <w:lang w:eastAsia="zh-CN"/>
        </w:rPr>
        <w:t>General information on other measures and developments relating to the implementation of the Convention in the State party</w:t>
      </w:r>
      <w:r w:rsidR="00E97810" w:rsidRPr="00E97810" w:rsidDel="00E97810">
        <w:rPr>
          <w:rFonts w:eastAsia="SimSun"/>
          <w:lang w:eastAsia="zh-CN"/>
        </w:rPr>
        <w:t xml:space="preserve"> </w:t>
      </w:r>
    </w:p>
    <w:p w:rsidR="006821D8" w:rsidRPr="006821D8" w:rsidRDefault="006821D8" w:rsidP="001E0498">
      <w:pPr>
        <w:pStyle w:val="SingleTxtG"/>
        <w:rPr>
          <w:rFonts w:eastAsia="SimSun"/>
          <w:lang w:val="en-US" w:eastAsia="zh-CN"/>
        </w:rPr>
      </w:pPr>
      <w:r w:rsidRPr="006821D8">
        <w:rPr>
          <w:rFonts w:eastAsia="SimSun"/>
          <w:lang w:val="en-US" w:eastAsia="zh-CN"/>
        </w:rPr>
        <w:t>27.</w:t>
      </w:r>
      <w:r w:rsidRPr="006821D8">
        <w:rPr>
          <w:rFonts w:eastAsia="SimSun"/>
          <w:lang w:val="en-US" w:eastAsia="zh-CN"/>
        </w:rPr>
        <w:tab/>
      </w:r>
      <w:r w:rsidR="00E97810" w:rsidRPr="00E97810">
        <w:rPr>
          <w:rFonts w:eastAsia="SimSun"/>
          <w:lang w:val="en-US" w:eastAsia="zh-CN"/>
        </w:rPr>
        <w:t>Please provide detail</w:t>
      </w:r>
      <w:r w:rsidR="000940D4">
        <w:rPr>
          <w:rFonts w:eastAsia="SimSun"/>
          <w:lang w:val="en-US" w:eastAsia="zh-CN"/>
        </w:rPr>
        <w:t>ed</w:t>
      </w:r>
      <w:r w:rsidR="00E97810" w:rsidRPr="00E97810">
        <w:rPr>
          <w:rFonts w:eastAsia="SimSun"/>
          <w:lang w:val="en-US" w:eastAsia="zh-CN"/>
        </w:rPr>
        <w:t xml:space="preserve"> information on any other relevant legislative, administrative, judicial or other measures taken since the consideration of the previous report that implement the provisions of the Convention or the Committee’s recommendations. This may include institutional developments, plans and programmes, including resources allocated, and statistical data or any other information that the State party considers relevant.</w:t>
      </w:r>
    </w:p>
    <w:p w:rsidR="00913539" w:rsidRPr="00913539" w:rsidRDefault="00913539" w:rsidP="00913539">
      <w:pPr>
        <w:suppressAutoHyphens w:val="0"/>
        <w:spacing w:before="240" w:line="240" w:lineRule="auto"/>
        <w:ind w:left="1134" w:right="1134"/>
        <w:jc w:val="center"/>
        <w:rPr>
          <w:rFonts w:ascii="Arial" w:hAnsi="Arial" w:cs="Arial"/>
          <w:lang w:val="en-US"/>
        </w:rPr>
      </w:pPr>
      <w:r w:rsidRPr="00913539">
        <w:rPr>
          <w:u w:val="single"/>
          <w:lang w:val="en-US"/>
        </w:rPr>
        <w:tab/>
      </w:r>
      <w:r w:rsidRPr="00913539">
        <w:rPr>
          <w:u w:val="single"/>
          <w:lang w:val="en-US"/>
        </w:rPr>
        <w:tab/>
      </w:r>
      <w:r w:rsidRPr="00913539">
        <w:rPr>
          <w:u w:val="single"/>
          <w:lang w:val="en-US"/>
        </w:rPr>
        <w:tab/>
      </w:r>
    </w:p>
    <w:sectPr w:rsidR="00913539" w:rsidRPr="00913539" w:rsidSect="0091353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C6" w:rsidRDefault="002067C6"/>
  </w:endnote>
  <w:endnote w:type="continuationSeparator" w:id="0">
    <w:p w:rsidR="002067C6" w:rsidRDefault="002067C6"/>
  </w:endnote>
  <w:endnote w:type="continuationNotice" w:id="1">
    <w:p w:rsidR="002067C6" w:rsidRDefault="002067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44" w:rsidRPr="00913539" w:rsidRDefault="00F31544" w:rsidP="00913539">
    <w:pPr>
      <w:pStyle w:val="Footer"/>
      <w:tabs>
        <w:tab w:val="right" w:pos="9638"/>
      </w:tabs>
    </w:pPr>
    <w:r w:rsidRPr="00913539">
      <w:rPr>
        <w:b/>
        <w:sz w:val="18"/>
      </w:rPr>
      <w:fldChar w:fldCharType="begin"/>
    </w:r>
    <w:r w:rsidRPr="00913539">
      <w:rPr>
        <w:b/>
        <w:sz w:val="18"/>
      </w:rPr>
      <w:instrText xml:space="preserve"> PAGE  \* MERGEFORMAT </w:instrText>
    </w:r>
    <w:r w:rsidRPr="00913539">
      <w:rPr>
        <w:b/>
        <w:sz w:val="18"/>
      </w:rPr>
      <w:fldChar w:fldCharType="separate"/>
    </w:r>
    <w:r w:rsidR="006E2417">
      <w:rPr>
        <w:b/>
        <w:noProof/>
        <w:sz w:val="18"/>
      </w:rPr>
      <w:t>2</w:t>
    </w:r>
    <w:r w:rsidRPr="00913539">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44" w:rsidRPr="00913539" w:rsidRDefault="00F31544" w:rsidP="00913539">
    <w:pPr>
      <w:pStyle w:val="Footer"/>
      <w:tabs>
        <w:tab w:val="right" w:pos="9638"/>
      </w:tabs>
      <w:rPr>
        <w:b/>
        <w:sz w:val="18"/>
      </w:rPr>
    </w:pPr>
    <w:r>
      <w:tab/>
    </w:r>
    <w:r w:rsidRPr="00913539">
      <w:rPr>
        <w:b/>
        <w:sz w:val="18"/>
      </w:rPr>
      <w:fldChar w:fldCharType="begin"/>
    </w:r>
    <w:r w:rsidRPr="00913539">
      <w:rPr>
        <w:b/>
        <w:sz w:val="18"/>
      </w:rPr>
      <w:instrText xml:space="preserve"> PAGE  \* MERGEFORMAT </w:instrText>
    </w:r>
    <w:r w:rsidRPr="00913539">
      <w:rPr>
        <w:b/>
        <w:sz w:val="18"/>
      </w:rPr>
      <w:fldChar w:fldCharType="separate"/>
    </w:r>
    <w:r w:rsidR="006E2417">
      <w:rPr>
        <w:b/>
        <w:noProof/>
        <w:sz w:val="18"/>
      </w:rPr>
      <w:t>5</w:t>
    </w:r>
    <w:r w:rsidRPr="0091353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44" w:rsidRPr="00913539" w:rsidRDefault="00F3154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6E2417">
      <w:t>45544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C6" w:rsidRPr="000B175B" w:rsidRDefault="002067C6" w:rsidP="000B175B">
      <w:pPr>
        <w:tabs>
          <w:tab w:val="right" w:pos="2155"/>
        </w:tabs>
        <w:spacing w:after="80"/>
        <w:ind w:left="680"/>
        <w:rPr>
          <w:u w:val="single"/>
        </w:rPr>
      </w:pPr>
      <w:r>
        <w:rPr>
          <w:u w:val="single"/>
        </w:rPr>
        <w:tab/>
      </w:r>
    </w:p>
  </w:footnote>
  <w:footnote w:type="continuationSeparator" w:id="0">
    <w:p w:rsidR="002067C6" w:rsidRPr="00FC68B7" w:rsidRDefault="002067C6" w:rsidP="00FC68B7">
      <w:pPr>
        <w:tabs>
          <w:tab w:val="left" w:pos="2155"/>
        </w:tabs>
        <w:spacing w:after="80"/>
        <w:ind w:left="680"/>
        <w:rPr>
          <w:u w:val="single"/>
        </w:rPr>
      </w:pPr>
      <w:r>
        <w:rPr>
          <w:u w:val="single"/>
        </w:rPr>
        <w:tab/>
      </w:r>
    </w:p>
  </w:footnote>
  <w:footnote w:type="continuationNotice" w:id="1">
    <w:p w:rsidR="002067C6" w:rsidRDefault="002067C6"/>
  </w:footnote>
  <w:footnote w:id="2">
    <w:p w:rsidR="00F31544" w:rsidRPr="00E65596" w:rsidRDefault="00F31544" w:rsidP="00A32832">
      <w:pPr>
        <w:pStyle w:val="FootnoteText"/>
        <w:adjustRightInd w:val="0"/>
        <w:snapToGrid w:val="0"/>
        <w:rPr>
          <w:szCs w:val="18"/>
        </w:rPr>
      </w:pPr>
      <w:r>
        <w:rPr>
          <w:szCs w:val="18"/>
        </w:rPr>
        <w:tab/>
      </w:r>
      <w:r w:rsidRPr="00E65596">
        <w:rPr>
          <w:rStyle w:val="FootnoteReference"/>
          <w:szCs w:val="18"/>
        </w:rPr>
        <w:footnoteRef/>
      </w:r>
      <w:r w:rsidRPr="00E65596">
        <w:rPr>
          <w:szCs w:val="18"/>
        </w:rPr>
        <w:t xml:space="preserve"> </w:t>
      </w:r>
      <w:r>
        <w:rPr>
          <w:szCs w:val="18"/>
        </w:rPr>
        <w:tab/>
      </w:r>
      <w:r w:rsidRPr="00E65596">
        <w:rPr>
          <w:szCs w:val="18"/>
        </w:rPr>
        <w:t xml:space="preserve">Paragraph numbers in brackets refer to the previous concluding observations adopted by the Committee, published under symbol </w:t>
      </w:r>
      <w:hyperlink r:id="rId1" w:history="1">
        <w:r>
          <w:rPr>
            <w:szCs w:val="18"/>
          </w:rPr>
          <w:t>CAT/C/FIN</w:t>
        </w:r>
        <w:r w:rsidRPr="00B215BD">
          <w:rPr>
            <w:szCs w:val="18"/>
          </w:rPr>
          <w:t>/CO/</w:t>
        </w:r>
      </w:hyperlink>
      <w:r>
        <w:rPr>
          <w:szCs w:val="18"/>
        </w:rPr>
        <w:t>5-6</w:t>
      </w:r>
      <w:r w:rsidRPr="00B215BD">
        <w:rPr>
          <w:szCs w:val="18"/>
        </w:rPr>
        <w:t>.</w:t>
      </w:r>
    </w:p>
  </w:footnote>
  <w:footnote w:id="3">
    <w:p w:rsidR="00F31544" w:rsidRPr="007850C9" w:rsidRDefault="00F31544" w:rsidP="006821D8">
      <w:pPr>
        <w:pStyle w:val="FootnoteText"/>
        <w:rPr>
          <w:szCs w:val="18"/>
          <w:lang w:val="en-US"/>
        </w:rPr>
      </w:pPr>
      <w:r w:rsidRPr="00987BFA">
        <w:rPr>
          <w:szCs w:val="18"/>
          <w:vertAlign w:val="superscript"/>
        </w:rPr>
        <w:tab/>
      </w:r>
      <w:r w:rsidRPr="00E65596">
        <w:rPr>
          <w:szCs w:val="18"/>
          <w:vertAlign w:val="superscript"/>
        </w:rPr>
        <w:footnoteRef/>
      </w:r>
      <w:r w:rsidRPr="007850C9">
        <w:rPr>
          <w:szCs w:val="18"/>
          <w:vertAlign w:val="superscript"/>
          <w:lang w:val="en-US"/>
        </w:rPr>
        <w:t xml:space="preserve"> </w:t>
      </w:r>
      <w:r w:rsidRPr="007850C9">
        <w:rPr>
          <w:szCs w:val="18"/>
          <w:vertAlign w:val="superscript"/>
          <w:lang w:val="en-US"/>
        </w:rPr>
        <w:tab/>
      </w:r>
      <w:r w:rsidRPr="007850C9">
        <w:rPr>
          <w:szCs w:val="18"/>
          <w:lang w:val="en-US"/>
        </w:rPr>
        <w:t>A/HRC/WG.6/13/FIN/3</w:t>
      </w:r>
      <w:r>
        <w:rPr>
          <w:szCs w:val="18"/>
          <w:lang w:val="en-US"/>
        </w:rPr>
        <w:t xml:space="preserve"> and Corr.1</w:t>
      </w:r>
      <w:r w:rsidRPr="007850C9">
        <w:rPr>
          <w:szCs w:val="18"/>
          <w:lang w:val="en-US"/>
        </w:rPr>
        <w:t>, para.</w:t>
      </w:r>
      <w:r>
        <w:rPr>
          <w:szCs w:val="18"/>
          <w:lang w:val="en-US"/>
        </w:rPr>
        <w:t xml:space="preserve"> </w:t>
      </w:r>
      <w:r w:rsidRPr="007850C9">
        <w:rPr>
          <w:szCs w:val="18"/>
          <w:lang w:val="en-US"/>
        </w:rPr>
        <w:t>18; A/HRC/WG.6/13/FIN/2</w:t>
      </w:r>
      <w:r>
        <w:rPr>
          <w:szCs w:val="18"/>
          <w:lang w:val="en-US"/>
        </w:rPr>
        <w:t xml:space="preserve"> and Corr.1 and 2</w:t>
      </w:r>
      <w:r w:rsidRPr="007850C9">
        <w:rPr>
          <w:szCs w:val="18"/>
          <w:lang w:val="en-US"/>
        </w:rPr>
        <w:t>, para.</w:t>
      </w:r>
      <w:r>
        <w:rPr>
          <w:szCs w:val="18"/>
          <w:lang w:val="en-US"/>
        </w:rPr>
        <w:t xml:space="preserve"> </w:t>
      </w:r>
      <w:r w:rsidRPr="007850C9">
        <w:rPr>
          <w:szCs w:val="18"/>
          <w:lang w:val="en-US"/>
        </w:rPr>
        <w:t>25.</w:t>
      </w:r>
    </w:p>
  </w:footnote>
  <w:footnote w:id="4">
    <w:p w:rsidR="00F31544" w:rsidRPr="00E65596" w:rsidRDefault="00F31544" w:rsidP="006821D8">
      <w:pPr>
        <w:pStyle w:val="FootnoteText"/>
        <w:adjustRightInd w:val="0"/>
        <w:snapToGrid w:val="0"/>
        <w:rPr>
          <w:szCs w:val="18"/>
        </w:rPr>
      </w:pPr>
      <w:r w:rsidRPr="007850C9">
        <w:rPr>
          <w:szCs w:val="18"/>
          <w:lang w:val="en-US"/>
        </w:rPr>
        <w:tab/>
      </w:r>
      <w:r w:rsidRPr="00E65596">
        <w:rPr>
          <w:rStyle w:val="FootnoteReference"/>
          <w:szCs w:val="18"/>
        </w:rPr>
        <w:footnoteRef/>
      </w:r>
      <w:r w:rsidRPr="00E65596">
        <w:rPr>
          <w:szCs w:val="18"/>
        </w:rPr>
        <w:t xml:space="preserve"> </w:t>
      </w:r>
      <w:r>
        <w:rPr>
          <w:szCs w:val="18"/>
        </w:rPr>
        <w:tab/>
      </w:r>
      <w:r w:rsidRPr="00E65596">
        <w:rPr>
          <w:szCs w:val="18"/>
        </w:rPr>
        <w:t xml:space="preserve">The issues raised under article 2 could imply also different articles of the Convention, including but not limited to article 16. </w:t>
      </w:r>
      <w:r w:rsidRPr="00564021">
        <w:t>As</w:t>
      </w:r>
      <w:r>
        <w:t xml:space="preserve"> stated in paragraph 3 of</w:t>
      </w:r>
      <w:r w:rsidRPr="00564021">
        <w:t xml:space="preserve"> </w:t>
      </w:r>
      <w:r>
        <w:t>g</w:t>
      </w:r>
      <w:r w:rsidRPr="00564021">
        <w:t xml:space="preserve">eneral comment </w:t>
      </w:r>
      <w:r>
        <w:t xml:space="preserve">No. </w:t>
      </w:r>
      <w:r w:rsidRPr="00564021">
        <w:t>2</w:t>
      </w:r>
      <w:r>
        <w:t xml:space="preserve"> (2007) on the implementation of article 2 by States parties: </w:t>
      </w:r>
      <w:r>
        <w:rPr>
          <w:szCs w:val="18"/>
        </w:rPr>
        <w:t>“</w:t>
      </w:r>
      <w:r w:rsidRPr="00E65596">
        <w:rPr>
          <w:szCs w:val="18"/>
        </w:rPr>
        <w:t>The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 In practice, the definitional threshold between ill-treatment and torture is often not clear.</w:t>
      </w:r>
      <w:r>
        <w:rPr>
          <w:szCs w:val="18"/>
        </w:rPr>
        <w:t>”</w:t>
      </w:r>
      <w:r w:rsidRPr="00E65596">
        <w:rPr>
          <w:szCs w:val="18"/>
        </w:rPr>
        <w:t xml:space="preserve"> See further </w:t>
      </w:r>
      <w:r>
        <w:rPr>
          <w:szCs w:val="18"/>
        </w:rPr>
        <w:t>c</w:t>
      </w:r>
      <w:r w:rsidRPr="00E65596">
        <w:rPr>
          <w:szCs w:val="18"/>
        </w:rPr>
        <w:t xml:space="preserve">hapter V of the same </w:t>
      </w:r>
      <w:r>
        <w:rPr>
          <w:szCs w:val="18"/>
        </w:rPr>
        <w:t>g</w:t>
      </w:r>
      <w:r w:rsidRPr="00E65596">
        <w:rPr>
          <w:szCs w:val="18"/>
        </w:rPr>
        <w:t xml:space="preserve">eneral </w:t>
      </w:r>
      <w:r>
        <w:rPr>
          <w:szCs w:val="18"/>
        </w:rPr>
        <w:t>c</w:t>
      </w:r>
      <w:r w:rsidRPr="00E65596">
        <w:rPr>
          <w:szCs w:val="18"/>
        </w:rPr>
        <w:t>omment.</w:t>
      </w:r>
    </w:p>
  </w:footnote>
  <w:footnote w:id="5">
    <w:p w:rsidR="00F31544" w:rsidRPr="00E65596" w:rsidRDefault="00F31544" w:rsidP="006821D8">
      <w:pPr>
        <w:pStyle w:val="FootnoteText"/>
        <w:rPr>
          <w:szCs w:val="18"/>
        </w:rPr>
      </w:pPr>
      <w:r>
        <w:rPr>
          <w:szCs w:val="18"/>
        </w:rPr>
        <w:tab/>
      </w:r>
      <w:r w:rsidRPr="00E65596">
        <w:rPr>
          <w:rStyle w:val="FootnoteReference"/>
          <w:szCs w:val="18"/>
        </w:rPr>
        <w:footnoteRef/>
      </w:r>
      <w:r w:rsidRPr="00E65596">
        <w:rPr>
          <w:szCs w:val="18"/>
        </w:rPr>
        <w:t xml:space="preserve"> </w:t>
      </w:r>
      <w:r>
        <w:rPr>
          <w:szCs w:val="18"/>
        </w:rPr>
        <w:tab/>
      </w:r>
      <w:r w:rsidRPr="00E65596">
        <w:rPr>
          <w:szCs w:val="18"/>
        </w:rPr>
        <w:t>CAT/C/FIN/CO/5-6/Add.1, para.</w:t>
      </w:r>
      <w:r>
        <w:rPr>
          <w:szCs w:val="18"/>
        </w:rPr>
        <w:t xml:space="preserve"> </w:t>
      </w:r>
      <w:r w:rsidRPr="00E65596">
        <w:rPr>
          <w:szCs w:val="18"/>
        </w:rPr>
        <w:t>10.</w:t>
      </w:r>
    </w:p>
  </w:footnote>
  <w:footnote w:id="6">
    <w:p w:rsidR="00F31544" w:rsidRPr="007D57BE" w:rsidRDefault="00F31544" w:rsidP="006821D8">
      <w:pPr>
        <w:pStyle w:val="FootnoteText"/>
        <w:adjustRightInd w:val="0"/>
        <w:rPr>
          <w:szCs w:val="18"/>
          <w:lang w:val="en-US"/>
        </w:rPr>
      </w:pPr>
      <w:r w:rsidRPr="00987BFA">
        <w:rPr>
          <w:szCs w:val="18"/>
        </w:rPr>
        <w:tab/>
      </w:r>
      <w:r w:rsidRPr="00E65596">
        <w:rPr>
          <w:rStyle w:val="FootnoteReference"/>
          <w:szCs w:val="18"/>
        </w:rPr>
        <w:footnoteRef/>
      </w:r>
      <w:r w:rsidRPr="00AA0151">
        <w:rPr>
          <w:szCs w:val="18"/>
          <w:lang w:val="en-US"/>
        </w:rPr>
        <w:t xml:space="preserve"> </w:t>
      </w:r>
      <w:r w:rsidRPr="00AA0151">
        <w:rPr>
          <w:szCs w:val="18"/>
          <w:lang w:val="en-US"/>
        </w:rPr>
        <w:tab/>
      </w:r>
      <w:r w:rsidRPr="006E2417">
        <w:rPr>
          <w:szCs w:val="18"/>
          <w:lang w:val="en-US"/>
        </w:rPr>
        <w:t xml:space="preserve">CCPR/C/FIN/6, paras. 72 and 100–104; CEDAW/C/FIN/CO/6 in A/63/38, paras. 173–174; </w:t>
      </w:r>
      <w:r w:rsidRPr="006E2417">
        <w:rPr>
          <w:bCs/>
          <w:szCs w:val="18"/>
          <w:lang w:val="en-US" w:eastAsia="ko-KR"/>
        </w:rPr>
        <w:t>A/HRC/WG.6/13/FIN/2</w:t>
      </w:r>
      <w:r>
        <w:rPr>
          <w:szCs w:val="18"/>
          <w:lang w:val="en-US"/>
        </w:rPr>
        <w:t xml:space="preserve"> and Corr.1 and 2</w:t>
      </w:r>
      <w:r w:rsidRPr="006E2417">
        <w:rPr>
          <w:bCs/>
          <w:szCs w:val="18"/>
          <w:lang w:val="en-US" w:eastAsia="ko-KR"/>
        </w:rPr>
        <w:t xml:space="preserve">, paras. </w:t>
      </w:r>
      <w:r w:rsidRPr="00987BFA">
        <w:rPr>
          <w:bCs/>
          <w:szCs w:val="18"/>
          <w:lang w:val="fr-CH" w:eastAsia="ko-KR"/>
        </w:rPr>
        <w:t>35, 77;  A/HRC/WG.6/13/FIN/3</w:t>
      </w:r>
      <w:r>
        <w:rPr>
          <w:szCs w:val="18"/>
          <w:lang w:val="en-US"/>
        </w:rPr>
        <w:t xml:space="preserve"> and Corr.1</w:t>
      </w:r>
      <w:r w:rsidRPr="00987BFA">
        <w:rPr>
          <w:bCs/>
          <w:szCs w:val="18"/>
          <w:lang w:val="fr-CH" w:eastAsia="ko-KR"/>
        </w:rPr>
        <w:t xml:space="preserve">, paras. </w:t>
      </w:r>
      <w:r w:rsidRPr="007D57BE">
        <w:rPr>
          <w:bCs/>
          <w:szCs w:val="18"/>
          <w:lang w:val="en-US" w:eastAsia="ko-KR"/>
        </w:rPr>
        <w:t>22, 30.</w:t>
      </w:r>
    </w:p>
  </w:footnote>
  <w:footnote w:id="7">
    <w:p w:rsidR="00F31544" w:rsidRPr="00E65596" w:rsidRDefault="00F31544" w:rsidP="006821D8">
      <w:pPr>
        <w:pStyle w:val="FootnoteText"/>
        <w:adjustRightInd w:val="0"/>
        <w:snapToGrid w:val="0"/>
        <w:rPr>
          <w:szCs w:val="18"/>
          <w:lang w:val="es-ES"/>
        </w:rPr>
      </w:pPr>
      <w:r>
        <w:rPr>
          <w:szCs w:val="18"/>
          <w:lang w:val="es-ES"/>
        </w:rPr>
        <w:tab/>
      </w:r>
      <w:r w:rsidRPr="00E65596">
        <w:rPr>
          <w:rStyle w:val="FootnoteReference"/>
          <w:szCs w:val="18"/>
        </w:rPr>
        <w:footnoteRef/>
      </w:r>
      <w:r>
        <w:rPr>
          <w:szCs w:val="18"/>
          <w:lang w:val="es-ES"/>
        </w:rPr>
        <w:tab/>
      </w:r>
      <w:r w:rsidRPr="00E65596">
        <w:rPr>
          <w:szCs w:val="18"/>
          <w:lang w:val="es-ES"/>
        </w:rPr>
        <w:t>CCPR/C/FIN/6, paras.</w:t>
      </w:r>
      <w:r>
        <w:rPr>
          <w:szCs w:val="18"/>
          <w:lang w:val="es-ES"/>
        </w:rPr>
        <w:t xml:space="preserve"> </w:t>
      </w:r>
      <w:r w:rsidRPr="00E65596">
        <w:rPr>
          <w:szCs w:val="18"/>
          <w:lang w:val="es-ES"/>
        </w:rPr>
        <w:t>105</w:t>
      </w:r>
      <w:r>
        <w:rPr>
          <w:szCs w:val="18"/>
          <w:lang w:val="es-ES"/>
        </w:rPr>
        <w:t>–</w:t>
      </w:r>
      <w:r w:rsidRPr="00E65596">
        <w:rPr>
          <w:szCs w:val="18"/>
          <w:lang w:val="es-ES"/>
        </w:rPr>
        <w:t xml:space="preserve">111; </w:t>
      </w:r>
      <w:r>
        <w:rPr>
          <w:szCs w:val="18"/>
          <w:lang w:val="es-ES"/>
        </w:rPr>
        <w:t>A/HRC/21/8</w:t>
      </w:r>
      <w:r w:rsidRPr="00E65596">
        <w:rPr>
          <w:szCs w:val="18"/>
          <w:lang w:val="es-ES"/>
        </w:rPr>
        <w:t>, paras.</w:t>
      </w:r>
      <w:r>
        <w:rPr>
          <w:szCs w:val="18"/>
          <w:lang w:val="es-ES"/>
        </w:rPr>
        <w:t xml:space="preserve"> </w:t>
      </w:r>
      <w:r w:rsidRPr="00E65596">
        <w:rPr>
          <w:szCs w:val="18"/>
          <w:lang w:val="es-ES"/>
        </w:rPr>
        <w:t>89.33, 89.34 and 90.14; A/HRC/WG.6/13/FIN/3</w:t>
      </w:r>
      <w:r w:rsidRPr="006E2417">
        <w:rPr>
          <w:szCs w:val="18"/>
          <w:lang w:val="es-ES"/>
        </w:rPr>
        <w:t xml:space="preserve"> and Corr.1</w:t>
      </w:r>
      <w:r w:rsidRPr="00E65596">
        <w:rPr>
          <w:szCs w:val="18"/>
          <w:lang w:val="es-ES"/>
        </w:rPr>
        <w:t>, para.</w:t>
      </w:r>
      <w:r>
        <w:rPr>
          <w:szCs w:val="18"/>
          <w:lang w:val="es-ES"/>
        </w:rPr>
        <w:t xml:space="preserve"> </w:t>
      </w:r>
      <w:r w:rsidRPr="00E65596">
        <w:rPr>
          <w:szCs w:val="18"/>
          <w:lang w:val="es-ES"/>
        </w:rPr>
        <w:t>29</w:t>
      </w:r>
      <w:r>
        <w:rPr>
          <w:szCs w:val="18"/>
          <w:lang w:val="es-ES"/>
        </w:rPr>
        <w:t>.</w:t>
      </w:r>
    </w:p>
  </w:footnote>
  <w:footnote w:id="8">
    <w:p w:rsidR="00F31544" w:rsidRPr="00230D04" w:rsidRDefault="00F31544" w:rsidP="00230D04">
      <w:pPr>
        <w:pStyle w:val="FootnoteText"/>
        <w:widowControl w:val="0"/>
        <w:tabs>
          <w:tab w:val="clear" w:pos="1021"/>
          <w:tab w:val="right" w:pos="1020"/>
        </w:tabs>
        <w:rPr>
          <w:lang w:val="en-US"/>
        </w:rPr>
      </w:pPr>
      <w:r w:rsidRPr="006E2417">
        <w:rPr>
          <w:lang w:val="es-ES"/>
        </w:rPr>
        <w:tab/>
      </w:r>
      <w:r>
        <w:rPr>
          <w:rStyle w:val="FootnoteReference"/>
        </w:rPr>
        <w:footnoteRef/>
      </w:r>
      <w:r w:rsidRPr="006E2417">
        <w:rPr>
          <w:lang w:val="es-ES"/>
        </w:rPr>
        <w:tab/>
      </w:r>
      <w:r w:rsidRPr="006E2417">
        <w:rPr>
          <w:rFonts w:eastAsia="SimSun"/>
          <w:lang w:val="es-ES" w:eastAsia="zh-CN"/>
        </w:rPr>
        <w:t>A/HRC/WG.6/13/FIN/3</w:t>
      </w:r>
      <w:r w:rsidRPr="006E2417">
        <w:rPr>
          <w:szCs w:val="18"/>
          <w:lang w:val="es-ES"/>
        </w:rPr>
        <w:t xml:space="preserve"> and Corr.1</w:t>
      </w:r>
      <w:r w:rsidRPr="006E2417">
        <w:rPr>
          <w:rFonts w:eastAsia="SimSun"/>
          <w:lang w:val="es-ES" w:eastAsia="zh-CN"/>
        </w:rPr>
        <w:t xml:space="preserve">, para. </w:t>
      </w:r>
      <w:r w:rsidRPr="006821D8">
        <w:rPr>
          <w:rFonts w:eastAsia="SimSun"/>
          <w:lang w:val="en-US" w:eastAsia="zh-CN"/>
        </w:rPr>
        <w:t>29</w:t>
      </w:r>
      <w:r>
        <w:rPr>
          <w:rFonts w:eastAsia="SimSun"/>
          <w:lang w:val="en-US" w:eastAsia="zh-CN"/>
        </w:rPr>
        <w:t>.</w:t>
      </w:r>
      <w:r>
        <w:t xml:space="preserve"> </w:t>
      </w:r>
    </w:p>
  </w:footnote>
  <w:footnote w:id="9">
    <w:p w:rsidR="00F31544" w:rsidRPr="00987BFA" w:rsidRDefault="00F31544" w:rsidP="006821D8">
      <w:pPr>
        <w:pStyle w:val="FootnoteText"/>
        <w:rPr>
          <w:lang w:val="fr-CH"/>
        </w:rPr>
      </w:pPr>
      <w:r w:rsidRPr="007D57BE">
        <w:rPr>
          <w:lang w:val="en-US"/>
        </w:rPr>
        <w:tab/>
      </w:r>
      <w:r w:rsidRPr="00E65596">
        <w:rPr>
          <w:rStyle w:val="FootnoteReference"/>
          <w:szCs w:val="18"/>
        </w:rPr>
        <w:footnoteRef/>
      </w:r>
      <w:r w:rsidRPr="007D57BE">
        <w:rPr>
          <w:lang w:val="en-US"/>
        </w:rPr>
        <w:t xml:space="preserve"> </w:t>
      </w:r>
      <w:r w:rsidRPr="007D57BE">
        <w:rPr>
          <w:lang w:val="en-US"/>
        </w:rPr>
        <w:tab/>
      </w:r>
      <w:r w:rsidRPr="007D57BE">
        <w:rPr>
          <w:bCs/>
          <w:lang w:val="en-US" w:eastAsia="ko-KR"/>
        </w:rPr>
        <w:t>A/HRC/WG.6/13/FIN/2</w:t>
      </w:r>
      <w:r>
        <w:rPr>
          <w:szCs w:val="18"/>
          <w:lang w:val="en-US"/>
        </w:rPr>
        <w:t xml:space="preserve"> and Corr.1 and 2</w:t>
      </w:r>
      <w:r w:rsidRPr="007D57BE">
        <w:rPr>
          <w:bCs/>
          <w:lang w:val="en-US" w:eastAsia="ko-KR"/>
        </w:rPr>
        <w:t>, para.</w:t>
      </w:r>
      <w:r>
        <w:rPr>
          <w:bCs/>
          <w:lang w:val="en-US" w:eastAsia="ko-KR"/>
        </w:rPr>
        <w:t xml:space="preserve"> </w:t>
      </w:r>
      <w:r w:rsidRPr="007D57BE">
        <w:rPr>
          <w:bCs/>
          <w:lang w:val="en-US" w:eastAsia="ko-KR"/>
        </w:rPr>
        <w:t>77; A/HRC/WG.6/13/FIN/3</w:t>
      </w:r>
      <w:r>
        <w:rPr>
          <w:szCs w:val="18"/>
          <w:lang w:val="en-US"/>
        </w:rPr>
        <w:t xml:space="preserve"> and Corr.1</w:t>
      </w:r>
      <w:r w:rsidRPr="007D57BE">
        <w:rPr>
          <w:bCs/>
          <w:lang w:val="en-US" w:eastAsia="ko-KR"/>
        </w:rPr>
        <w:t xml:space="preserve">, para. </w:t>
      </w:r>
      <w:r w:rsidRPr="00E65596">
        <w:rPr>
          <w:bCs/>
          <w:lang w:eastAsia="ko-KR"/>
        </w:rPr>
        <w:t xml:space="preserve">25; </w:t>
      </w:r>
      <w:r w:rsidRPr="00E65596">
        <w:rPr>
          <w:lang w:eastAsia="ko-KR"/>
        </w:rPr>
        <w:t>CEDAW/C/FIN/CO/6</w:t>
      </w:r>
      <w:r>
        <w:rPr>
          <w:szCs w:val="18"/>
          <w:lang w:val="es-ES"/>
        </w:rPr>
        <w:t xml:space="preserve"> in A/63/38</w:t>
      </w:r>
      <w:r w:rsidRPr="00E65596">
        <w:rPr>
          <w:lang w:eastAsia="ko-KR"/>
        </w:rPr>
        <w:t xml:space="preserve">, para. </w:t>
      </w:r>
      <w:r w:rsidRPr="00332F76">
        <w:rPr>
          <w:lang w:val="fr-CH" w:eastAsia="ko-KR"/>
        </w:rPr>
        <w:t>187</w:t>
      </w:r>
      <w:r w:rsidRPr="00987BFA">
        <w:rPr>
          <w:lang w:val="fr-CH" w:eastAsia="ko-KR"/>
        </w:rPr>
        <w:t>.</w:t>
      </w:r>
    </w:p>
  </w:footnote>
  <w:footnote w:id="10">
    <w:p w:rsidR="00F31544" w:rsidRPr="006E2417" w:rsidRDefault="00F31544" w:rsidP="006821D8">
      <w:pPr>
        <w:pStyle w:val="FootnoteText"/>
        <w:rPr>
          <w:szCs w:val="18"/>
          <w:lang w:val="es-ES"/>
        </w:rPr>
      </w:pPr>
      <w:r>
        <w:rPr>
          <w:szCs w:val="18"/>
          <w:lang w:val="fr-CH"/>
        </w:rPr>
        <w:tab/>
      </w:r>
      <w:r w:rsidRPr="00E65596">
        <w:rPr>
          <w:rStyle w:val="FootnoteReference"/>
          <w:szCs w:val="18"/>
        </w:rPr>
        <w:footnoteRef/>
      </w:r>
      <w:r w:rsidRPr="007D57BE">
        <w:rPr>
          <w:szCs w:val="18"/>
          <w:lang w:val="en-US"/>
        </w:rPr>
        <w:t xml:space="preserve"> </w:t>
      </w:r>
      <w:r w:rsidRPr="007D57BE">
        <w:rPr>
          <w:szCs w:val="18"/>
          <w:lang w:val="en-US"/>
        </w:rPr>
        <w:tab/>
      </w:r>
      <w:r w:rsidRPr="007D57BE">
        <w:rPr>
          <w:bCs/>
          <w:szCs w:val="18"/>
          <w:lang w:val="en-US" w:eastAsia="ko-KR"/>
        </w:rPr>
        <w:t>A/HRC/WG.6/13/FIN/2</w:t>
      </w:r>
      <w:r>
        <w:rPr>
          <w:szCs w:val="18"/>
          <w:lang w:val="en-US"/>
        </w:rPr>
        <w:t xml:space="preserve"> and Corr.1 and 2</w:t>
      </w:r>
      <w:r w:rsidRPr="007D57BE">
        <w:rPr>
          <w:bCs/>
          <w:szCs w:val="18"/>
          <w:lang w:val="en-US" w:eastAsia="ko-KR"/>
        </w:rPr>
        <w:t xml:space="preserve">, paras. </w:t>
      </w:r>
      <w:r w:rsidRPr="00E65596">
        <w:rPr>
          <w:bCs/>
          <w:szCs w:val="18"/>
          <w:lang w:val="fr-CH" w:eastAsia="ko-KR"/>
        </w:rPr>
        <w:t>28, 76</w:t>
      </w:r>
      <w:r>
        <w:rPr>
          <w:bCs/>
          <w:szCs w:val="18"/>
          <w:lang w:val="fr-CH" w:eastAsia="ko-KR"/>
        </w:rPr>
        <w:t>–</w:t>
      </w:r>
      <w:r w:rsidRPr="00E65596">
        <w:rPr>
          <w:bCs/>
          <w:szCs w:val="18"/>
          <w:lang w:val="fr-CH" w:eastAsia="ko-KR"/>
        </w:rPr>
        <w:t>79; A/HRC/WG.6/13/FIN/3</w:t>
      </w:r>
      <w:r>
        <w:rPr>
          <w:szCs w:val="18"/>
          <w:lang w:val="en-US"/>
        </w:rPr>
        <w:t xml:space="preserve"> and Corr.1</w:t>
      </w:r>
      <w:r w:rsidRPr="00E65596">
        <w:rPr>
          <w:bCs/>
          <w:szCs w:val="18"/>
          <w:lang w:val="fr-CH" w:eastAsia="ko-KR"/>
        </w:rPr>
        <w:t>, paras. 62</w:t>
      </w:r>
      <w:r>
        <w:rPr>
          <w:bCs/>
          <w:szCs w:val="18"/>
          <w:lang w:val="fr-CH" w:eastAsia="ko-KR"/>
        </w:rPr>
        <w:t>–</w:t>
      </w:r>
      <w:r w:rsidRPr="00E65596">
        <w:rPr>
          <w:bCs/>
          <w:szCs w:val="18"/>
          <w:lang w:val="fr-CH" w:eastAsia="ko-KR"/>
        </w:rPr>
        <w:t xml:space="preserve">65; </w:t>
      </w:r>
      <w:r w:rsidRPr="00E65596">
        <w:rPr>
          <w:bCs/>
          <w:szCs w:val="18"/>
          <w:lang w:val="fr-CH"/>
        </w:rPr>
        <w:t xml:space="preserve">A/HRC/21/8, para. 16; </w:t>
      </w:r>
      <w:r w:rsidRPr="00E65596">
        <w:rPr>
          <w:szCs w:val="18"/>
          <w:lang w:val="es-ES"/>
        </w:rPr>
        <w:t>CCPR/CO/82/FIN, para.</w:t>
      </w:r>
      <w:r>
        <w:rPr>
          <w:szCs w:val="18"/>
          <w:lang w:val="es-ES"/>
        </w:rPr>
        <w:t xml:space="preserve"> </w:t>
      </w:r>
      <w:r w:rsidRPr="00E65596">
        <w:rPr>
          <w:szCs w:val="18"/>
          <w:lang w:val="es-ES"/>
        </w:rPr>
        <w:t>12; CCPR/C/FIN/6, paras.</w:t>
      </w:r>
      <w:r>
        <w:rPr>
          <w:szCs w:val="18"/>
          <w:lang w:val="es-ES"/>
        </w:rPr>
        <w:t xml:space="preserve"> </w:t>
      </w:r>
      <w:r w:rsidRPr="00E65596">
        <w:rPr>
          <w:szCs w:val="18"/>
          <w:lang w:val="es-ES"/>
        </w:rPr>
        <w:t>23</w:t>
      </w:r>
      <w:r>
        <w:rPr>
          <w:szCs w:val="18"/>
          <w:lang w:val="es-ES"/>
        </w:rPr>
        <w:t>–</w:t>
      </w:r>
      <w:r w:rsidRPr="00E65596">
        <w:rPr>
          <w:szCs w:val="18"/>
          <w:lang w:val="es-ES"/>
        </w:rPr>
        <w:t>26; CERD/C/FIN/Q/20-22, para.</w:t>
      </w:r>
      <w:r>
        <w:rPr>
          <w:szCs w:val="18"/>
          <w:lang w:val="es-ES"/>
        </w:rPr>
        <w:t xml:space="preserve"> </w:t>
      </w:r>
      <w:r w:rsidRPr="00E65596">
        <w:rPr>
          <w:szCs w:val="18"/>
          <w:lang w:val="es-ES"/>
        </w:rPr>
        <w:t>3</w:t>
      </w:r>
      <w:r>
        <w:rPr>
          <w:szCs w:val="18"/>
          <w:lang w:val="es-ES"/>
        </w:rPr>
        <w:t xml:space="preserve"> </w:t>
      </w:r>
      <w:r w:rsidRPr="00E65596">
        <w:rPr>
          <w:szCs w:val="18"/>
          <w:lang w:val="es-ES"/>
        </w:rPr>
        <w:t>(c)</w:t>
      </w:r>
      <w:r>
        <w:rPr>
          <w:szCs w:val="18"/>
          <w:lang w:val="es-ES"/>
        </w:rPr>
        <w:t>.</w:t>
      </w:r>
    </w:p>
  </w:footnote>
  <w:footnote w:id="11">
    <w:p w:rsidR="00F31544" w:rsidRPr="006E2417" w:rsidRDefault="00F31544" w:rsidP="00230D04">
      <w:pPr>
        <w:pStyle w:val="FootnoteText"/>
        <w:widowControl w:val="0"/>
        <w:tabs>
          <w:tab w:val="clear" w:pos="1021"/>
          <w:tab w:val="right" w:pos="1020"/>
        </w:tabs>
        <w:rPr>
          <w:lang w:val="es-ES"/>
        </w:rPr>
      </w:pPr>
      <w:r w:rsidRPr="006E2417">
        <w:rPr>
          <w:lang w:val="es-ES"/>
        </w:rPr>
        <w:tab/>
      </w:r>
      <w:r>
        <w:rPr>
          <w:rStyle w:val="FootnoteReference"/>
        </w:rPr>
        <w:footnoteRef/>
      </w:r>
      <w:r w:rsidRPr="006E2417">
        <w:rPr>
          <w:lang w:val="es-ES"/>
        </w:rPr>
        <w:tab/>
      </w:r>
      <w:r w:rsidRPr="006E2417">
        <w:rPr>
          <w:rFonts w:eastAsia="SimSun"/>
          <w:lang w:val="es-ES" w:eastAsia="zh-CN"/>
        </w:rPr>
        <w:t>CRC/C/FIN/CO/4, paras. 60–61.</w:t>
      </w:r>
    </w:p>
  </w:footnote>
  <w:footnote w:id="12">
    <w:p w:rsidR="00F31544" w:rsidRPr="006E2417" w:rsidRDefault="00F31544" w:rsidP="006821D8">
      <w:pPr>
        <w:pStyle w:val="FootnoteText"/>
        <w:rPr>
          <w:szCs w:val="18"/>
          <w:lang w:val="es-ES"/>
        </w:rPr>
      </w:pPr>
      <w:r w:rsidRPr="006E2417">
        <w:rPr>
          <w:szCs w:val="18"/>
          <w:lang w:val="es-ES"/>
        </w:rPr>
        <w:tab/>
      </w:r>
      <w:r w:rsidRPr="00E65596">
        <w:rPr>
          <w:rStyle w:val="FootnoteReference"/>
          <w:szCs w:val="18"/>
        </w:rPr>
        <w:footnoteRef/>
      </w:r>
      <w:r w:rsidRPr="006E2417">
        <w:rPr>
          <w:szCs w:val="18"/>
          <w:lang w:val="es-ES"/>
        </w:rPr>
        <w:t xml:space="preserve"> </w:t>
      </w:r>
      <w:r w:rsidRPr="006E2417">
        <w:rPr>
          <w:szCs w:val="18"/>
          <w:lang w:val="es-ES"/>
        </w:rPr>
        <w:tab/>
      </w:r>
      <w:r w:rsidRPr="00332F76">
        <w:rPr>
          <w:szCs w:val="18"/>
          <w:lang w:val="es-ES"/>
        </w:rPr>
        <w:t>CERD/C/FIN/Q/20-22</w:t>
      </w:r>
      <w:r w:rsidRPr="00E65596">
        <w:rPr>
          <w:szCs w:val="18"/>
          <w:lang w:val="es-ES"/>
        </w:rPr>
        <w:t xml:space="preserve">, para. </w:t>
      </w:r>
      <w:r>
        <w:rPr>
          <w:szCs w:val="18"/>
          <w:lang w:val="es-ES"/>
        </w:rPr>
        <w:t>3 (c), (d)</w:t>
      </w:r>
      <w:r w:rsidRPr="00E65596">
        <w:rPr>
          <w:szCs w:val="18"/>
          <w:lang w:val="es-ES"/>
        </w:rPr>
        <w:t>.</w:t>
      </w:r>
    </w:p>
  </w:footnote>
  <w:footnote w:id="13">
    <w:p w:rsidR="00F31544" w:rsidRPr="006E2417" w:rsidRDefault="00F31544" w:rsidP="006821D8">
      <w:pPr>
        <w:pStyle w:val="FootnoteText"/>
        <w:rPr>
          <w:szCs w:val="18"/>
          <w:lang w:val="es-ES"/>
        </w:rPr>
      </w:pPr>
      <w:r w:rsidRPr="006E2417">
        <w:rPr>
          <w:szCs w:val="18"/>
          <w:lang w:val="es-ES"/>
        </w:rPr>
        <w:tab/>
      </w:r>
      <w:r w:rsidRPr="00E65596">
        <w:rPr>
          <w:rStyle w:val="FootnoteReference"/>
          <w:szCs w:val="18"/>
        </w:rPr>
        <w:footnoteRef/>
      </w:r>
      <w:r w:rsidRPr="006E2417">
        <w:rPr>
          <w:szCs w:val="18"/>
          <w:lang w:val="es-ES"/>
        </w:rPr>
        <w:t xml:space="preserve"> </w:t>
      </w:r>
      <w:r w:rsidRPr="006E2417">
        <w:rPr>
          <w:szCs w:val="18"/>
          <w:lang w:val="es-ES"/>
        </w:rPr>
        <w:tab/>
        <w:t>CAT/C/FIN/CO/5-6/Add.1, para. 10.</w:t>
      </w:r>
    </w:p>
  </w:footnote>
  <w:footnote w:id="14">
    <w:p w:rsidR="00F31544" w:rsidRPr="006E2417" w:rsidRDefault="00F31544" w:rsidP="006821D8">
      <w:pPr>
        <w:pStyle w:val="FootnoteText"/>
        <w:adjustRightInd w:val="0"/>
        <w:snapToGrid w:val="0"/>
        <w:rPr>
          <w:szCs w:val="18"/>
          <w:lang w:val="es-ES"/>
        </w:rPr>
      </w:pPr>
      <w:r>
        <w:rPr>
          <w:szCs w:val="18"/>
          <w:lang w:val="es-ES"/>
        </w:rPr>
        <w:tab/>
      </w:r>
      <w:r w:rsidRPr="00E65596">
        <w:rPr>
          <w:rStyle w:val="FootnoteReference"/>
          <w:szCs w:val="18"/>
        </w:rPr>
        <w:footnoteRef/>
      </w:r>
      <w:r w:rsidRPr="00E65596">
        <w:rPr>
          <w:szCs w:val="18"/>
          <w:lang w:val="es-ES"/>
        </w:rPr>
        <w:t xml:space="preserve"> </w:t>
      </w:r>
      <w:r>
        <w:rPr>
          <w:szCs w:val="18"/>
          <w:lang w:val="es-ES"/>
        </w:rPr>
        <w:tab/>
      </w:r>
      <w:r w:rsidRPr="00E65596">
        <w:rPr>
          <w:szCs w:val="18"/>
          <w:lang w:val="es-ES"/>
        </w:rPr>
        <w:t xml:space="preserve">CCPR/C/FIN/6, paras. </w:t>
      </w:r>
      <w:r w:rsidRPr="00E65596">
        <w:rPr>
          <w:szCs w:val="18"/>
        </w:rPr>
        <w:t>151</w:t>
      </w:r>
      <w:r>
        <w:rPr>
          <w:szCs w:val="18"/>
        </w:rPr>
        <w:t>–</w:t>
      </w:r>
      <w:r w:rsidRPr="00E65596">
        <w:rPr>
          <w:szCs w:val="18"/>
        </w:rPr>
        <w:t xml:space="preserve">152; </w:t>
      </w:r>
      <w:r w:rsidRPr="006E2417">
        <w:rPr>
          <w:szCs w:val="18"/>
          <w:lang w:val="en-US"/>
        </w:rPr>
        <w:t>A/HRC/21/8</w:t>
      </w:r>
      <w:r w:rsidRPr="00E65596">
        <w:rPr>
          <w:szCs w:val="18"/>
        </w:rPr>
        <w:t>, paras.</w:t>
      </w:r>
      <w:r>
        <w:rPr>
          <w:szCs w:val="18"/>
        </w:rPr>
        <w:t xml:space="preserve"> </w:t>
      </w:r>
      <w:r w:rsidRPr="00E65596">
        <w:rPr>
          <w:szCs w:val="18"/>
        </w:rPr>
        <w:t>27 and 90.24; A/HRC/WG.6/13/FIN/3</w:t>
      </w:r>
      <w:r>
        <w:rPr>
          <w:szCs w:val="18"/>
          <w:lang w:val="en-US"/>
        </w:rPr>
        <w:t xml:space="preserve"> and Corr.1</w:t>
      </w:r>
      <w:r w:rsidRPr="00E65596">
        <w:rPr>
          <w:szCs w:val="18"/>
        </w:rPr>
        <w:t>, para.</w:t>
      </w:r>
      <w:r>
        <w:rPr>
          <w:szCs w:val="18"/>
        </w:rPr>
        <w:t xml:space="preserve"> </w:t>
      </w:r>
      <w:r w:rsidRPr="006E2417">
        <w:rPr>
          <w:szCs w:val="18"/>
          <w:lang w:val="es-ES"/>
        </w:rPr>
        <w:t>20.</w:t>
      </w:r>
    </w:p>
  </w:footnote>
  <w:footnote w:id="15">
    <w:p w:rsidR="00F31544" w:rsidRPr="006E2417" w:rsidRDefault="00F31544" w:rsidP="006821D8">
      <w:pPr>
        <w:pStyle w:val="FootnoteText"/>
        <w:rPr>
          <w:szCs w:val="18"/>
          <w:lang w:val="es-ES"/>
        </w:rPr>
      </w:pPr>
      <w:r w:rsidRPr="006E2417">
        <w:rPr>
          <w:szCs w:val="18"/>
          <w:lang w:val="es-ES"/>
        </w:rPr>
        <w:tab/>
      </w:r>
      <w:r w:rsidRPr="00E65596">
        <w:rPr>
          <w:rStyle w:val="FootnoteReference"/>
          <w:szCs w:val="18"/>
        </w:rPr>
        <w:footnoteRef/>
      </w:r>
      <w:r w:rsidRPr="006E2417">
        <w:rPr>
          <w:szCs w:val="18"/>
          <w:lang w:val="es-ES"/>
        </w:rPr>
        <w:tab/>
        <w:t>CCPR/C/FIN/6, para. 21;</w:t>
      </w:r>
      <w:r w:rsidRPr="00E65596">
        <w:rPr>
          <w:szCs w:val="18"/>
          <w:lang w:val="es-ES"/>
        </w:rPr>
        <w:t xml:space="preserve"> CCPR/CO/82/FIN, para.</w:t>
      </w:r>
      <w:r>
        <w:rPr>
          <w:szCs w:val="18"/>
          <w:lang w:val="es-ES"/>
        </w:rPr>
        <w:t xml:space="preserve"> </w:t>
      </w:r>
      <w:r w:rsidRPr="00E65596">
        <w:rPr>
          <w:szCs w:val="18"/>
          <w:lang w:val="es-ES"/>
        </w:rPr>
        <w:t>11.</w:t>
      </w:r>
    </w:p>
  </w:footnote>
  <w:footnote w:id="16">
    <w:p w:rsidR="00F31544" w:rsidRPr="00E65596" w:rsidRDefault="00F31544" w:rsidP="006821D8">
      <w:pPr>
        <w:pStyle w:val="FootnoteText"/>
        <w:rPr>
          <w:szCs w:val="18"/>
        </w:rPr>
      </w:pPr>
      <w:r w:rsidRPr="006E2417">
        <w:rPr>
          <w:szCs w:val="18"/>
          <w:lang w:val="es-ES"/>
        </w:rPr>
        <w:tab/>
      </w:r>
      <w:r w:rsidRPr="00E65596">
        <w:rPr>
          <w:rStyle w:val="FootnoteReference"/>
          <w:szCs w:val="18"/>
        </w:rPr>
        <w:footnoteRef/>
      </w:r>
      <w:r w:rsidRPr="006E2417">
        <w:rPr>
          <w:szCs w:val="18"/>
          <w:lang w:val="es-ES"/>
        </w:rPr>
        <w:t xml:space="preserve"> </w:t>
      </w:r>
      <w:r w:rsidRPr="006E2417">
        <w:rPr>
          <w:szCs w:val="18"/>
          <w:lang w:val="es-ES"/>
        </w:rPr>
        <w:tab/>
        <w:t xml:space="preserve">CAT/C/FIN/CO/5-6/Add.1, para. </w:t>
      </w:r>
      <w:r w:rsidRPr="00E65596">
        <w:rPr>
          <w:szCs w:val="18"/>
        </w:rPr>
        <w:t>23.</w:t>
      </w:r>
    </w:p>
  </w:footnote>
  <w:footnote w:id="17">
    <w:p w:rsidR="00F31544" w:rsidRPr="000940D4" w:rsidRDefault="00F31544" w:rsidP="006821D8">
      <w:pPr>
        <w:pStyle w:val="FootnoteText"/>
        <w:rPr>
          <w:szCs w:val="18"/>
          <w:lang w:val="es-ES"/>
        </w:rPr>
      </w:pPr>
      <w:r>
        <w:rPr>
          <w:szCs w:val="18"/>
        </w:rPr>
        <w:tab/>
      </w:r>
      <w:r w:rsidRPr="00E65596">
        <w:rPr>
          <w:rStyle w:val="FootnoteReference"/>
          <w:szCs w:val="18"/>
        </w:rPr>
        <w:footnoteRef/>
      </w:r>
      <w:r w:rsidRPr="00B77172">
        <w:rPr>
          <w:szCs w:val="18"/>
          <w:lang w:val="fr-CH"/>
        </w:rPr>
        <w:t xml:space="preserve"> </w:t>
      </w:r>
      <w:r w:rsidRPr="00B77172">
        <w:rPr>
          <w:szCs w:val="18"/>
          <w:lang w:val="fr-CH"/>
        </w:rPr>
        <w:tab/>
      </w:r>
      <w:r w:rsidRPr="00E65596">
        <w:rPr>
          <w:szCs w:val="18"/>
          <w:lang w:val="es-ES"/>
        </w:rPr>
        <w:t>CCPR/C/FIN/6, paras.</w:t>
      </w:r>
      <w:r>
        <w:rPr>
          <w:szCs w:val="18"/>
          <w:lang w:val="es-ES"/>
        </w:rPr>
        <w:t xml:space="preserve"> </w:t>
      </w:r>
      <w:r w:rsidRPr="00E65596">
        <w:rPr>
          <w:szCs w:val="18"/>
          <w:lang w:val="es-ES"/>
        </w:rPr>
        <w:t>131</w:t>
      </w:r>
      <w:r>
        <w:rPr>
          <w:szCs w:val="18"/>
          <w:lang w:val="es-ES"/>
        </w:rPr>
        <w:t>–</w:t>
      </w:r>
      <w:r w:rsidRPr="00E65596">
        <w:rPr>
          <w:szCs w:val="18"/>
          <w:lang w:val="es-ES"/>
        </w:rPr>
        <w:t>132; A/HRC/WG.6/13/FIN/2</w:t>
      </w:r>
      <w:r>
        <w:rPr>
          <w:szCs w:val="18"/>
          <w:lang w:val="en-US"/>
        </w:rPr>
        <w:t xml:space="preserve"> and Corr.1 and 2</w:t>
      </w:r>
      <w:r w:rsidRPr="00E65596">
        <w:rPr>
          <w:szCs w:val="18"/>
          <w:lang w:val="es-ES"/>
        </w:rPr>
        <w:t>, para.</w:t>
      </w:r>
      <w:r>
        <w:rPr>
          <w:szCs w:val="18"/>
          <w:lang w:val="es-ES"/>
        </w:rPr>
        <w:t xml:space="preserve"> </w:t>
      </w:r>
      <w:r w:rsidRPr="00E65596">
        <w:rPr>
          <w:szCs w:val="18"/>
          <w:lang w:val="es-ES"/>
        </w:rPr>
        <w:t>29; CAT/C/FIN/CO/5-6, para.</w:t>
      </w:r>
      <w:r>
        <w:rPr>
          <w:szCs w:val="18"/>
          <w:lang w:val="es-ES"/>
        </w:rPr>
        <w:t xml:space="preserve"> </w:t>
      </w:r>
      <w:r w:rsidRPr="00E65596">
        <w:rPr>
          <w:szCs w:val="18"/>
          <w:lang w:val="es-ES"/>
        </w:rPr>
        <w:t>17</w:t>
      </w:r>
      <w:r>
        <w:rPr>
          <w:szCs w:val="18"/>
          <w:lang w:val="es-ES"/>
        </w:rPr>
        <w:t>.</w:t>
      </w:r>
    </w:p>
  </w:footnote>
  <w:footnote w:id="18">
    <w:p w:rsidR="00F31544" w:rsidRPr="006E2417" w:rsidRDefault="00F31544" w:rsidP="00230D04">
      <w:pPr>
        <w:pStyle w:val="FootnoteText"/>
        <w:widowControl w:val="0"/>
        <w:tabs>
          <w:tab w:val="clear" w:pos="1021"/>
          <w:tab w:val="right" w:pos="1020"/>
        </w:tabs>
        <w:rPr>
          <w:lang w:val="es-ES"/>
        </w:rPr>
      </w:pPr>
      <w:r w:rsidRPr="006E2417">
        <w:rPr>
          <w:lang w:val="es-ES"/>
        </w:rPr>
        <w:tab/>
      </w:r>
      <w:r>
        <w:rPr>
          <w:rStyle w:val="FootnoteReference"/>
        </w:rPr>
        <w:footnoteRef/>
      </w:r>
      <w:r w:rsidRPr="006E2417">
        <w:rPr>
          <w:lang w:val="es-ES"/>
        </w:rPr>
        <w:tab/>
      </w:r>
      <w:r w:rsidRPr="006E2417">
        <w:rPr>
          <w:rFonts w:eastAsia="SimSun"/>
          <w:lang w:val="es-ES" w:eastAsia="zh-CN"/>
        </w:rPr>
        <w:t>A/HRC/WG.6/13/FIN/3</w:t>
      </w:r>
      <w:r w:rsidRPr="006E2417">
        <w:rPr>
          <w:szCs w:val="18"/>
          <w:lang w:val="es-ES"/>
        </w:rPr>
        <w:t xml:space="preserve"> and Corr.1</w:t>
      </w:r>
      <w:r w:rsidRPr="006E2417">
        <w:rPr>
          <w:rFonts w:eastAsia="SimSun"/>
          <w:lang w:val="es-ES" w:eastAsia="zh-CN"/>
        </w:rPr>
        <w:t>, para. 66.</w:t>
      </w:r>
      <w:r w:rsidRPr="006E2417">
        <w:rPr>
          <w:lang w:val="es-ES"/>
        </w:rPr>
        <w:t xml:space="preserve"> </w:t>
      </w:r>
    </w:p>
  </w:footnote>
  <w:footnote w:id="19">
    <w:p w:rsidR="00F31544" w:rsidRPr="006E2417" w:rsidRDefault="00F31544" w:rsidP="006821D8">
      <w:pPr>
        <w:pStyle w:val="FootnoteText"/>
        <w:adjustRightInd w:val="0"/>
        <w:snapToGrid w:val="0"/>
        <w:rPr>
          <w:szCs w:val="18"/>
          <w:lang w:val="es-ES"/>
        </w:rPr>
      </w:pPr>
      <w:r w:rsidRPr="000940D4">
        <w:rPr>
          <w:szCs w:val="18"/>
          <w:lang w:val="es-ES"/>
        </w:rPr>
        <w:tab/>
      </w:r>
      <w:r w:rsidRPr="00E65596">
        <w:rPr>
          <w:rStyle w:val="FootnoteReference"/>
          <w:szCs w:val="18"/>
        </w:rPr>
        <w:footnoteRef/>
      </w:r>
      <w:r w:rsidRPr="000940D4">
        <w:rPr>
          <w:szCs w:val="18"/>
          <w:lang w:val="es-ES"/>
        </w:rPr>
        <w:t xml:space="preserve"> </w:t>
      </w:r>
      <w:r>
        <w:rPr>
          <w:szCs w:val="18"/>
          <w:lang w:val="es-ES"/>
        </w:rPr>
        <w:tab/>
        <w:t>Ibid.</w:t>
      </w:r>
      <w:r w:rsidRPr="000940D4">
        <w:rPr>
          <w:szCs w:val="18"/>
          <w:lang w:val="es-ES"/>
        </w:rPr>
        <w:t>, paras. 66–67; A/HRC/21/8, para</w:t>
      </w:r>
      <w:r>
        <w:rPr>
          <w:szCs w:val="18"/>
          <w:lang w:val="es-ES"/>
        </w:rPr>
        <w:t>s</w:t>
      </w:r>
      <w:r w:rsidRPr="000940D4">
        <w:rPr>
          <w:szCs w:val="18"/>
          <w:lang w:val="es-ES"/>
        </w:rPr>
        <w:t>. 70</w:t>
      </w:r>
      <w:r>
        <w:rPr>
          <w:szCs w:val="18"/>
          <w:lang w:val="es-ES"/>
        </w:rPr>
        <w:t>,</w:t>
      </w:r>
      <w:r w:rsidRPr="000940D4">
        <w:rPr>
          <w:szCs w:val="18"/>
          <w:lang w:val="es-ES"/>
        </w:rPr>
        <w:t xml:space="preserve"> 90.26; A/HRC/21/8/Add.1, paras. 42</w:t>
      </w:r>
      <w:r>
        <w:rPr>
          <w:szCs w:val="18"/>
          <w:lang w:val="es-ES"/>
        </w:rPr>
        <w:t>–</w:t>
      </w:r>
      <w:r w:rsidRPr="000940D4">
        <w:rPr>
          <w:szCs w:val="18"/>
          <w:lang w:val="es-ES"/>
        </w:rPr>
        <w:t>46</w:t>
      </w:r>
      <w:r w:rsidRPr="006E2417">
        <w:rPr>
          <w:szCs w:val="18"/>
          <w:lang w:val="es-ES"/>
        </w:rPr>
        <w:t>.</w:t>
      </w:r>
    </w:p>
  </w:footnote>
  <w:footnote w:id="20">
    <w:p w:rsidR="00F31544" w:rsidRPr="00230D04" w:rsidRDefault="00F31544" w:rsidP="00230D04">
      <w:pPr>
        <w:pStyle w:val="FootnoteText"/>
        <w:widowControl w:val="0"/>
        <w:tabs>
          <w:tab w:val="clear" w:pos="1021"/>
          <w:tab w:val="right" w:pos="1020"/>
        </w:tabs>
        <w:rPr>
          <w:lang w:val="en-US"/>
        </w:rPr>
      </w:pPr>
      <w:r w:rsidRPr="006E2417">
        <w:rPr>
          <w:lang w:val="es-ES"/>
        </w:rPr>
        <w:tab/>
      </w:r>
      <w:r>
        <w:rPr>
          <w:rStyle w:val="FootnoteReference"/>
        </w:rPr>
        <w:footnoteRef/>
      </w:r>
      <w:r w:rsidRPr="006E2417">
        <w:rPr>
          <w:lang w:val="es-ES"/>
        </w:rPr>
        <w:tab/>
      </w:r>
      <w:r w:rsidRPr="006E2417">
        <w:rPr>
          <w:rFonts w:eastAsia="SimSun"/>
          <w:lang w:val="es-ES" w:eastAsia="zh-CN"/>
        </w:rPr>
        <w:t xml:space="preserve">A/HRC/21/8/Add.1, para. </w:t>
      </w:r>
      <w:r w:rsidRPr="006821D8">
        <w:rPr>
          <w:rFonts w:eastAsia="SimSun"/>
          <w:lang w:val="en-US" w:eastAsia="zh-CN"/>
        </w:rPr>
        <w:t>46</w:t>
      </w:r>
      <w:r>
        <w:rPr>
          <w:rFonts w:eastAsia="SimSun"/>
          <w:lang w:val="en-US" w:eastAsia="zh-CN"/>
        </w:rPr>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44" w:rsidRPr="00913539" w:rsidRDefault="00F31544">
    <w:pPr>
      <w:pStyle w:val="Header"/>
    </w:pPr>
    <w:r>
      <w:t>CAT/C/FIN/QPR/7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44" w:rsidRPr="00913539" w:rsidRDefault="00F31544" w:rsidP="00913539">
    <w:pPr>
      <w:pStyle w:val="Header"/>
      <w:jc w:val="right"/>
    </w:pPr>
    <w:r>
      <w:t>CAT/C/FIN/QPR/7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17" w:rsidRDefault="006E24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539"/>
    <w:rsid w:val="0000248A"/>
    <w:rsid w:val="000142E7"/>
    <w:rsid w:val="00033213"/>
    <w:rsid w:val="00050F6B"/>
    <w:rsid w:val="0005105D"/>
    <w:rsid w:val="00053EF6"/>
    <w:rsid w:val="00057E97"/>
    <w:rsid w:val="000714D4"/>
    <w:rsid w:val="00072C8C"/>
    <w:rsid w:val="000733B5"/>
    <w:rsid w:val="00081815"/>
    <w:rsid w:val="000931C0"/>
    <w:rsid w:val="000940D4"/>
    <w:rsid w:val="00094B47"/>
    <w:rsid w:val="00097FE0"/>
    <w:rsid w:val="000B175B"/>
    <w:rsid w:val="000B3A0F"/>
    <w:rsid w:val="000B4EF7"/>
    <w:rsid w:val="000C1796"/>
    <w:rsid w:val="000C2C03"/>
    <w:rsid w:val="000C2D2E"/>
    <w:rsid w:val="000D4C85"/>
    <w:rsid w:val="000E0415"/>
    <w:rsid w:val="001103AA"/>
    <w:rsid w:val="00136389"/>
    <w:rsid w:val="00143078"/>
    <w:rsid w:val="001450BD"/>
    <w:rsid w:val="00153179"/>
    <w:rsid w:val="00165F3A"/>
    <w:rsid w:val="00183227"/>
    <w:rsid w:val="00192F91"/>
    <w:rsid w:val="00197B02"/>
    <w:rsid w:val="001A59FC"/>
    <w:rsid w:val="001B1FE3"/>
    <w:rsid w:val="001B4B04"/>
    <w:rsid w:val="001C6663"/>
    <w:rsid w:val="001C7895"/>
    <w:rsid w:val="001D0C8C"/>
    <w:rsid w:val="001D26DF"/>
    <w:rsid w:val="001D3A03"/>
    <w:rsid w:val="001E0498"/>
    <w:rsid w:val="001F33B9"/>
    <w:rsid w:val="00202DA8"/>
    <w:rsid w:val="002047C6"/>
    <w:rsid w:val="002067C6"/>
    <w:rsid w:val="00211E0B"/>
    <w:rsid w:val="0021377B"/>
    <w:rsid w:val="00230D04"/>
    <w:rsid w:val="002333A7"/>
    <w:rsid w:val="00237A68"/>
    <w:rsid w:val="00241A93"/>
    <w:rsid w:val="0025434E"/>
    <w:rsid w:val="00265002"/>
    <w:rsid w:val="00267CF0"/>
    <w:rsid w:val="00267F5F"/>
    <w:rsid w:val="002834B6"/>
    <w:rsid w:val="00286B4D"/>
    <w:rsid w:val="002955D6"/>
    <w:rsid w:val="00297799"/>
    <w:rsid w:val="002A5B5C"/>
    <w:rsid w:val="002B3C39"/>
    <w:rsid w:val="002B466B"/>
    <w:rsid w:val="002E009A"/>
    <w:rsid w:val="002F175C"/>
    <w:rsid w:val="002F1A00"/>
    <w:rsid w:val="002F4A6E"/>
    <w:rsid w:val="003229D8"/>
    <w:rsid w:val="00332F76"/>
    <w:rsid w:val="003345B9"/>
    <w:rsid w:val="00352709"/>
    <w:rsid w:val="00371178"/>
    <w:rsid w:val="003A6810"/>
    <w:rsid w:val="003C2CC4"/>
    <w:rsid w:val="003D4B23"/>
    <w:rsid w:val="003E127F"/>
    <w:rsid w:val="003E1809"/>
    <w:rsid w:val="00405F99"/>
    <w:rsid w:val="00410C89"/>
    <w:rsid w:val="00414BF7"/>
    <w:rsid w:val="00416EAF"/>
    <w:rsid w:val="00426B9B"/>
    <w:rsid w:val="004325CB"/>
    <w:rsid w:val="004416D8"/>
    <w:rsid w:val="00442A83"/>
    <w:rsid w:val="004437F2"/>
    <w:rsid w:val="0045495B"/>
    <w:rsid w:val="00475072"/>
    <w:rsid w:val="004B4C23"/>
    <w:rsid w:val="004B7802"/>
    <w:rsid w:val="004D0D0F"/>
    <w:rsid w:val="005045AB"/>
    <w:rsid w:val="0052136D"/>
    <w:rsid w:val="0052775E"/>
    <w:rsid w:val="005420F2"/>
    <w:rsid w:val="005628B6"/>
    <w:rsid w:val="00576CAD"/>
    <w:rsid w:val="005B3DB3"/>
    <w:rsid w:val="005C7C89"/>
    <w:rsid w:val="005D0FDF"/>
    <w:rsid w:val="005E21C7"/>
    <w:rsid w:val="005F7B75"/>
    <w:rsid w:val="006001EE"/>
    <w:rsid w:val="00605042"/>
    <w:rsid w:val="00611FC4"/>
    <w:rsid w:val="006176FB"/>
    <w:rsid w:val="00632035"/>
    <w:rsid w:val="00640B26"/>
    <w:rsid w:val="0064313D"/>
    <w:rsid w:val="00652D0A"/>
    <w:rsid w:val="00662BB6"/>
    <w:rsid w:val="006821D8"/>
    <w:rsid w:val="00684C21"/>
    <w:rsid w:val="006A3EFA"/>
    <w:rsid w:val="006B2B77"/>
    <w:rsid w:val="006C19AB"/>
    <w:rsid w:val="006D37AF"/>
    <w:rsid w:val="006D51D0"/>
    <w:rsid w:val="006E2417"/>
    <w:rsid w:val="006E564B"/>
    <w:rsid w:val="006E7191"/>
    <w:rsid w:val="006F0BA8"/>
    <w:rsid w:val="006F5689"/>
    <w:rsid w:val="00700A68"/>
    <w:rsid w:val="00703577"/>
    <w:rsid w:val="0072632A"/>
    <w:rsid w:val="007327D5"/>
    <w:rsid w:val="00751B55"/>
    <w:rsid w:val="007629C8"/>
    <w:rsid w:val="0078145E"/>
    <w:rsid w:val="007850C9"/>
    <w:rsid w:val="007B6BA5"/>
    <w:rsid w:val="007C3390"/>
    <w:rsid w:val="007C36FB"/>
    <w:rsid w:val="007C4F4B"/>
    <w:rsid w:val="007D4B49"/>
    <w:rsid w:val="007D57BE"/>
    <w:rsid w:val="007E59F5"/>
    <w:rsid w:val="007E7E14"/>
    <w:rsid w:val="007F6611"/>
    <w:rsid w:val="00812A3B"/>
    <w:rsid w:val="008242D7"/>
    <w:rsid w:val="008257B1"/>
    <w:rsid w:val="00843086"/>
    <w:rsid w:val="00843767"/>
    <w:rsid w:val="008679D9"/>
    <w:rsid w:val="00873F8A"/>
    <w:rsid w:val="0089289F"/>
    <w:rsid w:val="008979B1"/>
    <w:rsid w:val="008A0D2E"/>
    <w:rsid w:val="008A6B25"/>
    <w:rsid w:val="008A6C4F"/>
    <w:rsid w:val="008B2335"/>
    <w:rsid w:val="008C6868"/>
    <w:rsid w:val="008E0678"/>
    <w:rsid w:val="008E4285"/>
    <w:rsid w:val="008F48D9"/>
    <w:rsid w:val="00913539"/>
    <w:rsid w:val="009223CA"/>
    <w:rsid w:val="00925F96"/>
    <w:rsid w:val="00934E47"/>
    <w:rsid w:val="00940F93"/>
    <w:rsid w:val="00945D3C"/>
    <w:rsid w:val="00952FA8"/>
    <w:rsid w:val="00964D80"/>
    <w:rsid w:val="0097509A"/>
    <w:rsid w:val="009760F3"/>
    <w:rsid w:val="00987BFA"/>
    <w:rsid w:val="009A0E8D"/>
    <w:rsid w:val="009A7156"/>
    <w:rsid w:val="009B26E7"/>
    <w:rsid w:val="009C57F1"/>
    <w:rsid w:val="009F28F0"/>
    <w:rsid w:val="009F456E"/>
    <w:rsid w:val="00A00A3F"/>
    <w:rsid w:val="00A01489"/>
    <w:rsid w:val="00A069A6"/>
    <w:rsid w:val="00A32832"/>
    <w:rsid w:val="00A338F1"/>
    <w:rsid w:val="00A5214F"/>
    <w:rsid w:val="00A618E1"/>
    <w:rsid w:val="00A72F22"/>
    <w:rsid w:val="00A7360F"/>
    <w:rsid w:val="00A748A6"/>
    <w:rsid w:val="00A769F4"/>
    <w:rsid w:val="00A776B4"/>
    <w:rsid w:val="00A94361"/>
    <w:rsid w:val="00A94975"/>
    <w:rsid w:val="00AA0151"/>
    <w:rsid w:val="00AA293C"/>
    <w:rsid w:val="00AD45B6"/>
    <w:rsid w:val="00AD5383"/>
    <w:rsid w:val="00AE758C"/>
    <w:rsid w:val="00B30179"/>
    <w:rsid w:val="00B502F4"/>
    <w:rsid w:val="00B54F31"/>
    <w:rsid w:val="00B56E4A"/>
    <w:rsid w:val="00B56E9C"/>
    <w:rsid w:val="00B636EA"/>
    <w:rsid w:val="00B64B1F"/>
    <w:rsid w:val="00B6553F"/>
    <w:rsid w:val="00B732D3"/>
    <w:rsid w:val="00B77172"/>
    <w:rsid w:val="00B77D05"/>
    <w:rsid w:val="00B81206"/>
    <w:rsid w:val="00B81E12"/>
    <w:rsid w:val="00B92937"/>
    <w:rsid w:val="00B97EE2"/>
    <w:rsid w:val="00BC74E9"/>
    <w:rsid w:val="00BF68A8"/>
    <w:rsid w:val="00C11A03"/>
    <w:rsid w:val="00C42634"/>
    <w:rsid w:val="00C437EE"/>
    <w:rsid w:val="00C463DD"/>
    <w:rsid w:val="00C46CB4"/>
    <w:rsid w:val="00C4724C"/>
    <w:rsid w:val="00C629A0"/>
    <w:rsid w:val="00C63388"/>
    <w:rsid w:val="00C745C3"/>
    <w:rsid w:val="00CC33AD"/>
    <w:rsid w:val="00CE34F5"/>
    <w:rsid w:val="00CE4A8F"/>
    <w:rsid w:val="00D2031B"/>
    <w:rsid w:val="00D21697"/>
    <w:rsid w:val="00D245E0"/>
    <w:rsid w:val="00D25FE2"/>
    <w:rsid w:val="00D43252"/>
    <w:rsid w:val="00D47706"/>
    <w:rsid w:val="00D47EEA"/>
    <w:rsid w:val="00D93CC8"/>
    <w:rsid w:val="00D95303"/>
    <w:rsid w:val="00D978C6"/>
    <w:rsid w:val="00DA3C1C"/>
    <w:rsid w:val="00DB05B5"/>
    <w:rsid w:val="00DC1764"/>
    <w:rsid w:val="00DF16C8"/>
    <w:rsid w:val="00E27346"/>
    <w:rsid w:val="00E32EFC"/>
    <w:rsid w:val="00E71BC8"/>
    <w:rsid w:val="00E7260F"/>
    <w:rsid w:val="00E7662F"/>
    <w:rsid w:val="00E84654"/>
    <w:rsid w:val="00E96630"/>
    <w:rsid w:val="00E97810"/>
    <w:rsid w:val="00ED7A2A"/>
    <w:rsid w:val="00EE088D"/>
    <w:rsid w:val="00EF1D7F"/>
    <w:rsid w:val="00EF2BF5"/>
    <w:rsid w:val="00F17EE1"/>
    <w:rsid w:val="00F26686"/>
    <w:rsid w:val="00F31544"/>
    <w:rsid w:val="00F34539"/>
    <w:rsid w:val="00F80C4C"/>
    <w:rsid w:val="00F833CB"/>
    <w:rsid w:val="00F93781"/>
    <w:rsid w:val="00FA5869"/>
    <w:rsid w:val="00FB44E9"/>
    <w:rsid w:val="00FB613B"/>
    <w:rsid w:val="00FC68B7"/>
    <w:rsid w:val="00FD2319"/>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1"/>
    <w:rsid w:val="00416EAF"/>
    <w:pPr>
      <w:tabs>
        <w:tab w:val="right" w:pos="1021"/>
      </w:tabs>
      <w:spacing w:line="220" w:lineRule="exact"/>
      <w:ind w:left="1134" w:right="1134" w:hanging="1134"/>
    </w:pPr>
    <w:rPr>
      <w:sz w:val="18"/>
      <w:lang/>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Footnote Text Char Char1 Char1,Footnote Text Char1 Char Char1 Char1,Footnote Text Char Char1 Char Char Char1,Footnote Text Char1 Char Char1 Char Char Char1,ft Char Char Char Char Char Char1"/>
    <w:link w:val="FootnoteText"/>
    <w:locked/>
    <w:rsid w:val="00913539"/>
    <w:rPr>
      <w:sz w:val="18"/>
      <w:lang w:eastAsia="en-US"/>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rsid w:val="00751B55"/>
    <w:rPr>
      <w:sz w:val="18"/>
      <w:lang w:eastAsia="en-US"/>
    </w:rPr>
  </w:style>
  <w:style w:type="paragraph" w:styleId="BalloonText">
    <w:name w:val="Balloon Text"/>
    <w:basedOn w:val="Normal"/>
    <w:link w:val="BalloonTextChar"/>
    <w:rsid w:val="00B77172"/>
    <w:pPr>
      <w:spacing w:line="240" w:lineRule="auto"/>
    </w:pPr>
    <w:rPr>
      <w:rFonts w:ascii="Tahoma" w:hAnsi="Tahoma"/>
      <w:sz w:val="16"/>
      <w:szCs w:val="16"/>
      <w:lang/>
    </w:rPr>
  </w:style>
  <w:style w:type="character" w:customStyle="1" w:styleId="BalloonTextChar">
    <w:name w:val="Balloon Text Char"/>
    <w:link w:val="BalloonText"/>
    <w:rsid w:val="00B7717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UNDOC/GEN/G08/428/16/PDF/G0842816.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CAT_E.dotm</Template>
  <TotalTime>0</TotalTime>
  <Pages>1</Pages>
  <Words>2234</Words>
  <Characters>12780</Characters>
  <Application>Microsoft Office Outlook</Application>
  <DocSecurity>4</DocSecurity>
  <Lines>224</Lines>
  <Paragraphs>76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14938</CharactersWithSpaces>
  <SharedDoc>false</SharedDoc>
  <HLinks>
    <vt:vector size="6" baseType="variant">
      <vt:variant>
        <vt:i4>7733309</vt:i4>
      </vt:variant>
      <vt:variant>
        <vt:i4>0</vt:i4>
      </vt:variant>
      <vt:variant>
        <vt:i4>0</vt:i4>
      </vt:variant>
      <vt:variant>
        <vt:i4>5</vt:i4>
      </vt:variant>
      <vt:variant>
        <vt:lpwstr>http://daccess-dds-ny.un.org/doc/UNDOC/GEN/G08/428/16/PDF/G0842816.pdf?OpenElement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DCM</cp:lastModifiedBy>
  <cp:revision>2</cp:revision>
  <cp:lastPrinted>2013-03-03T17:20:00Z</cp:lastPrinted>
  <dcterms:created xsi:type="dcterms:W3CDTF">2013-07-16T14:02:00Z</dcterms:created>
  <dcterms:modified xsi:type="dcterms:W3CDTF">2013-07-16T14:02:00Z</dcterms:modified>
</cp:coreProperties>
</file>