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9508B37" w14:textId="77777777" w:rsidTr="00BC3629">
        <w:trPr>
          <w:trHeight w:hRule="exact" w:val="851"/>
        </w:trPr>
        <w:tc>
          <w:tcPr>
            <w:tcW w:w="142" w:type="dxa"/>
            <w:tcBorders>
              <w:bottom w:val="single" w:sz="4" w:space="0" w:color="auto"/>
            </w:tcBorders>
          </w:tcPr>
          <w:p w14:paraId="6874A61A" w14:textId="77777777" w:rsidR="002D5AAC" w:rsidRDefault="002D5AAC" w:rsidP="004A7739">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E15178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A354979" w14:textId="77777777" w:rsidR="002D5AAC" w:rsidRDefault="004A7739" w:rsidP="004A7739">
            <w:pPr>
              <w:jc w:val="right"/>
            </w:pPr>
            <w:r w:rsidRPr="004A7739">
              <w:rPr>
                <w:sz w:val="40"/>
              </w:rPr>
              <w:t>CCPR</w:t>
            </w:r>
            <w:r>
              <w:t>/C/CAF/CO/3</w:t>
            </w:r>
          </w:p>
        </w:tc>
      </w:tr>
      <w:tr w:rsidR="002D5AAC" w:rsidRPr="00C15B40" w14:paraId="18CC9674" w14:textId="77777777" w:rsidTr="00BC3629">
        <w:trPr>
          <w:trHeight w:hRule="exact" w:val="2835"/>
        </w:trPr>
        <w:tc>
          <w:tcPr>
            <w:tcW w:w="1280" w:type="dxa"/>
            <w:gridSpan w:val="2"/>
            <w:tcBorders>
              <w:top w:val="single" w:sz="4" w:space="0" w:color="auto"/>
              <w:bottom w:val="single" w:sz="12" w:space="0" w:color="auto"/>
            </w:tcBorders>
          </w:tcPr>
          <w:p w14:paraId="41F971CE" w14:textId="77777777" w:rsidR="002D5AAC" w:rsidRDefault="002E5067" w:rsidP="00BC3629">
            <w:pPr>
              <w:spacing w:before="120"/>
              <w:jc w:val="center"/>
            </w:pPr>
            <w:r>
              <w:rPr>
                <w:noProof/>
                <w:lang w:val="fr-CH" w:eastAsia="fr-CH"/>
              </w:rPr>
              <w:drawing>
                <wp:inline distT="0" distB="0" distL="0" distR="0" wp14:anchorId="62CAA3D5" wp14:editId="12FC02B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98FC7DA"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bookmarkStart w:id="0" w:name="_GoBack"/>
            <w:bookmarkEnd w:id="0"/>
          </w:p>
        </w:tc>
        <w:tc>
          <w:tcPr>
            <w:tcW w:w="2819" w:type="dxa"/>
            <w:tcBorders>
              <w:top w:val="single" w:sz="4" w:space="0" w:color="auto"/>
              <w:bottom w:val="single" w:sz="12" w:space="0" w:color="auto"/>
            </w:tcBorders>
          </w:tcPr>
          <w:p w14:paraId="3BF2ABC5" w14:textId="77777777" w:rsidR="002D5AAC" w:rsidRPr="004A7739" w:rsidRDefault="004A7739" w:rsidP="00BC3629">
            <w:pPr>
              <w:spacing w:before="240"/>
              <w:rPr>
                <w:lang w:val="en-US"/>
              </w:rPr>
            </w:pPr>
            <w:r w:rsidRPr="004A7739">
              <w:rPr>
                <w:lang w:val="en-US"/>
              </w:rPr>
              <w:t>Distr.: General</w:t>
            </w:r>
          </w:p>
          <w:p w14:paraId="67B47988" w14:textId="77777777" w:rsidR="004A7739" w:rsidRPr="004A7739" w:rsidRDefault="004A7739" w:rsidP="004A7739">
            <w:pPr>
              <w:spacing w:line="240" w:lineRule="exact"/>
              <w:rPr>
                <w:lang w:val="en-US"/>
              </w:rPr>
            </w:pPr>
            <w:r w:rsidRPr="004A7739">
              <w:rPr>
                <w:lang w:val="en-US"/>
              </w:rPr>
              <w:t>30 April 2020</w:t>
            </w:r>
          </w:p>
          <w:p w14:paraId="11A755DD" w14:textId="77777777" w:rsidR="004A7739" w:rsidRPr="004A7739" w:rsidRDefault="004A7739" w:rsidP="004A7739">
            <w:pPr>
              <w:spacing w:line="240" w:lineRule="exact"/>
              <w:rPr>
                <w:lang w:val="en-US"/>
              </w:rPr>
            </w:pPr>
            <w:r w:rsidRPr="004A7739">
              <w:rPr>
                <w:lang w:val="en-US"/>
              </w:rPr>
              <w:t>Russian</w:t>
            </w:r>
          </w:p>
          <w:p w14:paraId="5B95B1A3" w14:textId="77777777" w:rsidR="004A7739" w:rsidRPr="004A7739" w:rsidRDefault="004A7739" w:rsidP="004A7739">
            <w:pPr>
              <w:spacing w:line="240" w:lineRule="exact"/>
              <w:rPr>
                <w:lang w:val="en-US"/>
              </w:rPr>
            </w:pPr>
            <w:r w:rsidRPr="004A7739">
              <w:rPr>
                <w:lang w:val="en-US"/>
              </w:rPr>
              <w:t>Original: French</w:t>
            </w:r>
          </w:p>
        </w:tc>
      </w:tr>
    </w:tbl>
    <w:p w14:paraId="7BB4AA9E" w14:textId="77777777" w:rsidR="004A7739" w:rsidRPr="004A7739" w:rsidRDefault="004A7739" w:rsidP="004A7739">
      <w:pPr>
        <w:pStyle w:val="SingleTxtG"/>
        <w:spacing w:before="120"/>
        <w:ind w:left="0"/>
        <w:rPr>
          <w:rFonts w:eastAsia="Calibri"/>
          <w:b/>
          <w:bCs/>
          <w:sz w:val="24"/>
          <w:szCs w:val="24"/>
        </w:rPr>
      </w:pPr>
      <w:r w:rsidRPr="004A7739">
        <w:rPr>
          <w:b/>
          <w:bCs/>
          <w:sz w:val="24"/>
          <w:szCs w:val="24"/>
        </w:rPr>
        <w:t>Комитет по правам человека</w:t>
      </w:r>
    </w:p>
    <w:p w14:paraId="5D025E5E" w14:textId="77777777" w:rsidR="004A7739" w:rsidRPr="006668CB" w:rsidRDefault="004A7739" w:rsidP="004A7739">
      <w:pPr>
        <w:pStyle w:val="HChG"/>
        <w:rPr>
          <w:b w:val="0"/>
          <w:sz w:val="18"/>
        </w:rPr>
      </w:pPr>
      <w:r>
        <w:tab/>
      </w:r>
      <w:r>
        <w:tab/>
        <w:t>Заключительные замечания по третьему периодическому докладу Центральноафриканской Республики</w:t>
      </w:r>
      <w:r w:rsidRPr="004A7739">
        <w:rPr>
          <w:rStyle w:val="aa"/>
          <w:b w:val="0"/>
          <w:sz w:val="20"/>
          <w:vertAlign w:val="baseline"/>
        </w:rPr>
        <w:footnoteReference w:customMarkFollows="1" w:id="1"/>
        <w:t>*</w:t>
      </w:r>
      <w:r>
        <w:t xml:space="preserve"> </w:t>
      </w:r>
    </w:p>
    <w:p w14:paraId="3EEB1670" w14:textId="77777777" w:rsidR="004A7739" w:rsidRPr="008D3DE0" w:rsidRDefault="004A7739" w:rsidP="004A7739">
      <w:pPr>
        <w:pStyle w:val="SingleTxtG"/>
      </w:pPr>
      <w:r>
        <w:t>1.</w:t>
      </w:r>
      <w:r>
        <w:tab/>
        <w:t>Комитет рассмотрел третий периодический доклад Центральноафриканской Республики (CCPR/C/CAF/3) на своих 3694-м и 3695-м заседаниях (CCPR/C/SR.3694 и 3695), состоявшихся 4 и 5 марта 2020 года. 27 марта 2020 года Комитет принял следующие заключительные замечания.</w:t>
      </w:r>
    </w:p>
    <w:p w14:paraId="5BC89BCE" w14:textId="77777777" w:rsidR="004A7739" w:rsidRPr="006668CB" w:rsidRDefault="004A7739" w:rsidP="004A7739">
      <w:pPr>
        <w:pStyle w:val="H1G"/>
      </w:pPr>
      <w:r>
        <w:tab/>
        <w:t>A.</w:t>
      </w:r>
      <w:r>
        <w:tab/>
      </w:r>
      <w:r w:rsidRPr="006668CB">
        <w:tab/>
      </w:r>
      <w:r>
        <w:rPr>
          <w:bCs/>
        </w:rPr>
        <w:t>Введение</w:t>
      </w:r>
    </w:p>
    <w:p w14:paraId="3A0E14DD" w14:textId="77777777" w:rsidR="004A7739" w:rsidRPr="006668CB" w:rsidRDefault="004A7739" w:rsidP="004A7739">
      <w:pPr>
        <w:pStyle w:val="SingleTxtG"/>
        <w:tabs>
          <w:tab w:val="left" w:pos="1701"/>
        </w:tabs>
      </w:pPr>
      <w:r>
        <w:t>2.</w:t>
      </w:r>
      <w:r>
        <w:tab/>
        <w:t xml:space="preserve">Комитет приветствует представление третьего периодического доклада государства-участника и содержащуюся в нем информацию. Он с удовлетворением отмечает предоставленную ему возможность возобновить с делегацией государства-участника конструктивный диалог о мерах, принятых государством-участником для осуществления положений Пакта. Он благодарит государство-участник за письменные ответы (CCPR/C/CAF/Q/3/Add.1) на перечень вопросов (CCPR/C/CAF/Q/3), а также за устные ответы делегации. </w:t>
      </w:r>
    </w:p>
    <w:p w14:paraId="494332C2" w14:textId="77777777" w:rsidR="004A7739" w:rsidRPr="006668CB" w:rsidRDefault="004A7739" w:rsidP="004A7739">
      <w:pPr>
        <w:pStyle w:val="H1G"/>
      </w:pPr>
      <w:r>
        <w:tab/>
        <w:t>B.</w:t>
      </w:r>
      <w:r>
        <w:tab/>
      </w:r>
      <w:r w:rsidRPr="004A7739">
        <w:tab/>
      </w:r>
      <w:r>
        <w:rPr>
          <w:bCs/>
        </w:rPr>
        <w:t>Позитивные аспекты</w:t>
      </w:r>
    </w:p>
    <w:p w14:paraId="31FF1977" w14:textId="77777777" w:rsidR="004A7739" w:rsidRPr="006668CB" w:rsidRDefault="004A7739" w:rsidP="004A7739">
      <w:pPr>
        <w:pStyle w:val="SingleTxtG"/>
        <w:tabs>
          <w:tab w:val="left" w:pos="1701"/>
          <w:tab w:val="left" w:pos="1843"/>
          <w:tab w:val="left" w:pos="2127"/>
        </w:tabs>
      </w:pPr>
      <w:r>
        <w:t>3.</w:t>
      </w:r>
      <w:r>
        <w:tab/>
        <w:t>Комитет приветствует законодательные и институциональные меры, принятые государством-участником, в частности:</w:t>
      </w:r>
    </w:p>
    <w:p w14:paraId="2280ADAB" w14:textId="77777777" w:rsidR="004A7739" w:rsidRPr="006668CB" w:rsidRDefault="004A7739" w:rsidP="004A7739">
      <w:pPr>
        <w:pStyle w:val="SingleTxtG"/>
      </w:pPr>
      <w:r>
        <w:tab/>
      </w:r>
      <w:r>
        <w:tab/>
        <w:t>a)</w:t>
      </w:r>
      <w:r>
        <w:tab/>
        <w:t>Закон № 06.032 от 27 декабря 2006 года о защите женщин от насилия в Центральноафриканской Республике;</w:t>
      </w:r>
    </w:p>
    <w:p w14:paraId="3D933EE1" w14:textId="77777777" w:rsidR="004A7739" w:rsidRPr="006668CB" w:rsidRDefault="004A7739" w:rsidP="004A7739">
      <w:pPr>
        <w:pStyle w:val="SingleTxtG"/>
        <w:tabs>
          <w:tab w:val="left" w:pos="2268"/>
        </w:tabs>
        <w:ind w:firstLine="567"/>
      </w:pPr>
      <w:r>
        <w:t>b)</w:t>
      </w:r>
      <w:r>
        <w:tab/>
        <w:t>Органический закон № 15.003 от 3 июня 2015 года о создании, организации и функционировании Специального уголовного суда, Закон № 18</w:t>
      </w:r>
      <w:r w:rsidR="00711621" w:rsidRPr="00711621">
        <w:t>.</w:t>
      </w:r>
      <w:r>
        <w:t xml:space="preserve">010 от 2 июля 2018 года о правилах процедуры и доказывания в Специальном уголовном суде Центральноафриканской Республики и стратегию проведения расследований, судебного преследования и дознания, представленную 4 декабря 2018 года; </w:t>
      </w:r>
    </w:p>
    <w:p w14:paraId="54E01BB3" w14:textId="77777777" w:rsidR="004A7739" w:rsidRPr="006668CB" w:rsidRDefault="004A7739" w:rsidP="004A7739">
      <w:pPr>
        <w:pStyle w:val="SingleTxtG"/>
        <w:tabs>
          <w:tab w:val="left" w:pos="2268"/>
        </w:tabs>
        <w:ind w:firstLine="567"/>
      </w:pPr>
      <w:r>
        <w:t>c)</w:t>
      </w:r>
      <w:r>
        <w:tab/>
        <w:t>Закон № 16.004 от 24 ноября 2016 года, устанавливающий равенство между мужчинами и женщинами в Центральноафриканской Республике, включая равный доступ мужчин и женщин к избирательным мандатам, и создание Национального наблюдательного совета по гендерным вопросам;</w:t>
      </w:r>
    </w:p>
    <w:p w14:paraId="34937353" w14:textId="77777777" w:rsidR="004A7739" w:rsidRPr="006668CB" w:rsidRDefault="004A7739" w:rsidP="004A7739">
      <w:pPr>
        <w:pStyle w:val="SingleTxtG"/>
        <w:tabs>
          <w:tab w:val="left" w:pos="2268"/>
        </w:tabs>
        <w:ind w:firstLine="567"/>
      </w:pPr>
      <w:r>
        <w:lastRenderedPageBreak/>
        <w:t>d)</w:t>
      </w:r>
      <w:r>
        <w:tab/>
        <w:t xml:space="preserve">Закон № 17.015 от 20 апреля 2017 года о создании Национальной комиссии по правам человека и основным свободам в Центральноафриканской Республике; </w:t>
      </w:r>
    </w:p>
    <w:p w14:paraId="17BC1411" w14:textId="77777777" w:rsidR="004A7739" w:rsidRPr="006668CB" w:rsidRDefault="004A7739" w:rsidP="004A7739">
      <w:pPr>
        <w:pStyle w:val="SingleTxtG"/>
        <w:tabs>
          <w:tab w:val="left" w:pos="2268"/>
        </w:tabs>
        <w:ind w:firstLine="567"/>
      </w:pPr>
      <w:r>
        <w:t>e)</w:t>
      </w:r>
      <w:r>
        <w:tab/>
        <w:t>межведомственное постановление от 28 сентября 2017 года об организации расследований по проверке нравственности и благонадежности членов вооруженных групп, являющихся кандидатами на реинтеграцию или интеграцию в Вооруженные силы Центральноафриканской Республики;</w:t>
      </w:r>
    </w:p>
    <w:p w14:paraId="255A8CA5" w14:textId="77777777" w:rsidR="004A7739" w:rsidRPr="006668CB" w:rsidRDefault="004A7739" w:rsidP="004A7739">
      <w:pPr>
        <w:pStyle w:val="SingleTxtG"/>
        <w:tabs>
          <w:tab w:val="left" w:pos="2268"/>
        </w:tabs>
        <w:ind w:firstLine="567"/>
      </w:pPr>
      <w:r>
        <w:t>f)</w:t>
      </w:r>
      <w:r>
        <w:tab/>
        <w:t>подписанное 6 февраля 2019 года Политическое соглашение о мире и примирении в Центральноафриканской Республике, которое предусматривает, в</w:t>
      </w:r>
      <w:r w:rsidR="00CA242E">
        <w:rPr>
          <w:lang w:val="en-US"/>
        </w:rPr>
        <w:t> </w:t>
      </w:r>
      <w:r>
        <w:t>частности, создание Комиссии по установлению истины, правосудию, возмещению ущерба и примирению;</w:t>
      </w:r>
    </w:p>
    <w:p w14:paraId="1DD25FD3" w14:textId="77777777" w:rsidR="004A7739" w:rsidRPr="006668CB" w:rsidRDefault="004A7739" w:rsidP="004A7739">
      <w:pPr>
        <w:pStyle w:val="SingleTxtG"/>
        <w:tabs>
          <w:tab w:val="left" w:pos="2268"/>
        </w:tabs>
        <w:ind w:firstLine="567"/>
      </w:pPr>
      <w:r>
        <w:t>g)</w:t>
      </w:r>
      <w:r>
        <w:tab/>
        <w:t>Избирательный кодекс, принятый в июле 2019 года;</w:t>
      </w:r>
    </w:p>
    <w:p w14:paraId="2AB2D8E0" w14:textId="77777777" w:rsidR="004A7739" w:rsidRPr="006668CB" w:rsidRDefault="004A7739" w:rsidP="004A7739">
      <w:pPr>
        <w:pStyle w:val="SingleTxtG"/>
        <w:tabs>
          <w:tab w:val="left" w:pos="2268"/>
        </w:tabs>
        <w:ind w:firstLine="567"/>
        <w:rPr>
          <w:b/>
        </w:rPr>
      </w:pPr>
      <w:r>
        <w:t>h)</w:t>
      </w:r>
      <w:r>
        <w:tab/>
        <w:t>Закон об учреждении, организации и функционировании Комиссии по установлению истины, правосудию, возмещению ущерба и примирению, принятый 27</w:t>
      </w:r>
      <w:r w:rsidR="00CA242E">
        <w:rPr>
          <w:lang w:val="en-US"/>
        </w:rPr>
        <w:t> </w:t>
      </w:r>
      <w:r>
        <w:t>февраля 2020 года;</w:t>
      </w:r>
    </w:p>
    <w:p w14:paraId="2A36DE32" w14:textId="77777777" w:rsidR="004A7739" w:rsidRPr="006668CB" w:rsidRDefault="004A7739" w:rsidP="004A7739">
      <w:pPr>
        <w:pStyle w:val="SingleTxtG"/>
        <w:tabs>
          <w:tab w:val="left" w:pos="2268"/>
        </w:tabs>
        <w:ind w:firstLine="567"/>
      </w:pPr>
      <w:r>
        <w:t>i)</w:t>
      </w:r>
      <w:r>
        <w:tab/>
        <w:t>Закон о политических партиях и статусе оппозиции, принятый в феврале 2020 года и предусматривающий, в частности, соблюдение паритета в выдвижении кандидатур на выборах.</w:t>
      </w:r>
    </w:p>
    <w:p w14:paraId="15F6EF52" w14:textId="77777777" w:rsidR="004A7739" w:rsidRPr="006668CB" w:rsidRDefault="004A7739" w:rsidP="004A7739">
      <w:pPr>
        <w:pStyle w:val="SingleTxtG"/>
        <w:tabs>
          <w:tab w:val="left" w:pos="1701"/>
          <w:tab w:val="left" w:pos="1843"/>
          <w:tab w:val="left" w:pos="2127"/>
        </w:tabs>
      </w:pPr>
      <w:r>
        <w:t>4.</w:t>
      </w:r>
      <w:r>
        <w:tab/>
        <w:t>Комитет с удовлетворением отмечает, что государство-участник ратифицировало следующие международные договоры или присоединилось к ним:</w:t>
      </w:r>
    </w:p>
    <w:p w14:paraId="3D47D762" w14:textId="77777777" w:rsidR="004A7739" w:rsidRPr="006668CB" w:rsidRDefault="004A7739" w:rsidP="004A7739">
      <w:pPr>
        <w:pStyle w:val="SingleTxtG"/>
        <w:tabs>
          <w:tab w:val="left" w:pos="2268"/>
        </w:tabs>
        <w:ind w:firstLine="567"/>
      </w:pPr>
      <w:r>
        <w:t>a)</w:t>
      </w:r>
      <w:r>
        <w:tab/>
        <w:t>Конвенцию против пыток и других жестоких, бесчеловечных или унижающих достоинство видов обращения и наказания и Факультативный протокол к ней, в 2016 году;</w:t>
      </w:r>
    </w:p>
    <w:p w14:paraId="081EA618" w14:textId="77777777" w:rsidR="004A7739" w:rsidRPr="006668CB" w:rsidRDefault="004A7739" w:rsidP="004A7739">
      <w:pPr>
        <w:pStyle w:val="SingleTxtG"/>
        <w:tabs>
          <w:tab w:val="left" w:pos="2268"/>
        </w:tabs>
        <w:ind w:firstLine="567"/>
      </w:pPr>
      <w:r>
        <w:t>b)</w:t>
      </w:r>
      <w:r>
        <w:tab/>
        <w:t>Международную конвенцию для защиты всех лиц от насильственных исчезновений, в 2016 году;</w:t>
      </w:r>
    </w:p>
    <w:p w14:paraId="1AD691E1" w14:textId="77777777" w:rsidR="004A7739" w:rsidRPr="006668CB" w:rsidRDefault="004A7739" w:rsidP="004A7739">
      <w:pPr>
        <w:pStyle w:val="SingleTxtG"/>
        <w:tabs>
          <w:tab w:val="left" w:pos="2268"/>
        </w:tabs>
        <w:ind w:firstLine="567"/>
      </w:pPr>
      <w:r>
        <w:t>c)</w:t>
      </w:r>
      <w:r>
        <w:tab/>
        <w:t>Факультативный протокол к Конвенции о правах ребенка, касающийся участия детей в вооруженных конфликтах, в 2017 году;</w:t>
      </w:r>
    </w:p>
    <w:p w14:paraId="34A73031" w14:textId="77777777" w:rsidR="004A7739" w:rsidRPr="006668CB" w:rsidRDefault="004A7739" w:rsidP="004A7739">
      <w:pPr>
        <w:pStyle w:val="SingleTxtG"/>
        <w:tabs>
          <w:tab w:val="left" w:pos="2268"/>
        </w:tabs>
        <w:ind w:firstLine="567"/>
      </w:pPr>
      <w:r>
        <w:t>d)</w:t>
      </w:r>
      <w:r>
        <w:tab/>
        <w:t>Конвенцию о правах инвалидов, в 2016 году.</w:t>
      </w:r>
    </w:p>
    <w:p w14:paraId="0CF09E45" w14:textId="77777777" w:rsidR="004A7739" w:rsidRPr="006668CB" w:rsidRDefault="004A7739" w:rsidP="004A7739">
      <w:pPr>
        <w:pStyle w:val="H1G"/>
      </w:pPr>
      <w:r>
        <w:tab/>
        <w:t>C.</w:t>
      </w:r>
      <w:r w:rsidRPr="004A7739">
        <w:tab/>
      </w:r>
      <w:r>
        <w:tab/>
      </w:r>
      <w:r>
        <w:rPr>
          <w:bCs/>
        </w:rPr>
        <w:t>Основные вопросы, вызывающие обеспокоенность, и</w:t>
      </w:r>
      <w:r>
        <w:rPr>
          <w:bCs/>
          <w:lang w:val="en-US"/>
        </w:rPr>
        <w:t> </w:t>
      </w:r>
      <w:r>
        <w:rPr>
          <w:bCs/>
        </w:rPr>
        <w:t>рекомендации</w:t>
      </w:r>
      <w:r>
        <w:t xml:space="preserve"> </w:t>
      </w:r>
    </w:p>
    <w:p w14:paraId="05F48813" w14:textId="77777777" w:rsidR="004A7739" w:rsidRPr="006668CB" w:rsidRDefault="004A7739" w:rsidP="004A7739">
      <w:pPr>
        <w:pStyle w:val="H23G"/>
      </w:pPr>
      <w:r>
        <w:tab/>
      </w:r>
      <w:r>
        <w:tab/>
      </w:r>
      <w:r>
        <w:rPr>
          <w:bCs/>
        </w:rPr>
        <w:t>Применимость Пакта во внутреннем праве</w:t>
      </w:r>
    </w:p>
    <w:p w14:paraId="1114ED90" w14:textId="77777777" w:rsidR="004A7739" w:rsidRPr="006668CB" w:rsidRDefault="004A7739" w:rsidP="004A7739">
      <w:pPr>
        <w:pStyle w:val="SingleTxtG"/>
        <w:tabs>
          <w:tab w:val="left" w:pos="1701"/>
          <w:tab w:val="left" w:pos="1843"/>
          <w:tab w:val="left" w:pos="2127"/>
        </w:tabs>
      </w:pPr>
      <w:r>
        <w:t>5.</w:t>
      </w:r>
      <w:r>
        <w:tab/>
        <w:t xml:space="preserve">Комитет принимает к сведению особые обстоятельства, в которых проходит рассмотрение третьего периодического доклада государства-участника, а именно конфликтную ситуацию, сохраняющуюся с 2013 года, и трудности, с которыми сталкивается центральное правительство в плане контроля над всей территорией государства-участника. Вместе с тем Комитет считает, что трудности, которые могут помешать государству-участнику осуществлять эффективный контроль над некоторыми частями его территории, не освобождают его от обязанности использовать все средства для обеспечения полного осуществления прав, закрепленных в Пакте, в отношении любого лица, находящегося на его территории. Комитет далее отмечает, что, несмотря на существование статьи 94 Конституции, согласно которой договоры имеют преобладающую силу над законами, на практике государство-участник не продемонстрировало ни одного конкретного примера ссылок на положения Пакта в судах или их применения судами (статья 2). </w:t>
      </w:r>
    </w:p>
    <w:p w14:paraId="6AEA6AAD" w14:textId="77777777" w:rsidR="004A7739" w:rsidRPr="004A7739" w:rsidRDefault="004A7739" w:rsidP="004A7739">
      <w:pPr>
        <w:pStyle w:val="SingleTxtG"/>
        <w:rPr>
          <w:b/>
          <w:bCs/>
        </w:rPr>
      </w:pPr>
      <w:r>
        <w:t>6.</w:t>
      </w:r>
      <w:r>
        <w:tab/>
      </w:r>
      <w:r w:rsidRPr="004A7739">
        <w:rPr>
          <w:b/>
          <w:bCs/>
        </w:rPr>
        <w:t xml:space="preserve">В свете принятого Комитетом замечания общего порядка № 31 (2004) о характере общего юридического обязательства, налагаемого на государства - участники Пакта, государству-участнику следует обеспечить, чтобы его обязательства, вытекающие из Пакта, распространялись на всю национальную территорию, приняв для этого все необходимые меры, совместимые с международным правом. Кроме того, в соответствии с предыдущими </w:t>
      </w:r>
      <w:r w:rsidRPr="004A7739">
        <w:rPr>
          <w:b/>
          <w:bCs/>
        </w:rPr>
        <w:lastRenderedPageBreak/>
        <w:t>заключительными замечаниями Комитета (CCPR/C/CAF/CO/2, пункт 6) государству-участнику следует принять меры по повышению осведомленности о Пакте и Факультативном протоколе к нему среди судей, адвокатов и прокуроров, а также общественности, с тем чтобы обеспечить учет и применение их положений национальными судами. Ему также следует создать механизм последующих действий в связи с заключительными замечаниями и соображениями Комитета.</w:t>
      </w:r>
    </w:p>
    <w:p w14:paraId="3E0B65FC" w14:textId="77777777" w:rsidR="004A7739" w:rsidRPr="006668CB" w:rsidRDefault="004A7739" w:rsidP="004A7739">
      <w:pPr>
        <w:pStyle w:val="H23G"/>
      </w:pPr>
      <w:r>
        <w:tab/>
      </w:r>
      <w:r>
        <w:tab/>
      </w:r>
      <w:r>
        <w:rPr>
          <w:bCs/>
        </w:rPr>
        <w:t>Национальные учреждения, занимающиеся поощрением и защитой прав человека</w:t>
      </w:r>
    </w:p>
    <w:p w14:paraId="56544731" w14:textId="77777777" w:rsidR="004A7739" w:rsidRPr="006668CB" w:rsidRDefault="004A7739" w:rsidP="004A7739">
      <w:pPr>
        <w:pStyle w:val="SingleTxtG"/>
        <w:tabs>
          <w:tab w:val="left" w:pos="1701"/>
          <w:tab w:val="left" w:pos="1843"/>
          <w:tab w:val="left" w:pos="2127"/>
        </w:tabs>
      </w:pPr>
      <w:r>
        <w:t>7.</w:t>
      </w:r>
      <w:r>
        <w:tab/>
        <w:t>Комитет обеспокоен полученной информацией о том, что, несмотря на выделение в соответствии с Законом о финансах 2019 года финансовых ресурсов для функционирования Национальной комиссии по правам человека и основным свободам, они до сих пор не предоставлены в ее распоряжение. Комитет выражает сожаление в связи с бездействием Национальной комиссии, которая фактически не приступила к работе и не имеет региональных отделений, которые позволили бы ей действовать на всей территории страны (статья 2).</w:t>
      </w:r>
    </w:p>
    <w:p w14:paraId="7A3C0A0C" w14:textId="77777777" w:rsidR="004A7739" w:rsidRPr="006668CB" w:rsidRDefault="004A7739" w:rsidP="004A7739">
      <w:pPr>
        <w:pStyle w:val="SingleTxtG"/>
        <w:tabs>
          <w:tab w:val="left" w:pos="1701"/>
          <w:tab w:val="left" w:pos="1843"/>
          <w:tab w:val="left" w:pos="2127"/>
        </w:tabs>
        <w:rPr>
          <w:b/>
          <w:bCs/>
        </w:rPr>
      </w:pPr>
      <w:r>
        <w:t>8.</w:t>
      </w:r>
      <w:r>
        <w:tab/>
      </w:r>
      <w:r>
        <w:rPr>
          <w:b/>
          <w:bCs/>
        </w:rPr>
        <w:t>Государству-участнику следует обеспечить надлежащее распределение ресурсов, выделяемых Национальной комиссии по правам человека и основным свободам, с тем чтобы она могла эффективно и независимо выполнять свой мандат.</w:t>
      </w:r>
      <w:r>
        <w:t xml:space="preserve"> </w:t>
      </w:r>
      <w:r>
        <w:rPr>
          <w:b/>
          <w:bCs/>
        </w:rPr>
        <w:t>Ему следует также обеспечить, чтобы она располагала своими отделениями и эффективными средствами для принятия мер на всей национальной территории, учитывая при этом положение с безопасностью в некоторых регионах страны.</w:t>
      </w:r>
      <w:r>
        <w:t xml:space="preserve"> </w:t>
      </w:r>
      <w:r>
        <w:rPr>
          <w:b/>
          <w:bCs/>
        </w:rPr>
        <w:t>Комитет призывает государство-участник воспользоваться с этой целью технической поддержкой Многопрофильной комплексной миссии Организации Объединенных Наций по стабилизации в Центральноафриканской Республике.</w:t>
      </w:r>
      <w:r>
        <w:t xml:space="preserve"> </w:t>
      </w:r>
      <w:r>
        <w:rPr>
          <w:b/>
          <w:bCs/>
        </w:rPr>
        <w:t>Кроме того, государству-участнику следует принять все необходимые меры для обеспечения соответствия Национальной комиссии по правам человека принципам, касающимся статуса национальных учреждений, занимающихся поощрением и защитой прав человека (Парижским принципам).</w:t>
      </w:r>
    </w:p>
    <w:p w14:paraId="6C5A7A19" w14:textId="77777777" w:rsidR="004A7739" w:rsidRPr="006668CB" w:rsidRDefault="004A7739" w:rsidP="004A7739">
      <w:pPr>
        <w:pStyle w:val="H23G"/>
      </w:pPr>
      <w:r>
        <w:tab/>
      </w:r>
      <w:r>
        <w:tab/>
      </w:r>
      <w:r>
        <w:rPr>
          <w:bCs/>
        </w:rPr>
        <w:t>Безнаказанность, эффективные средства правовой защиты и возмещение ущерба</w:t>
      </w:r>
    </w:p>
    <w:p w14:paraId="660B0824" w14:textId="77777777" w:rsidR="004A7739" w:rsidRPr="006668CB" w:rsidRDefault="004A7739" w:rsidP="004A7739">
      <w:pPr>
        <w:pStyle w:val="SingleTxtG"/>
        <w:tabs>
          <w:tab w:val="left" w:pos="1701"/>
          <w:tab w:val="left" w:pos="1843"/>
          <w:tab w:val="left" w:pos="2127"/>
        </w:tabs>
      </w:pPr>
      <w:r>
        <w:t>9.</w:t>
      </w:r>
      <w:r>
        <w:tab/>
        <w:t>Комитет приветствует приложенные государством-участником усилия, чтобы пролить свет на наиболее серьезные нарушения прав человека и инициировать процесс правосудия переходного периода, в том числе с созданием Специального уголовного суда, который приступил к следственной и процессуальной работе, а также Комиссии по установлению истины, правосудию, возмещению ущерба и примирению. При этом Комитет обеспокоен тем, что эти механизмы функционируют еще не полной мере. В</w:t>
      </w:r>
      <w:r>
        <w:rPr>
          <w:lang w:val="en-US"/>
        </w:rPr>
        <w:t> </w:t>
      </w:r>
      <w:r>
        <w:t xml:space="preserve">частности, он отмечает, что Специальный уголовный суд не располагает достаточным количеством международных судей, которые могли бы заседать в обвинительной палате и судить тех, кто обвиняется в совершении самых тяжких преступлений, совершенных во время конфликта; эти судьи, как представляется, уже назначены, но не все из них вступили в должность. Кроме того, хотя Специальный уголовный суд создал механизм защиты жертв и свидетелей, его функционирование оставлено на усмотрение судей, которые используют его </w:t>
      </w:r>
      <w:r w:rsidR="00CE25D7">
        <w:t>«</w:t>
      </w:r>
      <w:r>
        <w:t>по мере необходимости</w:t>
      </w:r>
      <w:r w:rsidR="00CE25D7">
        <w:t>»</w:t>
      </w:r>
      <w:r>
        <w:t>, а</w:t>
      </w:r>
      <w:r w:rsidR="00CE25D7">
        <w:t> </w:t>
      </w:r>
      <w:r>
        <w:t>на практике никаких шагов для того, чтобы сделать эту процедуру работоспособной, предпринято не было. Наконец, отмечая меры, принятые для установления истины и примирения в стране, Комитет выражает сожаление в связи с тем, что эти меры сопровождаются решением о назначении ряда лиц, подозреваемых в серьезных нарушениях прав человека, в состав представительного правительства, что может де</w:t>
      </w:r>
      <w:r w:rsidR="00CE25D7">
        <w:noBreakHyphen/>
      </w:r>
      <w:r>
        <w:t xml:space="preserve">факто заблокировать возможность возбуждения против них судебного разбирательства (статьи 2, 6 и 7). </w:t>
      </w:r>
    </w:p>
    <w:p w14:paraId="50443F0B" w14:textId="77777777" w:rsidR="004A7739" w:rsidRPr="006668CB" w:rsidRDefault="004A7739" w:rsidP="004A7739">
      <w:pPr>
        <w:pStyle w:val="SingleTxtG"/>
        <w:pageBreakBefore/>
        <w:tabs>
          <w:tab w:val="left" w:pos="1701"/>
          <w:tab w:val="left" w:pos="1843"/>
          <w:tab w:val="left" w:pos="2127"/>
        </w:tabs>
        <w:rPr>
          <w:b/>
        </w:rPr>
      </w:pPr>
      <w:r>
        <w:lastRenderedPageBreak/>
        <w:t>10.</w:t>
      </w:r>
      <w:r>
        <w:tab/>
      </w:r>
      <w:r>
        <w:rPr>
          <w:b/>
          <w:bCs/>
        </w:rPr>
        <w:t>В соответствии с предыдущими заключительными замечаниями Комитета (CCPR/C/CAF/CO/2, пункты 7 и 8) государству-участнику следует:</w:t>
      </w:r>
    </w:p>
    <w:p w14:paraId="65336D66" w14:textId="77777777" w:rsidR="004A7739" w:rsidRPr="006668CB" w:rsidRDefault="004A7739" w:rsidP="004A7739">
      <w:pPr>
        <w:pStyle w:val="SingleTxtG"/>
        <w:tabs>
          <w:tab w:val="left" w:pos="2268"/>
        </w:tabs>
        <w:ind w:firstLine="567"/>
        <w:rPr>
          <w:b/>
        </w:rPr>
      </w:pPr>
      <w:r>
        <w:rPr>
          <w:b/>
          <w:bCs/>
        </w:rPr>
        <w:t>a)</w:t>
      </w:r>
      <w:r>
        <w:tab/>
      </w:r>
      <w:r>
        <w:rPr>
          <w:b/>
          <w:bCs/>
        </w:rPr>
        <w:t>принять необходимые меры, в том числе в рамках международного сотрудничества, для ускоренного назначения международных судей в Специальный уголовный суд, с тем чтобы могли быть рассмотрены дела, находящиеся на стадии расследования;</w:t>
      </w:r>
    </w:p>
    <w:p w14:paraId="00F8CB2F" w14:textId="77777777" w:rsidR="004A7739" w:rsidRPr="006668CB" w:rsidRDefault="004A7739" w:rsidP="004A7739">
      <w:pPr>
        <w:pStyle w:val="SingleTxtG"/>
        <w:tabs>
          <w:tab w:val="left" w:pos="2268"/>
        </w:tabs>
        <w:ind w:firstLine="567"/>
        <w:rPr>
          <w:b/>
        </w:rPr>
      </w:pPr>
      <w:r>
        <w:rPr>
          <w:b/>
          <w:bCs/>
        </w:rPr>
        <w:t>b)</w:t>
      </w:r>
      <w:r>
        <w:tab/>
      </w:r>
      <w:r>
        <w:rPr>
          <w:b/>
          <w:bCs/>
        </w:rPr>
        <w:t>обеспечить, чтобы все жертвы располагали эффективными средствами правовой защиты, в том числе в Специальном уголовном суде, и</w:t>
      </w:r>
      <w:r w:rsidR="00CE25D7">
        <w:rPr>
          <w:b/>
          <w:bCs/>
        </w:rPr>
        <w:t> </w:t>
      </w:r>
      <w:r>
        <w:rPr>
          <w:b/>
          <w:bCs/>
        </w:rPr>
        <w:t>чтобы они могли воспользоваться надлежащими мерами компенсации, реституции и реабилитации с учетом Основных принципов и руководящих положений, касающихся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w:t>
      </w:r>
      <w:r>
        <w:t xml:space="preserve"> </w:t>
      </w:r>
    </w:p>
    <w:p w14:paraId="6397777B" w14:textId="77777777" w:rsidR="004A7739" w:rsidRPr="006668CB" w:rsidRDefault="004A7739" w:rsidP="004A7739">
      <w:pPr>
        <w:pStyle w:val="SingleTxtG"/>
        <w:tabs>
          <w:tab w:val="left" w:pos="2268"/>
        </w:tabs>
        <w:ind w:firstLine="567"/>
        <w:rPr>
          <w:b/>
        </w:rPr>
      </w:pPr>
      <w:r>
        <w:rPr>
          <w:b/>
          <w:bCs/>
        </w:rPr>
        <w:t>c)</w:t>
      </w:r>
      <w:r>
        <w:tab/>
      </w:r>
      <w:r>
        <w:rPr>
          <w:b/>
          <w:bCs/>
        </w:rPr>
        <w:t>обеспечить, чтобы жертвы и свидетели могли участвовать в судебных разбирательствах в Специальном уголовном суде с помощью оперативного механизма защиты жертв и свидетелей, следуя установившейся практике Международного уголовного суда;</w:t>
      </w:r>
    </w:p>
    <w:p w14:paraId="44CF865F" w14:textId="77777777" w:rsidR="004A7739" w:rsidRPr="006668CB" w:rsidRDefault="004A7739" w:rsidP="004A7739">
      <w:pPr>
        <w:pStyle w:val="SingleTxtG"/>
        <w:tabs>
          <w:tab w:val="left" w:pos="2268"/>
        </w:tabs>
        <w:ind w:firstLine="567"/>
        <w:rPr>
          <w:b/>
        </w:rPr>
      </w:pPr>
      <w:r>
        <w:rPr>
          <w:b/>
          <w:bCs/>
        </w:rPr>
        <w:t>d)</w:t>
      </w:r>
      <w:r>
        <w:tab/>
      </w:r>
      <w:r>
        <w:rPr>
          <w:b/>
          <w:bCs/>
        </w:rPr>
        <w:t>обеспечить скорейшее начало работы Комиссии по установлению истины, правосудию, возмещению ущерба и примирению и следить за тем, чтобы она функционировала инклюзивным, эффективным и независимым образом в соответствии со стандартами и нормами международного права, в том числе путем запрета любой амнистии за грубые нарушения международного права в области прав человека и серьезн</w:t>
      </w:r>
      <w:r w:rsidR="00811C3F">
        <w:rPr>
          <w:b/>
          <w:bCs/>
        </w:rPr>
        <w:t>ые</w:t>
      </w:r>
      <w:r>
        <w:rPr>
          <w:b/>
          <w:bCs/>
        </w:rPr>
        <w:t xml:space="preserve"> нарушения международного гуманитарного права, и чтобы, как подчеркивает в этой связи Комитет, создание механизма правосудия переходного периода не приводило к освобождению от уголовного преследования лиц, ответственных за серьезные нарушения прав человека;</w:t>
      </w:r>
    </w:p>
    <w:p w14:paraId="6862C3E6" w14:textId="77777777" w:rsidR="004A7739" w:rsidRPr="006668CB" w:rsidRDefault="004A7739" w:rsidP="004A7739">
      <w:pPr>
        <w:pStyle w:val="SingleTxtG"/>
        <w:tabs>
          <w:tab w:val="left" w:pos="2268"/>
        </w:tabs>
        <w:ind w:firstLine="567"/>
        <w:rPr>
          <w:b/>
        </w:rPr>
      </w:pPr>
      <w:r>
        <w:rPr>
          <w:b/>
          <w:bCs/>
        </w:rPr>
        <w:t>e)</w:t>
      </w:r>
      <w:r>
        <w:tab/>
      </w:r>
      <w:r>
        <w:rPr>
          <w:b/>
          <w:bCs/>
        </w:rPr>
        <w:t>усилить меры, принимаемые для проверки прежней деятельности, с</w:t>
      </w:r>
      <w:r w:rsidR="00811C3F">
        <w:rPr>
          <w:b/>
          <w:bCs/>
        </w:rPr>
        <w:t> </w:t>
      </w:r>
      <w:r>
        <w:rPr>
          <w:b/>
          <w:bCs/>
        </w:rPr>
        <w:t>тем чтобы лица, обвиняемые в нарушениях положений Пакта, не могли занимать государственные должности и продвигаться по карьерной лес</w:t>
      </w:r>
      <w:r w:rsidR="00811C3F">
        <w:rPr>
          <w:b/>
          <w:bCs/>
        </w:rPr>
        <w:t>т</w:t>
      </w:r>
      <w:r>
        <w:rPr>
          <w:b/>
          <w:bCs/>
        </w:rPr>
        <w:t>нице.</w:t>
      </w:r>
    </w:p>
    <w:p w14:paraId="30024325" w14:textId="77777777" w:rsidR="004A7739" w:rsidRPr="006668CB" w:rsidRDefault="004A7739" w:rsidP="004A7739">
      <w:pPr>
        <w:pStyle w:val="H23G"/>
      </w:pPr>
      <w:r>
        <w:tab/>
      </w:r>
      <w:r>
        <w:tab/>
      </w:r>
      <w:r>
        <w:rPr>
          <w:bCs/>
        </w:rPr>
        <w:t>Недискриминация и равенство между мужчинами и женщинами</w:t>
      </w:r>
      <w:r>
        <w:t xml:space="preserve"> </w:t>
      </w:r>
    </w:p>
    <w:p w14:paraId="61D6AE31" w14:textId="77777777" w:rsidR="004A7739" w:rsidRPr="006668CB" w:rsidRDefault="004A7739" w:rsidP="004A7739">
      <w:pPr>
        <w:pStyle w:val="SingleTxtG"/>
        <w:tabs>
          <w:tab w:val="left" w:pos="1701"/>
          <w:tab w:val="left" w:pos="1843"/>
          <w:tab w:val="left" w:pos="2127"/>
        </w:tabs>
      </w:pPr>
      <w:r>
        <w:t>11.</w:t>
      </w:r>
      <w:r>
        <w:tab/>
        <w:t>Комитет обеспокоен отсутствием всеобъемлющего антидискриминационного законодательства. Он также сожалеет об отсутствии информации о конкретных мерах, принятых для включения гендерного аспекта в процесс отправления правосудия в переходный период, в том числе о фактической практике Специального уголовного суда. Комитет также сожалеет об отсутствии информации о мерах, принятых для обеспечения равенства между мужчинами и женщинами не только в законодательстве, но и на практике, в том числе в отношении участия в государственных делах, где представленность женщин в законодательных органах, на руководящих должностях исполнительных органов власти и в судебной системе остается весьма низкой (статьи</w:t>
      </w:r>
      <w:r w:rsidR="00B67D31">
        <w:rPr>
          <w:lang w:val="en-US"/>
        </w:rPr>
        <w:t> </w:t>
      </w:r>
      <w:r>
        <w:t>2, 3, 23, 25 и 26).</w:t>
      </w:r>
    </w:p>
    <w:p w14:paraId="03E58025" w14:textId="77777777" w:rsidR="004A7739" w:rsidRPr="006668CB" w:rsidRDefault="004A7739" w:rsidP="004A7739">
      <w:pPr>
        <w:pStyle w:val="SingleTxtG"/>
        <w:tabs>
          <w:tab w:val="left" w:pos="1701"/>
          <w:tab w:val="left" w:pos="1843"/>
          <w:tab w:val="left" w:pos="2127"/>
        </w:tabs>
        <w:rPr>
          <w:b/>
        </w:rPr>
      </w:pPr>
      <w:r>
        <w:t>12.</w:t>
      </w:r>
      <w:r>
        <w:tab/>
      </w:r>
      <w:r>
        <w:rPr>
          <w:b/>
          <w:bCs/>
        </w:rPr>
        <w:t>В соответствии с предыдущими заключительными замечаниями Комитета (CCPR/C/CAF/CO/2, пункт</w:t>
      </w:r>
      <w:r w:rsidR="00811C3F">
        <w:rPr>
          <w:b/>
          <w:bCs/>
        </w:rPr>
        <w:t xml:space="preserve"> 9</w:t>
      </w:r>
      <w:r>
        <w:rPr>
          <w:b/>
          <w:bCs/>
        </w:rPr>
        <w:t>) государству-участнику следует:</w:t>
      </w:r>
    </w:p>
    <w:p w14:paraId="1671C5F7" w14:textId="77777777" w:rsidR="004A7739" w:rsidRPr="006668CB" w:rsidRDefault="004A7739" w:rsidP="004A7739">
      <w:pPr>
        <w:pStyle w:val="SingleTxtG"/>
        <w:tabs>
          <w:tab w:val="left" w:pos="2268"/>
        </w:tabs>
        <w:ind w:firstLine="567"/>
        <w:rPr>
          <w:b/>
        </w:rPr>
      </w:pPr>
      <w:r w:rsidRPr="00811C3F">
        <w:rPr>
          <w:b/>
          <w:bCs/>
        </w:rPr>
        <w:t>a)</w:t>
      </w:r>
      <w:r>
        <w:tab/>
      </w:r>
      <w:r>
        <w:rPr>
          <w:b/>
          <w:bCs/>
        </w:rPr>
        <w:t>принять всеобъемлющий антидискриминационный закон, в том числе предусматривающий эффективные средства правовой защиты в случае нарушений, для обеспечения того, чтобы его правовая база обеспечивала полную и эффективную защиту от дискриминации во всех областях, в том числе в частной сфере, и по любому признаку, включая пол, цвет кожи, язык, религию, политические или иные убеждения, национальное или социальное происхождение, инвалидность, сексуальную ориентацию и гендерную идентичность или любое иное состояние;</w:t>
      </w:r>
    </w:p>
    <w:p w14:paraId="25C442E3" w14:textId="77777777" w:rsidR="004A7739" w:rsidRPr="006668CB" w:rsidRDefault="004A7739" w:rsidP="004A7739">
      <w:pPr>
        <w:pStyle w:val="SingleTxtG"/>
        <w:tabs>
          <w:tab w:val="left" w:pos="2268"/>
        </w:tabs>
        <w:ind w:firstLine="567"/>
        <w:rPr>
          <w:b/>
        </w:rPr>
      </w:pPr>
      <w:r>
        <w:rPr>
          <w:b/>
          <w:bCs/>
        </w:rPr>
        <w:t>b)</w:t>
      </w:r>
      <w:r>
        <w:tab/>
      </w:r>
      <w:r>
        <w:rPr>
          <w:b/>
          <w:bCs/>
        </w:rPr>
        <w:t>учитывать гендерный аспект во всем процессе отправления правосудия в переходный период, в том числе в практике Специального уголовного суда;</w:t>
      </w:r>
    </w:p>
    <w:p w14:paraId="7546D41B" w14:textId="77777777" w:rsidR="004A7739" w:rsidRPr="004A7739" w:rsidRDefault="004A7739" w:rsidP="004A7739">
      <w:pPr>
        <w:pStyle w:val="SingleTxtG"/>
        <w:tabs>
          <w:tab w:val="left" w:pos="2268"/>
        </w:tabs>
        <w:ind w:firstLine="567"/>
        <w:rPr>
          <w:rStyle w:val="SingleTxtGCar"/>
          <w:b/>
          <w:lang w:val="ru-RU"/>
        </w:rPr>
      </w:pPr>
      <w:r>
        <w:rPr>
          <w:b/>
          <w:bCs/>
        </w:rPr>
        <w:lastRenderedPageBreak/>
        <w:t>c)</w:t>
      </w:r>
      <w:r>
        <w:tab/>
      </w:r>
      <w:r>
        <w:rPr>
          <w:b/>
          <w:bCs/>
        </w:rPr>
        <w:t>обеспечить эффективное участие женщин в общественной жизни, в</w:t>
      </w:r>
      <w:r w:rsidR="00811C3F">
        <w:rPr>
          <w:b/>
          <w:bCs/>
        </w:rPr>
        <w:t> </w:t>
      </w:r>
      <w:r>
        <w:rPr>
          <w:b/>
          <w:bCs/>
        </w:rPr>
        <w:t>том числе путем активизации деятельности по просвещению и повышению осведомленности общественности в целях борьбы с гендерными стереотипами, касающимися подчиненного положения женщин по отношению к мужчинам и их соответствующих ролей и обязанностей в семье и обществе.</w:t>
      </w:r>
    </w:p>
    <w:p w14:paraId="39440140" w14:textId="77777777" w:rsidR="004A7739" w:rsidRPr="006668CB" w:rsidRDefault="004A7739" w:rsidP="004A7739">
      <w:pPr>
        <w:pStyle w:val="H23G"/>
      </w:pPr>
      <w:r>
        <w:tab/>
      </w:r>
      <w:r>
        <w:tab/>
      </w:r>
      <w:r>
        <w:rPr>
          <w:bCs/>
        </w:rPr>
        <w:t>Вредная практика и сексуальное насилие</w:t>
      </w:r>
    </w:p>
    <w:p w14:paraId="00F0CE65" w14:textId="77777777" w:rsidR="004A7739" w:rsidRPr="006668CB" w:rsidRDefault="004A7739" w:rsidP="004A7739">
      <w:pPr>
        <w:pStyle w:val="SingleTxtG"/>
        <w:tabs>
          <w:tab w:val="left" w:pos="1701"/>
          <w:tab w:val="left" w:pos="1843"/>
          <w:tab w:val="left" w:pos="2127"/>
        </w:tabs>
      </w:pPr>
      <w:r>
        <w:t>13.</w:t>
      </w:r>
      <w:r>
        <w:tab/>
        <w:t>Комитет отмечает усилия государства-участника по борьбе с некоторыми видами вредной практики и сексуальным насилием, в том числе в отношении детей, на основе Закона № 06.032 о защите женщин, законопроекта о защите детей и Национального переходного плана с основной целью оказания содействия системе базового образования. Тем не менее Комитет обеспокоен сохранением этой практики и насилия, в том числе ограниченным прогрессом в пресечении отдельных видов практики, таких как полигамия, и сохранением некоторых положений Уголовного кодекса, таких как статья 105, согласно которой лицо, совершившее похищение, может жениться на своей жертве, лишая ее права добиваться возмещения ущерба. Комитет сожалеет об отсутствии информации о результативности принятых мер, в том числе со стороны Совместной группы быстрого реагирования и пресечения сексуального насилия в отношении женщин и детей. Комитет обеспокоен утверждениями о том, что сексуальное насилие по-прежнему используется в качестве орудия войны, а также неэффективностью средств правовой защиты для жертв, в частности из-за социальных табу, боязни репрессий или побуждения согласиться на полюбовное урегулирование, и отсутствием безопасности, что делает невозможным обращение в полицейские участки и суды (статьи 2, 3, 6, 7 и 26).</w:t>
      </w:r>
    </w:p>
    <w:p w14:paraId="312A9983" w14:textId="77777777" w:rsidR="004A7739" w:rsidRPr="006668CB" w:rsidRDefault="004A7739" w:rsidP="004A7739">
      <w:pPr>
        <w:pStyle w:val="SingleTxtG"/>
        <w:tabs>
          <w:tab w:val="left" w:pos="1701"/>
          <w:tab w:val="left" w:pos="1843"/>
          <w:tab w:val="left" w:pos="2127"/>
        </w:tabs>
        <w:rPr>
          <w:b/>
        </w:rPr>
      </w:pPr>
      <w:r>
        <w:t>14.</w:t>
      </w:r>
      <w:r>
        <w:tab/>
      </w:r>
      <w:r>
        <w:rPr>
          <w:b/>
          <w:bCs/>
        </w:rPr>
        <w:t>Государству-участнику следует активизировать свои усилия по борьбе с глубоко укоренившимися патриархальными взглядами и стереотипами, связанными с ролью мужчин и женщин в обществе, которые способствуют серьезным нарушениям прав женщин и девочек и посягательствам на их неприкосновенность.</w:t>
      </w:r>
      <w:r>
        <w:t xml:space="preserve"> </w:t>
      </w:r>
      <w:r>
        <w:rPr>
          <w:b/>
          <w:bCs/>
        </w:rPr>
        <w:t>В соответствии с резолюцией 1325 (2000 год) Совета Безопасности о женщинах, мире и безопасности и заключительными замечаниями Комитета по экономическим, социальным и культурным правам (E/C.12/CAF/CO/1, пункт 14) государству-участнику следует:</w:t>
      </w:r>
      <w:r>
        <w:t xml:space="preserve"> </w:t>
      </w:r>
    </w:p>
    <w:p w14:paraId="4A4FFF7F" w14:textId="77777777" w:rsidR="004A7739" w:rsidRPr="006668CB" w:rsidRDefault="004A7739" w:rsidP="004A7739">
      <w:pPr>
        <w:pStyle w:val="SingleTxtG"/>
        <w:tabs>
          <w:tab w:val="left" w:pos="2268"/>
        </w:tabs>
        <w:ind w:firstLine="567"/>
        <w:rPr>
          <w:b/>
        </w:rPr>
      </w:pPr>
      <w:r>
        <w:rPr>
          <w:b/>
          <w:bCs/>
        </w:rPr>
        <w:t>a)</w:t>
      </w:r>
      <w:r>
        <w:tab/>
      </w:r>
      <w:r>
        <w:rPr>
          <w:b/>
          <w:bCs/>
        </w:rPr>
        <w:t>отменить все положения, в том числе в Семейном кодексе и Уголовном кодексе, включая статью 105 Уголовного кодекса, которые способствуют посягательствам на неприкосновенность женщин и девочек;</w:t>
      </w:r>
    </w:p>
    <w:p w14:paraId="7A09865C" w14:textId="77777777" w:rsidR="004A7739" w:rsidRPr="006668CB" w:rsidRDefault="004A7739" w:rsidP="004A7739">
      <w:pPr>
        <w:pStyle w:val="SingleTxtG"/>
        <w:tabs>
          <w:tab w:val="left" w:pos="2268"/>
        </w:tabs>
        <w:ind w:firstLine="567"/>
        <w:rPr>
          <w:b/>
        </w:rPr>
      </w:pPr>
      <w:r>
        <w:rPr>
          <w:b/>
          <w:bCs/>
        </w:rPr>
        <w:t>b)</w:t>
      </w:r>
      <w:r>
        <w:tab/>
      </w:r>
      <w:r>
        <w:rPr>
          <w:b/>
          <w:bCs/>
        </w:rPr>
        <w:t>укрепить потенциал Совместной группы быстрого реагирования и пресечения сексуального насилия в отношении женщин и детей для обеспечения того, чтобы по всем случаям сексуального насилия, включая детские браки и калечащие операции на женских половых органах, проводились расследования, а лица, совершившие эти нарушения, привлекались к ответственности и наказывались в случае признания их виновными;</w:t>
      </w:r>
    </w:p>
    <w:p w14:paraId="5A746A10" w14:textId="77777777" w:rsidR="004A7739" w:rsidRPr="006668CB" w:rsidRDefault="004A7739" w:rsidP="004A7739">
      <w:pPr>
        <w:pStyle w:val="SingleTxtG"/>
        <w:tabs>
          <w:tab w:val="left" w:pos="2268"/>
        </w:tabs>
        <w:ind w:firstLine="567"/>
        <w:rPr>
          <w:b/>
        </w:rPr>
      </w:pPr>
      <w:r>
        <w:rPr>
          <w:b/>
          <w:bCs/>
        </w:rPr>
        <w:t>c)</w:t>
      </w:r>
      <w:r>
        <w:tab/>
      </w:r>
      <w:r>
        <w:rPr>
          <w:b/>
          <w:bCs/>
        </w:rPr>
        <w:t>повысить осведомленность населения, особенно традиционных и религиозных лидеров, о негативных и долгосрочных последствиях насилия в отношении женщин и девочек;</w:t>
      </w:r>
    </w:p>
    <w:p w14:paraId="3F15BE5B" w14:textId="77777777" w:rsidR="004A7739" w:rsidRPr="006668CB" w:rsidRDefault="004A7739" w:rsidP="004A7739">
      <w:pPr>
        <w:pStyle w:val="SingleTxtG"/>
        <w:tabs>
          <w:tab w:val="left" w:pos="2268"/>
        </w:tabs>
        <w:ind w:firstLine="567"/>
      </w:pPr>
      <w:r>
        <w:rPr>
          <w:b/>
          <w:bCs/>
        </w:rPr>
        <w:t>d)</w:t>
      </w:r>
      <w:r>
        <w:tab/>
      </w:r>
      <w:r>
        <w:rPr>
          <w:b/>
          <w:bCs/>
        </w:rPr>
        <w:t>обеспечить предоставление жертвам правовой, медицинской, финансовой и психологической помощи, а также доступа к эффективным средствам правовой защиты и мерам защиты;</w:t>
      </w:r>
    </w:p>
    <w:p w14:paraId="40347B08" w14:textId="77777777" w:rsidR="004A7739" w:rsidRPr="006668CB" w:rsidRDefault="004A7739" w:rsidP="004A7739">
      <w:pPr>
        <w:pStyle w:val="SingleTxtG"/>
        <w:tabs>
          <w:tab w:val="left" w:pos="2268"/>
        </w:tabs>
        <w:ind w:firstLine="567"/>
        <w:rPr>
          <w:b/>
        </w:rPr>
      </w:pPr>
      <w:r>
        <w:rPr>
          <w:b/>
          <w:bCs/>
        </w:rPr>
        <w:t>e)</w:t>
      </w:r>
      <w:r>
        <w:tab/>
      </w:r>
      <w:r>
        <w:rPr>
          <w:b/>
          <w:bCs/>
        </w:rPr>
        <w:t>ускорить подготовку судей и прокуроров, в том числе судей и прокуроров Специального уголовного суда, а также сотрудников правоохранительных органов, с тем чтобы они могли эффективно и с учетом гендерного фактора рассматривать дела о насилии в отношении женщин и насилии в семье;</w:t>
      </w:r>
    </w:p>
    <w:p w14:paraId="3860B0CE" w14:textId="77777777" w:rsidR="004A7739" w:rsidRPr="006668CB" w:rsidRDefault="004A7739" w:rsidP="004A7739">
      <w:pPr>
        <w:pStyle w:val="SingleTxtG"/>
        <w:tabs>
          <w:tab w:val="left" w:pos="2268"/>
        </w:tabs>
        <w:ind w:firstLine="567"/>
        <w:rPr>
          <w:b/>
        </w:rPr>
      </w:pPr>
      <w:r>
        <w:rPr>
          <w:b/>
          <w:bCs/>
        </w:rPr>
        <w:t>f)</w:t>
      </w:r>
      <w:r>
        <w:tab/>
      </w:r>
      <w:r>
        <w:rPr>
          <w:b/>
          <w:bCs/>
        </w:rPr>
        <w:t>создать надежную систему сбора дезагрегированных статистических данных о насилии в отношении женщин и вредной практике.</w:t>
      </w:r>
    </w:p>
    <w:p w14:paraId="706BB2F0" w14:textId="77777777" w:rsidR="004A7739" w:rsidRPr="006668CB" w:rsidRDefault="004A7739" w:rsidP="004A7739">
      <w:pPr>
        <w:pStyle w:val="H23G"/>
      </w:pPr>
      <w:r>
        <w:lastRenderedPageBreak/>
        <w:tab/>
      </w:r>
      <w:r>
        <w:tab/>
      </w:r>
      <w:r>
        <w:rPr>
          <w:bCs/>
        </w:rPr>
        <w:t>Материнская и младенческая смертность и добровольное прерывание беременности</w:t>
      </w:r>
    </w:p>
    <w:p w14:paraId="6EBC94CD" w14:textId="77777777" w:rsidR="004A7739" w:rsidRPr="006668CB" w:rsidRDefault="004A7739" w:rsidP="004A7739">
      <w:pPr>
        <w:pStyle w:val="SingleTxtG"/>
        <w:tabs>
          <w:tab w:val="left" w:pos="1701"/>
          <w:tab w:val="left" w:pos="1843"/>
          <w:tab w:val="left" w:pos="2127"/>
        </w:tabs>
      </w:pPr>
      <w:r>
        <w:t>15.</w:t>
      </w:r>
      <w:r>
        <w:tab/>
        <w:t>С учетом высокой материнской смертности и утверждений о применении тайных и небезопасных абортов в условиях, угрожающих жизни и здоровью женщин, Комитет выражает сожаление по поводу того, что предусмотренное в Уголовном кодексе медицинское прерывание беременности допускается лишь в о</w:t>
      </w:r>
      <w:r w:rsidR="006554B3">
        <w:t>г</w:t>
      </w:r>
      <w:r>
        <w:t>раниченный временной период и в зависимости от решения коллегии специалистов-медиков (статьи 3, 6, 7, 17 и 26).</w:t>
      </w:r>
    </w:p>
    <w:p w14:paraId="53A560CD" w14:textId="77777777" w:rsidR="004A7739" w:rsidRPr="006668CB" w:rsidRDefault="004A7739" w:rsidP="004A7739">
      <w:pPr>
        <w:pStyle w:val="SingleTxtG"/>
        <w:tabs>
          <w:tab w:val="left" w:pos="1701"/>
          <w:tab w:val="left" w:pos="1843"/>
          <w:tab w:val="left" w:pos="2127"/>
        </w:tabs>
      </w:pPr>
      <w:r>
        <w:t>16.</w:t>
      </w:r>
      <w:r>
        <w:tab/>
      </w:r>
      <w:r>
        <w:rPr>
          <w:b/>
          <w:bCs/>
        </w:rPr>
        <w:t>Государству-участнику следует внести поправки в свое законодательство с целью обеспечения безопасного, законного и эффективного доступа к абортам в тех случаях, когда жизнь и здоровье беременной женщины или девочки находятся под угрозой и когда перенос беременности может причинить женщине или девочке значительную боль или страдания, особенно тогда, когда беременность является результатом изнасилования или инцеста или не является жизнеспособной.</w:t>
      </w:r>
      <w:r>
        <w:t xml:space="preserve"> </w:t>
      </w:r>
      <w:r>
        <w:rPr>
          <w:b/>
          <w:bCs/>
        </w:rPr>
        <w:t>Ему следует также обеспечить, чтобы женщины и девочки, прибегающие к абортам, и врачи, оказывающие им помощь, не подвергались уголовным наказаниям, поскольку такие наказания вынуждают женщин и девочек прибегать к небезопасным абортам.</w:t>
      </w:r>
      <w:r>
        <w:t xml:space="preserve"> </w:t>
      </w:r>
      <w:r>
        <w:rPr>
          <w:b/>
          <w:bCs/>
        </w:rPr>
        <w:t>Кроме того, государству-участнику следует проводить информационно-просветительскую политику для борьбы со стигматизацией женщин и девочек, прибегающих к абортам, и обеспечить, чтобы все женщины и девочки имели доступ к противозачаточным средствам и адекватным и доступным по цене услугам в области репродуктивного здоровья.</w:t>
      </w:r>
    </w:p>
    <w:p w14:paraId="0A7F7AB5" w14:textId="77777777" w:rsidR="004A7739" w:rsidRPr="006668CB" w:rsidRDefault="004A7739" w:rsidP="004A7739">
      <w:pPr>
        <w:pStyle w:val="H23G"/>
      </w:pPr>
      <w:r>
        <w:tab/>
      </w:r>
      <w:r>
        <w:tab/>
      </w:r>
      <w:r>
        <w:rPr>
          <w:bCs/>
        </w:rPr>
        <w:t>Смертная казнь</w:t>
      </w:r>
    </w:p>
    <w:p w14:paraId="57932A40" w14:textId="77777777" w:rsidR="004A7739" w:rsidRPr="006668CB" w:rsidRDefault="004A7739" w:rsidP="004A7739">
      <w:pPr>
        <w:pStyle w:val="SingleTxtG"/>
        <w:tabs>
          <w:tab w:val="left" w:pos="1701"/>
          <w:tab w:val="left" w:pos="1843"/>
          <w:tab w:val="left" w:pos="2127"/>
        </w:tabs>
      </w:pPr>
      <w:r>
        <w:t>17.</w:t>
      </w:r>
      <w:r>
        <w:tab/>
        <w:t>Приветствуя фактически применяемый государством-участником мораторий, в</w:t>
      </w:r>
      <w:r w:rsidR="006554B3">
        <w:t> </w:t>
      </w:r>
      <w:r>
        <w:t>результате которого смертные приговоры не приводятся в исполнение с 1981 года, Комитет по-прежнему обеспокоен: а) продолжающимся вынесением смертных приговоров; и b) отсутствием прогресса в принятии закона об отмене смертной казни (статья 6).</w:t>
      </w:r>
    </w:p>
    <w:p w14:paraId="43C8B171" w14:textId="77777777" w:rsidR="004A7739" w:rsidRPr="006668CB" w:rsidRDefault="004A7739" w:rsidP="004A7739">
      <w:pPr>
        <w:pStyle w:val="SingleTxtG"/>
        <w:tabs>
          <w:tab w:val="left" w:pos="1701"/>
          <w:tab w:val="left" w:pos="1843"/>
          <w:tab w:val="left" w:pos="2127"/>
        </w:tabs>
        <w:rPr>
          <w:b/>
        </w:rPr>
      </w:pPr>
      <w:r>
        <w:t>18.</w:t>
      </w:r>
      <w:r>
        <w:tab/>
      </w:r>
      <w:r>
        <w:rPr>
          <w:b/>
          <w:bCs/>
        </w:rPr>
        <w:t>В соответствии с предыдущими заключительными замечаниями Комитета (CCPR/C/CAF/CO/2, пункт 13) государству-участнику следует рассмотреть возможность начала политического и законодательного процесса, направленного на отмену смертной казни, принять меры по повышению осведомленности общественности и провести кампании в поддержку отмены смертной казни.</w:t>
      </w:r>
      <w:r>
        <w:t xml:space="preserve"> </w:t>
      </w:r>
      <w:r>
        <w:rPr>
          <w:b/>
          <w:bCs/>
        </w:rPr>
        <w:t>Кроме того, государству-участнику следует рассмотреть вопрос о присоединении ко второму Факультативному протоколу к Пакту, направленному на отмену смертной казни.</w:t>
      </w:r>
      <w:r>
        <w:t xml:space="preserve"> </w:t>
      </w:r>
    </w:p>
    <w:p w14:paraId="054C0DE0" w14:textId="77777777" w:rsidR="004A7739" w:rsidRPr="006668CB" w:rsidRDefault="004A7739" w:rsidP="004A7739">
      <w:pPr>
        <w:pStyle w:val="H23G"/>
      </w:pPr>
      <w:r>
        <w:tab/>
      </w:r>
      <w:r>
        <w:tab/>
      </w:r>
      <w:r>
        <w:rPr>
          <w:bCs/>
        </w:rPr>
        <w:t>Право на жизнь и защита гражданского населения</w:t>
      </w:r>
    </w:p>
    <w:p w14:paraId="51BD0B56" w14:textId="77777777" w:rsidR="004A7739" w:rsidRPr="006668CB" w:rsidRDefault="004A7739" w:rsidP="004A7739">
      <w:pPr>
        <w:pStyle w:val="SingleTxtG"/>
        <w:tabs>
          <w:tab w:val="left" w:pos="1701"/>
          <w:tab w:val="left" w:pos="1843"/>
          <w:tab w:val="left" w:pos="2127"/>
        </w:tabs>
        <w:rPr>
          <w:spacing w:val="-2"/>
        </w:rPr>
      </w:pPr>
      <w:r>
        <w:t>19.</w:t>
      </w:r>
      <w:r>
        <w:tab/>
        <w:t xml:space="preserve">Отмечая усилия государства-участника по расследованию некоторых внесудебных казней, совершенных с 2013 года, Комитет выражает сожаление в связи с несистематическим характером этих расследований, особенно в связи с утверждениями о нарушениях, совершенных Управлением по борьбе с бандитизмом Центральноафриканской Республики и конголезскими миротворцами Африканского союза в Боали, где было обнаружено массовое захоронение. Комитет обеспокоен сообщениями о том, что серьезные нарушения прав человека, включая изнасилования, пытки и внесудебные казни, совершались и продолжают совершаться в отношении гражданских лиц в зонах конфликта, где свирепствуют несколько вооруженных групп и военизированных формирований и где </w:t>
      </w:r>
      <w:r w:rsidR="00B67D31">
        <w:t>вследствие</w:t>
      </w:r>
      <w:r>
        <w:t xml:space="preserve"> их совершения на территориях, не контролируемых государством, расследований по ним не проводится. Комитет также обеспокоен утверждениями о линчевании и убийствах за колдовство и шарлатанство (статьи 2, 6 и 7).</w:t>
      </w:r>
    </w:p>
    <w:p w14:paraId="5C68CE96" w14:textId="77777777" w:rsidR="004A7739" w:rsidRPr="006668CB" w:rsidRDefault="004A7739" w:rsidP="004A7739">
      <w:pPr>
        <w:pStyle w:val="SingleTxtG"/>
        <w:tabs>
          <w:tab w:val="left" w:pos="1701"/>
          <w:tab w:val="left" w:pos="1843"/>
          <w:tab w:val="left" w:pos="2127"/>
        </w:tabs>
        <w:rPr>
          <w:b/>
        </w:rPr>
      </w:pPr>
      <w:r>
        <w:t>20.</w:t>
      </w:r>
      <w:r>
        <w:tab/>
      </w:r>
      <w:r>
        <w:rPr>
          <w:b/>
          <w:bCs/>
        </w:rPr>
        <w:t xml:space="preserve">С учетом вызывающего тревогу числа утверждений о внесудебных казнях, совершаемых негосударственными субъектами, государству-участнику следует решить эту проблему, в частности путем ускорения мер, направленных на разоружение и демобилизацию вооруженных групп, и обеспечения того, чтобы </w:t>
      </w:r>
      <w:r>
        <w:rPr>
          <w:b/>
          <w:bCs/>
        </w:rPr>
        <w:lastRenderedPageBreak/>
        <w:t>утверждения о внесудебных казнях и других серьезных нарушениях прав человека тщательно расследовались и чтобы все виновные, независимо от их принадлежности, привлекались к ответственности и наказывались соразмерно тяжести совершенных им</w:t>
      </w:r>
      <w:r w:rsidR="006554B3">
        <w:rPr>
          <w:b/>
          <w:bCs/>
        </w:rPr>
        <w:t>и</w:t>
      </w:r>
      <w:r>
        <w:rPr>
          <w:b/>
          <w:bCs/>
        </w:rPr>
        <w:t xml:space="preserve"> деяний.</w:t>
      </w:r>
      <w:r>
        <w:t xml:space="preserve"> </w:t>
      </w:r>
      <w:r>
        <w:rPr>
          <w:b/>
          <w:bCs/>
        </w:rPr>
        <w:t>Государству-участнику следует пролить свет на действия, в которых обвиняются миротворцы Африканского союза в Боали, с</w:t>
      </w:r>
      <w:r w:rsidR="00B67D31">
        <w:rPr>
          <w:b/>
          <w:bCs/>
          <w:lang w:val="en-US"/>
        </w:rPr>
        <w:t> </w:t>
      </w:r>
      <w:r>
        <w:rPr>
          <w:b/>
          <w:bCs/>
        </w:rPr>
        <w:t>тем чтобы жертвы могли узнать правду и получить компенсацию за эти преступления.</w:t>
      </w:r>
      <w:r>
        <w:t xml:space="preserve"> </w:t>
      </w:r>
      <w:r>
        <w:rPr>
          <w:b/>
          <w:bCs/>
        </w:rPr>
        <w:t>Ему следует удвоить свои усилия, с тем чтобы пролить свет на акты репрессий и убийства в случаях обвинений в колдовстве и шарлатанстве.</w:t>
      </w:r>
    </w:p>
    <w:p w14:paraId="3BCA435C" w14:textId="77777777" w:rsidR="004A7739" w:rsidRPr="006668CB" w:rsidRDefault="004A7739" w:rsidP="004A7739">
      <w:pPr>
        <w:pStyle w:val="H23G"/>
      </w:pPr>
      <w:r>
        <w:tab/>
      </w:r>
      <w:r>
        <w:tab/>
      </w:r>
      <w:r>
        <w:rPr>
          <w:bCs/>
        </w:rPr>
        <w:t>Пытки и жестокие, бесчеловечные или унижающие достоинство виды обращения</w:t>
      </w:r>
    </w:p>
    <w:p w14:paraId="5986E55B" w14:textId="77777777" w:rsidR="004A7739" w:rsidRPr="006668CB" w:rsidRDefault="004A7739" w:rsidP="004A7739">
      <w:pPr>
        <w:pStyle w:val="SingleTxtG"/>
        <w:tabs>
          <w:tab w:val="left" w:pos="1701"/>
          <w:tab w:val="left" w:pos="1843"/>
          <w:tab w:val="left" w:pos="2127"/>
        </w:tabs>
      </w:pPr>
      <w:r>
        <w:t>21.</w:t>
      </w:r>
      <w:r>
        <w:tab/>
        <w:t>Комитет обеспокоен отсутствием информации о количестве возбужденных дел и вынесенных приговоров за акты пыток. Отмечая, что Уголовный кодекс предусматривает уголовную ответственность за применение пыток, Комитет в то же время сожалеет, что статьи 118</w:t>
      </w:r>
      <w:r w:rsidR="00F41D32">
        <w:t>–</w:t>
      </w:r>
      <w:r>
        <w:t>120 Уголовного кодекса не содержат определения пытки. Он также сожалеет об отсутствии в Уголовно-процессуальном кодексе положений, гарантирующих неприемлемость признаний, полученных под пытками. Наконец, Комитет обеспокоен утверждениями о применении пыток государственными должностными лицами в отношении лиц, содержащихся под стражей, и членами вооруженных группировок в отношении гражданского населения (статьи 2 и 7).</w:t>
      </w:r>
    </w:p>
    <w:p w14:paraId="2719B218" w14:textId="77777777" w:rsidR="004A7739" w:rsidRPr="006668CB" w:rsidRDefault="004A7739" w:rsidP="004A7739">
      <w:pPr>
        <w:pStyle w:val="SingleTxtG"/>
        <w:tabs>
          <w:tab w:val="left" w:pos="1701"/>
          <w:tab w:val="left" w:pos="1843"/>
          <w:tab w:val="left" w:pos="2127"/>
        </w:tabs>
        <w:rPr>
          <w:b/>
        </w:rPr>
      </w:pPr>
      <w:r>
        <w:t>22.</w:t>
      </w:r>
      <w:r>
        <w:tab/>
      </w:r>
      <w:r>
        <w:rPr>
          <w:b/>
          <w:bCs/>
        </w:rPr>
        <w:t>Государству-участнику следует:</w:t>
      </w:r>
      <w:r>
        <w:t xml:space="preserve"> </w:t>
      </w:r>
    </w:p>
    <w:p w14:paraId="1FD21AFD" w14:textId="77777777" w:rsidR="004A7739" w:rsidRPr="006668CB" w:rsidRDefault="004A7739" w:rsidP="004A7739">
      <w:pPr>
        <w:pStyle w:val="SingleTxtG"/>
        <w:tabs>
          <w:tab w:val="left" w:pos="2268"/>
        </w:tabs>
        <w:ind w:firstLine="567"/>
        <w:rPr>
          <w:b/>
        </w:rPr>
      </w:pPr>
      <w:r>
        <w:rPr>
          <w:b/>
          <w:bCs/>
        </w:rPr>
        <w:t>a)</w:t>
      </w:r>
      <w:r>
        <w:tab/>
      </w:r>
      <w:r>
        <w:rPr>
          <w:b/>
          <w:bCs/>
        </w:rPr>
        <w:t>внести изменения во внутренние положения с целью определения пытки в соответствии со статьей 1 Конвенции против пыток и других жестоких, бесчеловечных или унижающих достоинство видов обращения и наказания;</w:t>
      </w:r>
      <w:r>
        <w:t xml:space="preserve"> </w:t>
      </w:r>
    </w:p>
    <w:p w14:paraId="5A620E56" w14:textId="77777777" w:rsidR="004A7739" w:rsidRPr="006668CB" w:rsidRDefault="004A7739" w:rsidP="004A7739">
      <w:pPr>
        <w:pStyle w:val="SingleTxtG"/>
        <w:tabs>
          <w:tab w:val="left" w:pos="2268"/>
        </w:tabs>
        <w:ind w:firstLine="567"/>
        <w:rPr>
          <w:b/>
        </w:rPr>
      </w:pPr>
      <w:r>
        <w:rPr>
          <w:b/>
          <w:bCs/>
        </w:rPr>
        <w:t>b)</w:t>
      </w:r>
      <w:r>
        <w:tab/>
      </w:r>
      <w:r>
        <w:rPr>
          <w:b/>
          <w:bCs/>
        </w:rPr>
        <w:t>обеспечить, чтобы признания, полученные под пытками, не принимались к рассмотрению в рамках уголовного судопроизводства;</w:t>
      </w:r>
      <w:r>
        <w:t xml:space="preserve"> </w:t>
      </w:r>
    </w:p>
    <w:p w14:paraId="7ECCDC72" w14:textId="77777777" w:rsidR="004A7739" w:rsidRPr="006668CB" w:rsidRDefault="004A7739" w:rsidP="004A7739">
      <w:pPr>
        <w:pStyle w:val="SingleTxtG"/>
        <w:tabs>
          <w:tab w:val="left" w:pos="2268"/>
        </w:tabs>
        <w:ind w:firstLine="567"/>
        <w:rPr>
          <w:b/>
        </w:rPr>
      </w:pPr>
      <w:r>
        <w:rPr>
          <w:b/>
          <w:bCs/>
        </w:rPr>
        <w:t>c)</w:t>
      </w:r>
      <w:r>
        <w:tab/>
      </w:r>
      <w:r>
        <w:rPr>
          <w:b/>
          <w:bCs/>
        </w:rPr>
        <w:t>усилить подготовку сотрудников органов правосудия, обороны и безопасности;</w:t>
      </w:r>
      <w:r>
        <w:t xml:space="preserve"> </w:t>
      </w:r>
    </w:p>
    <w:p w14:paraId="1431EE23" w14:textId="77777777" w:rsidR="004A7739" w:rsidRPr="006668CB" w:rsidRDefault="004A7739" w:rsidP="004A7739">
      <w:pPr>
        <w:pStyle w:val="SingleTxtG"/>
        <w:tabs>
          <w:tab w:val="left" w:pos="2268"/>
        </w:tabs>
        <w:ind w:firstLine="567"/>
        <w:rPr>
          <w:b/>
          <w:bCs/>
        </w:rPr>
      </w:pPr>
      <w:r>
        <w:rPr>
          <w:b/>
          <w:bCs/>
        </w:rPr>
        <w:t>d)</w:t>
      </w:r>
      <w:r>
        <w:tab/>
      </w:r>
      <w:r>
        <w:rPr>
          <w:b/>
          <w:bCs/>
        </w:rPr>
        <w:t>обеспечить, чтобы предполагаемые случаи применения пыток и неправомерного обращения тщательно расследовались, виновные привлекались к ответственности и в случае признания их виновными приговаривались к соответствующим наказаниям, а жертвы получали возмещение, включая реабилитацию;</w:t>
      </w:r>
    </w:p>
    <w:p w14:paraId="5A897DC5" w14:textId="77777777" w:rsidR="004A7739" w:rsidRPr="006668CB" w:rsidRDefault="004A7739" w:rsidP="004A7739">
      <w:pPr>
        <w:pStyle w:val="SingleTxtG"/>
        <w:tabs>
          <w:tab w:val="left" w:pos="2268"/>
        </w:tabs>
        <w:ind w:firstLine="567"/>
      </w:pPr>
      <w:r>
        <w:rPr>
          <w:b/>
          <w:bCs/>
        </w:rPr>
        <w:t>e)</w:t>
      </w:r>
      <w:r>
        <w:tab/>
      </w:r>
      <w:r>
        <w:rPr>
          <w:b/>
          <w:bCs/>
        </w:rPr>
        <w:t>учредить национальный механизм по предупреждению пыток в соответствии с Факультативным протоколом к Конвенции против пыток и других жестоких, бесчеловечных или унижающих достоинство видов обращения и наказания.</w:t>
      </w:r>
    </w:p>
    <w:p w14:paraId="67AACC3A" w14:textId="77777777" w:rsidR="004A7739" w:rsidRPr="006668CB" w:rsidRDefault="004A7739" w:rsidP="004A7739">
      <w:pPr>
        <w:pStyle w:val="H23G"/>
      </w:pPr>
      <w:r>
        <w:tab/>
      </w:r>
      <w:r>
        <w:tab/>
      </w:r>
      <w:r>
        <w:rPr>
          <w:bCs/>
        </w:rPr>
        <w:t>Условия содержания под стражей</w:t>
      </w:r>
    </w:p>
    <w:p w14:paraId="1E69A8DC" w14:textId="77777777" w:rsidR="004A7739" w:rsidRPr="006668CB" w:rsidRDefault="004A7739" w:rsidP="004A7739">
      <w:pPr>
        <w:pStyle w:val="SingleTxtG"/>
        <w:tabs>
          <w:tab w:val="left" w:pos="1701"/>
          <w:tab w:val="left" w:pos="1843"/>
          <w:tab w:val="left" w:pos="2127"/>
        </w:tabs>
      </w:pPr>
      <w:r>
        <w:t>23.</w:t>
      </w:r>
      <w:r>
        <w:tab/>
        <w:t>Отмечая усилия государства-участника по демилитаризации мест лишения свободы, Комитет в то же время обеспокоен неадекватными условиями содержания под стражей в местах, находящихся под контролем государства, в том числе в камерах, в которых содержатся задержанные в полиции, а также отсутствием информации о местах содержания под стражей в районах, контролируемых вооруженными группировками. Комитет особенно обеспокоен высокими показателями переполненности тюрем и большим числом лиц, содержащихся в предварительном заключении, а также отсутствием реабилитационных мер в мужских тюрьмах. Наконец, он обеспокоен высоким показателем содержания женщин в предварительном заключении за совершение актов колдовства и шарлатанства, которые часто содержатся там под предлогом защиты их от уличной расправы (статьи 3, 6, 7 и 10).</w:t>
      </w:r>
    </w:p>
    <w:p w14:paraId="567FC6F4" w14:textId="77777777" w:rsidR="004A7739" w:rsidRPr="006668CB" w:rsidRDefault="004A7739" w:rsidP="004A7739">
      <w:pPr>
        <w:pStyle w:val="SingleTxtG"/>
        <w:tabs>
          <w:tab w:val="left" w:pos="1701"/>
          <w:tab w:val="left" w:pos="1843"/>
          <w:tab w:val="left" w:pos="2127"/>
        </w:tabs>
        <w:rPr>
          <w:b/>
        </w:rPr>
      </w:pPr>
      <w:r>
        <w:t>24.</w:t>
      </w:r>
      <w:r>
        <w:tab/>
      </w:r>
      <w:r>
        <w:rPr>
          <w:b/>
          <w:bCs/>
        </w:rPr>
        <w:t>В соответствии с предыдущими заключительными замечаниями Комитета (CCPR/C/CAF/CO/2, пункт 17) государству-участнику следует принять необходимые меры с целью:</w:t>
      </w:r>
      <w:r>
        <w:t xml:space="preserve"> </w:t>
      </w:r>
    </w:p>
    <w:p w14:paraId="7F005FF8" w14:textId="77777777" w:rsidR="004A7739" w:rsidRPr="006668CB" w:rsidRDefault="004A7739" w:rsidP="004A7739">
      <w:pPr>
        <w:pStyle w:val="SingleTxtG"/>
        <w:tabs>
          <w:tab w:val="left" w:pos="2268"/>
        </w:tabs>
        <w:ind w:firstLine="555"/>
        <w:rPr>
          <w:b/>
        </w:rPr>
      </w:pPr>
      <w:r>
        <w:rPr>
          <w:b/>
          <w:bCs/>
        </w:rPr>
        <w:lastRenderedPageBreak/>
        <w:t>a)</w:t>
      </w:r>
      <w:r>
        <w:tab/>
      </w:r>
      <w:r>
        <w:rPr>
          <w:b/>
          <w:bCs/>
        </w:rPr>
        <w:t>улучшить условия содержания под стражей, в том числе в полиции, и обеспечить раздельное содержание заключенных в соответствии с режимом содержания, в том числе несовершеннолетних и взрослых, мужчин и женщин, а</w:t>
      </w:r>
      <w:r w:rsidR="00D74252">
        <w:rPr>
          <w:b/>
          <w:bCs/>
        </w:rPr>
        <w:t> </w:t>
      </w:r>
      <w:r>
        <w:rPr>
          <w:b/>
          <w:bCs/>
        </w:rPr>
        <w:t>также лиц, находящихся в предварительном заключении, и осужденных, в</w:t>
      </w:r>
      <w:r w:rsidR="00D74252">
        <w:rPr>
          <w:b/>
          <w:bCs/>
        </w:rPr>
        <w:t> </w:t>
      </w:r>
      <w:r>
        <w:rPr>
          <w:b/>
          <w:bCs/>
        </w:rPr>
        <w:t>соответствии с Минимальными стандартными правилами Организации Объединенных Наций в отношении обращения</w:t>
      </w:r>
      <w:r w:rsidR="00D74252">
        <w:rPr>
          <w:b/>
          <w:bCs/>
        </w:rPr>
        <w:t xml:space="preserve"> </w:t>
      </w:r>
      <w:r>
        <w:rPr>
          <w:b/>
          <w:bCs/>
        </w:rPr>
        <w:t>с заключенными (Правила Нельсона Манделы);</w:t>
      </w:r>
      <w:r>
        <w:t xml:space="preserve"> </w:t>
      </w:r>
    </w:p>
    <w:p w14:paraId="4C6EAB6C" w14:textId="77777777" w:rsidR="004A7739" w:rsidRPr="006668CB" w:rsidRDefault="004A7739" w:rsidP="004A7739">
      <w:pPr>
        <w:pStyle w:val="SingleTxtG"/>
        <w:tabs>
          <w:tab w:val="left" w:pos="2268"/>
        </w:tabs>
        <w:ind w:firstLine="555"/>
        <w:rPr>
          <w:b/>
        </w:rPr>
      </w:pPr>
      <w:r>
        <w:rPr>
          <w:b/>
          <w:bCs/>
        </w:rPr>
        <w:t>b)</w:t>
      </w:r>
      <w:r>
        <w:tab/>
      </w:r>
      <w:r>
        <w:rPr>
          <w:b/>
          <w:bCs/>
        </w:rPr>
        <w:t>решить проблему переполненности тюрем, в том числе путем проведения политики замены лишения свободы по приговору альтернативными мерами наказания, а также замены предварительного заключения до вынесения приговора альтернативными мерами ограничения свободы;</w:t>
      </w:r>
    </w:p>
    <w:p w14:paraId="4CB331AA" w14:textId="77777777" w:rsidR="004A7739" w:rsidRPr="006668CB" w:rsidRDefault="004A7739" w:rsidP="004A7739">
      <w:pPr>
        <w:pStyle w:val="SingleTxtG"/>
        <w:tabs>
          <w:tab w:val="left" w:pos="2268"/>
        </w:tabs>
        <w:ind w:firstLine="555"/>
        <w:rPr>
          <w:b/>
        </w:rPr>
      </w:pPr>
      <w:r>
        <w:rPr>
          <w:b/>
          <w:bCs/>
        </w:rPr>
        <w:t>c)</w:t>
      </w:r>
      <w:r>
        <w:tab/>
      </w:r>
      <w:r>
        <w:rPr>
          <w:b/>
          <w:bCs/>
        </w:rPr>
        <w:t>провести реконструкцию существующих центров содержания под стражей и обеспечить строительство новых центров;</w:t>
      </w:r>
    </w:p>
    <w:p w14:paraId="11852206" w14:textId="77777777" w:rsidR="004A7739" w:rsidRPr="006668CB" w:rsidRDefault="004A7739" w:rsidP="004A7739">
      <w:pPr>
        <w:pStyle w:val="SingleTxtG"/>
        <w:tabs>
          <w:tab w:val="left" w:pos="2268"/>
        </w:tabs>
        <w:ind w:firstLine="555"/>
        <w:rPr>
          <w:b/>
        </w:rPr>
      </w:pPr>
      <w:r>
        <w:rPr>
          <w:b/>
          <w:bCs/>
        </w:rPr>
        <w:t>d)</w:t>
      </w:r>
      <w:r>
        <w:tab/>
      </w:r>
      <w:r>
        <w:rPr>
          <w:b/>
          <w:bCs/>
        </w:rPr>
        <w:t>создать систему, альтернативную содержанию под стражей, в случае женщин, обвиняемых в шарлатанстве и колдовстве.</w:t>
      </w:r>
    </w:p>
    <w:p w14:paraId="3B76FCCC" w14:textId="77777777" w:rsidR="004A7739" w:rsidRPr="006668CB" w:rsidRDefault="004A7739" w:rsidP="004A7739">
      <w:pPr>
        <w:pStyle w:val="H23G"/>
      </w:pPr>
      <w:r>
        <w:tab/>
      </w:r>
      <w:r>
        <w:tab/>
      </w:r>
      <w:r>
        <w:rPr>
          <w:bCs/>
        </w:rPr>
        <w:t>Произвольное задержание</w:t>
      </w:r>
    </w:p>
    <w:p w14:paraId="5ECCF5EC" w14:textId="77777777" w:rsidR="004A7739" w:rsidRPr="006668CB" w:rsidRDefault="004A7739" w:rsidP="004A7739">
      <w:pPr>
        <w:pStyle w:val="SingleTxtG"/>
        <w:tabs>
          <w:tab w:val="left" w:pos="1701"/>
          <w:tab w:val="left" w:pos="1843"/>
          <w:tab w:val="left" w:pos="2127"/>
        </w:tabs>
      </w:pPr>
      <w:r>
        <w:t>25.</w:t>
      </w:r>
      <w:r>
        <w:tab/>
        <w:t xml:space="preserve">Комитет обеспокоен тем, что срок содержания под стражей в полиции составляет </w:t>
      </w:r>
      <w:r w:rsidR="00D74252">
        <w:t>72</w:t>
      </w:r>
      <w:r>
        <w:t xml:space="preserve"> часа с возможностью одного продления для мест, где имеется государственный обвинитель, и до восьми дней с возможностью одного продления для других мест. Комитет также обеспокоен сообщениями о том, что на практике установленные законом сроки содержания под стражей в полиции и предварительного заключения не соблюдаются и что судьи и прокуроры редко посещают места лишения свободы, что способствует высокому показателю переполненности тюрем и делает задержание произвольным по смыслу статьи 9 Пакта (статьи 9 и 14).</w:t>
      </w:r>
    </w:p>
    <w:p w14:paraId="78035A70" w14:textId="77777777" w:rsidR="004A7739" w:rsidRPr="006668CB" w:rsidRDefault="004A7739" w:rsidP="004A7739">
      <w:pPr>
        <w:pStyle w:val="SingleTxtG"/>
        <w:tabs>
          <w:tab w:val="left" w:pos="1701"/>
          <w:tab w:val="left" w:pos="1843"/>
          <w:tab w:val="left" w:pos="2127"/>
        </w:tabs>
        <w:rPr>
          <w:b/>
        </w:rPr>
      </w:pPr>
      <w:r>
        <w:t>26.</w:t>
      </w:r>
      <w:r>
        <w:tab/>
      </w:r>
      <w:r>
        <w:rPr>
          <w:b/>
          <w:bCs/>
        </w:rPr>
        <w:t>Государству-участнику следует принять меры исправления положения лиц, содержащихся под стражей до суда сверх сроков, установленных законом, внести поправки в закон, с тем чтобы привести его в соответствие со статьей 9 Пакта, и неизменно гарантировать лицам, содержащимся под стражей в полиции или в предварительном заключении, уведомление об их правах и применение основных правовых гарантий, в частности права на доступ к адвокату.</w:t>
      </w:r>
    </w:p>
    <w:p w14:paraId="33B1769F" w14:textId="77777777" w:rsidR="004A7739" w:rsidRPr="006668CB" w:rsidRDefault="004A7739" w:rsidP="004A7739">
      <w:pPr>
        <w:pStyle w:val="H23G"/>
      </w:pPr>
      <w:r>
        <w:tab/>
      </w:r>
      <w:r>
        <w:tab/>
      </w:r>
      <w:r>
        <w:rPr>
          <w:bCs/>
        </w:rPr>
        <w:t>Отправление правосудия</w:t>
      </w:r>
    </w:p>
    <w:p w14:paraId="3A207606" w14:textId="77777777" w:rsidR="004A7739" w:rsidRPr="006668CB" w:rsidRDefault="004A7739" w:rsidP="004A7739">
      <w:pPr>
        <w:pStyle w:val="SingleTxtG"/>
        <w:tabs>
          <w:tab w:val="left" w:pos="1701"/>
          <w:tab w:val="left" w:pos="1843"/>
          <w:tab w:val="left" w:pos="2127"/>
        </w:tabs>
      </w:pPr>
      <w:r>
        <w:t>27.</w:t>
      </w:r>
      <w:r>
        <w:tab/>
        <w:t>Отмечая заявленную государством-участником готовность привести его действующее законодательство в соответствие с требованиями независимой судебной системы, Комитет в то же время сожалеет о том, что эти усилия еще не привели к проведению реформы в этих целях, а также о том, что часто поступающие утверждения о коррупции в судебной системе остаются без конкретных ответов на них. Комитет обеспокоен нехваткой судей и неравномерностью обеспечиваемого ими географического охвата территории, что де-факто приводит к недоступности правосудия для некоторых групп населения (статьи 2 и 14).</w:t>
      </w:r>
    </w:p>
    <w:p w14:paraId="0A5C89DE" w14:textId="77777777" w:rsidR="004A7739" w:rsidRPr="006668CB" w:rsidRDefault="004A7739" w:rsidP="004A7739">
      <w:pPr>
        <w:pStyle w:val="SingleTxtG"/>
        <w:tabs>
          <w:tab w:val="left" w:pos="1701"/>
          <w:tab w:val="left" w:pos="1843"/>
          <w:tab w:val="left" w:pos="2127"/>
        </w:tabs>
        <w:rPr>
          <w:b/>
        </w:rPr>
      </w:pPr>
      <w:r>
        <w:t>28.</w:t>
      </w:r>
      <w:r>
        <w:tab/>
      </w:r>
      <w:r>
        <w:rPr>
          <w:b/>
          <w:bCs/>
        </w:rPr>
        <w:t>В соответствии с предыдущими заключительными замечаниями Комитета (CCPR/C/CAF/CO/2, пункт 18) государству-участнику следует:</w:t>
      </w:r>
      <w:r>
        <w:t xml:space="preserve"> </w:t>
      </w:r>
    </w:p>
    <w:p w14:paraId="1B21BA48" w14:textId="77777777" w:rsidR="004A7739" w:rsidRPr="006668CB" w:rsidRDefault="004A7739" w:rsidP="004A7739">
      <w:pPr>
        <w:pStyle w:val="SingleTxtG"/>
        <w:tabs>
          <w:tab w:val="left" w:pos="2268"/>
        </w:tabs>
        <w:ind w:firstLine="567"/>
        <w:rPr>
          <w:b/>
        </w:rPr>
      </w:pPr>
      <w:r>
        <w:rPr>
          <w:b/>
          <w:bCs/>
        </w:rPr>
        <w:t>a)</w:t>
      </w:r>
      <w:r>
        <w:tab/>
      </w:r>
      <w:r>
        <w:rPr>
          <w:b/>
          <w:bCs/>
        </w:rPr>
        <w:t>вести борьбу с коррупцией в судебной системе, в том числе путем реформирования Высшего совета магистратуры, с тем чтобы сделать его независимым от исполнительной власти, а также путем укрепления процедур защиты судей и прокуроров от всех форм вмешательства и коррупции;</w:t>
      </w:r>
    </w:p>
    <w:p w14:paraId="77F40B35" w14:textId="77777777" w:rsidR="004A7739" w:rsidRPr="006668CB" w:rsidRDefault="004A7739" w:rsidP="004A7739">
      <w:pPr>
        <w:pStyle w:val="SingleTxtG"/>
        <w:tabs>
          <w:tab w:val="left" w:pos="2268"/>
        </w:tabs>
        <w:ind w:firstLine="567"/>
        <w:rPr>
          <w:b/>
        </w:rPr>
      </w:pPr>
      <w:r>
        <w:rPr>
          <w:b/>
          <w:bCs/>
        </w:rPr>
        <w:t>b)</w:t>
      </w:r>
      <w:r>
        <w:tab/>
      </w:r>
      <w:r>
        <w:rPr>
          <w:b/>
          <w:bCs/>
        </w:rPr>
        <w:t>гарантировать на практике несменяемость судей и прокуроров;</w:t>
      </w:r>
      <w:r>
        <w:t xml:space="preserve"> </w:t>
      </w:r>
    </w:p>
    <w:p w14:paraId="685EF327" w14:textId="77777777" w:rsidR="004A7739" w:rsidRPr="006668CB" w:rsidRDefault="004A7739" w:rsidP="004A7739">
      <w:pPr>
        <w:pStyle w:val="SingleTxtG"/>
        <w:tabs>
          <w:tab w:val="left" w:pos="2268"/>
        </w:tabs>
        <w:ind w:firstLine="567"/>
        <w:rPr>
          <w:b/>
        </w:rPr>
      </w:pPr>
      <w:r>
        <w:rPr>
          <w:b/>
          <w:bCs/>
        </w:rPr>
        <w:t>c)</w:t>
      </w:r>
      <w:r>
        <w:tab/>
      </w:r>
      <w:r>
        <w:rPr>
          <w:b/>
          <w:bCs/>
        </w:rPr>
        <w:t>набрать и подготовить достаточное число работников судебного ведомства для обеспечения надлежащего отправления правосудия на всей территории страны и борьбы с преступностью и безнаказанностью;</w:t>
      </w:r>
    </w:p>
    <w:p w14:paraId="1DA30599" w14:textId="77777777" w:rsidR="004A7739" w:rsidRPr="006668CB" w:rsidRDefault="004A7739" w:rsidP="004A7739">
      <w:pPr>
        <w:pStyle w:val="SingleTxtG"/>
        <w:tabs>
          <w:tab w:val="left" w:pos="2268"/>
        </w:tabs>
        <w:ind w:firstLine="567"/>
        <w:rPr>
          <w:b/>
        </w:rPr>
      </w:pPr>
      <w:r>
        <w:rPr>
          <w:b/>
          <w:bCs/>
        </w:rPr>
        <w:t>d)</w:t>
      </w:r>
      <w:r>
        <w:tab/>
      </w:r>
      <w:r>
        <w:rPr>
          <w:b/>
          <w:bCs/>
        </w:rPr>
        <w:t>выделять достаточные бюджетные ресурсы на отправление правосудия;</w:t>
      </w:r>
      <w:r>
        <w:t xml:space="preserve"> </w:t>
      </w:r>
    </w:p>
    <w:p w14:paraId="121A7DAD" w14:textId="77777777" w:rsidR="004A7739" w:rsidRPr="006668CB" w:rsidRDefault="004A7739" w:rsidP="004A7739">
      <w:pPr>
        <w:pStyle w:val="SingleTxtG"/>
        <w:tabs>
          <w:tab w:val="left" w:pos="2268"/>
        </w:tabs>
        <w:ind w:firstLine="567"/>
      </w:pPr>
      <w:r>
        <w:rPr>
          <w:b/>
          <w:bCs/>
        </w:rPr>
        <w:lastRenderedPageBreak/>
        <w:t>e)</w:t>
      </w:r>
      <w:r>
        <w:tab/>
      </w:r>
      <w:r>
        <w:rPr>
          <w:b/>
          <w:bCs/>
        </w:rPr>
        <w:t>усилить меры по обеспечению доступа к правосудию для всех, в том числе путем инвестирования в системы мобильного правосудия с учетом нынешних ограничений, связанных с отсутствием безопасности.</w:t>
      </w:r>
    </w:p>
    <w:p w14:paraId="1D540714" w14:textId="77777777" w:rsidR="004A7739" w:rsidRPr="006668CB" w:rsidRDefault="004A7739" w:rsidP="004A7739">
      <w:pPr>
        <w:pStyle w:val="H23G"/>
      </w:pPr>
      <w:r>
        <w:tab/>
      </w:r>
      <w:r>
        <w:tab/>
      </w:r>
      <w:r>
        <w:rPr>
          <w:bCs/>
        </w:rPr>
        <w:t>Торговля людьми, принудительный труд и дети-солдаты</w:t>
      </w:r>
    </w:p>
    <w:p w14:paraId="3BA04AB4" w14:textId="77777777" w:rsidR="004A7739" w:rsidRPr="006668CB" w:rsidRDefault="004A7739" w:rsidP="004A7739">
      <w:pPr>
        <w:pStyle w:val="SingleTxtG"/>
        <w:tabs>
          <w:tab w:val="left" w:pos="1701"/>
          <w:tab w:val="left" w:pos="1843"/>
          <w:tab w:val="left" w:pos="2127"/>
        </w:tabs>
      </w:pPr>
      <w:r>
        <w:t>29.</w:t>
      </w:r>
      <w:r>
        <w:tab/>
        <w:t xml:space="preserve">Несмотря на приверженность государства-участника решению проблемы торговли людьми, и в частности детьми, Комитет обеспокоен сохраняющейся безнаказанностью, выражающейся, в частности, в отсутствии информации о судебных преследованиях и осуждениях по статье 151 Уголовного кодекса за торговлю людьми. Комитет обеспокоен утверждениями о вербовке и использовании детей вооруженными группами для эксплуатации в качестве комбатантов и сексуальных рабов, а также в горнодобывающем секторе (статьи 7, 8 и 24). </w:t>
      </w:r>
    </w:p>
    <w:p w14:paraId="0F5EBD53" w14:textId="77777777" w:rsidR="004A7739" w:rsidRPr="006668CB" w:rsidRDefault="004A7739" w:rsidP="004A7739">
      <w:pPr>
        <w:pStyle w:val="SingleTxtG"/>
        <w:tabs>
          <w:tab w:val="left" w:pos="1701"/>
          <w:tab w:val="left" w:pos="1843"/>
          <w:tab w:val="left" w:pos="2127"/>
        </w:tabs>
        <w:rPr>
          <w:b/>
        </w:rPr>
      </w:pPr>
      <w:r>
        <w:t>30.</w:t>
      </w:r>
      <w:r>
        <w:tab/>
      </w:r>
      <w:r>
        <w:rPr>
          <w:b/>
          <w:bCs/>
        </w:rPr>
        <w:t>Государству-участнику следует продолжить и активизировать свои усилия по:</w:t>
      </w:r>
      <w:r>
        <w:t xml:space="preserve"> </w:t>
      </w:r>
    </w:p>
    <w:p w14:paraId="4091DC23" w14:textId="77777777" w:rsidR="004A7739" w:rsidRPr="006668CB" w:rsidRDefault="004A7739" w:rsidP="004A7739">
      <w:pPr>
        <w:pStyle w:val="SingleTxtG"/>
        <w:tabs>
          <w:tab w:val="left" w:pos="2268"/>
        </w:tabs>
        <w:ind w:firstLine="567"/>
        <w:rPr>
          <w:b/>
        </w:rPr>
      </w:pPr>
      <w:r>
        <w:rPr>
          <w:b/>
          <w:bCs/>
        </w:rPr>
        <w:t>a)</w:t>
      </w:r>
      <w:r>
        <w:tab/>
      </w:r>
      <w:r>
        <w:rPr>
          <w:b/>
          <w:bCs/>
        </w:rPr>
        <w:t>предупреждению современных форм рабства, принудительного труда и торговли людьми, борьбе с ними и наказанию за них путем строгого применения положений Уголовного кодекса;</w:t>
      </w:r>
      <w:r>
        <w:t xml:space="preserve"> </w:t>
      </w:r>
    </w:p>
    <w:p w14:paraId="36B71364" w14:textId="77777777" w:rsidR="004A7739" w:rsidRPr="006668CB" w:rsidRDefault="004A7739" w:rsidP="004A7739">
      <w:pPr>
        <w:pStyle w:val="SingleTxtG"/>
        <w:tabs>
          <w:tab w:val="left" w:pos="2268"/>
        </w:tabs>
        <w:ind w:firstLine="567"/>
        <w:rPr>
          <w:b/>
        </w:rPr>
      </w:pPr>
      <w:r>
        <w:rPr>
          <w:b/>
          <w:bCs/>
        </w:rPr>
        <w:t>b)</w:t>
      </w:r>
      <w:r>
        <w:tab/>
      </w:r>
      <w:r>
        <w:rPr>
          <w:b/>
          <w:bCs/>
        </w:rPr>
        <w:t>прекращению участия детей в вооруженных конфликтах путем ускорения процесса разоружения и демобилизации вооруженных групп и реинтеграции детей в их семьи наряду с обеспечением наилучших интересов этих детей;</w:t>
      </w:r>
    </w:p>
    <w:p w14:paraId="286FB3A7" w14:textId="77777777" w:rsidR="004A7739" w:rsidRPr="006668CB" w:rsidRDefault="004A7739" w:rsidP="004A7739">
      <w:pPr>
        <w:pStyle w:val="SingleTxtG"/>
        <w:tabs>
          <w:tab w:val="left" w:pos="2268"/>
        </w:tabs>
        <w:ind w:firstLine="567"/>
        <w:rPr>
          <w:b/>
        </w:rPr>
      </w:pPr>
      <w:r>
        <w:rPr>
          <w:b/>
          <w:bCs/>
        </w:rPr>
        <w:t>c)</w:t>
      </w:r>
      <w:r>
        <w:tab/>
      </w:r>
      <w:r>
        <w:rPr>
          <w:b/>
          <w:bCs/>
        </w:rPr>
        <w:t>искоренению всех форм эксплуатации детского труда, особенно в добывающей промышленности.</w:t>
      </w:r>
    </w:p>
    <w:p w14:paraId="604BDCB7" w14:textId="77777777" w:rsidR="004A7739" w:rsidRPr="006668CB" w:rsidRDefault="004A7739" w:rsidP="004A7739">
      <w:pPr>
        <w:pStyle w:val="H23G"/>
      </w:pPr>
      <w:r>
        <w:tab/>
      </w:r>
      <w:r>
        <w:tab/>
      </w:r>
      <w:r>
        <w:rPr>
          <w:bCs/>
        </w:rPr>
        <w:t>Перемещенные лица, беженцы и апатриды</w:t>
      </w:r>
    </w:p>
    <w:p w14:paraId="595F4A85" w14:textId="77777777" w:rsidR="004A7739" w:rsidRPr="006668CB" w:rsidRDefault="004A7739" w:rsidP="004A7739">
      <w:pPr>
        <w:pStyle w:val="SingleTxtG"/>
        <w:tabs>
          <w:tab w:val="left" w:pos="1701"/>
          <w:tab w:val="left" w:pos="1843"/>
          <w:tab w:val="left" w:pos="2127"/>
        </w:tabs>
        <w:rPr>
          <w:b/>
        </w:rPr>
      </w:pPr>
      <w:r>
        <w:t>31.</w:t>
      </w:r>
      <w:r>
        <w:tab/>
        <w:t>Комитет обеспокоен большим числом внутренне перемещенных лиц в стране и беженцев в соседних странах. Отмечая усилия, предпринятые для обеспечения возможности возвращения перемещенных лиц в места их происхождения и добровольного возвращения беженцев, Комитет в то же время сожалеет об отсутствии конкретной информации о стратегии, используемой для обеспечения возможности такого возвращения в безопасных и устойчивых условиях. Комитет также выражает сожаление в связи с действующими ограничениями в отношении регистрации рождений, которая не является бесплатной и должна осуществляться в течение 30 дней после рождения, что в условиях отсутствия регистраторов актов гражданского состояния на значительной части территории страны приводит к увеличению риска безгражданства (статьи 7, 12, 13, 16 и 24).</w:t>
      </w:r>
    </w:p>
    <w:p w14:paraId="37BABBB1" w14:textId="77777777" w:rsidR="004A7739" w:rsidRPr="006668CB" w:rsidRDefault="004A7739" w:rsidP="004A7739">
      <w:pPr>
        <w:pStyle w:val="SingleTxtG"/>
        <w:tabs>
          <w:tab w:val="left" w:pos="1701"/>
          <w:tab w:val="left" w:pos="1843"/>
          <w:tab w:val="left" w:pos="2127"/>
        </w:tabs>
        <w:rPr>
          <w:b/>
        </w:rPr>
      </w:pPr>
      <w:r>
        <w:t>32.</w:t>
      </w:r>
      <w:r>
        <w:tab/>
      </w:r>
      <w:r>
        <w:rPr>
          <w:b/>
          <w:bCs/>
        </w:rPr>
        <w:t>Государству-участнику следует:</w:t>
      </w:r>
      <w:r>
        <w:t xml:space="preserve"> </w:t>
      </w:r>
    </w:p>
    <w:p w14:paraId="11BF33F2" w14:textId="77777777" w:rsidR="004A7739" w:rsidRPr="006668CB" w:rsidRDefault="004A7739" w:rsidP="004A7739">
      <w:pPr>
        <w:pStyle w:val="SingleTxtG"/>
        <w:tabs>
          <w:tab w:val="left" w:pos="2268"/>
        </w:tabs>
        <w:ind w:firstLine="567"/>
        <w:rPr>
          <w:b/>
        </w:rPr>
      </w:pPr>
      <w:r>
        <w:rPr>
          <w:b/>
          <w:bCs/>
        </w:rPr>
        <w:t>a)</w:t>
      </w:r>
      <w:r>
        <w:tab/>
      </w:r>
      <w:r>
        <w:rPr>
          <w:b/>
          <w:bCs/>
        </w:rPr>
        <w:t>разработать и принять правовые рамки и национальную стратегию оказания помощи внутренне перемещенным лицам и их защиты согласно соответствующим международным стандартам, включая Конвенцию Африканского союза о защите внутренне перемещенных лиц в Африке и оказании им помощи (Кампальская конвенция) и Руководящие принципы по вопросу о перемещении лиц внутри страны;</w:t>
      </w:r>
      <w:r>
        <w:t xml:space="preserve"> </w:t>
      </w:r>
    </w:p>
    <w:p w14:paraId="6F3878B1" w14:textId="77777777" w:rsidR="004A7739" w:rsidRPr="006668CB" w:rsidRDefault="004A7739" w:rsidP="004A7739">
      <w:pPr>
        <w:pStyle w:val="SingleTxtG"/>
        <w:tabs>
          <w:tab w:val="left" w:pos="2268"/>
        </w:tabs>
        <w:ind w:firstLine="567"/>
        <w:rPr>
          <w:b/>
        </w:rPr>
      </w:pPr>
      <w:r>
        <w:rPr>
          <w:b/>
          <w:bCs/>
        </w:rPr>
        <w:t>b)</w:t>
      </w:r>
      <w:r>
        <w:tab/>
      </w:r>
      <w:r>
        <w:rPr>
          <w:b/>
          <w:bCs/>
        </w:rPr>
        <w:t>создать условия для долговременного решения проблемы внутренне перемещенных лиц и беженцев без гражданства, включая их безопасное и добровольное возвращение;</w:t>
      </w:r>
    </w:p>
    <w:p w14:paraId="647B1DD4" w14:textId="77777777" w:rsidR="004A7739" w:rsidRPr="006668CB" w:rsidRDefault="004A7739" w:rsidP="004A7739">
      <w:pPr>
        <w:pStyle w:val="SingleTxtG"/>
        <w:tabs>
          <w:tab w:val="left" w:pos="2268"/>
        </w:tabs>
        <w:ind w:firstLine="567"/>
        <w:rPr>
          <w:b/>
        </w:rPr>
      </w:pPr>
      <w:r>
        <w:rPr>
          <w:b/>
          <w:bCs/>
        </w:rPr>
        <w:t>c)</w:t>
      </w:r>
      <w:r>
        <w:tab/>
      </w:r>
      <w:r>
        <w:rPr>
          <w:b/>
          <w:bCs/>
        </w:rPr>
        <w:t>облегчить регистрацию рождений, в том числе путем повышения осведомленности населения и обеспечения беспрепятственного и быстрого доступа к службам регистрации актов гражданского состояния.</w:t>
      </w:r>
    </w:p>
    <w:p w14:paraId="62342DD9" w14:textId="77777777" w:rsidR="004A7739" w:rsidRPr="006668CB" w:rsidRDefault="004A7739" w:rsidP="004A7739">
      <w:pPr>
        <w:pStyle w:val="H23G"/>
      </w:pPr>
      <w:r>
        <w:tab/>
      </w:r>
      <w:r>
        <w:tab/>
      </w:r>
      <w:r>
        <w:rPr>
          <w:bCs/>
        </w:rPr>
        <w:t>Свобода религии</w:t>
      </w:r>
    </w:p>
    <w:p w14:paraId="06CFC3E3" w14:textId="77777777" w:rsidR="004A7739" w:rsidRPr="006668CB" w:rsidRDefault="004A7739" w:rsidP="004A7739">
      <w:pPr>
        <w:pStyle w:val="SingleTxtG"/>
        <w:tabs>
          <w:tab w:val="left" w:pos="1701"/>
          <w:tab w:val="left" w:pos="1843"/>
          <w:tab w:val="left" w:pos="2127"/>
        </w:tabs>
      </w:pPr>
      <w:r>
        <w:t>33.</w:t>
      </w:r>
      <w:r>
        <w:tab/>
        <w:t xml:space="preserve">Комитет обеспокоен утверждениями о дискриминации и ограничениях свободы передвижения мусульманских и христианских меньшинств, особенно в районах, контролируемых бывшими селекскими и антибалаканскими ополченцами. </w:t>
      </w:r>
      <w:r>
        <w:lastRenderedPageBreak/>
        <w:t>В</w:t>
      </w:r>
      <w:r w:rsidR="00B67D31">
        <w:rPr>
          <w:lang w:val="en-US"/>
        </w:rPr>
        <w:t> </w:t>
      </w:r>
      <w:r>
        <w:t>контексте предстоящих президентских и парламентских выборов Комитет обеспокоен возможной инструментализацией религии и усилением ненавистнических высказываний, особенно по признаку религиозной принадлежности (статьи 2, 6, 12, 18, 20 и 26).</w:t>
      </w:r>
    </w:p>
    <w:p w14:paraId="6B9A9E13" w14:textId="77777777" w:rsidR="004A7739" w:rsidRPr="006668CB" w:rsidRDefault="004A7739" w:rsidP="004A7739">
      <w:pPr>
        <w:pStyle w:val="SingleTxtG"/>
        <w:tabs>
          <w:tab w:val="left" w:pos="1701"/>
          <w:tab w:val="left" w:pos="1843"/>
          <w:tab w:val="left" w:pos="2127"/>
        </w:tabs>
      </w:pPr>
      <w:r>
        <w:t>34.</w:t>
      </w:r>
      <w:r>
        <w:tab/>
      </w:r>
      <w:r>
        <w:rPr>
          <w:b/>
          <w:bCs/>
        </w:rPr>
        <w:t>Государству-участнику следует гарантировать эффективное осуществление свободы религии и убеждений на практике в соответствии со статьей 18 Пакта.</w:t>
      </w:r>
      <w:r>
        <w:t xml:space="preserve"> </w:t>
      </w:r>
      <w:r>
        <w:rPr>
          <w:b/>
          <w:bCs/>
        </w:rPr>
        <w:t>Ему следует принять меры по борьбе с дискриминацией и ненавистническими высказываниями, а также подстрекательством к ненависти и насилию в отношении религиозных общин любого рода, в частности путем предоставления Высокому совету по вопросам коммуникации инструментов и экспертных знаний, необходимых для выполнения его контрольных функций.</w:t>
      </w:r>
    </w:p>
    <w:p w14:paraId="25AF2B1A" w14:textId="77777777" w:rsidR="004A7739" w:rsidRPr="006668CB" w:rsidRDefault="004A7739" w:rsidP="004A7739">
      <w:pPr>
        <w:pStyle w:val="H23G"/>
      </w:pPr>
      <w:r>
        <w:tab/>
      </w:r>
      <w:r>
        <w:tab/>
      </w:r>
      <w:r>
        <w:rPr>
          <w:bCs/>
        </w:rPr>
        <w:t>Свобода выражения мнений, собраний и ассоциаций и правозащитники</w:t>
      </w:r>
    </w:p>
    <w:p w14:paraId="4C154303" w14:textId="77777777" w:rsidR="004A7739" w:rsidRPr="006668CB" w:rsidRDefault="004A7739" w:rsidP="004A7739">
      <w:pPr>
        <w:pStyle w:val="SingleTxtG"/>
        <w:tabs>
          <w:tab w:val="left" w:pos="1701"/>
          <w:tab w:val="left" w:pos="1843"/>
          <w:tab w:val="left" w:pos="2127"/>
        </w:tabs>
      </w:pPr>
      <w:r>
        <w:t>35.</w:t>
      </w:r>
      <w:r>
        <w:tab/>
        <w:t xml:space="preserve">Комитет с обеспокоенностью отмечает отсутствие законодательной базы для защиты правозащитников, помимо Закона о свободе коммуникации. Он также с озабоченностью отмечает ограничения, установленные в статье 14 Конституции, которая предусматривает ограничение на создание ассоциаций, сформулированное достаточно расплывчато, поскольку оно нацелено </w:t>
      </w:r>
      <w:r w:rsidR="006F7FB0">
        <w:t xml:space="preserve">на </w:t>
      </w:r>
      <w:r>
        <w:t xml:space="preserve">ассоциации, деятельность которых </w:t>
      </w:r>
      <w:r w:rsidR="006F7FB0">
        <w:t>«</w:t>
      </w:r>
      <w:r>
        <w:t>противоречит общественному порядку и единству и сплоченности центральноафриканского народа</w:t>
      </w:r>
      <w:r w:rsidR="006F7FB0">
        <w:t>»</w:t>
      </w:r>
      <w:r>
        <w:t>. Комитет обеспокоен актами запугивания правозащитников, в том числе общинных и религиозных деятелей, которые борются за мир. Наконец, он сожалеет об отсутствии информации, проливающей свет на предполагаемые убийства некоторых журналистов, таких как Камилла Лепаж, Орхан Джемаль, Кирилл Радченко и Александр Расторгуев (статьи 6, 7, 19 и 21).</w:t>
      </w:r>
    </w:p>
    <w:p w14:paraId="66B89744" w14:textId="77777777" w:rsidR="004A7739" w:rsidRPr="006668CB" w:rsidRDefault="004A7739" w:rsidP="004A7739">
      <w:pPr>
        <w:pStyle w:val="SingleTxtG"/>
        <w:tabs>
          <w:tab w:val="left" w:pos="1701"/>
          <w:tab w:val="left" w:pos="1843"/>
          <w:tab w:val="left" w:pos="2127"/>
        </w:tabs>
        <w:rPr>
          <w:b/>
        </w:rPr>
      </w:pPr>
      <w:r>
        <w:t>36.</w:t>
      </w:r>
      <w:r>
        <w:tab/>
      </w:r>
      <w:r>
        <w:rPr>
          <w:b/>
          <w:bCs/>
        </w:rPr>
        <w:t>В соответствии с предыдущими заключительными замечаниями Комитета (CCPR/C/CAF/CO/2, пункт 20) и последним докладом Специального докладчика по вопросу о положении правозащитников (A/HRC/43/51) государству-участнику следует:</w:t>
      </w:r>
      <w:r>
        <w:t xml:space="preserve"> </w:t>
      </w:r>
    </w:p>
    <w:p w14:paraId="528FE8FD" w14:textId="77777777" w:rsidR="004A7739" w:rsidRPr="006668CB" w:rsidRDefault="004A7739" w:rsidP="004A7739">
      <w:pPr>
        <w:pStyle w:val="SingleTxtG"/>
        <w:tabs>
          <w:tab w:val="left" w:pos="1701"/>
          <w:tab w:val="left" w:pos="2268"/>
        </w:tabs>
        <w:ind w:firstLine="567"/>
        <w:rPr>
          <w:b/>
        </w:rPr>
      </w:pPr>
      <w:r>
        <w:rPr>
          <w:b/>
          <w:bCs/>
        </w:rPr>
        <w:t>a)</w:t>
      </w:r>
      <w:r>
        <w:tab/>
      </w:r>
      <w:r>
        <w:rPr>
          <w:b/>
          <w:bCs/>
        </w:rPr>
        <w:t>разработать всеобъемлющее законодательство и общую политику с учетом гендерных и возрастных аспектов для защиты правозащитников в соответствии с Декларацией о праве и обязанности отдельных лиц, групп и органов общества поощрять и защищать общепризнанные права человека и основные свободы (Декларация о правозащитниках), а также создать механизмы защиты, доступные для правозащитников, работающих в зонах конфликтов;</w:t>
      </w:r>
    </w:p>
    <w:p w14:paraId="75EA1137" w14:textId="77777777" w:rsidR="004A7739" w:rsidRPr="006668CB" w:rsidRDefault="004A7739" w:rsidP="004A7739">
      <w:pPr>
        <w:pStyle w:val="SingleTxtG"/>
        <w:tabs>
          <w:tab w:val="left" w:pos="1701"/>
          <w:tab w:val="left" w:pos="2268"/>
        </w:tabs>
        <w:ind w:firstLine="567"/>
        <w:rPr>
          <w:b/>
        </w:rPr>
      </w:pPr>
      <w:r>
        <w:rPr>
          <w:b/>
          <w:bCs/>
        </w:rPr>
        <w:t>b)</w:t>
      </w:r>
      <w:r>
        <w:tab/>
      </w:r>
      <w:r>
        <w:rPr>
          <w:b/>
          <w:bCs/>
        </w:rPr>
        <w:t>обеспечить защиту правозащитников, которые сотрудничают со Специальным уголовным судом, Комиссией по установлению истины, правосудию, возмещению ущерба и примирению и любым другим органом, ответственным за освещение нарушений прав человека в стране, и</w:t>
      </w:r>
      <w:r w:rsidR="006F7FB0">
        <w:rPr>
          <w:b/>
          <w:bCs/>
        </w:rPr>
        <w:t> </w:t>
      </w:r>
      <w:r>
        <w:rPr>
          <w:b/>
          <w:bCs/>
        </w:rPr>
        <w:t>предоставляют им информацию;</w:t>
      </w:r>
    </w:p>
    <w:p w14:paraId="2FA36CFB" w14:textId="77777777" w:rsidR="004A7739" w:rsidRPr="006668CB" w:rsidRDefault="004A7739" w:rsidP="004A7739">
      <w:pPr>
        <w:pStyle w:val="SingleTxtG"/>
        <w:tabs>
          <w:tab w:val="left" w:pos="1701"/>
          <w:tab w:val="left" w:pos="2268"/>
        </w:tabs>
        <w:ind w:firstLine="567"/>
        <w:rPr>
          <w:b/>
        </w:rPr>
      </w:pPr>
      <w:r>
        <w:rPr>
          <w:b/>
          <w:bCs/>
        </w:rPr>
        <w:t>c)</w:t>
      </w:r>
      <w:r>
        <w:tab/>
      </w:r>
      <w:r>
        <w:rPr>
          <w:b/>
          <w:bCs/>
        </w:rPr>
        <w:t>проводить расследования, преследовать в судебном порядке и осуждать лиц, ответственных за  притеснения, угрозы и запугивание в отношении журналистов и правозащитников, в том числе общинных и религиозных деятелей.</w:t>
      </w:r>
    </w:p>
    <w:p w14:paraId="2B98B8B8" w14:textId="77777777" w:rsidR="004A7739" w:rsidRPr="006668CB" w:rsidRDefault="004A7739" w:rsidP="004A7739">
      <w:pPr>
        <w:pStyle w:val="H23G"/>
      </w:pPr>
      <w:r>
        <w:tab/>
      </w:r>
      <w:r>
        <w:tab/>
      </w:r>
      <w:r>
        <w:rPr>
          <w:bCs/>
        </w:rPr>
        <w:t>Коренные народы</w:t>
      </w:r>
    </w:p>
    <w:p w14:paraId="1CF33506" w14:textId="77777777" w:rsidR="004A7739" w:rsidRPr="006668CB" w:rsidRDefault="004A7739" w:rsidP="004A7739">
      <w:pPr>
        <w:pStyle w:val="SingleTxtG"/>
        <w:tabs>
          <w:tab w:val="left" w:pos="1701"/>
          <w:tab w:val="left" w:pos="1843"/>
          <w:tab w:val="left" w:pos="2127"/>
        </w:tabs>
      </w:pPr>
      <w:r>
        <w:t>37.</w:t>
      </w:r>
      <w:r>
        <w:tab/>
        <w:t>Комитет обеспокоен сообщениями о том, что коренные народы (мбороро и бака) по-прежнему сталкиваются со значительными препятствиями при осуществлении прав, провозглашенных в Пакте. В частности, Комитет обеспокоен утверждениями о том, что некоторые лица, включая лиц иностранного гражданства, попадают в рабство. Комитет также обеспокоен недостаточной представленностью коренных народов на уровне принятия решений и в выборных сферах (статьи 8, 25, 26</w:t>
      </w:r>
      <w:r w:rsidR="006F7FB0">
        <w:t> </w:t>
      </w:r>
      <w:r>
        <w:t>и 27).</w:t>
      </w:r>
    </w:p>
    <w:p w14:paraId="3945FA47" w14:textId="77777777" w:rsidR="004A7739" w:rsidRPr="006668CB" w:rsidRDefault="004A7739" w:rsidP="004A7739">
      <w:pPr>
        <w:pStyle w:val="SingleTxtG"/>
        <w:tabs>
          <w:tab w:val="left" w:pos="1701"/>
          <w:tab w:val="left" w:pos="1843"/>
          <w:tab w:val="left" w:pos="2127"/>
        </w:tabs>
      </w:pPr>
      <w:r>
        <w:t>38.</w:t>
      </w:r>
      <w:r>
        <w:tab/>
      </w:r>
      <w:r>
        <w:rPr>
          <w:b/>
          <w:bCs/>
        </w:rPr>
        <w:t xml:space="preserve">В соответствии с заключительными замечаниями Комитета по экономическим, социальным и культурным правам (E/C.12/CAF/CO/1, пункт 22) государству-участнику следует принять национальную стратегию поощрения и </w:t>
      </w:r>
      <w:r>
        <w:rPr>
          <w:b/>
          <w:bCs/>
        </w:rPr>
        <w:lastRenderedPageBreak/>
        <w:t>защиты прав коренных народов с участием соответствующих общин, с тем чтобы, в частности, искоренить некоторые виды практики рабства коренных народов, поощрять их участие в государственных делах и заручаться их свободным, предварительным и осознанным согласием на все затрагивающие их интересы решения.</w:t>
      </w:r>
    </w:p>
    <w:p w14:paraId="4C9F3A21" w14:textId="77777777" w:rsidR="004A7739" w:rsidRPr="006668CB" w:rsidRDefault="00B67D31" w:rsidP="004A7739">
      <w:pPr>
        <w:pStyle w:val="H1G"/>
      </w:pPr>
      <w:r>
        <w:tab/>
      </w:r>
      <w:r w:rsidR="004A7739">
        <w:t>D.</w:t>
      </w:r>
      <w:r w:rsidR="004A7739">
        <w:tab/>
      </w:r>
      <w:r w:rsidR="004A7739" w:rsidRPr="004A7739">
        <w:tab/>
      </w:r>
      <w:r w:rsidR="004A7739">
        <w:rPr>
          <w:bCs/>
        </w:rPr>
        <w:t>Распространение информации и последующая деятельность</w:t>
      </w:r>
    </w:p>
    <w:p w14:paraId="1385D0A5" w14:textId="77777777" w:rsidR="004A7739" w:rsidRPr="006668CB" w:rsidRDefault="004A7739" w:rsidP="004A7739">
      <w:pPr>
        <w:pStyle w:val="SingleTxtG"/>
        <w:tabs>
          <w:tab w:val="left" w:pos="1701"/>
          <w:tab w:val="left" w:pos="1843"/>
          <w:tab w:val="left" w:pos="2127"/>
        </w:tabs>
        <w:rPr>
          <w:b/>
        </w:rPr>
      </w:pPr>
      <w:r>
        <w:t>39.</w:t>
      </w:r>
      <w:r>
        <w:tab/>
      </w:r>
      <w:r>
        <w:rPr>
          <w:b/>
          <w:bCs/>
        </w:rPr>
        <w:t>Государству-участнику следует обеспечить широкое распространение Пакта, своего третьего периодического доклада, письменных ответов на перечень вопросов Комитета и настоящих заключительных замечаний, с тем чтобы повысить уровень осведомленности о закрепленных в Пакте правах среди представителей судебных, законодательных и административных органов, гражданского общества и неправительственных организаций, действующих в стране, а также широкой общественности.</w:t>
      </w:r>
      <w:r>
        <w:t xml:space="preserve"> </w:t>
      </w:r>
      <w:r>
        <w:rPr>
          <w:b/>
          <w:bCs/>
        </w:rPr>
        <w:t>Государству-участнику следует обеспечить перевод доклада, письменных ответов и настоящих заключительных замечаний на основные письменные языки страны.</w:t>
      </w:r>
    </w:p>
    <w:p w14:paraId="0FA1F674" w14:textId="77777777" w:rsidR="004A7739" w:rsidRPr="006668CB" w:rsidRDefault="004A7739" w:rsidP="004A7739">
      <w:pPr>
        <w:pStyle w:val="SingleTxtG"/>
        <w:tabs>
          <w:tab w:val="left" w:pos="1701"/>
          <w:tab w:val="left" w:pos="1843"/>
          <w:tab w:val="left" w:pos="2127"/>
        </w:tabs>
        <w:rPr>
          <w:b/>
        </w:rPr>
      </w:pPr>
      <w:r>
        <w:t>40.</w:t>
      </w:r>
      <w:r>
        <w:tab/>
      </w:r>
      <w:r>
        <w:rPr>
          <w:b/>
          <w:bCs/>
        </w:rPr>
        <w:t>В соответствии с пунктом 1 правила 75 правил процедуры Комитета государству-участнику предлагается представить к 20 марта 2022 года информацию о последующих мерах по выполнению рекомендаций Комитета, содержащихся в пунктах 8 (национальное правозащитное учреждение), 10</w:t>
      </w:r>
      <w:r w:rsidR="006F7FB0">
        <w:rPr>
          <w:b/>
          <w:bCs/>
        </w:rPr>
        <w:t> </w:t>
      </w:r>
      <w:r>
        <w:rPr>
          <w:b/>
          <w:bCs/>
        </w:rPr>
        <w:t>(борьба с безнаказанностью) и 20 (право на жизнь и защита гражданского населения).</w:t>
      </w:r>
    </w:p>
    <w:p w14:paraId="53786F92" w14:textId="77777777" w:rsidR="004A7739" w:rsidRDefault="004A7739" w:rsidP="004A7739">
      <w:pPr>
        <w:pStyle w:val="SingleTxtG"/>
        <w:tabs>
          <w:tab w:val="left" w:pos="1701"/>
          <w:tab w:val="left" w:pos="1843"/>
          <w:tab w:val="left" w:pos="2127"/>
        </w:tabs>
        <w:rPr>
          <w:b/>
          <w:bCs/>
        </w:rPr>
      </w:pPr>
      <w:r>
        <w:t>41.</w:t>
      </w:r>
      <w:r>
        <w:tab/>
      </w:r>
      <w:r>
        <w:rPr>
          <w:b/>
          <w:bCs/>
        </w:rPr>
        <w:t>В соответствии с прогнозируемым циклом обзора Комитета государство-участник получит от Комитета в 2025 году перечень вопросов, подлежащих рассмотрению до представления доклада, и через один год направит свои ответы на перечень вопросов, которые и будут представлять собой его четвертый периодический доклад.</w:t>
      </w:r>
      <w:r>
        <w:t xml:space="preserve"> </w:t>
      </w:r>
      <w:r>
        <w:rPr>
          <w:b/>
          <w:bCs/>
        </w:rPr>
        <w:t>Комитет также просит государство-участник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w:t>
      </w:r>
      <w:r>
        <w:t xml:space="preserve"> </w:t>
      </w:r>
      <w:r>
        <w:rPr>
          <w:b/>
          <w:bCs/>
        </w:rPr>
        <w:t>В соответствии с резолюцией 68/268 Генеральной Ассамблеи объем этого доклада не должен превышать 21 200 слов.</w:t>
      </w:r>
      <w:r>
        <w:t xml:space="preserve"> </w:t>
      </w:r>
      <w:r>
        <w:rPr>
          <w:b/>
          <w:bCs/>
        </w:rPr>
        <w:t>Следующий конструктивный диалог с государством-участником состоится в 2027 году в Женеве.</w:t>
      </w:r>
    </w:p>
    <w:p w14:paraId="4E5D0D0E" w14:textId="77777777" w:rsidR="00381C24" w:rsidRPr="004A7739" w:rsidRDefault="004A7739" w:rsidP="004A7739">
      <w:pPr>
        <w:pStyle w:val="SingleTxtG"/>
        <w:spacing w:before="240" w:after="0"/>
        <w:jc w:val="center"/>
      </w:pPr>
      <w:r>
        <w:rPr>
          <w:u w:val="single"/>
        </w:rPr>
        <w:tab/>
      </w:r>
      <w:r>
        <w:rPr>
          <w:u w:val="single"/>
        </w:rPr>
        <w:tab/>
      </w:r>
      <w:r>
        <w:rPr>
          <w:u w:val="single"/>
        </w:rPr>
        <w:tab/>
      </w:r>
      <w:r>
        <w:rPr>
          <w:u w:val="single"/>
        </w:rPr>
        <w:tab/>
      </w:r>
    </w:p>
    <w:sectPr w:rsidR="00381C24" w:rsidRPr="004A7739" w:rsidSect="004A773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4EA4F" w14:textId="77777777" w:rsidR="00903EC6" w:rsidRPr="00A312BC" w:rsidRDefault="00903EC6" w:rsidP="00A312BC"/>
  </w:endnote>
  <w:endnote w:type="continuationSeparator" w:id="0">
    <w:p w14:paraId="39043962" w14:textId="77777777" w:rsidR="00903EC6" w:rsidRPr="00A312BC" w:rsidRDefault="00903EC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EC0E" w14:textId="77777777" w:rsidR="004A7739" w:rsidRPr="004A7739" w:rsidRDefault="004A7739">
    <w:pPr>
      <w:pStyle w:val="a8"/>
    </w:pPr>
    <w:r w:rsidRPr="004A7739">
      <w:rPr>
        <w:b/>
        <w:sz w:val="18"/>
      </w:rPr>
      <w:fldChar w:fldCharType="begin"/>
    </w:r>
    <w:r w:rsidRPr="004A7739">
      <w:rPr>
        <w:b/>
        <w:sz w:val="18"/>
      </w:rPr>
      <w:instrText xml:space="preserve"> PAGE  \* MERGEFORMAT </w:instrText>
    </w:r>
    <w:r w:rsidRPr="004A7739">
      <w:rPr>
        <w:b/>
        <w:sz w:val="18"/>
      </w:rPr>
      <w:fldChar w:fldCharType="separate"/>
    </w:r>
    <w:r w:rsidRPr="004A7739">
      <w:rPr>
        <w:b/>
        <w:noProof/>
        <w:sz w:val="18"/>
      </w:rPr>
      <w:t>2</w:t>
    </w:r>
    <w:r w:rsidRPr="004A7739">
      <w:rPr>
        <w:b/>
        <w:sz w:val="18"/>
      </w:rPr>
      <w:fldChar w:fldCharType="end"/>
    </w:r>
    <w:r>
      <w:rPr>
        <w:b/>
        <w:sz w:val="18"/>
      </w:rPr>
      <w:tab/>
    </w:r>
    <w:r>
      <w:t>GE.20-06244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FCB6" w14:textId="77777777" w:rsidR="004A7739" w:rsidRPr="004A7739" w:rsidRDefault="004A7739" w:rsidP="004A7739">
    <w:pPr>
      <w:pStyle w:val="a8"/>
      <w:tabs>
        <w:tab w:val="clear" w:pos="9639"/>
        <w:tab w:val="right" w:pos="9638"/>
      </w:tabs>
      <w:rPr>
        <w:b/>
        <w:sz w:val="18"/>
      </w:rPr>
    </w:pPr>
    <w:r>
      <w:t>GE.20-06244</w:t>
    </w:r>
    <w:r>
      <w:tab/>
    </w:r>
    <w:r w:rsidRPr="004A7739">
      <w:rPr>
        <w:b/>
        <w:sz w:val="18"/>
      </w:rPr>
      <w:fldChar w:fldCharType="begin"/>
    </w:r>
    <w:r w:rsidRPr="004A7739">
      <w:rPr>
        <w:b/>
        <w:sz w:val="18"/>
      </w:rPr>
      <w:instrText xml:space="preserve"> PAGE  \* MERGEFORMAT </w:instrText>
    </w:r>
    <w:r w:rsidRPr="004A7739">
      <w:rPr>
        <w:b/>
        <w:sz w:val="18"/>
      </w:rPr>
      <w:fldChar w:fldCharType="separate"/>
    </w:r>
    <w:r w:rsidRPr="004A7739">
      <w:rPr>
        <w:b/>
        <w:noProof/>
        <w:sz w:val="18"/>
      </w:rPr>
      <w:t>3</w:t>
    </w:r>
    <w:r w:rsidRPr="004A77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B5AB" w14:textId="77777777" w:rsidR="00042B72" w:rsidRPr="004A7739" w:rsidRDefault="004A7739" w:rsidP="004A7739">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F4B80ED" wp14:editId="6E9DE43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20-06244  (R)</w:t>
    </w:r>
    <w:r w:rsidR="00C15B40">
      <w:t xml:space="preserve">  070520  080520</w:t>
    </w:r>
    <w:r>
      <w:br/>
    </w:r>
    <w:r w:rsidRPr="004A7739">
      <w:rPr>
        <w:rFonts w:ascii="C39T30Lfz" w:hAnsi="C39T30Lfz"/>
        <w:kern w:val="14"/>
        <w:sz w:val="56"/>
      </w:rPr>
      <w:t></w:t>
    </w:r>
    <w:r w:rsidRPr="004A7739">
      <w:rPr>
        <w:rFonts w:ascii="C39T30Lfz" w:hAnsi="C39T30Lfz"/>
        <w:kern w:val="14"/>
        <w:sz w:val="56"/>
      </w:rPr>
      <w:t></w:t>
    </w:r>
    <w:r w:rsidRPr="004A7739">
      <w:rPr>
        <w:rFonts w:ascii="C39T30Lfz" w:hAnsi="C39T30Lfz"/>
        <w:kern w:val="14"/>
        <w:sz w:val="56"/>
      </w:rPr>
      <w:t></w:t>
    </w:r>
    <w:r w:rsidRPr="004A7739">
      <w:rPr>
        <w:rFonts w:ascii="C39T30Lfz" w:hAnsi="C39T30Lfz"/>
        <w:kern w:val="14"/>
        <w:sz w:val="56"/>
      </w:rPr>
      <w:t></w:t>
    </w:r>
    <w:r w:rsidRPr="004A7739">
      <w:rPr>
        <w:rFonts w:ascii="C39T30Lfz" w:hAnsi="C39T30Lfz"/>
        <w:kern w:val="14"/>
        <w:sz w:val="56"/>
      </w:rPr>
      <w:t></w:t>
    </w:r>
    <w:r w:rsidRPr="004A7739">
      <w:rPr>
        <w:rFonts w:ascii="C39T30Lfz" w:hAnsi="C39T30Lfz"/>
        <w:kern w:val="14"/>
        <w:sz w:val="56"/>
      </w:rPr>
      <w:t></w:t>
    </w:r>
    <w:r w:rsidRPr="004A7739">
      <w:rPr>
        <w:rFonts w:ascii="C39T30Lfz" w:hAnsi="C39T30Lfz"/>
        <w:kern w:val="14"/>
        <w:sz w:val="56"/>
      </w:rPr>
      <w:t></w:t>
    </w:r>
    <w:r w:rsidRPr="004A7739">
      <w:rPr>
        <w:rFonts w:ascii="C39T30Lfz" w:hAnsi="C39T30Lfz"/>
        <w:kern w:val="14"/>
        <w:sz w:val="56"/>
      </w:rPr>
      <w:t></w:t>
    </w:r>
    <w:r w:rsidRPr="004A7739">
      <w:rPr>
        <w:rFonts w:ascii="C39T30Lfz" w:hAnsi="C39T30Lfz"/>
        <w:kern w:val="14"/>
        <w:sz w:val="56"/>
      </w:rPr>
      <w:t></w:t>
    </w:r>
    <w:r>
      <w:rPr>
        <w:noProof/>
      </w:rPr>
      <w:drawing>
        <wp:anchor distT="0" distB="0" distL="114300" distR="114300" simplePos="0" relativeHeight="251659264" behindDoc="0" locked="0" layoutInCell="1" allowOverlap="1" wp14:anchorId="3A4986FF" wp14:editId="31CCBD4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C2A56" w14:textId="77777777" w:rsidR="00903EC6" w:rsidRPr="001075E9" w:rsidRDefault="00903EC6" w:rsidP="001075E9">
      <w:pPr>
        <w:tabs>
          <w:tab w:val="right" w:pos="2155"/>
        </w:tabs>
        <w:spacing w:after="80" w:line="240" w:lineRule="auto"/>
        <w:ind w:left="680"/>
        <w:rPr>
          <w:u w:val="single"/>
        </w:rPr>
      </w:pPr>
      <w:r>
        <w:rPr>
          <w:u w:val="single"/>
        </w:rPr>
        <w:tab/>
      </w:r>
    </w:p>
  </w:footnote>
  <w:footnote w:type="continuationSeparator" w:id="0">
    <w:p w14:paraId="3EAE51B6" w14:textId="77777777" w:rsidR="00903EC6" w:rsidRDefault="00903EC6" w:rsidP="00407B78">
      <w:pPr>
        <w:tabs>
          <w:tab w:val="right" w:pos="2155"/>
        </w:tabs>
        <w:spacing w:after="80"/>
        <w:ind w:left="680"/>
        <w:rPr>
          <w:u w:val="single"/>
        </w:rPr>
      </w:pPr>
      <w:r>
        <w:rPr>
          <w:u w:val="single"/>
        </w:rPr>
        <w:tab/>
      </w:r>
    </w:p>
  </w:footnote>
  <w:footnote w:id="1">
    <w:p w14:paraId="16862210" w14:textId="77777777" w:rsidR="004A7739" w:rsidRPr="006668CB" w:rsidRDefault="004A7739" w:rsidP="004A7739">
      <w:pPr>
        <w:pStyle w:val="ad"/>
        <w:spacing w:after="120"/>
      </w:pPr>
      <w:r>
        <w:tab/>
      </w:r>
      <w:r w:rsidRPr="004A7739">
        <w:rPr>
          <w:sz w:val="20"/>
        </w:rPr>
        <w:t>*</w:t>
      </w:r>
      <w:r>
        <w:tab/>
        <w:t>Приняты Комитетом на его 128-й сессии (2</w:t>
      </w:r>
      <w:r w:rsidRPr="004A7739">
        <w:t>–</w:t>
      </w:r>
      <w:r>
        <w:t xml:space="preserve">27 марта 2020 года).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520B" w14:textId="79212262" w:rsidR="004A7739" w:rsidRPr="004A7739" w:rsidRDefault="00515FAA">
    <w:pPr>
      <w:pStyle w:val="a5"/>
    </w:pPr>
    <w:r>
      <w:fldChar w:fldCharType="begin"/>
    </w:r>
    <w:r>
      <w:instrText xml:space="preserve"> TITLE  \* MERGEFORMAT </w:instrText>
    </w:r>
    <w:r>
      <w:fldChar w:fldCharType="separate"/>
    </w:r>
    <w:r>
      <w:t>CCPR/C/CAF/CO/3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A7D4" w14:textId="7DA5A8EC" w:rsidR="004A7739" w:rsidRPr="004A7739" w:rsidRDefault="00515FAA" w:rsidP="004A7739">
    <w:pPr>
      <w:pStyle w:val="a5"/>
      <w:jc w:val="right"/>
    </w:pPr>
    <w:r>
      <w:fldChar w:fldCharType="begin"/>
    </w:r>
    <w:r>
      <w:instrText xml:space="preserve"> TITLE  \* MERGEFORMAT </w:instrText>
    </w:r>
    <w:r>
      <w:fldChar w:fldCharType="separate"/>
    </w:r>
    <w:r>
      <w:t>CCPR/C/CAF/CO/3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C3AC" w14:textId="77777777" w:rsidR="00C15B40" w:rsidRDefault="00C15B40" w:rsidP="00C15B4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C6"/>
    <w:rsid w:val="00033EE1"/>
    <w:rsid w:val="00042B72"/>
    <w:rsid w:val="000558BD"/>
    <w:rsid w:val="000B57E7"/>
    <w:rsid w:val="000B6373"/>
    <w:rsid w:val="000F09DF"/>
    <w:rsid w:val="000F61B2"/>
    <w:rsid w:val="001075E9"/>
    <w:rsid w:val="00180183"/>
    <w:rsid w:val="0018024D"/>
    <w:rsid w:val="0018649F"/>
    <w:rsid w:val="00196389"/>
    <w:rsid w:val="001B3EF6"/>
    <w:rsid w:val="001C7A89"/>
    <w:rsid w:val="001E5155"/>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37AF"/>
    <w:rsid w:val="004969B2"/>
    <w:rsid w:val="004A7739"/>
    <w:rsid w:val="0050108D"/>
    <w:rsid w:val="00513081"/>
    <w:rsid w:val="00515FAA"/>
    <w:rsid w:val="00517901"/>
    <w:rsid w:val="00526683"/>
    <w:rsid w:val="005709E0"/>
    <w:rsid w:val="00572E19"/>
    <w:rsid w:val="005961C8"/>
    <w:rsid w:val="005D7914"/>
    <w:rsid w:val="005E2B41"/>
    <w:rsid w:val="005E39DC"/>
    <w:rsid w:val="005F0B42"/>
    <w:rsid w:val="006554B3"/>
    <w:rsid w:val="00666B97"/>
    <w:rsid w:val="00681A10"/>
    <w:rsid w:val="006A1ED8"/>
    <w:rsid w:val="006C2031"/>
    <w:rsid w:val="006D461A"/>
    <w:rsid w:val="006F35EE"/>
    <w:rsid w:val="006F7FB0"/>
    <w:rsid w:val="007021FF"/>
    <w:rsid w:val="00711621"/>
    <w:rsid w:val="00712895"/>
    <w:rsid w:val="0075523D"/>
    <w:rsid w:val="00757357"/>
    <w:rsid w:val="00787D3A"/>
    <w:rsid w:val="00791B9D"/>
    <w:rsid w:val="00811C3F"/>
    <w:rsid w:val="00825F8D"/>
    <w:rsid w:val="00834B71"/>
    <w:rsid w:val="0086445C"/>
    <w:rsid w:val="00894693"/>
    <w:rsid w:val="008A08D7"/>
    <w:rsid w:val="008B6909"/>
    <w:rsid w:val="00903EC6"/>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67D31"/>
    <w:rsid w:val="00BC18B2"/>
    <w:rsid w:val="00BC3629"/>
    <w:rsid w:val="00BD33EE"/>
    <w:rsid w:val="00BF1A04"/>
    <w:rsid w:val="00C0177C"/>
    <w:rsid w:val="00C106D6"/>
    <w:rsid w:val="00C15B40"/>
    <w:rsid w:val="00C46D5A"/>
    <w:rsid w:val="00C60F0C"/>
    <w:rsid w:val="00C805C9"/>
    <w:rsid w:val="00C92939"/>
    <w:rsid w:val="00CA1679"/>
    <w:rsid w:val="00CA242E"/>
    <w:rsid w:val="00CB151C"/>
    <w:rsid w:val="00CE25D7"/>
    <w:rsid w:val="00CE5A1A"/>
    <w:rsid w:val="00CF55F6"/>
    <w:rsid w:val="00D33D63"/>
    <w:rsid w:val="00D74252"/>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1D32"/>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17065"/>
  <w15:docId w15:val="{96A7FD01-B663-4271-BFC5-F90479F9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16 Point,BVI fnr,Footnote,Footnote Refernece,Footnote symbol,Fußnotenzeichen_Raxen,Superscript 6 Point,Texto de nota al pie,ftre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Char,F1,FOOTNOTES,Footnote Text Char Char,Footnote Text Char Char Char,Fußnote,Geneva,fn,fn Cha,footnote text Char,ft,ft Char,ft Char Char,ft Char Char Char,single space,single space Char,single space Char Char Ch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Char Знак,F1 Знак,FOOTNOTES Знак,Footnote Text Char Char Знак,Footnote Text Char Char Char Знак,Fußnote Знак,Geneva Знак,fn Знак,fn Cha Знак,footnote text Char Знак,ft Знак,ft Char Знак,ft Char Char Знак,ft Char Char Char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4A7739"/>
    <w:rPr>
      <w:lang w:val="ru-RU" w:eastAsia="en-US"/>
    </w:rPr>
  </w:style>
  <w:style w:type="character" w:customStyle="1" w:styleId="HChGChar">
    <w:name w:val="_ H _Ch_G Char"/>
    <w:link w:val="HChG"/>
    <w:rsid w:val="004A7739"/>
    <w:rPr>
      <w:b/>
      <w:sz w:val="28"/>
      <w:lang w:val="ru-RU" w:eastAsia="ru-RU"/>
    </w:rPr>
  </w:style>
  <w:style w:type="character" w:customStyle="1" w:styleId="H1GChar">
    <w:name w:val="_ H_1_G Char"/>
    <w:link w:val="H1G"/>
    <w:locked/>
    <w:rsid w:val="004A7739"/>
    <w:rPr>
      <w:b/>
      <w:sz w:val="24"/>
      <w:lang w:val="ru-RU" w:eastAsia="ru-RU"/>
    </w:rPr>
  </w:style>
  <w:style w:type="character" w:customStyle="1" w:styleId="H23GChar">
    <w:name w:val="_ H_2/3_G Char"/>
    <w:link w:val="H23G"/>
    <w:locked/>
    <w:rsid w:val="004A7739"/>
    <w:rPr>
      <w:b/>
      <w:lang w:val="ru-RU" w:eastAsia="ru-RU"/>
    </w:rPr>
  </w:style>
  <w:style w:type="character" w:customStyle="1" w:styleId="SingleTxtGCar">
    <w:name w:val="_ Single Txt_G Car"/>
    <w:rsid w:val="004A7739"/>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5</TotalTime>
  <Pages>11</Pages>
  <Words>5141</Words>
  <Characters>29304</Characters>
  <Application>Microsoft Office Word</Application>
  <DocSecurity>0</DocSecurity>
  <Lines>244</Lines>
  <Paragraphs>68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CCPR/C/CAF/CO/3</vt:lpstr>
      <vt:lpstr>A/</vt:lpstr>
      <vt:lpstr>A/</vt:lpstr>
    </vt:vector>
  </TitlesOfParts>
  <Company>DCM</Company>
  <LinksUpToDate>false</LinksUpToDate>
  <CharactersWithSpaces>34377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CCPR/C/CAF/CO/3</dc:title>
  <dc:subject/>
  <dc:creator>Olga OVTCHINNIKOVA</dc:creator>
  <cp:keywords/>
  <cp:lastModifiedBy>Olga Ovchinnikova</cp:lastModifiedBy>
  <cp:revision>3</cp:revision>
  <cp:lastPrinted>2020-05-08T06:16:00Z</cp:lastPrinted>
  <dcterms:created xsi:type="dcterms:W3CDTF">2020-05-08T06:16:00Z</dcterms:created>
  <dcterms:modified xsi:type="dcterms:W3CDTF">2020-05-08T06:20:00Z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