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4067E" w:rsidRPr="008D3DE0" w14:paraId="1D809351" w14:textId="77777777" w:rsidTr="007D39A7">
        <w:trPr>
          <w:cantSplit/>
          <w:trHeight w:hRule="exact" w:val="851"/>
        </w:trPr>
        <w:tc>
          <w:tcPr>
            <w:tcW w:w="1276" w:type="dxa"/>
            <w:tcBorders>
              <w:bottom w:val="single" w:sz="4" w:space="0" w:color="auto"/>
            </w:tcBorders>
            <w:vAlign w:val="bottom"/>
          </w:tcPr>
          <w:p w14:paraId="1D07D667" w14:textId="77777777" w:rsidR="00C4067E" w:rsidRPr="00F43810" w:rsidRDefault="00C4067E" w:rsidP="007D39A7">
            <w:pPr>
              <w:spacing w:after="80"/>
            </w:pPr>
            <w:bookmarkStart w:id="0" w:name="_Hlk37916381"/>
          </w:p>
        </w:tc>
        <w:tc>
          <w:tcPr>
            <w:tcW w:w="2268" w:type="dxa"/>
            <w:tcBorders>
              <w:bottom w:val="single" w:sz="4" w:space="0" w:color="auto"/>
            </w:tcBorders>
            <w:vAlign w:val="bottom"/>
          </w:tcPr>
          <w:p w14:paraId="50B900AA" w14:textId="79337A61" w:rsidR="00C4067E" w:rsidRPr="008D3DE0" w:rsidRDefault="00C4067E" w:rsidP="007D39A7">
            <w:pPr>
              <w:spacing w:after="80" w:line="300" w:lineRule="exact"/>
              <w:rPr>
                <w:b/>
                <w:sz w:val="24"/>
                <w:szCs w:val="24"/>
              </w:rPr>
            </w:pPr>
            <w:r w:rsidRPr="008D3DE0">
              <w:rPr>
                <w:sz w:val="28"/>
              </w:rPr>
              <w:t>Nations Unies</w:t>
            </w:r>
          </w:p>
        </w:tc>
        <w:tc>
          <w:tcPr>
            <w:tcW w:w="6095" w:type="dxa"/>
            <w:gridSpan w:val="2"/>
            <w:tcBorders>
              <w:bottom w:val="single" w:sz="4" w:space="0" w:color="auto"/>
            </w:tcBorders>
            <w:vAlign w:val="bottom"/>
          </w:tcPr>
          <w:p w14:paraId="645B4C07" w14:textId="3FD1E2B8" w:rsidR="00C4067E" w:rsidRPr="00422BE7" w:rsidRDefault="00422BE7" w:rsidP="00422BE7">
            <w:pPr>
              <w:suppressAutoHyphens w:val="0"/>
              <w:jc w:val="right"/>
              <w:rPr>
                <w:lang w:val="en-GB"/>
              </w:rPr>
            </w:pPr>
            <w:r w:rsidRPr="00422BE7">
              <w:rPr>
                <w:sz w:val="40"/>
                <w:lang w:val="en-GB"/>
              </w:rPr>
              <w:t>CCPR</w:t>
            </w:r>
            <w:r>
              <w:rPr>
                <w:lang w:val="en-GB"/>
              </w:rPr>
              <w:t>/C/CAF/CO/3</w:t>
            </w:r>
          </w:p>
        </w:tc>
      </w:tr>
      <w:tr w:rsidR="00C4067E" w:rsidRPr="008D3DE0" w14:paraId="07C5B4C3" w14:textId="77777777" w:rsidTr="007D39A7">
        <w:trPr>
          <w:cantSplit/>
          <w:trHeight w:hRule="exact" w:val="2835"/>
        </w:trPr>
        <w:tc>
          <w:tcPr>
            <w:tcW w:w="1276" w:type="dxa"/>
            <w:tcBorders>
              <w:top w:val="single" w:sz="4" w:space="0" w:color="auto"/>
              <w:bottom w:val="single" w:sz="12" w:space="0" w:color="auto"/>
            </w:tcBorders>
          </w:tcPr>
          <w:p w14:paraId="68A05E0B" w14:textId="1BAF169D" w:rsidR="00C4067E" w:rsidRPr="008D3DE0" w:rsidRDefault="00E60E50" w:rsidP="007D39A7">
            <w:pPr>
              <w:spacing w:before="120"/>
              <w:jc w:val="center"/>
            </w:pPr>
            <w:r w:rsidRPr="008D3DE0">
              <w:rPr>
                <w:noProof/>
                <w:lang w:val="en-GB" w:eastAsia="en-GB"/>
              </w:rPr>
              <w:drawing>
                <wp:inline distT="0" distB="0" distL="0" distR="0" wp14:anchorId="756A7EE8" wp14:editId="5059CC92">
                  <wp:extent cx="713105"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591185"/>
                          </a:xfrm>
                          <a:prstGeom prst="rect">
                            <a:avLst/>
                          </a:prstGeom>
                          <a:noFill/>
                        </pic:spPr>
                      </pic:pic>
                    </a:graphicData>
                  </a:graphic>
                </wp:inline>
              </w:drawing>
            </w:r>
          </w:p>
        </w:tc>
        <w:tc>
          <w:tcPr>
            <w:tcW w:w="5528" w:type="dxa"/>
            <w:gridSpan w:val="2"/>
            <w:tcBorders>
              <w:top w:val="single" w:sz="4" w:space="0" w:color="auto"/>
              <w:bottom w:val="single" w:sz="12" w:space="0" w:color="auto"/>
            </w:tcBorders>
          </w:tcPr>
          <w:p w14:paraId="6B44C11B" w14:textId="45F00023" w:rsidR="00C12F08" w:rsidRPr="008D3DE0" w:rsidRDefault="00C4067E" w:rsidP="007D39A7">
            <w:pPr>
              <w:spacing w:before="120" w:line="380" w:lineRule="exact"/>
            </w:pPr>
            <w:r w:rsidRPr="008D3DE0">
              <w:rPr>
                <w:b/>
                <w:sz w:val="34"/>
                <w:szCs w:val="34"/>
              </w:rPr>
              <w:t>Pacte international relatif</w:t>
            </w:r>
            <w:r w:rsidRPr="008D3DE0">
              <w:rPr>
                <w:b/>
                <w:sz w:val="34"/>
                <w:szCs w:val="34"/>
              </w:rPr>
              <w:br/>
              <w:t>aux droits civils et politiques</w:t>
            </w:r>
          </w:p>
        </w:tc>
        <w:tc>
          <w:tcPr>
            <w:tcW w:w="2835" w:type="dxa"/>
            <w:tcBorders>
              <w:top w:val="single" w:sz="4" w:space="0" w:color="auto"/>
              <w:bottom w:val="single" w:sz="12" w:space="0" w:color="auto"/>
            </w:tcBorders>
          </w:tcPr>
          <w:p w14:paraId="47B12557" w14:textId="08CA90BC" w:rsidR="00C4067E" w:rsidRPr="008D3DE0" w:rsidRDefault="00C4067E" w:rsidP="007D39A7">
            <w:pPr>
              <w:suppressAutoHyphens w:val="0"/>
              <w:spacing w:before="240" w:line="240" w:lineRule="exact"/>
            </w:pPr>
            <w:proofErr w:type="spellStart"/>
            <w:r w:rsidRPr="008D3DE0">
              <w:t>Distr</w:t>
            </w:r>
            <w:proofErr w:type="spellEnd"/>
            <w:r w:rsidRPr="008D3DE0">
              <w:t>.</w:t>
            </w:r>
            <w:r w:rsidR="006D7914" w:rsidRPr="008D3DE0">
              <w:t xml:space="preserve"> </w:t>
            </w:r>
            <w:r w:rsidR="00476321" w:rsidRPr="008D3DE0">
              <w:t>générale</w:t>
            </w:r>
          </w:p>
          <w:p w14:paraId="71F2503F" w14:textId="670B7E10" w:rsidR="00C4067E" w:rsidRPr="008D3DE0" w:rsidRDefault="00B81C89" w:rsidP="007D39A7">
            <w:pPr>
              <w:suppressAutoHyphens w:val="0"/>
            </w:pPr>
            <w:r>
              <w:t>30</w:t>
            </w:r>
            <w:r w:rsidR="00F5264C" w:rsidRPr="008D3DE0">
              <w:t xml:space="preserve"> avril</w:t>
            </w:r>
            <w:r w:rsidR="00D02918" w:rsidRPr="008D3DE0">
              <w:t xml:space="preserve"> </w:t>
            </w:r>
            <w:r w:rsidR="00C4067E" w:rsidRPr="008D3DE0">
              <w:t>2020</w:t>
            </w:r>
          </w:p>
          <w:p w14:paraId="77FD7253" w14:textId="77777777" w:rsidR="00C4067E" w:rsidRPr="008D3DE0" w:rsidRDefault="00C4067E" w:rsidP="007D39A7">
            <w:pPr>
              <w:suppressAutoHyphens w:val="0"/>
            </w:pPr>
          </w:p>
          <w:p w14:paraId="5117DAA7" w14:textId="08AC430B" w:rsidR="00C4067E" w:rsidRPr="008D3DE0" w:rsidRDefault="00C4067E" w:rsidP="007D39A7">
            <w:pPr>
              <w:suppressAutoHyphens w:val="0"/>
            </w:pPr>
            <w:r w:rsidRPr="008D3DE0">
              <w:t>Original</w:t>
            </w:r>
            <w:r w:rsidR="005207A6" w:rsidRPr="008D3DE0">
              <w:t> </w:t>
            </w:r>
            <w:r w:rsidRPr="008D3DE0">
              <w:t>:</w:t>
            </w:r>
            <w:r w:rsidR="00D02918" w:rsidRPr="008D3DE0">
              <w:t xml:space="preserve"> </w:t>
            </w:r>
            <w:r w:rsidRPr="008D3DE0">
              <w:t>français</w:t>
            </w:r>
          </w:p>
          <w:p w14:paraId="1B2C264A" w14:textId="0086F59E" w:rsidR="00C4067E" w:rsidRPr="008D3DE0" w:rsidRDefault="00C4067E" w:rsidP="007D39A7">
            <w:pPr>
              <w:suppressAutoHyphens w:val="0"/>
            </w:pPr>
          </w:p>
        </w:tc>
      </w:tr>
    </w:tbl>
    <w:p w14:paraId="76661183" w14:textId="77777777" w:rsidR="0096622E" w:rsidRPr="008D3DE0" w:rsidRDefault="0096622E" w:rsidP="0096622E">
      <w:pPr>
        <w:suppressAutoHyphens/>
        <w:kinsoku w:val="0"/>
        <w:overflowPunct w:val="0"/>
        <w:autoSpaceDE w:val="0"/>
        <w:autoSpaceDN w:val="0"/>
        <w:adjustRightInd w:val="0"/>
        <w:snapToGrid w:val="0"/>
        <w:spacing w:before="120" w:after="0" w:line="240" w:lineRule="atLeast"/>
        <w:rPr>
          <w:rFonts w:ascii="Times New Roman" w:eastAsia="Calibri" w:hAnsi="Times New Roman" w:cs="Times New Roman"/>
          <w:b/>
          <w:sz w:val="24"/>
          <w:szCs w:val="24"/>
          <w:lang w:val="fr-CH" w:eastAsia="en-US"/>
        </w:rPr>
      </w:pPr>
      <w:r w:rsidRPr="008D3DE0">
        <w:rPr>
          <w:rFonts w:ascii="Times New Roman" w:eastAsia="Calibri" w:hAnsi="Times New Roman" w:cs="Times New Roman"/>
          <w:b/>
          <w:sz w:val="24"/>
          <w:szCs w:val="24"/>
          <w:lang w:val="fr-CH" w:eastAsia="en-US"/>
        </w:rPr>
        <w:t>Comité des droits de l’homme</w:t>
      </w:r>
    </w:p>
    <w:p w14:paraId="015F12D0" w14:textId="6630346B" w:rsidR="00C4067E" w:rsidRPr="00B23DE8" w:rsidRDefault="00C4067E" w:rsidP="00C12F08">
      <w:pPr>
        <w:pStyle w:val="HChG"/>
        <w:rPr>
          <w:b w:val="0"/>
          <w:bCs/>
          <w:sz w:val="18"/>
        </w:rPr>
      </w:pPr>
      <w:r w:rsidRPr="008D3DE0">
        <w:tab/>
      </w:r>
      <w:r w:rsidRPr="008D3DE0">
        <w:tab/>
        <w:t>Observations finales concernant</w:t>
      </w:r>
      <w:r w:rsidR="000E6978">
        <w:t xml:space="preserve"> le troisième rapport périodique de la République centrafricaine</w:t>
      </w:r>
      <w:bookmarkStart w:id="1" w:name="_GoBack"/>
      <w:r w:rsidR="000E6978" w:rsidRPr="000E6978">
        <w:rPr>
          <w:rStyle w:val="Appelnotedebasdep"/>
          <w:b w:val="0"/>
          <w:sz w:val="20"/>
          <w:vertAlign w:val="baseline"/>
        </w:rPr>
        <w:footnoteReference w:customMarkFollows="1" w:id="2"/>
        <w:t>*</w:t>
      </w:r>
      <w:bookmarkEnd w:id="1"/>
    </w:p>
    <w:p w14:paraId="37616BA9" w14:textId="26273D3C" w:rsidR="00C4067E" w:rsidRPr="008D3DE0" w:rsidRDefault="0096622E" w:rsidP="0096622E">
      <w:pPr>
        <w:pStyle w:val="SingleTxtG"/>
        <w:tabs>
          <w:tab w:val="left" w:pos="1701"/>
        </w:tabs>
      </w:pPr>
      <w:r w:rsidRPr="008D3DE0">
        <w:t>1.</w:t>
      </w:r>
      <w:r w:rsidRPr="008D3DE0">
        <w:tab/>
      </w:r>
      <w:r w:rsidR="00C4067E" w:rsidRPr="008D3DE0">
        <w:t>Le Comité des droits de l’homme a examiné le troisième rapport périodique de la République centrafricaine (CCPR/C/CAF/3) à ses</w:t>
      </w:r>
      <w:r w:rsidR="00D53419" w:rsidRPr="008D3DE0">
        <w:t xml:space="preserve"> </w:t>
      </w:r>
      <w:r w:rsidR="00C4067E" w:rsidRPr="008D3DE0">
        <w:t>3694</w:t>
      </w:r>
      <w:r w:rsidR="00C4067E" w:rsidRPr="008D3DE0">
        <w:rPr>
          <w:vertAlign w:val="superscript"/>
        </w:rPr>
        <w:t>e</w:t>
      </w:r>
      <w:r w:rsidR="00C4067E" w:rsidRPr="008D3DE0">
        <w:t xml:space="preserve"> et 3695</w:t>
      </w:r>
      <w:r w:rsidR="00C4067E" w:rsidRPr="008D3DE0">
        <w:rPr>
          <w:vertAlign w:val="superscript"/>
        </w:rPr>
        <w:t>e</w:t>
      </w:r>
      <w:r w:rsidR="00C4067E" w:rsidRPr="008D3DE0">
        <w:t> séances (CCPR/C/SR.3694 et 3695), les 4 et 5</w:t>
      </w:r>
      <w:r w:rsidR="00D53419" w:rsidRPr="008D3DE0">
        <w:t xml:space="preserve"> </w:t>
      </w:r>
      <w:r w:rsidR="00C4067E" w:rsidRPr="008D3DE0">
        <w:t xml:space="preserve">mars 2020. </w:t>
      </w:r>
      <w:r w:rsidR="002577B4" w:rsidRPr="008D3DE0">
        <w:t>Le Comité a adopté, le 27 mars 2020, les observations finales ci-après.</w:t>
      </w:r>
    </w:p>
    <w:p w14:paraId="2F6C11C8" w14:textId="77777777" w:rsidR="00C4067E" w:rsidRPr="008D3DE0" w:rsidRDefault="00C4067E" w:rsidP="00C4067E">
      <w:pPr>
        <w:pStyle w:val="H1G"/>
      </w:pPr>
      <w:r w:rsidRPr="008D3DE0">
        <w:tab/>
        <w:t>A.</w:t>
      </w:r>
      <w:r w:rsidRPr="008D3DE0">
        <w:tab/>
        <w:t>Introduction</w:t>
      </w:r>
    </w:p>
    <w:p w14:paraId="5FF2ED5C" w14:textId="5B3AE40D" w:rsidR="00C4067E" w:rsidRPr="008D3DE0" w:rsidRDefault="00C4067E" w:rsidP="0096622E">
      <w:pPr>
        <w:pStyle w:val="SingleTxtG"/>
        <w:tabs>
          <w:tab w:val="left" w:pos="1701"/>
        </w:tabs>
      </w:pPr>
      <w:r w:rsidRPr="008D3DE0">
        <w:t>2.</w:t>
      </w:r>
      <w:r w:rsidRPr="008D3DE0">
        <w:tab/>
        <w:t xml:space="preserve">Le Comité accueille avec satisfaction le troisième rapport périodique de </w:t>
      </w:r>
      <w:r w:rsidR="00456FE1" w:rsidRPr="008D3DE0">
        <w:t>l’État partie</w:t>
      </w:r>
      <w:r w:rsidRPr="008D3DE0">
        <w:t xml:space="preserve"> et les renseignements qu’il contient</w:t>
      </w:r>
      <w:r w:rsidRPr="008D3DE0">
        <w:rPr>
          <w:lang w:val="fr-FR"/>
        </w:rPr>
        <w:t xml:space="preserve">. </w:t>
      </w:r>
      <w:r w:rsidRPr="008D3DE0">
        <w:t xml:space="preserve">Il apprécie l’occasion qui lui a été offerte de renouer un dialogue constructif avec la délégation de l’État partie </w:t>
      </w:r>
      <w:r w:rsidRPr="008D3DE0">
        <w:rPr>
          <w:lang w:val="fr-FR"/>
        </w:rPr>
        <w:t>sur les mesures prises par celui-ci pour donner effet aux dispositions du Pacte</w:t>
      </w:r>
      <w:r w:rsidR="009E6946" w:rsidRPr="008D3DE0">
        <w:rPr>
          <w:lang w:val="fr-FR"/>
        </w:rPr>
        <w:t>.</w:t>
      </w:r>
      <w:r w:rsidRPr="008D3DE0">
        <w:t xml:space="preserve"> </w:t>
      </w:r>
      <w:r w:rsidRPr="008D3DE0">
        <w:rPr>
          <w:lang w:val="fr-FR"/>
        </w:rPr>
        <w:t>Il remercie l’État partie</w:t>
      </w:r>
      <w:r w:rsidR="006268E5" w:rsidRPr="008D3DE0">
        <w:rPr>
          <w:lang w:val="fr-FR"/>
        </w:rPr>
        <w:t xml:space="preserve"> </w:t>
      </w:r>
      <w:r w:rsidR="00456FE1" w:rsidRPr="008D3DE0">
        <w:rPr>
          <w:lang w:val="fr-FR"/>
        </w:rPr>
        <w:t>des réponses écrites</w:t>
      </w:r>
      <w:r w:rsidRPr="008D3DE0">
        <w:rPr>
          <w:lang w:val="fr-FR"/>
        </w:rPr>
        <w:t xml:space="preserve"> (CCPR/C/CAF/Q/3/Add.1) </w:t>
      </w:r>
      <w:r w:rsidR="00456FE1" w:rsidRPr="008D3DE0">
        <w:rPr>
          <w:lang w:val="fr-FR"/>
        </w:rPr>
        <w:t>apportées</w:t>
      </w:r>
      <w:r w:rsidRPr="008D3DE0">
        <w:rPr>
          <w:lang w:val="fr-FR"/>
        </w:rPr>
        <w:t xml:space="preserve"> à la liste de points (CCPR/C/CAF/Q/3) ainsi que </w:t>
      </w:r>
      <w:r w:rsidR="00456FE1" w:rsidRPr="008D3DE0">
        <w:rPr>
          <w:lang w:val="fr-FR"/>
        </w:rPr>
        <w:t>des</w:t>
      </w:r>
      <w:r w:rsidRPr="008D3DE0">
        <w:rPr>
          <w:lang w:val="fr-FR"/>
        </w:rPr>
        <w:t xml:space="preserve"> réponses données oralement</w:t>
      </w:r>
      <w:r w:rsidR="00456FE1" w:rsidRPr="008D3DE0">
        <w:rPr>
          <w:lang w:val="fr-FR"/>
        </w:rPr>
        <w:t xml:space="preserve"> par la délégation</w:t>
      </w:r>
      <w:r w:rsidRPr="008D3DE0">
        <w:rPr>
          <w:lang w:val="fr-FR"/>
        </w:rPr>
        <w:t xml:space="preserve">. </w:t>
      </w:r>
    </w:p>
    <w:p w14:paraId="0588DC1C" w14:textId="77777777" w:rsidR="00C4067E" w:rsidRPr="008D3DE0" w:rsidRDefault="00C4067E" w:rsidP="00C4067E">
      <w:pPr>
        <w:pStyle w:val="H1G"/>
      </w:pPr>
      <w:r w:rsidRPr="008D3DE0">
        <w:tab/>
        <w:t>B.</w:t>
      </w:r>
      <w:r w:rsidRPr="008D3DE0">
        <w:tab/>
        <w:t>Aspects positifs</w:t>
      </w:r>
    </w:p>
    <w:p w14:paraId="6E70D10C" w14:textId="77777777" w:rsidR="00C4067E" w:rsidRPr="008D3DE0" w:rsidRDefault="00C4067E" w:rsidP="0096622E">
      <w:pPr>
        <w:pStyle w:val="SingleTxtG"/>
        <w:tabs>
          <w:tab w:val="left" w:pos="1701"/>
          <w:tab w:val="left" w:pos="1843"/>
          <w:tab w:val="left" w:pos="2127"/>
        </w:tabs>
      </w:pPr>
      <w:r w:rsidRPr="008D3DE0">
        <w:t>3.</w:t>
      </w:r>
      <w:r w:rsidRPr="008D3DE0">
        <w:tab/>
        <w:t xml:space="preserve">Le Comité salue les mesures législatives et institutionnelles prises par </w:t>
      </w:r>
      <w:r w:rsidRPr="008D3DE0">
        <w:rPr>
          <w:lang w:val="fr-FR"/>
        </w:rPr>
        <w:t>l’État partie</w:t>
      </w:r>
      <w:r w:rsidRPr="008D3DE0">
        <w:t>, notamment :</w:t>
      </w:r>
    </w:p>
    <w:p w14:paraId="7910A002" w14:textId="7D4BB9CF" w:rsidR="00C4067E" w:rsidRPr="008D3DE0" w:rsidRDefault="00C4067E" w:rsidP="00B23DE8">
      <w:pPr>
        <w:pStyle w:val="SingleTxtG"/>
        <w:tabs>
          <w:tab w:val="left" w:pos="2268"/>
        </w:tabs>
        <w:ind w:firstLine="567"/>
      </w:pPr>
      <w:r w:rsidRPr="008D3DE0">
        <w:t>a)</w:t>
      </w:r>
      <w:r w:rsidRPr="008D3DE0">
        <w:tab/>
        <w:t>La loi n</w:t>
      </w:r>
      <w:r w:rsidR="00EE540C" w:rsidRPr="00B23DE8">
        <w:rPr>
          <w:vertAlign w:val="superscript"/>
        </w:rPr>
        <w:t>o</w:t>
      </w:r>
      <w:r w:rsidR="00EE540C">
        <w:t> </w:t>
      </w:r>
      <w:r w:rsidRPr="008D3DE0">
        <w:t>06.032 du 27 décembre 2006 portant protection de la femme contre les violences en République centrafricaine ;</w:t>
      </w:r>
    </w:p>
    <w:p w14:paraId="0DD7673D" w14:textId="4C40529D" w:rsidR="00C4067E" w:rsidRPr="008D3DE0" w:rsidRDefault="00C4067E" w:rsidP="00B23DE8">
      <w:pPr>
        <w:pStyle w:val="SingleTxtG"/>
        <w:tabs>
          <w:tab w:val="left" w:pos="2268"/>
        </w:tabs>
        <w:ind w:firstLine="567"/>
      </w:pPr>
      <w:r w:rsidRPr="008D3DE0">
        <w:t>b)</w:t>
      </w:r>
      <w:r w:rsidRPr="008D3DE0">
        <w:tab/>
        <w:t xml:space="preserve">La loi organique </w:t>
      </w:r>
      <w:r w:rsidR="00EE540C" w:rsidRPr="008D3DE0">
        <w:t>n</w:t>
      </w:r>
      <w:r w:rsidR="00EE540C" w:rsidRPr="00C30F39">
        <w:rPr>
          <w:vertAlign w:val="superscript"/>
        </w:rPr>
        <w:t>o</w:t>
      </w:r>
      <w:r w:rsidR="00EE540C">
        <w:t> </w:t>
      </w:r>
      <w:r w:rsidRPr="008D3DE0">
        <w:t xml:space="preserve">15.003 du 3 juin 2015 portant création, organisation et fonctionnement de la Cour pénale spéciale, la loi </w:t>
      </w:r>
      <w:r w:rsidR="00EE540C" w:rsidRPr="008D3DE0">
        <w:t>n</w:t>
      </w:r>
      <w:r w:rsidR="00EE540C" w:rsidRPr="00C30F39">
        <w:rPr>
          <w:vertAlign w:val="superscript"/>
        </w:rPr>
        <w:t>o</w:t>
      </w:r>
      <w:r w:rsidR="00EE540C">
        <w:t> </w:t>
      </w:r>
      <w:r w:rsidRPr="008D3DE0">
        <w:t>18.010 du 2 juillet 2018, portant règlement de procédure et de preuve devant la Cour pénale spéciale</w:t>
      </w:r>
      <w:r w:rsidR="00D4555E" w:rsidRPr="008D3DE0">
        <w:t xml:space="preserve"> de la République centrafricaine</w:t>
      </w:r>
      <w:r w:rsidRPr="008D3DE0">
        <w:t>, et la stratégie d’enquêtes, de poursuites et d’instruction présentée le 4</w:t>
      </w:r>
      <w:r w:rsidR="00EE540C">
        <w:t> </w:t>
      </w:r>
      <w:r w:rsidRPr="008D3DE0">
        <w:t xml:space="preserve">décembre 2018 ; </w:t>
      </w:r>
    </w:p>
    <w:p w14:paraId="1BA0420A" w14:textId="24F91420" w:rsidR="00C4067E" w:rsidRPr="008D3DE0" w:rsidRDefault="00C4067E" w:rsidP="00B23DE8">
      <w:pPr>
        <w:pStyle w:val="SingleTxtG"/>
        <w:tabs>
          <w:tab w:val="left" w:pos="2268"/>
        </w:tabs>
        <w:ind w:firstLine="567"/>
      </w:pPr>
      <w:r w:rsidRPr="008D3DE0">
        <w:t>c)</w:t>
      </w:r>
      <w:r w:rsidRPr="008D3DE0">
        <w:tab/>
        <w:t xml:space="preserve">La loi </w:t>
      </w:r>
      <w:r w:rsidR="00EE540C" w:rsidRPr="008D3DE0">
        <w:t>n</w:t>
      </w:r>
      <w:r w:rsidR="00EE540C" w:rsidRPr="00C30F39">
        <w:rPr>
          <w:vertAlign w:val="superscript"/>
        </w:rPr>
        <w:t>o</w:t>
      </w:r>
      <w:r w:rsidR="00EE540C">
        <w:t> </w:t>
      </w:r>
      <w:r w:rsidRPr="008D3DE0">
        <w:t>16.004 du 24 novembre 2016 instituant la parité entre les hommes et les femmes</w:t>
      </w:r>
      <w:r w:rsidR="00D4555E" w:rsidRPr="008D3DE0">
        <w:t xml:space="preserve"> en République centrafricaine,</w:t>
      </w:r>
      <w:r w:rsidRPr="008D3DE0">
        <w:t xml:space="preserve"> notamment l’égal accès des hommes et des femmes aux mandats électoraux, et la création de l’Observatoire </w:t>
      </w:r>
      <w:r w:rsidR="00D4555E" w:rsidRPr="008D3DE0">
        <w:t>n</w:t>
      </w:r>
      <w:r w:rsidRPr="008D3DE0">
        <w:t xml:space="preserve">ational de </w:t>
      </w:r>
      <w:r w:rsidR="00D4555E" w:rsidRPr="008D3DE0">
        <w:t>p</w:t>
      </w:r>
      <w:r w:rsidRPr="008D3DE0">
        <w:t>arité</w:t>
      </w:r>
      <w:r w:rsidR="00D4555E" w:rsidRPr="008D3DE0">
        <w:t xml:space="preserve"> hommes/femmes</w:t>
      </w:r>
      <w:r w:rsidRPr="008D3DE0">
        <w:t> ;</w:t>
      </w:r>
    </w:p>
    <w:p w14:paraId="6E1239EB" w14:textId="11260239" w:rsidR="00C4067E" w:rsidRPr="008D3DE0" w:rsidRDefault="00C4067E" w:rsidP="00B23DE8">
      <w:pPr>
        <w:pStyle w:val="SingleTxtG"/>
        <w:tabs>
          <w:tab w:val="left" w:pos="2268"/>
        </w:tabs>
        <w:ind w:firstLine="567"/>
      </w:pPr>
      <w:r w:rsidRPr="008D3DE0">
        <w:t>d)</w:t>
      </w:r>
      <w:r w:rsidRPr="008D3DE0">
        <w:tab/>
        <w:t xml:space="preserve">La loi </w:t>
      </w:r>
      <w:r w:rsidR="00EE540C" w:rsidRPr="008D3DE0">
        <w:t>n</w:t>
      </w:r>
      <w:r w:rsidR="00EE540C" w:rsidRPr="00C30F39">
        <w:rPr>
          <w:vertAlign w:val="superscript"/>
        </w:rPr>
        <w:t>o</w:t>
      </w:r>
      <w:r w:rsidR="00EE540C">
        <w:t> </w:t>
      </w:r>
      <w:r w:rsidRPr="008D3DE0">
        <w:t xml:space="preserve">17.015 du 20 avril 2017 portant création </w:t>
      </w:r>
      <w:r w:rsidR="00D4555E" w:rsidRPr="008D3DE0">
        <w:t>d’une</w:t>
      </w:r>
      <w:r w:rsidRPr="008D3DE0">
        <w:t xml:space="preserve"> </w:t>
      </w:r>
      <w:r w:rsidR="00D4555E" w:rsidRPr="008D3DE0">
        <w:t>c</w:t>
      </w:r>
      <w:r w:rsidRPr="008D3DE0">
        <w:t xml:space="preserve">ommission </w:t>
      </w:r>
      <w:r w:rsidR="00D4555E" w:rsidRPr="008D3DE0">
        <w:t>n</w:t>
      </w:r>
      <w:r w:rsidRPr="008D3DE0">
        <w:t xml:space="preserve">ationale des </w:t>
      </w:r>
      <w:r w:rsidR="00D4555E" w:rsidRPr="008D3DE0">
        <w:t>d</w:t>
      </w:r>
      <w:r w:rsidRPr="008D3DE0">
        <w:t>roits de l’</w:t>
      </w:r>
      <w:r w:rsidR="00D4555E" w:rsidRPr="008D3DE0">
        <w:t>h</w:t>
      </w:r>
      <w:r w:rsidRPr="008D3DE0">
        <w:t xml:space="preserve">omme et des </w:t>
      </w:r>
      <w:r w:rsidR="00D4555E" w:rsidRPr="008D3DE0">
        <w:t>l</w:t>
      </w:r>
      <w:r w:rsidRPr="008D3DE0">
        <w:t xml:space="preserve">ibertés </w:t>
      </w:r>
      <w:r w:rsidR="00D4555E" w:rsidRPr="008D3DE0">
        <w:t>f</w:t>
      </w:r>
      <w:r w:rsidRPr="008D3DE0">
        <w:t>ondamentales</w:t>
      </w:r>
      <w:r w:rsidR="00D4555E" w:rsidRPr="008D3DE0">
        <w:t xml:space="preserve"> en République centrafricaine</w:t>
      </w:r>
      <w:r w:rsidRPr="008D3DE0">
        <w:t xml:space="preserve"> ; </w:t>
      </w:r>
    </w:p>
    <w:p w14:paraId="4C44E6BB" w14:textId="7A2FF76E" w:rsidR="00C4067E" w:rsidRPr="008D3DE0" w:rsidRDefault="00C4067E" w:rsidP="00B23DE8">
      <w:pPr>
        <w:pStyle w:val="SingleTxtG"/>
        <w:tabs>
          <w:tab w:val="left" w:pos="2268"/>
        </w:tabs>
        <w:ind w:firstLine="567"/>
      </w:pPr>
      <w:r w:rsidRPr="008D3DE0">
        <w:t>e)</w:t>
      </w:r>
      <w:r w:rsidRPr="008D3DE0">
        <w:tab/>
        <w:t xml:space="preserve">L’arrêté interministériel du 28 septembre 2017 instituant l’organisation d’enquêtes de moralité et criblage de sécurité à l’encontre des membres des groupes armés candidats à la réinsertion ou à l’intégration </w:t>
      </w:r>
      <w:r w:rsidR="006268E5" w:rsidRPr="008D3DE0">
        <w:t>dans les</w:t>
      </w:r>
      <w:r w:rsidRPr="008D3DE0">
        <w:t xml:space="preserve"> </w:t>
      </w:r>
      <w:r w:rsidR="007F56F7" w:rsidRPr="008D3DE0">
        <w:t>F</w:t>
      </w:r>
      <w:r w:rsidRPr="008D3DE0">
        <w:t>orces armées centrafricaines ;</w:t>
      </w:r>
    </w:p>
    <w:p w14:paraId="0A545F3D" w14:textId="0650C73A" w:rsidR="00C4067E" w:rsidRPr="008D3DE0" w:rsidRDefault="00C4067E" w:rsidP="00B23DE8">
      <w:pPr>
        <w:pStyle w:val="SingleTxtG"/>
        <w:tabs>
          <w:tab w:val="left" w:pos="2268"/>
        </w:tabs>
        <w:ind w:firstLine="567"/>
      </w:pPr>
      <w:r w:rsidRPr="008D3DE0">
        <w:lastRenderedPageBreak/>
        <w:t>f)</w:t>
      </w:r>
      <w:r w:rsidRPr="008D3DE0">
        <w:tab/>
        <w:t xml:space="preserve">La signature de l’Accord politique pour la paix et la réconciliation </w:t>
      </w:r>
      <w:r w:rsidR="007F56F7" w:rsidRPr="008D3DE0">
        <w:t>en République centrafricaine, le</w:t>
      </w:r>
      <w:r w:rsidRPr="008D3DE0">
        <w:t xml:space="preserve"> 6 février 2019</w:t>
      </w:r>
      <w:r w:rsidR="007F56F7" w:rsidRPr="008D3DE0">
        <w:t>,</w:t>
      </w:r>
      <w:r w:rsidR="00EE540C">
        <w:t xml:space="preserve"> </w:t>
      </w:r>
      <w:r w:rsidRPr="008D3DE0">
        <w:t xml:space="preserve">qui prévoit notamment l’établissement de la Commission </w:t>
      </w:r>
      <w:r w:rsidR="001E6B7E" w:rsidRPr="008D3DE0">
        <w:t>v</w:t>
      </w:r>
      <w:r w:rsidRPr="008D3DE0">
        <w:t xml:space="preserve">érité, </w:t>
      </w:r>
      <w:r w:rsidR="001E6B7E" w:rsidRPr="008D3DE0">
        <w:t>j</w:t>
      </w:r>
      <w:r w:rsidRPr="008D3DE0">
        <w:t xml:space="preserve">ustice, </w:t>
      </w:r>
      <w:r w:rsidR="001E6B7E" w:rsidRPr="008D3DE0">
        <w:t>r</w:t>
      </w:r>
      <w:r w:rsidRPr="008D3DE0">
        <w:t xml:space="preserve">éparation et </w:t>
      </w:r>
      <w:r w:rsidR="001E6B7E" w:rsidRPr="008D3DE0">
        <w:t>r</w:t>
      </w:r>
      <w:r w:rsidRPr="008D3DE0">
        <w:t>éconciliation ;</w:t>
      </w:r>
    </w:p>
    <w:p w14:paraId="61D66FB0" w14:textId="63F7A92D" w:rsidR="00C4067E" w:rsidRPr="008D3DE0" w:rsidRDefault="009C7267" w:rsidP="00B23DE8">
      <w:pPr>
        <w:pStyle w:val="SingleTxtG"/>
        <w:tabs>
          <w:tab w:val="left" w:pos="2268"/>
        </w:tabs>
        <w:ind w:firstLine="567"/>
      </w:pPr>
      <w:r w:rsidRPr="008D3DE0">
        <w:t>g</w:t>
      </w:r>
      <w:r w:rsidR="00C4067E" w:rsidRPr="008D3DE0">
        <w:t>)</w:t>
      </w:r>
      <w:r w:rsidR="00C4067E" w:rsidRPr="008D3DE0">
        <w:tab/>
        <w:t xml:space="preserve">Le </w:t>
      </w:r>
      <w:r w:rsidR="001E6B7E" w:rsidRPr="008D3DE0">
        <w:t>C</w:t>
      </w:r>
      <w:r w:rsidR="00C4067E" w:rsidRPr="008D3DE0">
        <w:t>ode électoral adopté en juillet 2019 ;</w:t>
      </w:r>
    </w:p>
    <w:p w14:paraId="7A87AC8B" w14:textId="1A5A1D20" w:rsidR="00C4067E" w:rsidRPr="008D3DE0" w:rsidRDefault="00DC4F35" w:rsidP="00B23DE8">
      <w:pPr>
        <w:pStyle w:val="SingleTxtG"/>
        <w:tabs>
          <w:tab w:val="left" w:pos="2268"/>
        </w:tabs>
        <w:ind w:firstLine="567"/>
        <w:rPr>
          <w:b/>
        </w:rPr>
      </w:pPr>
      <w:r w:rsidRPr="008D3DE0">
        <w:t>h</w:t>
      </w:r>
      <w:r w:rsidR="00C4067E" w:rsidRPr="008D3DE0">
        <w:t>)</w:t>
      </w:r>
      <w:r w:rsidR="00C4067E" w:rsidRPr="008D3DE0">
        <w:tab/>
        <w:t xml:space="preserve">La loi </w:t>
      </w:r>
      <w:r w:rsidR="00963606" w:rsidRPr="008D3DE0">
        <w:t>portant création, organisation et fonctionnement de</w:t>
      </w:r>
      <w:r w:rsidR="00C4067E" w:rsidRPr="008D3DE0">
        <w:t xml:space="preserve"> la Commission </w:t>
      </w:r>
      <w:r w:rsidR="001E6B7E" w:rsidRPr="008D3DE0">
        <w:t>v</w:t>
      </w:r>
      <w:r w:rsidR="00C4067E" w:rsidRPr="008D3DE0">
        <w:t xml:space="preserve">érité, </w:t>
      </w:r>
      <w:r w:rsidR="001E6B7E" w:rsidRPr="008D3DE0">
        <w:t>j</w:t>
      </w:r>
      <w:r w:rsidR="00C4067E" w:rsidRPr="008D3DE0">
        <w:t xml:space="preserve">ustice, </w:t>
      </w:r>
      <w:r w:rsidR="001E6B7E" w:rsidRPr="008D3DE0">
        <w:t>r</w:t>
      </w:r>
      <w:r w:rsidR="00C4067E" w:rsidRPr="008D3DE0">
        <w:t xml:space="preserve">éparation et </w:t>
      </w:r>
      <w:r w:rsidR="001E6B7E" w:rsidRPr="008D3DE0">
        <w:t>r</w:t>
      </w:r>
      <w:r w:rsidR="00C4067E" w:rsidRPr="008D3DE0">
        <w:t>éconciliation</w:t>
      </w:r>
      <w:r w:rsidR="00963606" w:rsidRPr="008D3DE0">
        <w:t>, adoptée le 27 février 2020</w:t>
      </w:r>
      <w:r w:rsidR="00C4067E" w:rsidRPr="008D3DE0">
        <w:t> ;</w:t>
      </w:r>
    </w:p>
    <w:p w14:paraId="41F34922" w14:textId="752B4F56" w:rsidR="00C4067E" w:rsidRPr="008D3DE0" w:rsidRDefault="00DC4F35" w:rsidP="00B23DE8">
      <w:pPr>
        <w:pStyle w:val="SingleTxtG"/>
        <w:tabs>
          <w:tab w:val="left" w:pos="2268"/>
        </w:tabs>
        <w:ind w:firstLine="567"/>
      </w:pPr>
      <w:r w:rsidRPr="008D3DE0">
        <w:t>i</w:t>
      </w:r>
      <w:r w:rsidR="00C4067E" w:rsidRPr="008D3DE0">
        <w:t>)</w:t>
      </w:r>
      <w:r w:rsidR="00C4067E" w:rsidRPr="008D3DE0">
        <w:tab/>
        <w:t>La loi relative aux partis politiques et au statut de l’opposition</w:t>
      </w:r>
      <w:r w:rsidR="00963606" w:rsidRPr="008D3DE0">
        <w:t>,</w:t>
      </w:r>
      <w:r w:rsidR="00C4067E" w:rsidRPr="008D3DE0">
        <w:t xml:space="preserve"> adoptée en février 2020 et prévoyant notamment le respect de la parité dans la présentation des candidatures aux élections.</w:t>
      </w:r>
    </w:p>
    <w:p w14:paraId="2D4961EA" w14:textId="746B9989" w:rsidR="00C4067E" w:rsidRPr="008D3DE0" w:rsidRDefault="00C4067E" w:rsidP="0096622E">
      <w:pPr>
        <w:pStyle w:val="SingleTxtG"/>
        <w:tabs>
          <w:tab w:val="left" w:pos="1701"/>
          <w:tab w:val="left" w:pos="1843"/>
          <w:tab w:val="left" w:pos="2127"/>
        </w:tabs>
      </w:pPr>
      <w:r w:rsidRPr="008D3DE0">
        <w:t>4.</w:t>
      </w:r>
      <w:r w:rsidR="0096622E" w:rsidRPr="008D3DE0">
        <w:tab/>
      </w:r>
      <w:r w:rsidRPr="008D3DE0">
        <w:t>Le Comité note avec satisfaction que l’État partie a ratifié les instruments internationaux ci-après, ou y a adhéré :</w:t>
      </w:r>
    </w:p>
    <w:p w14:paraId="733E0933" w14:textId="77777777" w:rsidR="00C4067E" w:rsidRPr="008D3DE0" w:rsidRDefault="00C4067E" w:rsidP="00B23DE8">
      <w:pPr>
        <w:pStyle w:val="SingleTxtG"/>
        <w:tabs>
          <w:tab w:val="left" w:pos="2268"/>
        </w:tabs>
        <w:ind w:firstLine="567"/>
      </w:pPr>
      <w:r w:rsidRPr="008D3DE0">
        <w:t>a)</w:t>
      </w:r>
      <w:r w:rsidRPr="008D3DE0">
        <w:tab/>
        <w:t>L</w:t>
      </w:r>
      <w:r w:rsidRPr="008D3DE0">
        <w:rPr>
          <w:lang w:val="fr-FR"/>
        </w:rPr>
        <w:t>a Convention contre la torture et autres peines ou traitements cruels, inhumains ou dégradants et le Protocole facultatif s’y rapportant, en 2016 </w:t>
      </w:r>
      <w:r w:rsidRPr="008D3DE0">
        <w:t>;</w:t>
      </w:r>
    </w:p>
    <w:p w14:paraId="2DF3D666" w14:textId="77777777" w:rsidR="00C4067E" w:rsidRPr="008D3DE0" w:rsidRDefault="00C4067E" w:rsidP="00B23DE8">
      <w:pPr>
        <w:pStyle w:val="SingleTxtG"/>
        <w:tabs>
          <w:tab w:val="left" w:pos="2268"/>
        </w:tabs>
        <w:ind w:firstLine="567"/>
      </w:pPr>
      <w:r w:rsidRPr="008D3DE0">
        <w:t>b)</w:t>
      </w:r>
      <w:r w:rsidRPr="008D3DE0">
        <w:tab/>
        <w:t>La Convention internationale pour la protection de toutes les personnes contre les disparitions forcées, en 2016 ;</w:t>
      </w:r>
    </w:p>
    <w:p w14:paraId="7E74DE0B" w14:textId="7188E35C" w:rsidR="00C4067E" w:rsidRPr="008D3DE0" w:rsidRDefault="00C4067E" w:rsidP="00B23DE8">
      <w:pPr>
        <w:pStyle w:val="SingleTxtG"/>
        <w:tabs>
          <w:tab w:val="left" w:pos="2268"/>
        </w:tabs>
        <w:ind w:firstLine="567"/>
      </w:pPr>
      <w:r w:rsidRPr="008D3DE0">
        <w:t>c)</w:t>
      </w:r>
      <w:r w:rsidRPr="008D3DE0">
        <w:tab/>
        <w:t>Le Protocole facultatif à la Convention relative aux droits de l</w:t>
      </w:r>
      <w:r w:rsidR="00C77E18">
        <w:t>’</w:t>
      </w:r>
      <w:r w:rsidRPr="008D3DE0">
        <w:t>enfant, concernant l</w:t>
      </w:r>
      <w:r w:rsidR="00C77E18">
        <w:t>’</w:t>
      </w:r>
      <w:r w:rsidRPr="008D3DE0">
        <w:t>implication d</w:t>
      </w:r>
      <w:r w:rsidR="00C77E18">
        <w:t>’</w:t>
      </w:r>
      <w:r w:rsidRPr="008D3DE0">
        <w:t>enfants dans les conflits armés, en 2017 ;</w:t>
      </w:r>
    </w:p>
    <w:p w14:paraId="647747C7" w14:textId="77777777" w:rsidR="00C4067E" w:rsidRPr="008D3DE0" w:rsidRDefault="00C4067E" w:rsidP="00B23DE8">
      <w:pPr>
        <w:pStyle w:val="SingleTxtG"/>
        <w:tabs>
          <w:tab w:val="left" w:pos="2268"/>
        </w:tabs>
        <w:ind w:firstLine="567"/>
      </w:pPr>
      <w:r w:rsidRPr="008D3DE0">
        <w:t>d)</w:t>
      </w:r>
      <w:r w:rsidRPr="008D3DE0">
        <w:tab/>
        <w:t>La Convention relative aux droits des personnes handicapées, en 2016.</w:t>
      </w:r>
    </w:p>
    <w:p w14:paraId="4F0979D4" w14:textId="77777777" w:rsidR="00C4067E" w:rsidRPr="00876717" w:rsidRDefault="00C4067E" w:rsidP="00B23DE8">
      <w:pPr>
        <w:pStyle w:val="H1G"/>
      </w:pPr>
      <w:r w:rsidRPr="00876717">
        <w:tab/>
        <w:t>C.</w:t>
      </w:r>
      <w:r w:rsidRPr="00876717">
        <w:tab/>
        <w:t xml:space="preserve">Principaux sujets de préoccupation et recommandations </w:t>
      </w:r>
    </w:p>
    <w:p w14:paraId="3993A05E" w14:textId="77777777" w:rsidR="00C4067E" w:rsidRPr="008D3DE0" w:rsidRDefault="00C4067E" w:rsidP="00C4067E">
      <w:pPr>
        <w:pStyle w:val="H23G"/>
        <w:rPr>
          <w:lang w:val="fr-FR"/>
        </w:rPr>
      </w:pPr>
      <w:r w:rsidRPr="008D3DE0">
        <w:rPr>
          <w:lang w:val="fr-FR"/>
        </w:rPr>
        <w:tab/>
      </w:r>
      <w:r w:rsidRPr="008D3DE0">
        <w:rPr>
          <w:lang w:val="fr-FR"/>
        </w:rPr>
        <w:tab/>
        <w:t>Applicabilité interne du Pacte</w:t>
      </w:r>
    </w:p>
    <w:p w14:paraId="6F7C14A1" w14:textId="5A8994AC" w:rsidR="00C4067E" w:rsidRPr="008D3DE0" w:rsidRDefault="00C4067E" w:rsidP="0096622E">
      <w:pPr>
        <w:pStyle w:val="SingleTxtG"/>
        <w:tabs>
          <w:tab w:val="left" w:pos="1701"/>
          <w:tab w:val="left" w:pos="1843"/>
          <w:tab w:val="left" w:pos="2127"/>
        </w:tabs>
        <w:rPr>
          <w:lang w:val="fr-FR"/>
        </w:rPr>
      </w:pPr>
      <w:r w:rsidRPr="008D3DE0">
        <w:t>5.</w:t>
      </w:r>
      <w:r w:rsidRPr="008D3DE0">
        <w:tab/>
        <w:t>Le Comité prend note des circonstances</w:t>
      </w:r>
      <w:r w:rsidR="006268E5" w:rsidRPr="008D3DE0">
        <w:t xml:space="preserve"> particulières</w:t>
      </w:r>
      <w:r w:rsidRPr="00B23DE8">
        <w:t xml:space="preserve"> </w:t>
      </w:r>
      <w:r w:rsidRPr="008D3DE0">
        <w:t>dans lesquelles l’examen du troisième rapport</w:t>
      </w:r>
      <w:r w:rsidR="00450276" w:rsidRPr="008D3DE0">
        <w:t xml:space="preserve"> périodique</w:t>
      </w:r>
      <w:r w:rsidRPr="008D3DE0">
        <w:t xml:space="preserve"> de l’</w:t>
      </w:r>
      <w:r w:rsidR="00450276" w:rsidRPr="008D3DE0">
        <w:t>État</w:t>
      </w:r>
      <w:r w:rsidRPr="008D3DE0">
        <w:t xml:space="preserve"> partie s’effectue, en l’occurrence la situation de conflit qui perdure dep</w:t>
      </w:r>
      <w:r w:rsidR="006268E5" w:rsidRPr="008D3DE0">
        <w:t>uis 2013 et les difficultés</w:t>
      </w:r>
      <w:r w:rsidR="006268E5" w:rsidRPr="00B23DE8">
        <w:t xml:space="preserve"> </w:t>
      </w:r>
      <w:r w:rsidR="006268E5" w:rsidRPr="008D3DE0">
        <w:t>rencontrées par l’</w:t>
      </w:r>
      <w:r w:rsidR="00450276" w:rsidRPr="008D3DE0">
        <w:t>État</w:t>
      </w:r>
      <w:r w:rsidR="006268E5" w:rsidRPr="008D3DE0">
        <w:t xml:space="preserve"> central </w:t>
      </w:r>
      <w:r w:rsidR="00450276" w:rsidRPr="008D3DE0">
        <w:t>pour</w:t>
      </w:r>
      <w:r w:rsidR="006268E5" w:rsidRPr="008D3DE0">
        <w:t xml:space="preserve"> contrôler l’intégralité de son </w:t>
      </w:r>
      <w:r w:rsidRPr="008D3DE0">
        <w:t xml:space="preserve">territoire. Le Comité </w:t>
      </w:r>
      <w:r w:rsidR="003B7B11" w:rsidRPr="008D3DE0">
        <w:t>considère cependant</w:t>
      </w:r>
      <w:r w:rsidRPr="008D3DE0">
        <w:t xml:space="preserve"> que les difficultés qui peuvent entraver le contrôle effectif de l’État partie sur certaines parties de son territoire n’exonère</w:t>
      </w:r>
      <w:r w:rsidR="00C01EF4" w:rsidRPr="008D3DE0">
        <w:t>nt</w:t>
      </w:r>
      <w:r w:rsidRPr="008D3DE0">
        <w:t xml:space="preserve"> pas celui-ci de l’obligation de faire usage de tous les moyens pour assurer la pleine mise en œuvre des droits énoncés dans le Pacte à l’égard de toute personne se trouvant sur son territoire. Le Comité note par ailleurs que malgré l’existence de l’article 94 de la Constitution</w:t>
      </w:r>
      <w:r w:rsidR="00450276" w:rsidRPr="008D3DE0">
        <w:t>,</w:t>
      </w:r>
      <w:r w:rsidRPr="008D3DE0">
        <w:t xml:space="preserve"> selon lequel les traités ont une autorité supérieure à celle des lois, dans les faits, aucun exemple concret de cas dans lesquels les dispositions du Pacte ont été invoquées devant les tribunaux ou appliquées par ces derniers n’a été fourni par l’</w:t>
      </w:r>
      <w:r w:rsidR="00450276" w:rsidRPr="008D3DE0">
        <w:t>État</w:t>
      </w:r>
      <w:r w:rsidRPr="008D3DE0">
        <w:t xml:space="preserve"> partie (art.</w:t>
      </w:r>
      <w:r w:rsidR="00EE540C">
        <w:t> </w:t>
      </w:r>
      <w:r w:rsidRPr="008D3DE0">
        <w:t xml:space="preserve">2). </w:t>
      </w:r>
    </w:p>
    <w:p w14:paraId="06306691" w14:textId="5A179C51" w:rsidR="00C4067E" w:rsidRPr="008D3DE0" w:rsidRDefault="00C4067E" w:rsidP="0096622E">
      <w:pPr>
        <w:pStyle w:val="SingleTxtG"/>
        <w:tabs>
          <w:tab w:val="left" w:pos="1701"/>
          <w:tab w:val="left" w:pos="1843"/>
          <w:tab w:val="left" w:pos="2127"/>
        </w:tabs>
        <w:rPr>
          <w:b/>
          <w:lang w:val="fr-FR"/>
        </w:rPr>
      </w:pPr>
      <w:r w:rsidRPr="008D3DE0">
        <w:t>6.</w:t>
      </w:r>
      <w:r w:rsidRPr="008D3DE0">
        <w:tab/>
      </w:r>
      <w:r w:rsidR="00450276" w:rsidRPr="008D3DE0">
        <w:rPr>
          <w:b/>
        </w:rPr>
        <w:t>À</w:t>
      </w:r>
      <w:r w:rsidRPr="008D3DE0">
        <w:rPr>
          <w:b/>
        </w:rPr>
        <w:t xml:space="preserve"> la lumière de l’</w:t>
      </w:r>
      <w:r w:rsidR="00450276" w:rsidRPr="008D3DE0">
        <w:rPr>
          <w:b/>
        </w:rPr>
        <w:t>o</w:t>
      </w:r>
      <w:r w:rsidRPr="008D3DE0">
        <w:rPr>
          <w:b/>
        </w:rPr>
        <w:t xml:space="preserve">bservation générale </w:t>
      </w:r>
      <w:r w:rsidR="00EE540C" w:rsidRPr="00B23DE8">
        <w:rPr>
          <w:b/>
          <w:bCs/>
        </w:rPr>
        <w:t>n</w:t>
      </w:r>
      <w:r w:rsidR="00EE540C" w:rsidRPr="00B23DE8">
        <w:rPr>
          <w:b/>
          <w:bCs/>
          <w:vertAlign w:val="superscript"/>
        </w:rPr>
        <w:t>o</w:t>
      </w:r>
      <w:r w:rsidR="00EE540C" w:rsidRPr="00B23DE8">
        <w:rPr>
          <w:b/>
          <w:bCs/>
        </w:rPr>
        <w:t> </w:t>
      </w:r>
      <w:r w:rsidRPr="00B23DE8">
        <w:rPr>
          <w:b/>
          <w:bCs/>
        </w:rPr>
        <w:t>3</w:t>
      </w:r>
      <w:r w:rsidRPr="008D3DE0">
        <w:rPr>
          <w:b/>
        </w:rPr>
        <w:t>1 (2004) du Comité sur la nature de l’obligation juridique générale imposée aux États parties au Pacte, l’</w:t>
      </w:r>
      <w:r w:rsidR="00450276" w:rsidRPr="008D3DE0">
        <w:rPr>
          <w:b/>
        </w:rPr>
        <w:t>État</w:t>
      </w:r>
      <w:r w:rsidRPr="008D3DE0">
        <w:rPr>
          <w:b/>
        </w:rPr>
        <w:t xml:space="preserve"> partie devrait veiller à ce que les obligations découlant du Pacte s’étendent à l’ensemble du territoire national, en prenant toutes les mesures nécessaires compatibles avec le droit international.</w:t>
      </w:r>
      <w:r w:rsidR="00390E16" w:rsidRPr="008D3DE0">
        <w:rPr>
          <w:b/>
        </w:rPr>
        <w:t xml:space="preserve"> </w:t>
      </w:r>
      <w:r w:rsidRPr="008D3DE0">
        <w:rPr>
          <w:b/>
        </w:rPr>
        <w:t xml:space="preserve">En outre, </w:t>
      </w:r>
      <w:r w:rsidR="00DF3ECD" w:rsidRPr="008D3DE0">
        <w:rPr>
          <w:b/>
        </w:rPr>
        <w:t>dans la continuité des</w:t>
      </w:r>
      <w:r w:rsidRPr="008D3DE0">
        <w:rPr>
          <w:b/>
        </w:rPr>
        <w:t xml:space="preserve"> précédentes observations finales</w:t>
      </w:r>
      <w:r w:rsidR="00DF3ECD" w:rsidRPr="008D3DE0">
        <w:rPr>
          <w:b/>
        </w:rPr>
        <w:t xml:space="preserve"> du Comité</w:t>
      </w:r>
      <w:r w:rsidRPr="008D3DE0">
        <w:rPr>
          <w:b/>
        </w:rPr>
        <w:t xml:space="preserve"> (CCPR/C/CAF/CO/2, par.</w:t>
      </w:r>
      <w:r w:rsidR="00EE540C">
        <w:rPr>
          <w:b/>
        </w:rPr>
        <w:t> </w:t>
      </w:r>
      <w:r w:rsidRPr="008D3DE0">
        <w:rPr>
          <w:b/>
        </w:rPr>
        <w:t xml:space="preserve">6), l’État partie devrait prendre des mesures pour </w:t>
      </w:r>
      <w:r w:rsidR="00467713" w:rsidRPr="008D3DE0">
        <w:rPr>
          <w:b/>
        </w:rPr>
        <w:t xml:space="preserve">mieux </w:t>
      </w:r>
      <w:r w:rsidRPr="008D3DE0">
        <w:rPr>
          <w:b/>
        </w:rPr>
        <w:t xml:space="preserve">faire connaître le Pacte et le Protocole facultatif s’y rapportant auprès des juges, des avocats et des procureurs ainsi qu’auprès du public, afin de garantir que leurs dispositions sont prises en compte et appliquées par les tribunaux nationaux. Il devrait également établir un mécanisme pour le suivi des observations finales et </w:t>
      </w:r>
      <w:r w:rsidR="00417757" w:rsidRPr="008D3DE0">
        <w:rPr>
          <w:b/>
        </w:rPr>
        <w:t>d</w:t>
      </w:r>
      <w:r w:rsidRPr="008D3DE0">
        <w:rPr>
          <w:b/>
        </w:rPr>
        <w:t>es constatations du Comité.</w:t>
      </w:r>
    </w:p>
    <w:p w14:paraId="09DB88BE" w14:textId="77777777" w:rsidR="00C4067E" w:rsidRPr="008D3DE0" w:rsidRDefault="00C4067E" w:rsidP="00C4067E">
      <w:pPr>
        <w:pStyle w:val="H23G"/>
        <w:rPr>
          <w:lang w:val="fr-FR"/>
        </w:rPr>
      </w:pPr>
      <w:r w:rsidRPr="008D3DE0">
        <w:rPr>
          <w:lang w:val="fr-FR"/>
        </w:rPr>
        <w:tab/>
      </w:r>
      <w:r w:rsidRPr="008D3DE0">
        <w:rPr>
          <w:lang w:val="fr-FR"/>
        </w:rPr>
        <w:tab/>
      </w:r>
      <w:r w:rsidR="00390E16" w:rsidRPr="008D3DE0">
        <w:rPr>
          <w:lang w:val="fr-FR"/>
        </w:rPr>
        <w:t>Institution nationale</w:t>
      </w:r>
      <w:r w:rsidRPr="008D3DE0">
        <w:rPr>
          <w:lang w:val="fr-FR"/>
        </w:rPr>
        <w:t xml:space="preserve"> des droits de l’homme</w:t>
      </w:r>
    </w:p>
    <w:p w14:paraId="4619A01D" w14:textId="1198D584" w:rsidR="00C4067E" w:rsidRPr="008D3DE0" w:rsidRDefault="00C4067E" w:rsidP="0096622E">
      <w:pPr>
        <w:pStyle w:val="SingleTxtG"/>
        <w:tabs>
          <w:tab w:val="left" w:pos="1701"/>
          <w:tab w:val="left" w:pos="1843"/>
          <w:tab w:val="left" w:pos="2127"/>
        </w:tabs>
      </w:pPr>
      <w:r w:rsidRPr="008D3DE0">
        <w:rPr>
          <w:lang w:val="fr-FR"/>
        </w:rPr>
        <w:t>7.</w:t>
      </w:r>
      <w:r w:rsidRPr="008D3DE0">
        <w:rPr>
          <w:lang w:val="fr-FR"/>
        </w:rPr>
        <w:tab/>
        <w:t>Le Comité est préoccupé par les informations reçues selon lesquelles</w:t>
      </w:r>
      <w:r w:rsidR="003B7B11" w:rsidRPr="008D3DE0">
        <w:rPr>
          <w:lang w:val="fr-FR"/>
        </w:rPr>
        <w:t>,</w:t>
      </w:r>
      <w:r w:rsidR="00DC4F35" w:rsidRPr="008D3DE0">
        <w:rPr>
          <w:lang w:val="fr-FR"/>
        </w:rPr>
        <w:t xml:space="preserve"> </w:t>
      </w:r>
      <w:r w:rsidR="003B7B11" w:rsidRPr="008D3DE0">
        <w:rPr>
          <w:lang w:val="fr-FR"/>
        </w:rPr>
        <w:t>malgré l</w:t>
      </w:r>
      <w:r w:rsidR="00C87666" w:rsidRPr="008D3DE0">
        <w:rPr>
          <w:lang w:val="fr-FR"/>
        </w:rPr>
        <w:t>’octroi par la loi de</w:t>
      </w:r>
      <w:r w:rsidR="003B7B11" w:rsidRPr="008D3DE0">
        <w:rPr>
          <w:lang w:val="fr-FR"/>
        </w:rPr>
        <w:t xml:space="preserve"> finances de 2019</w:t>
      </w:r>
      <w:r w:rsidR="00CC6D8B" w:rsidRPr="008D3DE0">
        <w:rPr>
          <w:lang w:val="fr-FR"/>
        </w:rPr>
        <w:t xml:space="preserve"> de moyens financiers</w:t>
      </w:r>
      <w:r w:rsidRPr="008D3DE0">
        <w:rPr>
          <w:lang w:val="fr-FR"/>
        </w:rPr>
        <w:t xml:space="preserve"> destinés au fonctionnement de la</w:t>
      </w:r>
      <w:r w:rsidR="00390E16" w:rsidRPr="008D3DE0">
        <w:rPr>
          <w:lang w:val="fr-FR"/>
        </w:rPr>
        <w:t xml:space="preserve"> </w:t>
      </w:r>
      <w:r w:rsidRPr="008D3DE0">
        <w:t xml:space="preserve">Commission </w:t>
      </w:r>
      <w:r w:rsidR="00A546D4" w:rsidRPr="008D3DE0">
        <w:t>n</w:t>
      </w:r>
      <w:r w:rsidRPr="008D3DE0">
        <w:t xml:space="preserve">ationale des </w:t>
      </w:r>
      <w:r w:rsidR="00A546D4" w:rsidRPr="008D3DE0">
        <w:t>d</w:t>
      </w:r>
      <w:r w:rsidRPr="008D3DE0">
        <w:t>roits de l’</w:t>
      </w:r>
      <w:r w:rsidR="00A546D4" w:rsidRPr="008D3DE0">
        <w:t>h</w:t>
      </w:r>
      <w:r w:rsidRPr="008D3DE0">
        <w:t xml:space="preserve">omme et des </w:t>
      </w:r>
      <w:r w:rsidR="00A546D4" w:rsidRPr="008D3DE0">
        <w:t>l</w:t>
      </w:r>
      <w:r w:rsidRPr="008D3DE0">
        <w:t xml:space="preserve">ibertés </w:t>
      </w:r>
      <w:r w:rsidR="00A546D4" w:rsidRPr="008D3DE0">
        <w:t>f</w:t>
      </w:r>
      <w:r w:rsidR="00390E16" w:rsidRPr="008D3DE0">
        <w:t>ondamentales</w:t>
      </w:r>
      <w:r w:rsidR="007B6EE7" w:rsidRPr="008D3DE0">
        <w:t>, ceux-ci n’</w:t>
      </w:r>
      <w:r w:rsidR="00C87666" w:rsidRPr="008D3DE0">
        <w:t>ont</w:t>
      </w:r>
      <w:r w:rsidR="007B6EE7" w:rsidRPr="008D3DE0">
        <w:t xml:space="preserve"> pas encore été mis à sa disposition</w:t>
      </w:r>
      <w:r w:rsidR="00390E16" w:rsidRPr="008D3DE0">
        <w:t>. Il</w:t>
      </w:r>
      <w:r w:rsidRPr="008D3DE0">
        <w:t> regrette l’inactivité de la Commission nationale</w:t>
      </w:r>
      <w:r w:rsidR="00CC6D8B" w:rsidRPr="008D3DE0">
        <w:t>,</w:t>
      </w:r>
      <w:r w:rsidRPr="008D3DE0">
        <w:t xml:space="preserve"> qui n’a pas réellement commencé ses activités et </w:t>
      </w:r>
      <w:r w:rsidR="00390E16" w:rsidRPr="008D3DE0">
        <w:t>ne dispose</w:t>
      </w:r>
      <w:r w:rsidRPr="008D3DE0">
        <w:t xml:space="preserve"> pas de bureaux régionaux lui permettant de déployer son action sur l’ensemble du territoire (art.</w:t>
      </w:r>
      <w:r w:rsidR="00EE540C">
        <w:t> </w:t>
      </w:r>
      <w:r w:rsidRPr="008D3DE0">
        <w:t>2).</w:t>
      </w:r>
    </w:p>
    <w:p w14:paraId="60205020" w14:textId="76D8E478" w:rsidR="00C4067E" w:rsidRPr="008D3DE0" w:rsidRDefault="00C4067E" w:rsidP="0096622E">
      <w:pPr>
        <w:pStyle w:val="SingleTxtG"/>
        <w:tabs>
          <w:tab w:val="left" w:pos="1701"/>
          <w:tab w:val="left" w:pos="1843"/>
          <w:tab w:val="left" w:pos="2127"/>
        </w:tabs>
        <w:rPr>
          <w:b/>
          <w:bCs/>
        </w:rPr>
      </w:pPr>
      <w:r w:rsidRPr="008D3DE0">
        <w:lastRenderedPageBreak/>
        <w:t>8.</w:t>
      </w:r>
      <w:r w:rsidRPr="008D3DE0">
        <w:tab/>
      </w:r>
      <w:r w:rsidRPr="008D3DE0">
        <w:rPr>
          <w:b/>
        </w:rPr>
        <w:t xml:space="preserve">L’État partie devrait s’assurer que les ressources allouées à la Commission nationale des droits de l’homme et des libertés fondamentales sont effectivement attribuées afin de lui permettre de s’acquitter efficacement de son mandat en toute indépendance. </w:t>
      </w:r>
      <w:r w:rsidR="00CC6D8B" w:rsidRPr="008D3DE0">
        <w:rPr>
          <w:b/>
        </w:rPr>
        <w:t>Il</w:t>
      </w:r>
      <w:r w:rsidRPr="008D3DE0">
        <w:rPr>
          <w:b/>
        </w:rPr>
        <w:t xml:space="preserve"> devrait veiller à ce qu’elle dispose de bureaux et de moyens d’action effectifs</w:t>
      </w:r>
      <w:r w:rsidRPr="008D3DE0">
        <w:rPr>
          <w:b/>
          <w:bCs/>
        </w:rPr>
        <w:t xml:space="preserve"> sur l’ensemble du territoire, tout en prenant en compte </w:t>
      </w:r>
      <w:r w:rsidR="00CC6D8B" w:rsidRPr="008D3DE0">
        <w:rPr>
          <w:b/>
          <w:bCs/>
        </w:rPr>
        <w:t>le contexte de sécurité</w:t>
      </w:r>
      <w:r w:rsidRPr="008D3DE0">
        <w:rPr>
          <w:b/>
          <w:bCs/>
        </w:rPr>
        <w:t xml:space="preserve"> dans certaines régions du pays. Le Comité encourage l’</w:t>
      </w:r>
      <w:r w:rsidR="00450276" w:rsidRPr="008D3DE0">
        <w:rPr>
          <w:b/>
          <w:bCs/>
        </w:rPr>
        <w:t>État</w:t>
      </w:r>
      <w:r w:rsidRPr="008D3DE0">
        <w:rPr>
          <w:b/>
          <w:bCs/>
        </w:rPr>
        <w:t xml:space="preserve"> partie à se prévaloir du soutien technique de la </w:t>
      </w:r>
      <w:r w:rsidR="00CC6D8B" w:rsidRPr="008D3DE0">
        <w:rPr>
          <w:b/>
          <w:bCs/>
        </w:rPr>
        <w:t>Mission multidimensionnelle intégrée des Nations Unies pour la stabilisation en République centrafricaine,</w:t>
      </w:r>
      <w:r w:rsidRPr="008D3DE0">
        <w:rPr>
          <w:b/>
          <w:bCs/>
        </w:rPr>
        <w:t xml:space="preserve"> pour ce faire. L’</w:t>
      </w:r>
      <w:r w:rsidR="00450276" w:rsidRPr="008D3DE0">
        <w:rPr>
          <w:b/>
          <w:bCs/>
        </w:rPr>
        <w:t>État</w:t>
      </w:r>
      <w:r w:rsidRPr="008D3DE0">
        <w:rPr>
          <w:b/>
          <w:bCs/>
        </w:rPr>
        <w:t xml:space="preserve"> partie devrait en outre prendre toutes les mesures nécessaires pour rendre l’institution nationale des droits de l’homme conforme aux Principes concernant le statut des institutions nationales pour la promotion et la protection des droits de </w:t>
      </w:r>
      <w:r w:rsidR="00390E16" w:rsidRPr="008D3DE0">
        <w:rPr>
          <w:b/>
          <w:bCs/>
        </w:rPr>
        <w:t>l’homme (</w:t>
      </w:r>
      <w:r w:rsidRPr="008D3DE0">
        <w:rPr>
          <w:b/>
          <w:bCs/>
        </w:rPr>
        <w:t>Principes de Paris).</w:t>
      </w:r>
    </w:p>
    <w:p w14:paraId="52AEC26D" w14:textId="77777777" w:rsidR="00C4067E" w:rsidRPr="008D3DE0" w:rsidRDefault="00C4067E" w:rsidP="00C4067E">
      <w:pPr>
        <w:pStyle w:val="H23G"/>
      </w:pPr>
      <w:r w:rsidRPr="008D3DE0">
        <w:tab/>
      </w:r>
      <w:r w:rsidRPr="008D3DE0">
        <w:tab/>
        <w:t>Impunité, recours effectif et réparations</w:t>
      </w:r>
    </w:p>
    <w:p w14:paraId="1565B188" w14:textId="67DAF9BB" w:rsidR="00C4067E" w:rsidRPr="008D3DE0" w:rsidRDefault="00C4067E" w:rsidP="0096622E">
      <w:pPr>
        <w:pStyle w:val="SingleTxtG"/>
        <w:tabs>
          <w:tab w:val="left" w:pos="1701"/>
          <w:tab w:val="left" w:pos="1843"/>
          <w:tab w:val="left" w:pos="2127"/>
        </w:tabs>
      </w:pPr>
      <w:r w:rsidRPr="008D3DE0">
        <w:t>9.</w:t>
      </w:r>
      <w:r w:rsidRPr="008D3DE0">
        <w:tab/>
        <w:t>Le Comité salue les efforts entrepris par l’</w:t>
      </w:r>
      <w:r w:rsidR="00450276" w:rsidRPr="008D3DE0">
        <w:t>État</w:t>
      </w:r>
      <w:r w:rsidRPr="008D3DE0">
        <w:t xml:space="preserve"> partie pour faire la lumière sur les violations les plus graves des droits de l’homme</w:t>
      </w:r>
      <w:r w:rsidR="00AC016D" w:rsidRPr="008D3DE0">
        <w:t xml:space="preserve"> et entamer un processus de justice transitionnelle</w:t>
      </w:r>
      <w:r w:rsidRPr="008D3DE0">
        <w:t xml:space="preserve">, notamment avec la création de la Cour </w:t>
      </w:r>
      <w:r w:rsidR="00AC016D" w:rsidRPr="008D3DE0">
        <w:t>p</w:t>
      </w:r>
      <w:r w:rsidRPr="008D3DE0">
        <w:t xml:space="preserve">énale </w:t>
      </w:r>
      <w:r w:rsidR="00AC016D" w:rsidRPr="008D3DE0">
        <w:t>s</w:t>
      </w:r>
      <w:r w:rsidRPr="008D3DE0">
        <w:t>péciale</w:t>
      </w:r>
      <w:r w:rsidR="00CC6D8B" w:rsidRPr="008D3DE0">
        <w:t>,</w:t>
      </w:r>
      <w:r w:rsidRPr="008D3DE0">
        <w:t xml:space="preserve"> qui a commencé son travail d’enquête et d’instruction</w:t>
      </w:r>
      <w:r w:rsidR="00AD05E8" w:rsidRPr="008D3DE0">
        <w:t>,</w:t>
      </w:r>
      <w:r w:rsidR="00AC016D" w:rsidRPr="008D3DE0">
        <w:t xml:space="preserve"> et de la </w:t>
      </w:r>
      <w:r w:rsidR="00052FB1" w:rsidRPr="008D3DE0">
        <w:t>Commission vérité, justice, réparation et réconciliation</w:t>
      </w:r>
      <w:r w:rsidRPr="008D3DE0">
        <w:t xml:space="preserve">. </w:t>
      </w:r>
      <w:r w:rsidR="00052FB1" w:rsidRPr="008D3DE0">
        <w:t xml:space="preserve">Il est </w:t>
      </w:r>
      <w:r w:rsidR="00467713" w:rsidRPr="008D3DE0">
        <w:t xml:space="preserve">néanmoins </w:t>
      </w:r>
      <w:r w:rsidR="00052FB1" w:rsidRPr="008D3DE0">
        <w:t xml:space="preserve">préoccupé par le fait que ces mécanismes ne sont pas encore complètement opérationnels. </w:t>
      </w:r>
      <w:r w:rsidRPr="008D3DE0">
        <w:t xml:space="preserve">Il note </w:t>
      </w:r>
      <w:r w:rsidR="00AD05E8" w:rsidRPr="008D3DE0">
        <w:t xml:space="preserve">notamment que la </w:t>
      </w:r>
      <w:r w:rsidR="00CC6D8B" w:rsidRPr="008D3DE0">
        <w:t>Cour pénale spéciale</w:t>
      </w:r>
      <w:r w:rsidRPr="008D3DE0">
        <w:t xml:space="preserve"> n’a pas</w:t>
      </w:r>
      <w:r w:rsidR="00390E16" w:rsidRPr="008D3DE0">
        <w:t xml:space="preserve"> le nombre suffisant de </w:t>
      </w:r>
      <w:r w:rsidR="009E6946" w:rsidRPr="008D3DE0">
        <w:t xml:space="preserve">juges </w:t>
      </w:r>
      <w:r w:rsidR="00390E16" w:rsidRPr="008D3DE0">
        <w:t xml:space="preserve">internationaux </w:t>
      </w:r>
      <w:r w:rsidRPr="008D3DE0">
        <w:t>pour siéger en chambre d’accusation et juger les personnes accusées des crimes les plus graves commis dans le cadre du conflit</w:t>
      </w:r>
      <w:r w:rsidR="008F6F13" w:rsidRPr="008D3DE0">
        <w:t> ;</w:t>
      </w:r>
      <w:r w:rsidR="007B6EE7" w:rsidRPr="008D3DE0">
        <w:t xml:space="preserve"> </w:t>
      </w:r>
      <w:r w:rsidR="008F6F13" w:rsidRPr="008D3DE0">
        <w:t>ces juges</w:t>
      </w:r>
      <w:r w:rsidR="007B6EE7" w:rsidRPr="008D3DE0">
        <w:t xml:space="preserve"> semblent être déjà nommés, mais tous n’ont </w:t>
      </w:r>
      <w:r w:rsidR="00467713" w:rsidRPr="008D3DE0">
        <w:t xml:space="preserve">pas </w:t>
      </w:r>
      <w:r w:rsidR="007B6EE7" w:rsidRPr="008D3DE0">
        <w:t xml:space="preserve">pris possession de leur </w:t>
      </w:r>
      <w:r w:rsidR="004864B3" w:rsidRPr="008D3DE0">
        <w:t>charge</w:t>
      </w:r>
      <w:r w:rsidRPr="008D3DE0">
        <w:t xml:space="preserve">. En outre, bien que la </w:t>
      </w:r>
      <w:r w:rsidR="00CC6D8B" w:rsidRPr="008D3DE0">
        <w:t>Cour pénale spéciale</w:t>
      </w:r>
      <w:r w:rsidRPr="008D3DE0">
        <w:t xml:space="preserve"> ait mis en place un dispositif de protection des témoins et des victimes, l’actionnement de </w:t>
      </w:r>
      <w:r w:rsidR="00476D86" w:rsidRPr="008D3DE0">
        <w:t>ce dernier</w:t>
      </w:r>
      <w:r w:rsidRPr="008D3DE0">
        <w:t xml:space="preserve"> est laissé à la discrétion des juges qui y ont recours «</w:t>
      </w:r>
      <w:r w:rsidR="00400668" w:rsidRPr="008D3DE0">
        <w:t> </w:t>
      </w:r>
      <w:r w:rsidRPr="008D3DE0">
        <w:t>en cas de besoin</w:t>
      </w:r>
      <w:r w:rsidR="00400668" w:rsidRPr="008D3DE0">
        <w:t> </w:t>
      </w:r>
      <w:r w:rsidRPr="008D3DE0">
        <w:t>»</w:t>
      </w:r>
      <w:r w:rsidR="006A6420" w:rsidRPr="008D3DE0">
        <w:t>, et dans les faits, aucune mesure n’a été prise pour rendre cette procédure opérationnelle</w:t>
      </w:r>
      <w:r w:rsidRPr="008D3DE0">
        <w:t xml:space="preserve">. Enfin, tout en notant les actions prises en vue d’établir la vérité et la réconciliation dans le pays, le Comité regrette que </w:t>
      </w:r>
      <w:r w:rsidR="00390E16" w:rsidRPr="008D3DE0">
        <w:t xml:space="preserve">ces actions </w:t>
      </w:r>
      <w:r w:rsidRPr="008D3DE0">
        <w:t>soi</w:t>
      </w:r>
      <w:r w:rsidR="00390E16" w:rsidRPr="008D3DE0">
        <w:t>en</w:t>
      </w:r>
      <w:r w:rsidRPr="008D3DE0">
        <w:t>t accompagné</w:t>
      </w:r>
      <w:r w:rsidR="00390E16" w:rsidRPr="008D3DE0">
        <w:t>es</w:t>
      </w:r>
      <w:r w:rsidRPr="008D3DE0">
        <w:t xml:space="preserve"> de la décision de nommer dans le Gouvernement inclusif un certain nombre </w:t>
      </w:r>
      <w:r w:rsidR="00AC016D" w:rsidRPr="008D3DE0">
        <w:t xml:space="preserve">de </w:t>
      </w:r>
      <w:r w:rsidRPr="008D3DE0">
        <w:t>personnes soupçonnées d</w:t>
      </w:r>
      <w:r w:rsidR="00AC016D" w:rsidRPr="008D3DE0">
        <w:t>e</w:t>
      </w:r>
      <w:r w:rsidRPr="008D3DE0">
        <w:t xml:space="preserve"> violations graves des droits </w:t>
      </w:r>
      <w:r w:rsidR="00476D86" w:rsidRPr="008D3DE0">
        <w:t>de l’homme</w:t>
      </w:r>
      <w:r w:rsidRPr="008D3DE0">
        <w:t xml:space="preserve">, ce qui </w:t>
      </w:r>
      <w:r w:rsidR="007B6EE7" w:rsidRPr="008D3DE0">
        <w:t>pourra</w:t>
      </w:r>
      <w:r w:rsidR="00AC016D" w:rsidRPr="008D3DE0">
        <w:t>it</w:t>
      </w:r>
      <w:r w:rsidR="007B6EE7" w:rsidRPr="008D3DE0">
        <w:t xml:space="preserve"> </w:t>
      </w:r>
      <w:r w:rsidRPr="008D3DE0">
        <w:t>crée</w:t>
      </w:r>
      <w:r w:rsidR="007B6EE7" w:rsidRPr="008D3DE0">
        <w:t>r</w:t>
      </w:r>
      <w:r w:rsidRPr="008D3DE0">
        <w:t xml:space="preserve"> un blocage </w:t>
      </w:r>
      <w:r w:rsidRPr="00B23DE8">
        <w:rPr>
          <w:iCs/>
        </w:rPr>
        <w:t>de facto</w:t>
      </w:r>
      <w:r w:rsidRPr="008D3DE0">
        <w:t xml:space="preserve"> </w:t>
      </w:r>
      <w:r w:rsidR="00467713" w:rsidRPr="008D3DE0">
        <w:t xml:space="preserve">des </w:t>
      </w:r>
      <w:r w:rsidRPr="008D3DE0">
        <w:t>possibles poursuites judiciaires à leur encontre (art.</w:t>
      </w:r>
      <w:r w:rsidR="00EE540C">
        <w:t> </w:t>
      </w:r>
      <w:r w:rsidRPr="008D3DE0">
        <w:t xml:space="preserve">2, 6 et 7). </w:t>
      </w:r>
    </w:p>
    <w:p w14:paraId="79587164" w14:textId="5F311BAA" w:rsidR="00C4067E" w:rsidRPr="008D3DE0" w:rsidRDefault="00C4067E" w:rsidP="0096622E">
      <w:pPr>
        <w:pStyle w:val="SingleTxtG"/>
        <w:tabs>
          <w:tab w:val="left" w:pos="1701"/>
          <w:tab w:val="left" w:pos="1843"/>
          <w:tab w:val="left" w:pos="2127"/>
        </w:tabs>
        <w:rPr>
          <w:b/>
        </w:rPr>
      </w:pPr>
      <w:r w:rsidRPr="008D3DE0">
        <w:t>10.</w:t>
      </w:r>
      <w:r w:rsidRPr="008D3DE0">
        <w:tab/>
      </w:r>
      <w:r w:rsidR="00DC29EE" w:rsidRPr="008D3DE0">
        <w:rPr>
          <w:b/>
        </w:rPr>
        <w:t>Dans la continuité des</w:t>
      </w:r>
      <w:r w:rsidRPr="008D3DE0">
        <w:rPr>
          <w:b/>
        </w:rPr>
        <w:t xml:space="preserve"> précédentes observations finales </w:t>
      </w:r>
      <w:r w:rsidR="00476D86" w:rsidRPr="008D3DE0">
        <w:rPr>
          <w:b/>
        </w:rPr>
        <w:t xml:space="preserve">du Comité </w:t>
      </w:r>
      <w:r w:rsidRPr="008D3DE0">
        <w:rPr>
          <w:b/>
        </w:rPr>
        <w:t>(CCPR/C/CAF/CO/2, par.</w:t>
      </w:r>
      <w:r w:rsidR="00EE540C">
        <w:rPr>
          <w:b/>
        </w:rPr>
        <w:t> </w:t>
      </w:r>
      <w:r w:rsidRPr="008D3DE0">
        <w:rPr>
          <w:b/>
        </w:rPr>
        <w:t>7 et 8), l</w:t>
      </w:r>
      <w:r w:rsidRPr="008D3DE0">
        <w:rPr>
          <w:b/>
          <w:lang w:val="fr-FR"/>
        </w:rPr>
        <w:t>’État partie devrait :</w:t>
      </w:r>
    </w:p>
    <w:p w14:paraId="5102F201" w14:textId="4268394A" w:rsidR="00C4067E" w:rsidRPr="008D3DE0" w:rsidRDefault="00C4067E" w:rsidP="00B23DE8">
      <w:pPr>
        <w:pStyle w:val="SingleTxtG"/>
        <w:tabs>
          <w:tab w:val="left" w:pos="2268"/>
        </w:tabs>
        <w:ind w:firstLine="567"/>
        <w:rPr>
          <w:b/>
          <w:lang w:val="fr-FR"/>
        </w:rPr>
      </w:pPr>
      <w:r w:rsidRPr="008D3DE0">
        <w:rPr>
          <w:b/>
          <w:lang w:val="fr-FR"/>
        </w:rPr>
        <w:t>a)</w:t>
      </w:r>
      <w:r w:rsidRPr="008D3DE0">
        <w:rPr>
          <w:b/>
          <w:lang w:val="fr-FR"/>
        </w:rPr>
        <w:tab/>
        <w:t xml:space="preserve">Prendre les mesures nécessaires, y compris par le recours à la coopération internationale, pour accélérer l’entrée en fonction des juges internationaux à la Cour </w:t>
      </w:r>
      <w:r w:rsidR="008C3DD6" w:rsidRPr="008D3DE0">
        <w:rPr>
          <w:b/>
          <w:lang w:val="fr-FR"/>
        </w:rPr>
        <w:t>pénale s</w:t>
      </w:r>
      <w:r w:rsidRPr="008D3DE0">
        <w:rPr>
          <w:b/>
          <w:lang w:val="fr-FR"/>
        </w:rPr>
        <w:t>péciale afin que les affaires instruites puissent être jugées ;</w:t>
      </w:r>
    </w:p>
    <w:p w14:paraId="13C9C2A6" w14:textId="3889859B" w:rsidR="00400668" w:rsidRPr="008D3DE0" w:rsidRDefault="00C4067E" w:rsidP="00B23DE8">
      <w:pPr>
        <w:pStyle w:val="SingleTxtG"/>
        <w:tabs>
          <w:tab w:val="left" w:pos="2268"/>
        </w:tabs>
        <w:ind w:firstLine="567"/>
        <w:rPr>
          <w:b/>
          <w:lang w:val="fr-FR"/>
        </w:rPr>
      </w:pPr>
      <w:r w:rsidRPr="008D3DE0">
        <w:rPr>
          <w:b/>
          <w:lang w:val="fr-FR"/>
        </w:rPr>
        <w:t>b)</w:t>
      </w:r>
      <w:r w:rsidRPr="008D3DE0">
        <w:rPr>
          <w:b/>
          <w:lang w:val="fr-FR"/>
        </w:rPr>
        <w:tab/>
        <w:t xml:space="preserve">Veiller à ce que toutes les victimes disposent d’un recours utile, notamment devant la Cour </w:t>
      </w:r>
      <w:r w:rsidR="008C3DD6" w:rsidRPr="008D3DE0">
        <w:rPr>
          <w:b/>
          <w:lang w:val="fr-FR"/>
        </w:rPr>
        <w:t>p</w:t>
      </w:r>
      <w:r w:rsidRPr="008D3DE0">
        <w:rPr>
          <w:b/>
          <w:lang w:val="fr-FR"/>
        </w:rPr>
        <w:t xml:space="preserve">énale </w:t>
      </w:r>
      <w:r w:rsidR="008C3DD6" w:rsidRPr="008D3DE0">
        <w:rPr>
          <w:b/>
          <w:lang w:val="fr-FR"/>
        </w:rPr>
        <w:t>s</w:t>
      </w:r>
      <w:r w:rsidRPr="008D3DE0">
        <w:rPr>
          <w:b/>
          <w:lang w:val="fr-FR"/>
        </w:rPr>
        <w:t>péciale</w:t>
      </w:r>
      <w:r w:rsidR="00476D86" w:rsidRPr="008D3DE0">
        <w:rPr>
          <w:b/>
          <w:lang w:val="fr-FR"/>
        </w:rPr>
        <w:t>,</w:t>
      </w:r>
      <w:r w:rsidRPr="008D3DE0">
        <w:rPr>
          <w:b/>
          <w:lang w:val="fr-FR"/>
        </w:rPr>
        <w:t xml:space="preserve"> et qu’elles puissent bénéficier de mesures adéquates d’indemnisation, de restitution et de réadaptation, compte tenu des Principes fondamentaux et directives concernant le droit à un recours et à réparation des victimes de violations flagrantes du droit international des droits de l’homme et de violations graves du droit international humanitaire</w:t>
      </w:r>
      <w:r w:rsidR="00400668" w:rsidRPr="008D3DE0">
        <w:rPr>
          <w:b/>
          <w:lang w:val="fr-FR"/>
        </w:rPr>
        <w:t> ;</w:t>
      </w:r>
      <w:r w:rsidRPr="008D3DE0">
        <w:rPr>
          <w:b/>
          <w:lang w:val="fr-FR"/>
        </w:rPr>
        <w:t xml:space="preserve"> </w:t>
      </w:r>
    </w:p>
    <w:p w14:paraId="790AE0C2" w14:textId="256ABEFE" w:rsidR="00C4067E" w:rsidRPr="008D3DE0" w:rsidRDefault="00400668" w:rsidP="00B23DE8">
      <w:pPr>
        <w:pStyle w:val="SingleTxtG"/>
        <w:tabs>
          <w:tab w:val="left" w:pos="2268"/>
        </w:tabs>
        <w:ind w:firstLine="567"/>
        <w:rPr>
          <w:b/>
          <w:lang w:val="fr-FR"/>
        </w:rPr>
      </w:pPr>
      <w:r w:rsidRPr="008D3DE0">
        <w:rPr>
          <w:b/>
          <w:lang w:val="fr-FR"/>
        </w:rPr>
        <w:t>c)</w:t>
      </w:r>
      <w:r w:rsidRPr="008D3DE0">
        <w:rPr>
          <w:b/>
          <w:lang w:val="fr-FR"/>
        </w:rPr>
        <w:tab/>
        <w:t>S</w:t>
      </w:r>
      <w:r w:rsidR="00C4067E" w:rsidRPr="008D3DE0">
        <w:rPr>
          <w:b/>
          <w:lang w:val="fr-FR"/>
        </w:rPr>
        <w:t xml:space="preserve">’assurer que les victimes et les témoins </w:t>
      </w:r>
      <w:r w:rsidR="00F33B31" w:rsidRPr="008D3DE0">
        <w:rPr>
          <w:b/>
          <w:lang w:val="fr-FR"/>
        </w:rPr>
        <w:t>peuvent</w:t>
      </w:r>
      <w:r w:rsidR="00C4067E" w:rsidRPr="008D3DE0">
        <w:rPr>
          <w:b/>
          <w:lang w:val="fr-FR"/>
        </w:rPr>
        <w:t xml:space="preserve"> prendre part aux procès </w:t>
      </w:r>
      <w:r w:rsidR="001E28BA" w:rsidRPr="008D3DE0">
        <w:rPr>
          <w:b/>
          <w:lang w:val="fr-FR"/>
        </w:rPr>
        <w:t>devant la Cour pénale s</w:t>
      </w:r>
      <w:r w:rsidR="00C4067E" w:rsidRPr="008D3DE0">
        <w:rPr>
          <w:b/>
          <w:lang w:val="fr-FR"/>
        </w:rPr>
        <w:t xml:space="preserve">péciale grâce à un dispositif </w:t>
      </w:r>
      <w:r w:rsidR="006A6420" w:rsidRPr="008D3DE0">
        <w:rPr>
          <w:b/>
          <w:lang w:val="fr-FR"/>
        </w:rPr>
        <w:t>opérationnel</w:t>
      </w:r>
      <w:r w:rsidR="00C4067E" w:rsidRPr="008D3DE0">
        <w:rPr>
          <w:b/>
          <w:lang w:val="fr-FR"/>
        </w:rPr>
        <w:t xml:space="preserve"> de protection des victimes et des témoins</w:t>
      </w:r>
      <w:r w:rsidRPr="008D3DE0">
        <w:rPr>
          <w:b/>
          <w:lang w:val="fr-FR"/>
        </w:rPr>
        <w:t>, en prenant exemple sur les pratiques établies par la Cour pénale internationale</w:t>
      </w:r>
      <w:r w:rsidR="006A6420" w:rsidRPr="008D3DE0">
        <w:rPr>
          <w:b/>
          <w:lang w:val="fr-FR"/>
        </w:rPr>
        <w:t xml:space="preserve"> </w:t>
      </w:r>
      <w:r w:rsidR="00C4067E" w:rsidRPr="008D3DE0">
        <w:rPr>
          <w:b/>
          <w:lang w:val="fr-FR"/>
        </w:rPr>
        <w:t>;</w:t>
      </w:r>
    </w:p>
    <w:p w14:paraId="315D6EDC" w14:textId="53297F02" w:rsidR="00C4067E" w:rsidRPr="008D3DE0" w:rsidRDefault="00400668" w:rsidP="00B23DE8">
      <w:pPr>
        <w:pStyle w:val="SingleTxtG"/>
        <w:tabs>
          <w:tab w:val="left" w:pos="2268"/>
        </w:tabs>
        <w:ind w:firstLine="567"/>
        <w:rPr>
          <w:b/>
          <w:lang w:val="fr-FR"/>
        </w:rPr>
      </w:pPr>
      <w:r w:rsidRPr="008D3DE0">
        <w:rPr>
          <w:b/>
          <w:lang w:val="fr-FR"/>
        </w:rPr>
        <w:t>d</w:t>
      </w:r>
      <w:r w:rsidR="00C4067E" w:rsidRPr="008D3DE0">
        <w:rPr>
          <w:b/>
          <w:lang w:val="fr-FR"/>
        </w:rPr>
        <w:t>)</w:t>
      </w:r>
      <w:r w:rsidR="00C4067E" w:rsidRPr="008D3DE0">
        <w:rPr>
          <w:b/>
          <w:lang w:val="fr-FR"/>
        </w:rPr>
        <w:tab/>
      </w:r>
      <w:r w:rsidR="00AC016D" w:rsidRPr="008D3DE0">
        <w:rPr>
          <w:b/>
          <w:lang w:val="fr-FR"/>
        </w:rPr>
        <w:t>Rendre o</w:t>
      </w:r>
      <w:r w:rsidR="00C4067E" w:rsidRPr="008D3DE0">
        <w:rPr>
          <w:b/>
          <w:lang w:val="fr-FR"/>
        </w:rPr>
        <w:t>pérationn</w:t>
      </w:r>
      <w:r w:rsidR="00AC016D" w:rsidRPr="008D3DE0">
        <w:rPr>
          <w:b/>
          <w:lang w:val="fr-FR"/>
        </w:rPr>
        <w:t>elle</w:t>
      </w:r>
      <w:r w:rsidR="00C4067E" w:rsidRPr="008D3DE0">
        <w:rPr>
          <w:b/>
          <w:lang w:val="fr-FR"/>
        </w:rPr>
        <w:t xml:space="preserve"> dans les plus brefs délais la Commission </w:t>
      </w:r>
      <w:r w:rsidR="001E28BA" w:rsidRPr="008D3DE0">
        <w:rPr>
          <w:b/>
          <w:lang w:val="fr-FR"/>
        </w:rPr>
        <w:t>vérité, justice, réparation et r</w:t>
      </w:r>
      <w:r w:rsidR="00C4067E" w:rsidRPr="008D3DE0">
        <w:rPr>
          <w:b/>
          <w:lang w:val="fr-FR"/>
        </w:rPr>
        <w:t>éconciliation</w:t>
      </w:r>
      <w:r w:rsidR="00F33B31" w:rsidRPr="008D3DE0">
        <w:rPr>
          <w:b/>
          <w:lang w:val="fr-FR"/>
        </w:rPr>
        <w:t>,</w:t>
      </w:r>
      <w:r w:rsidR="001E28BA" w:rsidRPr="008D3DE0">
        <w:rPr>
          <w:b/>
          <w:lang w:val="fr-FR"/>
        </w:rPr>
        <w:t xml:space="preserve"> </w:t>
      </w:r>
      <w:r w:rsidR="00C4067E" w:rsidRPr="008D3DE0">
        <w:rPr>
          <w:b/>
          <w:lang w:val="fr-FR"/>
        </w:rPr>
        <w:t>et veiller à ce qu’elle fonctionne de manière inclusive, efficace et indépendante, conformément au droit et aux normes internationaux, notamment en interdisant toute amnistie pour les violations flagrantes du droit international des droits de l’homme et les violations graves du droit international humanitaire</w:t>
      </w:r>
      <w:r w:rsidRPr="008D3DE0">
        <w:rPr>
          <w:b/>
          <w:lang w:val="fr-FR"/>
        </w:rPr>
        <w:t>,</w:t>
      </w:r>
      <w:r w:rsidR="00C4067E" w:rsidRPr="008D3DE0">
        <w:rPr>
          <w:b/>
          <w:lang w:val="fr-FR"/>
        </w:rPr>
        <w:t xml:space="preserve"> </w:t>
      </w:r>
      <w:r w:rsidRPr="008D3DE0">
        <w:rPr>
          <w:b/>
          <w:lang w:val="fr-FR"/>
        </w:rPr>
        <w:t>l</w:t>
      </w:r>
      <w:r w:rsidR="00C4067E" w:rsidRPr="008D3DE0">
        <w:rPr>
          <w:b/>
          <w:lang w:val="fr-FR"/>
        </w:rPr>
        <w:t xml:space="preserve">e Comité </w:t>
      </w:r>
      <w:r w:rsidRPr="008D3DE0">
        <w:rPr>
          <w:b/>
          <w:lang w:val="fr-FR"/>
        </w:rPr>
        <w:t>soulignant à cet égard</w:t>
      </w:r>
      <w:r w:rsidR="00C4067E" w:rsidRPr="008D3DE0">
        <w:rPr>
          <w:b/>
          <w:lang w:val="fr-FR"/>
        </w:rPr>
        <w:t xml:space="preserve"> que la mise en place d’un mécanisme de justice transitionnelle ne saurait dispenser de poursuivre pénalement les </w:t>
      </w:r>
      <w:r w:rsidR="00F33B31" w:rsidRPr="008D3DE0">
        <w:rPr>
          <w:b/>
          <w:lang w:val="fr-FR"/>
        </w:rPr>
        <w:t xml:space="preserve">responsables de </w:t>
      </w:r>
      <w:r w:rsidR="00C4067E" w:rsidRPr="008D3DE0">
        <w:rPr>
          <w:b/>
          <w:lang w:val="fr-FR"/>
        </w:rPr>
        <w:t>violations graves des droits de l’homme</w:t>
      </w:r>
      <w:r w:rsidR="005D20D6" w:rsidRPr="008D3DE0">
        <w:rPr>
          <w:b/>
          <w:lang w:val="fr-FR"/>
        </w:rPr>
        <w:t> </w:t>
      </w:r>
      <w:r w:rsidR="00C4067E" w:rsidRPr="008D3DE0">
        <w:rPr>
          <w:b/>
          <w:lang w:val="fr-FR"/>
        </w:rPr>
        <w:t>;</w:t>
      </w:r>
    </w:p>
    <w:p w14:paraId="6872B57A" w14:textId="79FA54CD" w:rsidR="00C4067E" w:rsidRPr="008D3DE0" w:rsidRDefault="00400668" w:rsidP="00B23DE8">
      <w:pPr>
        <w:pStyle w:val="SingleTxtG"/>
        <w:tabs>
          <w:tab w:val="left" w:pos="2268"/>
        </w:tabs>
        <w:ind w:firstLine="567"/>
        <w:rPr>
          <w:b/>
        </w:rPr>
      </w:pPr>
      <w:r w:rsidRPr="008D3DE0">
        <w:rPr>
          <w:b/>
          <w:lang w:val="fr-FR"/>
        </w:rPr>
        <w:t>e</w:t>
      </w:r>
      <w:r w:rsidR="00C4067E" w:rsidRPr="008D3DE0">
        <w:rPr>
          <w:b/>
          <w:lang w:val="fr-FR"/>
        </w:rPr>
        <w:t>)</w:t>
      </w:r>
      <w:r w:rsidR="00C4067E" w:rsidRPr="008D3DE0">
        <w:rPr>
          <w:b/>
          <w:lang w:val="fr-FR"/>
        </w:rPr>
        <w:tab/>
      </w:r>
      <w:r w:rsidR="00AC016D" w:rsidRPr="008D3DE0">
        <w:rPr>
          <w:b/>
          <w:lang w:val="fr-FR"/>
        </w:rPr>
        <w:t>R</w:t>
      </w:r>
      <w:r w:rsidR="003D6BEA" w:rsidRPr="008D3DE0">
        <w:rPr>
          <w:b/>
          <w:lang w:val="fr-FR"/>
        </w:rPr>
        <w:t>enforcer les mesures prises</w:t>
      </w:r>
      <w:r w:rsidR="00C4067E" w:rsidRPr="008D3DE0">
        <w:rPr>
          <w:b/>
          <w:lang w:val="fr-FR"/>
        </w:rPr>
        <w:t xml:space="preserve"> relatives à la vérification des antécédents afin d’empêcher les personnes accusées de violations</w:t>
      </w:r>
      <w:r w:rsidR="00F33B31" w:rsidRPr="008D3DE0">
        <w:rPr>
          <w:b/>
          <w:lang w:val="fr-FR"/>
        </w:rPr>
        <w:t xml:space="preserve"> des dispositions</w:t>
      </w:r>
      <w:r w:rsidR="00C4067E" w:rsidRPr="008D3DE0">
        <w:rPr>
          <w:b/>
          <w:lang w:val="fr-FR"/>
        </w:rPr>
        <w:t xml:space="preserve"> du Pacte d’exercer des fonctions publiques et d’être promues.</w:t>
      </w:r>
    </w:p>
    <w:p w14:paraId="13A8F512" w14:textId="13943DF4" w:rsidR="00C4067E" w:rsidRPr="008D3DE0" w:rsidRDefault="00C655BB" w:rsidP="00C655BB">
      <w:pPr>
        <w:pStyle w:val="H23G"/>
      </w:pPr>
      <w:r w:rsidRPr="008D3DE0">
        <w:lastRenderedPageBreak/>
        <w:tab/>
      </w:r>
      <w:r w:rsidRPr="008D3DE0">
        <w:tab/>
      </w:r>
      <w:r w:rsidR="00C4067E" w:rsidRPr="008D3DE0">
        <w:t xml:space="preserve">Non-discrimination et égalité </w:t>
      </w:r>
      <w:r w:rsidR="00910E81" w:rsidRPr="008D3DE0">
        <w:t>femmes-</w:t>
      </w:r>
      <w:r w:rsidR="00C4067E" w:rsidRPr="008D3DE0">
        <w:t xml:space="preserve">hommes </w:t>
      </w:r>
    </w:p>
    <w:p w14:paraId="53CE6EA8" w14:textId="1EC3F1D9" w:rsidR="00C4067E" w:rsidRPr="008D3DE0" w:rsidRDefault="00C4067E" w:rsidP="0096622E">
      <w:pPr>
        <w:pStyle w:val="SingleTxtG"/>
        <w:tabs>
          <w:tab w:val="left" w:pos="1701"/>
          <w:tab w:val="left" w:pos="1843"/>
          <w:tab w:val="left" w:pos="2127"/>
        </w:tabs>
      </w:pPr>
      <w:r w:rsidRPr="008D3DE0">
        <w:t>11.</w:t>
      </w:r>
      <w:r w:rsidRPr="008D3DE0">
        <w:tab/>
        <w:t xml:space="preserve">Le Comité est préoccupé par l’absence de législation </w:t>
      </w:r>
      <w:r w:rsidR="0067663D" w:rsidRPr="008D3DE0">
        <w:t>générale</w:t>
      </w:r>
      <w:r w:rsidRPr="008D3DE0">
        <w:t xml:space="preserve"> contre la discrimination. Il regrette en outre l’absence d’information sur les mesures concrètes adoptées pour inclure la dimension du genre dans tout le processus de justice transitionnelle, y compris </w:t>
      </w:r>
      <w:r w:rsidR="00151792" w:rsidRPr="008D3DE0">
        <w:t>sur</w:t>
      </w:r>
      <w:r w:rsidRPr="008D3DE0">
        <w:t xml:space="preserve"> l</w:t>
      </w:r>
      <w:r w:rsidR="001301DE" w:rsidRPr="008D3DE0">
        <w:t>a pratique réelle</w:t>
      </w:r>
      <w:r w:rsidRPr="008D3DE0">
        <w:t xml:space="preserve"> de la Cour pénale spéciale. Le Comité regrette également le manque d’information sur les actions prises pour assurer une égalité entre les hommes et les femmes non seulement en droit mais </w:t>
      </w:r>
      <w:r w:rsidR="00F33B31" w:rsidRPr="008D3DE0">
        <w:t xml:space="preserve">aussi </w:t>
      </w:r>
      <w:r w:rsidRPr="008D3DE0">
        <w:t>en pratique</w:t>
      </w:r>
      <w:r w:rsidR="008D4133" w:rsidRPr="008D3DE0">
        <w:t>,</w:t>
      </w:r>
      <w:r w:rsidRPr="008D3DE0">
        <w:t xml:space="preserve"> notamment dans la participation aux affaires publiques, où le taux de représentation des femmes dans les organes législatifs, aux postes de décision de l’exécutif et parmi les magistrats demeure très </w:t>
      </w:r>
      <w:r w:rsidR="00A20B40" w:rsidRPr="008D3DE0">
        <w:t>faible (</w:t>
      </w:r>
      <w:r w:rsidRPr="008D3DE0">
        <w:t>art. 2, 3, 23, 25 et</w:t>
      </w:r>
      <w:r w:rsidR="00EE540C">
        <w:t> </w:t>
      </w:r>
      <w:r w:rsidRPr="008D3DE0">
        <w:t>26).</w:t>
      </w:r>
    </w:p>
    <w:p w14:paraId="317808EF" w14:textId="5591C035" w:rsidR="00C4067E" w:rsidRPr="008D3DE0" w:rsidRDefault="00C4067E" w:rsidP="0096622E">
      <w:pPr>
        <w:pStyle w:val="SingleTxtG"/>
        <w:tabs>
          <w:tab w:val="left" w:pos="1701"/>
          <w:tab w:val="left" w:pos="1843"/>
          <w:tab w:val="left" w:pos="2127"/>
        </w:tabs>
        <w:rPr>
          <w:b/>
        </w:rPr>
      </w:pPr>
      <w:r w:rsidRPr="008D3DE0">
        <w:t>12.</w:t>
      </w:r>
      <w:r w:rsidRPr="008D3DE0">
        <w:tab/>
      </w:r>
      <w:r w:rsidR="00DC29EE" w:rsidRPr="008D3DE0">
        <w:rPr>
          <w:b/>
        </w:rPr>
        <w:t>Dans</w:t>
      </w:r>
      <w:r w:rsidR="00AE1DE7" w:rsidRPr="008D3DE0">
        <w:rPr>
          <w:b/>
        </w:rPr>
        <w:t xml:space="preserve"> </w:t>
      </w:r>
      <w:r w:rsidR="00DC29EE" w:rsidRPr="008D3DE0">
        <w:rPr>
          <w:b/>
        </w:rPr>
        <w:t>la continuité des</w:t>
      </w:r>
      <w:r w:rsidRPr="008D3DE0">
        <w:rPr>
          <w:b/>
        </w:rPr>
        <w:t xml:space="preserve"> précédentes observations finales </w:t>
      </w:r>
      <w:r w:rsidR="00F33B31" w:rsidRPr="008D3DE0">
        <w:rPr>
          <w:b/>
        </w:rPr>
        <w:t xml:space="preserve">du Comité </w:t>
      </w:r>
      <w:r w:rsidRPr="008D3DE0">
        <w:rPr>
          <w:b/>
        </w:rPr>
        <w:t>(CCPR/C/CAF/CO/2, par.</w:t>
      </w:r>
      <w:r w:rsidR="00EE540C">
        <w:rPr>
          <w:b/>
        </w:rPr>
        <w:t> </w:t>
      </w:r>
      <w:r w:rsidRPr="008D3DE0">
        <w:rPr>
          <w:b/>
        </w:rPr>
        <w:t>9), l’État partie devrait :</w:t>
      </w:r>
    </w:p>
    <w:p w14:paraId="64FB93DC" w14:textId="14DB47C5" w:rsidR="00C4067E" w:rsidRPr="008D3DE0" w:rsidRDefault="00C4067E" w:rsidP="00B23DE8">
      <w:pPr>
        <w:pStyle w:val="SingleTxtG"/>
        <w:tabs>
          <w:tab w:val="left" w:pos="2268"/>
        </w:tabs>
        <w:ind w:firstLine="567"/>
        <w:rPr>
          <w:b/>
        </w:rPr>
      </w:pPr>
      <w:r w:rsidRPr="008D3DE0">
        <w:rPr>
          <w:b/>
        </w:rPr>
        <w:t>a)</w:t>
      </w:r>
      <w:r w:rsidRPr="008D3DE0">
        <w:rPr>
          <w:b/>
        </w:rPr>
        <w:tab/>
        <w:t>Adopter une loi générale de lutte contre la discrimination</w:t>
      </w:r>
      <w:r w:rsidR="00F33B31" w:rsidRPr="008D3DE0">
        <w:rPr>
          <w:b/>
        </w:rPr>
        <w:t>, prévoyant notamment des recours utiles en cas de violation</w:t>
      </w:r>
      <w:r w:rsidRPr="008D3DE0">
        <w:rPr>
          <w:b/>
        </w:rPr>
        <w:t>, pour faire en sorte que son cadre juridique offre une protection complète et efficace contre la discrimination dans tous les domaines</w:t>
      </w:r>
      <w:r w:rsidR="00546A01" w:rsidRPr="008D3DE0">
        <w:rPr>
          <w:b/>
        </w:rPr>
        <w:t>, y compris la sphère privée,</w:t>
      </w:r>
      <w:r w:rsidRPr="008D3DE0">
        <w:rPr>
          <w:b/>
        </w:rPr>
        <w:t xml:space="preserve"> et pour tout motif de discrimination comprenant le sexe, la couleur de peau, la langue, la religion, l’opinion politique ou toute autre opinion, l’origine nationale ou sociale, le handicap, l’orientation sexuelle et l’identité de genre ou toute autre situation ;</w:t>
      </w:r>
    </w:p>
    <w:p w14:paraId="2264535D" w14:textId="3B5D064A" w:rsidR="00C4067E" w:rsidRPr="008D3DE0" w:rsidRDefault="00C4067E" w:rsidP="00B23DE8">
      <w:pPr>
        <w:pStyle w:val="SingleTxtG"/>
        <w:tabs>
          <w:tab w:val="left" w:pos="2268"/>
        </w:tabs>
        <w:ind w:firstLine="567"/>
        <w:rPr>
          <w:b/>
        </w:rPr>
      </w:pPr>
      <w:r w:rsidRPr="008D3DE0">
        <w:rPr>
          <w:b/>
        </w:rPr>
        <w:t>b)</w:t>
      </w:r>
      <w:r w:rsidRPr="008D3DE0">
        <w:rPr>
          <w:b/>
        </w:rPr>
        <w:tab/>
        <w:t>Inclure la dimension du genre dans tout le processus de justice transitionnelle, y compris dans l</w:t>
      </w:r>
      <w:r w:rsidR="001301DE" w:rsidRPr="008D3DE0">
        <w:rPr>
          <w:b/>
        </w:rPr>
        <w:t xml:space="preserve">a pratique </w:t>
      </w:r>
      <w:r w:rsidRPr="008D3DE0">
        <w:rPr>
          <w:b/>
        </w:rPr>
        <w:t>de la Cour pénale spéciale ;</w:t>
      </w:r>
    </w:p>
    <w:p w14:paraId="7DDED499" w14:textId="77777777" w:rsidR="00C4067E" w:rsidRPr="008D3DE0" w:rsidRDefault="00C4067E" w:rsidP="00B23DE8">
      <w:pPr>
        <w:pStyle w:val="SingleTxtG"/>
        <w:tabs>
          <w:tab w:val="left" w:pos="2268"/>
        </w:tabs>
        <w:ind w:firstLine="567"/>
        <w:rPr>
          <w:rStyle w:val="SingleTxtGCar"/>
          <w:b/>
        </w:rPr>
      </w:pPr>
      <w:r w:rsidRPr="008D3DE0">
        <w:rPr>
          <w:b/>
        </w:rPr>
        <w:t>c)</w:t>
      </w:r>
      <w:r w:rsidRPr="008D3DE0">
        <w:rPr>
          <w:b/>
        </w:rPr>
        <w:tab/>
        <w:t xml:space="preserve">S’assurer de la participation effective des femmes à la vie publique, en renforçant notamment </w:t>
      </w:r>
      <w:r w:rsidRPr="008D3DE0">
        <w:rPr>
          <w:rStyle w:val="SingleTxtGCar"/>
          <w:b/>
        </w:rPr>
        <w:t>les actions d’éducation et de sensibilisation de la population pour lutter contre les stéréotypes sexistes relatifs à la subordination des femmes aux hommes et à leurs rôles et responsabilités respectifs dans la famille et au sein de la société.</w:t>
      </w:r>
    </w:p>
    <w:p w14:paraId="688EEC2A" w14:textId="77777777" w:rsidR="00C4067E" w:rsidRPr="008D3DE0" w:rsidRDefault="00C4067E" w:rsidP="00C4067E">
      <w:pPr>
        <w:pStyle w:val="H23G"/>
      </w:pPr>
      <w:r w:rsidRPr="008D3DE0">
        <w:tab/>
      </w:r>
      <w:r w:rsidRPr="008D3DE0">
        <w:tab/>
        <w:t>Pratiques préjudiciables et violences sexuelles</w:t>
      </w:r>
    </w:p>
    <w:p w14:paraId="4E06E764" w14:textId="74D28910" w:rsidR="00C4067E" w:rsidRPr="008D3DE0" w:rsidRDefault="00C4067E" w:rsidP="0096622E">
      <w:pPr>
        <w:pStyle w:val="SingleTxtG"/>
        <w:tabs>
          <w:tab w:val="left" w:pos="1701"/>
          <w:tab w:val="left" w:pos="1843"/>
          <w:tab w:val="left" w:pos="2127"/>
        </w:tabs>
      </w:pPr>
      <w:r w:rsidRPr="008D3DE0">
        <w:t>13.</w:t>
      </w:r>
      <w:r w:rsidRPr="008D3DE0">
        <w:tab/>
      </w:r>
      <w:r w:rsidR="005A5E6F" w:rsidRPr="008D3DE0">
        <w:t>Le Comité note les</w:t>
      </w:r>
      <w:r w:rsidRPr="008D3DE0">
        <w:t xml:space="preserve"> efforts de l’État partie pour lutter contre </w:t>
      </w:r>
      <w:r w:rsidR="005A5E6F" w:rsidRPr="008D3DE0">
        <w:t>certaines</w:t>
      </w:r>
      <w:r w:rsidR="00FB0BAC" w:rsidRPr="008D3DE0">
        <w:t xml:space="preserve"> </w:t>
      </w:r>
      <w:r w:rsidRPr="008D3DE0">
        <w:t>pratiques préjudiciables et les violences sexuelles, notamment à l’égard des enfants</w:t>
      </w:r>
      <w:r w:rsidR="00C643C2" w:rsidRPr="008D3DE0">
        <w:t>, au moyen de la</w:t>
      </w:r>
      <w:r w:rsidRPr="008D3DE0">
        <w:t xml:space="preserve"> loi</w:t>
      </w:r>
      <w:r w:rsidR="008F6F13" w:rsidRPr="008D3DE0">
        <w:t xml:space="preserve"> n</w:t>
      </w:r>
      <w:r w:rsidR="008F6F13" w:rsidRPr="008D3DE0">
        <w:rPr>
          <w:vertAlign w:val="superscript"/>
        </w:rPr>
        <w:t>o</w:t>
      </w:r>
      <w:r w:rsidR="008F6F13" w:rsidRPr="008D3DE0">
        <w:t> 06.032</w:t>
      </w:r>
      <w:r w:rsidRPr="008D3DE0">
        <w:t xml:space="preserve"> portant protection de la femme, </w:t>
      </w:r>
      <w:r w:rsidR="00C643C2" w:rsidRPr="008D3DE0">
        <w:t xml:space="preserve">du </w:t>
      </w:r>
      <w:r w:rsidRPr="008D3DE0">
        <w:t xml:space="preserve">projet de loi </w:t>
      </w:r>
      <w:r w:rsidR="008F6F13" w:rsidRPr="008D3DE0">
        <w:t>relatif</w:t>
      </w:r>
      <w:r w:rsidRPr="008D3DE0">
        <w:t xml:space="preserve"> à l</w:t>
      </w:r>
      <w:r w:rsidR="008D4133" w:rsidRPr="008D3DE0">
        <w:t>a protection de l’enfant</w:t>
      </w:r>
      <w:r w:rsidR="00C643C2" w:rsidRPr="008D3DE0">
        <w:t xml:space="preserve"> et du</w:t>
      </w:r>
      <w:r w:rsidR="008D4133" w:rsidRPr="008D3DE0">
        <w:t xml:space="preserve"> </w:t>
      </w:r>
      <w:r w:rsidR="008F6F13" w:rsidRPr="008D3DE0">
        <w:t>p</w:t>
      </w:r>
      <w:r w:rsidR="008D4133" w:rsidRPr="008D3DE0">
        <w:t>lan national de t</w:t>
      </w:r>
      <w:r w:rsidRPr="008D3DE0">
        <w:t xml:space="preserve">ransition ayant pour objectif premier </w:t>
      </w:r>
      <w:r w:rsidR="00CD7050" w:rsidRPr="008D3DE0">
        <w:t xml:space="preserve">de favoriser </w:t>
      </w:r>
      <w:r w:rsidRPr="008D3DE0">
        <w:t>un système éducatif de base</w:t>
      </w:r>
      <w:r w:rsidR="0021299B" w:rsidRPr="008D3DE0">
        <w:t>. Il</w:t>
      </w:r>
      <w:r w:rsidRPr="008D3DE0">
        <w:t xml:space="preserve"> s’inquiète </w:t>
      </w:r>
      <w:r w:rsidR="0021299B" w:rsidRPr="008D3DE0">
        <w:t xml:space="preserve">néanmoins </w:t>
      </w:r>
      <w:r w:rsidRPr="008D3DE0">
        <w:t>de la persistance de</w:t>
      </w:r>
      <w:r w:rsidR="0021299B" w:rsidRPr="008D3DE0">
        <w:t xml:space="preserve"> </w:t>
      </w:r>
      <w:r w:rsidR="008F6F13" w:rsidRPr="008D3DE0">
        <w:t>ces pratiques et violences</w:t>
      </w:r>
      <w:r w:rsidR="005A5E6F" w:rsidRPr="008D3DE0">
        <w:t xml:space="preserve">, </w:t>
      </w:r>
      <w:r w:rsidR="0021299B" w:rsidRPr="008D3DE0">
        <w:t>notamment d</w:t>
      </w:r>
      <w:r w:rsidR="00E50C2A" w:rsidRPr="008D3DE0">
        <w:t xml:space="preserve">es progrès limités pour </w:t>
      </w:r>
      <w:r w:rsidR="005A5E6F" w:rsidRPr="008D3DE0">
        <w:t xml:space="preserve">endiguer certaines pratiques </w:t>
      </w:r>
      <w:r w:rsidR="008F6F13" w:rsidRPr="008D3DE0">
        <w:t>comme</w:t>
      </w:r>
      <w:r w:rsidR="005A5E6F" w:rsidRPr="008D3DE0">
        <w:t xml:space="preserve"> </w:t>
      </w:r>
      <w:r w:rsidR="00E50C2A" w:rsidRPr="008D3DE0">
        <w:t xml:space="preserve">la polygamie, </w:t>
      </w:r>
      <w:r w:rsidRPr="008D3DE0">
        <w:t xml:space="preserve">et </w:t>
      </w:r>
      <w:r w:rsidR="008F6F13" w:rsidRPr="008D3DE0">
        <w:t>du</w:t>
      </w:r>
      <w:r w:rsidRPr="008D3DE0">
        <w:t xml:space="preserve"> maintien de certaines dispositions du </w:t>
      </w:r>
      <w:r w:rsidR="005C552F" w:rsidRPr="008D3DE0">
        <w:t>Code pénal</w:t>
      </w:r>
      <w:r w:rsidRPr="008D3DE0">
        <w:t xml:space="preserve"> tel l’article 105</w:t>
      </w:r>
      <w:r w:rsidR="005C552F" w:rsidRPr="008D3DE0">
        <w:t>,</w:t>
      </w:r>
      <w:r w:rsidRPr="008D3DE0">
        <w:t xml:space="preserve"> </w:t>
      </w:r>
      <w:r w:rsidR="005C552F" w:rsidRPr="008D3DE0">
        <w:t>au titre</w:t>
      </w:r>
      <w:r w:rsidR="008D4133" w:rsidRPr="008D3DE0">
        <w:t xml:space="preserve"> du</w:t>
      </w:r>
      <w:r w:rsidRPr="008D3DE0">
        <w:t xml:space="preserve">quel l’auteur d’un enlèvement peut épouser </w:t>
      </w:r>
      <w:r w:rsidR="00CD7050" w:rsidRPr="008D3DE0">
        <w:t>sa victime</w:t>
      </w:r>
      <w:r w:rsidRPr="008D3DE0">
        <w:t xml:space="preserve">, la privant d’un droit de recours contre </w:t>
      </w:r>
      <w:r w:rsidR="00943CFA" w:rsidRPr="008D3DE0">
        <w:t>lui</w:t>
      </w:r>
      <w:r w:rsidRPr="008D3DE0">
        <w:t xml:space="preserve">. </w:t>
      </w:r>
      <w:r w:rsidR="00943CFA" w:rsidRPr="008D3DE0">
        <w:t>Le Comité</w:t>
      </w:r>
      <w:r w:rsidRPr="008D3DE0">
        <w:t xml:space="preserve"> regrette le manque d’information sur l’</w:t>
      </w:r>
      <w:r w:rsidR="00730C22" w:rsidRPr="008D3DE0">
        <w:t>effet</w:t>
      </w:r>
      <w:r w:rsidRPr="008D3DE0">
        <w:t xml:space="preserve"> des mesures prises, notamment par l’Unité </w:t>
      </w:r>
      <w:r w:rsidR="005A5E6F" w:rsidRPr="008D3DE0">
        <w:t>m</w:t>
      </w:r>
      <w:r w:rsidRPr="008D3DE0">
        <w:t xml:space="preserve">ixte </w:t>
      </w:r>
      <w:r w:rsidR="00943CFA" w:rsidRPr="008D3DE0">
        <w:t xml:space="preserve">d’intervention </w:t>
      </w:r>
      <w:r w:rsidR="005A5E6F" w:rsidRPr="008D3DE0">
        <w:t>r</w:t>
      </w:r>
      <w:r w:rsidRPr="008D3DE0">
        <w:t xml:space="preserve">apide et de </w:t>
      </w:r>
      <w:r w:rsidR="005A5E6F" w:rsidRPr="008D3DE0">
        <w:t>r</w:t>
      </w:r>
      <w:r w:rsidRPr="008D3DE0">
        <w:t xml:space="preserve">épression des violences sexuelles faites aux femmes et aux enfants. </w:t>
      </w:r>
      <w:r w:rsidR="00943CFA" w:rsidRPr="008D3DE0">
        <w:t>Il</w:t>
      </w:r>
      <w:r w:rsidRPr="008D3DE0">
        <w:t xml:space="preserve"> est préoccupé par les allégations selon lesquelles les violences sexuelles continuent d’être utilisées comme arme de guerre et par l’ineffectivité des recours pour les victimes, du fait notamment du tabou social, de la crainte des représailles ou </w:t>
      </w:r>
      <w:r w:rsidR="00943CFA" w:rsidRPr="008D3DE0">
        <w:t>des</w:t>
      </w:r>
      <w:r w:rsidRPr="008D3DE0">
        <w:t xml:space="preserve"> incitations à accepter des conciliations à l’amiable, et de l’insécurité rendant inaccessible</w:t>
      </w:r>
      <w:r w:rsidR="000A7F6F" w:rsidRPr="008D3DE0">
        <w:t>s</w:t>
      </w:r>
      <w:r w:rsidRPr="008D3DE0">
        <w:t xml:space="preserve"> les commissariats de police et les tribunaux (art.</w:t>
      </w:r>
      <w:r w:rsidR="000A3D25">
        <w:t> </w:t>
      </w:r>
      <w:r w:rsidRPr="008D3DE0">
        <w:t>2, 3, 6, 7 et 26).</w:t>
      </w:r>
    </w:p>
    <w:p w14:paraId="79E7C2E3" w14:textId="1118101F" w:rsidR="00C4067E" w:rsidRPr="008D3DE0" w:rsidRDefault="00C4067E" w:rsidP="0096622E">
      <w:pPr>
        <w:pStyle w:val="SingleTxtG"/>
        <w:tabs>
          <w:tab w:val="left" w:pos="1701"/>
          <w:tab w:val="left" w:pos="1843"/>
          <w:tab w:val="left" w:pos="2127"/>
        </w:tabs>
        <w:rPr>
          <w:b/>
        </w:rPr>
      </w:pPr>
      <w:r w:rsidRPr="008D3DE0">
        <w:t>14.</w:t>
      </w:r>
      <w:r w:rsidRPr="008D3DE0">
        <w:tab/>
      </w:r>
      <w:r w:rsidRPr="008D3DE0">
        <w:rPr>
          <w:b/>
        </w:rPr>
        <w:t>L’État partie devrait intensifier ses efforts pour combattre les attitudes patriarcales profondément enracinées et les stéréotypes liés au rôle dévolu par la société aux hommes et aux femmes</w:t>
      </w:r>
      <w:r w:rsidR="0023305E" w:rsidRPr="008D3DE0">
        <w:rPr>
          <w:b/>
        </w:rPr>
        <w:t>,</w:t>
      </w:r>
      <w:r w:rsidR="003A2B8D" w:rsidRPr="008D3DE0">
        <w:rPr>
          <w:b/>
        </w:rPr>
        <w:t xml:space="preserve"> qui contribue</w:t>
      </w:r>
      <w:r w:rsidR="0023305E" w:rsidRPr="008D3DE0">
        <w:rPr>
          <w:b/>
        </w:rPr>
        <w:t>nt</w:t>
      </w:r>
      <w:r w:rsidRPr="008D3DE0">
        <w:rPr>
          <w:b/>
        </w:rPr>
        <w:t xml:space="preserve"> aux violations graves</w:t>
      </w:r>
      <w:r w:rsidR="003A2B8D" w:rsidRPr="008D3DE0">
        <w:rPr>
          <w:b/>
        </w:rPr>
        <w:t xml:space="preserve"> des droits</w:t>
      </w:r>
      <w:r w:rsidR="0023305E" w:rsidRPr="008D3DE0">
        <w:rPr>
          <w:b/>
        </w:rPr>
        <w:t xml:space="preserve"> des femmes et des filles</w:t>
      </w:r>
      <w:r w:rsidR="003A2B8D" w:rsidRPr="008D3DE0">
        <w:rPr>
          <w:b/>
        </w:rPr>
        <w:t xml:space="preserve"> et</w:t>
      </w:r>
      <w:r w:rsidRPr="008D3DE0">
        <w:rPr>
          <w:b/>
        </w:rPr>
        <w:t xml:space="preserve"> </w:t>
      </w:r>
      <w:r w:rsidR="002E1260" w:rsidRPr="008D3DE0">
        <w:rPr>
          <w:b/>
        </w:rPr>
        <w:t xml:space="preserve">aux atteintes </w:t>
      </w:r>
      <w:r w:rsidRPr="008D3DE0">
        <w:rPr>
          <w:b/>
        </w:rPr>
        <w:t xml:space="preserve">à </w:t>
      </w:r>
      <w:r w:rsidR="0023305E" w:rsidRPr="008D3DE0">
        <w:rPr>
          <w:b/>
        </w:rPr>
        <w:t xml:space="preserve">leur </w:t>
      </w:r>
      <w:r w:rsidRPr="008D3DE0">
        <w:rPr>
          <w:b/>
        </w:rPr>
        <w:t>intégrité</w:t>
      </w:r>
      <w:r w:rsidR="003A2B8D" w:rsidRPr="008D3DE0">
        <w:rPr>
          <w:b/>
        </w:rPr>
        <w:t xml:space="preserve">. </w:t>
      </w:r>
      <w:r w:rsidR="0023305E" w:rsidRPr="008D3DE0">
        <w:rPr>
          <w:b/>
        </w:rPr>
        <w:t>Conformément</w:t>
      </w:r>
      <w:r w:rsidRPr="008D3DE0">
        <w:rPr>
          <w:b/>
        </w:rPr>
        <w:t xml:space="preserve"> à la résolution 1325 (2000) du Conseil de sécurité sur les femmes, la paix et la sécurité</w:t>
      </w:r>
      <w:r w:rsidR="0023305E" w:rsidRPr="008D3DE0">
        <w:rPr>
          <w:b/>
        </w:rPr>
        <w:t>,</w:t>
      </w:r>
      <w:r w:rsidRPr="008D3DE0">
        <w:rPr>
          <w:b/>
        </w:rPr>
        <w:t xml:space="preserve"> et </w:t>
      </w:r>
      <w:r w:rsidR="0023305E" w:rsidRPr="008D3DE0">
        <w:rPr>
          <w:b/>
        </w:rPr>
        <w:t>aux</w:t>
      </w:r>
      <w:r w:rsidRPr="008D3DE0">
        <w:rPr>
          <w:b/>
        </w:rPr>
        <w:t xml:space="preserve"> observations finales du Comité </w:t>
      </w:r>
      <w:r w:rsidR="0023305E" w:rsidRPr="008D3DE0">
        <w:rPr>
          <w:b/>
        </w:rPr>
        <w:t>des</w:t>
      </w:r>
      <w:r w:rsidRPr="008D3DE0">
        <w:rPr>
          <w:b/>
        </w:rPr>
        <w:t xml:space="preserve"> droits économiques</w:t>
      </w:r>
      <w:r w:rsidR="0023305E" w:rsidRPr="008D3DE0">
        <w:rPr>
          <w:b/>
        </w:rPr>
        <w:t>,</w:t>
      </w:r>
      <w:r w:rsidRPr="008D3DE0">
        <w:rPr>
          <w:b/>
        </w:rPr>
        <w:t xml:space="preserve"> sociaux et culturels (E/C.12/CAF/CO/1, par.</w:t>
      </w:r>
      <w:r w:rsidR="0023305E" w:rsidRPr="008D3DE0">
        <w:rPr>
          <w:b/>
        </w:rPr>
        <w:t> </w:t>
      </w:r>
      <w:r w:rsidRPr="008D3DE0">
        <w:rPr>
          <w:b/>
        </w:rPr>
        <w:t>14),</w:t>
      </w:r>
      <w:r w:rsidR="00D340DF" w:rsidRPr="008D3DE0">
        <w:rPr>
          <w:b/>
        </w:rPr>
        <w:t xml:space="preserve"> </w:t>
      </w:r>
      <w:r w:rsidRPr="008D3DE0">
        <w:rPr>
          <w:b/>
        </w:rPr>
        <w:t>l’État partie devrait</w:t>
      </w:r>
      <w:r w:rsidR="005A3C69" w:rsidRPr="008D3DE0">
        <w:rPr>
          <w:b/>
        </w:rPr>
        <w:t> </w:t>
      </w:r>
      <w:r w:rsidRPr="008D3DE0">
        <w:rPr>
          <w:b/>
        </w:rPr>
        <w:t xml:space="preserve">: </w:t>
      </w:r>
    </w:p>
    <w:p w14:paraId="4B2C7D51" w14:textId="176D673D" w:rsidR="00C4067E" w:rsidRPr="008D3DE0" w:rsidRDefault="00C4067E" w:rsidP="00B23DE8">
      <w:pPr>
        <w:pStyle w:val="SingleTxtG"/>
        <w:tabs>
          <w:tab w:val="left" w:pos="2268"/>
        </w:tabs>
        <w:ind w:firstLine="567"/>
        <w:rPr>
          <w:b/>
        </w:rPr>
      </w:pPr>
      <w:r w:rsidRPr="008D3DE0">
        <w:rPr>
          <w:b/>
        </w:rPr>
        <w:t>a)</w:t>
      </w:r>
      <w:r w:rsidRPr="008D3DE0">
        <w:rPr>
          <w:b/>
        </w:rPr>
        <w:tab/>
        <w:t>Abroger toutes les dispositions</w:t>
      </w:r>
      <w:r w:rsidR="0023305E" w:rsidRPr="008D3DE0">
        <w:rPr>
          <w:b/>
        </w:rPr>
        <w:t>,</w:t>
      </w:r>
      <w:r w:rsidRPr="008D3DE0">
        <w:rPr>
          <w:b/>
        </w:rPr>
        <w:t xml:space="preserve"> notamment du </w:t>
      </w:r>
      <w:r w:rsidR="0023305E" w:rsidRPr="008D3DE0">
        <w:rPr>
          <w:b/>
        </w:rPr>
        <w:t>C</w:t>
      </w:r>
      <w:r w:rsidRPr="008D3DE0">
        <w:rPr>
          <w:b/>
        </w:rPr>
        <w:t xml:space="preserve">ode de la famille et du </w:t>
      </w:r>
      <w:r w:rsidR="0023305E" w:rsidRPr="008D3DE0">
        <w:rPr>
          <w:b/>
        </w:rPr>
        <w:t>C</w:t>
      </w:r>
      <w:r w:rsidRPr="008D3DE0">
        <w:rPr>
          <w:b/>
        </w:rPr>
        <w:t xml:space="preserve">ode pénal, y compris l’article 105 du </w:t>
      </w:r>
      <w:r w:rsidR="0023305E" w:rsidRPr="008D3DE0">
        <w:rPr>
          <w:b/>
        </w:rPr>
        <w:t>Code pénal,</w:t>
      </w:r>
      <w:r w:rsidRPr="008D3DE0">
        <w:rPr>
          <w:b/>
        </w:rPr>
        <w:t xml:space="preserve"> qui favorise</w:t>
      </w:r>
      <w:r w:rsidR="0023305E" w:rsidRPr="008D3DE0">
        <w:rPr>
          <w:b/>
        </w:rPr>
        <w:t>nt</w:t>
      </w:r>
      <w:r w:rsidRPr="008D3DE0">
        <w:rPr>
          <w:b/>
        </w:rPr>
        <w:t xml:space="preserve"> </w:t>
      </w:r>
      <w:r w:rsidR="0023305E" w:rsidRPr="008D3DE0">
        <w:rPr>
          <w:b/>
        </w:rPr>
        <w:t>les</w:t>
      </w:r>
      <w:r w:rsidRPr="008D3DE0">
        <w:rPr>
          <w:b/>
        </w:rPr>
        <w:t xml:space="preserve"> atteintes à l’intégrité des femmes et des filles ;</w:t>
      </w:r>
    </w:p>
    <w:p w14:paraId="04D07A33" w14:textId="5B1E57C4" w:rsidR="00C4067E" w:rsidRPr="008D3DE0" w:rsidRDefault="00C4067E" w:rsidP="00B23DE8">
      <w:pPr>
        <w:pStyle w:val="SingleTxtG"/>
        <w:tabs>
          <w:tab w:val="left" w:pos="2268"/>
        </w:tabs>
        <w:ind w:firstLine="567"/>
        <w:rPr>
          <w:b/>
        </w:rPr>
      </w:pPr>
      <w:r w:rsidRPr="008D3DE0">
        <w:rPr>
          <w:b/>
        </w:rPr>
        <w:t>b)</w:t>
      </w:r>
      <w:r w:rsidRPr="008D3DE0">
        <w:rPr>
          <w:b/>
        </w:rPr>
        <w:tab/>
        <w:t xml:space="preserve">Renforcer les moyens d’action de </w:t>
      </w:r>
      <w:r w:rsidR="008D4133" w:rsidRPr="008D3DE0">
        <w:rPr>
          <w:b/>
        </w:rPr>
        <w:t xml:space="preserve">l’Unité mixte </w:t>
      </w:r>
      <w:r w:rsidR="0023305E" w:rsidRPr="008D3DE0">
        <w:rPr>
          <w:b/>
        </w:rPr>
        <w:t xml:space="preserve">d’intervention </w:t>
      </w:r>
      <w:r w:rsidR="008D4133" w:rsidRPr="008D3DE0">
        <w:rPr>
          <w:b/>
        </w:rPr>
        <w:t>rapide et de r</w:t>
      </w:r>
      <w:r w:rsidRPr="008D3DE0">
        <w:rPr>
          <w:b/>
        </w:rPr>
        <w:t xml:space="preserve">épression des violences sexuelles faites aux femmes et aux enfants pour que tous les </w:t>
      </w:r>
      <w:r w:rsidRPr="008D3DE0">
        <w:rPr>
          <w:b/>
        </w:rPr>
        <w:lastRenderedPageBreak/>
        <w:t>cas de violences sexuelles, y compris le mariage des enfants et les mutilations génitales féminines, fassent l’objet d’une enquête, que les auteurs de ces violences soient traduits en justice et qu’ils soient punis s’ils sont recon</w:t>
      </w:r>
      <w:r w:rsidR="006D7914" w:rsidRPr="008D3DE0">
        <w:rPr>
          <w:b/>
        </w:rPr>
        <w:t>nus coupables </w:t>
      </w:r>
      <w:r w:rsidRPr="008D3DE0">
        <w:rPr>
          <w:b/>
        </w:rPr>
        <w:t>;</w:t>
      </w:r>
    </w:p>
    <w:p w14:paraId="4CECADF9" w14:textId="3619D46B" w:rsidR="00C4067E" w:rsidRPr="008D3DE0" w:rsidRDefault="005A3C69" w:rsidP="00B23DE8">
      <w:pPr>
        <w:pStyle w:val="SingleTxtG"/>
        <w:tabs>
          <w:tab w:val="left" w:pos="2268"/>
        </w:tabs>
        <w:ind w:firstLine="567"/>
        <w:rPr>
          <w:b/>
        </w:rPr>
      </w:pPr>
      <w:r w:rsidRPr="008D3DE0">
        <w:rPr>
          <w:b/>
        </w:rPr>
        <w:t>c</w:t>
      </w:r>
      <w:r w:rsidR="00C4067E" w:rsidRPr="008D3DE0">
        <w:rPr>
          <w:b/>
        </w:rPr>
        <w:t>)</w:t>
      </w:r>
      <w:r w:rsidR="00C4067E" w:rsidRPr="008D3DE0">
        <w:rPr>
          <w:b/>
        </w:rPr>
        <w:tab/>
        <w:t>Sensibiliser la population, en particulier les chefs traditionnels et les responsables religieux, aux conséquences néfastes et à long terme des violences faites aux femmes et aux filles ;</w:t>
      </w:r>
    </w:p>
    <w:p w14:paraId="2EDB132F" w14:textId="743D39F6" w:rsidR="00C4067E" w:rsidRPr="008D3DE0" w:rsidRDefault="005A3C69" w:rsidP="00B23DE8">
      <w:pPr>
        <w:pStyle w:val="SingleTxtG"/>
        <w:tabs>
          <w:tab w:val="left" w:pos="2268"/>
        </w:tabs>
        <w:ind w:firstLine="567"/>
      </w:pPr>
      <w:r w:rsidRPr="008D3DE0">
        <w:rPr>
          <w:b/>
        </w:rPr>
        <w:t>d</w:t>
      </w:r>
      <w:r w:rsidR="00C4067E" w:rsidRPr="008D3DE0">
        <w:rPr>
          <w:b/>
        </w:rPr>
        <w:t>)</w:t>
      </w:r>
      <w:r w:rsidR="00C4067E" w:rsidRPr="008D3DE0">
        <w:rPr>
          <w:b/>
        </w:rPr>
        <w:tab/>
        <w:t xml:space="preserve">S’assurer qu’une aide juridique, médicale, financière et psychologique </w:t>
      </w:r>
      <w:r w:rsidR="0023305E" w:rsidRPr="008D3DE0">
        <w:rPr>
          <w:b/>
        </w:rPr>
        <w:t>de même que</w:t>
      </w:r>
      <w:r w:rsidR="00C4067E" w:rsidRPr="008D3DE0">
        <w:rPr>
          <w:b/>
        </w:rPr>
        <w:t xml:space="preserve"> l’accès à des recours utiles et à des mesures de protection so</w:t>
      </w:r>
      <w:r w:rsidR="008D4133" w:rsidRPr="008D3DE0">
        <w:rPr>
          <w:b/>
        </w:rPr>
        <w:t>ien</w:t>
      </w:r>
      <w:r w:rsidR="00C4067E" w:rsidRPr="008D3DE0">
        <w:rPr>
          <w:b/>
        </w:rPr>
        <w:t>t octroyés aux victimes</w:t>
      </w:r>
      <w:r w:rsidR="006D7914" w:rsidRPr="008D3DE0">
        <w:rPr>
          <w:b/>
        </w:rPr>
        <w:t> </w:t>
      </w:r>
      <w:r w:rsidR="00C4067E" w:rsidRPr="008D3DE0">
        <w:rPr>
          <w:b/>
        </w:rPr>
        <w:t>;</w:t>
      </w:r>
    </w:p>
    <w:p w14:paraId="257BB0DE" w14:textId="3409B7DB" w:rsidR="00C4067E" w:rsidRPr="008D3DE0" w:rsidRDefault="005A3C69" w:rsidP="00B23DE8">
      <w:pPr>
        <w:pStyle w:val="SingleTxtG"/>
        <w:tabs>
          <w:tab w:val="left" w:pos="2268"/>
        </w:tabs>
        <w:ind w:firstLine="567"/>
        <w:rPr>
          <w:b/>
        </w:rPr>
      </w:pPr>
      <w:r w:rsidRPr="008D3DE0">
        <w:rPr>
          <w:b/>
        </w:rPr>
        <w:t>e</w:t>
      </w:r>
      <w:r w:rsidR="00C4067E" w:rsidRPr="008D3DE0">
        <w:rPr>
          <w:b/>
        </w:rPr>
        <w:t>)</w:t>
      </w:r>
      <w:r w:rsidR="00C4067E" w:rsidRPr="008D3DE0">
        <w:tab/>
      </w:r>
      <w:r w:rsidR="00C4067E" w:rsidRPr="008D3DE0">
        <w:rPr>
          <w:b/>
        </w:rPr>
        <w:t>Accélérer la formation des juges et des procureurs</w:t>
      </w:r>
      <w:r w:rsidR="0023305E" w:rsidRPr="008D3DE0">
        <w:rPr>
          <w:b/>
        </w:rPr>
        <w:t>,</w:t>
      </w:r>
      <w:r w:rsidR="00C4067E" w:rsidRPr="008D3DE0">
        <w:rPr>
          <w:b/>
        </w:rPr>
        <w:t xml:space="preserve"> y compris </w:t>
      </w:r>
      <w:r w:rsidR="0023305E" w:rsidRPr="008D3DE0">
        <w:rPr>
          <w:b/>
        </w:rPr>
        <w:t xml:space="preserve">ceux </w:t>
      </w:r>
      <w:r w:rsidR="00C4067E" w:rsidRPr="008D3DE0">
        <w:rPr>
          <w:b/>
        </w:rPr>
        <w:t xml:space="preserve">de la Cour </w:t>
      </w:r>
      <w:r w:rsidR="00E50C2A" w:rsidRPr="008D3DE0">
        <w:rPr>
          <w:b/>
        </w:rPr>
        <w:t>p</w:t>
      </w:r>
      <w:r w:rsidR="00C4067E" w:rsidRPr="008D3DE0">
        <w:rPr>
          <w:b/>
        </w:rPr>
        <w:t xml:space="preserve">énale </w:t>
      </w:r>
      <w:r w:rsidR="00E50C2A" w:rsidRPr="008D3DE0">
        <w:rPr>
          <w:b/>
        </w:rPr>
        <w:t>s</w:t>
      </w:r>
      <w:r w:rsidR="00C4067E" w:rsidRPr="008D3DE0">
        <w:rPr>
          <w:b/>
        </w:rPr>
        <w:t>péciale</w:t>
      </w:r>
      <w:r w:rsidR="0023305E" w:rsidRPr="008D3DE0">
        <w:rPr>
          <w:b/>
        </w:rPr>
        <w:t>,</w:t>
      </w:r>
      <w:r w:rsidR="00C4067E" w:rsidRPr="008D3DE0">
        <w:rPr>
          <w:b/>
        </w:rPr>
        <w:t xml:space="preserve"> et des agents des forces de l’ordre pour leur permett</w:t>
      </w:r>
      <w:r w:rsidR="0023305E" w:rsidRPr="008D3DE0">
        <w:rPr>
          <w:b/>
        </w:rPr>
        <w:t>r</w:t>
      </w:r>
      <w:r w:rsidR="00C4067E" w:rsidRPr="008D3DE0">
        <w:rPr>
          <w:b/>
        </w:rPr>
        <w:t>e de traiter les affaires de violence à l’égard des femmes et de violence</w:t>
      </w:r>
      <w:r w:rsidR="0023305E" w:rsidRPr="008D3DE0">
        <w:rPr>
          <w:b/>
        </w:rPr>
        <w:t>s</w:t>
      </w:r>
      <w:r w:rsidR="00C4067E" w:rsidRPr="008D3DE0">
        <w:rPr>
          <w:b/>
        </w:rPr>
        <w:t xml:space="preserve"> familiale</w:t>
      </w:r>
      <w:r w:rsidR="0023305E" w:rsidRPr="008D3DE0">
        <w:rPr>
          <w:b/>
        </w:rPr>
        <w:t>s</w:t>
      </w:r>
      <w:r w:rsidR="00C4067E" w:rsidRPr="008D3DE0">
        <w:rPr>
          <w:b/>
        </w:rPr>
        <w:t xml:space="preserve"> de manière efficace et en tenant compte des considérations de genre ;</w:t>
      </w:r>
    </w:p>
    <w:p w14:paraId="153CF05F" w14:textId="73DF1204" w:rsidR="00C4067E" w:rsidRPr="008D3DE0" w:rsidRDefault="005A3C69" w:rsidP="00B23DE8">
      <w:pPr>
        <w:pStyle w:val="SingleTxtG"/>
        <w:tabs>
          <w:tab w:val="left" w:pos="2268"/>
        </w:tabs>
        <w:ind w:firstLine="567"/>
        <w:rPr>
          <w:b/>
        </w:rPr>
      </w:pPr>
      <w:r w:rsidRPr="008D3DE0">
        <w:rPr>
          <w:b/>
        </w:rPr>
        <w:t>f</w:t>
      </w:r>
      <w:r w:rsidR="00C4067E" w:rsidRPr="008D3DE0">
        <w:rPr>
          <w:b/>
        </w:rPr>
        <w:t>)</w:t>
      </w:r>
      <w:r w:rsidR="00C4067E" w:rsidRPr="008D3DE0">
        <w:rPr>
          <w:b/>
        </w:rPr>
        <w:tab/>
        <w:t>Mettre en place un système fiable de collecte de données statistiques ventilées sur la violence à l’égard des femmes</w:t>
      </w:r>
      <w:r w:rsidR="00E50C2A" w:rsidRPr="008D3DE0">
        <w:rPr>
          <w:b/>
        </w:rPr>
        <w:t xml:space="preserve"> et les pratiques préjudiciables</w:t>
      </w:r>
      <w:r w:rsidR="00C4067E" w:rsidRPr="008D3DE0">
        <w:rPr>
          <w:b/>
        </w:rPr>
        <w:t>.</w:t>
      </w:r>
    </w:p>
    <w:p w14:paraId="5DDE1712" w14:textId="01641CA4" w:rsidR="00C4067E" w:rsidRPr="008D3DE0" w:rsidRDefault="00C4067E" w:rsidP="00C4067E">
      <w:pPr>
        <w:pStyle w:val="H23G"/>
        <w:rPr>
          <w:lang w:val="fr-FR"/>
        </w:rPr>
      </w:pPr>
      <w:r w:rsidRPr="008D3DE0">
        <w:rPr>
          <w:lang w:val="fr-FR"/>
        </w:rPr>
        <w:tab/>
      </w:r>
      <w:r w:rsidRPr="008D3DE0">
        <w:rPr>
          <w:lang w:val="fr-FR"/>
        </w:rPr>
        <w:tab/>
        <w:t>Mortalité maternelle et infantile</w:t>
      </w:r>
      <w:r w:rsidR="0023305E" w:rsidRPr="008D3DE0">
        <w:rPr>
          <w:lang w:val="fr-FR"/>
        </w:rPr>
        <w:t>,</w:t>
      </w:r>
      <w:r w:rsidRPr="008D3DE0">
        <w:rPr>
          <w:lang w:val="fr-FR"/>
        </w:rPr>
        <w:t xml:space="preserve"> et interruption volontaire de grossesse</w:t>
      </w:r>
    </w:p>
    <w:p w14:paraId="2C27EDF9" w14:textId="635DB162" w:rsidR="00C4067E" w:rsidRPr="008D3DE0" w:rsidRDefault="00C4067E" w:rsidP="0096622E">
      <w:pPr>
        <w:pStyle w:val="SingleTxtG"/>
        <w:tabs>
          <w:tab w:val="left" w:pos="1701"/>
          <w:tab w:val="left" w:pos="1843"/>
          <w:tab w:val="left" w:pos="2127"/>
        </w:tabs>
      </w:pPr>
      <w:r w:rsidRPr="008D3DE0">
        <w:t>15.</w:t>
      </w:r>
      <w:r w:rsidRPr="008D3DE0">
        <w:tab/>
      </w:r>
      <w:r w:rsidR="00D95E79" w:rsidRPr="008D3DE0">
        <w:t>Compte tenu de la prévalence</w:t>
      </w:r>
      <w:r w:rsidR="005D0404" w:rsidRPr="008D3DE0">
        <w:t xml:space="preserve"> élevée</w:t>
      </w:r>
      <w:r w:rsidR="00D95E79" w:rsidRPr="008D3DE0">
        <w:t xml:space="preserve"> de </w:t>
      </w:r>
      <w:r w:rsidR="005D0404" w:rsidRPr="008D3DE0">
        <w:t xml:space="preserve">la </w:t>
      </w:r>
      <w:r w:rsidR="00D95E79" w:rsidRPr="008D3DE0">
        <w:t>mortalité maternelle et des allégations de recours aux avortements clandestins non</w:t>
      </w:r>
      <w:r w:rsidR="005D0404" w:rsidRPr="008D3DE0">
        <w:t xml:space="preserve"> </w:t>
      </w:r>
      <w:r w:rsidR="00D95E79" w:rsidRPr="008D3DE0">
        <w:t>sécurisés, dans des conditions qui mettent la vie et la santé des femmes en danger, le Comité regrette que l’interruption thérapeutique de grossesse prévue par le</w:t>
      </w:r>
      <w:r w:rsidRPr="008D3DE0">
        <w:t xml:space="preserve"> </w:t>
      </w:r>
      <w:r w:rsidR="005D0404" w:rsidRPr="008D3DE0">
        <w:t>C</w:t>
      </w:r>
      <w:r w:rsidRPr="008D3DE0">
        <w:t>ode pénal ne permette qu’une fenêtre temporelle restreinte et conditionne son recours à la décision d’un collège de professionnels (art. 3, 6, 7, 17 et 26).</w:t>
      </w:r>
    </w:p>
    <w:p w14:paraId="12E13A88" w14:textId="59C723FC" w:rsidR="00C4067E" w:rsidRPr="008D3DE0" w:rsidRDefault="00C4067E" w:rsidP="0096622E">
      <w:pPr>
        <w:pStyle w:val="SingleTxtG"/>
        <w:tabs>
          <w:tab w:val="left" w:pos="1701"/>
          <w:tab w:val="left" w:pos="1843"/>
          <w:tab w:val="left" w:pos="2127"/>
        </w:tabs>
      </w:pPr>
      <w:r w:rsidRPr="008D3DE0">
        <w:t>16</w:t>
      </w:r>
      <w:r w:rsidR="006D7914" w:rsidRPr="008D3DE0">
        <w:t>.</w:t>
      </w:r>
      <w:r w:rsidR="0096622E" w:rsidRPr="008D3DE0">
        <w:tab/>
      </w:r>
      <w:r w:rsidRPr="008D3DE0">
        <w:rPr>
          <w:b/>
        </w:rPr>
        <w:t xml:space="preserve">L’État partie devrait modifier sa législation en vue de garantir un accès sécurisé, légal et effectif à l’avortement lorsque la vie et la santé de la femme ou fille enceinte sont en danger </w:t>
      </w:r>
      <w:r w:rsidR="003A2B8D" w:rsidRPr="008D3DE0">
        <w:rPr>
          <w:b/>
        </w:rPr>
        <w:t>et lorsque</w:t>
      </w:r>
      <w:r w:rsidRPr="008D3DE0">
        <w:rPr>
          <w:b/>
        </w:rPr>
        <w:t xml:space="preserve"> le fait de mener la grossesse à terme causerait pour la femme ou la fille une douleur ou une souffrance considérable, tout particulièrement lorsque la grossesse résulte d’un viol ou d’un inceste ou n’est pas viable. Il devrait également veiller à ce que les femmes et les filles ayant recours à l’avortement ainsi que les médecins qui les aident ne fassent pas l’objet de sanctions pénales, étant donné que de telles sanctions contraignent les femmes et les filles à recourir à l’avortement non sécurisé. L’</w:t>
      </w:r>
      <w:r w:rsidRPr="008D3DE0">
        <w:rPr>
          <w:b/>
          <w:bCs/>
        </w:rPr>
        <w:t>É</w:t>
      </w:r>
      <w:r w:rsidRPr="008D3DE0">
        <w:rPr>
          <w:b/>
        </w:rPr>
        <w:t>tat partie devrait en outre mettre en œuvre des politiques de sensibilisation afin de lutter contre la stigmatisation des femmes et des filles qui ont recours à un avortement</w:t>
      </w:r>
      <w:r w:rsidR="005D0404" w:rsidRPr="008D3DE0">
        <w:rPr>
          <w:b/>
        </w:rPr>
        <w:t>,</w:t>
      </w:r>
      <w:r w:rsidRPr="008D3DE0">
        <w:rPr>
          <w:b/>
        </w:rPr>
        <w:t xml:space="preserve"> et veiller à ce que toutes les femmes et </w:t>
      </w:r>
      <w:r w:rsidR="005D0404" w:rsidRPr="008D3DE0">
        <w:rPr>
          <w:b/>
        </w:rPr>
        <w:t xml:space="preserve">les </w:t>
      </w:r>
      <w:r w:rsidRPr="008D3DE0">
        <w:rPr>
          <w:b/>
        </w:rPr>
        <w:t>filles aient accès à la contraception et à des services de santé procréative adaptés et à un prix abordable.</w:t>
      </w:r>
    </w:p>
    <w:p w14:paraId="658F3B69" w14:textId="77777777" w:rsidR="00C4067E" w:rsidRPr="008D3DE0" w:rsidRDefault="00C4067E" w:rsidP="00C4067E">
      <w:pPr>
        <w:pStyle w:val="H23G"/>
        <w:rPr>
          <w:lang w:val="fr-FR"/>
        </w:rPr>
      </w:pPr>
      <w:r w:rsidRPr="008D3DE0">
        <w:rPr>
          <w:lang w:val="fr-FR"/>
        </w:rPr>
        <w:tab/>
      </w:r>
      <w:r w:rsidRPr="008D3DE0">
        <w:rPr>
          <w:lang w:val="fr-FR"/>
        </w:rPr>
        <w:tab/>
        <w:t>Peine de mort</w:t>
      </w:r>
    </w:p>
    <w:p w14:paraId="42E71A57" w14:textId="4E042CEE" w:rsidR="00C4067E" w:rsidRPr="008D3DE0" w:rsidRDefault="00C4067E" w:rsidP="0096622E">
      <w:pPr>
        <w:pStyle w:val="SingleTxtG"/>
        <w:tabs>
          <w:tab w:val="left" w:pos="1701"/>
          <w:tab w:val="left" w:pos="1843"/>
          <w:tab w:val="left" w:pos="2127"/>
        </w:tabs>
      </w:pPr>
      <w:r w:rsidRPr="008D3DE0">
        <w:rPr>
          <w:lang w:val="fr-FR"/>
        </w:rPr>
        <w:t>17.</w:t>
      </w:r>
      <w:r w:rsidR="0096622E" w:rsidRPr="008D3DE0">
        <w:rPr>
          <w:lang w:val="fr-FR"/>
        </w:rPr>
        <w:tab/>
      </w:r>
      <w:r w:rsidRPr="008D3DE0">
        <w:t xml:space="preserve">Tout en saluant le moratoire </w:t>
      </w:r>
      <w:r w:rsidRPr="00B23DE8">
        <w:rPr>
          <w:iCs/>
        </w:rPr>
        <w:t>de facto</w:t>
      </w:r>
      <w:r w:rsidRPr="008D3DE0">
        <w:t xml:space="preserve"> appliqué par l’État partie se traduisant par l’absence d’exécutions depuis 1981, le Comité demeure préoccupé par : a)</w:t>
      </w:r>
      <w:r w:rsidR="00EE540C">
        <w:t> </w:t>
      </w:r>
      <w:r w:rsidRPr="008D3DE0">
        <w:t>le fait que des condamnations à mort sont encore prononcées ; et b)</w:t>
      </w:r>
      <w:r w:rsidR="00EE540C">
        <w:t> </w:t>
      </w:r>
      <w:r w:rsidRPr="008D3DE0">
        <w:t>l’absence d’avancée dans l’adoption d’une loi abolissant la peine de mort (art. 6).</w:t>
      </w:r>
    </w:p>
    <w:p w14:paraId="36EA445D" w14:textId="52B90B8D" w:rsidR="00C4067E" w:rsidRPr="008D3DE0" w:rsidRDefault="00C4067E" w:rsidP="0096622E">
      <w:pPr>
        <w:pStyle w:val="SingleTxtG"/>
        <w:tabs>
          <w:tab w:val="left" w:pos="1701"/>
          <w:tab w:val="left" w:pos="1843"/>
          <w:tab w:val="left" w:pos="2127"/>
        </w:tabs>
        <w:rPr>
          <w:b/>
        </w:rPr>
      </w:pPr>
      <w:r w:rsidRPr="008D3DE0">
        <w:t>18.</w:t>
      </w:r>
      <w:r w:rsidRPr="008D3DE0">
        <w:tab/>
      </w:r>
      <w:r w:rsidR="00DC29EE" w:rsidRPr="008D3DE0">
        <w:rPr>
          <w:b/>
        </w:rPr>
        <w:t>Dans la continuité des</w:t>
      </w:r>
      <w:r w:rsidRPr="008D3DE0">
        <w:rPr>
          <w:b/>
        </w:rPr>
        <w:t xml:space="preserve"> précédentes observations finales </w:t>
      </w:r>
      <w:r w:rsidR="005D0404" w:rsidRPr="008D3DE0">
        <w:rPr>
          <w:b/>
        </w:rPr>
        <w:t xml:space="preserve">du Comité </w:t>
      </w:r>
      <w:r w:rsidRPr="008D3DE0">
        <w:rPr>
          <w:b/>
        </w:rPr>
        <w:t>(CCPR/C/CAF/CO/2, par.</w:t>
      </w:r>
      <w:r w:rsidR="00EE540C">
        <w:rPr>
          <w:b/>
        </w:rPr>
        <w:t> </w:t>
      </w:r>
      <w:r w:rsidRPr="008D3DE0">
        <w:rPr>
          <w:b/>
        </w:rPr>
        <w:t>13), l’État partie devrait envisager d’entamer un processus politique et législatif visant à abolir la peine de mort</w:t>
      </w:r>
      <w:r w:rsidR="00DC29EE" w:rsidRPr="008D3DE0">
        <w:rPr>
          <w:b/>
        </w:rPr>
        <w:t>,</w:t>
      </w:r>
      <w:r w:rsidRPr="008D3DE0">
        <w:rPr>
          <w:b/>
        </w:rPr>
        <w:t xml:space="preserve"> et mettre en place des mesures de sensibilisation de l’opinion publique et des campagnes en faveur de son abolition. Il</w:t>
      </w:r>
      <w:r w:rsidR="003D3A0B">
        <w:rPr>
          <w:b/>
        </w:rPr>
        <w:t> </w:t>
      </w:r>
      <w:r w:rsidRPr="008D3DE0">
        <w:rPr>
          <w:b/>
        </w:rPr>
        <w:t xml:space="preserve">devrait </w:t>
      </w:r>
      <w:r w:rsidR="00DC29EE" w:rsidRPr="008D3DE0">
        <w:rPr>
          <w:b/>
        </w:rPr>
        <w:t xml:space="preserve">également </w:t>
      </w:r>
      <w:r w:rsidRPr="008D3DE0">
        <w:rPr>
          <w:b/>
        </w:rPr>
        <w:t xml:space="preserve">envisager d’adhérer au deuxième Protocole facultatif se rapportant au Pacte, visant à abolir la peine de mort. </w:t>
      </w:r>
    </w:p>
    <w:p w14:paraId="544D6592" w14:textId="43D7D445" w:rsidR="00C4067E" w:rsidRPr="008D3DE0" w:rsidRDefault="0096622E" w:rsidP="0096622E">
      <w:pPr>
        <w:pStyle w:val="H23G"/>
      </w:pPr>
      <w:r w:rsidRPr="008D3DE0">
        <w:tab/>
      </w:r>
      <w:r w:rsidRPr="008D3DE0">
        <w:tab/>
      </w:r>
      <w:r w:rsidR="00C4067E" w:rsidRPr="008D3DE0">
        <w:t>Droit à la vie et protection des populations civiles</w:t>
      </w:r>
    </w:p>
    <w:p w14:paraId="383E7E50" w14:textId="61BACB4F" w:rsidR="00C4067E" w:rsidRPr="008D3DE0" w:rsidRDefault="00C4067E" w:rsidP="0096622E">
      <w:pPr>
        <w:pStyle w:val="SingleTxtG"/>
        <w:tabs>
          <w:tab w:val="left" w:pos="1701"/>
          <w:tab w:val="left" w:pos="1843"/>
          <w:tab w:val="left" w:pos="2127"/>
        </w:tabs>
        <w:rPr>
          <w:spacing w:val="-2"/>
        </w:rPr>
      </w:pPr>
      <w:r w:rsidRPr="008D3DE0">
        <w:rPr>
          <w:spacing w:val="-2"/>
        </w:rPr>
        <w:t>19.</w:t>
      </w:r>
      <w:r w:rsidRPr="008D3DE0">
        <w:rPr>
          <w:spacing w:val="-2"/>
        </w:rPr>
        <w:tab/>
        <w:t>Tout en notant les efforts menés par l’</w:t>
      </w:r>
      <w:r w:rsidR="00450276" w:rsidRPr="008D3DE0">
        <w:rPr>
          <w:spacing w:val="-2"/>
        </w:rPr>
        <w:t>État</w:t>
      </w:r>
      <w:r w:rsidRPr="008D3DE0">
        <w:rPr>
          <w:spacing w:val="-2"/>
        </w:rPr>
        <w:t xml:space="preserve"> partie pour enquêter sur certaines exécutions extrajudiciaires commises depuis 2013, le Comité regrette le caractère non</w:t>
      </w:r>
      <w:r w:rsidR="00DC29EE" w:rsidRPr="008D3DE0">
        <w:rPr>
          <w:spacing w:val="-2"/>
        </w:rPr>
        <w:t xml:space="preserve"> </w:t>
      </w:r>
      <w:r w:rsidRPr="008D3DE0">
        <w:rPr>
          <w:spacing w:val="-2"/>
        </w:rPr>
        <w:t>systématique de ces enquêtes</w:t>
      </w:r>
      <w:r w:rsidR="002E1260" w:rsidRPr="008D3DE0">
        <w:rPr>
          <w:spacing w:val="-2"/>
        </w:rPr>
        <w:t>,</w:t>
      </w:r>
      <w:r w:rsidRPr="008D3DE0">
        <w:rPr>
          <w:spacing w:val="-2"/>
        </w:rPr>
        <w:t xml:space="preserve"> notamment s’agissant des allégations de violations commises par l’Office </w:t>
      </w:r>
      <w:r w:rsidR="00A91744" w:rsidRPr="008D3DE0">
        <w:rPr>
          <w:spacing w:val="-2"/>
        </w:rPr>
        <w:t>c</w:t>
      </w:r>
      <w:r w:rsidRPr="008D3DE0">
        <w:rPr>
          <w:spacing w:val="-2"/>
        </w:rPr>
        <w:t xml:space="preserve">entrafricain de </w:t>
      </w:r>
      <w:r w:rsidR="00A91744" w:rsidRPr="008D3DE0">
        <w:rPr>
          <w:spacing w:val="-2"/>
        </w:rPr>
        <w:t>r</w:t>
      </w:r>
      <w:r w:rsidRPr="008D3DE0">
        <w:rPr>
          <w:spacing w:val="-2"/>
        </w:rPr>
        <w:t xml:space="preserve">épression du </w:t>
      </w:r>
      <w:r w:rsidR="00A91744" w:rsidRPr="008D3DE0">
        <w:rPr>
          <w:spacing w:val="-2"/>
        </w:rPr>
        <w:t>b</w:t>
      </w:r>
      <w:r w:rsidRPr="008D3DE0">
        <w:rPr>
          <w:spacing w:val="-2"/>
        </w:rPr>
        <w:t xml:space="preserve">anditisme et </w:t>
      </w:r>
      <w:r w:rsidR="00F5597B" w:rsidRPr="008D3DE0">
        <w:rPr>
          <w:spacing w:val="-2"/>
        </w:rPr>
        <w:t xml:space="preserve">de </w:t>
      </w:r>
      <w:r w:rsidRPr="008D3DE0">
        <w:rPr>
          <w:spacing w:val="-2"/>
        </w:rPr>
        <w:t xml:space="preserve">celles commises par des soldats de la paix </w:t>
      </w:r>
      <w:r w:rsidR="00F5597B" w:rsidRPr="008D3DE0">
        <w:rPr>
          <w:spacing w:val="-2"/>
        </w:rPr>
        <w:t xml:space="preserve">congolais </w:t>
      </w:r>
      <w:r w:rsidRPr="008D3DE0">
        <w:rPr>
          <w:spacing w:val="-2"/>
        </w:rPr>
        <w:t xml:space="preserve">de l’Union </w:t>
      </w:r>
      <w:r w:rsidR="00A91744" w:rsidRPr="008D3DE0">
        <w:rPr>
          <w:spacing w:val="-2"/>
        </w:rPr>
        <w:t>a</w:t>
      </w:r>
      <w:r w:rsidRPr="008D3DE0">
        <w:rPr>
          <w:spacing w:val="-2"/>
        </w:rPr>
        <w:t>fricaine</w:t>
      </w:r>
      <w:r w:rsidR="003A2B8D" w:rsidRPr="008D3DE0">
        <w:rPr>
          <w:spacing w:val="-2"/>
        </w:rPr>
        <w:t xml:space="preserve"> </w:t>
      </w:r>
      <w:r w:rsidRPr="008D3DE0">
        <w:rPr>
          <w:spacing w:val="-2"/>
        </w:rPr>
        <w:t>à</w:t>
      </w:r>
      <w:r w:rsidR="003A2B8D" w:rsidRPr="008D3DE0">
        <w:rPr>
          <w:spacing w:val="-2"/>
        </w:rPr>
        <w:t xml:space="preserve"> </w:t>
      </w:r>
      <w:proofErr w:type="spellStart"/>
      <w:r w:rsidRPr="008D3DE0">
        <w:rPr>
          <w:spacing w:val="-2"/>
        </w:rPr>
        <w:t>Boali</w:t>
      </w:r>
      <w:proofErr w:type="spellEnd"/>
      <w:r w:rsidR="00F5597B" w:rsidRPr="008D3DE0">
        <w:rPr>
          <w:spacing w:val="-2"/>
        </w:rPr>
        <w:t>,</w:t>
      </w:r>
      <w:r w:rsidR="003A2B8D" w:rsidRPr="008D3DE0">
        <w:rPr>
          <w:spacing w:val="-2"/>
        </w:rPr>
        <w:t xml:space="preserve"> </w:t>
      </w:r>
      <w:r w:rsidRPr="008D3DE0">
        <w:rPr>
          <w:spacing w:val="-2"/>
        </w:rPr>
        <w:t xml:space="preserve">où une fosse commune a été trouvée. Le Comité est préoccupé par les informations indiquant que des violations graves des droits de l’homme, notamment des viols, des actes de torture et des exécutions extrajudiciaires, ont été et continuent </w:t>
      </w:r>
      <w:r w:rsidRPr="008D3DE0">
        <w:rPr>
          <w:spacing w:val="-2"/>
        </w:rPr>
        <w:lastRenderedPageBreak/>
        <w:t>d’être commis</w:t>
      </w:r>
      <w:r w:rsidR="00F5597B" w:rsidRPr="008D3DE0">
        <w:rPr>
          <w:spacing w:val="-2"/>
        </w:rPr>
        <w:t>es</w:t>
      </w:r>
      <w:r w:rsidRPr="008D3DE0">
        <w:rPr>
          <w:spacing w:val="-2"/>
        </w:rPr>
        <w:t xml:space="preserve"> contre des civils dans des zones de conflit où sévissent plusieurs groupes et milices armés et où</w:t>
      </w:r>
      <w:r w:rsidR="002E1260" w:rsidRPr="008D3DE0">
        <w:rPr>
          <w:spacing w:val="-2"/>
        </w:rPr>
        <w:t>,</w:t>
      </w:r>
      <w:r w:rsidRPr="008D3DE0">
        <w:rPr>
          <w:spacing w:val="-2"/>
        </w:rPr>
        <w:t xml:space="preserve"> du fait de leur commission sur des territoires en dehors du contrôle de l’</w:t>
      </w:r>
      <w:r w:rsidR="00450276" w:rsidRPr="008D3DE0">
        <w:rPr>
          <w:spacing w:val="-2"/>
        </w:rPr>
        <w:t>État</w:t>
      </w:r>
      <w:r w:rsidR="002E1260" w:rsidRPr="008D3DE0">
        <w:rPr>
          <w:spacing w:val="-2"/>
        </w:rPr>
        <w:t xml:space="preserve">, </w:t>
      </w:r>
      <w:r w:rsidR="00F5597B" w:rsidRPr="008D3DE0">
        <w:rPr>
          <w:spacing w:val="-2"/>
        </w:rPr>
        <w:t xml:space="preserve">elles </w:t>
      </w:r>
      <w:r w:rsidRPr="008D3DE0">
        <w:rPr>
          <w:spacing w:val="-2"/>
        </w:rPr>
        <w:t xml:space="preserve">ne font pas l’objet d’enquêtes. Le Comité est également préoccupé par des allégations de lynchages et d’homicides pour actes de sorcellerie et </w:t>
      </w:r>
      <w:r w:rsidR="001B3541" w:rsidRPr="008D3DE0">
        <w:rPr>
          <w:spacing w:val="-2"/>
        </w:rPr>
        <w:t xml:space="preserve">de </w:t>
      </w:r>
      <w:r w:rsidRPr="008D3DE0">
        <w:rPr>
          <w:spacing w:val="-2"/>
        </w:rPr>
        <w:t>charlatanisme</w:t>
      </w:r>
      <w:r w:rsidR="002E5DB9" w:rsidRPr="008D3DE0">
        <w:rPr>
          <w:spacing w:val="-2"/>
        </w:rPr>
        <w:t xml:space="preserve"> </w:t>
      </w:r>
      <w:r w:rsidRPr="008D3DE0">
        <w:rPr>
          <w:spacing w:val="-2"/>
        </w:rPr>
        <w:t>(art. 2, 6</w:t>
      </w:r>
      <w:r w:rsidR="00F5597B" w:rsidRPr="008D3DE0">
        <w:rPr>
          <w:spacing w:val="-2"/>
        </w:rPr>
        <w:t xml:space="preserve"> et</w:t>
      </w:r>
      <w:r w:rsidR="00EE540C">
        <w:rPr>
          <w:spacing w:val="-2"/>
        </w:rPr>
        <w:t> </w:t>
      </w:r>
      <w:r w:rsidRPr="008D3DE0">
        <w:rPr>
          <w:spacing w:val="-2"/>
        </w:rPr>
        <w:t>7).</w:t>
      </w:r>
    </w:p>
    <w:p w14:paraId="50808898" w14:textId="351E7070" w:rsidR="00C4067E" w:rsidRPr="008D3DE0" w:rsidRDefault="00C4067E" w:rsidP="0096622E">
      <w:pPr>
        <w:pStyle w:val="SingleTxtG"/>
        <w:tabs>
          <w:tab w:val="left" w:pos="1701"/>
          <w:tab w:val="left" w:pos="1843"/>
          <w:tab w:val="left" w:pos="2127"/>
        </w:tabs>
        <w:rPr>
          <w:b/>
        </w:rPr>
      </w:pPr>
      <w:r w:rsidRPr="008D3DE0">
        <w:rPr>
          <w:lang w:val="fr-FR"/>
        </w:rPr>
        <w:t>20.</w:t>
      </w:r>
      <w:r w:rsidRPr="008D3DE0">
        <w:rPr>
          <w:lang w:val="fr-FR"/>
        </w:rPr>
        <w:tab/>
      </w:r>
      <w:r w:rsidR="00F5597B" w:rsidRPr="008D3DE0">
        <w:rPr>
          <w:b/>
        </w:rPr>
        <w:t>Au vu du</w:t>
      </w:r>
      <w:r w:rsidR="002D2083" w:rsidRPr="008D3DE0">
        <w:rPr>
          <w:b/>
        </w:rPr>
        <w:t xml:space="preserve"> nombre préoccupant d’allégations d’exécutions extrajudiciaires par des acteurs non</w:t>
      </w:r>
      <w:r w:rsidR="00F5597B" w:rsidRPr="008D3DE0">
        <w:rPr>
          <w:b/>
        </w:rPr>
        <w:t xml:space="preserve"> </w:t>
      </w:r>
      <w:r w:rsidR="002D2083" w:rsidRPr="008D3DE0">
        <w:rPr>
          <w:b/>
        </w:rPr>
        <w:t xml:space="preserve">étatiques, </w:t>
      </w:r>
      <w:r w:rsidR="00F5597B" w:rsidRPr="008D3DE0">
        <w:rPr>
          <w:b/>
        </w:rPr>
        <w:t xml:space="preserve">l’État partie devrait s’attaquer au problème </w:t>
      </w:r>
      <w:r w:rsidR="002D2083" w:rsidRPr="008D3DE0">
        <w:rPr>
          <w:b/>
        </w:rPr>
        <w:t xml:space="preserve">notamment en </w:t>
      </w:r>
      <w:r w:rsidRPr="008D3DE0">
        <w:rPr>
          <w:b/>
        </w:rPr>
        <w:t>accélér</w:t>
      </w:r>
      <w:r w:rsidR="002D2083" w:rsidRPr="008D3DE0">
        <w:rPr>
          <w:b/>
        </w:rPr>
        <w:t>ant</w:t>
      </w:r>
      <w:r w:rsidRPr="008D3DE0">
        <w:rPr>
          <w:b/>
        </w:rPr>
        <w:t xml:space="preserve"> les mesures visant au désarmement et à la démobilisation des groupes armés</w:t>
      </w:r>
      <w:r w:rsidR="00F5597B" w:rsidRPr="008D3DE0">
        <w:rPr>
          <w:b/>
        </w:rPr>
        <w:t>,</w:t>
      </w:r>
      <w:r w:rsidR="002E5DB9" w:rsidRPr="008D3DE0">
        <w:rPr>
          <w:b/>
        </w:rPr>
        <w:t xml:space="preserve"> et en v</w:t>
      </w:r>
      <w:r w:rsidRPr="008D3DE0">
        <w:rPr>
          <w:b/>
        </w:rPr>
        <w:t>eill</w:t>
      </w:r>
      <w:r w:rsidR="002E5DB9" w:rsidRPr="008D3DE0">
        <w:rPr>
          <w:b/>
        </w:rPr>
        <w:t>ant</w:t>
      </w:r>
      <w:r w:rsidRPr="008D3DE0">
        <w:rPr>
          <w:b/>
        </w:rPr>
        <w:t xml:space="preserve"> à ce que les allégations d’exécutions extrajudiciaires et autres violations graves des droits de l’homme fassent l’objet d’enquêtes approfondies et que tous les auteurs, quel</w:t>
      </w:r>
      <w:r w:rsidR="00C178F8" w:rsidRPr="008D3DE0">
        <w:rPr>
          <w:b/>
        </w:rPr>
        <w:t>le</w:t>
      </w:r>
      <w:r w:rsidRPr="008D3DE0">
        <w:rPr>
          <w:b/>
        </w:rPr>
        <w:t xml:space="preserve"> que soit leur affiliation, soient poursuivis et sanctionnés proportionnellement à la gravité des faits reprochés. L’</w:t>
      </w:r>
      <w:r w:rsidR="00450276" w:rsidRPr="008D3DE0">
        <w:rPr>
          <w:b/>
        </w:rPr>
        <w:t>État</w:t>
      </w:r>
      <w:r w:rsidRPr="008D3DE0">
        <w:rPr>
          <w:b/>
        </w:rPr>
        <w:t xml:space="preserve"> partie devrait faire toute la lumière sur les actes reprochés aux soldats de la paix de l’Union </w:t>
      </w:r>
      <w:r w:rsidR="000D342F" w:rsidRPr="008D3DE0">
        <w:rPr>
          <w:b/>
        </w:rPr>
        <w:t>a</w:t>
      </w:r>
      <w:r w:rsidRPr="008D3DE0">
        <w:rPr>
          <w:b/>
        </w:rPr>
        <w:t>fricaine</w:t>
      </w:r>
      <w:r w:rsidR="0029445F" w:rsidRPr="008D3DE0">
        <w:rPr>
          <w:b/>
        </w:rPr>
        <w:t xml:space="preserve"> </w:t>
      </w:r>
      <w:r w:rsidRPr="008D3DE0">
        <w:rPr>
          <w:b/>
        </w:rPr>
        <w:t>à</w:t>
      </w:r>
      <w:r w:rsidR="0029445F" w:rsidRPr="008D3DE0">
        <w:rPr>
          <w:b/>
        </w:rPr>
        <w:t xml:space="preserve"> </w:t>
      </w:r>
      <w:proofErr w:type="spellStart"/>
      <w:r w:rsidRPr="008D3DE0">
        <w:rPr>
          <w:b/>
        </w:rPr>
        <w:t>Boali</w:t>
      </w:r>
      <w:proofErr w:type="spellEnd"/>
      <w:r w:rsidR="00F5597B" w:rsidRPr="008D3DE0">
        <w:rPr>
          <w:b/>
        </w:rPr>
        <w:t>,</w:t>
      </w:r>
      <w:r w:rsidRPr="008D3DE0">
        <w:rPr>
          <w:b/>
        </w:rPr>
        <w:t xml:space="preserve"> afi</w:t>
      </w:r>
      <w:r w:rsidR="0029445F" w:rsidRPr="008D3DE0">
        <w:rPr>
          <w:b/>
        </w:rPr>
        <w:t xml:space="preserve">n que les victimes </w:t>
      </w:r>
      <w:r w:rsidR="00F5597B" w:rsidRPr="008D3DE0">
        <w:rPr>
          <w:b/>
        </w:rPr>
        <w:t>connaissent</w:t>
      </w:r>
      <w:r w:rsidR="0029445F" w:rsidRPr="008D3DE0">
        <w:rPr>
          <w:b/>
        </w:rPr>
        <w:t xml:space="preserve"> la</w:t>
      </w:r>
      <w:r w:rsidRPr="008D3DE0">
        <w:rPr>
          <w:b/>
        </w:rPr>
        <w:t xml:space="preserve"> vérité et </w:t>
      </w:r>
      <w:r w:rsidR="00F5597B" w:rsidRPr="008D3DE0">
        <w:rPr>
          <w:b/>
        </w:rPr>
        <w:t xml:space="preserve">obtiennent </w:t>
      </w:r>
      <w:r w:rsidRPr="008D3DE0">
        <w:rPr>
          <w:b/>
        </w:rPr>
        <w:t>réparation pour ces crimes.</w:t>
      </w:r>
      <w:r w:rsidR="00F20674" w:rsidRPr="008D3DE0">
        <w:t xml:space="preserve"> </w:t>
      </w:r>
      <w:r w:rsidR="002E5DB9" w:rsidRPr="008D3DE0">
        <w:rPr>
          <w:b/>
        </w:rPr>
        <w:t>Il devrait</w:t>
      </w:r>
      <w:r w:rsidR="002E5DB9" w:rsidRPr="008D3DE0">
        <w:t xml:space="preserve"> </w:t>
      </w:r>
      <w:r w:rsidR="002E5DB9" w:rsidRPr="008D3DE0">
        <w:rPr>
          <w:b/>
        </w:rPr>
        <w:t>r</w:t>
      </w:r>
      <w:r w:rsidR="00F20674" w:rsidRPr="008D3DE0">
        <w:rPr>
          <w:b/>
        </w:rPr>
        <w:t xml:space="preserve">edoubler d’efforts pour faire la lumière sur les actes de représailles et homicides pour </w:t>
      </w:r>
      <w:r w:rsidR="00F5597B" w:rsidRPr="008D3DE0">
        <w:rPr>
          <w:b/>
        </w:rPr>
        <w:t xml:space="preserve">les </w:t>
      </w:r>
      <w:r w:rsidR="00F20674" w:rsidRPr="008D3DE0">
        <w:rPr>
          <w:b/>
        </w:rPr>
        <w:t xml:space="preserve">cas de sorcellerie et </w:t>
      </w:r>
      <w:r w:rsidR="00F5597B" w:rsidRPr="008D3DE0">
        <w:rPr>
          <w:b/>
        </w:rPr>
        <w:t xml:space="preserve">de </w:t>
      </w:r>
      <w:r w:rsidR="00F20674" w:rsidRPr="008D3DE0">
        <w:rPr>
          <w:b/>
        </w:rPr>
        <w:t>charlatanisme</w:t>
      </w:r>
      <w:r w:rsidR="002E5DB9" w:rsidRPr="008D3DE0">
        <w:rPr>
          <w:b/>
        </w:rPr>
        <w:t>.</w:t>
      </w:r>
    </w:p>
    <w:p w14:paraId="6E051EA2" w14:textId="6BCC52D3" w:rsidR="00C4067E" w:rsidRPr="008D3DE0" w:rsidRDefault="00C4067E" w:rsidP="00C4067E">
      <w:pPr>
        <w:pStyle w:val="H23G"/>
        <w:rPr>
          <w:lang w:val="fr-FR"/>
        </w:rPr>
      </w:pPr>
      <w:r w:rsidRPr="008D3DE0">
        <w:rPr>
          <w:lang w:val="fr-FR"/>
        </w:rPr>
        <w:tab/>
      </w:r>
      <w:r w:rsidRPr="008D3DE0">
        <w:rPr>
          <w:lang w:val="fr-FR"/>
        </w:rPr>
        <w:tab/>
        <w:t>Torture</w:t>
      </w:r>
      <w:r w:rsidR="00F5597B" w:rsidRPr="008D3DE0">
        <w:rPr>
          <w:lang w:val="fr-FR"/>
        </w:rPr>
        <w:t xml:space="preserve"> et</w:t>
      </w:r>
      <w:r w:rsidRPr="008D3DE0">
        <w:rPr>
          <w:lang w:val="fr-FR"/>
        </w:rPr>
        <w:t xml:space="preserve"> traitements cruels, inhumains ou dégradants</w:t>
      </w:r>
    </w:p>
    <w:p w14:paraId="557530E0" w14:textId="4CFC3EE0" w:rsidR="00C4067E" w:rsidRPr="008D3DE0" w:rsidRDefault="00C4067E" w:rsidP="0096622E">
      <w:pPr>
        <w:pStyle w:val="SingleTxtG"/>
        <w:tabs>
          <w:tab w:val="left" w:pos="1701"/>
          <w:tab w:val="left" w:pos="1843"/>
          <w:tab w:val="left" w:pos="2127"/>
        </w:tabs>
        <w:rPr>
          <w:lang w:val="fr-FR"/>
        </w:rPr>
      </w:pPr>
      <w:r w:rsidRPr="008D3DE0">
        <w:rPr>
          <w:lang w:val="fr-FR"/>
        </w:rPr>
        <w:t>21.</w:t>
      </w:r>
      <w:r w:rsidRPr="008D3DE0">
        <w:rPr>
          <w:lang w:val="fr-FR"/>
        </w:rPr>
        <w:tab/>
        <w:t xml:space="preserve">Le Comité s’inquiète du manque d’information sur le nombre de poursuites et </w:t>
      </w:r>
      <w:r w:rsidR="00F5597B" w:rsidRPr="008D3DE0">
        <w:rPr>
          <w:lang w:val="fr-FR"/>
        </w:rPr>
        <w:t xml:space="preserve">de </w:t>
      </w:r>
      <w:r w:rsidRPr="008D3DE0">
        <w:rPr>
          <w:lang w:val="fr-FR"/>
        </w:rPr>
        <w:t xml:space="preserve">condamnations prononcées pour actes de torture. Tout en notant que la torture est incriminée par le </w:t>
      </w:r>
      <w:r w:rsidR="00F5597B" w:rsidRPr="008D3DE0">
        <w:rPr>
          <w:lang w:val="fr-FR"/>
        </w:rPr>
        <w:t>C</w:t>
      </w:r>
      <w:r w:rsidRPr="008D3DE0">
        <w:rPr>
          <w:lang w:val="fr-FR"/>
        </w:rPr>
        <w:t xml:space="preserve">ode pénal, le </w:t>
      </w:r>
      <w:r w:rsidRPr="008D3DE0">
        <w:t>Comité</w:t>
      </w:r>
      <w:r w:rsidRPr="008D3DE0">
        <w:rPr>
          <w:lang w:val="fr-FR"/>
        </w:rPr>
        <w:t xml:space="preserve"> regrette que les articles 118 à 120</w:t>
      </w:r>
      <w:r w:rsidR="00F5597B" w:rsidRPr="008D3DE0">
        <w:rPr>
          <w:lang w:val="fr-FR"/>
        </w:rPr>
        <w:t xml:space="preserve"> de ce dernier</w:t>
      </w:r>
      <w:r w:rsidRPr="008D3DE0">
        <w:rPr>
          <w:lang w:val="fr-FR"/>
        </w:rPr>
        <w:t xml:space="preserve"> ne donnent pas de définition de la torture. </w:t>
      </w:r>
      <w:r w:rsidR="00F5597B" w:rsidRPr="008D3DE0">
        <w:rPr>
          <w:lang w:val="fr-FR"/>
        </w:rPr>
        <w:t>Il</w:t>
      </w:r>
      <w:r w:rsidRPr="008D3DE0">
        <w:rPr>
          <w:lang w:val="fr-FR"/>
        </w:rPr>
        <w:t xml:space="preserve"> regrette également l’absence dans le </w:t>
      </w:r>
      <w:r w:rsidR="00F5597B" w:rsidRPr="008D3DE0">
        <w:rPr>
          <w:lang w:val="fr-FR"/>
        </w:rPr>
        <w:t>C</w:t>
      </w:r>
      <w:r w:rsidRPr="008D3DE0">
        <w:rPr>
          <w:lang w:val="fr-FR"/>
        </w:rPr>
        <w:t xml:space="preserve">ode de procédure pénale de dispositions garantissant l’inadmissibilité des aveux obtenus </w:t>
      </w:r>
      <w:r w:rsidR="00F5597B" w:rsidRPr="008D3DE0">
        <w:rPr>
          <w:lang w:val="fr-FR"/>
        </w:rPr>
        <w:t>par</w:t>
      </w:r>
      <w:r w:rsidRPr="008D3DE0">
        <w:rPr>
          <w:lang w:val="fr-FR"/>
        </w:rPr>
        <w:t xml:space="preserve"> la torture. Enfin, il est préoccupé par des allégations d’actes de torture pratiqués </w:t>
      </w:r>
      <w:r w:rsidR="002E5DB9" w:rsidRPr="008D3DE0">
        <w:rPr>
          <w:lang w:val="fr-FR"/>
        </w:rPr>
        <w:t xml:space="preserve">sur des personnes en détention </w:t>
      </w:r>
      <w:r w:rsidRPr="008D3DE0">
        <w:rPr>
          <w:lang w:val="fr-FR"/>
        </w:rPr>
        <w:t>par des agents de l’</w:t>
      </w:r>
      <w:r w:rsidR="00450276" w:rsidRPr="008D3DE0">
        <w:rPr>
          <w:lang w:val="fr-FR"/>
        </w:rPr>
        <w:t>État</w:t>
      </w:r>
      <w:r w:rsidRPr="008D3DE0">
        <w:rPr>
          <w:lang w:val="fr-FR"/>
        </w:rPr>
        <w:t xml:space="preserve"> et </w:t>
      </w:r>
      <w:r w:rsidR="000D342F" w:rsidRPr="008D3DE0">
        <w:rPr>
          <w:lang w:val="fr-FR"/>
        </w:rPr>
        <w:t xml:space="preserve">sur des populations civiles </w:t>
      </w:r>
      <w:r w:rsidRPr="008D3DE0">
        <w:rPr>
          <w:lang w:val="fr-FR"/>
        </w:rPr>
        <w:t xml:space="preserve">par des membres de groupes armés </w:t>
      </w:r>
      <w:r w:rsidRPr="008D3DE0">
        <w:t>(art.</w:t>
      </w:r>
      <w:r w:rsidR="00EE540C">
        <w:t> </w:t>
      </w:r>
      <w:r w:rsidRPr="008D3DE0">
        <w:t>2 et</w:t>
      </w:r>
      <w:r w:rsidR="00EE540C">
        <w:t> </w:t>
      </w:r>
      <w:r w:rsidRPr="008D3DE0">
        <w:t>7)</w:t>
      </w:r>
      <w:r w:rsidRPr="008D3DE0">
        <w:rPr>
          <w:rFonts w:eastAsia="Calibri"/>
        </w:rPr>
        <w:t>.</w:t>
      </w:r>
    </w:p>
    <w:p w14:paraId="0BE0DD51" w14:textId="3FC8809C" w:rsidR="00C4067E" w:rsidRPr="008D3DE0" w:rsidRDefault="00C4067E" w:rsidP="0096622E">
      <w:pPr>
        <w:pStyle w:val="SingleTxtG"/>
        <w:tabs>
          <w:tab w:val="left" w:pos="1701"/>
          <w:tab w:val="left" w:pos="1843"/>
          <w:tab w:val="left" w:pos="2127"/>
        </w:tabs>
        <w:rPr>
          <w:b/>
        </w:rPr>
      </w:pPr>
      <w:r w:rsidRPr="008D3DE0">
        <w:rPr>
          <w:lang w:val="fr-FR"/>
        </w:rPr>
        <w:t>22.</w:t>
      </w:r>
      <w:r w:rsidRPr="008D3DE0">
        <w:rPr>
          <w:lang w:val="fr-FR"/>
        </w:rPr>
        <w:tab/>
      </w:r>
      <w:r w:rsidRPr="008D3DE0">
        <w:rPr>
          <w:b/>
        </w:rPr>
        <w:t>L’État partie devrait</w:t>
      </w:r>
      <w:r w:rsidR="00F5597B" w:rsidRPr="008D3DE0">
        <w:rPr>
          <w:b/>
        </w:rPr>
        <w:t> </w:t>
      </w:r>
      <w:r w:rsidRPr="008D3DE0">
        <w:rPr>
          <w:b/>
        </w:rPr>
        <w:t xml:space="preserve">: </w:t>
      </w:r>
    </w:p>
    <w:p w14:paraId="4C971B08" w14:textId="0294865D" w:rsidR="00C4067E" w:rsidRPr="008D3DE0" w:rsidRDefault="00C4067E" w:rsidP="00B23DE8">
      <w:pPr>
        <w:pStyle w:val="SingleTxtG"/>
        <w:tabs>
          <w:tab w:val="left" w:pos="2268"/>
        </w:tabs>
        <w:ind w:firstLine="567"/>
        <w:rPr>
          <w:b/>
        </w:rPr>
      </w:pPr>
      <w:r w:rsidRPr="008D3DE0">
        <w:rPr>
          <w:b/>
        </w:rPr>
        <w:t>a)</w:t>
      </w:r>
      <w:r w:rsidRPr="008D3DE0">
        <w:rPr>
          <w:b/>
        </w:rPr>
        <w:tab/>
        <w:t>Modifier ses dispositions internes pour définir la torture en conformité avec l’article premier de la Convention contre la torture et autres peines ou traitements cruels, inhumains ou dégradants</w:t>
      </w:r>
      <w:r w:rsidR="00E05B2C" w:rsidRPr="008D3DE0">
        <w:rPr>
          <w:b/>
        </w:rPr>
        <w:t> </w:t>
      </w:r>
      <w:r w:rsidRPr="008D3DE0">
        <w:rPr>
          <w:b/>
        </w:rPr>
        <w:t xml:space="preserve">; </w:t>
      </w:r>
    </w:p>
    <w:p w14:paraId="5BF4DAFF" w14:textId="4E1F2BB6" w:rsidR="00C4067E" w:rsidRPr="008D3DE0" w:rsidRDefault="00C4067E" w:rsidP="00B23DE8">
      <w:pPr>
        <w:pStyle w:val="SingleTxtG"/>
        <w:tabs>
          <w:tab w:val="left" w:pos="2268"/>
        </w:tabs>
        <w:ind w:firstLine="567"/>
        <w:rPr>
          <w:b/>
        </w:rPr>
      </w:pPr>
      <w:r w:rsidRPr="008D3DE0">
        <w:rPr>
          <w:b/>
        </w:rPr>
        <w:t>b)</w:t>
      </w:r>
      <w:r w:rsidRPr="008D3DE0">
        <w:rPr>
          <w:b/>
        </w:rPr>
        <w:tab/>
        <w:t>Veiller à rendre inadmissible</w:t>
      </w:r>
      <w:r w:rsidR="000A7F6F" w:rsidRPr="008D3DE0">
        <w:rPr>
          <w:b/>
        </w:rPr>
        <w:t>s</w:t>
      </w:r>
      <w:r w:rsidRPr="008D3DE0">
        <w:rPr>
          <w:b/>
        </w:rPr>
        <w:t xml:space="preserve"> </w:t>
      </w:r>
      <w:r w:rsidR="002E5DB9" w:rsidRPr="008D3DE0">
        <w:rPr>
          <w:b/>
        </w:rPr>
        <w:t xml:space="preserve">dans un procès pénal </w:t>
      </w:r>
      <w:r w:rsidRPr="008D3DE0">
        <w:rPr>
          <w:b/>
        </w:rPr>
        <w:t xml:space="preserve">les aveux obtenus </w:t>
      </w:r>
      <w:r w:rsidR="00E05B2C" w:rsidRPr="008D3DE0">
        <w:rPr>
          <w:b/>
        </w:rPr>
        <w:t>par</w:t>
      </w:r>
      <w:r w:rsidRPr="008D3DE0">
        <w:rPr>
          <w:b/>
        </w:rPr>
        <w:t xml:space="preserve"> la torture ; </w:t>
      </w:r>
    </w:p>
    <w:p w14:paraId="5B82415A" w14:textId="77777777" w:rsidR="00C4067E" w:rsidRPr="008D3DE0" w:rsidRDefault="00C4067E" w:rsidP="00B23DE8">
      <w:pPr>
        <w:pStyle w:val="SingleTxtG"/>
        <w:tabs>
          <w:tab w:val="left" w:pos="2268"/>
        </w:tabs>
        <w:ind w:firstLine="567"/>
        <w:rPr>
          <w:b/>
        </w:rPr>
      </w:pPr>
      <w:r w:rsidRPr="008D3DE0">
        <w:rPr>
          <w:b/>
        </w:rPr>
        <w:t>c)</w:t>
      </w:r>
      <w:r w:rsidRPr="008D3DE0">
        <w:rPr>
          <w:b/>
        </w:rPr>
        <w:tab/>
        <w:t xml:space="preserve">Renforcer la formation des acteurs de la justice, de la défense et de la sécurité ; </w:t>
      </w:r>
    </w:p>
    <w:p w14:paraId="2F11F5EF" w14:textId="1D762402" w:rsidR="00C4067E" w:rsidRPr="008D3DE0" w:rsidRDefault="00C4067E" w:rsidP="00B23DE8">
      <w:pPr>
        <w:pStyle w:val="SingleTxtG"/>
        <w:tabs>
          <w:tab w:val="left" w:pos="2268"/>
        </w:tabs>
        <w:ind w:firstLine="567"/>
        <w:rPr>
          <w:b/>
          <w:bCs/>
        </w:rPr>
      </w:pPr>
      <w:r w:rsidRPr="008D3DE0">
        <w:rPr>
          <w:b/>
        </w:rPr>
        <w:t>d)</w:t>
      </w:r>
      <w:r w:rsidRPr="008D3DE0">
        <w:rPr>
          <w:b/>
        </w:rPr>
        <w:tab/>
        <w:t>V</w:t>
      </w:r>
      <w:r w:rsidRPr="008D3DE0">
        <w:rPr>
          <w:b/>
          <w:bCs/>
        </w:rPr>
        <w:t>eiller à ce que les cas présumés de torture et de mauvais traitements fassent l’objet d’une enquête approfondie, à ce que les responsables soient poursuivis et, s’ils sont reconnus coupables, condamnés à des peines appropriées, et à ce que les victimes obtiennent réparation et notamment se voient proposer des mesures de réadaptation</w:t>
      </w:r>
      <w:r w:rsidR="00E05B2C" w:rsidRPr="008D3DE0">
        <w:rPr>
          <w:b/>
          <w:bCs/>
        </w:rPr>
        <w:t> </w:t>
      </w:r>
      <w:r w:rsidRPr="008D3DE0">
        <w:rPr>
          <w:b/>
          <w:bCs/>
        </w:rPr>
        <w:t>;</w:t>
      </w:r>
    </w:p>
    <w:p w14:paraId="34BD24F1" w14:textId="0554BDA7" w:rsidR="00C4067E" w:rsidRPr="008D3DE0" w:rsidRDefault="00C4067E" w:rsidP="00B23DE8">
      <w:pPr>
        <w:pStyle w:val="SingleTxtG"/>
        <w:tabs>
          <w:tab w:val="left" w:pos="2268"/>
        </w:tabs>
        <w:ind w:firstLine="567"/>
      </w:pPr>
      <w:r w:rsidRPr="008D3DE0">
        <w:rPr>
          <w:b/>
          <w:bCs/>
        </w:rPr>
        <w:t>e)</w:t>
      </w:r>
      <w:r w:rsidRPr="008D3DE0">
        <w:rPr>
          <w:b/>
          <w:bCs/>
        </w:rPr>
        <w:tab/>
        <w:t>Mettre en place un mécanisme national de prévention de la torture en conformité avec le Protocole facultatif se rapportant à la Convention contre la torture</w:t>
      </w:r>
      <w:r w:rsidR="00E05B2C" w:rsidRPr="008D3DE0">
        <w:rPr>
          <w:b/>
        </w:rPr>
        <w:t xml:space="preserve"> et autres peines ou traitements cruels, inhumains ou dégradants</w:t>
      </w:r>
      <w:r w:rsidRPr="008D3DE0">
        <w:rPr>
          <w:b/>
          <w:bCs/>
        </w:rPr>
        <w:t>.</w:t>
      </w:r>
    </w:p>
    <w:p w14:paraId="573F0BC3" w14:textId="77777777" w:rsidR="00C4067E" w:rsidRPr="008D3DE0" w:rsidRDefault="00C4067E" w:rsidP="00C4067E">
      <w:pPr>
        <w:pStyle w:val="H23G"/>
        <w:rPr>
          <w:lang w:val="fr-FR"/>
        </w:rPr>
      </w:pPr>
      <w:r w:rsidRPr="008D3DE0">
        <w:rPr>
          <w:lang w:val="fr-FR"/>
        </w:rPr>
        <w:tab/>
      </w:r>
      <w:r w:rsidRPr="008D3DE0">
        <w:rPr>
          <w:lang w:val="fr-FR"/>
        </w:rPr>
        <w:tab/>
        <w:t>Conditions carcérales</w:t>
      </w:r>
    </w:p>
    <w:p w14:paraId="28B32C5B" w14:textId="4C8FFB33" w:rsidR="00C4067E" w:rsidRPr="008D3DE0" w:rsidRDefault="00C4067E" w:rsidP="0096622E">
      <w:pPr>
        <w:pStyle w:val="SingleTxtG"/>
        <w:tabs>
          <w:tab w:val="left" w:pos="1701"/>
          <w:tab w:val="left" w:pos="1843"/>
          <w:tab w:val="left" w:pos="2127"/>
        </w:tabs>
        <w:rPr>
          <w:lang w:val="fr-FR"/>
        </w:rPr>
      </w:pPr>
      <w:r w:rsidRPr="008D3DE0">
        <w:t>23.</w:t>
      </w:r>
      <w:r w:rsidRPr="008D3DE0">
        <w:tab/>
        <w:t>Tout en notant les efforts de l’</w:t>
      </w:r>
      <w:r w:rsidR="00450276" w:rsidRPr="008D3DE0">
        <w:t>État</w:t>
      </w:r>
      <w:r w:rsidRPr="008D3DE0">
        <w:t xml:space="preserve"> partie pour démilitariser les lieux de privation de liberté, le Comité est préoccupé par les conditions de détention inadéquates dans </w:t>
      </w:r>
      <w:r w:rsidR="005F54AE" w:rsidRPr="008D3DE0">
        <w:t>ceux qui sont</w:t>
      </w:r>
      <w:r w:rsidRPr="008D3DE0">
        <w:t xml:space="preserve"> sous </w:t>
      </w:r>
      <w:r w:rsidR="005F54AE" w:rsidRPr="008D3DE0">
        <w:t xml:space="preserve">le </w:t>
      </w:r>
      <w:r w:rsidRPr="008D3DE0">
        <w:t>contrôle de l’</w:t>
      </w:r>
      <w:r w:rsidR="00450276" w:rsidRPr="008D3DE0">
        <w:t>État</w:t>
      </w:r>
      <w:r w:rsidR="005F54AE" w:rsidRPr="008D3DE0">
        <w:t>,</w:t>
      </w:r>
      <w:r w:rsidRPr="008D3DE0">
        <w:t xml:space="preserve"> notamment dans les cellules où les détenus sont </w:t>
      </w:r>
      <w:r w:rsidR="005F54AE" w:rsidRPr="008D3DE0">
        <w:t>en garde</w:t>
      </w:r>
      <w:r w:rsidRPr="008D3DE0">
        <w:t xml:space="preserve"> à vue</w:t>
      </w:r>
      <w:r w:rsidR="005F54AE" w:rsidRPr="008D3DE0">
        <w:t>,</w:t>
      </w:r>
      <w:r w:rsidRPr="008D3DE0">
        <w:t xml:space="preserve"> et </w:t>
      </w:r>
      <w:r w:rsidR="005F54AE" w:rsidRPr="008D3DE0">
        <w:t xml:space="preserve">par </w:t>
      </w:r>
      <w:r w:rsidRPr="008D3DE0">
        <w:t xml:space="preserve">le manque d’informations sur ceux </w:t>
      </w:r>
      <w:r w:rsidR="005F54AE" w:rsidRPr="008D3DE0">
        <w:t>qui sont situés</w:t>
      </w:r>
      <w:r w:rsidRPr="008D3DE0">
        <w:t xml:space="preserve"> dans les zones contrôlées par les groupes armés. Le Comité est en particulier préoccupé par le</w:t>
      </w:r>
      <w:r w:rsidR="005F54AE" w:rsidRPr="008D3DE0">
        <w:t>s</w:t>
      </w:r>
      <w:r w:rsidRPr="008D3DE0">
        <w:t xml:space="preserve"> taux élevé</w:t>
      </w:r>
      <w:r w:rsidR="005F54AE" w:rsidRPr="008D3DE0">
        <w:t>s</w:t>
      </w:r>
      <w:r w:rsidRPr="008D3DE0">
        <w:t xml:space="preserve"> de surpopulation carcérale et de personnes en détention préventive</w:t>
      </w:r>
      <w:r w:rsidR="005F54AE" w:rsidRPr="008D3DE0">
        <w:t>,</w:t>
      </w:r>
      <w:r w:rsidRPr="008D3DE0">
        <w:t xml:space="preserve"> et </w:t>
      </w:r>
      <w:r w:rsidR="005F54AE" w:rsidRPr="008D3DE0">
        <w:t xml:space="preserve">par </w:t>
      </w:r>
      <w:r w:rsidRPr="008D3DE0">
        <w:t xml:space="preserve">l’absence de mesures de réhabilitation dans les prisons pour hommes. Enfin, il </w:t>
      </w:r>
      <w:r w:rsidR="0029445F" w:rsidRPr="008D3DE0">
        <w:t>est préoccupé</w:t>
      </w:r>
      <w:r w:rsidRPr="008D3DE0">
        <w:t xml:space="preserve"> par le taux élevé de femmes en détention préventive pour des actes de sorcellerie et de charlatanisme, </w:t>
      </w:r>
      <w:r w:rsidR="005F54AE" w:rsidRPr="008D3DE0">
        <w:t>lesquelles</w:t>
      </w:r>
      <w:r w:rsidR="008A2AB8" w:rsidRPr="008D3DE0">
        <w:t xml:space="preserve"> sont </w:t>
      </w:r>
      <w:r w:rsidRPr="008D3DE0">
        <w:t xml:space="preserve">souvent détenues </w:t>
      </w:r>
      <w:r w:rsidR="00A10F95" w:rsidRPr="008D3DE0">
        <w:t>sous prétexte de les protéger de</w:t>
      </w:r>
      <w:r w:rsidRPr="008D3DE0">
        <w:t xml:space="preserve"> la vindicte populaire (art. 3, 6, 7 et 10).</w:t>
      </w:r>
    </w:p>
    <w:p w14:paraId="7CB963D7" w14:textId="2B483910" w:rsidR="00C4067E" w:rsidRPr="008D3DE0" w:rsidRDefault="00C4067E" w:rsidP="0096622E">
      <w:pPr>
        <w:pStyle w:val="SingleTxtG"/>
        <w:tabs>
          <w:tab w:val="left" w:pos="1701"/>
          <w:tab w:val="left" w:pos="1843"/>
          <w:tab w:val="left" w:pos="2127"/>
        </w:tabs>
        <w:rPr>
          <w:b/>
        </w:rPr>
      </w:pPr>
      <w:r w:rsidRPr="008D3DE0">
        <w:rPr>
          <w:lang w:val="fr-FR"/>
        </w:rPr>
        <w:lastRenderedPageBreak/>
        <w:t>24.</w:t>
      </w:r>
      <w:r w:rsidRPr="008D3DE0">
        <w:rPr>
          <w:lang w:val="fr-FR"/>
        </w:rPr>
        <w:tab/>
      </w:r>
      <w:r w:rsidR="005F54AE" w:rsidRPr="008D3DE0">
        <w:rPr>
          <w:b/>
        </w:rPr>
        <w:t>Dans la continuité des</w:t>
      </w:r>
      <w:r w:rsidRPr="008D3DE0">
        <w:rPr>
          <w:b/>
        </w:rPr>
        <w:t xml:space="preserve"> précédentes observations finales</w:t>
      </w:r>
      <w:r w:rsidR="005F54AE" w:rsidRPr="008D3DE0">
        <w:rPr>
          <w:b/>
        </w:rPr>
        <w:t xml:space="preserve"> du Comité</w:t>
      </w:r>
      <w:r w:rsidRPr="008D3DE0">
        <w:rPr>
          <w:b/>
        </w:rPr>
        <w:t xml:space="preserve"> (CCPR/C/CAF/CO/2, par.</w:t>
      </w:r>
      <w:r w:rsidR="00EE540C">
        <w:rPr>
          <w:b/>
        </w:rPr>
        <w:t> </w:t>
      </w:r>
      <w:r w:rsidRPr="008D3DE0">
        <w:rPr>
          <w:b/>
        </w:rPr>
        <w:t>17)</w:t>
      </w:r>
      <w:r w:rsidRPr="008D3DE0">
        <w:t xml:space="preserve">, </w:t>
      </w:r>
      <w:r w:rsidRPr="008D3DE0">
        <w:rPr>
          <w:b/>
        </w:rPr>
        <w:t>l’État partie devrait prendre les mesures nécessaires pour</w:t>
      </w:r>
      <w:r w:rsidR="005F54AE" w:rsidRPr="008D3DE0">
        <w:rPr>
          <w:b/>
        </w:rPr>
        <w:t> </w:t>
      </w:r>
      <w:r w:rsidRPr="008D3DE0">
        <w:rPr>
          <w:b/>
        </w:rPr>
        <w:t xml:space="preserve">: </w:t>
      </w:r>
    </w:p>
    <w:p w14:paraId="6F382591" w14:textId="0CC1E31F" w:rsidR="00C4067E" w:rsidRPr="008D3DE0" w:rsidRDefault="00C4067E" w:rsidP="00B23DE8">
      <w:pPr>
        <w:pStyle w:val="SingleTxtG"/>
        <w:tabs>
          <w:tab w:val="left" w:pos="2268"/>
        </w:tabs>
        <w:ind w:firstLine="555"/>
        <w:rPr>
          <w:b/>
        </w:rPr>
      </w:pPr>
      <w:r w:rsidRPr="008D3DE0">
        <w:rPr>
          <w:b/>
        </w:rPr>
        <w:t>a)</w:t>
      </w:r>
      <w:r w:rsidRPr="008D3DE0">
        <w:rPr>
          <w:b/>
        </w:rPr>
        <w:tab/>
        <w:t>Améliorer les conditions de détention, notamment dans les lieux de garde à vue</w:t>
      </w:r>
      <w:r w:rsidR="006D71F6" w:rsidRPr="008D3DE0">
        <w:rPr>
          <w:b/>
        </w:rPr>
        <w:t>,</w:t>
      </w:r>
      <w:r w:rsidRPr="008D3DE0">
        <w:rPr>
          <w:b/>
        </w:rPr>
        <w:t xml:space="preserve"> et veiller à la séparation des détenus selon le régime de détention, </w:t>
      </w:r>
      <w:r w:rsidR="00151792" w:rsidRPr="008D3DE0">
        <w:rPr>
          <w:b/>
        </w:rPr>
        <w:t xml:space="preserve">y compris entre </w:t>
      </w:r>
      <w:r w:rsidR="006D71F6" w:rsidRPr="008D3DE0">
        <w:rPr>
          <w:b/>
        </w:rPr>
        <w:t>mineurs</w:t>
      </w:r>
      <w:r w:rsidR="00151792" w:rsidRPr="008D3DE0">
        <w:rPr>
          <w:b/>
        </w:rPr>
        <w:t xml:space="preserve"> et adultes, </w:t>
      </w:r>
      <w:r w:rsidR="006D71F6" w:rsidRPr="008D3DE0">
        <w:rPr>
          <w:b/>
        </w:rPr>
        <w:t xml:space="preserve">entre </w:t>
      </w:r>
      <w:r w:rsidR="00151792" w:rsidRPr="008D3DE0">
        <w:rPr>
          <w:b/>
        </w:rPr>
        <w:t xml:space="preserve">hommes et femmes, et </w:t>
      </w:r>
      <w:r w:rsidR="006D71F6" w:rsidRPr="008D3DE0">
        <w:rPr>
          <w:b/>
        </w:rPr>
        <w:t xml:space="preserve">entre </w:t>
      </w:r>
      <w:r w:rsidR="00151792" w:rsidRPr="008D3DE0">
        <w:rPr>
          <w:b/>
        </w:rPr>
        <w:t xml:space="preserve">détenus en préventive et condamnés, </w:t>
      </w:r>
      <w:r w:rsidRPr="008D3DE0">
        <w:rPr>
          <w:b/>
        </w:rPr>
        <w:t xml:space="preserve">conformément à l’Ensemble de règles minima des Nations Unies pour le traitement des détenus (Règles Nelson Mandela) ; </w:t>
      </w:r>
    </w:p>
    <w:p w14:paraId="58060C42" w14:textId="15775FB2" w:rsidR="00C4067E" w:rsidRPr="008D3DE0" w:rsidRDefault="00C4067E" w:rsidP="00B23DE8">
      <w:pPr>
        <w:pStyle w:val="SingleTxtG"/>
        <w:tabs>
          <w:tab w:val="left" w:pos="2268"/>
        </w:tabs>
        <w:ind w:firstLine="555"/>
        <w:rPr>
          <w:b/>
        </w:rPr>
      </w:pPr>
      <w:r w:rsidRPr="008D3DE0">
        <w:rPr>
          <w:b/>
        </w:rPr>
        <w:t>b)</w:t>
      </w:r>
      <w:r w:rsidRPr="008D3DE0">
        <w:rPr>
          <w:b/>
        </w:rPr>
        <w:tab/>
        <w:t>Remédier au problème de la surpopulation carcérale, notamment en mettant en place une politique de recours à des mesures de substitution à la privation de liberté</w:t>
      </w:r>
      <w:r w:rsidR="0026663F" w:rsidRPr="008D3DE0">
        <w:rPr>
          <w:b/>
        </w:rPr>
        <w:t xml:space="preserve"> dans les peines prononcées</w:t>
      </w:r>
      <w:r w:rsidR="006D71F6" w:rsidRPr="008D3DE0">
        <w:rPr>
          <w:b/>
        </w:rPr>
        <w:t>,</w:t>
      </w:r>
      <w:r w:rsidR="0026663F" w:rsidRPr="008D3DE0">
        <w:rPr>
          <w:b/>
        </w:rPr>
        <w:t xml:space="preserve"> mais aussi </w:t>
      </w:r>
      <w:r w:rsidR="001B3541" w:rsidRPr="008D3DE0">
        <w:rPr>
          <w:b/>
        </w:rPr>
        <w:t xml:space="preserve">de substitution </w:t>
      </w:r>
      <w:r w:rsidR="0026663F" w:rsidRPr="008D3DE0">
        <w:rPr>
          <w:b/>
        </w:rPr>
        <w:t>à la détention préventive avant que les jugements soient prononcés</w:t>
      </w:r>
      <w:r w:rsidR="005D20D6" w:rsidRPr="008D3DE0">
        <w:rPr>
          <w:b/>
        </w:rPr>
        <w:t> </w:t>
      </w:r>
      <w:r w:rsidRPr="008D3DE0">
        <w:rPr>
          <w:b/>
        </w:rPr>
        <w:t>;</w:t>
      </w:r>
    </w:p>
    <w:p w14:paraId="00FCEFDD" w14:textId="2F56F86A" w:rsidR="001512A9" w:rsidRPr="008D3DE0" w:rsidRDefault="00C4067E" w:rsidP="00B23DE8">
      <w:pPr>
        <w:pStyle w:val="SingleTxtG"/>
        <w:tabs>
          <w:tab w:val="left" w:pos="2268"/>
        </w:tabs>
        <w:ind w:firstLine="555"/>
        <w:rPr>
          <w:b/>
        </w:rPr>
      </w:pPr>
      <w:r w:rsidRPr="008D3DE0">
        <w:rPr>
          <w:b/>
        </w:rPr>
        <w:t>c)</w:t>
      </w:r>
      <w:r w:rsidRPr="008D3DE0">
        <w:rPr>
          <w:b/>
        </w:rPr>
        <w:tab/>
        <w:t xml:space="preserve">Entreprendre des travaux de rénovation </w:t>
      </w:r>
      <w:r w:rsidR="006D71F6" w:rsidRPr="008D3DE0">
        <w:rPr>
          <w:b/>
        </w:rPr>
        <w:t xml:space="preserve">des centres de détention existants </w:t>
      </w:r>
      <w:r w:rsidRPr="008D3DE0">
        <w:rPr>
          <w:b/>
        </w:rPr>
        <w:t>et de construction de nouveaux centres</w:t>
      </w:r>
      <w:r w:rsidR="001512A9" w:rsidRPr="008D3DE0">
        <w:rPr>
          <w:b/>
        </w:rPr>
        <w:t> ;</w:t>
      </w:r>
    </w:p>
    <w:p w14:paraId="7B111F0F" w14:textId="7A9A0AF8" w:rsidR="00C4067E" w:rsidRPr="008D3DE0" w:rsidRDefault="001512A9" w:rsidP="00B23DE8">
      <w:pPr>
        <w:pStyle w:val="SingleTxtG"/>
        <w:tabs>
          <w:tab w:val="left" w:pos="2268"/>
        </w:tabs>
        <w:ind w:firstLine="555"/>
        <w:rPr>
          <w:b/>
        </w:rPr>
      </w:pPr>
      <w:r w:rsidRPr="008D3DE0">
        <w:rPr>
          <w:b/>
        </w:rPr>
        <w:t>d)</w:t>
      </w:r>
      <w:r w:rsidRPr="008D3DE0">
        <w:rPr>
          <w:b/>
        </w:rPr>
        <w:tab/>
      </w:r>
      <w:r w:rsidR="00E95190" w:rsidRPr="008D3DE0">
        <w:rPr>
          <w:b/>
        </w:rPr>
        <w:t xml:space="preserve">Mettre en place un système </w:t>
      </w:r>
      <w:r w:rsidR="006D71F6" w:rsidRPr="008D3DE0">
        <w:rPr>
          <w:b/>
        </w:rPr>
        <w:t>de substitution</w:t>
      </w:r>
      <w:r w:rsidR="00E95190" w:rsidRPr="008D3DE0">
        <w:rPr>
          <w:b/>
        </w:rPr>
        <w:t xml:space="preserve"> à la détention pour les femmes accusées de charlatanisme et de sorcellerie</w:t>
      </w:r>
      <w:r w:rsidRPr="008D3DE0">
        <w:rPr>
          <w:b/>
        </w:rPr>
        <w:t>.</w:t>
      </w:r>
    </w:p>
    <w:p w14:paraId="5AE16F8B" w14:textId="77777777" w:rsidR="00C4067E" w:rsidRPr="008D3DE0" w:rsidRDefault="00C4067E" w:rsidP="00C4067E">
      <w:pPr>
        <w:pStyle w:val="H23G"/>
        <w:rPr>
          <w:lang w:val="fr-FR"/>
        </w:rPr>
      </w:pPr>
      <w:r w:rsidRPr="008D3DE0">
        <w:rPr>
          <w:lang w:val="fr-FR"/>
        </w:rPr>
        <w:tab/>
      </w:r>
      <w:r w:rsidRPr="008D3DE0">
        <w:rPr>
          <w:lang w:val="fr-FR"/>
        </w:rPr>
        <w:tab/>
        <w:t>Détention arbitraire</w:t>
      </w:r>
    </w:p>
    <w:p w14:paraId="15811352" w14:textId="4CDC2E0F" w:rsidR="00C4067E" w:rsidRPr="008D3DE0" w:rsidRDefault="00C4067E" w:rsidP="0096622E">
      <w:pPr>
        <w:pStyle w:val="SingleTxtG"/>
        <w:tabs>
          <w:tab w:val="left" w:pos="1701"/>
          <w:tab w:val="left" w:pos="1843"/>
          <w:tab w:val="left" w:pos="2127"/>
        </w:tabs>
        <w:rPr>
          <w:lang w:val="fr-FR"/>
        </w:rPr>
      </w:pPr>
      <w:r w:rsidRPr="008D3DE0">
        <w:rPr>
          <w:lang w:val="fr-FR"/>
        </w:rPr>
        <w:t>25.</w:t>
      </w:r>
      <w:r w:rsidRPr="008D3DE0">
        <w:rPr>
          <w:lang w:val="fr-FR"/>
        </w:rPr>
        <w:tab/>
        <w:t xml:space="preserve">Le Comité s’inquiète de ce que le délai de garde à vue est de </w:t>
      </w:r>
      <w:r w:rsidR="007D39A7" w:rsidRPr="008D3DE0">
        <w:rPr>
          <w:lang w:val="fr-FR"/>
        </w:rPr>
        <w:t>soixante-douze</w:t>
      </w:r>
      <w:r w:rsidRPr="008D3DE0">
        <w:rPr>
          <w:lang w:val="fr-FR"/>
        </w:rPr>
        <w:t xml:space="preserve"> heures </w:t>
      </w:r>
      <w:r w:rsidR="007D39A7" w:rsidRPr="008D3DE0">
        <w:rPr>
          <w:lang w:val="fr-FR"/>
        </w:rPr>
        <w:t xml:space="preserve">et </w:t>
      </w:r>
      <w:r w:rsidRPr="008D3DE0">
        <w:rPr>
          <w:lang w:val="fr-FR"/>
        </w:rPr>
        <w:t xml:space="preserve">renouvelable une fois pour les lieux où réside un magistrat du </w:t>
      </w:r>
      <w:r w:rsidR="007D39A7" w:rsidRPr="008D3DE0">
        <w:rPr>
          <w:lang w:val="fr-FR"/>
        </w:rPr>
        <w:t>m</w:t>
      </w:r>
      <w:r w:rsidRPr="008D3DE0">
        <w:rPr>
          <w:lang w:val="fr-FR"/>
        </w:rPr>
        <w:t>inistère public</w:t>
      </w:r>
      <w:r w:rsidR="00E56E8E" w:rsidRPr="008D3DE0">
        <w:rPr>
          <w:lang w:val="fr-FR"/>
        </w:rPr>
        <w:t>,</w:t>
      </w:r>
      <w:r w:rsidRPr="008D3DE0">
        <w:rPr>
          <w:lang w:val="fr-FR"/>
        </w:rPr>
        <w:t xml:space="preserve"> et d’une durée qui peut aller jusqu’à </w:t>
      </w:r>
      <w:r w:rsidR="00E56E8E" w:rsidRPr="008D3DE0">
        <w:rPr>
          <w:lang w:val="fr-FR"/>
        </w:rPr>
        <w:t>huit</w:t>
      </w:r>
      <w:r w:rsidRPr="008D3DE0">
        <w:rPr>
          <w:lang w:val="fr-FR"/>
        </w:rPr>
        <w:t xml:space="preserve"> jours </w:t>
      </w:r>
      <w:r w:rsidR="00E56E8E" w:rsidRPr="008D3DE0">
        <w:rPr>
          <w:lang w:val="fr-FR"/>
        </w:rPr>
        <w:t xml:space="preserve">et </w:t>
      </w:r>
      <w:r w:rsidRPr="008D3DE0">
        <w:rPr>
          <w:lang w:val="fr-FR"/>
        </w:rPr>
        <w:t xml:space="preserve">renouvelable une fois pour les autres lieux. </w:t>
      </w:r>
      <w:r w:rsidR="00E56E8E" w:rsidRPr="008D3DE0">
        <w:rPr>
          <w:lang w:val="fr-FR"/>
        </w:rPr>
        <w:t>Il</w:t>
      </w:r>
      <w:r w:rsidRPr="008D3DE0">
        <w:rPr>
          <w:lang w:val="fr-FR"/>
        </w:rPr>
        <w:t xml:space="preserve"> est également préoccupé par les informations selon lesquelles dans la pratique, les délais de garde à vue et de détention préventive fixés par la loi ne sont pas observés, et que les magistrats du siège et du parquet ne visitent que rarement les lieux de privation de liberté, ce qui contribue au taux élevé de surpopulation carcérale et rend la détention arbitraire au sens de l’article 9 du Pacte (art.</w:t>
      </w:r>
      <w:r w:rsidR="00EE540C">
        <w:rPr>
          <w:lang w:val="fr-FR"/>
        </w:rPr>
        <w:t> </w:t>
      </w:r>
      <w:r w:rsidRPr="008D3DE0">
        <w:rPr>
          <w:lang w:val="fr-FR"/>
        </w:rPr>
        <w:t>9 et 14).</w:t>
      </w:r>
    </w:p>
    <w:p w14:paraId="13CEF2E1" w14:textId="39A85AE9" w:rsidR="00C4067E" w:rsidRPr="008D3DE0" w:rsidRDefault="00C4067E" w:rsidP="0096622E">
      <w:pPr>
        <w:pStyle w:val="SingleTxtG"/>
        <w:tabs>
          <w:tab w:val="left" w:pos="1701"/>
          <w:tab w:val="left" w:pos="1843"/>
          <w:tab w:val="left" w:pos="2127"/>
        </w:tabs>
        <w:rPr>
          <w:b/>
        </w:rPr>
      </w:pPr>
      <w:r w:rsidRPr="008D3DE0">
        <w:rPr>
          <w:lang w:val="fr-FR"/>
        </w:rPr>
        <w:t>26.</w:t>
      </w:r>
      <w:r w:rsidRPr="008D3DE0">
        <w:rPr>
          <w:b/>
          <w:lang w:val="fr-FR"/>
        </w:rPr>
        <w:tab/>
      </w:r>
      <w:r w:rsidRPr="008D3DE0">
        <w:rPr>
          <w:b/>
        </w:rPr>
        <w:t xml:space="preserve">L’État partie devrait prendre des mesures pour remédier à la situation des personnes qui sont en détention préventive </w:t>
      </w:r>
      <w:r w:rsidR="002A7F3F" w:rsidRPr="008D3DE0">
        <w:rPr>
          <w:b/>
        </w:rPr>
        <w:t>au-delà des délais prescrits par la loi, modifier celle-ci pour la rendre conforme à l’article 9 du Pacte</w:t>
      </w:r>
      <w:r w:rsidRPr="008D3DE0">
        <w:rPr>
          <w:b/>
        </w:rPr>
        <w:t> et garantir de manière systématique aux personnes en garde à vue, ou en détention préventive, la notification de leurs droits et l’application des garanties juridiques fondamentales, en particulier le droit d’accès à un avocat.</w:t>
      </w:r>
    </w:p>
    <w:p w14:paraId="05485D29" w14:textId="77777777" w:rsidR="00C4067E" w:rsidRPr="008D3DE0" w:rsidRDefault="00C4067E" w:rsidP="00C4067E">
      <w:pPr>
        <w:pStyle w:val="H23G"/>
        <w:rPr>
          <w:lang w:val="fr-FR"/>
        </w:rPr>
      </w:pPr>
      <w:r w:rsidRPr="008D3DE0">
        <w:rPr>
          <w:lang w:val="fr-FR"/>
        </w:rPr>
        <w:tab/>
      </w:r>
      <w:r w:rsidRPr="008D3DE0">
        <w:rPr>
          <w:lang w:val="fr-FR"/>
        </w:rPr>
        <w:tab/>
        <w:t>Administration de la justice</w:t>
      </w:r>
    </w:p>
    <w:p w14:paraId="442AA2F2" w14:textId="479D5557" w:rsidR="00C4067E" w:rsidRPr="008D3DE0" w:rsidRDefault="00C4067E" w:rsidP="0096622E">
      <w:pPr>
        <w:pStyle w:val="SingleTxtG"/>
        <w:tabs>
          <w:tab w:val="left" w:pos="1701"/>
          <w:tab w:val="left" w:pos="1843"/>
          <w:tab w:val="left" w:pos="2127"/>
        </w:tabs>
        <w:rPr>
          <w:lang w:val="fr-FR"/>
        </w:rPr>
      </w:pPr>
      <w:r w:rsidRPr="008D3DE0">
        <w:rPr>
          <w:lang w:val="fr-FR"/>
        </w:rPr>
        <w:t>27.</w:t>
      </w:r>
      <w:r w:rsidRPr="008D3DE0">
        <w:rPr>
          <w:lang w:val="fr-FR"/>
        </w:rPr>
        <w:tab/>
        <w:t xml:space="preserve">Tout en notant la volonté affichée </w:t>
      </w:r>
      <w:r w:rsidR="00A5112D" w:rsidRPr="008D3DE0">
        <w:rPr>
          <w:lang w:val="fr-FR"/>
        </w:rPr>
        <w:t>par</w:t>
      </w:r>
      <w:r w:rsidRPr="008D3DE0">
        <w:rPr>
          <w:lang w:val="fr-FR"/>
        </w:rPr>
        <w:t xml:space="preserve"> l’</w:t>
      </w:r>
      <w:r w:rsidR="00450276" w:rsidRPr="008D3DE0">
        <w:rPr>
          <w:lang w:val="fr-FR"/>
        </w:rPr>
        <w:t>État</w:t>
      </w:r>
      <w:r w:rsidRPr="008D3DE0">
        <w:rPr>
          <w:lang w:val="fr-FR"/>
        </w:rPr>
        <w:t xml:space="preserve"> partie de mettre en conformité son dispositif législatif actuel avec les exigences d’une justice indépendante, le Comité regrette que ces efforts </w:t>
      </w:r>
      <w:r w:rsidR="000A7F6F" w:rsidRPr="008D3DE0">
        <w:rPr>
          <w:lang w:val="fr-FR"/>
        </w:rPr>
        <w:t>n’aient</w:t>
      </w:r>
      <w:r w:rsidRPr="008D3DE0">
        <w:rPr>
          <w:lang w:val="fr-FR"/>
        </w:rPr>
        <w:t xml:space="preserve"> pas encore abouti à une réforme en ce sens et que des allégations fréquentes de corruption du système judiciaire </w:t>
      </w:r>
      <w:r w:rsidR="007A4417" w:rsidRPr="008D3DE0">
        <w:rPr>
          <w:lang w:val="fr-FR"/>
        </w:rPr>
        <w:t xml:space="preserve">soient </w:t>
      </w:r>
      <w:r w:rsidRPr="008D3DE0">
        <w:rPr>
          <w:lang w:val="fr-FR"/>
        </w:rPr>
        <w:t xml:space="preserve">rapportées sans que des réponses concrètes aient été pour l’instant </w:t>
      </w:r>
      <w:r w:rsidR="007A4417" w:rsidRPr="008D3DE0">
        <w:rPr>
          <w:lang w:val="fr-FR"/>
        </w:rPr>
        <w:t>élaborées</w:t>
      </w:r>
      <w:r w:rsidRPr="008D3DE0">
        <w:rPr>
          <w:lang w:val="fr-FR"/>
        </w:rPr>
        <w:t>. Le Comité est préoccupé par</w:t>
      </w:r>
      <w:r w:rsidR="0029445F" w:rsidRPr="008D3DE0">
        <w:rPr>
          <w:lang w:val="fr-FR"/>
        </w:rPr>
        <w:t xml:space="preserve"> </w:t>
      </w:r>
      <w:r w:rsidRPr="008D3DE0">
        <w:rPr>
          <w:lang w:val="fr-FR"/>
        </w:rPr>
        <w:t>l’insuffisance de magistrats et leur couverture géographique inégale sur le territoire</w:t>
      </w:r>
      <w:r w:rsidR="00E56E8E" w:rsidRPr="008D3DE0">
        <w:rPr>
          <w:lang w:val="fr-FR"/>
        </w:rPr>
        <w:t>,</w:t>
      </w:r>
      <w:r w:rsidRPr="008D3DE0">
        <w:rPr>
          <w:lang w:val="fr-FR"/>
        </w:rPr>
        <w:t xml:space="preserve"> se traduisant </w:t>
      </w:r>
      <w:r w:rsidRPr="00B23DE8">
        <w:rPr>
          <w:iCs/>
          <w:lang w:val="fr-FR"/>
        </w:rPr>
        <w:t>de facto</w:t>
      </w:r>
      <w:r w:rsidRPr="008D3DE0">
        <w:rPr>
          <w:lang w:val="fr-FR"/>
        </w:rPr>
        <w:t xml:space="preserve"> par l’inaccessibilité de la justice pour </w:t>
      </w:r>
      <w:r w:rsidR="00D1111F" w:rsidRPr="008D3DE0">
        <w:rPr>
          <w:lang w:val="fr-FR"/>
        </w:rPr>
        <w:t>certains (</w:t>
      </w:r>
      <w:r w:rsidRPr="008D3DE0">
        <w:rPr>
          <w:lang w:val="fr-FR"/>
        </w:rPr>
        <w:t>art.</w:t>
      </w:r>
      <w:r w:rsidR="00EE540C">
        <w:rPr>
          <w:lang w:val="fr-FR"/>
        </w:rPr>
        <w:t> </w:t>
      </w:r>
      <w:r w:rsidRPr="008D3DE0">
        <w:rPr>
          <w:lang w:val="fr-FR"/>
        </w:rPr>
        <w:t>2 et 14).</w:t>
      </w:r>
    </w:p>
    <w:p w14:paraId="32B9E878" w14:textId="50F66A32" w:rsidR="00C4067E" w:rsidRPr="008D3DE0" w:rsidRDefault="00C4067E" w:rsidP="0096622E">
      <w:pPr>
        <w:pStyle w:val="SingleTxtG"/>
        <w:tabs>
          <w:tab w:val="left" w:pos="1701"/>
          <w:tab w:val="left" w:pos="1843"/>
          <w:tab w:val="left" w:pos="2127"/>
        </w:tabs>
        <w:rPr>
          <w:b/>
        </w:rPr>
      </w:pPr>
      <w:r w:rsidRPr="008D3DE0">
        <w:rPr>
          <w:lang w:val="fr-FR"/>
        </w:rPr>
        <w:t>28.</w:t>
      </w:r>
      <w:r w:rsidRPr="008D3DE0">
        <w:rPr>
          <w:lang w:val="fr-FR"/>
        </w:rPr>
        <w:tab/>
      </w:r>
      <w:r w:rsidR="00E56E8E" w:rsidRPr="008D3DE0">
        <w:rPr>
          <w:b/>
          <w:lang w:val="fr-FR"/>
        </w:rPr>
        <w:t>Dans la continuité des</w:t>
      </w:r>
      <w:r w:rsidRPr="008D3DE0">
        <w:rPr>
          <w:b/>
          <w:lang w:val="fr-FR"/>
        </w:rPr>
        <w:t xml:space="preserve"> précédentes observations finales </w:t>
      </w:r>
      <w:r w:rsidR="00E56E8E" w:rsidRPr="008D3DE0">
        <w:rPr>
          <w:b/>
          <w:lang w:val="fr-FR"/>
        </w:rPr>
        <w:t xml:space="preserve">du Comité </w:t>
      </w:r>
      <w:r w:rsidRPr="008D3DE0">
        <w:rPr>
          <w:b/>
          <w:lang w:val="fr-FR"/>
        </w:rPr>
        <w:t>(CCPR/C/CAF/CO/2, par.</w:t>
      </w:r>
      <w:r w:rsidR="00EE540C">
        <w:rPr>
          <w:b/>
          <w:lang w:val="fr-FR"/>
        </w:rPr>
        <w:t> </w:t>
      </w:r>
      <w:r w:rsidRPr="008D3DE0">
        <w:rPr>
          <w:b/>
          <w:lang w:val="fr-FR"/>
        </w:rPr>
        <w:t>18), l</w:t>
      </w:r>
      <w:r w:rsidRPr="008D3DE0">
        <w:rPr>
          <w:b/>
        </w:rPr>
        <w:t>’État partie devrait</w:t>
      </w:r>
      <w:r w:rsidR="00E56E8E" w:rsidRPr="008D3DE0">
        <w:rPr>
          <w:b/>
        </w:rPr>
        <w:t> </w:t>
      </w:r>
      <w:r w:rsidRPr="008D3DE0">
        <w:rPr>
          <w:b/>
        </w:rPr>
        <w:t xml:space="preserve">: </w:t>
      </w:r>
    </w:p>
    <w:p w14:paraId="2118132B" w14:textId="1854D702" w:rsidR="00C4067E" w:rsidRPr="008D3DE0" w:rsidRDefault="00C4067E" w:rsidP="00B23DE8">
      <w:pPr>
        <w:pStyle w:val="SingleTxtG"/>
        <w:tabs>
          <w:tab w:val="left" w:pos="2268"/>
        </w:tabs>
        <w:ind w:firstLine="567"/>
        <w:rPr>
          <w:b/>
        </w:rPr>
      </w:pPr>
      <w:r w:rsidRPr="008D3DE0">
        <w:rPr>
          <w:b/>
        </w:rPr>
        <w:t>a)</w:t>
      </w:r>
      <w:r w:rsidRPr="008D3DE0">
        <w:rPr>
          <w:b/>
        </w:rPr>
        <w:tab/>
        <w:t>Lutter contre la corruption au sein du pouvoir judiciaire, notamment en réform</w:t>
      </w:r>
      <w:r w:rsidR="00452BDE" w:rsidRPr="008D3DE0">
        <w:rPr>
          <w:b/>
        </w:rPr>
        <w:t>ant le Conseil supérieur de la m</w:t>
      </w:r>
      <w:r w:rsidRPr="008D3DE0">
        <w:rPr>
          <w:b/>
        </w:rPr>
        <w:t>agistrature pour le rendre indépendant du pouvoir exécutif</w:t>
      </w:r>
      <w:r w:rsidR="00E56E8E" w:rsidRPr="008D3DE0">
        <w:rPr>
          <w:b/>
        </w:rPr>
        <w:t>,</w:t>
      </w:r>
      <w:r w:rsidRPr="008D3DE0">
        <w:rPr>
          <w:b/>
        </w:rPr>
        <w:t xml:space="preserve"> et en renforçant les procédures permettant de prémunir les magistrats </w:t>
      </w:r>
      <w:r w:rsidR="00A66240" w:rsidRPr="008D3DE0">
        <w:rPr>
          <w:b/>
        </w:rPr>
        <w:t xml:space="preserve">du siège et du parquet </w:t>
      </w:r>
      <w:r w:rsidR="00E56E8E" w:rsidRPr="008D3DE0">
        <w:rPr>
          <w:b/>
        </w:rPr>
        <w:t>contre</w:t>
      </w:r>
      <w:r w:rsidRPr="008D3DE0">
        <w:rPr>
          <w:b/>
        </w:rPr>
        <w:t xml:space="preserve"> toute forme d’ingérence et de corruption</w:t>
      </w:r>
      <w:r w:rsidR="00E56E8E" w:rsidRPr="008D3DE0">
        <w:rPr>
          <w:b/>
        </w:rPr>
        <w:t> </w:t>
      </w:r>
      <w:r w:rsidRPr="008D3DE0">
        <w:rPr>
          <w:b/>
        </w:rPr>
        <w:t>;</w:t>
      </w:r>
    </w:p>
    <w:p w14:paraId="33A42EB7" w14:textId="0AF93835" w:rsidR="00C4067E" w:rsidRPr="008D3DE0" w:rsidRDefault="00C4067E" w:rsidP="00B23DE8">
      <w:pPr>
        <w:pStyle w:val="SingleTxtG"/>
        <w:tabs>
          <w:tab w:val="left" w:pos="2268"/>
        </w:tabs>
        <w:ind w:firstLine="567"/>
        <w:rPr>
          <w:b/>
        </w:rPr>
      </w:pPr>
      <w:r w:rsidRPr="008D3DE0">
        <w:rPr>
          <w:b/>
        </w:rPr>
        <w:t>b)</w:t>
      </w:r>
      <w:r w:rsidRPr="008D3DE0">
        <w:rPr>
          <w:b/>
        </w:rPr>
        <w:tab/>
        <w:t>Garantir, dans la pratique, l’inamovibilité des magistrats du siège et du parquet</w:t>
      </w:r>
      <w:r w:rsidR="00E56E8E" w:rsidRPr="008D3DE0">
        <w:rPr>
          <w:b/>
        </w:rPr>
        <w:t> </w:t>
      </w:r>
      <w:r w:rsidRPr="008D3DE0">
        <w:rPr>
          <w:b/>
        </w:rPr>
        <w:t xml:space="preserve">; </w:t>
      </w:r>
    </w:p>
    <w:p w14:paraId="463D9DBF" w14:textId="510CBD82" w:rsidR="00E56E8E" w:rsidRPr="008D3DE0" w:rsidRDefault="00C4067E" w:rsidP="00B23DE8">
      <w:pPr>
        <w:pStyle w:val="SingleTxtG"/>
        <w:tabs>
          <w:tab w:val="left" w:pos="2268"/>
        </w:tabs>
        <w:ind w:firstLine="567"/>
        <w:rPr>
          <w:b/>
        </w:rPr>
      </w:pPr>
      <w:r w:rsidRPr="008D3DE0">
        <w:rPr>
          <w:b/>
        </w:rPr>
        <w:t>c)</w:t>
      </w:r>
      <w:r w:rsidRPr="008D3DE0">
        <w:rPr>
          <w:b/>
        </w:rPr>
        <w:tab/>
        <w:t xml:space="preserve">Recruter et former un nombre suffisant de magistrats afin de garantir une bonne administration de la justice sur tout </w:t>
      </w:r>
      <w:r w:rsidR="00E56E8E" w:rsidRPr="008D3DE0">
        <w:rPr>
          <w:b/>
        </w:rPr>
        <w:t>son</w:t>
      </w:r>
      <w:r w:rsidRPr="008D3DE0">
        <w:rPr>
          <w:b/>
        </w:rPr>
        <w:t xml:space="preserve"> territoire</w:t>
      </w:r>
      <w:r w:rsidR="00E56E8E" w:rsidRPr="008D3DE0">
        <w:rPr>
          <w:b/>
        </w:rPr>
        <w:t>,</w:t>
      </w:r>
      <w:r w:rsidRPr="008D3DE0">
        <w:rPr>
          <w:b/>
        </w:rPr>
        <w:t xml:space="preserve"> et de lutter contre la criminalité et l’impunité</w:t>
      </w:r>
      <w:r w:rsidR="00E56E8E" w:rsidRPr="008D3DE0">
        <w:rPr>
          <w:b/>
        </w:rPr>
        <w:t> ;</w:t>
      </w:r>
    </w:p>
    <w:p w14:paraId="3CA0F101" w14:textId="50841C50" w:rsidR="00C4067E" w:rsidRPr="008D3DE0" w:rsidRDefault="00E56E8E" w:rsidP="00B23DE8">
      <w:pPr>
        <w:pStyle w:val="SingleTxtG"/>
        <w:tabs>
          <w:tab w:val="left" w:pos="2268"/>
        </w:tabs>
        <w:ind w:firstLine="567"/>
        <w:rPr>
          <w:b/>
        </w:rPr>
      </w:pPr>
      <w:r w:rsidRPr="008D3DE0">
        <w:rPr>
          <w:b/>
        </w:rPr>
        <w:lastRenderedPageBreak/>
        <w:t>d)</w:t>
      </w:r>
      <w:r w:rsidRPr="008D3DE0">
        <w:rPr>
          <w:b/>
        </w:rPr>
        <w:tab/>
        <w:t>Allouer d</w:t>
      </w:r>
      <w:r w:rsidR="00C4067E" w:rsidRPr="008D3DE0">
        <w:rPr>
          <w:b/>
        </w:rPr>
        <w:t xml:space="preserve">es ressources budgétaires suffisantes à l’administration de la justice ; </w:t>
      </w:r>
    </w:p>
    <w:p w14:paraId="054A9AFE" w14:textId="773F194D" w:rsidR="00C4067E" w:rsidRPr="008D3DE0" w:rsidRDefault="00E56E8E" w:rsidP="00B23DE8">
      <w:pPr>
        <w:pStyle w:val="SingleTxtG"/>
        <w:tabs>
          <w:tab w:val="left" w:pos="2268"/>
        </w:tabs>
        <w:ind w:firstLine="567"/>
      </w:pPr>
      <w:r w:rsidRPr="008D3DE0">
        <w:rPr>
          <w:b/>
        </w:rPr>
        <w:t>e</w:t>
      </w:r>
      <w:r w:rsidR="00C4067E" w:rsidRPr="008D3DE0">
        <w:rPr>
          <w:b/>
        </w:rPr>
        <w:t>)</w:t>
      </w:r>
      <w:r w:rsidR="00C4067E" w:rsidRPr="008D3DE0">
        <w:rPr>
          <w:b/>
        </w:rPr>
        <w:tab/>
        <w:t>Renforcer les mesures visant à garantir l’accès à la justice pour tous, notamment en investissant dans les systèmes de justice itinérante</w:t>
      </w:r>
      <w:r w:rsidRPr="008D3DE0">
        <w:rPr>
          <w:b/>
        </w:rPr>
        <w:t>,</w:t>
      </w:r>
      <w:r w:rsidR="00C4067E" w:rsidRPr="008D3DE0">
        <w:rPr>
          <w:b/>
        </w:rPr>
        <w:t> tout en tenant compte des limites actuelles liées à l’insécurité.</w:t>
      </w:r>
    </w:p>
    <w:p w14:paraId="1A28BDC5" w14:textId="4ABAA2EC" w:rsidR="00C4067E" w:rsidRPr="008D3DE0" w:rsidRDefault="00C4067E" w:rsidP="00C4067E">
      <w:pPr>
        <w:pStyle w:val="H23G"/>
        <w:rPr>
          <w:lang w:val="fr-FR"/>
        </w:rPr>
      </w:pPr>
      <w:r w:rsidRPr="008D3DE0">
        <w:rPr>
          <w:lang w:val="fr-FR"/>
        </w:rPr>
        <w:tab/>
      </w:r>
      <w:r w:rsidRPr="008D3DE0">
        <w:rPr>
          <w:lang w:val="fr-FR"/>
        </w:rPr>
        <w:tab/>
        <w:t>Traite des êtres humains, travail forcé et enfants</w:t>
      </w:r>
      <w:r w:rsidR="00E56E8E" w:rsidRPr="008D3DE0">
        <w:rPr>
          <w:lang w:val="fr-FR"/>
        </w:rPr>
        <w:t xml:space="preserve"> </w:t>
      </w:r>
      <w:r w:rsidRPr="008D3DE0">
        <w:rPr>
          <w:lang w:val="fr-FR"/>
        </w:rPr>
        <w:t>soldats</w:t>
      </w:r>
    </w:p>
    <w:p w14:paraId="2804EA96" w14:textId="447D8E1D" w:rsidR="00C4067E" w:rsidRPr="008D3DE0" w:rsidRDefault="00C4067E" w:rsidP="0096622E">
      <w:pPr>
        <w:pStyle w:val="SingleTxtG"/>
        <w:tabs>
          <w:tab w:val="left" w:pos="1701"/>
          <w:tab w:val="left" w:pos="1843"/>
          <w:tab w:val="left" w:pos="2127"/>
        </w:tabs>
        <w:rPr>
          <w:lang w:val="fr-FR"/>
        </w:rPr>
      </w:pPr>
      <w:r w:rsidRPr="008D3DE0">
        <w:rPr>
          <w:lang w:val="fr-FR"/>
        </w:rPr>
        <w:t>29.</w:t>
      </w:r>
      <w:r w:rsidRPr="008D3DE0">
        <w:rPr>
          <w:lang w:val="fr-FR"/>
        </w:rPr>
        <w:tab/>
        <w:t xml:space="preserve">Malgré la volonté affichée </w:t>
      </w:r>
      <w:r w:rsidR="00A5112D" w:rsidRPr="008D3DE0">
        <w:rPr>
          <w:lang w:val="fr-FR"/>
        </w:rPr>
        <w:t>par</w:t>
      </w:r>
      <w:r w:rsidRPr="008D3DE0">
        <w:rPr>
          <w:lang w:val="fr-FR"/>
        </w:rPr>
        <w:t xml:space="preserve"> l’</w:t>
      </w:r>
      <w:r w:rsidR="00450276" w:rsidRPr="008D3DE0">
        <w:rPr>
          <w:lang w:val="fr-FR"/>
        </w:rPr>
        <w:t>État</w:t>
      </w:r>
      <w:r w:rsidRPr="008D3DE0">
        <w:rPr>
          <w:lang w:val="fr-FR"/>
        </w:rPr>
        <w:t xml:space="preserve"> partie de s’attaquer à la traite des personnes et notamment des enfants, le Comité est préoccupé par l’impunité qui persiste</w:t>
      </w:r>
      <w:r w:rsidR="00A66240" w:rsidRPr="008D3DE0">
        <w:rPr>
          <w:lang w:val="fr-FR"/>
        </w:rPr>
        <w:t>,</w:t>
      </w:r>
      <w:r w:rsidRPr="008D3DE0">
        <w:rPr>
          <w:lang w:val="fr-FR"/>
        </w:rPr>
        <w:t xml:space="preserve"> </w:t>
      </w:r>
      <w:r w:rsidR="001B2431" w:rsidRPr="008D3DE0">
        <w:rPr>
          <w:lang w:val="fr-FR"/>
        </w:rPr>
        <w:t>laquelle</w:t>
      </w:r>
      <w:r w:rsidRPr="008D3DE0">
        <w:rPr>
          <w:lang w:val="fr-FR"/>
        </w:rPr>
        <w:t xml:space="preserve"> se traduit notamment par l’absence d’informations sur des poursuites et </w:t>
      </w:r>
      <w:r w:rsidR="001B2431" w:rsidRPr="008D3DE0">
        <w:rPr>
          <w:lang w:val="fr-FR"/>
        </w:rPr>
        <w:t xml:space="preserve">des </w:t>
      </w:r>
      <w:r w:rsidRPr="008D3DE0">
        <w:rPr>
          <w:lang w:val="fr-FR"/>
        </w:rPr>
        <w:t xml:space="preserve">condamnations au titre de l’article 151 du </w:t>
      </w:r>
      <w:r w:rsidR="001B2431" w:rsidRPr="008D3DE0">
        <w:rPr>
          <w:lang w:val="fr-FR"/>
        </w:rPr>
        <w:t>C</w:t>
      </w:r>
      <w:r w:rsidRPr="008D3DE0">
        <w:rPr>
          <w:lang w:val="fr-FR"/>
        </w:rPr>
        <w:t>ode pénal pour traite d’êtres humains. Le Comité s’</w:t>
      </w:r>
      <w:r w:rsidR="00D1111F" w:rsidRPr="008D3DE0">
        <w:rPr>
          <w:lang w:val="fr-FR"/>
        </w:rPr>
        <w:t>alarme des</w:t>
      </w:r>
      <w:r w:rsidRPr="008D3DE0">
        <w:rPr>
          <w:lang w:val="fr-FR"/>
        </w:rPr>
        <w:t xml:space="preserve"> allégations de recrutement et d’utilisation d’enfants par des groupes armés aux fins d’exploitation en tant que combattants</w:t>
      </w:r>
      <w:r w:rsidR="00A5112D" w:rsidRPr="008D3DE0">
        <w:rPr>
          <w:lang w:val="fr-FR"/>
        </w:rPr>
        <w:t xml:space="preserve"> et</w:t>
      </w:r>
      <w:r w:rsidRPr="008D3DE0">
        <w:rPr>
          <w:lang w:val="fr-FR"/>
        </w:rPr>
        <w:t xml:space="preserve"> esclaves sexuels</w:t>
      </w:r>
      <w:r w:rsidR="00A5112D" w:rsidRPr="008D3DE0">
        <w:rPr>
          <w:lang w:val="fr-FR"/>
        </w:rPr>
        <w:t>,</w:t>
      </w:r>
      <w:r w:rsidRPr="008D3DE0">
        <w:rPr>
          <w:lang w:val="fr-FR"/>
        </w:rPr>
        <w:t xml:space="preserve"> </w:t>
      </w:r>
      <w:r w:rsidR="00A5112D" w:rsidRPr="008D3DE0">
        <w:rPr>
          <w:lang w:val="fr-FR"/>
        </w:rPr>
        <w:t>ainsi que</w:t>
      </w:r>
      <w:r w:rsidRPr="008D3DE0">
        <w:rPr>
          <w:lang w:val="fr-FR"/>
        </w:rPr>
        <w:t xml:space="preserve"> dans le secteur de </w:t>
      </w:r>
      <w:r w:rsidRPr="008D3DE0">
        <w:t>l’extraction minière</w:t>
      </w:r>
      <w:r w:rsidRPr="008D3DE0">
        <w:rPr>
          <w:lang w:val="fr-FR"/>
        </w:rPr>
        <w:t xml:space="preserve"> (art.</w:t>
      </w:r>
      <w:r w:rsidR="00EE540C">
        <w:rPr>
          <w:lang w:val="fr-FR"/>
        </w:rPr>
        <w:t> </w:t>
      </w:r>
      <w:r w:rsidRPr="008D3DE0">
        <w:rPr>
          <w:lang w:val="fr-FR"/>
        </w:rPr>
        <w:t>7, 8</w:t>
      </w:r>
      <w:r w:rsidR="001B2431" w:rsidRPr="008D3DE0">
        <w:rPr>
          <w:lang w:val="fr-FR"/>
        </w:rPr>
        <w:t xml:space="preserve"> et</w:t>
      </w:r>
      <w:r w:rsidRPr="008D3DE0">
        <w:rPr>
          <w:lang w:val="fr-FR"/>
        </w:rPr>
        <w:t xml:space="preserve"> 24). </w:t>
      </w:r>
    </w:p>
    <w:p w14:paraId="70D31921" w14:textId="1FC1B57F" w:rsidR="001B2431" w:rsidRPr="008D3DE0" w:rsidRDefault="00C4067E" w:rsidP="0096622E">
      <w:pPr>
        <w:pStyle w:val="SingleTxtG"/>
        <w:tabs>
          <w:tab w:val="left" w:pos="1701"/>
          <w:tab w:val="left" w:pos="1843"/>
          <w:tab w:val="left" w:pos="2127"/>
        </w:tabs>
        <w:rPr>
          <w:b/>
        </w:rPr>
      </w:pPr>
      <w:r w:rsidRPr="008D3DE0">
        <w:rPr>
          <w:lang w:val="fr-FR"/>
        </w:rPr>
        <w:t>30.</w:t>
      </w:r>
      <w:r w:rsidRPr="008D3DE0">
        <w:rPr>
          <w:b/>
          <w:lang w:val="fr-FR"/>
        </w:rPr>
        <w:tab/>
      </w:r>
      <w:r w:rsidRPr="008D3DE0">
        <w:rPr>
          <w:b/>
        </w:rPr>
        <w:t xml:space="preserve">L’État partie devrait poursuivre et intensifier son action visant : </w:t>
      </w:r>
    </w:p>
    <w:p w14:paraId="2F7F62B8" w14:textId="41823261" w:rsidR="001B2431" w:rsidRPr="008D3DE0" w:rsidRDefault="00C4067E" w:rsidP="00B23DE8">
      <w:pPr>
        <w:pStyle w:val="SingleTxtG"/>
        <w:tabs>
          <w:tab w:val="left" w:pos="2268"/>
        </w:tabs>
        <w:ind w:firstLine="567"/>
        <w:rPr>
          <w:b/>
        </w:rPr>
      </w:pPr>
      <w:r w:rsidRPr="008D3DE0">
        <w:rPr>
          <w:b/>
        </w:rPr>
        <w:t>a)</w:t>
      </w:r>
      <w:r w:rsidR="001B2431" w:rsidRPr="008D3DE0">
        <w:rPr>
          <w:b/>
        </w:rPr>
        <w:tab/>
        <w:t xml:space="preserve">À </w:t>
      </w:r>
      <w:r w:rsidRPr="008D3DE0">
        <w:rPr>
          <w:b/>
        </w:rPr>
        <w:t xml:space="preserve">prévenir, </w:t>
      </w:r>
      <w:r w:rsidR="001B2431" w:rsidRPr="008D3DE0">
        <w:rPr>
          <w:b/>
        </w:rPr>
        <w:t xml:space="preserve">à </w:t>
      </w:r>
      <w:r w:rsidRPr="008D3DE0">
        <w:rPr>
          <w:b/>
        </w:rPr>
        <w:t xml:space="preserve">combattre et </w:t>
      </w:r>
      <w:r w:rsidR="001B2431" w:rsidRPr="008D3DE0">
        <w:rPr>
          <w:b/>
        </w:rPr>
        <w:t xml:space="preserve">à </w:t>
      </w:r>
      <w:r w:rsidRPr="008D3DE0">
        <w:rPr>
          <w:b/>
        </w:rPr>
        <w:t xml:space="preserve">réprimer les formes contemporaines d’esclavage, le travail forcé et la traite des êtres humains en faisant une application rigoureuse des dispositions du </w:t>
      </w:r>
      <w:r w:rsidR="001B2431" w:rsidRPr="008D3DE0">
        <w:rPr>
          <w:b/>
        </w:rPr>
        <w:t>C</w:t>
      </w:r>
      <w:r w:rsidRPr="008D3DE0">
        <w:rPr>
          <w:b/>
        </w:rPr>
        <w:t xml:space="preserve">ode pénal ; </w:t>
      </w:r>
    </w:p>
    <w:p w14:paraId="6D98351B" w14:textId="35E893BF" w:rsidR="001B2431" w:rsidRPr="008D3DE0" w:rsidRDefault="00C4067E" w:rsidP="00B23DE8">
      <w:pPr>
        <w:pStyle w:val="SingleTxtG"/>
        <w:tabs>
          <w:tab w:val="left" w:pos="2268"/>
        </w:tabs>
        <w:ind w:firstLine="567"/>
        <w:rPr>
          <w:b/>
        </w:rPr>
      </w:pPr>
      <w:r w:rsidRPr="008D3DE0">
        <w:rPr>
          <w:b/>
        </w:rPr>
        <w:t>b)</w:t>
      </w:r>
      <w:r w:rsidR="001B2431" w:rsidRPr="008D3DE0">
        <w:rPr>
          <w:b/>
        </w:rPr>
        <w:tab/>
        <w:t xml:space="preserve">À </w:t>
      </w:r>
      <w:r w:rsidRPr="008D3DE0">
        <w:rPr>
          <w:b/>
          <w:bCs/>
        </w:rPr>
        <w:t>mettre un terme à l’implication des enfants dans les conflits armés, en procédant à l’accélération des opérations de désarmement et de démobilisation des groupes armés</w:t>
      </w:r>
      <w:r w:rsidR="001B2431" w:rsidRPr="008D3DE0">
        <w:rPr>
          <w:b/>
          <w:bCs/>
        </w:rPr>
        <w:t>,</w:t>
      </w:r>
      <w:r w:rsidRPr="008D3DE0">
        <w:rPr>
          <w:b/>
          <w:bCs/>
        </w:rPr>
        <w:t> et à la réintégration des enfants dans leur famille tout en veillant à l’intérêt supérieur de ces enfants ;</w:t>
      </w:r>
    </w:p>
    <w:p w14:paraId="5FA842EC" w14:textId="56C8DC89" w:rsidR="00C4067E" w:rsidRPr="008D3DE0" w:rsidRDefault="00C4067E" w:rsidP="00B23DE8">
      <w:pPr>
        <w:pStyle w:val="SingleTxtG"/>
        <w:tabs>
          <w:tab w:val="left" w:pos="2268"/>
        </w:tabs>
        <w:ind w:firstLine="567"/>
        <w:rPr>
          <w:b/>
        </w:rPr>
      </w:pPr>
      <w:r w:rsidRPr="008D3DE0">
        <w:rPr>
          <w:b/>
        </w:rPr>
        <w:t>c</w:t>
      </w:r>
      <w:r w:rsidRPr="008D3DE0">
        <w:rPr>
          <w:b/>
          <w:bCs/>
        </w:rPr>
        <w:t>)</w:t>
      </w:r>
      <w:r w:rsidR="001B2431" w:rsidRPr="008D3DE0">
        <w:rPr>
          <w:b/>
          <w:bCs/>
        </w:rPr>
        <w:tab/>
        <w:t xml:space="preserve">À </w:t>
      </w:r>
      <w:r w:rsidRPr="008D3DE0">
        <w:rPr>
          <w:b/>
          <w:bCs/>
        </w:rPr>
        <w:t>éliminer toutes les formes d’exploitation de la main</w:t>
      </w:r>
      <w:r w:rsidR="001B2431" w:rsidRPr="008D3DE0">
        <w:rPr>
          <w:b/>
          <w:bCs/>
        </w:rPr>
        <w:t>-</w:t>
      </w:r>
      <w:r w:rsidRPr="008D3DE0">
        <w:rPr>
          <w:b/>
          <w:bCs/>
        </w:rPr>
        <w:t>d’œuvre enfantine, en particulier dans les industries extractives.</w:t>
      </w:r>
    </w:p>
    <w:p w14:paraId="551C4E0C" w14:textId="4E4FED6B" w:rsidR="00C4067E" w:rsidRPr="008D3DE0" w:rsidRDefault="0096622E" w:rsidP="0096622E">
      <w:pPr>
        <w:pStyle w:val="H23G"/>
      </w:pPr>
      <w:r w:rsidRPr="008D3DE0">
        <w:tab/>
      </w:r>
      <w:r w:rsidRPr="008D3DE0">
        <w:tab/>
      </w:r>
      <w:r w:rsidR="00C4067E" w:rsidRPr="008D3DE0">
        <w:t>Personnes déplacées, réfugiés et apatrides</w:t>
      </w:r>
    </w:p>
    <w:p w14:paraId="39EAF4EE" w14:textId="7DD8F531" w:rsidR="00C4067E" w:rsidRPr="008D3DE0" w:rsidRDefault="00C4067E" w:rsidP="0096622E">
      <w:pPr>
        <w:pStyle w:val="SingleTxtG"/>
        <w:tabs>
          <w:tab w:val="left" w:pos="1701"/>
          <w:tab w:val="left" w:pos="1843"/>
          <w:tab w:val="left" w:pos="2127"/>
        </w:tabs>
        <w:rPr>
          <w:b/>
        </w:rPr>
      </w:pPr>
      <w:r w:rsidRPr="008D3DE0">
        <w:t>31.</w:t>
      </w:r>
      <w:r w:rsidRPr="008D3DE0">
        <w:tab/>
        <w:t xml:space="preserve">Le Comité est préoccupé par le </w:t>
      </w:r>
      <w:r w:rsidR="00A70C6D" w:rsidRPr="008D3DE0">
        <w:t xml:space="preserve">grand nombre de personnes déplacées à l’intérieur du pays et de </w:t>
      </w:r>
      <w:r w:rsidRPr="008D3DE0">
        <w:t>réfugié</w:t>
      </w:r>
      <w:r w:rsidR="00A70C6D" w:rsidRPr="008D3DE0">
        <w:t>s</w:t>
      </w:r>
      <w:r w:rsidRPr="008D3DE0">
        <w:t xml:space="preserve"> dans les pays voisins. Tout en notant les efforts affichés pour permettre un retour des déplacés dans leur lieu d’origine</w:t>
      </w:r>
      <w:r w:rsidR="00A70C6D" w:rsidRPr="008D3DE0">
        <w:t xml:space="preserve"> et les retours volontaires de réfugiés</w:t>
      </w:r>
      <w:r w:rsidRPr="008D3DE0">
        <w:t>, le Comité regrette le manque d’information</w:t>
      </w:r>
      <w:r w:rsidR="001B2431" w:rsidRPr="008D3DE0">
        <w:t>s</w:t>
      </w:r>
      <w:r w:rsidRPr="008D3DE0">
        <w:t xml:space="preserve"> concrète</w:t>
      </w:r>
      <w:r w:rsidR="001B2431" w:rsidRPr="008D3DE0">
        <w:t>s</w:t>
      </w:r>
      <w:r w:rsidRPr="008D3DE0">
        <w:t xml:space="preserve"> sur la stratégie utilisée pour permettre </w:t>
      </w:r>
      <w:r w:rsidR="001B2431" w:rsidRPr="008D3DE0">
        <w:t>de tels</w:t>
      </w:r>
      <w:r w:rsidRPr="008D3DE0">
        <w:t xml:space="preserve"> retour</w:t>
      </w:r>
      <w:r w:rsidR="001B2431" w:rsidRPr="008D3DE0">
        <w:t>s</w:t>
      </w:r>
      <w:r w:rsidRPr="008D3DE0">
        <w:t xml:space="preserve"> dans des conditions sûres et durables. </w:t>
      </w:r>
      <w:r w:rsidR="001B2431" w:rsidRPr="008D3DE0">
        <w:t>Il</w:t>
      </w:r>
      <w:r w:rsidRPr="008D3DE0">
        <w:t xml:space="preserve"> regrette</w:t>
      </w:r>
      <w:r w:rsidR="001B2431" w:rsidRPr="008D3DE0">
        <w:t xml:space="preserve"> également</w:t>
      </w:r>
      <w:r w:rsidRPr="008D3DE0">
        <w:t xml:space="preserve"> les restrictions actuelles à l’enregistrement </w:t>
      </w:r>
      <w:r w:rsidRPr="008D3DE0">
        <w:rPr>
          <w:lang w:val="fr-FR"/>
        </w:rPr>
        <w:t>des</w:t>
      </w:r>
      <w:r w:rsidRPr="008D3DE0">
        <w:t xml:space="preserve"> naissances</w:t>
      </w:r>
      <w:r w:rsidR="001B2431" w:rsidRPr="008D3DE0">
        <w:t>,</w:t>
      </w:r>
      <w:r w:rsidRPr="008D3DE0">
        <w:t xml:space="preserve"> qui n’est pas gratuit et doit s’opérer dans les trente jours suivant la naissance</w:t>
      </w:r>
      <w:r w:rsidR="001B2431" w:rsidRPr="008D3DE0">
        <w:t>,</w:t>
      </w:r>
      <w:r w:rsidRPr="008D3DE0">
        <w:t xml:space="preserve"> ce qui, en l’absence d’officier d’état civil dans une grande partie du territoire, entraîne un risque accru d’apatridie (art.</w:t>
      </w:r>
      <w:r w:rsidR="00EE540C">
        <w:t> </w:t>
      </w:r>
      <w:r w:rsidRPr="008D3DE0">
        <w:t>7, 12, 13, 16</w:t>
      </w:r>
      <w:r w:rsidR="001B2431" w:rsidRPr="008D3DE0">
        <w:t xml:space="preserve"> et</w:t>
      </w:r>
      <w:r w:rsidRPr="008D3DE0">
        <w:t xml:space="preserve"> 24).</w:t>
      </w:r>
    </w:p>
    <w:p w14:paraId="24C6DB1F" w14:textId="07434E5E" w:rsidR="001B2431" w:rsidRPr="008D3DE0" w:rsidRDefault="006D7914" w:rsidP="0096622E">
      <w:pPr>
        <w:pStyle w:val="SingleTxtG"/>
        <w:tabs>
          <w:tab w:val="left" w:pos="1701"/>
          <w:tab w:val="left" w:pos="1843"/>
          <w:tab w:val="left" w:pos="2127"/>
        </w:tabs>
        <w:rPr>
          <w:b/>
        </w:rPr>
      </w:pPr>
      <w:r w:rsidRPr="008D3DE0">
        <w:t>32.</w:t>
      </w:r>
      <w:r w:rsidR="0096622E" w:rsidRPr="008D3DE0">
        <w:tab/>
      </w:r>
      <w:r w:rsidR="00C4067E" w:rsidRPr="008D3DE0">
        <w:rPr>
          <w:b/>
        </w:rPr>
        <w:t>L’</w:t>
      </w:r>
      <w:r w:rsidR="00450276" w:rsidRPr="008D3DE0">
        <w:rPr>
          <w:b/>
        </w:rPr>
        <w:t>État</w:t>
      </w:r>
      <w:r w:rsidR="00C4067E" w:rsidRPr="008D3DE0">
        <w:rPr>
          <w:b/>
        </w:rPr>
        <w:t xml:space="preserve"> partie devrait : </w:t>
      </w:r>
    </w:p>
    <w:p w14:paraId="19488479" w14:textId="041E4F0F" w:rsidR="001B2431" w:rsidRPr="008D3DE0" w:rsidRDefault="00C4067E" w:rsidP="00B23DE8">
      <w:pPr>
        <w:pStyle w:val="SingleTxtG"/>
        <w:tabs>
          <w:tab w:val="left" w:pos="2268"/>
        </w:tabs>
        <w:ind w:firstLine="567"/>
        <w:rPr>
          <w:b/>
        </w:rPr>
      </w:pPr>
      <w:r w:rsidRPr="008D3DE0">
        <w:rPr>
          <w:b/>
        </w:rPr>
        <w:t>a)</w:t>
      </w:r>
      <w:r w:rsidR="001B2431" w:rsidRPr="008D3DE0">
        <w:rPr>
          <w:b/>
        </w:rPr>
        <w:tab/>
        <w:t>É</w:t>
      </w:r>
      <w:r w:rsidRPr="008D3DE0">
        <w:rPr>
          <w:b/>
        </w:rPr>
        <w:t xml:space="preserve">laborer et adopter un cadre juridique et une stratégie nationale </w:t>
      </w:r>
      <w:r w:rsidRPr="008D3DE0">
        <w:rPr>
          <w:b/>
          <w:bCs/>
        </w:rPr>
        <w:t>portant</w:t>
      </w:r>
      <w:r w:rsidRPr="008D3DE0">
        <w:rPr>
          <w:b/>
        </w:rPr>
        <w:t xml:space="preserve"> assistance et protection aux personnes déplacées à l’intérieur du pays, conformément aux normes internationales pertinentes, notamment </w:t>
      </w:r>
      <w:r w:rsidR="00452BDE" w:rsidRPr="008D3DE0">
        <w:rPr>
          <w:b/>
        </w:rPr>
        <w:t>la Convention de l’Union a</w:t>
      </w:r>
      <w:r w:rsidR="004401E6" w:rsidRPr="008D3DE0">
        <w:rPr>
          <w:b/>
        </w:rPr>
        <w:t xml:space="preserve">fricaine sur la protection et l’assistance aux personnes déplacées en Afrique (Convention de Kampala) et </w:t>
      </w:r>
      <w:r w:rsidRPr="008D3DE0">
        <w:rPr>
          <w:b/>
        </w:rPr>
        <w:t xml:space="preserve">les Principes directeurs relatifs au déplacement de personnes à l’intérieur de leur propre pays ; </w:t>
      </w:r>
    </w:p>
    <w:p w14:paraId="68247B10" w14:textId="29A7D196" w:rsidR="001B2431" w:rsidRPr="008D3DE0" w:rsidRDefault="00C4067E" w:rsidP="00B23DE8">
      <w:pPr>
        <w:pStyle w:val="SingleTxtG"/>
        <w:tabs>
          <w:tab w:val="left" w:pos="2268"/>
        </w:tabs>
        <w:ind w:firstLine="567"/>
        <w:rPr>
          <w:b/>
        </w:rPr>
      </w:pPr>
      <w:r w:rsidRPr="008D3DE0">
        <w:rPr>
          <w:b/>
        </w:rPr>
        <w:t>b)</w:t>
      </w:r>
      <w:r w:rsidR="001B2431" w:rsidRPr="008D3DE0">
        <w:rPr>
          <w:b/>
        </w:rPr>
        <w:tab/>
        <w:t>C</w:t>
      </w:r>
      <w:r w:rsidRPr="008D3DE0">
        <w:rPr>
          <w:b/>
        </w:rPr>
        <w:t>réer des conditions offrant des solutions durables pour les personnes déplacées</w:t>
      </w:r>
      <w:r w:rsidR="00243C42" w:rsidRPr="008D3DE0">
        <w:rPr>
          <w:b/>
        </w:rPr>
        <w:t xml:space="preserve"> et les réfugiés apatrides</w:t>
      </w:r>
      <w:r w:rsidRPr="008D3DE0">
        <w:rPr>
          <w:b/>
        </w:rPr>
        <w:t>, y compris leur retour librement consenti en toute sécurité ;</w:t>
      </w:r>
    </w:p>
    <w:p w14:paraId="05C32EBF" w14:textId="3CD09E90" w:rsidR="00C4067E" w:rsidRPr="008D3DE0" w:rsidRDefault="00C4067E" w:rsidP="00B23DE8">
      <w:pPr>
        <w:pStyle w:val="SingleTxtG"/>
        <w:tabs>
          <w:tab w:val="left" w:pos="2268"/>
        </w:tabs>
        <w:ind w:firstLine="567"/>
        <w:rPr>
          <w:b/>
        </w:rPr>
      </w:pPr>
      <w:r w:rsidRPr="008D3DE0">
        <w:rPr>
          <w:b/>
        </w:rPr>
        <w:t>c)</w:t>
      </w:r>
      <w:r w:rsidR="00656662" w:rsidRPr="008D3DE0">
        <w:rPr>
          <w:b/>
        </w:rPr>
        <w:tab/>
        <w:t>F</w:t>
      </w:r>
      <w:r w:rsidRPr="008D3DE0">
        <w:rPr>
          <w:b/>
        </w:rPr>
        <w:t>aciliter l’enregistrement des naissances, notamment en sensibilisant les populations et en permettant un accès facile et rapide aux bureaux d’état civil.</w:t>
      </w:r>
    </w:p>
    <w:p w14:paraId="2BE51886" w14:textId="77777777" w:rsidR="00C4067E" w:rsidRPr="008D3DE0" w:rsidRDefault="00C4067E" w:rsidP="00C4067E">
      <w:pPr>
        <w:pStyle w:val="H23G"/>
        <w:rPr>
          <w:lang w:val="fr-FR"/>
        </w:rPr>
      </w:pPr>
      <w:r w:rsidRPr="008D3DE0">
        <w:rPr>
          <w:lang w:val="fr-FR"/>
        </w:rPr>
        <w:tab/>
      </w:r>
      <w:r w:rsidRPr="008D3DE0">
        <w:rPr>
          <w:lang w:val="fr-FR"/>
        </w:rPr>
        <w:tab/>
        <w:t>Liberté de religion</w:t>
      </w:r>
    </w:p>
    <w:p w14:paraId="0EEA9CEE" w14:textId="39B72CDA" w:rsidR="00C4067E" w:rsidRPr="008D3DE0" w:rsidRDefault="00C4067E" w:rsidP="0096622E">
      <w:pPr>
        <w:pStyle w:val="SingleTxtG"/>
        <w:tabs>
          <w:tab w:val="left" w:pos="1701"/>
          <w:tab w:val="left" w:pos="1843"/>
          <w:tab w:val="left" w:pos="2127"/>
        </w:tabs>
        <w:rPr>
          <w:lang w:val="fr-FR"/>
        </w:rPr>
      </w:pPr>
      <w:r w:rsidRPr="008D3DE0">
        <w:rPr>
          <w:lang w:val="fr-FR"/>
        </w:rPr>
        <w:t>33.</w:t>
      </w:r>
      <w:r w:rsidRPr="008D3DE0">
        <w:rPr>
          <w:lang w:val="fr-FR"/>
        </w:rPr>
        <w:tab/>
        <w:t xml:space="preserve">Le Comité est préoccupé par les allégations indiquant que des minorités musulmanes et chrétiennes </w:t>
      </w:r>
      <w:r w:rsidRPr="008D3DE0">
        <w:t>feraient</w:t>
      </w:r>
      <w:r w:rsidRPr="008D3DE0">
        <w:rPr>
          <w:lang w:val="fr-FR"/>
        </w:rPr>
        <w:t xml:space="preserve"> l’objet de discriminations et de restriction à leur liberté de mouvement, notamment dans les zones contrôlées par les milices ex-Séléka et anti-</w:t>
      </w:r>
      <w:r w:rsidR="00656662" w:rsidRPr="008D3DE0">
        <w:rPr>
          <w:lang w:val="fr-FR"/>
        </w:rPr>
        <w:t>b</w:t>
      </w:r>
      <w:r w:rsidRPr="008D3DE0">
        <w:rPr>
          <w:lang w:val="fr-FR"/>
        </w:rPr>
        <w:t xml:space="preserve">alaka. Dans le contexte des élections présidentielle et législatives à venir, le Comité est préoccupé par </w:t>
      </w:r>
      <w:r w:rsidRPr="008D3DE0">
        <w:rPr>
          <w:lang w:val="fr-FR"/>
        </w:rPr>
        <w:lastRenderedPageBreak/>
        <w:t>l’éventuelle instrumentalisation de la religion et la recrudescence d’appel</w:t>
      </w:r>
      <w:r w:rsidR="00656662" w:rsidRPr="008D3DE0">
        <w:rPr>
          <w:lang w:val="fr-FR"/>
        </w:rPr>
        <w:t>s</w:t>
      </w:r>
      <w:r w:rsidRPr="008D3DE0">
        <w:rPr>
          <w:lang w:val="fr-FR"/>
        </w:rPr>
        <w:t xml:space="preserve"> à la haine, notamment sur la base de l’appartenance </w:t>
      </w:r>
      <w:r w:rsidR="00D1111F" w:rsidRPr="008D3DE0">
        <w:rPr>
          <w:lang w:val="fr-FR"/>
        </w:rPr>
        <w:t>religieuse (</w:t>
      </w:r>
      <w:r w:rsidRPr="008D3DE0">
        <w:rPr>
          <w:lang w:val="fr-FR"/>
        </w:rPr>
        <w:t>art. 2, 6, 12, 18, 20</w:t>
      </w:r>
      <w:r w:rsidR="00656662" w:rsidRPr="008D3DE0">
        <w:rPr>
          <w:lang w:val="fr-FR"/>
        </w:rPr>
        <w:t xml:space="preserve"> et</w:t>
      </w:r>
      <w:r w:rsidRPr="008D3DE0">
        <w:rPr>
          <w:lang w:val="fr-FR"/>
        </w:rPr>
        <w:t xml:space="preserve"> 26).</w:t>
      </w:r>
    </w:p>
    <w:p w14:paraId="59931E8A" w14:textId="1A4D22D8" w:rsidR="00C4067E" w:rsidRPr="008D3DE0" w:rsidRDefault="00C4067E" w:rsidP="0096622E">
      <w:pPr>
        <w:pStyle w:val="SingleTxtG"/>
        <w:tabs>
          <w:tab w:val="left" w:pos="1701"/>
          <w:tab w:val="left" w:pos="1843"/>
          <w:tab w:val="left" w:pos="2127"/>
        </w:tabs>
        <w:rPr>
          <w:lang w:val="fr-FR"/>
        </w:rPr>
      </w:pPr>
      <w:r w:rsidRPr="008D3DE0">
        <w:rPr>
          <w:lang w:val="fr-FR"/>
        </w:rPr>
        <w:t>34.</w:t>
      </w:r>
      <w:r w:rsidRPr="008D3DE0">
        <w:rPr>
          <w:b/>
          <w:lang w:val="fr-FR"/>
        </w:rPr>
        <w:tab/>
        <w:t xml:space="preserve">L’État partie devrait garantir l’exercice effectif de la liberté de religion et de conviction dans la </w:t>
      </w:r>
      <w:r w:rsidRPr="008D3DE0">
        <w:rPr>
          <w:b/>
        </w:rPr>
        <w:t>pratique</w:t>
      </w:r>
      <w:r w:rsidR="00656662" w:rsidRPr="008D3DE0">
        <w:rPr>
          <w:b/>
        </w:rPr>
        <w:t>,</w:t>
      </w:r>
      <w:r w:rsidRPr="008D3DE0">
        <w:rPr>
          <w:b/>
          <w:lang w:val="fr-FR"/>
        </w:rPr>
        <w:t xml:space="preserve"> en conformité avec l’article 18 du Pacte. Il devrait prendre des mesures pour lutter contre la discrimination et les discours de haine ainsi que contre l’incitation à la haine et à la violence visant les communautés religieuses, quelles qu’elles soient</w:t>
      </w:r>
      <w:r w:rsidR="00A66240" w:rsidRPr="008D3DE0">
        <w:rPr>
          <w:b/>
          <w:lang w:val="fr-FR"/>
        </w:rPr>
        <w:t>,</w:t>
      </w:r>
      <w:r w:rsidRPr="008D3DE0">
        <w:rPr>
          <w:b/>
          <w:lang w:val="fr-FR"/>
        </w:rPr>
        <w:t xml:space="preserve"> en dotant notamment le </w:t>
      </w:r>
      <w:r w:rsidR="00452BDE" w:rsidRPr="008D3DE0">
        <w:rPr>
          <w:b/>
          <w:lang w:val="fr-FR"/>
        </w:rPr>
        <w:t xml:space="preserve">Haut </w:t>
      </w:r>
      <w:r w:rsidR="00656662" w:rsidRPr="008D3DE0">
        <w:rPr>
          <w:b/>
          <w:lang w:val="fr-FR"/>
        </w:rPr>
        <w:t>C</w:t>
      </w:r>
      <w:r w:rsidR="00452BDE" w:rsidRPr="008D3DE0">
        <w:rPr>
          <w:b/>
          <w:lang w:val="fr-FR"/>
        </w:rPr>
        <w:t>onseil de la c</w:t>
      </w:r>
      <w:r w:rsidRPr="008D3DE0">
        <w:rPr>
          <w:b/>
          <w:lang w:val="fr-FR"/>
        </w:rPr>
        <w:t>ommunication des outils et de la compétence nécessaire</w:t>
      </w:r>
      <w:r w:rsidR="00656662" w:rsidRPr="008D3DE0">
        <w:rPr>
          <w:b/>
          <w:lang w:val="fr-FR"/>
        </w:rPr>
        <w:t>s</w:t>
      </w:r>
      <w:r w:rsidRPr="008D3DE0">
        <w:rPr>
          <w:b/>
          <w:lang w:val="fr-FR"/>
        </w:rPr>
        <w:t xml:space="preserve"> pour exercer son rôle de veille.</w:t>
      </w:r>
    </w:p>
    <w:p w14:paraId="7C078A4B" w14:textId="55F8C728" w:rsidR="00C4067E" w:rsidRPr="008D3DE0" w:rsidRDefault="00C4067E" w:rsidP="00C4067E">
      <w:pPr>
        <w:pStyle w:val="H23G"/>
        <w:rPr>
          <w:lang w:val="fr-FR"/>
        </w:rPr>
      </w:pPr>
      <w:r w:rsidRPr="008D3DE0">
        <w:rPr>
          <w:lang w:val="fr-FR"/>
        </w:rPr>
        <w:tab/>
      </w:r>
      <w:r w:rsidRPr="008D3DE0">
        <w:rPr>
          <w:lang w:val="fr-FR"/>
        </w:rPr>
        <w:tab/>
        <w:t>Liberté d’expression, de réunion et d’association</w:t>
      </w:r>
      <w:r w:rsidR="00656662" w:rsidRPr="008D3DE0">
        <w:rPr>
          <w:lang w:val="fr-FR"/>
        </w:rPr>
        <w:t>,</w:t>
      </w:r>
      <w:r w:rsidRPr="008D3DE0">
        <w:rPr>
          <w:lang w:val="fr-FR"/>
        </w:rPr>
        <w:t xml:space="preserve"> et défenseurs des droits de l’homme</w:t>
      </w:r>
    </w:p>
    <w:p w14:paraId="48514A3E" w14:textId="16D9494C" w:rsidR="00C4067E" w:rsidRPr="008D3DE0" w:rsidRDefault="00C4067E" w:rsidP="0096622E">
      <w:pPr>
        <w:pStyle w:val="SingleTxtG"/>
        <w:tabs>
          <w:tab w:val="left" w:pos="1701"/>
          <w:tab w:val="left" w:pos="1843"/>
          <w:tab w:val="left" w:pos="2127"/>
        </w:tabs>
        <w:rPr>
          <w:lang w:val="fr-FR"/>
        </w:rPr>
      </w:pPr>
      <w:r w:rsidRPr="008D3DE0">
        <w:rPr>
          <w:lang w:val="fr-FR"/>
        </w:rPr>
        <w:t>35.</w:t>
      </w:r>
      <w:r w:rsidRPr="008D3DE0">
        <w:rPr>
          <w:lang w:val="fr-FR"/>
        </w:rPr>
        <w:tab/>
        <w:t>Le Comité note avec préoccupation l’absence de cadre législatif protégeant les défenseurs des droits de l’homme</w:t>
      </w:r>
      <w:r w:rsidR="00656662" w:rsidRPr="008D3DE0">
        <w:rPr>
          <w:lang w:val="fr-FR"/>
        </w:rPr>
        <w:t>,</w:t>
      </w:r>
      <w:r w:rsidRPr="008D3DE0">
        <w:rPr>
          <w:lang w:val="fr-FR"/>
        </w:rPr>
        <w:t xml:space="preserve"> hormis la loi sur la liberté de la communication. Il note </w:t>
      </w:r>
      <w:r w:rsidR="00656662" w:rsidRPr="008D3DE0">
        <w:rPr>
          <w:lang w:val="fr-FR"/>
        </w:rPr>
        <w:t xml:space="preserve">également </w:t>
      </w:r>
      <w:r w:rsidRPr="008D3DE0">
        <w:rPr>
          <w:lang w:val="fr-FR"/>
        </w:rPr>
        <w:t>avec préoccupation les restrictions fixées par l’article</w:t>
      </w:r>
      <w:r w:rsidR="00656662" w:rsidRPr="008D3DE0">
        <w:rPr>
          <w:lang w:val="fr-FR"/>
        </w:rPr>
        <w:t> 14</w:t>
      </w:r>
      <w:r w:rsidRPr="008D3DE0">
        <w:rPr>
          <w:lang w:val="fr-FR"/>
        </w:rPr>
        <w:t xml:space="preserve"> de la Constitution</w:t>
      </w:r>
      <w:r w:rsidR="006456F6" w:rsidRPr="008D3DE0">
        <w:rPr>
          <w:lang w:val="fr-FR"/>
        </w:rPr>
        <w:t>,</w:t>
      </w:r>
      <w:r w:rsidRPr="008D3DE0">
        <w:rPr>
          <w:lang w:val="fr-FR"/>
        </w:rPr>
        <w:t xml:space="preserve"> qui prévoit une limitation à la formation d’associations</w:t>
      </w:r>
      <w:r w:rsidR="00A80140" w:rsidRPr="008D3DE0">
        <w:rPr>
          <w:lang w:val="fr-FR"/>
        </w:rPr>
        <w:t xml:space="preserve">, </w:t>
      </w:r>
      <w:r w:rsidRPr="008D3DE0">
        <w:rPr>
          <w:lang w:val="fr-FR"/>
        </w:rPr>
        <w:t>rédigée de manière vague</w:t>
      </w:r>
      <w:r w:rsidR="006456F6" w:rsidRPr="008D3DE0">
        <w:rPr>
          <w:lang w:val="fr-FR"/>
        </w:rPr>
        <w:t>,</w:t>
      </w:r>
      <w:r w:rsidRPr="008D3DE0">
        <w:rPr>
          <w:lang w:val="fr-FR"/>
        </w:rPr>
        <w:t xml:space="preserve"> puisqu’elle vise les associations </w:t>
      </w:r>
      <w:r w:rsidR="00226D97" w:rsidRPr="008D3DE0">
        <w:rPr>
          <w:lang w:val="fr-FR"/>
        </w:rPr>
        <w:t>dont les activités</w:t>
      </w:r>
      <w:r w:rsidRPr="008D3DE0">
        <w:rPr>
          <w:lang w:val="fr-FR"/>
        </w:rPr>
        <w:t xml:space="preserve"> sont « contraires à l’ordre public ainsi qu’à l’unité et </w:t>
      </w:r>
      <w:r w:rsidR="00226D97" w:rsidRPr="008D3DE0">
        <w:rPr>
          <w:lang w:val="fr-FR"/>
        </w:rPr>
        <w:t>à</w:t>
      </w:r>
      <w:r w:rsidRPr="008D3DE0">
        <w:rPr>
          <w:lang w:val="fr-FR"/>
        </w:rPr>
        <w:t xml:space="preserve"> la cohésion du peuple centrafricain ». Le Comité est préoccupé par les actes d’intimidation dont font l’objet les défenseurs de droits de l’homme</w:t>
      </w:r>
      <w:r w:rsidR="00226D97" w:rsidRPr="008D3DE0">
        <w:rPr>
          <w:lang w:val="fr-FR"/>
        </w:rPr>
        <w:t>,</w:t>
      </w:r>
      <w:r w:rsidRPr="008D3DE0">
        <w:rPr>
          <w:lang w:val="fr-FR"/>
        </w:rPr>
        <w:t xml:space="preserve"> y compris les acteurs communautaires et religieux qui œuvre</w:t>
      </w:r>
      <w:r w:rsidR="006456F6" w:rsidRPr="008D3DE0">
        <w:rPr>
          <w:lang w:val="fr-FR"/>
        </w:rPr>
        <w:t>nt</w:t>
      </w:r>
      <w:r w:rsidRPr="008D3DE0">
        <w:rPr>
          <w:lang w:val="fr-FR"/>
        </w:rPr>
        <w:t xml:space="preserve"> pour la paix. Il regrette enfin l’absence d’information faisant la lumière sur les </w:t>
      </w:r>
      <w:r w:rsidR="003137EB" w:rsidRPr="008D3DE0">
        <w:rPr>
          <w:lang w:val="fr-FR"/>
        </w:rPr>
        <w:t>assassinats présumés</w:t>
      </w:r>
      <w:r w:rsidRPr="008D3DE0">
        <w:rPr>
          <w:lang w:val="fr-FR"/>
        </w:rPr>
        <w:t xml:space="preserve"> de certains journalistes, tel</w:t>
      </w:r>
      <w:r w:rsidR="003137EB" w:rsidRPr="008D3DE0">
        <w:rPr>
          <w:lang w:val="fr-FR"/>
        </w:rPr>
        <w:t>s</w:t>
      </w:r>
      <w:r w:rsidRPr="008D3DE0">
        <w:rPr>
          <w:lang w:val="fr-FR"/>
        </w:rPr>
        <w:t xml:space="preserve"> que Camille Lepage</w:t>
      </w:r>
      <w:r w:rsidR="003137EB" w:rsidRPr="008D3DE0">
        <w:rPr>
          <w:lang w:val="fr-FR"/>
        </w:rPr>
        <w:t>,</w:t>
      </w:r>
      <w:r w:rsidRPr="008D3DE0">
        <w:rPr>
          <w:lang w:val="fr-FR"/>
        </w:rPr>
        <w:t xml:space="preserve"> </w:t>
      </w:r>
      <w:r w:rsidR="003137EB" w:rsidRPr="008D3DE0">
        <w:rPr>
          <w:lang w:val="fr-FR"/>
        </w:rPr>
        <w:t xml:space="preserve">Orhan </w:t>
      </w:r>
      <w:proofErr w:type="spellStart"/>
      <w:r w:rsidR="003137EB" w:rsidRPr="008D3DE0">
        <w:rPr>
          <w:lang w:val="fr-FR"/>
        </w:rPr>
        <w:t>Djemal</w:t>
      </w:r>
      <w:proofErr w:type="spellEnd"/>
      <w:r w:rsidR="003137EB" w:rsidRPr="008D3DE0">
        <w:rPr>
          <w:lang w:val="fr-FR"/>
        </w:rPr>
        <w:t xml:space="preserve">, </w:t>
      </w:r>
      <w:proofErr w:type="spellStart"/>
      <w:r w:rsidR="003137EB" w:rsidRPr="008D3DE0">
        <w:rPr>
          <w:lang w:val="fr-FR"/>
        </w:rPr>
        <w:t>Kirill</w:t>
      </w:r>
      <w:proofErr w:type="spellEnd"/>
      <w:r w:rsidR="003137EB" w:rsidRPr="008D3DE0">
        <w:rPr>
          <w:lang w:val="fr-FR"/>
        </w:rPr>
        <w:t xml:space="preserve"> </w:t>
      </w:r>
      <w:proofErr w:type="spellStart"/>
      <w:r w:rsidR="003137EB" w:rsidRPr="008D3DE0">
        <w:rPr>
          <w:lang w:val="fr-FR"/>
        </w:rPr>
        <w:t>Radtchenko</w:t>
      </w:r>
      <w:proofErr w:type="spellEnd"/>
      <w:r w:rsidR="003137EB" w:rsidRPr="008D3DE0">
        <w:rPr>
          <w:lang w:val="fr-FR"/>
        </w:rPr>
        <w:t xml:space="preserve"> et Alexandre </w:t>
      </w:r>
      <w:proofErr w:type="spellStart"/>
      <w:r w:rsidR="003137EB" w:rsidRPr="008D3DE0">
        <w:rPr>
          <w:lang w:val="fr-FR"/>
        </w:rPr>
        <w:t>Rasstorgouïev</w:t>
      </w:r>
      <w:proofErr w:type="spellEnd"/>
      <w:r w:rsidR="003137EB" w:rsidRPr="008D3DE0">
        <w:rPr>
          <w:lang w:val="fr-FR"/>
        </w:rPr>
        <w:t xml:space="preserve"> </w:t>
      </w:r>
      <w:r w:rsidRPr="008D3DE0">
        <w:rPr>
          <w:lang w:val="fr-FR"/>
        </w:rPr>
        <w:t>(art. 6, 7, 19 et 21).</w:t>
      </w:r>
    </w:p>
    <w:p w14:paraId="719A150C" w14:textId="3ED00A24" w:rsidR="00C4067E" w:rsidRPr="008D3DE0" w:rsidRDefault="00C4067E" w:rsidP="0096622E">
      <w:pPr>
        <w:pStyle w:val="SingleTxtG"/>
        <w:tabs>
          <w:tab w:val="left" w:pos="1701"/>
          <w:tab w:val="left" w:pos="1843"/>
          <w:tab w:val="left" w:pos="2127"/>
        </w:tabs>
        <w:rPr>
          <w:b/>
          <w:lang w:val="fr-FR"/>
        </w:rPr>
      </w:pPr>
      <w:r w:rsidRPr="008D3DE0">
        <w:rPr>
          <w:lang w:val="fr-FR"/>
        </w:rPr>
        <w:t>36.</w:t>
      </w:r>
      <w:r w:rsidRPr="008D3DE0">
        <w:rPr>
          <w:lang w:val="fr-FR"/>
        </w:rPr>
        <w:tab/>
      </w:r>
      <w:r w:rsidR="00226D97" w:rsidRPr="008D3DE0">
        <w:rPr>
          <w:b/>
          <w:lang w:val="fr-FR"/>
        </w:rPr>
        <w:t>Dans la continuité des</w:t>
      </w:r>
      <w:r w:rsidRPr="008D3DE0">
        <w:rPr>
          <w:b/>
          <w:lang w:val="fr-FR"/>
        </w:rPr>
        <w:t xml:space="preserve"> précédentes observations finales </w:t>
      </w:r>
      <w:r w:rsidR="00226D97" w:rsidRPr="008D3DE0">
        <w:rPr>
          <w:b/>
          <w:lang w:val="fr-FR"/>
        </w:rPr>
        <w:t xml:space="preserve">du Comité </w:t>
      </w:r>
      <w:r w:rsidRPr="008D3DE0">
        <w:rPr>
          <w:b/>
          <w:lang w:val="fr-FR"/>
        </w:rPr>
        <w:t>(CCPR/C/CAF/CO/2, par.</w:t>
      </w:r>
      <w:r w:rsidR="00EE540C">
        <w:rPr>
          <w:b/>
          <w:lang w:val="fr-FR"/>
        </w:rPr>
        <w:t> </w:t>
      </w:r>
      <w:r w:rsidRPr="008D3DE0">
        <w:rPr>
          <w:b/>
          <w:lang w:val="fr-FR"/>
        </w:rPr>
        <w:t xml:space="preserve">20) et </w:t>
      </w:r>
      <w:r w:rsidR="00226D97" w:rsidRPr="008D3DE0">
        <w:rPr>
          <w:b/>
          <w:lang w:val="fr-FR"/>
        </w:rPr>
        <w:t>du</w:t>
      </w:r>
      <w:r w:rsidRPr="008D3DE0">
        <w:rPr>
          <w:b/>
          <w:lang w:val="fr-FR"/>
        </w:rPr>
        <w:t xml:space="preserve"> dernier rapport du Rapporteur </w:t>
      </w:r>
      <w:r w:rsidR="009A3B53" w:rsidRPr="008D3DE0">
        <w:rPr>
          <w:b/>
          <w:lang w:val="fr-FR"/>
        </w:rPr>
        <w:t>s</w:t>
      </w:r>
      <w:r w:rsidRPr="008D3DE0">
        <w:rPr>
          <w:b/>
          <w:lang w:val="fr-FR"/>
        </w:rPr>
        <w:t xml:space="preserve">pécial sur la situation des défenseurs et défenseuses des droits de la personne (A/HRC/43/51), l’État partie devrait : </w:t>
      </w:r>
    </w:p>
    <w:p w14:paraId="3CC2479D" w14:textId="4E21CD23" w:rsidR="00C4067E" w:rsidRPr="008D3DE0" w:rsidRDefault="00C4067E" w:rsidP="00B23DE8">
      <w:pPr>
        <w:pStyle w:val="SingleTxtG"/>
        <w:tabs>
          <w:tab w:val="left" w:pos="1701"/>
          <w:tab w:val="left" w:pos="2268"/>
        </w:tabs>
        <w:ind w:firstLine="567"/>
        <w:rPr>
          <w:b/>
          <w:lang w:val="fr-FR"/>
        </w:rPr>
      </w:pPr>
      <w:r w:rsidRPr="008D3DE0">
        <w:rPr>
          <w:b/>
          <w:lang w:val="fr-FR"/>
        </w:rPr>
        <w:t>a)</w:t>
      </w:r>
      <w:r w:rsidRPr="008D3DE0">
        <w:rPr>
          <w:b/>
          <w:lang w:val="fr-FR"/>
        </w:rPr>
        <w:tab/>
        <w:t xml:space="preserve">Élaborer une législation d’ensemble et des politiques globales tenant compte des questions de genre et d’âge pour protéger les défenseurs des droits de l’homme, conformément à la </w:t>
      </w:r>
      <w:r w:rsidR="00226D97" w:rsidRPr="008D3DE0">
        <w:rPr>
          <w:b/>
          <w:lang w:val="fr-FR"/>
        </w:rPr>
        <w:t>Déclaration sur le droit et la responsabilité des individus, groupes et organes de la société de promouvoir et protéger les droits de l’homme et les libertés fondamentales universellement reconnus (</w:t>
      </w:r>
      <w:r w:rsidRPr="008D3DE0">
        <w:rPr>
          <w:b/>
          <w:lang w:val="fr-FR"/>
        </w:rPr>
        <w:t>Déclaration sur les défenseurs des droits de l’homme</w:t>
      </w:r>
      <w:r w:rsidR="00226D97" w:rsidRPr="008D3DE0">
        <w:rPr>
          <w:b/>
          <w:lang w:val="fr-FR"/>
        </w:rPr>
        <w:t>)</w:t>
      </w:r>
      <w:r w:rsidRPr="008D3DE0">
        <w:rPr>
          <w:b/>
          <w:lang w:val="fr-FR"/>
        </w:rPr>
        <w:t>, et mettre en place des mécanismes de protection accessibles aux défenseurs qui interviennent dans des zones de conflit ;</w:t>
      </w:r>
    </w:p>
    <w:p w14:paraId="3A0B36F0" w14:textId="5F337140" w:rsidR="0096622E" w:rsidRPr="008D3DE0" w:rsidRDefault="00A80140" w:rsidP="00B23DE8">
      <w:pPr>
        <w:pStyle w:val="SingleTxtG"/>
        <w:tabs>
          <w:tab w:val="left" w:pos="1701"/>
          <w:tab w:val="left" w:pos="2268"/>
        </w:tabs>
        <w:ind w:firstLine="567"/>
        <w:rPr>
          <w:b/>
          <w:lang w:val="fr-FR"/>
        </w:rPr>
      </w:pPr>
      <w:r w:rsidRPr="008D3DE0">
        <w:rPr>
          <w:b/>
          <w:lang w:val="fr-FR"/>
        </w:rPr>
        <w:t>b</w:t>
      </w:r>
      <w:r w:rsidR="00C4067E" w:rsidRPr="008D3DE0">
        <w:rPr>
          <w:b/>
          <w:lang w:val="fr-FR"/>
        </w:rPr>
        <w:t>)</w:t>
      </w:r>
      <w:r w:rsidR="00C4067E" w:rsidRPr="008D3DE0">
        <w:rPr>
          <w:b/>
          <w:lang w:val="fr-FR"/>
        </w:rPr>
        <w:tab/>
        <w:t xml:space="preserve">Assurer la protection des défenseurs de droits de l’homme qui coopèrent et fournissent des informations à la Cour </w:t>
      </w:r>
      <w:r w:rsidR="009A3B53" w:rsidRPr="008D3DE0">
        <w:rPr>
          <w:b/>
          <w:lang w:val="fr-FR"/>
        </w:rPr>
        <w:t>p</w:t>
      </w:r>
      <w:r w:rsidR="00C4067E" w:rsidRPr="008D3DE0">
        <w:rPr>
          <w:b/>
          <w:lang w:val="fr-FR"/>
        </w:rPr>
        <w:t xml:space="preserve">énale </w:t>
      </w:r>
      <w:r w:rsidR="009A3B53" w:rsidRPr="008D3DE0">
        <w:rPr>
          <w:b/>
          <w:lang w:val="fr-FR"/>
        </w:rPr>
        <w:t>s</w:t>
      </w:r>
      <w:r w:rsidR="00C4067E" w:rsidRPr="008D3DE0">
        <w:rPr>
          <w:b/>
          <w:lang w:val="fr-FR"/>
        </w:rPr>
        <w:t xml:space="preserve">péciale, à la Commission </w:t>
      </w:r>
      <w:r w:rsidR="009A3B53" w:rsidRPr="008D3DE0">
        <w:rPr>
          <w:b/>
          <w:lang w:val="fr-FR"/>
        </w:rPr>
        <w:t>v</w:t>
      </w:r>
      <w:r w:rsidR="00C4067E" w:rsidRPr="008D3DE0">
        <w:rPr>
          <w:b/>
          <w:lang w:val="fr-FR"/>
        </w:rPr>
        <w:t xml:space="preserve">érité, </w:t>
      </w:r>
      <w:r w:rsidR="009A3B53" w:rsidRPr="008D3DE0">
        <w:rPr>
          <w:b/>
          <w:lang w:val="fr-FR"/>
        </w:rPr>
        <w:t>justice, réparation et r</w:t>
      </w:r>
      <w:r w:rsidR="00C4067E" w:rsidRPr="008D3DE0">
        <w:rPr>
          <w:b/>
          <w:lang w:val="fr-FR"/>
        </w:rPr>
        <w:t xml:space="preserve">éconciliation et </w:t>
      </w:r>
      <w:r w:rsidR="00226D97" w:rsidRPr="008D3DE0">
        <w:rPr>
          <w:b/>
          <w:lang w:val="fr-FR"/>
        </w:rPr>
        <w:t xml:space="preserve">à </w:t>
      </w:r>
      <w:r w:rsidR="00C4067E" w:rsidRPr="008D3DE0">
        <w:rPr>
          <w:b/>
          <w:lang w:val="fr-FR"/>
        </w:rPr>
        <w:t>tout autre organisme chargé de faire la lumière sur les violations de droits de l’homme dans le pays ;</w:t>
      </w:r>
    </w:p>
    <w:p w14:paraId="0AB9FF2C" w14:textId="507D7924" w:rsidR="00C4067E" w:rsidRPr="008D3DE0" w:rsidRDefault="00A80140" w:rsidP="00B23DE8">
      <w:pPr>
        <w:pStyle w:val="SingleTxtG"/>
        <w:tabs>
          <w:tab w:val="left" w:pos="1701"/>
          <w:tab w:val="left" w:pos="2268"/>
        </w:tabs>
        <w:ind w:firstLine="567"/>
        <w:rPr>
          <w:b/>
          <w:lang w:val="fr-FR"/>
        </w:rPr>
      </w:pPr>
      <w:r w:rsidRPr="008D3DE0">
        <w:rPr>
          <w:b/>
          <w:lang w:val="fr-FR"/>
        </w:rPr>
        <w:t>c)</w:t>
      </w:r>
      <w:r w:rsidRPr="008D3DE0">
        <w:rPr>
          <w:b/>
          <w:lang w:val="fr-FR"/>
        </w:rPr>
        <w:tab/>
      </w:r>
      <w:r w:rsidR="00C4067E" w:rsidRPr="008D3DE0">
        <w:rPr>
          <w:b/>
          <w:lang w:val="fr-FR"/>
        </w:rPr>
        <w:t>Enquêter, poursuivre et condamner les responsables d’actes de harcèlement, de menace et d’intimidation à l’encontre de journalistes et de défenseurs des droits de l’homme, y compris les acteurs communautaires et religieux.</w:t>
      </w:r>
    </w:p>
    <w:p w14:paraId="1C7F0457" w14:textId="77777777" w:rsidR="00C4067E" w:rsidRPr="008D3DE0" w:rsidRDefault="00C4067E" w:rsidP="00C4067E">
      <w:pPr>
        <w:pStyle w:val="H23G"/>
        <w:rPr>
          <w:lang w:val="fr-FR"/>
        </w:rPr>
      </w:pPr>
      <w:r w:rsidRPr="008D3DE0">
        <w:rPr>
          <w:lang w:val="fr-FR"/>
        </w:rPr>
        <w:tab/>
      </w:r>
      <w:r w:rsidRPr="008D3DE0">
        <w:rPr>
          <w:lang w:val="fr-FR"/>
        </w:rPr>
        <w:tab/>
        <w:t>Populations autochtones</w:t>
      </w:r>
    </w:p>
    <w:p w14:paraId="4FD650C6" w14:textId="41A8D53A" w:rsidR="00C4067E" w:rsidRPr="008D3DE0" w:rsidRDefault="00C4067E" w:rsidP="0096622E">
      <w:pPr>
        <w:pStyle w:val="SingleTxtG"/>
        <w:tabs>
          <w:tab w:val="left" w:pos="1701"/>
          <w:tab w:val="left" w:pos="1843"/>
          <w:tab w:val="left" w:pos="2127"/>
        </w:tabs>
      </w:pPr>
      <w:r w:rsidRPr="008D3DE0">
        <w:rPr>
          <w:lang w:val="fr-FR"/>
        </w:rPr>
        <w:t>37.</w:t>
      </w:r>
      <w:r w:rsidRPr="008D3DE0">
        <w:rPr>
          <w:lang w:val="fr-FR"/>
        </w:rPr>
        <w:tab/>
      </w:r>
      <w:r w:rsidRPr="008D3DE0">
        <w:t>Le Comité est préoccupé par les informations selon lesquelles les populations autochtones (</w:t>
      </w:r>
      <w:proofErr w:type="spellStart"/>
      <w:r w:rsidRPr="008D3DE0">
        <w:t>Mbororo</w:t>
      </w:r>
      <w:proofErr w:type="spellEnd"/>
      <w:r w:rsidRPr="008D3DE0">
        <w:t xml:space="preserve"> et Baka) continuent à se heurter à d’importants obstacles dans la jouissance des droits énoncés dans le Pacte. Le Comité est notamment préoccupé par les allégations selon lesquelles certains</w:t>
      </w:r>
      <w:r w:rsidR="00E65801" w:rsidRPr="008D3DE0">
        <w:t>, dont des personnes de nationalité étrangère,</w:t>
      </w:r>
      <w:r w:rsidRPr="008D3DE0">
        <w:t xml:space="preserve"> seraient réduits en esclavage. Il est également préoccupé par le manque de représentation des populations autochtones dans les sphères décisionnelles et électives (art. 8, 25, 26 et 27).</w:t>
      </w:r>
    </w:p>
    <w:p w14:paraId="6BE5AD98" w14:textId="467E4205" w:rsidR="00C4067E" w:rsidRPr="008D3DE0" w:rsidRDefault="00C4067E" w:rsidP="00CF248D">
      <w:pPr>
        <w:pStyle w:val="SingleTxtG"/>
        <w:tabs>
          <w:tab w:val="left" w:pos="1701"/>
          <w:tab w:val="left" w:pos="1843"/>
          <w:tab w:val="left" w:pos="2127"/>
        </w:tabs>
        <w:rPr>
          <w:lang w:val="fr-FR"/>
        </w:rPr>
      </w:pPr>
      <w:r w:rsidRPr="008D3DE0">
        <w:rPr>
          <w:lang w:val="fr-FR"/>
        </w:rPr>
        <w:t>38.</w:t>
      </w:r>
      <w:r w:rsidRPr="008D3DE0">
        <w:rPr>
          <w:lang w:val="fr-FR"/>
        </w:rPr>
        <w:tab/>
      </w:r>
      <w:r w:rsidR="008A7416" w:rsidRPr="008D3DE0">
        <w:rPr>
          <w:b/>
          <w:lang w:val="fr-FR"/>
        </w:rPr>
        <w:t>Conformément</w:t>
      </w:r>
      <w:r w:rsidRPr="008D3DE0">
        <w:rPr>
          <w:b/>
          <w:lang w:val="fr-FR"/>
        </w:rPr>
        <w:t xml:space="preserve"> aux observations finales du Comité </w:t>
      </w:r>
      <w:r w:rsidR="008A7416" w:rsidRPr="008D3DE0">
        <w:rPr>
          <w:b/>
          <w:lang w:val="fr-FR"/>
        </w:rPr>
        <w:t>des</w:t>
      </w:r>
      <w:r w:rsidRPr="008D3DE0">
        <w:rPr>
          <w:b/>
          <w:lang w:val="fr-FR"/>
        </w:rPr>
        <w:t xml:space="preserve"> droits économiques, sociaux et culturels</w:t>
      </w:r>
      <w:r w:rsidR="00EE540C">
        <w:rPr>
          <w:b/>
          <w:lang w:val="fr-FR"/>
        </w:rPr>
        <w:t xml:space="preserve"> </w:t>
      </w:r>
      <w:r w:rsidRPr="008D3DE0">
        <w:rPr>
          <w:b/>
          <w:lang w:val="fr-FR"/>
        </w:rPr>
        <w:t>(E/C.12/CAF/CO/1, par.</w:t>
      </w:r>
      <w:r w:rsidR="00EE540C">
        <w:rPr>
          <w:b/>
          <w:lang w:val="fr-FR"/>
        </w:rPr>
        <w:t> </w:t>
      </w:r>
      <w:r w:rsidRPr="008D3DE0">
        <w:rPr>
          <w:b/>
          <w:lang w:val="fr-FR"/>
        </w:rPr>
        <w:t>22), l’État partie devrait adopter une stratégie nationale de promotion et de protection des droits des populations autochtones, avec la participation des communautés concernées, permettant</w:t>
      </w:r>
      <w:r w:rsidR="00D60DB1" w:rsidRPr="008D3DE0">
        <w:rPr>
          <w:b/>
          <w:lang w:val="fr-FR"/>
        </w:rPr>
        <w:t xml:space="preserve"> </w:t>
      </w:r>
      <w:r w:rsidRPr="008D3DE0">
        <w:rPr>
          <w:b/>
          <w:lang w:val="fr-FR"/>
        </w:rPr>
        <w:t>notamment</w:t>
      </w:r>
      <w:r w:rsidR="00E71145" w:rsidRPr="008D3DE0">
        <w:rPr>
          <w:b/>
          <w:lang w:val="fr-FR"/>
        </w:rPr>
        <w:t xml:space="preserve"> </w:t>
      </w:r>
      <w:r w:rsidRPr="008D3DE0">
        <w:rPr>
          <w:b/>
          <w:lang w:val="fr-FR"/>
        </w:rPr>
        <w:t>d’éradiquer certaines pratiques d’esclavage des populations autochtones</w:t>
      </w:r>
      <w:r w:rsidR="00F47F74" w:rsidRPr="008D3DE0">
        <w:rPr>
          <w:b/>
          <w:lang w:val="fr-FR"/>
        </w:rPr>
        <w:t>,</w:t>
      </w:r>
      <w:r w:rsidRPr="008D3DE0">
        <w:rPr>
          <w:b/>
          <w:lang w:val="fr-FR"/>
        </w:rPr>
        <w:t xml:space="preserve"> de promouvoir leur participation aux affaires publiques</w:t>
      </w:r>
      <w:r w:rsidR="00F47F74" w:rsidRPr="008D3DE0">
        <w:rPr>
          <w:b/>
          <w:lang w:val="fr-FR"/>
        </w:rPr>
        <w:t xml:space="preserve"> et d’obtenir leur consentement préalable, donné librement et en connaissance de cause</w:t>
      </w:r>
      <w:r w:rsidR="008A7416" w:rsidRPr="008D3DE0">
        <w:rPr>
          <w:b/>
          <w:lang w:val="fr-FR"/>
        </w:rPr>
        <w:t>,</w:t>
      </w:r>
      <w:r w:rsidR="00F47F74" w:rsidRPr="008D3DE0">
        <w:rPr>
          <w:b/>
          <w:lang w:val="fr-FR"/>
        </w:rPr>
        <w:t xml:space="preserve"> pour toutes les décisions qui les concernent</w:t>
      </w:r>
      <w:r w:rsidRPr="008D3DE0">
        <w:rPr>
          <w:b/>
          <w:lang w:val="fr-FR"/>
        </w:rPr>
        <w:t>.</w:t>
      </w:r>
    </w:p>
    <w:p w14:paraId="65418F1C" w14:textId="77777777" w:rsidR="00C4067E" w:rsidRPr="008D3DE0" w:rsidRDefault="00C4067E" w:rsidP="00C4067E">
      <w:pPr>
        <w:pStyle w:val="H1G"/>
      </w:pPr>
      <w:r w:rsidRPr="008D3DE0">
        <w:lastRenderedPageBreak/>
        <w:tab/>
        <w:t>D.</w:t>
      </w:r>
      <w:r w:rsidRPr="008D3DE0">
        <w:tab/>
        <w:t>Diffusion et suivi</w:t>
      </w:r>
    </w:p>
    <w:p w14:paraId="1F1C1EC8" w14:textId="0181658B" w:rsidR="00C4067E" w:rsidRPr="008D3DE0" w:rsidRDefault="00C4067E" w:rsidP="00CF248D">
      <w:pPr>
        <w:pStyle w:val="SingleTxtG"/>
        <w:tabs>
          <w:tab w:val="left" w:pos="1701"/>
          <w:tab w:val="left" w:pos="1843"/>
          <w:tab w:val="left" w:pos="2127"/>
        </w:tabs>
        <w:rPr>
          <w:b/>
          <w:lang w:val="fr-FR"/>
        </w:rPr>
      </w:pPr>
      <w:r w:rsidRPr="008D3DE0">
        <w:rPr>
          <w:lang w:val="fr-FR"/>
        </w:rPr>
        <w:t>39.</w:t>
      </w:r>
      <w:r w:rsidRPr="008D3DE0">
        <w:rPr>
          <w:lang w:val="fr-FR"/>
        </w:rPr>
        <w:tab/>
      </w:r>
      <w:r w:rsidRPr="008D3DE0">
        <w:rPr>
          <w:b/>
          <w:lang w:val="fr-FR"/>
        </w:rPr>
        <w:t xml:space="preserve">L’État partie devrait </w:t>
      </w:r>
      <w:r w:rsidR="00456FE1" w:rsidRPr="008D3DE0">
        <w:rPr>
          <w:b/>
          <w:lang w:val="fr-FR"/>
        </w:rPr>
        <w:t>diffuser largement le texte</w:t>
      </w:r>
      <w:r w:rsidRPr="008D3DE0">
        <w:rPr>
          <w:b/>
          <w:lang w:val="fr-FR"/>
        </w:rPr>
        <w:t xml:space="preserve"> du Pacte, </w:t>
      </w:r>
      <w:r w:rsidR="00456FE1" w:rsidRPr="008D3DE0">
        <w:rPr>
          <w:b/>
          <w:lang w:val="fr-FR"/>
        </w:rPr>
        <w:t>de son</w:t>
      </w:r>
      <w:r w:rsidRPr="008D3DE0">
        <w:rPr>
          <w:b/>
          <w:lang w:val="fr-FR"/>
        </w:rPr>
        <w:t xml:space="preserve"> troisième rapport périodique, des réponses écrites à la liste de points établie par le Comité et des présentes observations finales </w:t>
      </w:r>
      <w:r w:rsidR="00456FE1" w:rsidRPr="008D3DE0">
        <w:rPr>
          <w:b/>
          <w:lang w:val="fr-FR"/>
        </w:rPr>
        <w:t>auprès des</w:t>
      </w:r>
      <w:r w:rsidRPr="008D3DE0">
        <w:rPr>
          <w:b/>
          <w:lang w:val="fr-FR"/>
        </w:rPr>
        <w:t xml:space="preserve"> autorités judiciaires, législatives et administratives, </w:t>
      </w:r>
      <w:r w:rsidR="00456FE1" w:rsidRPr="008D3DE0">
        <w:rPr>
          <w:b/>
          <w:lang w:val="fr-FR"/>
        </w:rPr>
        <w:t xml:space="preserve">de </w:t>
      </w:r>
      <w:r w:rsidRPr="008D3DE0">
        <w:rPr>
          <w:b/>
          <w:lang w:val="fr-FR"/>
        </w:rPr>
        <w:t>la société civile</w:t>
      </w:r>
      <w:r w:rsidR="00456FE1" w:rsidRPr="008D3DE0">
        <w:rPr>
          <w:b/>
          <w:lang w:val="fr-FR"/>
        </w:rPr>
        <w:t xml:space="preserve"> et des</w:t>
      </w:r>
      <w:r w:rsidRPr="008D3DE0">
        <w:rPr>
          <w:b/>
          <w:lang w:val="fr-FR"/>
        </w:rPr>
        <w:t xml:space="preserve"> organisations non gouvernementales </w:t>
      </w:r>
      <w:r w:rsidR="00456FE1" w:rsidRPr="008D3DE0">
        <w:rPr>
          <w:b/>
          <w:lang w:val="fr-FR"/>
        </w:rPr>
        <w:t>présentes</w:t>
      </w:r>
      <w:r w:rsidRPr="008D3DE0">
        <w:rPr>
          <w:b/>
          <w:lang w:val="fr-FR"/>
        </w:rPr>
        <w:t xml:space="preserve"> dans le pays</w:t>
      </w:r>
      <w:r w:rsidR="00456FE1" w:rsidRPr="008D3DE0">
        <w:rPr>
          <w:b/>
          <w:lang w:val="fr-FR"/>
        </w:rPr>
        <w:t>,</w:t>
      </w:r>
      <w:r w:rsidRPr="008D3DE0">
        <w:rPr>
          <w:b/>
          <w:lang w:val="fr-FR"/>
        </w:rPr>
        <w:t xml:space="preserve"> </w:t>
      </w:r>
      <w:r w:rsidR="00456FE1" w:rsidRPr="008D3DE0">
        <w:rPr>
          <w:b/>
          <w:lang w:val="fr-FR"/>
        </w:rPr>
        <w:t>ainsi qu’auprès du</w:t>
      </w:r>
      <w:r w:rsidRPr="008D3DE0">
        <w:rPr>
          <w:b/>
          <w:lang w:val="fr-FR"/>
        </w:rPr>
        <w:t xml:space="preserve"> grand public </w:t>
      </w:r>
      <w:r w:rsidR="00456FE1" w:rsidRPr="008D3DE0">
        <w:rPr>
          <w:b/>
          <w:lang w:val="fr-FR"/>
        </w:rPr>
        <w:t xml:space="preserve">afin de les sensibiliser </w:t>
      </w:r>
      <w:r w:rsidRPr="008D3DE0">
        <w:rPr>
          <w:b/>
          <w:lang w:val="fr-FR"/>
        </w:rPr>
        <w:t xml:space="preserve">aux droits consacrés par le Pacte. L’État partie devrait </w:t>
      </w:r>
      <w:r w:rsidR="00456FE1" w:rsidRPr="008D3DE0">
        <w:rPr>
          <w:b/>
          <w:lang w:val="fr-FR"/>
        </w:rPr>
        <w:t>faire en sorte</w:t>
      </w:r>
      <w:r w:rsidRPr="008D3DE0">
        <w:rPr>
          <w:b/>
          <w:lang w:val="fr-FR"/>
        </w:rPr>
        <w:t xml:space="preserve"> que le rapport, les réponses écrites et les présentes observations finales soient traduits dans les principales langues écrites du pays.</w:t>
      </w:r>
    </w:p>
    <w:p w14:paraId="14D5B0EE" w14:textId="06BA7303" w:rsidR="00C4067E" w:rsidRPr="008D3DE0" w:rsidRDefault="00C4067E" w:rsidP="00CF248D">
      <w:pPr>
        <w:pStyle w:val="SingleTxtG"/>
        <w:tabs>
          <w:tab w:val="left" w:pos="1701"/>
          <w:tab w:val="left" w:pos="1843"/>
          <w:tab w:val="left" w:pos="2127"/>
        </w:tabs>
        <w:rPr>
          <w:b/>
          <w:lang w:val="fr-FR"/>
        </w:rPr>
      </w:pPr>
      <w:r w:rsidRPr="008D3DE0">
        <w:rPr>
          <w:lang w:val="fr-FR"/>
        </w:rPr>
        <w:t>40.</w:t>
      </w:r>
      <w:r w:rsidRPr="008D3DE0">
        <w:rPr>
          <w:lang w:val="fr-FR"/>
        </w:rPr>
        <w:tab/>
      </w:r>
      <w:r w:rsidRPr="008D3DE0">
        <w:rPr>
          <w:b/>
          <w:lang w:val="fr-FR"/>
        </w:rPr>
        <w:t>Conformément au paragraphe</w:t>
      </w:r>
      <w:r w:rsidR="00795C43" w:rsidRPr="008D3DE0">
        <w:rPr>
          <w:b/>
          <w:lang w:val="fr-FR"/>
        </w:rPr>
        <w:t> 1</w:t>
      </w:r>
      <w:r w:rsidRPr="008D3DE0">
        <w:rPr>
          <w:b/>
          <w:lang w:val="fr-FR"/>
        </w:rPr>
        <w:t xml:space="preserve"> de l’article</w:t>
      </w:r>
      <w:r w:rsidR="00795C43" w:rsidRPr="008D3DE0">
        <w:rPr>
          <w:b/>
          <w:lang w:val="fr-FR"/>
        </w:rPr>
        <w:t> 75</w:t>
      </w:r>
      <w:r w:rsidRPr="008D3DE0">
        <w:rPr>
          <w:b/>
          <w:lang w:val="fr-FR"/>
        </w:rPr>
        <w:t xml:space="preserve"> du règlement intérieur du Comité, l’État partie </w:t>
      </w:r>
      <w:r w:rsidR="00795C43" w:rsidRPr="008D3DE0">
        <w:rPr>
          <w:b/>
          <w:lang w:val="fr-FR"/>
        </w:rPr>
        <w:t>est invité à</w:t>
      </w:r>
      <w:r w:rsidRPr="008D3DE0">
        <w:rPr>
          <w:b/>
          <w:lang w:val="fr-FR"/>
        </w:rPr>
        <w:t xml:space="preserve"> faire parvenir, le 20</w:t>
      </w:r>
      <w:r w:rsidR="00D819BF" w:rsidRPr="008D3DE0">
        <w:rPr>
          <w:b/>
          <w:lang w:val="fr-FR"/>
        </w:rPr>
        <w:t xml:space="preserve"> </w:t>
      </w:r>
      <w:r w:rsidRPr="008D3DE0">
        <w:rPr>
          <w:b/>
          <w:lang w:val="fr-FR"/>
        </w:rPr>
        <w:t>mars 202</w:t>
      </w:r>
      <w:r w:rsidR="00DE3994">
        <w:rPr>
          <w:b/>
          <w:lang w:val="fr-FR"/>
        </w:rPr>
        <w:t>2</w:t>
      </w:r>
      <w:r w:rsidR="00795C43" w:rsidRPr="008D3DE0">
        <w:rPr>
          <w:b/>
          <w:lang w:val="fr-FR"/>
        </w:rPr>
        <w:t xml:space="preserve"> au plus tard</w:t>
      </w:r>
      <w:r w:rsidRPr="008D3DE0">
        <w:rPr>
          <w:b/>
          <w:lang w:val="fr-FR"/>
        </w:rPr>
        <w:t>, des renseignements sur la suite qu’il aura donnée aux recommandations formulées aux paragraphes 8</w:t>
      </w:r>
      <w:r w:rsidR="00D819BF" w:rsidRPr="008D3DE0">
        <w:rPr>
          <w:b/>
          <w:lang w:val="fr-FR"/>
        </w:rPr>
        <w:t xml:space="preserve"> </w:t>
      </w:r>
      <w:r w:rsidRPr="008D3DE0">
        <w:rPr>
          <w:b/>
          <w:lang w:val="fr-FR"/>
        </w:rPr>
        <w:t xml:space="preserve">(institution nationale des droits de l’homme), 10 (lutte contre l’impunité) et </w:t>
      </w:r>
      <w:r w:rsidR="00290314" w:rsidRPr="008D3DE0">
        <w:rPr>
          <w:b/>
          <w:lang w:val="fr-FR"/>
        </w:rPr>
        <w:t>20</w:t>
      </w:r>
      <w:r w:rsidRPr="008D3DE0">
        <w:rPr>
          <w:b/>
          <w:lang w:val="fr-FR"/>
        </w:rPr>
        <w:t xml:space="preserve"> (</w:t>
      </w:r>
      <w:r w:rsidR="008A7416" w:rsidRPr="008D3DE0">
        <w:rPr>
          <w:b/>
          <w:lang w:val="fr-FR"/>
        </w:rPr>
        <w:t>d</w:t>
      </w:r>
      <w:r w:rsidR="00290314" w:rsidRPr="008D3DE0">
        <w:rPr>
          <w:b/>
          <w:lang w:val="fr-FR"/>
        </w:rPr>
        <w:t>roit à la vie et protection des populations civiles</w:t>
      </w:r>
      <w:r w:rsidRPr="008D3DE0">
        <w:rPr>
          <w:b/>
          <w:lang w:val="fr-FR"/>
        </w:rPr>
        <w:t>).</w:t>
      </w:r>
    </w:p>
    <w:p w14:paraId="64F15EDE" w14:textId="70844FB4" w:rsidR="00C4067E" w:rsidRDefault="00C4067E" w:rsidP="00CF248D">
      <w:pPr>
        <w:pStyle w:val="SingleTxtG"/>
        <w:tabs>
          <w:tab w:val="left" w:pos="1701"/>
          <w:tab w:val="left" w:pos="1843"/>
          <w:tab w:val="left" w:pos="2127"/>
        </w:tabs>
        <w:rPr>
          <w:b/>
          <w:lang w:val="fr-FR"/>
        </w:rPr>
      </w:pPr>
      <w:r w:rsidRPr="008D3DE0">
        <w:rPr>
          <w:lang w:val="fr-FR"/>
        </w:rPr>
        <w:t>41.</w:t>
      </w:r>
      <w:r w:rsidRPr="008D3DE0">
        <w:rPr>
          <w:lang w:val="fr-FR"/>
        </w:rPr>
        <w:tab/>
      </w:r>
      <w:r w:rsidRPr="008D3DE0">
        <w:rPr>
          <w:b/>
          <w:lang w:val="fr-FR"/>
        </w:rPr>
        <w:t xml:space="preserve">En conformité avec le cycle d’examen prévisible du Comité, l’État </w:t>
      </w:r>
      <w:r w:rsidR="00CF248D" w:rsidRPr="008D3DE0">
        <w:rPr>
          <w:b/>
          <w:lang w:val="fr-FR"/>
        </w:rPr>
        <w:t>partie recevra du Comité en 2025</w:t>
      </w:r>
      <w:r w:rsidRPr="008D3DE0">
        <w:rPr>
          <w:b/>
          <w:lang w:val="fr-FR"/>
        </w:rPr>
        <w:t xml:space="preserve"> la liste de points à traiter avant soumission du rapport et aura un an pour soumettre ses réponses à la liste de points, qui constitueront son </w:t>
      </w:r>
      <w:r w:rsidR="00795C43" w:rsidRPr="008D3DE0">
        <w:rPr>
          <w:b/>
          <w:lang w:val="fr-FR"/>
        </w:rPr>
        <w:t>quatri</w:t>
      </w:r>
      <w:r w:rsidRPr="008D3DE0">
        <w:rPr>
          <w:b/>
          <w:lang w:val="fr-FR"/>
        </w:rPr>
        <w:t xml:space="preserve">ème rapport périodique. Le Comité demande également à l’État partie de consulter largement la société civile et les organisations non gouvernementales œuvrant dans le pays lors de la préparation de son rapport. En conformité avec la résolution 68/268 de l’Assemblée générale, la limite fixée pour ce rapport est de 21 200 mots. Le prochain dialogue constructif avec </w:t>
      </w:r>
      <w:r w:rsidR="00CF248D" w:rsidRPr="008D3DE0">
        <w:rPr>
          <w:b/>
          <w:lang w:val="fr-FR"/>
        </w:rPr>
        <w:t>l’État partie se tiendra en 2027</w:t>
      </w:r>
      <w:r w:rsidRPr="008D3DE0">
        <w:rPr>
          <w:b/>
          <w:lang w:val="fr-FR"/>
        </w:rPr>
        <w:t>, à Genève.</w:t>
      </w:r>
    </w:p>
    <w:p w14:paraId="6E0E6999" w14:textId="1D06FA4D" w:rsidR="00522CCD" w:rsidRPr="00B23DE8" w:rsidRDefault="005D20D6">
      <w:pPr>
        <w:suppressAutoHyphens/>
        <w:spacing w:before="240" w:after="0" w:line="240" w:lineRule="atLeast"/>
        <w:ind w:left="1134" w:right="1134"/>
        <w:jc w:val="center"/>
        <w:rPr>
          <w:rFonts w:ascii="Times New Roman" w:hAnsi="Times New Roman" w:cs="Times New Roman"/>
          <w:sz w:val="20"/>
          <w:szCs w:val="20"/>
        </w:rPr>
      </w:pPr>
      <w:r w:rsidRPr="00B23DE8">
        <w:rPr>
          <w:rFonts w:ascii="Times New Roman" w:hAnsi="Times New Roman" w:cs="Times New Roman"/>
          <w:sz w:val="20"/>
          <w:szCs w:val="20"/>
          <w:u w:val="single"/>
        </w:rPr>
        <w:tab/>
      </w:r>
      <w:r w:rsidRPr="00B23DE8">
        <w:rPr>
          <w:rFonts w:ascii="Times New Roman" w:hAnsi="Times New Roman" w:cs="Times New Roman"/>
          <w:sz w:val="20"/>
          <w:szCs w:val="20"/>
          <w:u w:val="single"/>
        </w:rPr>
        <w:tab/>
      </w:r>
      <w:r w:rsidRPr="00B23DE8">
        <w:rPr>
          <w:rFonts w:ascii="Times New Roman" w:hAnsi="Times New Roman" w:cs="Times New Roman"/>
          <w:sz w:val="20"/>
          <w:szCs w:val="20"/>
          <w:u w:val="single"/>
        </w:rPr>
        <w:tab/>
      </w:r>
      <w:bookmarkEnd w:id="0"/>
    </w:p>
    <w:sectPr w:rsidR="00522CCD" w:rsidRPr="00B23DE8" w:rsidSect="00B23DE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FFD4" w14:textId="77777777" w:rsidR="00B23DE8" w:rsidRDefault="00B23DE8" w:rsidP="00C4067E">
      <w:pPr>
        <w:spacing w:after="0" w:line="240" w:lineRule="auto"/>
      </w:pPr>
      <w:r>
        <w:separator/>
      </w:r>
    </w:p>
  </w:endnote>
  <w:endnote w:type="continuationSeparator" w:id="0">
    <w:p w14:paraId="7B8AED4A" w14:textId="77777777" w:rsidR="00B23DE8" w:rsidRDefault="00B23DE8" w:rsidP="00C4067E">
      <w:pPr>
        <w:spacing w:after="0" w:line="240" w:lineRule="auto"/>
      </w:pPr>
      <w:r>
        <w:continuationSeparator/>
      </w:r>
    </w:p>
  </w:endnote>
  <w:endnote w:type="continuationNotice" w:id="1">
    <w:p w14:paraId="695BD857" w14:textId="77777777" w:rsidR="00B23DE8" w:rsidRDefault="00B23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903A" w14:textId="73E7E401" w:rsidR="00B23DE8" w:rsidRDefault="00B23DE8" w:rsidP="007D39A7">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B81C89">
      <w:rPr>
        <w:b/>
        <w:noProof/>
        <w:sz w:val="18"/>
      </w:rPr>
      <w:t>10</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624F" w14:textId="536B572A" w:rsidR="00B23DE8" w:rsidRDefault="00B23DE8" w:rsidP="007D39A7">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B81C89">
      <w:rPr>
        <w:b/>
        <w:noProof/>
        <w:sz w:val="18"/>
      </w:rPr>
      <w:t>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E355" w14:textId="37064B5D" w:rsidR="00422BE7" w:rsidRPr="00422BE7" w:rsidRDefault="00E169B0" w:rsidP="00422BE7">
    <w:pPr>
      <w:pStyle w:val="Pieddepage"/>
      <w:spacing w:before="120"/>
      <w:rPr>
        <w:sz w:val="20"/>
      </w:rPr>
    </w:pPr>
    <w:r w:rsidRPr="00422BE7">
      <w:rPr>
        <w:rFonts w:ascii="C39T30Lfz" w:hAnsi="C39T30Lfz"/>
        <w:noProof/>
        <w:sz w:val="56"/>
        <w:lang w:eastAsia="fr-CH"/>
      </w:rPr>
      <w:drawing>
        <wp:anchor distT="0" distB="0" distL="114300" distR="114300" simplePos="0" relativeHeight="251657216" behindDoc="0" locked="0" layoutInCell="1" allowOverlap="0" wp14:anchorId="624480FD" wp14:editId="3C9E0CF1">
          <wp:simplePos x="0" y="0"/>
          <wp:positionH relativeFrom="margin">
            <wp:posOffset>4315097</wp:posOffset>
          </wp:positionH>
          <wp:positionV relativeFrom="margin">
            <wp:posOffset>9081135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E7">
      <w:rPr>
        <w:sz w:val="20"/>
      </w:rPr>
      <w:t>GE.20-06244  (F)</w:t>
    </w:r>
    <w:r w:rsidR="00422BE7">
      <w:rPr>
        <w:sz w:val="20"/>
      </w:rPr>
      <w:br/>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sidRPr="00422BE7">
      <w:rPr>
        <w:rFonts w:ascii="C39T30Lfz" w:hAnsi="C39T30Lfz"/>
        <w:sz w:val="56"/>
      </w:rPr>
      <w:t></w:t>
    </w:r>
    <w:r w:rsidR="00422BE7">
      <w:rPr>
        <w:noProof/>
        <w:sz w:val="20"/>
      </w:rPr>
      <w:drawing>
        <wp:anchor distT="0" distB="0" distL="114300" distR="114300" simplePos="0" relativeHeight="251658240" behindDoc="0" locked="0" layoutInCell="1" allowOverlap="1" wp14:anchorId="2018FF4F" wp14:editId="709289E9">
          <wp:simplePos x="0" y="0"/>
          <wp:positionH relativeFrom="margin">
            <wp:posOffset>5489575</wp:posOffset>
          </wp:positionH>
          <wp:positionV relativeFrom="margin">
            <wp:posOffset>8891905</wp:posOffset>
          </wp:positionV>
          <wp:extent cx="561975" cy="561975"/>
          <wp:effectExtent l="0" t="0" r="9525" b="9525"/>
          <wp:wrapNone/>
          <wp:docPr id="1" name="Image 1" descr="https://undocs.org/m2/QRCode.ashx?DS=CCPR/C/CAF/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B926" w14:textId="536B0FD4" w:rsidR="00B23DE8" w:rsidRPr="00050509" w:rsidRDefault="00B23DE8" w:rsidP="00050509">
      <w:pPr>
        <w:tabs>
          <w:tab w:val="right" w:pos="2155"/>
        </w:tabs>
        <w:spacing w:after="80"/>
        <w:ind w:left="680"/>
        <w:rPr>
          <w:u w:val="single"/>
        </w:rPr>
      </w:pPr>
      <w:r>
        <w:rPr>
          <w:u w:val="single"/>
        </w:rPr>
        <w:tab/>
      </w:r>
    </w:p>
  </w:footnote>
  <w:footnote w:type="continuationSeparator" w:id="0">
    <w:p w14:paraId="66987421" w14:textId="77777777" w:rsidR="00B23DE8" w:rsidRDefault="00B23DE8" w:rsidP="00C4067E">
      <w:pPr>
        <w:spacing w:after="0" w:line="240" w:lineRule="auto"/>
      </w:pPr>
      <w:r>
        <w:continuationSeparator/>
      </w:r>
    </w:p>
  </w:footnote>
  <w:footnote w:type="continuationNotice" w:id="1">
    <w:p w14:paraId="41522DAE" w14:textId="77777777" w:rsidR="00B23DE8" w:rsidRDefault="00B23DE8">
      <w:pPr>
        <w:spacing w:after="0" w:line="240" w:lineRule="auto"/>
      </w:pPr>
    </w:p>
  </w:footnote>
  <w:footnote w:id="2">
    <w:p w14:paraId="6257E50E" w14:textId="252F3458" w:rsidR="000E6978" w:rsidRPr="000E6978" w:rsidRDefault="000E6978">
      <w:pPr>
        <w:pStyle w:val="Notedebasdepage"/>
      </w:pPr>
      <w:r>
        <w:rPr>
          <w:rStyle w:val="Appelnotedebasdep"/>
        </w:rPr>
        <w:tab/>
      </w:r>
      <w:r w:rsidRPr="000E6978">
        <w:rPr>
          <w:rStyle w:val="Appelnotedebasdep"/>
          <w:sz w:val="20"/>
          <w:vertAlign w:val="baseline"/>
        </w:rPr>
        <w:t>*</w:t>
      </w:r>
      <w:r>
        <w:rPr>
          <w:rStyle w:val="Appelnotedebasdep"/>
          <w:sz w:val="20"/>
          <w:vertAlign w:val="baseline"/>
        </w:rPr>
        <w:tab/>
      </w:r>
      <w:r>
        <w:rPr>
          <w:lang w:eastAsia="en-GB"/>
        </w:rPr>
        <w:t>Adoptées par le Comité à sa 128</w:t>
      </w:r>
      <w:r w:rsidRPr="00C12F08">
        <w:rPr>
          <w:vertAlign w:val="superscript"/>
          <w:lang w:eastAsia="en-GB"/>
        </w:rPr>
        <w:t xml:space="preserve">e </w:t>
      </w:r>
      <w:r>
        <w:rPr>
          <w:lang w:eastAsia="en-GB"/>
        </w:rPr>
        <w:t>session (2-27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59ED" w14:textId="2FBD1E6F" w:rsidR="00B23DE8" w:rsidRPr="001E2109" w:rsidRDefault="00B23DE8">
    <w:pPr>
      <w:pStyle w:val="En-tte"/>
      <w:rPr>
        <w:lang w:val="en-GB"/>
      </w:rPr>
    </w:pPr>
    <w:r w:rsidRPr="001E2109">
      <w:rPr>
        <w:lang w:val="en-GB"/>
      </w:rPr>
      <w:t>CCPR/C/CAF/CO/3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1075" w14:textId="05456697" w:rsidR="00B23DE8" w:rsidRPr="001E2109" w:rsidRDefault="00B23DE8" w:rsidP="007D39A7">
    <w:pPr>
      <w:pStyle w:val="En-tte"/>
      <w:jc w:val="right"/>
      <w:rPr>
        <w:lang w:val="en-GB"/>
      </w:rPr>
    </w:pPr>
    <w:r w:rsidRPr="001E2109">
      <w:rPr>
        <w:lang w:val="en-GB"/>
      </w:rPr>
      <w:t>CCPR/C/CAF/CO/3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documentProtection w:edit="trackedChanges" w:enforcement="0"/>
  <w:defaultTabStop w:val="708"/>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7E"/>
    <w:rsid w:val="000034A4"/>
    <w:rsid w:val="00014956"/>
    <w:rsid w:val="00050509"/>
    <w:rsid w:val="00052FB1"/>
    <w:rsid w:val="00067E22"/>
    <w:rsid w:val="000A3D25"/>
    <w:rsid w:val="000A7F6F"/>
    <w:rsid w:val="000C73A6"/>
    <w:rsid w:val="000D342F"/>
    <w:rsid w:val="000E6978"/>
    <w:rsid w:val="00103A44"/>
    <w:rsid w:val="001301DE"/>
    <w:rsid w:val="001512A9"/>
    <w:rsid w:val="00151792"/>
    <w:rsid w:val="00154640"/>
    <w:rsid w:val="00166EF4"/>
    <w:rsid w:val="00183B55"/>
    <w:rsid w:val="00186B28"/>
    <w:rsid w:val="0019140B"/>
    <w:rsid w:val="001A02C3"/>
    <w:rsid w:val="001B2431"/>
    <w:rsid w:val="001B3541"/>
    <w:rsid w:val="001D0C39"/>
    <w:rsid w:val="001E28BA"/>
    <w:rsid w:val="001E6B7E"/>
    <w:rsid w:val="00200904"/>
    <w:rsid w:val="00202E51"/>
    <w:rsid w:val="002061F9"/>
    <w:rsid w:val="0021299B"/>
    <w:rsid w:val="00226D97"/>
    <w:rsid w:val="0023305E"/>
    <w:rsid w:val="00243C42"/>
    <w:rsid w:val="002577B4"/>
    <w:rsid w:val="0026663F"/>
    <w:rsid w:val="00290314"/>
    <w:rsid w:val="0029445F"/>
    <w:rsid w:val="002A7F3F"/>
    <w:rsid w:val="002D2083"/>
    <w:rsid w:val="002D7691"/>
    <w:rsid w:val="002E1260"/>
    <w:rsid w:val="002E5DB9"/>
    <w:rsid w:val="003013A3"/>
    <w:rsid w:val="00302432"/>
    <w:rsid w:val="003137EB"/>
    <w:rsid w:val="0038364E"/>
    <w:rsid w:val="00390E16"/>
    <w:rsid w:val="003A2B8D"/>
    <w:rsid w:val="003B7B11"/>
    <w:rsid w:val="003D3A0B"/>
    <w:rsid w:val="003D6BEA"/>
    <w:rsid w:val="003E5EAE"/>
    <w:rsid w:val="00400668"/>
    <w:rsid w:val="00417757"/>
    <w:rsid w:val="00422BE7"/>
    <w:rsid w:val="004401E6"/>
    <w:rsid w:val="00450276"/>
    <w:rsid w:val="00452BDE"/>
    <w:rsid w:val="00456FE1"/>
    <w:rsid w:val="00467713"/>
    <w:rsid w:val="00476321"/>
    <w:rsid w:val="00476D86"/>
    <w:rsid w:val="004864B3"/>
    <w:rsid w:val="004F42EB"/>
    <w:rsid w:val="005207A6"/>
    <w:rsid w:val="00522CCD"/>
    <w:rsid w:val="00546A01"/>
    <w:rsid w:val="00562C11"/>
    <w:rsid w:val="00574ED9"/>
    <w:rsid w:val="005A3C69"/>
    <w:rsid w:val="005A5E6F"/>
    <w:rsid w:val="005C552F"/>
    <w:rsid w:val="005D0404"/>
    <w:rsid w:val="005D20D6"/>
    <w:rsid w:val="005D29A2"/>
    <w:rsid w:val="005F54AE"/>
    <w:rsid w:val="00601DF2"/>
    <w:rsid w:val="00610BF0"/>
    <w:rsid w:val="006262DC"/>
    <w:rsid w:val="006268E5"/>
    <w:rsid w:val="006456F6"/>
    <w:rsid w:val="00656662"/>
    <w:rsid w:val="0067663D"/>
    <w:rsid w:val="006A6420"/>
    <w:rsid w:val="006D71F6"/>
    <w:rsid w:val="006D7914"/>
    <w:rsid w:val="006E7D4C"/>
    <w:rsid w:val="006F6482"/>
    <w:rsid w:val="00730C22"/>
    <w:rsid w:val="007557F7"/>
    <w:rsid w:val="007652BD"/>
    <w:rsid w:val="00784F76"/>
    <w:rsid w:val="00795C43"/>
    <w:rsid w:val="007A4417"/>
    <w:rsid w:val="007B6EE7"/>
    <w:rsid w:val="007D39A7"/>
    <w:rsid w:val="007F56F7"/>
    <w:rsid w:val="00843A90"/>
    <w:rsid w:val="00876717"/>
    <w:rsid w:val="00893F03"/>
    <w:rsid w:val="008A2AB8"/>
    <w:rsid w:val="008A5977"/>
    <w:rsid w:val="008A7416"/>
    <w:rsid w:val="008C3DD6"/>
    <w:rsid w:val="008D3DE0"/>
    <w:rsid w:val="008D4133"/>
    <w:rsid w:val="008F6F13"/>
    <w:rsid w:val="00910E81"/>
    <w:rsid w:val="0092132A"/>
    <w:rsid w:val="00943CFA"/>
    <w:rsid w:val="00963606"/>
    <w:rsid w:val="0096622E"/>
    <w:rsid w:val="009A3B53"/>
    <w:rsid w:val="009C7267"/>
    <w:rsid w:val="009E6946"/>
    <w:rsid w:val="00A02FF0"/>
    <w:rsid w:val="00A10F95"/>
    <w:rsid w:val="00A20B40"/>
    <w:rsid w:val="00A2137F"/>
    <w:rsid w:val="00A430F5"/>
    <w:rsid w:val="00A5112D"/>
    <w:rsid w:val="00A546D4"/>
    <w:rsid w:val="00A66240"/>
    <w:rsid w:val="00A70C6D"/>
    <w:rsid w:val="00A80140"/>
    <w:rsid w:val="00A91744"/>
    <w:rsid w:val="00AB46EF"/>
    <w:rsid w:val="00AB49B4"/>
    <w:rsid w:val="00AC016D"/>
    <w:rsid w:val="00AD05E8"/>
    <w:rsid w:val="00AE1DE7"/>
    <w:rsid w:val="00AF4B37"/>
    <w:rsid w:val="00B23DE8"/>
    <w:rsid w:val="00B360F2"/>
    <w:rsid w:val="00B81C89"/>
    <w:rsid w:val="00BC1D92"/>
    <w:rsid w:val="00BE73E9"/>
    <w:rsid w:val="00BF4362"/>
    <w:rsid w:val="00C01EF4"/>
    <w:rsid w:val="00C05E13"/>
    <w:rsid w:val="00C12F08"/>
    <w:rsid w:val="00C15EEE"/>
    <w:rsid w:val="00C178F8"/>
    <w:rsid w:val="00C4067E"/>
    <w:rsid w:val="00C643C2"/>
    <w:rsid w:val="00C655BB"/>
    <w:rsid w:val="00C77E18"/>
    <w:rsid w:val="00C87666"/>
    <w:rsid w:val="00CB31CF"/>
    <w:rsid w:val="00CC3FE2"/>
    <w:rsid w:val="00CC6D8B"/>
    <w:rsid w:val="00CD7050"/>
    <w:rsid w:val="00CF248D"/>
    <w:rsid w:val="00D02918"/>
    <w:rsid w:val="00D1111F"/>
    <w:rsid w:val="00D32E7F"/>
    <w:rsid w:val="00D340DF"/>
    <w:rsid w:val="00D439F3"/>
    <w:rsid w:val="00D4555E"/>
    <w:rsid w:val="00D53419"/>
    <w:rsid w:val="00D603E9"/>
    <w:rsid w:val="00D60DB1"/>
    <w:rsid w:val="00D819BF"/>
    <w:rsid w:val="00D95E79"/>
    <w:rsid w:val="00DC29EE"/>
    <w:rsid w:val="00DC4F35"/>
    <w:rsid w:val="00DD782D"/>
    <w:rsid w:val="00DE3994"/>
    <w:rsid w:val="00DF3ECD"/>
    <w:rsid w:val="00E05B2C"/>
    <w:rsid w:val="00E169B0"/>
    <w:rsid w:val="00E50C2A"/>
    <w:rsid w:val="00E56E8E"/>
    <w:rsid w:val="00E574A6"/>
    <w:rsid w:val="00E60E50"/>
    <w:rsid w:val="00E65801"/>
    <w:rsid w:val="00E71145"/>
    <w:rsid w:val="00E734F5"/>
    <w:rsid w:val="00E74E53"/>
    <w:rsid w:val="00E83171"/>
    <w:rsid w:val="00E95190"/>
    <w:rsid w:val="00ED4A1C"/>
    <w:rsid w:val="00EE540C"/>
    <w:rsid w:val="00EF00D1"/>
    <w:rsid w:val="00F05F43"/>
    <w:rsid w:val="00F12248"/>
    <w:rsid w:val="00F178C9"/>
    <w:rsid w:val="00F20674"/>
    <w:rsid w:val="00F33B31"/>
    <w:rsid w:val="00F47F74"/>
    <w:rsid w:val="00F5264C"/>
    <w:rsid w:val="00F5597B"/>
    <w:rsid w:val="00F739DA"/>
    <w:rsid w:val="00FB0BAC"/>
    <w:rsid w:val="00FE7E72"/>
    <w:rsid w:val="00FF57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356E34E"/>
  <w15:docId w15:val="{5FBE73C8-C439-4CD7-82E2-8AADBA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4067E"/>
    <w:pPr>
      <w:pBdr>
        <w:bottom w:val="single" w:sz="4" w:space="4" w:color="auto"/>
      </w:pBd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b/>
      <w:sz w:val="18"/>
      <w:szCs w:val="20"/>
      <w:lang w:val="fr-CH" w:eastAsia="en-US"/>
    </w:rPr>
  </w:style>
  <w:style w:type="character" w:customStyle="1" w:styleId="En-tteCar">
    <w:name w:val="En-tête Car"/>
    <w:aliases w:val="6_G Car"/>
    <w:basedOn w:val="Policepardfaut"/>
    <w:link w:val="En-tte"/>
    <w:rsid w:val="00C4067E"/>
    <w:rPr>
      <w:rFonts w:ascii="Times New Roman" w:eastAsiaTheme="minorHAnsi" w:hAnsi="Times New Roman" w:cs="Times New Roman"/>
      <w:b/>
      <w:sz w:val="18"/>
      <w:szCs w:val="20"/>
      <w:lang w:val="fr-CH" w:eastAsia="en-US"/>
    </w:rPr>
  </w:style>
  <w:style w:type="paragraph" w:styleId="Pieddepage">
    <w:name w:val="footer"/>
    <w:aliases w:val="3_G"/>
    <w:basedOn w:val="Normal"/>
    <w:next w:val="Normal"/>
    <w:link w:val="PieddepageCar"/>
    <w:qFormat/>
    <w:rsid w:val="00C4067E"/>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16"/>
      <w:szCs w:val="20"/>
      <w:lang w:val="fr-CH" w:eastAsia="en-US"/>
    </w:rPr>
  </w:style>
  <w:style w:type="character" w:customStyle="1" w:styleId="PieddepageCar">
    <w:name w:val="Pied de page Car"/>
    <w:aliases w:val="3_G Car"/>
    <w:basedOn w:val="Policepardfaut"/>
    <w:link w:val="Pieddepage"/>
    <w:rsid w:val="00C4067E"/>
    <w:rPr>
      <w:rFonts w:ascii="Times New Roman" w:eastAsiaTheme="minorHAnsi" w:hAnsi="Times New Roman" w:cs="Times New Roman"/>
      <w:sz w:val="16"/>
      <w:szCs w:val="20"/>
      <w:lang w:val="fr-CH" w:eastAsia="en-US"/>
    </w:rPr>
  </w:style>
  <w:style w:type="paragraph" w:customStyle="1" w:styleId="HChG">
    <w:name w:val="_ H _Ch_G"/>
    <w:basedOn w:val="Normal"/>
    <w:next w:val="Normal"/>
    <w:link w:val="HChGChar"/>
    <w:qFormat/>
    <w:rsid w:val="00C4067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Theme="minorHAnsi" w:hAnsi="Times New Roman" w:cs="Times New Roman"/>
      <w:b/>
      <w:sz w:val="28"/>
      <w:szCs w:val="20"/>
      <w:lang w:val="fr-CH" w:eastAsia="en-US"/>
    </w:rPr>
  </w:style>
  <w:style w:type="paragraph" w:customStyle="1" w:styleId="H1G">
    <w:name w:val="_ H_1_G"/>
    <w:basedOn w:val="Normal"/>
    <w:next w:val="Normal"/>
    <w:link w:val="H1GChar"/>
    <w:qFormat/>
    <w:rsid w:val="00C4067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HAnsi" w:hAnsi="Times New Roman" w:cs="Times New Roman"/>
      <w:b/>
      <w:sz w:val="24"/>
      <w:szCs w:val="20"/>
      <w:lang w:val="fr-CH" w:eastAsia="en-US"/>
    </w:rPr>
  </w:style>
  <w:style w:type="paragraph" w:customStyle="1" w:styleId="H23G">
    <w:name w:val="_ H_2/3_G"/>
    <w:basedOn w:val="Normal"/>
    <w:next w:val="Normal"/>
    <w:link w:val="H23GChar"/>
    <w:qFormat/>
    <w:rsid w:val="00C4067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HAnsi" w:hAnsi="Times New Roman" w:cs="Times New Roman"/>
      <w:b/>
      <w:sz w:val="20"/>
      <w:szCs w:val="20"/>
      <w:lang w:val="fr-CH" w:eastAsia="en-US"/>
    </w:rPr>
  </w:style>
  <w:style w:type="paragraph" w:customStyle="1" w:styleId="SingleTxtG">
    <w:name w:val="_ Single Txt_G"/>
    <w:basedOn w:val="Normal"/>
    <w:link w:val="SingleTxtGChar"/>
    <w:qFormat/>
    <w:rsid w:val="00C4067E"/>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fr-CH" w:eastAsia="en-US"/>
    </w:rPr>
  </w:style>
  <w:style w:type="character" w:styleId="Appelnotedebasdep">
    <w:name w:val="footnote reference"/>
    <w:aliases w:val="16 Point,4_G,BVI fnr,Footnote,Footnote Refernece,Footnote symbol,Fußnotenzeichen_Raxen,Superscript 6 Point,Texto de nota al pie,ftref"/>
    <w:basedOn w:val="Policepardfaut"/>
    <w:qFormat/>
    <w:rsid w:val="00C4067E"/>
    <w:rPr>
      <w:rFonts w:ascii="Times New Roman" w:hAnsi="Times New Roman"/>
      <w:sz w:val="18"/>
      <w:vertAlign w:val="superscript"/>
      <w:lang w:val="fr-CH"/>
    </w:rPr>
  </w:style>
  <w:style w:type="table" w:styleId="Grilledutableau">
    <w:name w:val="Table Grid"/>
    <w:basedOn w:val="TableauNormal"/>
    <w:rsid w:val="00C4067E"/>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
    <w:basedOn w:val="Normal"/>
    <w:link w:val="NotedebasdepageCar"/>
    <w:qFormat/>
    <w:rsid w:val="00C4067E"/>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HAnsi" w:hAnsi="Times New Roman" w:cs="Times New Roman"/>
      <w:sz w:val="18"/>
      <w:szCs w:val="20"/>
      <w:lang w:val="fr-CH" w:eastAsia="en-US"/>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rsid w:val="00C4067E"/>
    <w:rPr>
      <w:rFonts w:ascii="Times New Roman" w:eastAsiaTheme="minorHAnsi" w:hAnsi="Times New Roman" w:cs="Times New Roman"/>
      <w:sz w:val="18"/>
      <w:szCs w:val="20"/>
      <w:lang w:val="fr-CH" w:eastAsia="en-US"/>
    </w:rPr>
  </w:style>
  <w:style w:type="character" w:customStyle="1" w:styleId="SingleTxtGChar">
    <w:name w:val="_ Single Txt_G Char"/>
    <w:link w:val="SingleTxtG"/>
    <w:rsid w:val="00C4067E"/>
    <w:rPr>
      <w:rFonts w:ascii="Times New Roman" w:eastAsiaTheme="minorHAnsi" w:hAnsi="Times New Roman" w:cs="Times New Roman"/>
      <w:sz w:val="20"/>
      <w:szCs w:val="20"/>
      <w:lang w:val="fr-CH" w:eastAsia="en-US"/>
    </w:rPr>
  </w:style>
  <w:style w:type="character" w:customStyle="1" w:styleId="HChGChar">
    <w:name w:val="_ H _Ch_G Char"/>
    <w:link w:val="HChG"/>
    <w:rsid w:val="00C4067E"/>
    <w:rPr>
      <w:rFonts w:ascii="Times New Roman" w:eastAsiaTheme="minorHAnsi" w:hAnsi="Times New Roman" w:cs="Times New Roman"/>
      <w:b/>
      <w:sz w:val="28"/>
      <w:szCs w:val="20"/>
      <w:lang w:val="fr-CH" w:eastAsia="en-US"/>
    </w:rPr>
  </w:style>
  <w:style w:type="character" w:customStyle="1" w:styleId="H1GChar">
    <w:name w:val="_ H_1_G Char"/>
    <w:link w:val="H1G"/>
    <w:locked/>
    <w:rsid w:val="00C4067E"/>
    <w:rPr>
      <w:rFonts w:ascii="Times New Roman" w:eastAsiaTheme="minorHAnsi" w:hAnsi="Times New Roman" w:cs="Times New Roman"/>
      <w:b/>
      <w:sz w:val="24"/>
      <w:szCs w:val="20"/>
      <w:lang w:val="fr-CH" w:eastAsia="en-US"/>
    </w:rPr>
  </w:style>
  <w:style w:type="character" w:customStyle="1" w:styleId="H23GChar">
    <w:name w:val="_ H_2/3_G Char"/>
    <w:link w:val="H23G"/>
    <w:locked/>
    <w:rsid w:val="00C4067E"/>
    <w:rPr>
      <w:rFonts w:ascii="Times New Roman" w:eastAsiaTheme="minorHAnsi" w:hAnsi="Times New Roman" w:cs="Times New Roman"/>
      <w:b/>
      <w:sz w:val="20"/>
      <w:szCs w:val="20"/>
      <w:lang w:val="fr-CH" w:eastAsia="en-US"/>
    </w:rPr>
  </w:style>
  <w:style w:type="character" w:customStyle="1" w:styleId="SingleTxtGCar">
    <w:name w:val="_ Single Txt_G Car"/>
    <w:rsid w:val="00C4067E"/>
    <w:rPr>
      <w:lang w:val="fr-CH" w:eastAsia="en-US"/>
    </w:rPr>
  </w:style>
  <w:style w:type="paragraph" w:styleId="Textedebulles">
    <w:name w:val="Balloon Text"/>
    <w:basedOn w:val="Normal"/>
    <w:link w:val="TextedebullesCar"/>
    <w:uiPriority w:val="99"/>
    <w:semiHidden/>
    <w:unhideWhenUsed/>
    <w:rsid w:val="00C40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67E"/>
    <w:rPr>
      <w:rFonts w:ascii="Tahoma" w:hAnsi="Tahoma" w:cs="Tahoma"/>
      <w:sz w:val="16"/>
      <w:szCs w:val="16"/>
    </w:rPr>
  </w:style>
  <w:style w:type="character" w:styleId="Marquedecommentaire">
    <w:name w:val="annotation reference"/>
    <w:basedOn w:val="Policepardfaut"/>
    <w:uiPriority w:val="99"/>
    <w:semiHidden/>
    <w:unhideWhenUsed/>
    <w:rsid w:val="00417757"/>
    <w:rPr>
      <w:sz w:val="16"/>
      <w:szCs w:val="16"/>
    </w:rPr>
  </w:style>
  <w:style w:type="paragraph" w:styleId="Commentaire">
    <w:name w:val="annotation text"/>
    <w:basedOn w:val="Normal"/>
    <w:link w:val="CommentaireCar"/>
    <w:uiPriority w:val="99"/>
    <w:semiHidden/>
    <w:unhideWhenUsed/>
    <w:rsid w:val="00417757"/>
    <w:pPr>
      <w:spacing w:line="240" w:lineRule="auto"/>
    </w:pPr>
    <w:rPr>
      <w:sz w:val="20"/>
      <w:szCs w:val="20"/>
    </w:rPr>
  </w:style>
  <w:style w:type="character" w:customStyle="1" w:styleId="CommentaireCar">
    <w:name w:val="Commentaire Car"/>
    <w:basedOn w:val="Policepardfaut"/>
    <w:link w:val="Commentaire"/>
    <w:uiPriority w:val="99"/>
    <w:semiHidden/>
    <w:rsid w:val="00417757"/>
    <w:rPr>
      <w:sz w:val="20"/>
      <w:szCs w:val="20"/>
    </w:rPr>
  </w:style>
  <w:style w:type="paragraph" w:styleId="Objetducommentaire">
    <w:name w:val="annotation subject"/>
    <w:basedOn w:val="Commentaire"/>
    <w:next w:val="Commentaire"/>
    <w:link w:val="ObjetducommentaireCar"/>
    <w:uiPriority w:val="99"/>
    <w:semiHidden/>
    <w:unhideWhenUsed/>
    <w:rsid w:val="00417757"/>
    <w:rPr>
      <w:b/>
      <w:bCs/>
    </w:rPr>
  </w:style>
  <w:style w:type="character" w:customStyle="1" w:styleId="ObjetducommentaireCar">
    <w:name w:val="Objet du commentaire Car"/>
    <w:basedOn w:val="CommentaireCar"/>
    <w:link w:val="Objetducommentaire"/>
    <w:uiPriority w:val="99"/>
    <w:semiHidden/>
    <w:rsid w:val="00417757"/>
    <w:rPr>
      <w:b/>
      <w:bCs/>
      <w:sz w:val="20"/>
      <w:szCs w:val="20"/>
    </w:rPr>
  </w:style>
  <w:style w:type="paragraph" w:styleId="PrformatHTML">
    <w:name w:val="HTML Preformatted"/>
    <w:basedOn w:val="Normal"/>
    <w:link w:val="PrformatHTMLCar"/>
    <w:uiPriority w:val="99"/>
    <w:semiHidden/>
    <w:unhideWhenUsed/>
    <w:rsid w:val="00C1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C12F08"/>
    <w:rPr>
      <w:rFonts w:ascii="Courier New" w:eastAsia="Times New Roman" w:hAnsi="Courier New" w:cs="Courier New"/>
      <w:sz w:val="20"/>
      <w:szCs w:val="20"/>
      <w:lang w:val="en-GB" w:eastAsia="en-GB"/>
    </w:rPr>
  </w:style>
  <w:style w:type="character" w:styleId="Lienhypertexte">
    <w:name w:val="Hyperlink"/>
    <w:basedOn w:val="Policepardfaut"/>
    <w:unhideWhenUsed/>
    <w:rsid w:val="00943CFA"/>
    <w:rPr>
      <w:color w:val="0000FF"/>
      <w:u w:val="none"/>
    </w:rPr>
  </w:style>
  <w:style w:type="paragraph" w:styleId="Rvision">
    <w:name w:val="Revision"/>
    <w:hidden/>
    <w:uiPriority w:val="99"/>
    <w:semiHidden/>
    <w:rsid w:val="0087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59424">
      <w:bodyDiv w:val="1"/>
      <w:marLeft w:val="0"/>
      <w:marRight w:val="0"/>
      <w:marTop w:val="0"/>
      <w:marBottom w:val="0"/>
      <w:divBdr>
        <w:top w:val="none" w:sz="0" w:space="0" w:color="auto"/>
        <w:left w:val="none" w:sz="0" w:space="0" w:color="auto"/>
        <w:bottom w:val="none" w:sz="0" w:space="0" w:color="auto"/>
        <w:right w:val="none" w:sz="0" w:space="0" w:color="auto"/>
      </w:divBdr>
      <w:divsChild>
        <w:div w:id="1628856066">
          <w:marLeft w:val="0"/>
          <w:marRight w:val="0"/>
          <w:marTop w:val="0"/>
          <w:marBottom w:val="0"/>
          <w:divBdr>
            <w:top w:val="none" w:sz="0" w:space="0" w:color="auto"/>
            <w:left w:val="none" w:sz="0" w:space="0" w:color="auto"/>
            <w:bottom w:val="none" w:sz="0" w:space="0" w:color="auto"/>
            <w:right w:val="none" w:sz="0" w:space="0" w:color="auto"/>
          </w:divBdr>
          <w:divsChild>
            <w:div w:id="241332611">
              <w:marLeft w:val="0"/>
              <w:marRight w:val="0"/>
              <w:marTop w:val="0"/>
              <w:marBottom w:val="0"/>
              <w:divBdr>
                <w:top w:val="none" w:sz="0" w:space="0" w:color="auto"/>
                <w:left w:val="none" w:sz="0" w:space="0" w:color="auto"/>
                <w:bottom w:val="none" w:sz="0" w:space="0" w:color="auto"/>
                <w:right w:val="none" w:sz="0" w:space="0" w:color="auto"/>
              </w:divBdr>
              <w:divsChild>
                <w:div w:id="1670329405">
                  <w:marLeft w:val="0"/>
                  <w:marRight w:val="0"/>
                  <w:marTop w:val="0"/>
                  <w:marBottom w:val="0"/>
                  <w:divBdr>
                    <w:top w:val="none" w:sz="0" w:space="0" w:color="auto"/>
                    <w:left w:val="none" w:sz="0" w:space="0" w:color="auto"/>
                    <w:bottom w:val="none" w:sz="0" w:space="0" w:color="auto"/>
                    <w:right w:val="none" w:sz="0" w:space="0" w:color="auto"/>
                  </w:divBdr>
                  <w:divsChild>
                    <w:div w:id="959459791">
                      <w:marLeft w:val="0"/>
                      <w:marRight w:val="0"/>
                      <w:marTop w:val="0"/>
                      <w:marBottom w:val="0"/>
                      <w:divBdr>
                        <w:top w:val="none" w:sz="0" w:space="0" w:color="auto"/>
                        <w:left w:val="none" w:sz="0" w:space="0" w:color="auto"/>
                        <w:bottom w:val="none" w:sz="0" w:space="0" w:color="auto"/>
                        <w:right w:val="none" w:sz="0" w:space="0" w:color="auto"/>
                      </w:divBdr>
                      <w:divsChild>
                        <w:div w:id="1609312424">
                          <w:marLeft w:val="0"/>
                          <w:marRight w:val="0"/>
                          <w:marTop w:val="0"/>
                          <w:marBottom w:val="0"/>
                          <w:divBdr>
                            <w:top w:val="none" w:sz="0" w:space="0" w:color="auto"/>
                            <w:left w:val="none" w:sz="0" w:space="0" w:color="auto"/>
                            <w:bottom w:val="none" w:sz="0" w:space="0" w:color="auto"/>
                            <w:right w:val="none" w:sz="0" w:space="0" w:color="auto"/>
                          </w:divBdr>
                          <w:divsChild>
                            <w:div w:id="1105804341">
                              <w:marLeft w:val="2700"/>
                              <w:marRight w:val="3960"/>
                              <w:marTop w:val="0"/>
                              <w:marBottom w:val="0"/>
                              <w:divBdr>
                                <w:top w:val="none" w:sz="0" w:space="0" w:color="auto"/>
                                <w:left w:val="none" w:sz="0" w:space="0" w:color="auto"/>
                                <w:bottom w:val="none" w:sz="0" w:space="0" w:color="auto"/>
                                <w:right w:val="none" w:sz="0" w:space="0" w:color="auto"/>
                              </w:divBdr>
                              <w:divsChild>
                                <w:div w:id="602609637">
                                  <w:marLeft w:val="0"/>
                                  <w:marRight w:val="0"/>
                                  <w:marTop w:val="0"/>
                                  <w:marBottom w:val="0"/>
                                  <w:divBdr>
                                    <w:top w:val="none" w:sz="0" w:space="0" w:color="auto"/>
                                    <w:left w:val="none" w:sz="0" w:space="0" w:color="auto"/>
                                    <w:bottom w:val="none" w:sz="0" w:space="0" w:color="auto"/>
                                    <w:right w:val="none" w:sz="0" w:space="0" w:color="auto"/>
                                  </w:divBdr>
                                  <w:divsChild>
                                    <w:div w:id="1922059223">
                                      <w:marLeft w:val="0"/>
                                      <w:marRight w:val="0"/>
                                      <w:marTop w:val="0"/>
                                      <w:marBottom w:val="0"/>
                                      <w:divBdr>
                                        <w:top w:val="none" w:sz="0" w:space="0" w:color="auto"/>
                                        <w:left w:val="none" w:sz="0" w:space="0" w:color="auto"/>
                                        <w:bottom w:val="none" w:sz="0" w:space="0" w:color="auto"/>
                                        <w:right w:val="none" w:sz="0" w:space="0" w:color="auto"/>
                                      </w:divBdr>
                                      <w:divsChild>
                                        <w:div w:id="1430732884">
                                          <w:marLeft w:val="0"/>
                                          <w:marRight w:val="0"/>
                                          <w:marTop w:val="0"/>
                                          <w:marBottom w:val="0"/>
                                          <w:divBdr>
                                            <w:top w:val="none" w:sz="0" w:space="0" w:color="auto"/>
                                            <w:left w:val="none" w:sz="0" w:space="0" w:color="auto"/>
                                            <w:bottom w:val="none" w:sz="0" w:space="0" w:color="auto"/>
                                            <w:right w:val="none" w:sz="0" w:space="0" w:color="auto"/>
                                          </w:divBdr>
                                          <w:divsChild>
                                            <w:div w:id="2117404404">
                                              <w:marLeft w:val="0"/>
                                              <w:marRight w:val="0"/>
                                              <w:marTop w:val="90"/>
                                              <w:marBottom w:val="0"/>
                                              <w:divBdr>
                                                <w:top w:val="none" w:sz="0" w:space="0" w:color="auto"/>
                                                <w:left w:val="none" w:sz="0" w:space="0" w:color="auto"/>
                                                <w:bottom w:val="none" w:sz="0" w:space="0" w:color="auto"/>
                                                <w:right w:val="none" w:sz="0" w:space="0" w:color="auto"/>
                                              </w:divBdr>
                                              <w:divsChild>
                                                <w:div w:id="1026641151">
                                                  <w:marLeft w:val="0"/>
                                                  <w:marRight w:val="0"/>
                                                  <w:marTop w:val="0"/>
                                                  <w:marBottom w:val="405"/>
                                                  <w:divBdr>
                                                    <w:top w:val="none" w:sz="0" w:space="0" w:color="auto"/>
                                                    <w:left w:val="none" w:sz="0" w:space="0" w:color="auto"/>
                                                    <w:bottom w:val="none" w:sz="0" w:space="0" w:color="auto"/>
                                                    <w:right w:val="none" w:sz="0" w:space="0" w:color="auto"/>
                                                  </w:divBdr>
                                                  <w:divsChild>
                                                    <w:div w:id="2974708">
                                                      <w:marLeft w:val="0"/>
                                                      <w:marRight w:val="0"/>
                                                      <w:marTop w:val="0"/>
                                                      <w:marBottom w:val="0"/>
                                                      <w:divBdr>
                                                        <w:top w:val="none" w:sz="0" w:space="0" w:color="auto"/>
                                                        <w:left w:val="none" w:sz="0" w:space="0" w:color="auto"/>
                                                        <w:bottom w:val="none" w:sz="0" w:space="0" w:color="auto"/>
                                                        <w:right w:val="none" w:sz="0" w:space="0" w:color="auto"/>
                                                      </w:divBdr>
                                                      <w:divsChild>
                                                        <w:div w:id="189954146">
                                                          <w:marLeft w:val="0"/>
                                                          <w:marRight w:val="0"/>
                                                          <w:marTop w:val="0"/>
                                                          <w:marBottom w:val="0"/>
                                                          <w:divBdr>
                                                            <w:top w:val="none" w:sz="0" w:space="0" w:color="auto"/>
                                                            <w:left w:val="none" w:sz="0" w:space="0" w:color="auto"/>
                                                            <w:bottom w:val="none" w:sz="0" w:space="0" w:color="auto"/>
                                                            <w:right w:val="none" w:sz="0" w:space="0" w:color="auto"/>
                                                          </w:divBdr>
                                                          <w:divsChild>
                                                            <w:div w:id="892929098">
                                                              <w:marLeft w:val="0"/>
                                                              <w:marRight w:val="0"/>
                                                              <w:marTop w:val="0"/>
                                                              <w:marBottom w:val="0"/>
                                                              <w:divBdr>
                                                                <w:top w:val="none" w:sz="0" w:space="0" w:color="auto"/>
                                                                <w:left w:val="none" w:sz="0" w:space="0" w:color="auto"/>
                                                                <w:bottom w:val="none" w:sz="0" w:space="0" w:color="auto"/>
                                                                <w:right w:val="none" w:sz="0" w:space="0" w:color="auto"/>
                                                              </w:divBdr>
                                                              <w:divsChild>
                                                                <w:div w:id="468404804">
                                                                  <w:marLeft w:val="0"/>
                                                                  <w:marRight w:val="0"/>
                                                                  <w:marTop w:val="0"/>
                                                                  <w:marBottom w:val="0"/>
                                                                  <w:divBdr>
                                                                    <w:top w:val="none" w:sz="0" w:space="0" w:color="auto"/>
                                                                    <w:left w:val="none" w:sz="0" w:space="0" w:color="auto"/>
                                                                    <w:bottom w:val="none" w:sz="0" w:space="0" w:color="auto"/>
                                                                    <w:right w:val="none" w:sz="0" w:space="0" w:color="auto"/>
                                                                  </w:divBdr>
                                                                  <w:divsChild>
                                                                    <w:div w:id="585305460">
                                                                      <w:marLeft w:val="0"/>
                                                                      <w:marRight w:val="0"/>
                                                                      <w:marTop w:val="0"/>
                                                                      <w:marBottom w:val="0"/>
                                                                      <w:divBdr>
                                                                        <w:top w:val="none" w:sz="0" w:space="0" w:color="auto"/>
                                                                        <w:left w:val="none" w:sz="0" w:space="0" w:color="auto"/>
                                                                        <w:bottom w:val="none" w:sz="0" w:space="0" w:color="auto"/>
                                                                        <w:right w:val="none" w:sz="0" w:space="0" w:color="auto"/>
                                                                      </w:divBdr>
                                                                      <w:divsChild>
                                                                        <w:div w:id="897858982">
                                                                          <w:marLeft w:val="0"/>
                                                                          <w:marRight w:val="0"/>
                                                                          <w:marTop w:val="0"/>
                                                                          <w:marBottom w:val="0"/>
                                                                          <w:divBdr>
                                                                            <w:top w:val="none" w:sz="0" w:space="0" w:color="auto"/>
                                                                            <w:left w:val="none" w:sz="0" w:space="0" w:color="auto"/>
                                                                            <w:bottom w:val="none" w:sz="0" w:space="0" w:color="auto"/>
                                                                            <w:right w:val="none" w:sz="0" w:space="0" w:color="auto"/>
                                                                          </w:divBdr>
                                                                          <w:divsChild>
                                                                            <w:div w:id="1455057659">
                                                                              <w:marLeft w:val="0"/>
                                                                              <w:marRight w:val="0"/>
                                                                              <w:marTop w:val="0"/>
                                                                              <w:marBottom w:val="0"/>
                                                                              <w:divBdr>
                                                                                <w:top w:val="none" w:sz="0" w:space="0" w:color="auto"/>
                                                                                <w:left w:val="none" w:sz="0" w:space="0" w:color="auto"/>
                                                                                <w:bottom w:val="none" w:sz="0" w:space="0" w:color="auto"/>
                                                                                <w:right w:val="none" w:sz="0" w:space="0" w:color="auto"/>
                                                                              </w:divBdr>
                                                                              <w:divsChild>
                                                                                <w:div w:id="1198809604">
                                                                                  <w:marLeft w:val="0"/>
                                                                                  <w:marRight w:val="0"/>
                                                                                  <w:marTop w:val="0"/>
                                                                                  <w:marBottom w:val="0"/>
                                                                                  <w:divBdr>
                                                                                    <w:top w:val="none" w:sz="0" w:space="0" w:color="auto"/>
                                                                                    <w:left w:val="none" w:sz="0" w:space="0" w:color="auto"/>
                                                                                    <w:bottom w:val="none" w:sz="0" w:space="0" w:color="auto"/>
                                                                                    <w:right w:val="none" w:sz="0" w:space="0" w:color="auto"/>
                                                                                  </w:divBdr>
                                                                                  <w:divsChild>
                                                                                    <w:div w:id="10513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31211">
      <w:bodyDiv w:val="1"/>
      <w:marLeft w:val="0"/>
      <w:marRight w:val="0"/>
      <w:marTop w:val="0"/>
      <w:marBottom w:val="0"/>
      <w:divBdr>
        <w:top w:val="none" w:sz="0" w:space="0" w:color="auto"/>
        <w:left w:val="none" w:sz="0" w:space="0" w:color="auto"/>
        <w:bottom w:val="none" w:sz="0" w:space="0" w:color="auto"/>
        <w:right w:val="none" w:sz="0" w:space="0" w:color="auto"/>
      </w:divBdr>
      <w:divsChild>
        <w:div w:id="1314219535">
          <w:marLeft w:val="0"/>
          <w:marRight w:val="0"/>
          <w:marTop w:val="0"/>
          <w:marBottom w:val="0"/>
          <w:divBdr>
            <w:top w:val="none" w:sz="0" w:space="0" w:color="auto"/>
            <w:left w:val="none" w:sz="0" w:space="0" w:color="auto"/>
            <w:bottom w:val="none" w:sz="0" w:space="0" w:color="auto"/>
            <w:right w:val="none" w:sz="0" w:space="0" w:color="auto"/>
          </w:divBdr>
          <w:divsChild>
            <w:div w:id="314839654">
              <w:marLeft w:val="0"/>
              <w:marRight w:val="0"/>
              <w:marTop w:val="0"/>
              <w:marBottom w:val="0"/>
              <w:divBdr>
                <w:top w:val="none" w:sz="0" w:space="0" w:color="auto"/>
                <w:left w:val="none" w:sz="0" w:space="0" w:color="auto"/>
                <w:bottom w:val="none" w:sz="0" w:space="0" w:color="auto"/>
                <w:right w:val="none" w:sz="0" w:space="0" w:color="auto"/>
              </w:divBdr>
              <w:divsChild>
                <w:div w:id="1642076856">
                  <w:marLeft w:val="0"/>
                  <w:marRight w:val="0"/>
                  <w:marTop w:val="0"/>
                  <w:marBottom w:val="0"/>
                  <w:divBdr>
                    <w:top w:val="none" w:sz="0" w:space="0" w:color="auto"/>
                    <w:left w:val="none" w:sz="0" w:space="0" w:color="auto"/>
                    <w:bottom w:val="none" w:sz="0" w:space="0" w:color="auto"/>
                    <w:right w:val="none" w:sz="0" w:space="0" w:color="auto"/>
                  </w:divBdr>
                  <w:divsChild>
                    <w:div w:id="2135783064">
                      <w:marLeft w:val="0"/>
                      <w:marRight w:val="0"/>
                      <w:marTop w:val="0"/>
                      <w:marBottom w:val="0"/>
                      <w:divBdr>
                        <w:top w:val="none" w:sz="0" w:space="0" w:color="auto"/>
                        <w:left w:val="none" w:sz="0" w:space="0" w:color="auto"/>
                        <w:bottom w:val="none" w:sz="0" w:space="0" w:color="auto"/>
                        <w:right w:val="none" w:sz="0" w:space="0" w:color="auto"/>
                      </w:divBdr>
                      <w:divsChild>
                        <w:div w:id="1160584167">
                          <w:marLeft w:val="0"/>
                          <w:marRight w:val="0"/>
                          <w:marTop w:val="0"/>
                          <w:marBottom w:val="0"/>
                          <w:divBdr>
                            <w:top w:val="none" w:sz="0" w:space="0" w:color="auto"/>
                            <w:left w:val="none" w:sz="0" w:space="0" w:color="auto"/>
                            <w:bottom w:val="none" w:sz="0" w:space="0" w:color="auto"/>
                            <w:right w:val="none" w:sz="0" w:space="0" w:color="auto"/>
                          </w:divBdr>
                          <w:divsChild>
                            <w:div w:id="1397975326">
                              <w:marLeft w:val="2700"/>
                              <w:marRight w:val="3960"/>
                              <w:marTop w:val="0"/>
                              <w:marBottom w:val="0"/>
                              <w:divBdr>
                                <w:top w:val="none" w:sz="0" w:space="0" w:color="auto"/>
                                <w:left w:val="none" w:sz="0" w:space="0" w:color="auto"/>
                                <w:bottom w:val="none" w:sz="0" w:space="0" w:color="auto"/>
                                <w:right w:val="none" w:sz="0" w:space="0" w:color="auto"/>
                              </w:divBdr>
                              <w:divsChild>
                                <w:div w:id="1126581068">
                                  <w:marLeft w:val="0"/>
                                  <w:marRight w:val="0"/>
                                  <w:marTop w:val="0"/>
                                  <w:marBottom w:val="0"/>
                                  <w:divBdr>
                                    <w:top w:val="none" w:sz="0" w:space="0" w:color="auto"/>
                                    <w:left w:val="none" w:sz="0" w:space="0" w:color="auto"/>
                                    <w:bottom w:val="none" w:sz="0" w:space="0" w:color="auto"/>
                                    <w:right w:val="none" w:sz="0" w:space="0" w:color="auto"/>
                                  </w:divBdr>
                                  <w:divsChild>
                                    <w:div w:id="1576623966">
                                      <w:marLeft w:val="0"/>
                                      <w:marRight w:val="0"/>
                                      <w:marTop w:val="0"/>
                                      <w:marBottom w:val="0"/>
                                      <w:divBdr>
                                        <w:top w:val="none" w:sz="0" w:space="0" w:color="auto"/>
                                        <w:left w:val="none" w:sz="0" w:space="0" w:color="auto"/>
                                        <w:bottom w:val="none" w:sz="0" w:space="0" w:color="auto"/>
                                        <w:right w:val="none" w:sz="0" w:space="0" w:color="auto"/>
                                      </w:divBdr>
                                      <w:divsChild>
                                        <w:div w:id="1341003590">
                                          <w:marLeft w:val="0"/>
                                          <w:marRight w:val="0"/>
                                          <w:marTop w:val="0"/>
                                          <w:marBottom w:val="0"/>
                                          <w:divBdr>
                                            <w:top w:val="none" w:sz="0" w:space="0" w:color="auto"/>
                                            <w:left w:val="none" w:sz="0" w:space="0" w:color="auto"/>
                                            <w:bottom w:val="none" w:sz="0" w:space="0" w:color="auto"/>
                                            <w:right w:val="none" w:sz="0" w:space="0" w:color="auto"/>
                                          </w:divBdr>
                                          <w:divsChild>
                                            <w:div w:id="34234146">
                                              <w:marLeft w:val="0"/>
                                              <w:marRight w:val="0"/>
                                              <w:marTop w:val="90"/>
                                              <w:marBottom w:val="0"/>
                                              <w:divBdr>
                                                <w:top w:val="none" w:sz="0" w:space="0" w:color="auto"/>
                                                <w:left w:val="none" w:sz="0" w:space="0" w:color="auto"/>
                                                <w:bottom w:val="none" w:sz="0" w:space="0" w:color="auto"/>
                                                <w:right w:val="none" w:sz="0" w:space="0" w:color="auto"/>
                                              </w:divBdr>
                                              <w:divsChild>
                                                <w:div w:id="781339580">
                                                  <w:marLeft w:val="0"/>
                                                  <w:marRight w:val="0"/>
                                                  <w:marTop w:val="0"/>
                                                  <w:marBottom w:val="405"/>
                                                  <w:divBdr>
                                                    <w:top w:val="none" w:sz="0" w:space="0" w:color="auto"/>
                                                    <w:left w:val="none" w:sz="0" w:space="0" w:color="auto"/>
                                                    <w:bottom w:val="none" w:sz="0" w:space="0" w:color="auto"/>
                                                    <w:right w:val="none" w:sz="0" w:space="0" w:color="auto"/>
                                                  </w:divBdr>
                                                  <w:divsChild>
                                                    <w:div w:id="1952005656">
                                                      <w:marLeft w:val="0"/>
                                                      <w:marRight w:val="0"/>
                                                      <w:marTop w:val="0"/>
                                                      <w:marBottom w:val="0"/>
                                                      <w:divBdr>
                                                        <w:top w:val="none" w:sz="0" w:space="0" w:color="auto"/>
                                                        <w:left w:val="none" w:sz="0" w:space="0" w:color="auto"/>
                                                        <w:bottom w:val="none" w:sz="0" w:space="0" w:color="auto"/>
                                                        <w:right w:val="none" w:sz="0" w:space="0" w:color="auto"/>
                                                      </w:divBdr>
                                                      <w:divsChild>
                                                        <w:div w:id="1870140370">
                                                          <w:marLeft w:val="0"/>
                                                          <w:marRight w:val="0"/>
                                                          <w:marTop w:val="0"/>
                                                          <w:marBottom w:val="0"/>
                                                          <w:divBdr>
                                                            <w:top w:val="none" w:sz="0" w:space="0" w:color="auto"/>
                                                            <w:left w:val="none" w:sz="0" w:space="0" w:color="auto"/>
                                                            <w:bottom w:val="none" w:sz="0" w:space="0" w:color="auto"/>
                                                            <w:right w:val="none" w:sz="0" w:space="0" w:color="auto"/>
                                                          </w:divBdr>
                                                          <w:divsChild>
                                                            <w:div w:id="604460271">
                                                              <w:marLeft w:val="0"/>
                                                              <w:marRight w:val="0"/>
                                                              <w:marTop w:val="0"/>
                                                              <w:marBottom w:val="0"/>
                                                              <w:divBdr>
                                                                <w:top w:val="none" w:sz="0" w:space="0" w:color="auto"/>
                                                                <w:left w:val="none" w:sz="0" w:space="0" w:color="auto"/>
                                                                <w:bottom w:val="none" w:sz="0" w:space="0" w:color="auto"/>
                                                                <w:right w:val="none" w:sz="0" w:space="0" w:color="auto"/>
                                                              </w:divBdr>
                                                              <w:divsChild>
                                                                <w:div w:id="1109396355">
                                                                  <w:marLeft w:val="0"/>
                                                                  <w:marRight w:val="0"/>
                                                                  <w:marTop w:val="0"/>
                                                                  <w:marBottom w:val="0"/>
                                                                  <w:divBdr>
                                                                    <w:top w:val="none" w:sz="0" w:space="0" w:color="auto"/>
                                                                    <w:left w:val="none" w:sz="0" w:space="0" w:color="auto"/>
                                                                    <w:bottom w:val="none" w:sz="0" w:space="0" w:color="auto"/>
                                                                    <w:right w:val="none" w:sz="0" w:space="0" w:color="auto"/>
                                                                  </w:divBdr>
                                                                  <w:divsChild>
                                                                    <w:div w:id="1452633411">
                                                                      <w:marLeft w:val="0"/>
                                                                      <w:marRight w:val="0"/>
                                                                      <w:marTop w:val="0"/>
                                                                      <w:marBottom w:val="0"/>
                                                                      <w:divBdr>
                                                                        <w:top w:val="none" w:sz="0" w:space="0" w:color="auto"/>
                                                                        <w:left w:val="none" w:sz="0" w:space="0" w:color="auto"/>
                                                                        <w:bottom w:val="none" w:sz="0" w:space="0" w:color="auto"/>
                                                                        <w:right w:val="none" w:sz="0" w:space="0" w:color="auto"/>
                                                                      </w:divBdr>
                                                                      <w:divsChild>
                                                                        <w:div w:id="1091051157">
                                                                          <w:marLeft w:val="0"/>
                                                                          <w:marRight w:val="0"/>
                                                                          <w:marTop w:val="0"/>
                                                                          <w:marBottom w:val="0"/>
                                                                          <w:divBdr>
                                                                            <w:top w:val="none" w:sz="0" w:space="0" w:color="auto"/>
                                                                            <w:left w:val="none" w:sz="0" w:space="0" w:color="auto"/>
                                                                            <w:bottom w:val="none" w:sz="0" w:space="0" w:color="auto"/>
                                                                            <w:right w:val="none" w:sz="0" w:space="0" w:color="auto"/>
                                                                          </w:divBdr>
                                                                          <w:divsChild>
                                                                            <w:div w:id="826214709">
                                                                              <w:marLeft w:val="0"/>
                                                                              <w:marRight w:val="0"/>
                                                                              <w:marTop w:val="0"/>
                                                                              <w:marBottom w:val="0"/>
                                                                              <w:divBdr>
                                                                                <w:top w:val="none" w:sz="0" w:space="0" w:color="auto"/>
                                                                                <w:left w:val="none" w:sz="0" w:space="0" w:color="auto"/>
                                                                                <w:bottom w:val="none" w:sz="0" w:space="0" w:color="auto"/>
                                                                                <w:right w:val="none" w:sz="0" w:space="0" w:color="auto"/>
                                                                              </w:divBdr>
                                                                              <w:divsChild>
                                                                                <w:div w:id="650254135">
                                                                                  <w:marLeft w:val="0"/>
                                                                                  <w:marRight w:val="0"/>
                                                                                  <w:marTop w:val="0"/>
                                                                                  <w:marBottom w:val="0"/>
                                                                                  <w:divBdr>
                                                                                    <w:top w:val="none" w:sz="0" w:space="0" w:color="auto"/>
                                                                                    <w:left w:val="none" w:sz="0" w:space="0" w:color="auto"/>
                                                                                    <w:bottom w:val="none" w:sz="0" w:space="0" w:color="auto"/>
                                                                                    <w:right w:val="none" w:sz="0" w:space="0" w:color="auto"/>
                                                                                  </w:divBdr>
                                                                                  <w:divsChild>
                                                                                    <w:div w:id="964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A991-545B-4C16-80AE-57936C3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5540</Words>
  <Characters>30194</Characters>
  <Application>Microsoft Office Word</Application>
  <DocSecurity>0</DocSecurity>
  <Lines>487</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CCPR/C/CAF/CO/3</vt:lpstr>
      <vt:lpstr>CCPR/C/CAF/CO/R.3</vt:lpstr>
    </vt:vector>
  </TitlesOfParts>
  <Company>HP</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CCPR/C/CAF/CO/3</dc:title>
  <dc:subject>qrcode</dc:subject>
  <dc:creator>dvx</dc:creator>
  <cp:keywords/>
  <dc:description/>
  <cp:lastModifiedBy>Corinne Robert</cp:lastModifiedBy>
  <cp:revision>3</cp:revision>
  <cp:lastPrinted>2020-05-01T07:16:00Z</cp:lastPrinted>
  <dcterms:created xsi:type="dcterms:W3CDTF">2020-05-01T07:16:00Z</dcterms:created>
  <dcterms:modified xsi:type="dcterms:W3CDTF">2020-05-01T07:18:00Z</dcterms:modified>
</cp:coreProperties>
</file>