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AF1CE8" w:rsidRPr="00DB58B5" w:rsidTr="00464EEE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AF1CE8" w:rsidRPr="00DB58B5" w:rsidRDefault="00AF1CE8" w:rsidP="00464EE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1CE8" w:rsidRPr="00DB58B5" w:rsidRDefault="00AF1CE8" w:rsidP="00464EE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AF1CE8" w:rsidRPr="00DB58B5" w:rsidRDefault="00142FE1" w:rsidP="00142FE1">
            <w:pPr>
              <w:jc w:val="right"/>
            </w:pPr>
            <w:r w:rsidRPr="00142FE1">
              <w:rPr>
                <w:sz w:val="40"/>
              </w:rPr>
              <w:t>CCPR</w:t>
            </w:r>
            <w:r>
              <w:t>/C/CAN/Q/6</w:t>
            </w:r>
          </w:p>
        </w:tc>
      </w:tr>
      <w:tr w:rsidR="00AF1CE8" w:rsidRPr="00DB58B5" w:rsidTr="00464EE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1CE8" w:rsidRPr="00DB58B5" w:rsidRDefault="00AF1CE8" w:rsidP="00464EEE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1CE8" w:rsidRPr="00AB51C8" w:rsidRDefault="00AF1CE8" w:rsidP="00464EEE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42FE1" w:rsidRDefault="00142FE1" w:rsidP="00464EEE">
            <w:pPr>
              <w:spacing w:before="240"/>
            </w:pPr>
            <w:r>
              <w:t>Distr. générale</w:t>
            </w:r>
          </w:p>
          <w:p w:rsidR="00142FE1" w:rsidRDefault="00142FE1" w:rsidP="00142FE1">
            <w:pPr>
              <w:spacing w:line="240" w:lineRule="exact"/>
            </w:pPr>
            <w:r>
              <w:t>21 novembre 2014</w:t>
            </w:r>
          </w:p>
          <w:p w:rsidR="00142FE1" w:rsidRDefault="00142FE1" w:rsidP="00142FE1">
            <w:pPr>
              <w:spacing w:line="240" w:lineRule="exact"/>
            </w:pPr>
            <w:r>
              <w:t>Français</w:t>
            </w:r>
          </w:p>
          <w:p w:rsidR="00AF1CE8" w:rsidRPr="00DB58B5" w:rsidRDefault="00142FE1" w:rsidP="00142FE1">
            <w:pPr>
              <w:spacing w:line="240" w:lineRule="exact"/>
            </w:pPr>
            <w:r>
              <w:t>Original: anglais</w:t>
            </w:r>
          </w:p>
        </w:tc>
      </w:tr>
    </w:tbl>
    <w:p w:rsidR="00DF3BF1" w:rsidRDefault="00DF3BF1" w:rsidP="00142FE1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droits de l</w:t>
      </w:r>
      <w:r w:rsidR="003F6B1B">
        <w:rPr>
          <w:b/>
          <w:sz w:val="24"/>
          <w:szCs w:val="24"/>
        </w:rPr>
        <w:t>’</w:t>
      </w:r>
      <w:r w:rsidRPr="00DF3BF1">
        <w:rPr>
          <w:b/>
          <w:sz w:val="24"/>
          <w:szCs w:val="24"/>
        </w:rPr>
        <w:t>homme</w:t>
      </w:r>
    </w:p>
    <w:p w:rsidR="00142FE1" w:rsidRPr="00142FE1" w:rsidRDefault="00142FE1" w:rsidP="00142FE1">
      <w:pPr>
        <w:pStyle w:val="HChG"/>
      </w:pPr>
      <w:r w:rsidRPr="00142FE1">
        <w:tab/>
      </w:r>
      <w:r w:rsidRPr="00142FE1">
        <w:tab/>
        <w:t>Liste de points concernant le sixième rapport périodique</w:t>
      </w:r>
      <w:r>
        <w:br/>
      </w:r>
      <w:r w:rsidRPr="00142FE1">
        <w:t>du Canada</w:t>
      </w:r>
      <w:r w:rsidRPr="00142FE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142FE1" w:rsidRPr="00142FE1" w:rsidRDefault="00142FE1" w:rsidP="00142FE1">
      <w:pPr>
        <w:pStyle w:val="H1G"/>
      </w:pPr>
      <w:r w:rsidRPr="00142FE1">
        <w:tab/>
      </w:r>
      <w:r w:rsidRPr="00142FE1">
        <w:tab/>
        <w:t>Cadre constitutionnel et juridique de l</w:t>
      </w:r>
      <w:r w:rsidR="003F6B1B">
        <w:t>’</w:t>
      </w:r>
      <w:r w:rsidRPr="00142FE1">
        <w:t>application du Pacte (art. 2)</w:t>
      </w:r>
    </w:p>
    <w:p w:rsidR="00142FE1" w:rsidRPr="00142FE1" w:rsidRDefault="00142FE1" w:rsidP="003F6B1B">
      <w:pPr>
        <w:pStyle w:val="ParNoG"/>
        <w:tabs>
          <w:tab w:val="clear" w:pos="1701"/>
        </w:tabs>
      </w:pPr>
      <w:r w:rsidRPr="00142FE1">
        <w:t>Étant donné que le Pacte n</w:t>
      </w:r>
      <w:r w:rsidR="003F6B1B">
        <w:t>’</w:t>
      </w:r>
      <w:r w:rsidRPr="00142FE1">
        <w:t>est pas directement applicable dans l</w:t>
      </w:r>
      <w:r w:rsidR="003F6B1B">
        <w:t>’</w:t>
      </w:r>
      <w:r w:rsidRPr="00142FE1">
        <w:t xml:space="preserve">État partie, donner des informations sur les mesures prises pour </w:t>
      </w:r>
      <w:r w:rsidR="0060226F">
        <w:t>qu</w:t>
      </w:r>
      <w:r w:rsidR="003F6B1B">
        <w:t>’</w:t>
      </w:r>
      <w:r w:rsidR="0060226F">
        <w:t>il soit donné pleinement effet à</w:t>
      </w:r>
      <w:r w:rsidRPr="00142FE1">
        <w:t xml:space="preserve"> toutes les dispositions de cet instrument dans l</w:t>
      </w:r>
      <w:r w:rsidR="003F6B1B">
        <w:t>’</w:t>
      </w:r>
      <w:r w:rsidRPr="00142FE1">
        <w:t>ordre juridique interne. Indiquer si les droits énoncés dans l</w:t>
      </w:r>
      <w:r w:rsidR="0060226F">
        <w:t>e Pacte</w:t>
      </w:r>
      <w:r w:rsidRPr="00142FE1">
        <w:t xml:space="preserve"> ont été invoqués devant les tribunaux nationaux, comme </w:t>
      </w:r>
      <w:r w:rsidR="0060226F">
        <w:t>fondement d</w:t>
      </w:r>
      <w:r w:rsidR="003F6B1B">
        <w:t>’</w:t>
      </w:r>
      <w:r w:rsidR="0060226F">
        <w:t xml:space="preserve">une action </w:t>
      </w:r>
      <w:r w:rsidRPr="00142FE1">
        <w:t>ou comme principes pour guider l</w:t>
      </w:r>
      <w:r w:rsidR="003F6B1B">
        <w:t>’</w:t>
      </w:r>
      <w:r w:rsidRPr="00142FE1">
        <w:t>interprétation des normes de droit. Citer des exemples, le cas échéant, d</w:t>
      </w:r>
      <w:r w:rsidR="003F6B1B">
        <w:t>’</w:t>
      </w:r>
      <w:r w:rsidRPr="00142FE1">
        <w:t>affaires dans lesquelles les dispositions d</w:t>
      </w:r>
      <w:r w:rsidR="0060226F">
        <w:t>u Pacte</w:t>
      </w:r>
      <w:r w:rsidRPr="00142FE1">
        <w:t xml:space="preserve"> ont été invoquées devant ou par les tribunaux.</w:t>
      </w:r>
    </w:p>
    <w:p w:rsidR="00142FE1" w:rsidRPr="00142FE1" w:rsidRDefault="00142FE1" w:rsidP="00142FE1">
      <w:pPr>
        <w:pStyle w:val="ParNoG"/>
      </w:pPr>
      <w:r w:rsidRPr="00142FE1">
        <w:t xml:space="preserve">Concernant </w:t>
      </w:r>
      <w:r w:rsidR="00461921">
        <w:t xml:space="preserve">la mise en œuvre </w:t>
      </w:r>
      <w:r w:rsidRPr="00142FE1">
        <w:t xml:space="preserve">des constatations adoptées par le Comité au titre du Protocole facultatif, indiquer si les demandes pour motifs humanitaires </w:t>
      </w:r>
      <w:r w:rsidR="00461921">
        <w:t>s</w:t>
      </w:r>
      <w:r w:rsidRPr="00142FE1">
        <w:t xml:space="preserve">ont automatiquement </w:t>
      </w:r>
      <w:r w:rsidR="00461921">
        <w:t xml:space="preserve">réexaminées </w:t>
      </w:r>
      <w:r w:rsidRPr="00142FE1">
        <w:t>après réception des constatations du Comité ou s</w:t>
      </w:r>
      <w:r w:rsidR="003F6B1B">
        <w:t>’</w:t>
      </w:r>
      <w:r w:rsidRPr="00142FE1">
        <w:t>i</w:t>
      </w:r>
      <w:r w:rsidR="00461921">
        <w:t>l</w:t>
      </w:r>
      <w:r w:rsidRPr="00142FE1">
        <w:t xml:space="preserve"> </w:t>
      </w:r>
      <w:r w:rsidR="00461921">
        <w:t>s</w:t>
      </w:r>
      <w:r w:rsidR="003F6B1B">
        <w:t>’</w:t>
      </w:r>
      <w:r w:rsidR="00461921">
        <w:t>agit d</w:t>
      </w:r>
      <w:r w:rsidR="003F6B1B">
        <w:t>’</w:t>
      </w:r>
      <w:r w:rsidR="00461921">
        <w:t xml:space="preserve">une </w:t>
      </w:r>
      <w:r w:rsidRPr="00142FE1">
        <w:t>possibilité offerte aux auteurs. Donner des informations sur le crédit accordé aux constatations du Comité dans une telle procédure.</w:t>
      </w:r>
    </w:p>
    <w:p w:rsidR="00142FE1" w:rsidRPr="00142FE1" w:rsidRDefault="00142FE1" w:rsidP="00142FE1">
      <w:pPr>
        <w:pStyle w:val="ParNoG"/>
      </w:pPr>
      <w:r w:rsidRPr="00142FE1">
        <w:t>Donner des renseignements sur les mesures législatives prises pour s</w:t>
      </w:r>
      <w:r w:rsidR="003F6B1B">
        <w:t>’</w:t>
      </w:r>
      <w:r w:rsidRPr="00142FE1">
        <w:t>assurer que les organes chargés de la sécurité nationale et de l</w:t>
      </w:r>
      <w:r w:rsidR="003F6B1B">
        <w:t>’</w:t>
      </w:r>
      <w:r w:rsidRPr="00142FE1">
        <w:t xml:space="preserve">application de la loi disposent de structures de responsabilité efficaces. Indiquer également au Comité les mesures concrètes prises pour </w:t>
      </w:r>
      <w:r w:rsidR="00461921">
        <w:t xml:space="preserve">mettre en œuvre les </w:t>
      </w:r>
      <w:r w:rsidRPr="00142FE1">
        <w:t>recommandations formulées dans le rapport de la Commission d</w:t>
      </w:r>
      <w:r w:rsidR="003F6B1B">
        <w:t>’</w:t>
      </w:r>
      <w:r w:rsidRPr="00142FE1">
        <w:t xml:space="preserve">enquête sur les actions des responsables canadiens </w:t>
      </w:r>
      <w:r w:rsidR="00461921">
        <w:t>relativement à Maher </w:t>
      </w:r>
      <w:r w:rsidRPr="00142FE1">
        <w:t>Arar.</w:t>
      </w:r>
    </w:p>
    <w:p w:rsidR="00142FE1" w:rsidRPr="00142FE1" w:rsidRDefault="00142FE1" w:rsidP="00142FE1">
      <w:pPr>
        <w:pStyle w:val="H1G"/>
      </w:pPr>
      <w:r w:rsidRPr="00142FE1">
        <w:tab/>
      </w:r>
      <w:r w:rsidRPr="00142FE1">
        <w:tab/>
        <w:t>Droit à un recours utile (art. 2)</w:t>
      </w:r>
    </w:p>
    <w:p w:rsidR="00142FE1" w:rsidRPr="00142FE1" w:rsidRDefault="00142FE1" w:rsidP="00142FE1">
      <w:pPr>
        <w:pStyle w:val="ParNoG"/>
      </w:pPr>
      <w:r w:rsidRPr="00142FE1">
        <w:t xml:space="preserve">Indiquer au Comité les mesures prises ou envisagées pour surveiller </w:t>
      </w:r>
      <w:r w:rsidR="0080217A">
        <w:t xml:space="preserve">le comportement </w:t>
      </w:r>
      <w:r w:rsidRPr="00142FE1">
        <w:t>au regard des droits de l</w:t>
      </w:r>
      <w:r w:rsidR="003F6B1B">
        <w:t>’</w:t>
      </w:r>
      <w:r w:rsidRPr="00142FE1">
        <w:t>homme des sociétés canadiennes pétrolières, minières et gazières présentes à l</w:t>
      </w:r>
      <w:r w:rsidR="003F6B1B">
        <w:t>’</w:t>
      </w:r>
      <w:r w:rsidRPr="00142FE1">
        <w:t>étranger. Indiquer également les moyens juridiques dont disposent dans l</w:t>
      </w:r>
      <w:r w:rsidR="003F6B1B">
        <w:t>’</w:t>
      </w:r>
      <w:r w:rsidRPr="00142FE1">
        <w:t>État partie les victimes d</w:t>
      </w:r>
      <w:r w:rsidR="003F6B1B">
        <w:t>’</w:t>
      </w:r>
      <w:r w:rsidRPr="00142FE1">
        <w:t>atteintes aux droits de l</w:t>
      </w:r>
      <w:r w:rsidR="003F6B1B">
        <w:t>’</w:t>
      </w:r>
      <w:r w:rsidRPr="00142FE1">
        <w:t>homme résultant des activités à l</w:t>
      </w:r>
      <w:r w:rsidR="003F6B1B">
        <w:t>’</w:t>
      </w:r>
      <w:r w:rsidRPr="00142FE1">
        <w:t>étranger des entreprises extractives canadiennes.</w:t>
      </w:r>
    </w:p>
    <w:p w:rsidR="00142FE1" w:rsidRPr="00142FE1" w:rsidRDefault="00142FE1" w:rsidP="00142FE1">
      <w:pPr>
        <w:pStyle w:val="H1G"/>
      </w:pPr>
      <w:r w:rsidRPr="00142FE1">
        <w:tab/>
      </w:r>
      <w:r w:rsidRPr="00142FE1">
        <w:tab/>
        <w:t xml:space="preserve">Non-discrimination et égalité de droits entre les hommes et les femmes (art. 2, 3 et 26) </w:t>
      </w:r>
    </w:p>
    <w:p w:rsidR="00142FE1" w:rsidRPr="00142FE1" w:rsidRDefault="00142FE1" w:rsidP="00142FE1">
      <w:pPr>
        <w:pStyle w:val="ParNoG"/>
      </w:pPr>
      <w:r w:rsidRPr="00142FE1">
        <w:t>Indiquer les mesures prises pour favoriser l</w:t>
      </w:r>
      <w:r w:rsidR="003F6B1B">
        <w:t>’</w:t>
      </w:r>
      <w:r w:rsidRPr="00142FE1">
        <w:t>application effective de la législation et des politiques relatives à l</w:t>
      </w:r>
      <w:r w:rsidR="003F6B1B">
        <w:t>’</w:t>
      </w:r>
      <w:r w:rsidRPr="00142FE1">
        <w:t xml:space="preserve">égalité entre hommes et femmes et pour garantir la participation des femmes aux divers aspects de la vie publique et </w:t>
      </w:r>
      <w:r w:rsidR="0080217A">
        <w:t xml:space="preserve">dans le </w:t>
      </w:r>
      <w:r w:rsidRPr="00142FE1">
        <w:t xml:space="preserve">secteur privé, en particulier pour </w:t>
      </w:r>
      <w:r w:rsidR="0080217A">
        <w:t xml:space="preserve">leur </w:t>
      </w:r>
      <w:r w:rsidRPr="00142FE1">
        <w:t>assurer une rémunération égale pour un travail de valeur égale ainsi que les mêmes chances d</w:t>
      </w:r>
      <w:r w:rsidR="003F6B1B">
        <w:t>’</w:t>
      </w:r>
      <w:r w:rsidRPr="00142FE1">
        <w:t xml:space="preserve">accéder à un emploi. Indiquer également le nombre </w:t>
      </w:r>
      <w:r w:rsidR="0080217A">
        <w:t>d</w:t>
      </w:r>
      <w:r w:rsidR="003F6B1B">
        <w:t>’</w:t>
      </w:r>
      <w:r w:rsidR="0080217A">
        <w:t>affaires</w:t>
      </w:r>
      <w:r w:rsidRPr="00142FE1">
        <w:t xml:space="preserve"> de discrimination contre les femmes </w:t>
      </w:r>
      <w:r w:rsidR="0080217A">
        <w:t xml:space="preserve">et leur issue, en précisant </w:t>
      </w:r>
      <w:r w:rsidRPr="00142FE1">
        <w:t>si un dédommagement a été versé.</w:t>
      </w:r>
    </w:p>
    <w:p w:rsidR="00142FE1" w:rsidRPr="00142FE1" w:rsidRDefault="00142FE1" w:rsidP="00142FE1">
      <w:pPr>
        <w:pStyle w:val="H1G"/>
      </w:pPr>
      <w:r w:rsidRPr="00142FE1">
        <w:tab/>
      </w:r>
      <w:r w:rsidRPr="00142FE1">
        <w:tab/>
        <w:t>Droit à un recours utile et à un procès équitable (art. 2 et 14)</w:t>
      </w:r>
    </w:p>
    <w:p w:rsidR="00142FE1" w:rsidRPr="00142FE1" w:rsidRDefault="00142FE1" w:rsidP="00142FE1">
      <w:pPr>
        <w:pStyle w:val="ParNoG"/>
      </w:pPr>
      <w:r w:rsidRPr="00142FE1">
        <w:t>Décrire les mesures concrètes prises pour garantir que la réduction du soutien financier aux services d</w:t>
      </w:r>
      <w:r w:rsidR="003F6B1B">
        <w:t>’</w:t>
      </w:r>
      <w:r w:rsidRPr="00142FE1">
        <w:t>aide ju</w:t>
      </w:r>
      <w:r w:rsidR="0080217A">
        <w:t>diciaire</w:t>
      </w:r>
      <w:r w:rsidRPr="00142FE1">
        <w:t xml:space="preserve"> dans plusieurs juridictions de l</w:t>
      </w:r>
      <w:r w:rsidR="003F6B1B">
        <w:t>’</w:t>
      </w:r>
      <w:r w:rsidRPr="00142FE1">
        <w:t>État partie, principalement en Colombie-Britannique, n</w:t>
      </w:r>
      <w:r w:rsidR="003F6B1B">
        <w:t>’</w:t>
      </w:r>
      <w:r w:rsidR="0080217A">
        <w:t>ait</w:t>
      </w:r>
      <w:r w:rsidRPr="00142FE1">
        <w:t xml:space="preserve"> pas d</w:t>
      </w:r>
      <w:r w:rsidR="003F6B1B">
        <w:t>’</w:t>
      </w:r>
      <w:r w:rsidRPr="00142FE1">
        <w:t>effets disproportionnés sur les peuples autochtones.</w:t>
      </w:r>
      <w:r>
        <w:t xml:space="preserve"> </w:t>
      </w:r>
      <w:r w:rsidRPr="00142FE1">
        <w:t xml:space="preserve">Commenter également les informations donnant à entendre que les procédures judiciaires </w:t>
      </w:r>
      <w:r w:rsidR="0080217A">
        <w:t xml:space="preserve">engagées par des </w:t>
      </w:r>
      <w:r w:rsidRPr="00142FE1">
        <w:t xml:space="preserve">autochtones sont retardées pendant des années </w:t>
      </w:r>
      <w:r w:rsidR="0080217A">
        <w:t>pour des</w:t>
      </w:r>
      <w:r w:rsidRPr="00142FE1">
        <w:t xml:space="preserve"> raison</w:t>
      </w:r>
      <w:r w:rsidR="0080217A">
        <w:t>s</w:t>
      </w:r>
      <w:r w:rsidRPr="00142FE1">
        <w:t xml:space="preserve"> </w:t>
      </w:r>
      <w:r w:rsidR="0080217A">
        <w:t>techniques</w:t>
      </w:r>
      <w:r w:rsidRPr="00142FE1">
        <w:t xml:space="preserve">. </w:t>
      </w:r>
    </w:p>
    <w:p w:rsidR="00142FE1" w:rsidRPr="00142FE1" w:rsidRDefault="00142FE1" w:rsidP="00142FE1">
      <w:pPr>
        <w:pStyle w:val="H1G"/>
      </w:pPr>
      <w:r w:rsidRPr="00142FE1">
        <w:tab/>
      </w:r>
      <w:r w:rsidRPr="00142FE1">
        <w:tab/>
        <w:t>Droit à la vie, interdiction de la torture et des traitements cruels, inhumains ou dégradants, vie familiale et recours utile</w:t>
      </w:r>
      <w:r>
        <w:br/>
      </w:r>
      <w:r w:rsidRPr="00142FE1">
        <w:t>(art. 2, 6</w:t>
      </w:r>
      <w:r w:rsidR="004D589C">
        <w:t xml:space="preserve"> et 7</w:t>
      </w:r>
      <w:r w:rsidRPr="00142FE1">
        <w:t>)</w:t>
      </w:r>
    </w:p>
    <w:p w:rsidR="00142FE1" w:rsidRPr="00142FE1" w:rsidRDefault="00142FE1" w:rsidP="00142FE1">
      <w:pPr>
        <w:pStyle w:val="ParNoG"/>
      </w:pPr>
      <w:r w:rsidRPr="00142FE1">
        <w:t>Compte tenu des précédentes observations finales du Comité</w:t>
      </w:r>
      <w:r>
        <w:t xml:space="preserve"> </w:t>
      </w:r>
      <w:r w:rsidRPr="00142FE1">
        <w:t>(CCPR/C/CAN/CO/5</w:t>
      </w:r>
      <w:r w:rsidRPr="00142FE1">
        <w:rPr>
          <w:rFonts w:hint="eastAsia"/>
        </w:rPr>
        <w:t>,</w:t>
      </w:r>
      <w:r w:rsidR="004D589C">
        <w:t xml:space="preserve"> par</w:t>
      </w:r>
      <w:r w:rsidRPr="00142FE1">
        <w:t>. 15) et du rapport de l</w:t>
      </w:r>
      <w:r w:rsidR="003F6B1B">
        <w:t>’</w:t>
      </w:r>
      <w:r w:rsidRPr="00142FE1">
        <w:t>État partie (CCPR/C/CAN/6</w:t>
      </w:r>
      <w:r w:rsidRPr="00142FE1">
        <w:rPr>
          <w:rFonts w:hint="eastAsia"/>
        </w:rPr>
        <w:t>,</w:t>
      </w:r>
      <w:r w:rsidR="004D589C">
        <w:t xml:space="preserve"> par</w:t>
      </w:r>
      <w:r w:rsidRPr="00142FE1">
        <w:t>. 15), donner des informations sur les mesures prises en vue de modifier les lois pertinentes, en particulier l</w:t>
      </w:r>
      <w:r w:rsidR="003F6B1B">
        <w:t>’</w:t>
      </w:r>
      <w:r>
        <w:t>article </w:t>
      </w:r>
      <w:r w:rsidRPr="00142FE1">
        <w:t>115 2) de la loi sur l</w:t>
      </w:r>
      <w:r w:rsidR="003F6B1B">
        <w:t>’</w:t>
      </w:r>
      <w:r w:rsidRPr="00142FE1">
        <w:t>immigration et la protection des réfugiés, qui prévoit des dérogations au principe de non-refoulement.</w:t>
      </w:r>
    </w:p>
    <w:p w:rsidR="00142FE1" w:rsidRPr="00142FE1" w:rsidRDefault="00142FE1" w:rsidP="00142FE1">
      <w:pPr>
        <w:pStyle w:val="ParNoG"/>
      </w:pPr>
      <w:r w:rsidRPr="00142FE1">
        <w:t xml:space="preserve">Fournir des informations sur les mesures prises pour modifier </w:t>
      </w:r>
      <w:r w:rsidR="0080217A">
        <w:t>l</w:t>
      </w:r>
      <w:r w:rsidR="003F6B1B">
        <w:t>’</w:t>
      </w:r>
      <w:r w:rsidR="0080217A">
        <w:t>instruction</w:t>
      </w:r>
      <w:r w:rsidRPr="00142FE1">
        <w:t xml:space="preserve"> ministérielle </w:t>
      </w:r>
      <w:r w:rsidR="0080217A">
        <w:t>à l</w:t>
      </w:r>
      <w:r w:rsidR="003F6B1B">
        <w:t>’</w:t>
      </w:r>
      <w:r w:rsidR="0080217A">
        <w:t>intention du Service canadien du renseignement</w:t>
      </w:r>
      <w:r w:rsidRPr="00142FE1">
        <w:t xml:space="preserve"> et de sécurité sur l</w:t>
      </w:r>
      <w:r w:rsidR="003F6B1B">
        <w:t>’</w:t>
      </w:r>
      <w:r w:rsidR="0080217A">
        <w:t>échange</w:t>
      </w:r>
      <w:r w:rsidRPr="00142FE1">
        <w:t xml:space="preserve"> d</w:t>
      </w:r>
      <w:r w:rsidR="003F6B1B">
        <w:t>’</w:t>
      </w:r>
      <w:r w:rsidRPr="00142FE1">
        <w:t>information</w:t>
      </w:r>
      <w:r w:rsidR="0080217A">
        <w:t>s</w:t>
      </w:r>
      <w:r w:rsidRPr="00142FE1">
        <w:t xml:space="preserve"> avec </w:t>
      </w:r>
      <w:r w:rsidR="0080217A">
        <w:t>d</w:t>
      </w:r>
      <w:r w:rsidRPr="00142FE1">
        <w:t xml:space="preserve">es </w:t>
      </w:r>
      <w:r w:rsidR="0080217A">
        <w:t xml:space="preserve">organismes </w:t>
      </w:r>
      <w:r w:rsidRPr="00142FE1">
        <w:t>étrange</w:t>
      </w:r>
      <w:r w:rsidR="0080217A">
        <w:t>r</w:t>
      </w:r>
      <w:r w:rsidRPr="00142FE1">
        <w:t>s</w:t>
      </w:r>
      <w:r w:rsidR="0080217A">
        <w:t xml:space="preserve"> (2011), et commenter les allégations</w:t>
      </w:r>
      <w:r w:rsidRPr="00142FE1">
        <w:t xml:space="preserve"> selon lesquelles </w:t>
      </w:r>
      <w:r w:rsidR="0080217A">
        <w:t>ce type d</w:t>
      </w:r>
      <w:r w:rsidR="003F6B1B">
        <w:t>’</w:t>
      </w:r>
      <w:r w:rsidR="0080217A">
        <w:t>instruction permet</w:t>
      </w:r>
      <w:r w:rsidRPr="00142FE1">
        <w:t xml:space="preserve"> le partage d</w:t>
      </w:r>
      <w:r w:rsidR="003F6B1B">
        <w:t>’</w:t>
      </w:r>
      <w:r w:rsidR="0080217A">
        <w:t>information</w:t>
      </w:r>
      <w:r w:rsidRPr="00142FE1">
        <w:t>, même si cel</w:t>
      </w:r>
      <w:r w:rsidR="0080217A">
        <w:t>ui-ci</w:t>
      </w:r>
      <w:r w:rsidRPr="00142FE1">
        <w:t xml:space="preserve"> crée un risque </w:t>
      </w:r>
      <w:r w:rsidR="0080217A">
        <w:t>important</w:t>
      </w:r>
      <w:r w:rsidRPr="00142FE1">
        <w:t xml:space="preserve"> de </w:t>
      </w:r>
      <w:r w:rsidR="0080217A">
        <w:t>mauvais traitements</w:t>
      </w:r>
      <w:r w:rsidRPr="00142FE1">
        <w:t xml:space="preserve">. </w:t>
      </w:r>
    </w:p>
    <w:p w:rsidR="00142FE1" w:rsidRPr="00142FE1" w:rsidRDefault="00142FE1" w:rsidP="00142FE1">
      <w:pPr>
        <w:pStyle w:val="ParNoG"/>
      </w:pPr>
      <w:r w:rsidRPr="00142FE1">
        <w:t xml:space="preserve">Informer le Comité </w:t>
      </w:r>
      <w:r w:rsidR="0080217A">
        <w:t>d</w:t>
      </w:r>
      <w:r w:rsidRPr="00142FE1">
        <w:t xml:space="preserve">es mesures prises pour </w:t>
      </w:r>
      <w:r w:rsidR="0080217A">
        <w:t>indemniser</w:t>
      </w:r>
      <w:r w:rsidRPr="00142FE1">
        <w:t xml:space="preserve"> les citoyens canadiens</w:t>
      </w:r>
      <w:r w:rsidR="0080217A">
        <w:t xml:space="preserve"> Abdullah Almalki, Ahmed </w:t>
      </w:r>
      <w:r w:rsidRPr="00142FE1">
        <w:t>El</w:t>
      </w:r>
      <w:r w:rsidR="004D589C">
        <w:t>-</w:t>
      </w:r>
      <w:proofErr w:type="spellStart"/>
      <w:r w:rsidRPr="00142FE1">
        <w:t>Maati</w:t>
      </w:r>
      <w:proofErr w:type="spellEnd"/>
      <w:r w:rsidRPr="00142FE1">
        <w:t xml:space="preserve"> et Muayyed-Nureddin, victimes de la torture dans des prisons à l</w:t>
      </w:r>
      <w:r w:rsidR="003F6B1B">
        <w:t>’</w:t>
      </w:r>
      <w:r w:rsidRPr="00142FE1">
        <w:t>étranger</w:t>
      </w:r>
      <w:r>
        <w:t xml:space="preserve"> </w:t>
      </w:r>
      <w:r w:rsidR="0080217A">
        <w:t xml:space="preserve">après une </w:t>
      </w:r>
      <w:r w:rsidRPr="00142FE1">
        <w:t>arrestation</w:t>
      </w:r>
      <w:r w:rsidR="0080217A">
        <w:t xml:space="preserve"> à laquelle ont participé </w:t>
      </w:r>
      <w:r w:rsidRPr="00142FE1">
        <w:t>de</w:t>
      </w:r>
      <w:r w:rsidR="0080217A">
        <w:t>s</w:t>
      </w:r>
      <w:r w:rsidRPr="00142FE1">
        <w:t xml:space="preserve"> responsables canadiens, en Syrie et également en Égypte dans le cas de El-Maati.</w:t>
      </w:r>
    </w:p>
    <w:p w:rsidR="00142FE1" w:rsidRPr="00142FE1" w:rsidRDefault="0080217A" w:rsidP="00142FE1">
      <w:pPr>
        <w:pStyle w:val="ParNoG"/>
      </w:pPr>
      <w:r>
        <w:t>Eu égard</w:t>
      </w:r>
      <w:r w:rsidR="00142FE1" w:rsidRPr="00142FE1">
        <w:t xml:space="preserve"> aux précédentes observations finales du Comité (CC</w:t>
      </w:r>
      <w:r w:rsidR="00142FE1">
        <w:t>PR</w:t>
      </w:r>
      <w:r w:rsidR="00142FE1" w:rsidRPr="00142FE1">
        <w:t>/</w:t>
      </w:r>
      <w:r w:rsidR="00142FE1">
        <w:t>C</w:t>
      </w:r>
      <w:r w:rsidR="00142FE1" w:rsidRPr="00142FE1">
        <w:t>/</w:t>
      </w:r>
      <w:r w:rsidR="00142FE1">
        <w:t>CAN</w:t>
      </w:r>
      <w:r w:rsidR="00142FE1" w:rsidRPr="00142FE1">
        <w:t>/</w:t>
      </w:r>
      <w:r w:rsidR="00142FE1">
        <w:t>CO</w:t>
      </w:r>
      <w:r w:rsidR="00142FE1" w:rsidRPr="00142FE1">
        <w:t>/</w:t>
      </w:r>
      <w:r w:rsidR="00142FE1">
        <w:t>5, par. </w:t>
      </w:r>
      <w:r w:rsidR="00142FE1" w:rsidRPr="00142FE1">
        <w:t>20), fournir des informations sur les mesures prises pour veiller à ce que toutes les allégations de mauvais traitements et d</w:t>
      </w:r>
      <w:r w:rsidR="003F6B1B">
        <w:t>’</w:t>
      </w:r>
      <w:r w:rsidR="00142FE1" w:rsidRPr="00142FE1">
        <w:t xml:space="preserve">usage excessif de la force par </w:t>
      </w:r>
      <w:r>
        <w:t>des policiers</w:t>
      </w:r>
      <w:r w:rsidR="00142FE1" w:rsidRPr="00142FE1">
        <w:t xml:space="preserve"> fassent l</w:t>
      </w:r>
      <w:r w:rsidR="003F6B1B">
        <w:t>’</w:t>
      </w:r>
      <w:r w:rsidR="00142FE1" w:rsidRPr="00142FE1">
        <w:t>objet d</w:t>
      </w:r>
      <w:r w:rsidR="003F6B1B">
        <w:t>’</w:t>
      </w:r>
      <w:r w:rsidR="00142FE1" w:rsidRPr="00142FE1">
        <w:t xml:space="preserve">une enquête impartiale conduite par un organe indépendant, y compris celles </w:t>
      </w:r>
      <w:r>
        <w:t>concernant</w:t>
      </w:r>
      <w:r w:rsidR="00142FE1" w:rsidRPr="00142FE1">
        <w:t xml:space="preserve"> l</w:t>
      </w:r>
      <w:r w:rsidR="003F6B1B">
        <w:t>’</w:t>
      </w:r>
      <w:r w:rsidR="00142FE1" w:rsidRPr="00142FE1">
        <w:t>utilisation de la force par la police pendant les manifestations étudiantes au Québec en 2012</w:t>
      </w:r>
      <w:r w:rsidR="00142FE1">
        <w:t>.</w:t>
      </w:r>
    </w:p>
    <w:p w:rsidR="00142FE1" w:rsidRPr="00142FE1" w:rsidRDefault="00142FE1" w:rsidP="00142FE1">
      <w:pPr>
        <w:pStyle w:val="ParNoG"/>
      </w:pPr>
      <w:r w:rsidRPr="00142FE1">
        <w:t xml:space="preserve">Fournir des informations sur les mesures prises pour modifier les </w:t>
      </w:r>
      <w:r w:rsidR="0080217A" w:rsidRPr="00142FE1">
        <w:t>L</w:t>
      </w:r>
      <w:r w:rsidRPr="00142FE1">
        <w:t>ignes directrices régissant l</w:t>
      </w:r>
      <w:r w:rsidR="003F6B1B">
        <w:t>’</w:t>
      </w:r>
      <w:r w:rsidRPr="00142FE1">
        <w:t>utilisation des armes à impulsions afin d</w:t>
      </w:r>
      <w:r w:rsidR="0080217A">
        <w:t>e n</w:t>
      </w:r>
      <w:r w:rsidR="003F6B1B">
        <w:t>’</w:t>
      </w:r>
      <w:r w:rsidR="0080217A">
        <w:t>autoriser l</w:t>
      </w:r>
      <w:r w:rsidR="003F6B1B">
        <w:t>’</w:t>
      </w:r>
      <w:r w:rsidR="0080217A">
        <w:t xml:space="preserve">utilisation de ces armes que face à </w:t>
      </w:r>
      <w:r w:rsidRPr="00142FE1">
        <w:t>une menace imminente de mort ou de blessure grave.</w:t>
      </w:r>
    </w:p>
    <w:p w:rsidR="00142FE1" w:rsidRPr="00142FE1" w:rsidRDefault="00142FE1" w:rsidP="00142FE1">
      <w:pPr>
        <w:pStyle w:val="H1G"/>
      </w:pPr>
      <w:r w:rsidRPr="00142FE1">
        <w:tab/>
      </w:r>
      <w:r w:rsidRPr="00142FE1">
        <w:tab/>
        <w:t>Violence contre les femmes, y compris la violence familiale</w:t>
      </w:r>
      <w:r>
        <w:br/>
      </w:r>
      <w:r w:rsidRPr="00142FE1">
        <w:t>et les disparitions de femmes et de filles autochtones</w:t>
      </w:r>
      <w:r>
        <w:br/>
      </w:r>
      <w:r w:rsidRPr="00142FE1">
        <w:t>(art. 2, 3, 6, 7 et 26)</w:t>
      </w:r>
    </w:p>
    <w:p w:rsidR="00142FE1" w:rsidRPr="004D589C" w:rsidRDefault="00142FE1" w:rsidP="004D589C">
      <w:pPr>
        <w:pStyle w:val="ParNoG"/>
        <w:spacing w:after="100"/>
        <w:rPr>
          <w:spacing w:val="-2"/>
        </w:rPr>
      </w:pPr>
      <w:r w:rsidRPr="004D589C">
        <w:rPr>
          <w:spacing w:val="-2"/>
        </w:rPr>
        <w:t xml:space="preserve">Donner des détails sur les mesures prises en vue de </w:t>
      </w:r>
      <w:r w:rsidR="004D589C" w:rsidRPr="004D589C">
        <w:rPr>
          <w:spacing w:val="-2"/>
        </w:rPr>
        <w:t>l’</w:t>
      </w:r>
      <w:r w:rsidRPr="004D589C">
        <w:rPr>
          <w:spacing w:val="-2"/>
        </w:rPr>
        <w:t>adopt</w:t>
      </w:r>
      <w:r w:rsidR="004D589C" w:rsidRPr="004D589C">
        <w:rPr>
          <w:spacing w:val="-2"/>
        </w:rPr>
        <w:t>ion</w:t>
      </w:r>
      <w:r w:rsidRPr="004D589C">
        <w:rPr>
          <w:spacing w:val="-2"/>
        </w:rPr>
        <w:t xml:space="preserve"> </w:t>
      </w:r>
      <w:r w:rsidR="004D589C" w:rsidRPr="004D589C">
        <w:rPr>
          <w:spacing w:val="-2"/>
        </w:rPr>
        <w:t>d’</w:t>
      </w:r>
      <w:r w:rsidRPr="004D589C">
        <w:rPr>
          <w:spacing w:val="-2"/>
        </w:rPr>
        <w:t>une législation visant spécifiquement les actes de violence familiale et indiquer si ce type d</w:t>
      </w:r>
      <w:r w:rsidR="003F6B1B" w:rsidRPr="004D589C">
        <w:rPr>
          <w:spacing w:val="-2"/>
        </w:rPr>
        <w:t>’</w:t>
      </w:r>
      <w:r w:rsidR="0080217A" w:rsidRPr="004D589C">
        <w:rPr>
          <w:spacing w:val="-2"/>
        </w:rPr>
        <w:t>acte</w:t>
      </w:r>
      <w:r w:rsidRPr="004D589C">
        <w:rPr>
          <w:spacing w:val="-2"/>
        </w:rPr>
        <w:t xml:space="preserve"> est considéré comme une infraction pénale. Indiquer les mesures prises pour faire en sorte que les personnes qui en sont victimes aient immédiatement accès à des voies de recours et à une protection et que les auteurs de tels actes soient traduits en justice et dûment sanctionnés.</w:t>
      </w:r>
    </w:p>
    <w:p w:rsidR="00142FE1" w:rsidRPr="00142FE1" w:rsidRDefault="00142FE1" w:rsidP="004D589C">
      <w:pPr>
        <w:pStyle w:val="ParNoG"/>
        <w:spacing w:after="100"/>
      </w:pPr>
      <w:r w:rsidRPr="00142FE1">
        <w:t>Donner des renseignements actualisés sur les progrès accomplis dans l</w:t>
      </w:r>
      <w:r w:rsidR="003F6B1B">
        <w:t>’</w:t>
      </w:r>
      <w:r w:rsidRPr="00142FE1">
        <w:t>élucidation des cas de disparition de femmes et de filles autochtones, y compris ce</w:t>
      </w:r>
      <w:r w:rsidR="0080217A">
        <w:t xml:space="preserve">ux mentionnés </w:t>
      </w:r>
      <w:r w:rsidRPr="00142FE1">
        <w:t>dans le rapport d</w:t>
      </w:r>
      <w:r w:rsidR="003F6B1B">
        <w:t>’</w:t>
      </w:r>
      <w:r w:rsidRPr="00142FE1">
        <w:t>enquête de 2013 de la Colombie-Britannique. Fournir des données ventilées sur le nombre d</w:t>
      </w:r>
      <w:r w:rsidR="003F6B1B">
        <w:t>’</w:t>
      </w:r>
      <w:r w:rsidRPr="00142FE1">
        <w:t xml:space="preserve">enquêtes, de poursuites, de condamnations et de sanctions </w:t>
      </w:r>
      <w:r w:rsidR="0080217A">
        <w:t xml:space="preserve">en lien avec les </w:t>
      </w:r>
      <w:r w:rsidRPr="00142FE1">
        <w:t xml:space="preserve">disparitions et meurtres de femmes et </w:t>
      </w:r>
      <w:r w:rsidR="0080217A">
        <w:t xml:space="preserve">de </w:t>
      </w:r>
      <w:r w:rsidRPr="00142FE1">
        <w:t xml:space="preserve">filles autochtones. </w:t>
      </w:r>
    </w:p>
    <w:p w:rsidR="00142FE1" w:rsidRPr="00142FE1" w:rsidRDefault="00142FE1" w:rsidP="00142FE1">
      <w:pPr>
        <w:pStyle w:val="H1G"/>
      </w:pPr>
      <w:r w:rsidRPr="00142FE1">
        <w:tab/>
      </w:r>
      <w:r w:rsidRPr="00142FE1">
        <w:tab/>
        <w:t xml:space="preserve">Droit à la liberté et à la sécurité, traitement </w:t>
      </w:r>
      <w:r w:rsidR="0080217A">
        <w:t>des</w:t>
      </w:r>
      <w:r w:rsidRPr="00142FE1">
        <w:t xml:space="preserve"> personnes privées</w:t>
      </w:r>
      <w:r w:rsidR="0080217A">
        <w:br/>
      </w:r>
      <w:r w:rsidRPr="00142FE1">
        <w:t>de liberté, droit à un procès équitable et non-refoulement</w:t>
      </w:r>
      <w:r w:rsidR="0080217A">
        <w:br/>
      </w:r>
      <w:r w:rsidRPr="00142FE1">
        <w:t xml:space="preserve">(art. 2, 6, 7, 9, 14 et 26) </w:t>
      </w:r>
    </w:p>
    <w:p w:rsidR="00142FE1" w:rsidRPr="00142FE1" w:rsidRDefault="00142FE1" w:rsidP="004D589C">
      <w:pPr>
        <w:pStyle w:val="ParNoG"/>
        <w:spacing w:after="100"/>
      </w:pPr>
      <w:r w:rsidRPr="00142FE1">
        <w:t>Fournir des informations sur les mesures prises pour modifier le p</w:t>
      </w:r>
      <w:r>
        <w:t>rojet de loi </w:t>
      </w:r>
      <w:r w:rsidRPr="00142FE1">
        <w:t xml:space="preserve">C-31 de 2012, qui prévoit la détention obligatoire des immigrants sans papiers qui entrent au Canada de façon irrégulière. Décrire également les mesures prises pour </w:t>
      </w:r>
      <w:r w:rsidR="0080217A">
        <w:t xml:space="preserve">veiller à ce </w:t>
      </w:r>
      <w:r w:rsidRPr="00142FE1">
        <w:t>que tous les demandeurs d</w:t>
      </w:r>
      <w:r w:rsidR="003F6B1B">
        <w:t>’</w:t>
      </w:r>
      <w:r w:rsidRPr="00142FE1">
        <w:t>asile, y compris les immigrés en situation irrégulière et ceux qui viennent d</w:t>
      </w:r>
      <w:r w:rsidR="003F6B1B">
        <w:t>’</w:t>
      </w:r>
      <w:r w:rsidRPr="00142FE1">
        <w:t xml:space="preserve">un «pays sûr», </w:t>
      </w:r>
      <w:r w:rsidR="0080217A">
        <w:t xml:space="preserve">ne subissent aucune discrimination dans le traitement de </w:t>
      </w:r>
      <w:r w:rsidRPr="00142FE1">
        <w:t>leur demande d</w:t>
      </w:r>
      <w:r w:rsidR="003F6B1B">
        <w:t>’</w:t>
      </w:r>
      <w:r w:rsidRPr="00142FE1">
        <w:t>asile, puissent accéder à la Section d</w:t>
      </w:r>
      <w:r w:rsidR="003F6B1B">
        <w:t>’</w:t>
      </w:r>
      <w:r w:rsidRPr="00142FE1">
        <w:t>appel des réfugiés, et ne soient pas menacés d</w:t>
      </w:r>
      <w:r w:rsidR="003F6B1B">
        <w:t>’</w:t>
      </w:r>
      <w:r w:rsidRPr="00142FE1">
        <w:t>être expulsés vers des endroits où ils risquent d</w:t>
      </w:r>
      <w:r w:rsidR="003F6B1B">
        <w:t>’</w:t>
      </w:r>
      <w:r w:rsidRPr="00142FE1">
        <w:t>être torturés ou maltraités. Indiquer également si l</w:t>
      </w:r>
      <w:r w:rsidR="003F6B1B">
        <w:t>’</w:t>
      </w:r>
      <w:r w:rsidRPr="00142FE1">
        <w:t xml:space="preserve">État partie envisage </w:t>
      </w:r>
      <w:r w:rsidR="0080217A">
        <w:t xml:space="preserve">de revenir sur les coupes qui ont affecté en 2012 le </w:t>
      </w:r>
      <w:r w:rsidRPr="00142FE1">
        <w:t xml:space="preserve">programme </w:t>
      </w:r>
      <w:r w:rsidR="0080217A">
        <w:t xml:space="preserve">de financement des </w:t>
      </w:r>
      <w:r w:rsidRPr="00142FE1">
        <w:t xml:space="preserve">services de santé </w:t>
      </w:r>
      <w:r w:rsidR="0080217A">
        <w:t xml:space="preserve">fournis aux </w:t>
      </w:r>
      <w:r w:rsidRPr="00142FE1">
        <w:t>demandeurs d</w:t>
      </w:r>
      <w:r w:rsidR="003F6B1B">
        <w:t>’</w:t>
      </w:r>
      <w:r w:rsidRPr="00142FE1">
        <w:t xml:space="preserve">asile et </w:t>
      </w:r>
      <w:r w:rsidR="0080217A">
        <w:t>s</w:t>
      </w:r>
      <w:r w:rsidR="003F6B1B">
        <w:t>’</w:t>
      </w:r>
      <w:r w:rsidR="0080217A">
        <w:t>il compte</w:t>
      </w:r>
      <w:r w:rsidRPr="00142FE1">
        <w:t xml:space="preserve"> répondre aux allégations selon lesquelles ces réductions peuvent compromettre le droit à la vie et </w:t>
      </w:r>
      <w:r w:rsidR="0080217A">
        <w:t xml:space="preserve">le droit de </w:t>
      </w:r>
      <w:r w:rsidRPr="00142FE1">
        <w:t>ne pas être soumis à des mauvais traitements.</w:t>
      </w:r>
    </w:p>
    <w:p w:rsidR="00142FE1" w:rsidRPr="00142FE1" w:rsidRDefault="00142FE1" w:rsidP="004D589C">
      <w:pPr>
        <w:pStyle w:val="ParNoG"/>
        <w:spacing w:after="100"/>
      </w:pPr>
      <w:r w:rsidRPr="00142FE1">
        <w:t xml:space="preserve">Compte tenu des </w:t>
      </w:r>
      <w:r w:rsidR="0080217A" w:rsidRPr="00142FE1">
        <w:t xml:space="preserve">précédentes </w:t>
      </w:r>
      <w:r w:rsidRPr="00142FE1">
        <w:t xml:space="preserve">observations finales </w:t>
      </w:r>
      <w:r>
        <w:t>(CCPR</w:t>
      </w:r>
      <w:r w:rsidRPr="00142FE1">
        <w:t>/C/</w:t>
      </w:r>
      <w:r>
        <w:t>CAN</w:t>
      </w:r>
      <w:r w:rsidRPr="00142FE1">
        <w:t>/</w:t>
      </w:r>
      <w:r>
        <w:t>CO</w:t>
      </w:r>
      <w:r w:rsidRPr="00142FE1">
        <w:t>/</w:t>
      </w:r>
      <w:r>
        <w:t>5, par. </w:t>
      </w:r>
      <w:r w:rsidRPr="00142FE1">
        <w:t xml:space="preserve">14) sur la </w:t>
      </w:r>
      <w:r w:rsidR="0080217A">
        <w:t>r</w:t>
      </w:r>
      <w:r w:rsidRPr="00142FE1">
        <w:t>étention administrative d</w:t>
      </w:r>
      <w:r w:rsidR="003F6B1B">
        <w:t>’</w:t>
      </w:r>
      <w:r w:rsidRPr="00142FE1">
        <w:t xml:space="preserve">immigrés et de réfugiés sans </w:t>
      </w:r>
      <w:r w:rsidR="0080217A">
        <w:t>examen</w:t>
      </w:r>
      <w:r w:rsidRPr="00142FE1">
        <w:t xml:space="preserve"> judiciaire, et du rapport de l</w:t>
      </w:r>
      <w:r w:rsidR="003F6B1B">
        <w:t>’</w:t>
      </w:r>
      <w:r w:rsidRPr="00142FE1">
        <w:t>État p</w:t>
      </w:r>
      <w:r>
        <w:t>artie (CCPR/C/CAN/6, par. </w:t>
      </w:r>
      <w:r w:rsidRPr="00142FE1">
        <w:t>20</w:t>
      </w:r>
      <w:r w:rsidR="0080217A">
        <w:t xml:space="preserve"> à </w:t>
      </w:r>
      <w:r w:rsidRPr="00142FE1">
        <w:t>30), fournir des informations actualisées sur les cas act</w:t>
      </w:r>
      <w:r w:rsidR="0080217A">
        <w:t>uels</w:t>
      </w:r>
      <w:r w:rsidRPr="00142FE1">
        <w:t xml:space="preserve"> de personnes visées par un certificat de sécurité en vertu du nouveau régime </w:t>
      </w:r>
      <w:r w:rsidR="00B254F2">
        <w:t xml:space="preserve">prévu par </w:t>
      </w:r>
      <w:r w:rsidRPr="00142FE1">
        <w:t>la loi sur l</w:t>
      </w:r>
      <w:r w:rsidR="003F6B1B">
        <w:t>’</w:t>
      </w:r>
      <w:r w:rsidRPr="00142FE1">
        <w:t xml:space="preserve">immigration et la protection des réfugiés, et commenter les </w:t>
      </w:r>
      <w:r w:rsidR="00B254F2">
        <w:t xml:space="preserve">informations </w:t>
      </w:r>
      <w:r w:rsidRPr="00142FE1">
        <w:t xml:space="preserve">indiquant que le recours aux certificats de sécurité peut conduire à des expulsions illégales. Fournir des informations sur les mesures spécifiques prises pour veiller à ce que les </w:t>
      </w:r>
      <w:r w:rsidRPr="00142FE1">
        <w:rPr>
          <w:i/>
        </w:rPr>
        <w:t>avocats spéciaux</w:t>
      </w:r>
      <w:r w:rsidRPr="00142FE1">
        <w:t xml:space="preserve"> puissent rechercher des preuves de façon indépendante et représenter au mieux leurs clients.</w:t>
      </w:r>
    </w:p>
    <w:p w:rsidR="00142FE1" w:rsidRPr="00142FE1" w:rsidRDefault="00142FE1" w:rsidP="004D589C">
      <w:pPr>
        <w:pStyle w:val="ParNoG"/>
        <w:spacing w:after="100"/>
      </w:pPr>
      <w:r w:rsidRPr="00142FE1">
        <w:t xml:space="preserve">Donner des informations sur les mesures prises pour: </w:t>
      </w:r>
      <w:r>
        <w:t>a) </w:t>
      </w:r>
      <w:r w:rsidRPr="00142FE1">
        <w:t xml:space="preserve">réduire la surpopulation et satisfaire comme il convient aux besoins </w:t>
      </w:r>
      <w:r w:rsidR="00B254F2">
        <w:t>essentiels</w:t>
      </w:r>
      <w:r w:rsidRPr="00142FE1">
        <w:t xml:space="preserve"> de toutes les</w:t>
      </w:r>
      <w:r>
        <w:t xml:space="preserve"> personnes privées de liberté; b) </w:t>
      </w:r>
      <w:r w:rsidRPr="00142FE1">
        <w:t xml:space="preserve">renforcer la capacité des centres de traitement pour les </w:t>
      </w:r>
      <w:r w:rsidR="00B254F2">
        <w:t xml:space="preserve">détenus souffrant de troubles mentaux modérés ou </w:t>
      </w:r>
      <w:r w:rsidRPr="00142FE1">
        <w:t xml:space="preserve">graves; </w:t>
      </w:r>
      <w:r>
        <w:t>c) </w:t>
      </w:r>
      <w:r w:rsidR="00B254F2">
        <w:t xml:space="preserve">faire du régime </w:t>
      </w:r>
      <w:r w:rsidRPr="00142FE1">
        <w:t xml:space="preserve">cellulaire </w:t>
      </w:r>
      <w:r w:rsidR="00B254F2">
        <w:t>une mesure de dernier recours</w:t>
      </w:r>
      <w:r w:rsidRPr="00142FE1">
        <w:t xml:space="preserve">; </w:t>
      </w:r>
      <w:r>
        <w:t>d) </w:t>
      </w:r>
      <w:r w:rsidRPr="00142FE1">
        <w:t xml:space="preserve">ne plus </w:t>
      </w:r>
      <w:r w:rsidR="00B254F2">
        <w:t>placer</w:t>
      </w:r>
      <w:r w:rsidRPr="00142FE1">
        <w:t xml:space="preserve"> à l</w:t>
      </w:r>
      <w:r w:rsidR="003F6B1B">
        <w:t>’</w:t>
      </w:r>
      <w:r w:rsidRPr="00142FE1">
        <w:t>isolement les personnes atteintes de graves maladies mentales.</w:t>
      </w:r>
    </w:p>
    <w:p w:rsidR="00142FE1" w:rsidRPr="004D589C" w:rsidRDefault="00142FE1" w:rsidP="00142FE1">
      <w:pPr>
        <w:pStyle w:val="ParNoG"/>
        <w:rPr>
          <w:spacing w:val="-3"/>
        </w:rPr>
      </w:pPr>
      <w:r w:rsidRPr="004D589C">
        <w:rPr>
          <w:spacing w:val="-3"/>
        </w:rPr>
        <w:t>Fournir des informations sur la proportion anormalement élevée de personnes d</w:t>
      </w:r>
      <w:r w:rsidR="003F6B1B" w:rsidRPr="004D589C">
        <w:rPr>
          <w:spacing w:val="-3"/>
        </w:rPr>
        <w:t>’</w:t>
      </w:r>
      <w:r w:rsidRPr="004D589C">
        <w:rPr>
          <w:spacing w:val="-3"/>
        </w:rPr>
        <w:t>origines autochtones, y compris les femmes, privées de leur liberté, dans les prisons fédérales et provinciales du Canada. Fournir des informations sur la mise en œuvre effective des mesures de substitution à l</w:t>
      </w:r>
      <w:r w:rsidR="003F6B1B" w:rsidRPr="004D589C">
        <w:rPr>
          <w:spacing w:val="-3"/>
        </w:rPr>
        <w:t>’</w:t>
      </w:r>
      <w:r w:rsidRPr="004D589C">
        <w:rPr>
          <w:spacing w:val="-3"/>
        </w:rPr>
        <w:t>emprisonnement comme indiqué au paragraphe </w:t>
      </w:r>
      <w:r w:rsidR="004D589C" w:rsidRPr="004D589C">
        <w:rPr>
          <w:spacing w:val="-3"/>
        </w:rPr>
        <w:t>717 </w:t>
      </w:r>
      <w:r w:rsidRPr="004D589C">
        <w:rPr>
          <w:spacing w:val="-3"/>
        </w:rPr>
        <w:t xml:space="preserve">1) du Code pénal et des données ventilées sur les </w:t>
      </w:r>
      <w:r w:rsidR="004D589C" w:rsidRPr="004D589C">
        <w:rPr>
          <w:spacing w:val="-3"/>
        </w:rPr>
        <w:t>a</w:t>
      </w:r>
      <w:r w:rsidRPr="004D589C">
        <w:rPr>
          <w:spacing w:val="-3"/>
        </w:rPr>
        <w:t>utochtones condamnés qui purgent leur peine dans leurs communautés comme indiqué au paragraphe 718.2</w:t>
      </w:r>
      <w:r w:rsidR="004D589C" w:rsidRPr="004D589C">
        <w:rPr>
          <w:spacing w:val="-3"/>
        </w:rPr>
        <w:t> </w:t>
      </w:r>
      <w:r w:rsidRPr="004D589C">
        <w:rPr>
          <w:spacing w:val="-3"/>
        </w:rPr>
        <w:t>e) et à l</w:t>
      </w:r>
      <w:r w:rsidR="003F6B1B" w:rsidRPr="004D589C">
        <w:rPr>
          <w:spacing w:val="-3"/>
        </w:rPr>
        <w:t>’</w:t>
      </w:r>
      <w:r w:rsidRPr="004D589C">
        <w:rPr>
          <w:spacing w:val="-3"/>
        </w:rPr>
        <w:t>article 742.1 du Code pénal.</w:t>
      </w:r>
    </w:p>
    <w:p w:rsidR="00142FE1" w:rsidRPr="00142FE1" w:rsidRDefault="00142FE1" w:rsidP="00142FE1">
      <w:pPr>
        <w:pStyle w:val="H1G"/>
      </w:pPr>
      <w:r w:rsidRPr="00142FE1">
        <w:tab/>
      </w:r>
      <w:r w:rsidRPr="00142FE1">
        <w:tab/>
        <w:t>Liberté d</w:t>
      </w:r>
      <w:r w:rsidR="003F6B1B">
        <w:t>’</w:t>
      </w:r>
      <w:r w:rsidRPr="00142FE1">
        <w:t xml:space="preserve">expression et droit de réunion pacifique (art. 19 </w:t>
      </w:r>
      <w:r w:rsidR="004D589C">
        <w:t>et</w:t>
      </w:r>
      <w:r w:rsidRPr="00142FE1">
        <w:t xml:space="preserve"> 21)</w:t>
      </w:r>
    </w:p>
    <w:p w:rsidR="00142FE1" w:rsidRPr="00142FE1" w:rsidRDefault="00B254F2" w:rsidP="00142FE1">
      <w:pPr>
        <w:pStyle w:val="ParNoG"/>
      </w:pPr>
      <w:r>
        <w:t xml:space="preserve">Donner </w:t>
      </w:r>
      <w:r w:rsidR="00142FE1" w:rsidRPr="00142FE1">
        <w:t xml:space="preserve">des </w:t>
      </w:r>
      <w:r>
        <w:t>renseignements</w:t>
      </w:r>
      <w:r w:rsidR="00142FE1" w:rsidRPr="00142FE1">
        <w:t xml:space="preserve"> sur les mesures prises au niveau fédéral pour réduire les restrictions </w:t>
      </w:r>
      <w:r>
        <w:t xml:space="preserve">imposées au </w:t>
      </w:r>
      <w:r w:rsidR="00142FE1" w:rsidRPr="00142FE1">
        <w:t>droit à la liberté de réunion pacifique et d</w:t>
      </w:r>
      <w:r w:rsidR="003F6B1B">
        <w:t>’</w:t>
      </w:r>
      <w:r w:rsidR="00142FE1" w:rsidRPr="00142FE1">
        <w:t xml:space="preserve">association </w:t>
      </w:r>
      <w:r>
        <w:t>au</w:t>
      </w:r>
      <w:r w:rsidR="004D589C">
        <w:t>x</w:t>
      </w:r>
      <w:r>
        <w:t xml:space="preserve"> niveau</w:t>
      </w:r>
      <w:r w:rsidR="004D589C">
        <w:t>x</w:t>
      </w:r>
      <w:r>
        <w:t xml:space="preserve"> provincial et territorial</w:t>
      </w:r>
      <w:r w:rsidR="00142FE1" w:rsidRPr="00142FE1">
        <w:t xml:space="preserve">. Commenter également: </w:t>
      </w:r>
      <w:r w:rsidR="00142FE1">
        <w:t>a) </w:t>
      </w:r>
      <w:r w:rsidR="00142FE1" w:rsidRPr="00142FE1">
        <w:t xml:space="preserve">les </w:t>
      </w:r>
      <w:r>
        <w:t xml:space="preserve">informations </w:t>
      </w:r>
      <w:r w:rsidR="00142FE1" w:rsidRPr="00142FE1">
        <w:t>indiquant que la liberté d</w:t>
      </w:r>
      <w:r w:rsidR="003F6B1B">
        <w:t>’</w:t>
      </w:r>
      <w:r w:rsidR="00142FE1" w:rsidRPr="00142FE1">
        <w:t>expression est limitée par des mesures punitives à l</w:t>
      </w:r>
      <w:r w:rsidR="003F6B1B">
        <w:t>’</w:t>
      </w:r>
      <w:r w:rsidR="00142FE1" w:rsidRPr="00142FE1">
        <w:t>encontre des organisations de la société civile et des défenseurs des droits de l</w:t>
      </w:r>
      <w:r w:rsidR="003F6B1B">
        <w:t>’</w:t>
      </w:r>
      <w:r w:rsidR="00142FE1" w:rsidRPr="00142FE1">
        <w:t xml:space="preserve">homme qui </w:t>
      </w:r>
      <w:r>
        <w:t xml:space="preserve">militent pour </w:t>
      </w:r>
      <w:r w:rsidR="00142FE1" w:rsidRPr="00142FE1">
        <w:t>l</w:t>
      </w:r>
      <w:r w:rsidR="003F6B1B">
        <w:t>’</w:t>
      </w:r>
      <w:r w:rsidR="00142FE1" w:rsidRPr="00142FE1">
        <w:t xml:space="preserve">égalité des femmes, </w:t>
      </w:r>
      <w:r>
        <w:t>l</w:t>
      </w:r>
      <w:r w:rsidR="00142FE1" w:rsidRPr="00142FE1">
        <w:t>es droits des Palestiniens, la protection de l</w:t>
      </w:r>
      <w:r w:rsidR="003F6B1B">
        <w:t>’</w:t>
      </w:r>
      <w:r w:rsidR="00142FE1" w:rsidRPr="00142FE1">
        <w:t xml:space="preserve">environnement et la responsabilité </w:t>
      </w:r>
      <w:r w:rsidR="00142FE1">
        <w:t>sociale des entreprises</w:t>
      </w:r>
      <w:r w:rsidR="004D589C">
        <w:t>;</w:t>
      </w:r>
      <w:r w:rsidR="00142FE1">
        <w:t xml:space="preserve"> et b) </w:t>
      </w:r>
      <w:r w:rsidR="00142FE1" w:rsidRPr="00142FE1">
        <w:t xml:space="preserve">les restrictions illicites </w:t>
      </w:r>
      <w:r>
        <w:t xml:space="preserve">qui auraient été imposées au </w:t>
      </w:r>
      <w:r w:rsidR="00142FE1" w:rsidRPr="00142FE1">
        <w:t xml:space="preserve">droit de réunion pacifique, entre autres, </w:t>
      </w:r>
      <w:r>
        <w:t>lors</w:t>
      </w:r>
      <w:r w:rsidR="00142FE1" w:rsidRPr="00142FE1">
        <w:t xml:space="preserve"> des manifestations </w:t>
      </w:r>
      <w:r>
        <w:t>qui ont eu lieu à l</w:t>
      </w:r>
      <w:r w:rsidR="003F6B1B">
        <w:t>’</w:t>
      </w:r>
      <w:r>
        <w:t xml:space="preserve">occasion </w:t>
      </w:r>
      <w:r w:rsidR="00142FE1" w:rsidRPr="00142FE1">
        <w:t>du G</w:t>
      </w:r>
      <w:r>
        <w:t>-</w:t>
      </w:r>
      <w:r w:rsidR="00142FE1" w:rsidRPr="00142FE1">
        <w:t xml:space="preserve">20 en 2010 à Toronto, des manifestations étudiantes de 2012 au Québec et </w:t>
      </w:r>
      <w:r>
        <w:t>des manifestations de</w:t>
      </w:r>
      <w:r w:rsidR="00142FE1" w:rsidRPr="00142FE1">
        <w:t xml:space="preserve"> communautés autochtones.</w:t>
      </w:r>
    </w:p>
    <w:p w:rsidR="00142FE1" w:rsidRPr="00142FE1" w:rsidRDefault="00142FE1" w:rsidP="00142FE1">
      <w:pPr>
        <w:pStyle w:val="H1G"/>
      </w:pPr>
      <w:r w:rsidRPr="00142FE1">
        <w:tab/>
      </w:r>
      <w:r w:rsidRPr="00142FE1">
        <w:tab/>
        <w:t>Non-discrimination et droits des personnes, y compris des enfants, appartenant à des minorités ethniques, religieuses</w:t>
      </w:r>
      <w:r>
        <w:br/>
      </w:r>
      <w:r w:rsidRPr="00142FE1">
        <w:t xml:space="preserve">ou linguistiques (art. 2, 24, 26 et 27) </w:t>
      </w:r>
    </w:p>
    <w:p w:rsidR="00142FE1" w:rsidRPr="00142FE1" w:rsidRDefault="00142FE1" w:rsidP="00B254F2">
      <w:pPr>
        <w:pStyle w:val="ParNoG"/>
        <w:keepNext/>
      </w:pPr>
      <w:r w:rsidRPr="00142FE1">
        <w:t xml:space="preserve">Expliquer les mesures </w:t>
      </w:r>
      <w:r w:rsidR="00B254F2">
        <w:t>pr</w:t>
      </w:r>
      <w:r w:rsidRPr="00142FE1">
        <w:t>ises pour r</w:t>
      </w:r>
      <w:r w:rsidR="00B254F2">
        <w:t>emédier</w:t>
      </w:r>
      <w:r w:rsidRPr="00142FE1">
        <w:t xml:space="preserve"> à la </w:t>
      </w:r>
      <w:r w:rsidR="00B254F2">
        <w:t>précarité chronique</w:t>
      </w:r>
      <w:r w:rsidRPr="00142FE1">
        <w:t xml:space="preserve"> des peuples autochtones </w:t>
      </w:r>
      <w:r w:rsidR="00B254F2">
        <w:t>de</w:t>
      </w:r>
      <w:r w:rsidRPr="00142FE1">
        <w:t xml:space="preserve"> l</w:t>
      </w:r>
      <w:r w:rsidR="003F6B1B">
        <w:t>’</w:t>
      </w:r>
      <w:r w:rsidRPr="00142FE1">
        <w:t>État partie, et in</w:t>
      </w:r>
      <w:r w:rsidR="00B254F2">
        <w:t>diquer</w:t>
      </w:r>
      <w:r w:rsidRPr="00142FE1">
        <w:t xml:space="preserve"> si l</w:t>
      </w:r>
      <w:r w:rsidR="003F6B1B">
        <w:t>’</w:t>
      </w:r>
      <w:r w:rsidRPr="00142FE1">
        <w:t>État partie a l</w:t>
      </w:r>
      <w:r w:rsidR="003F6B1B">
        <w:t>’</w:t>
      </w:r>
      <w:r w:rsidRPr="00142FE1">
        <w:t>intention d</w:t>
      </w:r>
      <w:r w:rsidR="003F6B1B">
        <w:t>’</w:t>
      </w:r>
      <w:r w:rsidRPr="00142FE1">
        <w:t>adopter une stratégie fédérale globale qui couvre toutes les questions relati</w:t>
      </w:r>
      <w:r w:rsidR="004D589C">
        <w:t>ves aux peuples autochtones. En </w:t>
      </w:r>
      <w:r w:rsidRPr="00142FE1">
        <w:t>réponse, commenter également</w:t>
      </w:r>
      <w:r w:rsidR="00B254F2">
        <w:t>:</w:t>
      </w:r>
    </w:p>
    <w:p w:rsidR="00142FE1" w:rsidRPr="00142FE1" w:rsidRDefault="00142FE1" w:rsidP="00142FE1">
      <w:pPr>
        <w:pStyle w:val="SingleTxtG"/>
        <w:ind w:firstLine="567"/>
      </w:pPr>
      <w:r w:rsidRPr="00142FE1">
        <w:t>a)</w:t>
      </w:r>
      <w:r w:rsidRPr="00142FE1">
        <w:tab/>
        <w:t>Les tensions croissantes entre ces groupes et les autorités de l</w:t>
      </w:r>
      <w:r w:rsidR="003F6B1B">
        <w:t>’</w:t>
      </w:r>
      <w:r w:rsidRPr="00142FE1">
        <w:t xml:space="preserve">État partie, </w:t>
      </w:r>
      <w:r>
        <w:t>à </w:t>
      </w:r>
      <w:r w:rsidRPr="00142FE1">
        <w:t>propos desquelles il est rapporté que l</w:t>
      </w:r>
      <w:r w:rsidR="003F6B1B">
        <w:t>’</w:t>
      </w:r>
      <w:r w:rsidRPr="00142FE1">
        <w:t xml:space="preserve">État partie semble considérer les intérêts généraux des Canadiens comme opposés, plutôt que liés, à ceux des </w:t>
      </w:r>
      <w:r w:rsidR="00B254F2" w:rsidRPr="00142FE1">
        <w:t>a</w:t>
      </w:r>
      <w:r w:rsidRPr="00142FE1">
        <w:t xml:space="preserve">utochtones; </w:t>
      </w:r>
    </w:p>
    <w:p w:rsidR="00142FE1" w:rsidRPr="00142FE1" w:rsidRDefault="00142FE1" w:rsidP="00142FE1">
      <w:pPr>
        <w:pStyle w:val="SingleTxtG"/>
        <w:ind w:firstLine="567"/>
      </w:pPr>
      <w:r w:rsidRPr="00142FE1">
        <w:t>b)</w:t>
      </w:r>
      <w:r w:rsidRPr="00142FE1">
        <w:tab/>
        <w:t xml:space="preserve">Les disparités croissantes entre les </w:t>
      </w:r>
      <w:r w:rsidR="00B254F2">
        <w:t>communautés</w:t>
      </w:r>
      <w:r w:rsidRPr="00142FE1">
        <w:t xml:space="preserve"> autochtones et non autochtones </w:t>
      </w:r>
      <w:r w:rsidR="00B254F2">
        <w:t xml:space="preserve">en matière de </w:t>
      </w:r>
      <w:r w:rsidRPr="00142FE1">
        <w:t xml:space="preserve">prévalence de la pauvreté et </w:t>
      </w:r>
      <w:r w:rsidR="00B254F2">
        <w:t xml:space="preserve">de satisfaction des </w:t>
      </w:r>
      <w:r w:rsidRPr="00142FE1">
        <w:t>besoins fondamentaux</w:t>
      </w:r>
      <w:r>
        <w:t xml:space="preserve">, </w:t>
      </w:r>
      <w:r w:rsidR="00B254F2">
        <w:t xml:space="preserve">notamment le </w:t>
      </w:r>
      <w:r w:rsidRPr="00142FE1">
        <w:t xml:space="preserve">logement, </w:t>
      </w:r>
      <w:r w:rsidR="00B254F2">
        <w:t>l</w:t>
      </w:r>
      <w:r w:rsidR="003F6B1B">
        <w:t>’</w:t>
      </w:r>
      <w:r w:rsidRPr="00142FE1">
        <w:t xml:space="preserve">éducation et </w:t>
      </w:r>
      <w:r w:rsidR="00B254F2">
        <w:t xml:space="preserve">les </w:t>
      </w:r>
      <w:r w:rsidRPr="00142FE1">
        <w:t>soins de santé.</w:t>
      </w:r>
    </w:p>
    <w:p w:rsidR="00142FE1" w:rsidRPr="00142FE1" w:rsidRDefault="00B254F2" w:rsidP="00142FE1">
      <w:pPr>
        <w:pStyle w:val="ParNoG"/>
      </w:pPr>
      <w:r>
        <w:t>Donner</w:t>
      </w:r>
      <w:r w:rsidR="00142FE1" w:rsidRPr="00142FE1">
        <w:t xml:space="preserve"> des </w:t>
      </w:r>
      <w:r>
        <w:t xml:space="preserve">renseignements à jour </w:t>
      </w:r>
      <w:r w:rsidR="00142FE1" w:rsidRPr="00142FE1">
        <w:t>sur les politiques et pratiques</w:t>
      </w:r>
      <w:r w:rsidR="00142FE1">
        <w:t xml:space="preserve"> </w:t>
      </w:r>
      <w:r>
        <w:t xml:space="preserve">mises en œuvre </w:t>
      </w:r>
      <w:r w:rsidR="00142FE1" w:rsidRPr="00142FE1">
        <w:t>pour éviter l</w:t>
      </w:r>
      <w:r w:rsidR="003F6B1B">
        <w:t>’</w:t>
      </w:r>
      <w:r w:rsidR="00142FE1" w:rsidRPr="00142FE1">
        <w:t xml:space="preserve">extinction des droits et titres </w:t>
      </w:r>
      <w:r>
        <w:t>intrinsèques</w:t>
      </w:r>
      <w:r w:rsidR="00142FE1" w:rsidRPr="00142FE1">
        <w:t xml:space="preserve"> des </w:t>
      </w:r>
      <w:r w:rsidRPr="00142FE1">
        <w:t>a</w:t>
      </w:r>
      <w:r w:rsidR="00142FE1" w:rsidRPr="00142FE1">
        <w:t>utochtones. In</w:t>
      </w:r>
      <w:r>
        <w:t xml:space="preserve">diquer </w:t>
      </w:r>
      <w:r w:rsidR="00142FE1" w:rsidRPr="00142FE1">
        <w:t>les résultats des négociations avec les Innus du Québec et du Labrador ainsi qu</w:t>
      </w:r>
      <w:r w:rsidR="003F6B1B">
        <w:t>’</w:t>
      </w:r>
      <w:r w:rsidR="00142FE1" w:rsidRPr="00142FE1">
        <w:t xml:space="preserve">avec les Premières </w:t>
      </w:r>
      <w:r w:rsidRPr="00142FE1">
        <w:t>N</w:t>
      </w:r>
      <w:r w:rsidR="00142FE1" w:rsidRPr="00142FE1">
        <w:t>ations de l</w:t>
      </w:r>
      <w:r w:rsidR="003F6B1B">
        <w:t>’</w:t>
      </w:r>
      <w:r w:rsidR="00142FE1" w:rsidRPr="00142FE1">
        <w:t>Alberta au sujet de leurs revendications territoriales, et fournir des informations sur l</w:t>
      </w:r>
      <w:r w:rsidR="003F6B1B">
        <w:t>’</w:t>
      </w:r>
      <w:r w:rsidR="00142FE1" w:rsidRPr="00142FE1">
        <w:t xml:space="preserve">arriéré des revendications </w:t>
      </w:r>
      <w:r>
        <w:t>déposées</w:t>
      </w:r>
      <w:r w:rsidR="00142FE1" w:rsidRPr="00142FE1">
        <w:t xml:space="preserve"> devant le Tribunal des revendications particulières. Commenter également les </w:t>
      </w:r>
      <w:r>
        <w:t xml:space="preserve">informations indiquant que </w:t>
      </w:r>
      <w:r w:rsidR="00142FE1" w:rsidRPr="00142FE1">
        <w:t xml:space="preserve">les peuples autochtones </w:t>
      </w:r>
      <w:r>
        <w:t xml:space="preserve">sont peu consultés </w:t>
      </w:r>
      <w:r w:rsidR="00142FE1" w:rsidRPr="00142FE1">
        <w:t xml:space="preserve">lorsque leurs droits fonciers </w:t>
      </w:r>
      <w:r>
        <w:t xml:space="preserve">risquent </w:t>
      </w:r>
      <w:r w:rsidR="00142FE1" w:rsidRPr="00142FE1">
        <w:t>d</w:t>
      </w:r>
      <w:r w:rsidR="003F6B1B">
        <w:t>’</w:t>
      </w:r>
      <w:r w:rsidR="00142FE1" w:rsidRPr="00142FE1">
        <w:t xml:space="preserve">être </w:t>
      </w:r>
      <w:r>
        <w:t xml:space="preserve">restreints </w:t>
      </w:r>
      <w:r w:rsidR="00142FE1" w:rsidRPr="00142FE1">
        <w:t xml:space="preserve">par </w:t>
      </w:r>
      <w:r>
        <w:t>des mesures gouvernementales</w:t>
      </w:r>
      <w:r w:rsidR="00142FE1" w:rsidRPr="00142FE1">
        <w:t xml:space="preserve">. </w:t>
      </w:r>
    </w:p>
    <w:p w:rsidR="00142FE1" w:rsidRPr="00142FE1" w:rsidRDefault="00142FE1" w:rsidP="00142FE1">
      <w:pPr>
        <w:pStyle w:val="ParNoG"/>
      </w:pPr>
      <w:r w:rsidRPr="00142FE1">
        <w:t>In</w:t>
      </w:r>
      <w:r w:rsidR="003F6B1B">
        <w:t xml:space="preserve">diquer </w:t>
      </w:r>
      <w:r w:rsidRPr="00142FE1">
        <w:t xml:space="preserve">les mesures prises pour </w:t>
      </w:r>
      <w:r w:rsidR="003F6B1B">
        <w:t>modifier</w:t>
      </w:r>
      <w:r w:rsidRPr="00142FE1">
        <w:t xml:space="preserve"> la loi sur les Indiens en vue de</w:t>
      </w:r>
      <w:r>
        <w:t xml:space="preserve">: </w:t>
      </w:r>
      <w:r w:rsidRPr="00142FE1">
        <w:t>a)</w:t>
      </w:r>
      <w:r>
        <w:t> </w:t>
      </w:r>
      <w:r w:rsidRPr="00142FE1">
        <w:t xml:space="preserve">supprimer </w:t>
      </w:r>
      <w:r w:rsidR="003F6B1B">
        <w:t>toute disposition discriminatoire</w:t>
      </w:r>
      <w:r w:rsidRPr="00142FE1">
        <w:t xml:space="preserve"> </w:t>
      </w:r>
      <w:r w:rsidR="003F6B1B">
        <w:t>pouvant y</w:t>
      </w:r>
      <w:r w:rsidRPr="00142FE1">
        <w:t xml:space="preserve"> subsiste</w:t>
      </w:r>
      <w:r w:rsidR="003F6B1B">
        <w:t>r</w:t>
      </w:r>
      <w:r w:rsidR="004D589C">
        <w:t>;</w:t>
      </w:r>
      <w:r w:rsidRPr="00142FE1">
        <w:t xml:space="preserve"> et </w:t>
      </w:r>
      <w:r>
        <w:t>b) </w:t>
      </w:r>
      <w:r w:rsidR="003F6B1B">
        <w:t xml:space="preserve">associer davantage les </w:t>
      </w:r>
      <w:r w:rsidRPr="00142FE1">
        <w:t xml:space="preserve">peuples autochtones </w:t>
      </w:r>
      <w:r w:rsidR="003F6B1B">
        <w:t>à</w:t>
      </w:r>
      <w:r w:rsidRPr="00142FE1">
        <w:t xml:space="preserve"> la prise de décision</w:t>
      </w:r>
      <w:r w:rsidR="003F6B1B">
        <w:t>s</w:t>
      </w:r>
      <w:r w:rsidRPr="00142FE1">
        <w:t>, en indiquant, le cas</w:t>
      </w:r>
      <w:r w:rsidR="003F6B1B">
        <w:t xml:space="preserve"> échéant</w:t>
      </w:r>
      <w:r w:rsidRPr="00142FE1">
        <w:t xml:space="preserve">, comment les communautés concernées ont été consultées </w:t>
      </w:r>
      <w:r w:rsidR="003F6B1B">
        <w:t xml:space="preserve">au sujet de la modification </w:t>
      </w:r>
      <w:r w:rsidRPr="00142FE1">
        <w:t xml:space="preserve">de la loi sur les Indiens. Commenter aussi les informations suggérant </w:t>
      </w:r>
      <w:r w:rsidR="003F6B1B">
        <w:t xml:space="preserve">que les </w:t>
      </w:r>
      <w:r w:rsidRPr="00142FE1">
        <w:t xml:space="preserve">peuples autochtones </w:t>
      </w:r>
      <w:r w:rsidR="003F6B1B">
        <w:t>ne participent pas activement à</w:t>
      </w:r>
      <w:r w:rsidRPr="00142FE1">
        <w:t xml:space="preserve"> l</w:t>
      </w:r>
      <w:r w:rsidR="003F6B1B">
        <w:t>’</w:t>
      </w:r>
      <w:r w:rsidRPr="00142FE1">
        <w:t>élaboration des textes de loi qui les concernent</w:t>
      </w:r>
      <w:r>
        <w:t xml:space="preserve">, </w:t>
      </w:r>
      <w:r w:rsidR="003F6B1B">
        <w:t xml:space="preserve">notamment </w:t>
      </w:r>
      <w:r w:rsidRPr="00142FE1">
        <w:t>la loi canadienne sur l</w:t>
      </w:r>
      <w:r w:rsidR="003F6B1B">
        <w:t>’</w:t>
      </w:r>
      <w:r w:rsidRPr="00142FE1">
        <w:t>évaluation environnementale, la loi sur l</w:t>
      </w:r>
      <w:r w:rsidR="003F6B1B">
        <w:t>’</w:t>
      </w:r>
      <w:r w:rsidRPr="00142FE1">
        <w:t>Office national de l</w:t>
      </w:r>
      <w:r w:rsidR="003F6B1B">
        <w:t>’</w:t>
      </w:r>
      <w:r w:rsidR="004D589C">
        <w:t>énergie, la </w:t>
      </w:r>
      <w:r w:rsidRPr="00142FE1">
        <w:t xml:space="preserve">loi sur les pêches, la loi sur la protection </w:t>
      </w:r>
      <w:r w:rsidR="003F6B1B">
        <w:t>de la navigation</w:t>
      </w:r>
      <w:r w:rsidRPr="00142FE1">
        <w:t xml:space="preserve"> et la loi sur </w:t>
      </w:r>
      <w:r w:rsidR="003F6B1B">
        <w:t>l’emploi</w:t>
      </w:r>
      <w:r w:rsidRPr="00142FE1">
        <w:t xml:space="preserve"> et la croissance.</w:t>
      </w:r>
    </w:p>
    <w:p w:rsidR="00142FE1" w:rsidRPr="00142FE1" w:rsidRDefault="003F6B1B" w:rsidP="00142FE1">
      <w:pPr>
        <w:pStyle w:val="ParNoG"/>
      </w:pPr>
      <w:r>
        <w:t xml:space="preserve">Indiquer quelle a été </w:t>
      </w:r>
      <w:r w:rsidR="00142FE1" w:rsidRPr="00142FE1">
        <w:t>l</w:t>
      </w:r>
      <w:r>
        <w:t>’</w:t>
      </w:r>
      <w:r w:rsidR="00142FE1" w:rsidRPr="00142FE1">
        <w:t>incidence de l</w:t>
      </w:r>
      <w:r>
        <w:t>’</w:t>
      </w:r>
      <w:r w:rsidR="00142FE1" w:rsidRPr="00142FE1">
        <w:t xml:space="preserve">Initiative des langues autochtones de 2010 sur le déclin des langues autochtones. À cet égard, commenter les informations selon lesquelles </w:t>
      </w:r>
      <w:r>
        <w:t>les deux tiers des 90 </w:t>
      </w:r>
      <w:r w:rsidR="00142FE1" w:rsidRPr="00142FE1">
        <w:t xml:space="preserve">langues autochtones sont menacées. Indiquer également </w:t>
      </w:r>
      <w:r>
        <w:t xml:space="preserve">si </w:t>
      </w:r>
      <w:r w:rsidR="00142FE1" w:rsidRPr="00142FE1">
        <w:t>la loi sur l</w:t>
      </w:r>
      <w:r>
        <w:t>’</w:t>
      </w:r>
      <w:r w:rsidR="00142FE1" w:rsidRPr="00142FE1">
        <w:t xml:space="preserve">éducation des Premières </w:t>
      </w:r>
      <w:r w:rsidRPr="00142FE1">
        <w:t>N</w:t>
      </w:r>
      <w:r w:rsidR="00142FE1" w:rsidRPr="00142FE1">
        <w:t xml:space="preserve">ations </w:t>
      </w:r>
      <w:r>
        <w:t xml:space="preserve">a contribué à </w:t>
      </w:r>
      <w:r w:rsidR="00142FE1" w:rsidRPr="00142FE1">
        <w:t>la préservation des langues autochtones.</w:t>
      </w:r>
    </w:p>
    <w:p w:rsidR="00142FE1" w:rsidRPr="00142FE1" w:rsidRDefault="00142FE1" w:rsidP="00142FE1">
      <w:pPr>
        <w:pStyle w:val="ParNoG"/>
      </w:pPr>
      <w:r w:rsidRPr="00142FE1">
        <w:t xml:space="preserve">Fournir des informations actualisées sur la Commission de </w:t>
      </w:r>
      <w:r w:rsidR="003F6B1B" w:rsidRPr="00142FE1">
        <w:t>v</w:t>
      </w:r>
      <w:r w:rsidRPr="00142FE1">
        <w:t xml:space="preserve">érité et </w:t>
      </w:r>
      <w:r w:rsidR="003F6B1B" w:rsidRPr="00142FE1">
        <w:t>r</w:t>
      </w:r>
      <w:r w:rsidRPr="00142FE1">
        <w:t xml:space="preserve">éconciliation </w:t>
      </w:r>
      <w:r w:rsidR="003F6B1B">
        <w:t>créée en</w:t>
      </w:r>
      <w:r w:rsidRPr="00142FE1">
        <w:t xml:space="preserve"> 2008 et </w:t>
      </w:r>
      <w:r w:rsidR="003F6B1B">
        <w:t>décrire</w:t>
      </w:r>
      <w:r w:rsidRPr="00142FE1">
        <w:t xml:space="preserve"> la portée et </w:t>
      </w:r>
      <w:r w:rsidR="003F6B1B">
        <w:t>les résultats des expériences de</w:t>
      </w:r>
      <w:r w:rsidRPr="00142FE1">
        <w:t xml:space="preserve"> pensionnats pour enfants autochtones. Indiquer </w:t>
      </w:r>
      <w:r w:rsidR="003F6B1B">
        <w:t xml:space="preserve">les mesures </w:t>
      </w:r>
      <w:r w:rsidRPr="00142FE1">
        <w:t xml:space="preserve">prises pour garantir que les programmes de placement </w:t>
      </w:r>
      <w:r w:rsidR="003F6B1B">
        <w:t>d’enfants</w:t>
      </w:r>
      <w:r>
        <w:t xml:space="preserve"> </w:t>
      </w:r>
      <w:r w:rsidRPr="00142FE1">
        <w:t xml:space="preserve">respectent les droits des peuples autochtones. À cet égard, répondre aux allégations selon lesquelles les enfants des Premières </w:t>
      </w:r>
      <w:r w:rsidR="003F6B1B" w:rsidRPr="00142FE1">
        <w:t>N</w:t>
      </w:r>
      <w:r w:rsidRPr="00142FE1">
        <w:t>ations sont plus susceptibles d</w:t>
      </w:r>
      <w:r w:rsidR="003F6B1B">
        <w:t>’</w:t>
      </w:r>
      <w:r w:rsidRPr="00142FE1">
        <w:t xml:space="preserve">être </w:t>
      </w:r>
      <w:r w:rsidR="003F6B1B">
        <w:t>retirés</w:t>
      </w:r>
      <w:r w:rsidRPr="00142FE1">
        <w:t xml:space="preserve"> de leu</w:t>
      </w:r>
      <w:r w:rsidR="003F6B1B">
        <w:t>r famille</w:t>
      </w:r>
      <w:r w:rsidRPr="00142FE1">
        <w:t xml:space="preserve"> et </w:t>
      </w:r>
      <w:r w:rsidR="003F6B1B">
        <w:t xml:space="preserve">confiés au </w:t>
      </w:r>
      <w:r w:rsidRPr="00142FE1">
        <w:t>système de protection de l</w:t>
      </w:r>
      <w:r w:rsidR="003F6B1B">
        <w:t>’</w:t>
      </w:r>
      <w:r w:rsidRPr="00142FE1">
        <w:t>enfance, en indiquant et expliquant toute disparité constatée entre communautés autochtones et non autochtones</w:t>
      </w:r>
      <w:r w:rsidR="003F6B1B">
        <w:t xml:space="preserve"> en matière de prestations sociales</w:t>
      </w:r>
      <w:r w:rsidRPr="00142FE1">
        <w:t xml:space="preserve">. Expliquer également la surreprésentation des enfants autochtones dans les prisons et décrire les mesures préventives prises </w:t>
      </w:r>
      <w:r w:rsidR="003F6B1B">
        <w:t>pour y remédier</w:t>
      </w:r>
      <w:r w:rsidRPr="00142FE1">
        <w:t>.</w:t>
      </w:r>
    </w:p>
    <w:p w:rsidR="00142FE1" w:rsidRPr="00142FE1" w:rsidRDefault="00142FE1" w:rsidP="00142FE1">
      <w:pPr>
        <w:pStyle w:val="H1G"/>
      </w:pPr>
      <w:r w:rsidRPr="00142FE1">
        <w:tab/>
      </w:r>
      <w:r w:rsidRPr="00142FE1">
        <w:tab/>
        <w:t>Diffusion d</w:t>
      </w:r>
      <w:r w:rsidR="003F6B1B">
        <w:t>’</w:t>
      </w:r>
      <w:r w:rsidRPr="00142FE1">
        <w:t>une information relative au Pacte et au Protocole facultatif (art. 2)</w:t>
      </w:r>
    </w:p>
    <w:p w:rsidR="00142FE1" w:rsidRDefault="00142FE1" w:rsidP="003F6B1B">
      <w:pPr>
        <w:pStyle w:val="ParNoG"/>
      </w:pPr>
      <w:r w:rsidRPr="00142FE1">
        <w:t xml:space="preserve">Fournir des renseignements sur les dispositions prises pour </w:t>
      </w:r>
      <w:r w:rsidR="003F6B1B">
        <w:t xml:space="preserve">faire mieux connaître les dispositions du Pacte aux </w:t>
      </w:r>
      <w:r w:rsidRPr="00142FE1">
        <w:t xml:space="preserve">juges, </w:t>
      </w:r>
      <w:r w:rsidR="003F6B1B">
        <w:t xml:space="preserve">aux </w:t>
      </w:r>
      <w:r w:rsidRPr="00142FE1">
        <w:t xml:space="preserve">fonctionnaires, </w:t>
      </w:r>
      <w:r w:rsidR="003F6B1B">
        <w:t>aux</w:t>
      </w:r>
      <w:r w:rsidRPr="00142FE1">
        <w:t xml:space="preserve"> policiers et autres responsables de l</w:t>
      </w:r>
      <w:r w:rsidR="003F6B1B">
        <w:t>’</w:t>
      </w:r>
      <w:r w:rsidRPr="00142FE1">
        <w:t>ordre public ainsi qu</w:t>
      </w:r>
      <w:r w:rsidR="003F6B1B">
        <w:t xml:space="preserve">’aux </w:t>
      </w:r>
      <w:r w:rsidRPr="00142FE1">
        <w:t xml:space="preserve">juristes et </w:t>
      </w:r>
      <w:r w:rsidR="003F6B1B">
        <w:t>aux universitaires</w:t>
      </w:r>
      <w:r w:rsidRPr="00142FE1">
        <w:t>. Donner également de plus amples informations sur la participation des groupes autochtones et minoritaires, de la société civile et des organisations non gouvernementales à l</w:t>
      </w:r>
      <w:r w:rsidR="003F6B1B">
        <w:t>’</w:t>
      </w:r>
      <w:r w:rsidRPr="00142FE1">
        <w:t xml:space="preserve">élaboration du rapport </w:t>
      </w:r>
      <w:r>
        <w:t>(CCPR/C/CAN/6, par</w:t>
      </w:r>
      <w:r w:rsidRPr="00142FE1">
        <w:t>. 6).</w:t>
      </w:r>
    </w:p>
    <w:p w:rsidR="00142FE1" w:rsidRPr="00142FE1" w:rsidRDefault="00142FE1" w:rsidP="00142FE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42FE1" w:rsidRPr="00142FE1" w:rsidSect="00142FE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D17" w:rsidRDefault="00FE4D17"/>
  </w:endnote>
  <w:endnote w:type="continuationSeparator" w:id="0">
    <w:p w:rsidR="00FE4D17" w:rsidRDefault="00FE4D17"/>
  </w:endnote>
  <w:endnote w:type="continuationNotice" w:id="1">
    <w:p w:rsidR="00FE4D17" w:rsidRPr="00903B66" w:rsidRDefault="00FE4D17" w:rsidP="00903B66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21" w:rsidRPr="00142FE1" w:rsidRDefault="00461921" w:rsidP="00142FE1">
    <w:pPr>
      <w:pStyle w:val="Footer"/>
      <w:tabs>
        <w:tab w:val="right" w:pos="9638"/>
      </w:tabs>
    </w:pPr>
    <w:r w:rsidRPr="00142FE1">
      <w:rPr>
        <w:b/>
        <w:sz w:val="18"/>
      </w:rPr>
      <w:fldChar w:fldCharType="begin"/>
    </w:r>
    <w:r w:rsidRPr="00142FE1">
      <w:rPr>
        <w:b/>
        <w:sz w:val="18"/>
      </w:rPr>
      <w:instrText xml:space="preserve"> PAGE  \* MERGEFORMAT </w:instrText>
    </w:r>
    <w:r w:rsidRPr="00142FE1">
      <w:rPr>
        <w:b/>
        <w:sz w:val="18"/>
      </w:rPr>
      <w:fldChar w:fldCharType="separate"/>
    </w:r>
    <w:r w:rsidR="00B56D52">
      <w:rPr>
        <w:b/>
        <w:noProof/>
        <w:sz w:val="18"/>
      </w:rPr>
      <w:t>4</w:t>
    </w:r>
    <w:r w:rsidRPr="00142FE1">
      <w:rPr>
        <w:b/>
        <w:sz w:val="18"/>
      </w:rPr>
      <w:fldChar w:fldCharType="end"/>
    </w:r>
    <w:r>
      <w:rPr>
        <w:b/>
        <w:sz w:val="18"/>
      </w:rPr>
      <w:tab/>
    </w:r>
    <w:r>
      <w:t>GE.14-22595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21" w:rsidRPr="00142FE1" w:rsidRDefault="00461921" w:rsidP="00142FE1">
    <w:pPr>
      <w:pStyle w:val="Footer"/>
      <w:tabs>
        <w:tab w:val="right" w:pos="9638"/>
      </w:tabs>
      <w:rPr>
        <w:b/>
        <w:sz w:val="18"/>
      </w:rPr>
    </w:pPr>
    <w:r>
      <w:t>GE.14-22595</w:t>
    </w:r>
    <w:r>
      <w:tab/>
    </w:r>
    <w:r w:rsidRPr="00142FE1">
      <w:rPr>
        <w:b/>
        <w:sz w:val="18"/>
      </w:rPr>
      <w:fldChar w:fldCharType="begin"/>
    </w:r>
    <w:r w:rsidRPr="00142FE1">
      <w:rPr>
        <w:b/>
        <w:sz w:val="18"/>
      </w:rPr>
      <w:instrText xml:space="preserve"> PAGE  \* MERGEFORMAT </w:instrText>
    </w:r>
    <w:r w:rsidRPr="00142FE1">
      <w:rPr>
        <w:b/>
        <w:sz w:val="18"/>
      </w:rPr>
      <w:fldChar w:fldCharType="separate"/>
    </w:r>
    <w:r w:rsidR="00B56D52">
      <w:rPr>
        <w:b/>
        <w:noProof/>
        <w:sz w:val="18"/>
      </w:rPr>
      <w:t>3</w:t>
    </w:r>
    <w:r w:rsidRPr="00142FE1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21" w:rsidRDefault="00461921" w:rsidP="00142FE1">
    <w:pPr>
      <w:pStyle w:val="Footer"/>
      <w:spacing w:before="120"/>
    </w:pPr>
    <w:r>
      <w:rPr>
        <w:sz w:val="20"/>
      </w:rPr>
      <w:t>GE.14-22595</w:t>
    </w: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0.15pt;margin-top:651.95pt;width:86.95pt;height:18.35pt;z-index:1;mso-position-horizontal-relative:margin;mso-position-vertical-relative:margin">
          <v:imagedata r:id="rId1" o:title="recycle_French"/>
          <w10:wrap anchorx="margin" anchory="margin"/>
        </v:shape>
      </w:pict>
    </w:r>
    <w:r>
      <w:rPr>
        <w:sz w:val="20"/>
      </w:rPr>
      <w:t xml:space="preserve">  (F)    041214    0</w:t>
    </w:r>
    <w:r w:rsidR="004D589C">
      <w:rPr>
        <w:sz w:val="20"/>
      </w:rPr>
      <w:t>5</w:t>
    </w:r>
    <w:r>
      <w:rPr>
        <w:sz w:val="20"/>
      </w:rPr>
      <w:t>1214</w:t>
    </w:r>
    <w:r>
      <w:rPr>
        <w:sz w:val="20"/>
      </w:rPr>
      <w:br/>
    </w:r>
    <w:r w:rsidRPr="00142FE1">
      <w:rPr>
        <w:rFonts w:ascii="C39T30Lfz" w:hAnsi="C39T30Lfz"/>
        <w:sz w:val="56"/>
      </w:rPr>
      <w:t></w:t>
    </w:r>
    <w:r w:rsidRPr="00142FE1">
      <w:rPr>
        <w:rFonts w:ascii="C39T30Lfz" w:hAnsi="C39T30Lfz"/>
        <w:sz w:val="56"/>
      </w:rPr>
      <w:t></w:t>
    </w:r>
    <w:r w:rsidRPr="00142FE1">
      <w:rPr>
        <w:rFonts w:ascii="C39T30Lfz" w:hAnsi="C39T30Lfz"/>
        <w:sz w:val="56"/>
      </w:rPr>
      <w:t></w:t>
    </w:r>
    <w:r w:rsidRPr="00142FE1">
      <w:rPr>
        <w:rFonts w:ascii="C39T30Lfz" w:hAnsi="C39T30Lfz"/>
        <w:sz w:val="56"/>
      </w:rPr>
      <w:t></w:t>
    </w:r>
    <w:r w:rsidRPr="00142FE1">
      <w:rPr>
        <w:rFonts w:ascii="C39T30Lfz" w:hAnsi="C39T30Lfz"/>
        <w:sz w:val="56"/>
      </w:rPr>
      <w:t></w:t>
    </w:r>
    <w:r w:rsidRPr="00142FE1">
      <w:rPr>
        <w:rFonts w:ascii="C39T30Lfz" w:hAnsi="C39T30Lfz"/>
        <w:sz w:val="56"/>
      </w:rPr>
      <w:t></w:t>
    </w:r>
    <w:r w:rsidRPr="00142FE1">
      <w:rPr>
        <w:rFonts w:ascii="C39T30Lfz" w:hAnsi="C39T30Lfz"/>
        <w:sz w:val="56"/>
      </w:rPr>
      <w:t></w:t>
    </w:r>
    <w:r w:rsidRPr="00142FE1">
      <w:rPr>
        <w:rFonts w:ascii="C39T30Lfz" w:hAnsi="C39T30Lfz"/>
        <w:sz w:val="56"/>
      </w:rPr>
      <w:t></w:t>
    </w:r>
    <w:r w:rsidRPr="00142FE1">
      <w:rPr>
        <w:rFonts w:ascii="C39T30Lfz" w:hAnsi="C39T30Lfz"/>
        <w:sz w:val="56"/>
      </w:rPr>
      <w:t></w:t>
    </w:r>
    <w:r>
      <w:rPr>
        <w:noProof/>
        <w:lang w:val="fr-FR" w:eastAsia="fr-FR"/>
      </w:rPr>
      <w:pict>
        <v:shape id="_x0000_s2050" type="#_x0000_t75" style="position:absolute;margin-left:432.25pt;margin-top:632.1pt;width:50.25pt;height:50.25pt;z-index:2;mso-position-horizontal-relative:margin;mso-position-vertical-relative:margin">
          <v:imagedata r:id="rId2" o:title="6&amp;Size=2&amp;Lang=F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D17" w:rsidRPr="00D27D5E" w:rsidRDefault="00FE4D1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E4D17" w:rsidRPr="00091505" w:rsidRDefault="00FE4D17" w:rsidP="00091505">
      <w:pPr>
        <w:tabs>
          <w:tab w:val="right" w:pos="2155"/>
        </w:tabs>
        <w:spacing w:after="80"/>
        <w:ind w:left="680"/>
        <w:rPr>
          <w:u w:val="single"/>
        </w:rPr>
      </w:pPr>
      <w:r w:rsidRPr="00091505">
        <w:rPr>
          <w:u w:val="single"/>
        </w:rPr>
        <w:tab/>
      </w:r>
    </w:p>
  </w:footnote>
  <w:footnote w:type="continuationNotice" w:id="1">
    <w:p w:rsidR="00FE4D17" w:rsidRPr="00903B66" w:rsidRDefault="00FE4D17" w:rsidP="00903B66">
      <w:pPr>
        <w:spacing w:line="240" w:lineRule="auto"/>
        <w:rPr>
          <w:sz w:val="2"/>
          <w:szCs w:val="2"/>
        </w:rPr>
      </w:pPr>
    </w:p>
  </w:footnote>
  <w:footnote w:id="2">
    <w:p w:rsidR="00461921" w:rsidRPr="00142FE1" w:rsidRDefault="00461921">
      <w:pPr>
        <w:pStyle w:val="FootnoteText"/>
      </w:pPr>
      <w:r>
        <w:tab/>
      </w:r>
      <w:r w:rsidRPr="00142FE1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>
        <w:rPr>
          <w:lang w:eastAsia="en-GB"/>
        </w:rPr>
        <w:t xml:space="preserve">Adoptée par le Comité à sa </w:t>
      </w:r>
      <w:r w:rsidR="003F6B1B">
        <w:rPr>
          <w:lang w:eastAsia="en-GB"/>
        </w:rPr>
        <w:t>112</w:t>
      </w:r>
      <w:r w:rsidR="003F6B1B" w:rsidRPr="003F6B1B">
        <w:rPr>
          <w:vertAlign w:val="superscript"/>
          <w:lang w:eastAsia="en-GB"/>
        </w:rPr>
        <w:t>e</w:t>
      </w:r>
      <w:r w:rsidR="003F6B1B">
        <w:rPr>
          <w:lang w:eastAsia="en-GB"/>
        </w:rPr>
        <w:t xml:space="preserve"> </w:t>
      </w:r>
      <w:r>
        <w:rPr>
          <w:lang w:eastAsia="en-GB"/>
        </w:rPr>
        <w:t>session (</w:t>
      </w:r>
      <w:r>
        <w:t>7-31 octobre 2014</w:t>
      </w:r>
      <w:r>
        <w:rPr>
          <w:lang w:eastAsia="en-GB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21" w:rsidRPr="00142FE1" w:rsidRDefault="00461921">
    <w:pPr>
      <w:pStyle w:val="Header"/>
    </w:pPr>
    <w:r>
      <w:t>CCPR/C/CAN/Q/6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21" w:rsidRPr="00142FE1" w:rsidRDefault="00461921" w:rsidP="00142FE1">
    <w:pPr>
      <w:pStyle w:val="Header"/>
      <w:jc w:val="right"/>
    </w:pPr>
    <w:r>
      <w:t>CCPR/C/CAN/Q/6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83045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88A49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444CA3"/>
    <w:multiLevelType w:val="hybridMultilevel"/>
    <w:tmpl w:val="011AC286"/>
    <w:lvl w:ilvl="0" w:tplc="2F4A9140">
      <w:start w:val="1"/>
      <w:numFmt w:val="decimal"/>
      <w:lvlText w:val="%1."/>
      <w:lvlJc w:val="left"/>
      <w:pPr>
        <w:ind w:left="1689" w:hanging="555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proofState w:spelling="clean"/>
  <w:attachedTemplate r:id="rId1"/>
  <w:stylePaneFormatFilter w:val="3001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55C"/>
    <w:rsid w:val="00016AC5"/>
    <w:rsid w:val="0004255C"/>
    <w:rsid w:val="00091505"/>
    <w:rsid w:val="000A147A"/>
    <w:rsid w:val="000E61F8"/>
    <w:rsid w:val="000F41F2"/>
    <w:rsid w:val="00142FE1"/>
    <w:rsid w:val="00153209"/>
    <w:rsid w:val="00160540"/>
    <w:rsid w:val="00192EEB"/>
    <w:rsid w:val="001A20FB"/>
    <w:rsid w:val="001B102E"/>
    <w:rsid w:val="001C3080"/>
    <w:rsid w:val="001D7F8A"/>
    <w:rsid w:val="001E3FEB"/>
    <w:rsid w:val="001E4A02"/>
    <w:rsid w:val="001F25C4"/>
    <w:rsid w:val="00225A8C"/>
    <w:rsid w:val="002659F1"/>
    <w:rsid w:val="0027751F"/>
    <w:rsid w:val="00287E79"/>
    <w:rsid w:val="002928F9"/>
    <w:rsid w:val="002A5D07"/>
    <w:rsid w:val="002E0222"/>
    <w:rsid w:val="002E1A7F"/>
    <w:rsid w:val="003016B7"/>
    <w:rsid w:val="00326067"/>
    <w:rsid w:val="003515AA"/>
    <w:rsid w:val="00366F5B"/>
    <w:rsid w:val="00374106"/>
    <w:rsid w:val="003976D5"/>
    <w:rsid w:val="003D6C68"/>
    <w:rsid w:val="003F6B1B"/>
    <w:rsid w:val="00413931"/>
    <w:rsid w:val="004159D0"/>
    <w:rsid w:val="00461921"/>
    <w:rsid w:val="00464EEE"/>
    <w:rsid w:val="0049124B"/>
    <w:rsid w:val="004D589C"/>
    <w:rsid w:val="00543D5E"/>
    <w:rsid w:val="00571F41"/>
    <w:rsid w:val="005E5D1F"/>
    <w:rsid w:val="0060226F"/>
    <w:rsid w:val="00611D43"/>
    <w:rsid w:val="00612D48"/>
    <w:rsid w:val="00616B45"/>
    <w:rsid w:val="00630D9B"/>
    <w:rsid w:val="00631953"/>
    <w:rsid w:val="006439EC"/>
    <w:rsid w:val="006B4590"/>
    <w:rsid w:val="006C340C"/>
    <w:rsid w:val="0070347C"/>
    <w:rsid w:val="0071451B"/>
    <w:rsid w:val="007176C1"/>
    <w:rsid w:val="00725DC9"/>
    <w:rsid w:val="00737DEE"/>
    <w:rsid w:val="00775D99"/>
    <w:rsid w:val="00796940"/>
    <w:rsid w:val="007C7846"/>
    <w:rsid w:val="007F55CB"/>
    <w:rsid w:val="0080217A"/>
    <w:rsid w:val="0083135C"/>
    <w:rsid w:val="00844750"/>
    <w:rsid w:val="00873B3C"/>
    <w:rsid w:val="00892241"/>
    <w:rsid w:val="008A39ED"/>
    <w:rsid w:val="008B44C4"/>
    <w:rsid w:val="008E7FAE"/>
    <w:rsid w:val="008F53ED"/>
    <w:rsid w:val="00903B66"/>
    <w:rsid w:val="00911BF7"/>
    <w:rsid w:val="00943FFD"/>
    <w:rsid w:val="00977EC8"/>
    <w:rsid w:val="00993DE6"/>
    <w:rsid w:val="009D3A8C"/>
    <w:rsid w:val="009E7956"/>
    <w:rsid w:val="00A228B4"/>
    <w:rsid w:val="00A2492E"/>
    <w:rsid w:val="00A720C2"/>
    <w:rsid w:val="00A9469F"/>
    <w:rsid w:val="00AA3390"/>
    <w:rsid w:val="00AB51C8"/>
    <w:rsid w:val="00AC67A1"/>
    <w:rsid w:val="00AC7977"/>
    <w:rsid w:val="00AE352C"/>
    <w:rsid w:val="00AF1CE8"/>
    <w:rsid w:val="00B254F2"/>
    <w:rsid w:val="00B32E2D"/>
    <w:rsid w:val="00B56D52"/>
    <w:rsid w:val="00B61990"/>
    <w:rsid w:val="00B93051"/>
    <w:rsid w:val="00BF0374"/>
    <w:rsid w:val="00BF0556"/>
    <w:rsid w:val="00BF6AF3"/>
    <w:rsid w:val="00C261F8"/>
    <w:rsid w:val="00C33100"/>
    <w:rsid w:val="00C4083C"/>
    <w:rsid w:val="00CA6A02"/>
    <w:rsid w:val="00CB5A09"/>
    <w:rsid w:val="00CD1A71"/>
    <w:rsid w:val="00CD1FBB"/>
    <w:rsid w:val="00CF5128"/>
    <w:rsid w:val="00D016B5"/>
    <w:rsid w:val="00D034F1"/>
    <w:rsid w:val="00D27D5E"/>
    <w:rsid w:val="00D35B2D"/>
    <w:rsid w:val="00DE6D90"/>
    <w:rsid w:val="00DF002F"/>
    <w:rsid w:val="00DF3BF1"/>
    <w:rsid w:val="00E0244D"/>
    <w:rsid w:val="00E144C5"/>
    <w:rsid w:val="00E368FF"/>
    <w:rsid w:val="00E81E94"/>
    <w:rsid w:val="00E82607"/>
    <w:rsid w:val="00EF318A"/>
    <w:rsid w:val="00F33865"/>
    <w:rsid w:val="00FA5A79"/>
    <w:rsid w:val="00FB0BFE"/>
    <w:rsid w:val="00FB4C51"/>
    <w:rsid w:val="00FE4D17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74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BF037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F0374"/>
    <w:pPr>
      <w:outlineLvl w:val="1"/>
    </w:pPr>
  </w:style>
  <w:style w:type="paragraph" w:styleId="Heading3">
    <w:name w:val="heading 3"/>
    <w:basedOn w:val="Normal"/>
    <w:next w:val="Normal"/>
    <w:qFormat/>
    <w:rsid w:val="00BF0374"/>
    <w:pPr>
      <w:outlineLvl w:val="2"/>
    </w:pPr>
  </w:style>
  <w:style w:type="paragraph" w:styleId="Heading4">
    <w:name w:val="heading 4"/>
    <w:basedOn w:val="Normal"/>
    <w:next w:val="Normal"/>
    <w:qFormat/>
    <w:rsid w:val="00BF0374"/>
    <w:pPr>
      <w:outlineLvl w:val="3"/>
    </w:pPr>
  </w:style>
  <w:style w:type="paragraph" w:styleId="Heading5">
    <w:name w:val="heading 5"/>
    <w:basedOn w:val="Normal"/>
    <w:next w:val="Normal"/>
    <w:qFormat/>
    <w:rsid w:val="00BF0374"/>
    <w:pPr>
      <w:outlineLvl w:val="4"/>
    </w:pPr>
  </w:style>
  <w:style w:type="paragraph" w:styleId="Heading6">
    <w:name w:val="heading 6"/>
    <w:basedOn w:val="Normal"/>
    <w:next w:val="Normal"/>
    <w:qFormat/>
    <w:rsid w:val="00BF0374"/>
    <w:pPr>
      <w:outlineLvl w:val="5"/>
    </w:pPr>
  </w:style>
  <w:style w:type="paragraph" w:styleId="Heading7">
    <w:name w:val="heading 7"/>
    <w:basedOn w:val="Normal"/>
    <w:next w:val="Normal"/>
    <w:qFormat/>
    <w:rsid w:val="00BF0374"/>
    <w:pPr>
      <w:outlineLvl w:val="6"/>
    </w:pPr>
  </w:style>
  <w:style w:type="paragraph" w:styleId="Heading8">
    <w:name w:val="heading 8"/>
    <w:basedOn w:val="Normal"/>
    <w:next w:val="Normal"/>
    <w:qFormat/>
    <w:rsid w:val="00BF0374"/>
    <w:pPr>
      <w:outlineLvl w:val="7"/>
    </w:pPr>
  </w:style>
  <w:style w:type="paragraph" w:styleId="Heading9">
    <w:name w:val="heading 9"/>
    <w:basedOn w:val="Normal"/>
    <w:next w:val="Normal"/>
    <w:qFormat/>
    <w:rsid w:val="00BF0374"/>
    <w:pPr>
      <w:outlineLvl w:val="8"/>
    </w:pPr>
  </w:style>
  <w:style w:type="character" w:default="1" w:styleId="DefaultParagraphFont">
    <w:name w:val="Default Paragraph Font"/>
    <w:semiHidden/>
    <w:rsid w:val="00BF037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F0374"/>
  </w:style>
  <w:style w:type="paragraph" w:customStyle="1" w:styleId="HMG">
    <w:name w:val="_ H __M_G"/>
    <w:basedOn w:val="Normal"/>
    <w:next w:val="Normal"/>
    <w:rsid w:val="00BF03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BF03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BF03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BF03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F03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F03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BF037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BF037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BF037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BF037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BF037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BF0374"/>
    <w:pPr>
      <w:numPr>
        <w:numId w:val="6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BF0374"/>
    <w:pPr>
      <w:numPr>
        <w:numId w:val="7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rsid w:val="00BF037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BF0374"/>
  </w:style>
  <w:style w:type="paragraph" w:styleId="Header">
    <w:name w:val="header"/>
    <w:aliases w:val="6_G"/>
    <w:basedOn w:val="Normal"/>
    <w:next w:val="Normal"/>
    <w:rsid w:val="00BF037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BF037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BF0374"/>
  </w:style>
  <w:style w:type="character" w:styleId="PageNumber">
    <w:name w:val="page number"/>
    <w:aliases w:val="7_G"/>
    <w:basedOn w:val="DefaultParagraphFont"/>
    <w:rsid w:val="00BF0374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BF0374"/>
    <w:pPr>
      <w:spacing w:line="240" w:lineRule="auto"/>
    </w:pPr>
    <w:rPr>
      <w:sz w:val="16"/>
    </w:rPr>
  </w:style>
  <w:style w:type="character" w:styleId="Hyperlink">
    <w:name w:val="Hyperlink"/>
    <w:basedOn w:val="DefaultParagraphFont"/>
    <w:semiHidden/>
    <w:rsid w:val="00BF0374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BF0374"/>
    <w:rPr>
      <w:color w:val="0000FF"/>
      <w:u w:val="none"/>
    </w:rPr>
  </w:style>
  <w:style w:type="paragraph" w:customStyle="1" w:styleId="ParNoG">
    <w:name w:val="_ParNo_G"/>
    <w:basedOn w:val="SingleTxtG"/>
    <w:rsid w:val="00BF0374"/>
    <w:pPr>
      <w:numPr>
        <w:numId w:val="8"/>
      </w:numPr>
    </w:pPr>
  </w:style>
  <w:style w:type="table" w:styleId="TableGrid">
    <w:name w:val="Table Grid"/>
    <w:basedOn w:val="TableNormal"/>
    <w:semiHidden/>
    <w:rsid w:val="00BF037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1</TotalTime>
  <Pages>5</Pages>
  <Words>2100</Words>
  <Characters>11897</Characters>
  <Application>Microsoft Office Outlook</Application>
  <DocSecurity>4</DocSecurity>
  <Lines>189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CCPR/C/CAN/Q/6</vt:lpstr>
    </vt:vector>
  </TitlesOfParts>
  <Company>CSD</Company>
  <LinksUpToDate>false</LinksUpToDate>
  <CharactersWithSpaces>13985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CCPR/C/CAN/Q/6</dc:title>
  <dc:subject/>
  <dc:creator>Clere</dc:creator>
  <cp:keywords/>
  <dc:description/>
  <cp:lastModifiedBy>Clere</cp:lastModifiedBy>
  <cp:revision>2</cp:revision>
  <cp:lastPrinted>2009-10-07T16:31:00Z</cp:lastPrinted>
  <dcterms:created xsi:type="dcterms:W3CDTF">2014-12-05T06:37:00Z</dcterms:created>
  <dcterms:modified xsi:type="dcterms:W3CDTF">2014-12-05T06:37:00Z</dcterms:modified>
</cp:coreProperties>
</file>