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F7" w:rsidRDefault="00882DF7" w:rsidP="00882DF7">
      <w:pPr>
        <w:spacing w:line="240" w:lineRule="auto"/>
        <w:jc w:val="left"/>
        <w:rPr>
          <w:szCs w:val="6"/>
        </w:rPr>
        <w:sectPr w:rsidR="00882DF7" w:rsidSect="00882DF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82DF7" w:rsidRDefault="00882DF7" w:rsidP="00882DF7">
      <w:pPr>
        <w:pStyle w:val="H1"/>
        <w:rPr>
          <w:rtl/>
        </w:rPr>
      </w:pPr>
      <w:r>
        <w:rPr>
          <w:rFonts w:hint="eastAsia"/>
          <w:rtl/>
        </w:rPr>
        <w:t>اللجنة</w:t>
      </w:r>
      <w:r>
        <w:rPr>
          <w:rtl/>
        </w:rPr>
        <w:t xml:space="preserve"> المعنية بالقضاء على التمييز ضد المرأة</w:t>
      </w:r>
    </w:p>
    <w:p w:rsidR="00882DF7" w:rsidRDefault="00882DF7" w:rsidP="00036BAE">
      <w:pPr>
        <w:pStyle w:val="H23"/>
        <w:rPr>
          <w:rtl/>
        </w:rPr>
      </w:pPr>
      <w:r>
        <w:rPr>
          <w:rFonts w:hint="eastAsia"/>
          <w:rtl/>
        </w:rPr>
        <w:t>الدورة</w:t>
      </w:r>
      <w:r>
        <w:rPr>
          <w:rtl/>
        </w:rPr>
        <w:t xml:space="preserve"> </w:t>
      </w:r>
      <w:r w:rsidR="00036BAE">
        <w:rPr>
          <w:rFonts w:hint="cs"/>
          <w:rtl/>
        </w:rPr>
        <w:t>السابعة والعشرون</w:t>
      </w:r>
    </w:p>
    <w:p w:rsidR="00882DF7" w:rsidRPr="00882DF7" w:rsidRDefault="00882DF7" w:rsidP="00882DF7">
      <w:pPr>
        <w:spacing w:line="120" w:lineRule="exact"/>
        <w:rPr>
          <w:rFonts w:hint="cs"/>
          <w:sz w:val="12"/>
          <w:rtl/>
        </w:rPr>
      </w:pPr>
    </w:p>
    <w:p w:rsidR="00882DF7" w:rsidRDefault="00882DF7" w:rsidP="00882DF7">
      <w:pPr>
        <w:pStyle w:val="H23"/>
        <w:rPr>
          <w:rFonts w:hint="cs"/>
          <w:rtl/>
        </w:rPr>
      </w:pPr>
      <w:r>
        <w:rPr>
          <w:rFonts w:hint="eastAsia"/>
          <w:rtl/>
        </w:rPr>
        <w:t>محضر</w:t>
      </w:r>
      <w:r>
        <w:rPr>
          <w:rtl/>
        </w:rPr>
        <w:t xml:space="preserve"> موجز للجلسة </w:t>
      </w:r>
      <w:r w:rsidR="00036BAE">
        <w:rPr>
          <w:rFonts w:hint="cs"/>
          <w:rtl/>
        </w:rPr>
        <w:t>554</w:t>
      </w:r>
    </w:p>
    <w:p w:rsidR="00882DF7" w:rsidRDefault="00882DF7" w:rsidP="00036BAE">
      <w:pPr>
        <w:pStyle w:val="SingleTxt"/>
        <w:ind w:left="0" w:right="0"/>
        <w:rPr>
          <w:rFonts w:hint="cs"/>
          <w:rtl/>
        </w:rPr>
      </w:pPr>
      <w:r>
        <w:rPr>
          <w:rFonts w:hint="eastAsia"/>
          <w:rtl/>
        </w:rPr>
        <w:t>المعقودة</w:t>
      </w:r>
      <w:r>
        <w:rPr>
          <w:rtl/>
        </w:rPr>
        <w:t xml:space="preserve"> في المقر، نيويورك، يوم </w:t>
      </w:r>
      <w:r w:rsidR="00036BAE">
        <w:rPr>
          <w:rFonts w:hint="cs"/>
          <w:rtl/>
        </w:rPr>
        <w:t>الأربعاء</w:t>
      </w:r>
      <w:r>
        <w:rPr>
          <w:rtl/>
        </w:rPr>
        <w:t xml:space="preserve">، </w:t>
      </w:r>
      <w:r w:rsidR="00036BAE">
        <w:rPr>
          <w:rFonts w:hint="cs"/>
          <w:rtl/>
        </w:rPr>
        <w:t xml:space="preserve">5 </w:t>
      </w:r>
      <w:r w:rsidR="00036BAE">
        <w:rPr>
          <w:rFonts w:hint="eastAsia"/>
          <w:rtl/>
        </w:rPr>
        <w:t>حزيران</w:t>
      </w:r>
      <w:r w:rsidR="00036BAE">
        <w:rPr>
          <w:rtl/>
        </w:rPr>
        <w:t xml:space="preserve">/يونيه </w:t>
      </w:r>
      <w:r w:rsidR="00036BAE">
        <w:rPr>
          <w:rFonts w:hint="cs"/>
          <w:rtl/>
        </w:rPr>
        <w:t>2002</w:t>
      </w:r>
      <w:r>
        <w:rPr>
          <w:rtl/>
        </w:rPr>
        <w:t xml:space="preserve">، الساعة </w:t>
      </w:r>
      <w:r w:rsidR="00036BAE">
        <w:rPr>
          <w:rFonts w:hint="cs"/>
          <w:rtl/>
        </w:rPr>
        <w:t>00/15</w:t>
      </w:r>
    </w:p>
    <w:p w:rsidR="00882DF7" w:rsidRPr="00036BAE" w:rsidRDefault="00882DF7" w:rsidP="00882DF7">
      <w:pPr>
        <w:pStyle w:val="SingleTxt"/>
        <w:spacing w:after="0" w:line="120" w:lineRule="exact"/>
        <w:ind w:left="0" w:right="0"/>
        <w:rPr>
          <w:rtl/>
        </w:rPr>
      </w:pPr>
    </w:p>
    <w:p w:rsidR="00882DF7" w:rsidRDefault="00882DF7" w:rsidP="00882DF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sidR="00326E79">
        <w:rPr>
          <w:rFonts w:ascii="Traditional Arabic" w:hAnsi="Traditional Arabic" w:hint="cs"/>
          <w:iCs/>
          <w:rtl/>
        </w:rPr>
        <w:t>ة</w:t>
      </w:r>
      <w:r>
        <w:rPr>
          <w:rFonts w:ascii="Traditional Arabic" w:hAnsi="Traditional Arabic"/>
          <w:iCs/>
          <w:rtl/>
        </w:rPr>
        <w:t>:</w:t>
      </w:r>
      <w:r>
        <w:rPr>
          <w:rFonts w:ascii="Traditional Arabic" w:hAnsi="Traditional Arabic"/>
          <w:rtl/>
        </w:rPr>
        <w:tab/>
        <w:t xml:space="preserve">السيد </w:t>
      </w:r>
      <w:r w:rsidR="00036BAE" w:rsidRPr="00036BAE">
        <w:rPr>
          <w:rFonts w:hint="cs"/>
          <w:rtl/>
        </w:rPr>
        <w:t>أباكا</w:t>
      </w:r>
    </w:p>
    <w:p w:rsidR="00882DF7" w:rsidRPr="00882DF7" w:rsidRDefault="00882DF7" w:rsidP="00882DF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82DF7" w:rsidRPr="00882DF7" w:rsidRDefault="00882DF7" w:rsidP="00882DF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82DF7" w:rsidRPr="00882DF7" w:rsidRDefault="00882DF7" w:rsidP="00882DF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82DF7" w:rsidRDefault="00882DF7" w:rsidP="00882DF7">
      <w:pPr>
        <w:pStyle w:val="HCh"/>
        <w:rPr>
          <w:bCs w:val="0"/>
          <w:rtl/>
        </w:rPr>
      </w:pPr>
      <w:r>
        <w:rPr>
          <w:rFonts w:hint="eastAsia"/>
          <w:bCs w:val="0"/>
          <w:rtl/>
        </w:rPr>
        <w:t>المحتويات</w:t>
      </w:r>
    </w:p>
    <w:p w:rsidR="00882DF7" w:rsidRDefault="00882DF7" w:rsidP="00882DF7">
      <w:pPr>
        <w:pStyle w:val="HCh"/>
        <w:spacing w:line="240" w:lineRule="auto"/>
        <w:rPr>
          <w:rFonts w:hint="cs"/>
          <w:bCs w:val="0"/>
          <w:szCs w:val="20"/>
          <w:rtl/>
        </w:rPr>
      </w:pPr>
    </w:p>
    <w:p w:rsidR="00CD3849" w:rsidRDefault="00036BAE" w:rsidP="00882DF7">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036BAE" w:rsidRDefault="00326E79" w:rsidP="00326E79">
      <w:pPr>
        <w:pStyle w:val="SingleTxt"/>
        <w:ind w:left="1930" w:hanging="663"/>
        <w:rPr>
          <w:rFonts w:hint="cs"/>
          <w:rtl/>
        </w:rPr>
      </w:pPr>
      <w:r>
        <w:rPr>
          <w:rtl/>
        </w:rPr>
        <w:tab/>
      </w:r>
      <w:r w:rsidR="00036BAE" w:rsidRPr="00326E79">
        <w:rPr>
          <w:rFonts w:hint="cs"/>
          <w:i/>
          <w:iCs/>
          <w:rtl/>
        </w:rPr>
        <w:t>التقرير الأولي والتقارير الدورية الثاني والثالث والرابع المجمعة لسانت كيتس</w:t>
      </w:r>
      <w:r>
        <w:rPr>
          <w:i/>
          <w:iCs/>
          <w:rtl/>
        </w:rPr>
        <w:br/>
      </w:r>
      <w:r w:rsidR="00036BAE" w:rsidRPr="00326E79">
        <w:rPr>
          <w:rFonts w:hint="cs"/>
          <w:i/>
          <w:iCs/>
          <w:rtl/>
        </w:rPr>
        <w:t xml:space="preserve">ونيفيس </w:t>
      </w:r>
      <w:r w:rsidR="00036BAE">
        <w:rPr>
          <w:rFonts w:hint="cs"/>
          <w:rtl/>
        </w:rPr>
        <w:t>(</w:t>
      </w:r>
      <w:r w:rsidR="00036BAE">
        <w:rPr>
          <w:rFonts w:hint="cs"/>
          <w:i/>
          <w:iCs/>
          <w:rtl/>
        </w:rPr>
        <w:t>تابع</w:t>
      </w:r>
      <w:r w:rsidR="00036BAE">
        <w:rPr>
          <w:rFonts w:hint="cs"/>
          <w:rtl/>
        </w:rPr>
        <w:t>)</w:t>
      </w:r>
    </w:p>
    <w:p w:rsidR="00E46299" w:rsidRPr="00326E79" w:rsidRDefault="00E46299" w:rsidP="00326E79">
      <w:pPr>
        <w:pStyle w:val="SingleTxt"/>
        <w:spacing w:after="0" w:line="14" w:lineRule="exact"/>
        <w:rPr>
          <w:sz w:val="2"/>
          <w:rtl/>
        </w:rPr>
        <w:sectPr w:rsidR="00E46299" w:rsidRPr="00326E79" w:rsidSect="00882DF7">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E46299" w:rsidRPr="00E46299" w:rsidRDefault="00E46299" w:rsidP="00E46299">
      <w:pPr>
        <w:pStyle w:val="DualTxt"/>
        <w:rPr>
          <w:rFonts w:hint="cs"/>
          <w:i/>
          <w:iCs/>
          <w:rtl/>
        </w:rPr>
      </w:pPr>
      <w:r w:rsidRPr="00E46299">
        <w:rPr>
          <w:rFonts w:hint="cs"/>
          <w:i/>
          <w:iCs/>
          <w:rtl/>
        </w:rPr>
        <w:tab/>
        <w:t>افتتحت الجلسة في الساعة 10/15.</w:t>
      </w:r>
    </w:p>
    <w:p w:rsidR="00E46299" w:rsidRPr="00E46299" w:rsidRDefault="00E46299" w:rsidP="00E46299">
      <w:pPr>
        <w:pStyle w:val="DualTxt"/>
        <w:rPr>
          <w:rFonts w:hint="cs"/>
          <w:rtl/>
        </w:rPr>
      </w:pPr>
      <w:r w:rsidRPr="00E46299">
        <w:rPr>
          <w:rFonts w:hint="cs"/>
          <w:b/>
          <w:bCs/>
          <w:rtl/>
        </w:rPr>
        <w:t>النظر في التقارير المقدمة من الدول الأطراف بموجب المادة 18 من الاتفاقية (</w:t>
      </w:r>
      <w:r w:rsidRPr="00326E79">
        <w:rPr>
          <w:rFonts w:hint="cs"/>
          <w:i/>
          <w:iCs/>
          <w:rtl/>
        </w:rPr>
        <w:t>تابع</w:t>
      </w:r>
      <w:r w:rsidRPr="00E46299">
        <w:rPr>
          <w:rFonts w:hint="cs"/>
          <w:b/>
          <w:bCs/>
          <w:rtl/>
        </w:rPr>
        <w:t>)</w:t>
      </w:r>
    </w:p>
    <w:p w:rsidR="00E46299" w:rsidRPr="00E46299" w:rsidRDefault="00E46299" w:rsidP="00E46299">
      <w:pPr>
        <w:pStyle w:val="DualTxt"/>
        <w:ind w:left="662" w:hanging="662"/>
        <w:rPr>
          <w:rFonts w:hint="cs"/>
          <w:rtl/>
        </w:rPr>
      </w:pPr>
      <w:r w:rsidRPr="00E46299">
        <w:rPr>
          <w:rFonts w:hint="cs"/>
          <w:rtl/>
        </w:rPr>
        <w:tab/>
      </w:r>
      <w:r w:rsidRPr="00E46299">
        <w:rPr>
          <w:rFonts w:hint="cs"/>
          <w:b/>
          <w:bCs/>
          <w:rtl/>
        </w:rPr>
        <w:t>التقرير الأولي والتقارير الدورية الثاني والثالث والرابع المجمعة لسانت كيتس ون</w:t>
      </w:r>
      <w:r>
        <w:rPr>
          <w:rFonts w:hint="cs"/>
          <w:b/>
          <w:bCs/>
          <w:rtl/>
        </w:rPr>
        <w:t>ي</w:t>
      </w:r>
      <w:r w:rsidRPr="00E46299">
        <w:rPr>
          <w:rFonts w:hint="cs"/>
          <w:b/>
          <w:bCs/>
          <w:rtl/>
        </w:rPr>
        <w:t>فيس</w:t>
      </w:r>
      <w:r w:rsidRPr="00E46299">
        <w:rPr>
          <w:rFonts w:hint="cs"/>
          <w:rtl/>
        </w:rPr>
        <w:t xml:space="preserve"> (</w:t>
      </w:r>
      <w:r w:rsidRPr="00E46299">
        <w:t>CEDAW/C/KNA/1</w:t>
      </w:r>
      <w:r>
        <w:t>-</w:t>
      </w:r>
      <w:r w:rsidRPr="00E46299">
        <w:t>4</w:t>
      </w:r>
      <w:r w:rsidRPr="00E46299">
        <w:rPr>
          <w:rFonts w:hint="cs"/>
          <w:rtl/>
        </w:rPr>
        <w:t>)</w:t>
      </w:r>
    </w:p>
    <w:p w:rsidR="00E46299" w:rsidRPr="00E46299" w:rsidRDefault="00E46299" w:rsidP="00326E79">
      <w:pPr>
        <w:pStyle w:val="DualTxt"/>
        <w:rPr>
          <w:rFonts w:hint="cs"/>
          <w:rtl/>
        </w:rPr>
      </w:pPr>
      <w:r w:rsidRPr="00E46299">
        <w:rPr>
          <w:rFonts w:hint="cs"/>
          <w:rtl/>
        </w:rPr>
        <w:t>1 -</w:t>
      </w:r>
      <w:r w:rsidRPr="00E46299">
        <w:rPr>
          <w:rFonts w:hint="cs"/>
          <w:rtl/>
        </w:rPr>
        <w:tab/>
        <w:t>بناء على دعو</w:t>
      </w:r>
      <w:r w:rsidR="00326E79">
        <w:rPr>
          <w:rFonts w:hint="cs"/>
          <w:rtl/>
        </w:rPr>
        <w:t>ة</w:t>
      </w:r>
      <w:r w:rsidRPr="00E46299">
        <w:rPr>
          <w:rFonts w:hint="cs"/>
          <w:rtl/>
        </w:rPr>
        <w:t xml:space="preserve"> من الرئيسة، جلس وفد سانت كيتس ونيفيس إلى مائدة اللجنة.</w:t>
      </w:r>
    </w:p>
    <w:p w:rsidR="00E46299" w:rsidRPr="00E46299" w:rsidRDefault="00E46299" w:rsidP="00E46299">
      <w:pPr>
        <w:pStyle w:val="DualTxt"/>
        <w:rPr>
          <w:rFonts w:hint="cs"/>
          <w:rtl/>
        </w:rPr>
      </w:pPr>
      <w:r w:rsidRPr="00E46299">
        <w:rPr>
          <w:rFonts w:hint="cs"/>
          <w:rtl/>
        </w:rPr>
        <w:t>2 -</w:t>
      </w:r>
      <w:r w:rsidRPr="00E46299">
        <w:rPr>
          <w:rFonts w:hint="cs"/>
          <w:rtl/>
        </w:rPr>
        <w:tab/>
      </w:r>
      <w:r w:rsidRPr="00E46299">
        <w:rPr>
          <w:rFonts w:hint="cs"/>
          <w:b/>
          <w:bCs/>
          <w:rtl/>
        </w:rPr>
        <w:t xml:space="preserve">الرئيسة: </w:t>
      </w:r>
      <w:r w:rsidRPr="00E46299">
        <w:rPr>
          <w:rFonts w:hint="cs"/>
          <w:rtl/>
        </w:rPr>
        <w:t>دعت أعضاء اللجنة إلى استئناف توجيه الأسئلة إلى الوفد.</w:t>
      </w:r>
    </w:p>
    <w:p w:rsidR="00E46299" w:rsidRPr="00E46299" w:rsidRDefault="00E46299" w:rsidP="00326E79">
      <w:pPr>
        <w:pStyle w:val="DualTxt"/>
        <w:spacing w:after="0"/>
        <w:rPr>
          <w:rFonts w:hint="cs"/>
          <w:i/>
          <w:iCs/>
          <w:rtl/>
        </w:rPr>
      </w:pPr>
      <w:r w:rsidRPr="00E46299">
        <w:rPr>
          <w:rFonts w:hint="cs"/>
          <w:i/>
          <w:iCs/>
          <w:rtl/>
        </w:rPr>
        <w:t>المادة 12</w:t>
      </w:r>
    </w:p>
    <w:p w:rsidR="00E46299" w:rsidRPr="00E46299" w:rsidRDefault="00E46299" w:rsidP="00326E79">
      <w:pPr>
        <w:pStyle w:val="DualTxt"/>
        <w:rPr>
          <w:rFonts w:hint="cs"/>
          <w:rtl/>
        </w:rPr>
      </w:pPr>
      <w:r w:rsidRPr="00E46299">
        <w:rPr>
          <w:rFonts w:hint="cs"/>
          <w:rtl/>
        </w:rPr>
        <w:t>3 -</w:t>
      </w:r>
      <w:r w:rsidRPr="00E46299">
        <w:rPr>
          <w:rFonts w:hint="cs"/>
          <w:rtl/>
        </w:rPr>
        <w:tab/>
      </w:r>
      <w:r w:rsidRPr="00E46299">
        <w:rPr>
          <w:rFonts w:hint="cs"/>
          <w:b/>
          <w:bCs/>
          <w:rtl/>
        </w:rPr>
        <w:t>السيدة ليف</w:t>
      </w:r>
      <w:r>
        <w:rPr>
          <w:rFonts w:hint="cs"/>
          <w:b/>
          <w:bCs/>
          <w:rtl/>
        </w:rPr>
        <w:t>ي</w:t>
      </w:r>
      <w:r w:rsidRPr="00E46299">
        <w:rPr>
          <w:rFonts w:hint="cs"/>
          <w:b/>
          <w:bCs/>
          <w:rtl/>
        </w:rPr>
        <w:t xml:space="preserve">نغستون راداي: </w:t>
      </w:r>
      <w:r w:rsidRPr="00E46299">
        <w:rPr>
          <w:rFonts w:hint="cs"/>
          <w:rtl/>
        </w:rPr>
        <w:t xml:space="preserve">رحبت بانخفاض معدل وفيات الأمهات وبالمناقشة الصريحة التي أجراها الوفد بشأن مشكلة الإجهاض غير القانوني. وأعربت عن استغرابها لأن الحكومة كانت تعمل على معالجة </w:t>
      </w:r>
      <w:r>
        <w:rPr>
          <w:rFonts w:hint="cs"/>
          <w:rtl/>
        </w:rPr>
        <w:t>حالة تترك النساء الفقيرات عُر</w:t>
      </w:r>
      <w:r w:rsidR="00326E79">
        <w:rPr>
          <w:rFonts w:hint="cs"/>
          <w:rtl/>
        </w:rPr>
        <w:t>ض</w:t>
      </w:r>
      <w:r>
        <w:rPr>
          <w:rFonts w:hint="cs"/>
          <w:rtl/>
        </w:rPr>
        <w:t xml:space="preserve">ة للمجهضات غير الشرعيات </w:t>
      </w:r>
      <w:r w:rsidRPr="00E46299">
        <w:rPr>
          <w:rFonts w:hint="cs"/>
          <w:rtl/>
        </w:rPr>
        <w:t>و</w:t>
      </w:r>
      <w:r>
        <w:rPr>
          <w:rFonts w:hint="cs"/>
          <w:rtl/>
        </w:rPr>
        <w:t>ل</w:t>
      </w:r>
      <w:r w:rsidRPr="00E46299">
        <w:rPr>
          <w:rFonts w:hint="cs"/>
          <w:rtl/>
        </w:rPr>
        <w:t xml:space="preserve">أن نسبة </w:t>
      </w:r>
      <w:r w:rsidR="00326E79">
        <w:rPr>
          <w:rFonts w:hint="cs"/>
          <w:rtl/>
        </w:rPr>
        <w:t xml:space="preserve">الـ </w:t>
      </w:r>
      <w:r w:rsidRPr="00E46299">
        <w:rPr>
          <w:rFonts w:hint="cs"/>
          <w:rtl/>
        </w:rPr>
        <w:t xml:space="preserve">50 في المائة من أسرة </w:t>
      </w:r>
      <w:r>
        <w:rPr>
          <w:rFonts w:hint="cs"/>
          <w:rtl/>
        </w:rPr>
        <w:t xml:space="preserve">طب أمراض </w:t>
      </w:r>
      <w:r w:rsidRPr="00E46299">
        <w:rPr>
          <w:rFonts w:hint="cs"/>
          <w:rtl/>
        </w:rPr>
        <w:t xml:space="preserve">النساء </w:t>
      </w:r>
      <w:r>
        <w:rPr>
          <w:rFonts w:hint="cs"/>
          <w:rtl/>
        </w:rPr>
        <w:t>تشغلها مريضات تعرضن ل</w:t>
      </w:r>
      <w:r w:rsidRPr="00E46299">
        <w:rPr>
          <w:rFonts w:hint="cs"/>
          <w:rtl/>
        </w:rPr>
        <w:t>عمليات إجهاض غير قانوني</w:t>
      </w:r>
      <w:r>
        <w:rPr>
          <w:rFonts w:hint="cs"/>
          <w:rtl/>
        </w:rPr>
        <w:t>ة</w:t>
      </w:r>
      <w:r w:rsidRPr="00E46299">
        <w:rPr>
          <w:rFonts w:hint="cs"/>
          <w:rtl/>
        </w:rPr>
        <w:t>. وسألت: هل خدمات تنظيم الأسرة ووسائل منع الحمل متوفرة بالمجان، وخاصة بالنسبة للمراهقين؟ هل قُدمت في المدارس برامج لتنظيم الأسرة وجرى تشجيع استخدام وسائل منع الحمل في وسائط الإعلام؟ وأعربت أيضا عن رغبتها في أن تعرف ما إذا كانت الحكومة ستنظر في جعل الإجهاض قانونيا، على الأقل في حالات حمل المراهقات، أو إذا كان الحمل نتيجة لاغتصاب أو كان ينطوي على خطر بالنسبة لصحة الأم.</w:t>
      </w:r>
    </w:p>
    <w:p w:rsidR="00E46299" w:rsidRPr="00E46299" w:rsidRDefault="00E46299" w:rsidP="00E46299">
      <w:pPr>
        <w:pStyle w:val="DualTxt"/>
        <w:rPr>
          <w:rFonts w:hint="cs"/>
          <w:rtl/>
        </w:rPr>
      </w:pPr>
      <w:r w:rsidRPr="00E46299">
        <w:rPr>
          <w:rFonts w:hint="cs"/>
          <w:rtl/>
        </w:rPr>
        <w:t>4 -</w:t>
      </w:r>
      <w:r w:rsidRPr="00E46299">
        <w:rPr>
          <w:rFonts w:hint="cs"/>
          <w:rtl/>
        </w:rPr>
        <w:tab/>
      </w:r>
      <w:r w:rsidRPr="00E46299">
        <w:rPr>
          <w:rFonts w:hint="cs"/>
          <w:b/>
          <w:bCs/>
          <w:rtl/>
        </w:rPr>
        <w:t>السيدة دا</w:t>
      </w:r>
      <w:r>
        <w:rPr>
          <w:rFonts w:hint="cs"/>
          <w:b/>
          <w:bCs/>
          <w:rtl/>
        </w:rPr>
        <w:t xml:space="preserve"> </w:t>
      </w:r>
      <w:r w:rsidRPr="00E46299">
        <w:rPr>
          <w:rFonts w:hint="cs"/>
          <w:b/>
          <w:bCs/>
          <w:rtl/>
        </w:rPr>
        <w:t xml:space="preserve">سيلفا: </w:t>
      </w:r>
      <w:r w:rsidRPr="00E46299">
        <w:rPr>
          <w:rFonts w:hint="cs"/>
          <w:rtl/>
        </w:rPr>
        <w:t>أشارت إلى الفقرة 138، وسألت عما إذا كان الرجال يشتركون في تنظيم الأسرة، وعما إذا كان التثقيف الجنسي قد أدرج في المناهج الدراسية في المدارس، لأن مقرري حياة الأسرة والتثقيف الصحي هما اللذان ذُكر</w:t>
      </w:r>
      <w:r>
        <w:rPr>
          <w:rFonts w:hint="cs"/>
          <w:rtl/>
        </w:rPr>
        <w:t>ا</w:t>
      </w:r>
      <w:r w:rsidRPr="00E46299">
        <w:rPr>
          <w:rFonts w:hint="cs"/>
          <w:rtl/>
        </w:rPr>
        <w:t xml:space="preserve"> في التقرير.</w:t>
      </w:r>
    </w:p>
    <w:p w:rsidR="00E46299" w:rsidRPr="00E46299" w:rsidRDefault="00E46299" w:rsidP="00E46299">
      <w:pPr>
        <w:pStyle w:val="DualTxt"/>
        <w:rPr>
          <w:rFonts w:hint="cs"/>
          <w:rtl/>
        </w:rPr>
      </w:pPr>
      <w:r w:rsidRPr="00E46299">
        <w:rPr>
          <w:rFonts w:hint="cs"/>
          <w:rtl/>
        </w:rPr>
        <w:t>5 -</w:t>
      </w:r>
      <w:r w:rsidRPr="00E46299">
        <w:rPr>
          <w:rFonts w:hint="cs"/>
          <w:rtl/>
        </w:rPr>
        <w:tab/>
      </w:r>
      <w:r w:rsidRPr="00E46299">
        <w:rPr>
          <w:rFonts w:hint="cs"/>
          <w:b/>
          <w:bCs/>
          <w:rtl/>
        </w:rPr>
        <w:t xml:space="preserve">الرئيسة: </w:t>
      </w:r>
      <w:r w:rsidRPr="00E46299">
        <w:rPr>
          <w:rFonts w:hint="cs"/>
          <w:rtl/>
        </w:rPr>
        <w:t>بعد أن أثنت على الدولة الطرف لأن معدل وفيات الأطفال ومعدل وفيات الأمهات قد انخفض</w:t>
      </w:r>
      <w:r>
        <w:rPr>
          <w:rFonts w:hint="cs"/>
          <w:rtl/>
        </w:rPr>
        <w:t>ا</w:t>
      </w:r>
      <w:r w:rsidRPr="00E46299">
        <w:rPr>
          <w:rFonts w:hint="cs"/>
          <w:rtl/>
        </w:rPr>
        <w:t xml:space="preserve"> فيها بشكل يثير الإعجاب، أشارت إلى أن التقرير لم يقدم معلومات عن إساءة استخدام المخدرات والمواد الأخرى، بما في ذلك استخدام التبغ والكحول، ال</w:t>
      </w:r>
      <w:r>
        <w:rPr>
          <w:rFonts w:hint="cs"/>
          <w:rtl/>
        </w:rPr>
        <w:t>ت</w:t>
      </w:r>
      <w:r w:rsidRPr="00E46299">
        <w:rPr>
          <w:rFonts w:hint="cs"/>
          <w:rtl/>
        </w:rPr>
        <w:t xml:space="preserve">ي </w:t>
      </w:r>
      <w:r>
        <w:rPr>
          <w:rFonts w:hint="cs"/>
          <w:rtl/>
        </w:rPr>
        <w:t>ت</w:t>
      </w:r>
      <w:r w:rsidRPr="00E46299">
        <w:rPr>
          <w:rFonts w:hint="cs"/>
          <w:rtl/>
        </w:rPr>
        <w:t xml:space="preserve">ؤثر على صحة المرأة بطرائق متعددة، ولم يقدم معلومات عن الصحة العقلية للمرأة أو يذكر الكثير عن وضع النساء المعاقات والمسنات. وذكرت أنها قد علمت بأن سانت كيتس ونيفيس لديها العديد من البرامج الجيدة التي كانت ستحظى باهتمام بالغ من أعضاء اللجنة والتي كان من الممكن أن تكون بمثابة النموذج الأفضل للممارسات </w:t>
      </w:r>
      <w:r>
        <w:rPr>
          <w:rFonts w:hint="cs"/>
          <w:rtl/>
        </w:rPr>
        <w:t xml:space="preserve">التي </w:t>
      </w:r>
      <w:r w:rsidRPr="00E46299">
        <w:rPr>
          <w:rFonts w:hint="cs"/>
          <w:rtl/>
        </w:rPr>
        <w:t xml:space="preserve">يمكن لبلدان أخرى أن تتبعها. وسألت عما إذا كانت المرأة لا تزال بحاجة إلى الحصول على موافقة زوجها قبل أن تُجري عملية التعقيم وعما إذا كان الرجل بحاجة، في هذه الحالة، إلى موافقة زوجته على إجراء عملية </w:t>
      </w:r>
      <w:r>
        <w:rPr>
          <w:rFonts w:hint="cs"/>
          <w:rtl/>
        </w:rPr>
        <w:t>قطع قناة المني</w:t>
      </w:r>
      <w:r w:rsidRPr="00E46299">
        <w:rPr>
          <w:rFonts w:hint="cs"/>
          <w:rtl/>
        </w:rPr>
        <w:t>. وأخيرا، أعربت عن أملها في أن يبين التقرير القادم لسانت كيتس ونيفيس أنه قد حدث نقص في حالات حمل المراهقات الذي تترتب عليه آثار صحية عديدة.</w:t>
      </w:r>
    </w:p>
    <w:p w:rsidR="00E46299" w:rsidRPr="00E46299" w:rsidRDefault="00E46299" w:rsidP="00326E79">
      <w:pPr>
        <w:pStyle w:val="DualTxt"/>
        <w:spacing w:after="0"/>
        <w:rPr>
          <w:rFonts w:hint="cs"/>
          <w:i/>
          <w:iCs/>
          <w:rtl/>
        </w:rPr>
      </w:pPr>
      <w:r w:rsidRPr="00E46299">
        <w:rPr>
          <w:rFonts w:hint="cs"/>
          <w:i/>
          <w:iCs/>
          <w:rtl/>
        </w:rPr>
        <w:t>المادة 13</w:t>
      </w:r>
    </w:p>
    <w:p w:rsidR="00E46299" w:rsidRPr="00E46299" w:rsidRDefault="00E46299" w:rsidP="00326E79">
      <w:pPr>
        <w:pStyle w:val="DualTxt"/>
        <w:rPr>
          <w:rFonts w:hint="cs"/>
          <w:rtl/>
        </w:rPr>
      </w:pPr>
      <w:r w:rsidRPr="00E46299">
        <w:rPr>
          <w:rFonts w:hint="cs"/>
          <w:rtl/>
        </w:rPr>
        <w:t>6 -</w:t>
      </w:r>
      <w:r w:rsidRPr="00E46299">
        <w:rPr>
          <w:rFonts w:hint="cs"/>
          <w:rtl/>
        </w:rPr>
        <w:tab/>
      </w:r>
      <w:r w:rsidRPr="00E46299">
        <w:rPr>
          <w:rFonts w:hint="cs"/>
          <w:b/>
          <w:bCs/>
          <w:rtl/>
        </w:rPr>
        <w:t>السيد</w:t>
      </w:r>
      <w:r w:rsidR="00326E79">
        <w:rPr>
          <w:rFonts w:hint="cs"/>
          <w:b/>
          <w:bCs/>
          <w:rtl/>
        </w:rPr>
        <w:t>ة</w:t>
      </w:r>
      <w:r w:rsidRPr="00E46299">
        <w:rPr>
          <w:rFonts w:hint="cs"/>
          <w:b/>
          <w:bCs/>
          <w:rtl/>
        </w:rPr>
        <w:t xml:space="preserve"> ريغازولي: </w:t>
      </w:r>
      <w:r w:rsidRPr="00E46299">
        <w:rPr>
          <w:rFonts w:hint="cs"/>
          <w:rtl/>
        </w:rPr>
        <w:t>سألت عما إذا كانت النساء المترم</w:t>
      </w:r>
      <w:r w:rsidR="00326E79">
        <w:rPr>
          <w:rFonts w:hint="cs"/>
          <w:rtl/>
        </w:rPr>
        <w:t>لات</w:t>
      </w:r>
      <w:r w:rsidRPr="00E46299">
        <w:rPr>
          <w:rFonts w:hint="cs"/>
          <w:rtl/>
        </w:rPr>
        <w:t xml:space="preserve"> تحصلن، وكان الرجال المت</w:t>
      </w:r>
      <w:r w:rsidR="00326E79">
        <w:rPr>
          <w:rFonts w:hint="cs"/>
          <w:rtl/>
        </w:rPr>
        <w:t>ر</w:t>
      </w:r>
      <w:r w:rsidRPr="00E46299">
        <w:rPr>
          <w:rFonts w:hint="cs"/>
          <w:rtl/>
        </w:rPr>
        <w:t>مل</w:t>
      </w:r>
      <w:r w:rsidR="00326E79">
        <w:rPr>
          <w:rFonts w:hint="cs"/>
          <w:rtl/>
        </w:rPr>
        <w:t>و</w:t>
      </w:r>
      <w:r w:rsidRPr="00E46299">
        <w:rPr>
          <w:rFonts w:hint="cs"/>
          <w:rtl/>
        </w:rPr>
        <w:t>ن يحصلون، على استحقاقات اجتماعية كانت من حق أزواجهن المتوفين أو</w:t>
      </w:r>
      <w:r w:rsidR="00326E79">
        <w:rPr>
          <w:rFonts w:hint="eastAsia"/>
          <w:rtl/>
        </w:rPr>
        <w:t> </w:t>
      </w:r>
      <w:r w:rsidRPr="00E46299">
        <w:rPr>
          <w:rFonts w:hint="cs"/>
          <w:rtl/>
        </w:rPr>
        <w:t>زوجاتهم المتوفيات. وتساءلت عما إذا كان بإمكان النساء الحصول على ائتمانات على قدم المساواة مع الرجال، وعما إذا كانت الحكومة تبلغ النساء، وخاصة النساء الريفيات، بالفرص المتاحة أمامهن من هذه الناحية.</w:t>
      </w:r>
    </w:p>
    <w:p w:rsidR="00E46299" w:rsidRPr="00E46299" w:rsidRDefault="00E46299" w:rsidP="00326E79">
      <w:pPr>
        <w:pStyle w:val="DualTxt"/>
        <w:rPr>
          <w:rFonts w:hint="cs"/>
          <w:rtl/>
        </w:rPr>
      </w:pPr>
      <w:r w:rsidRPr="00E46299">
        <w:rPr>
          <w:rFonts w:hint="cs"/>
          <w:rtl/>
        </w:rPr>
        <w:t>7 -</w:t>
      </w:r>
      <w:r w:rsidRPr="00E46299">
        <w:rPr>
          <w:rFonts w:hint="cs"/>
          <w:rtl/>
        </w:rPr>
        <w:tab/>
      </w:r>
      <w:r w:rsidRPr="00E46299">
        <w:rPr>
          <w:rFonts w:hint="cs"/>
          <w:b/>
          <w:bCs/>
          <w:rtl/>
        </w:rPr>
        <w:t>السيدة لي</w:t>
      </w:r>
      <w:r>
        <w:rPr>
          <w:rFonts w:hint="cs"/>
          <w:b/>
          <w:bCs/>
          <w:rtl/>
        </w:rPr>
        <w:t>ف</w:t>
      </w:r>
      <w:r w:rsidRPr="00E46299">
        <w:rPr>
          <w:rFonts w:hint="cs"/>
          <w:b/>
          <w:bCs/>
          <w:rtl/>
        </w:rPr>
        <w:t xml:space="preserve">ينغستون راداي: </w:t>
      </w:r>
      <w:r w:rsidRPr="00E46299">
        <w:rPr>
          <w:rFonts w:hint="cs"/>
          <w:rtl/>
        </w:rPr>
        <w:t xml:space="preserve">سألت عما إذا كانت الحكومة تنظر في </w:t>
      </w:r>
      <w:r w:rsidR="00326E79">
        <w:rPr>
          <w:rFonts w:hint="cs"/>
          <w:rtl/>
        </w:rPr>
        <w:t>إ</w:t>
      </w:r>
      <w:r w:rsidRPr="00E46299">
        <w:rPr>
          <w:rFonts w:hint="cs"/>
          <w:rtl/>
        </w:rPr>
        <w:t xml:space="preserve">صدار تشريع أو وضع تدابير إدارية لمنع المصارف من طلب تقديم موافقة الزوج كي تتمكن النساء من الحصول على قروض، وخاصة بالنظر إلى عدد الأسر المعيشية التي </w:t>
      </w:r>
      <w:r>
        <w:rPr>
          <w:rFonts w:hint="cs"/>
          <w:rtl/>
        </w:rPr>
        <w:t xml:space="preserve">ترأسها </w:t>
      </w:r>
      <w:r w:rsidRPr="00E46299">
        <w:rPr>
          <w:rFonts w:hint="cs"/>
          <w:rtl/>
        </w:rPr>
        <w:t>إناث في ظل الوضع الاقتصادي الراهن.</w:t>
      </w:r>
    </w:p>
    <w:p w:rsidR="00E46299" w:rsidRPr="00E46299" w:rsidRDefault="00E46299" w:rsidP="00326E79">
      <w:pPr>
        <w:pStyle w:val="DualTxt"/>
        <w:spacing w:after="0"/>
        <w:rPr>
          <w:rFonts w:hint="cs"/>
          <w:i/>
          <w:iCs/>
          <w:rtl/>
        </w:rPr>
      </w:pPr>
      <w:r w:rsidRPr="00E46299">
        <w:rPr>
          <w:rFonts w:hint="cs"/>
          <w:i/>
          <w:iCs/>
          <w:rtl/>
        </w:rPr>
        <w:t>المادة 15</w:t>
      </w:r>
    </w:p>
    <w:p w:rsidR="00E46299" w:rsidRPr="00E46299" w:rsidRDefault="00E46299" w:rsidP="002B636D">
      <w:pPr>
        <w:pStyle w:val="DualTxt"/>
        <w:rPr>
          <w:rFonts w:hint="cs"/>
          <w:rtl/>
        </w:rPr>
      </w:pPr>
      <w:r w:rsidRPr="00E46299">
        <w:rPr>
          <w:rFonts w:hint="cs"/>
          <w:rtl/>
        </w:rPr>
        <w:t>8 -</w:t>
      </w:r>
      <w:r w:rsidRPr="00E46299">
        <w:rPr>
          <w:rFonts w:hint="cs"/>
          <w:rtl/>
        </w:rPr>
        <w:tab/>
      </w:r>
      <w:r w:rsidRPr="00E46299">
        <w:rPr>
          <w:rFonts w:hint="cs"/>
          <w:b/>
          <w:bCs/>
          <w:rtl/>
        </w:rPr>
        <w:t>السيد</w:t>
      </w:r>
      <w:r>
        <w:rPr>
          <w:rFonts w:hint="cs"/>
          <w:b/>
          <w:bCs/>
          <w:rtl/>
        </w:rPr>
        <w:t>ة</w:t>
      </w:r>
      <w:r w:rsidRPr="00E46299">
        <w:rPr>
          <w:rFonts w:hint="cs"/>
          <w:b/>
          <w:bCs/>
          <w:rtl/>
        </w:rPr>
        <w:t xml:space="preserve"> غونزاليز: </w:t>
      </w:r>
      <w:r w:rsidRPr="00E46299">
        <w:rPr>
          <w:rFonts w:hint="cs"/>
          <w:rtl/>
        </w:rPr>
        <w:t xml:space="preserve">قالت إن التشريع المتعلق </w:t>
      </w:r>
      <w:r>
        <w:rPr>
          <w:rFonts w:hint="cs"/>
          <w:rtl/>
        </w:rPr>
        <w:t xml:space="preserve">بحيازة الممتلكات </w:t>
      </w:r>
      <w:r w:rsidRPr="00E46299">
        <w:rPr>
          <w:rFonts w:hint="cs"/>
          <w:rtl/>
        </w:rPr>
        <w:t xml:space="preserve">لا ينفذ دائما في الواقع العملي. وأشارت إلى الفقرات 148 إلى 151 من التقرير، وطلبت تفاصيل عن مدى لجوء النساء إلى المحاكم فيما يتعلق بمسائل </w:t>
      </w:r>
      <w:r w:rsidR="002B636D">
        <w:rPr>
          <w:rFonts w:hint="cs"/>
          <w:rtl/>
        </w:rPr>
        <w:t xml:space="preserve">حيازة الممتلكات </w:t>
      </w:r>
      <w:r w:rsidRPr="00E46299">
        <w:rPr>
          <w:rFonts w:hint="cs"/>
          <w:rtl/>
        </w:rPr>
        <w:t xml:space="preserve">وإساءة معاملة الأطفال والمسائل التجارية أو المدنية. وذكرت أن تقديم المزيد من المعلومات عن الخدمات الاستشارية القانونية، التي تشمل تقديم </w:t>
      </w:r>
      <w:r w:rsidR="002B636D">
        <w:rPr>
          <w:rFonts w:hint="cs"/>
          <w:rtl/>
        </w:rPr>
        <w:t xml:space="preserve">المشورة </w:t>
      </w:r>
      <w:r w:rsidRPr="00E46299">
        <w:rPr>
          <w:rFonts w:hint="cs"/>
          <w:rtl/>
        </w:rPr>
        <w:t>المجانية من جانب محامية (</w:t>
      </w:r>
      <w:r w:rsidRPr="00E46299">
        <w:t>CEDAW/SKN/1/4</w:t>
      </w:r>
      <w:r w:rsidRPr="00E46299">
        <w:rPr>
          <w:rFonts w:hint="cs"/>
          <w:rtl/>
        </w:rPr>
        <w:t xml:space="preserve">، الفقرة 150) سيكون أيضا موضعا للتقدير. وأعربت عن رغبتها في معرفة ما إذا كانت للنساء حرية اختيار </w:t>
      </w:r>
      <w:r w:rsidR="002B636D">
        <w:rPr>
          <w:rFonts w:hint="cs"/>
          <w:rtl/>
        </w:rPr>
        <w:t xml:space="preserve">محل </w:t>
      </w:r>
      <w:r w:rsidRPr="00E46299">
        <w:rPr>
          <w:rFonts w:hint="cs"/>
          <w:rtl/>
        </w:rPr>
        <w:t>إقامتهن بغض النظر عن حالتهن الزواجية.</w:t>
      </w:r>
    </w:p>
    <w:p w:rsidR="00E46299" w:rsidRPr="00E46299" w:rsidRDefault="00E46299" w:rsidP="00E46299">
      <w:pPr>
        <w:pStyle w:val="DualTxt"/>
        <w:rPr>
          <w:rFonts w:hint="cs"/>
          <w:rtl/>
        </w:rPr>
      </w:pPr>
      <w:r w:rsidRPr="00E46299">
        <w:rPr>
          <w:rFonts w:hint="cs"/>
          <w:rtl/>
        </w:rPr>
        <w:t>9 -</w:t>
      </w:r>
      <w:r w:rsidRPr="00E46299">
        <w:rPr>
          <w:rFonts w:hint="cs"/>
          <w:rtl/>
        </w:rPr>
        <w:tab/>
      </w:r>
      <w:r w:rsidRPr="00E46299">
        <w:rPr>
          <w:rFonts w:hint="cs"/>
          <w:b/>
          <w:bCs/>
          <w:rtl/>
        </w:rPr>
        <w:t>السيدة ريغازولي:</w:t>
      </w:r>
      <w:r w:rsidRPr="00E46299">
        <w:rPr>
          <w:rFonts w:hint="cs"/>
          <w:rtl/>
        </w:rPr>
        <w:t xml:space="preserve"> لفتت الانتباه إلى الفقرة 61 من التقرير، وهي الفقرة التي تعتقد بأنها تجيب، إلى حد كبير، على السؤال الذي وجهته السيدة غونزاليز.</w:t>
      </w:r>
    </w:p>
    <w:p w:rsidR="00E46299" w:rsidRPr="002B636D" w:rsidRDefault="00E46299" w:rsidP="00326E79">
      <w:pPr>
        <w:pStyle w:val="DualTxt"/>
        <w:spacing w:after="0"/>
        <w:rPr>
          <w:rFonts w:hint="cs"/>
          <w:i/>
          <w:iCs/>
          <w:rtl/>
        </w:rPr>
      </w:pPr>
      <w:r w:rsidRPr="002B636D">
        <w:rPr>
          <w:rFonts w:hint="cs"/>
          <w:i/>
          <w:iCs/>
          <w:rtl/>
        </w:rPr>
        <w:t>المادة 16</w:t>
      </w:r>
    </w:p>
    <w:p w:rsidR="00E46299" w:rsidRPr="00E46299" w:rsidRDefault="00E46299" w:rsidP="002B636D">
      <w:pPr>
        <w:pStyle w:val="DualTxt"/>
        <w:rPr>
          <w:rFonts w:hint="cs"/>
          <w:rtl/>
        </w:rPr>
      </w:pPr>
      <w:r w:rsidRPr="00E46299">
        <w:rPr>
          <w:rFonts w:hint="cs"/>
          <w:rtl/>
        </w:rPr>
        <w:t>10 -</w:t>
      </w:r>
      <w:r w:rsidRPr="00E46299">
        <w:rPr>
          <w:rFonts w:hint="cs"/>
          <w:rtl/>
        </w:rPr>
        <w:tab/>
      </w:r>
      <w:r w:rsidRPr="00E46299">
        <w:rPr>
          <w:rFonts w:hint="cs"/>
          <w:b/>
          <w:bCs/>
          <w:rtl/>
        </w:rPr>
        <w:t xml:space="preserve">السيدة سيغا: </w:t>
      </w:r>
      <w:r w:rsidRPr="00E46299">
        <w:rPr>
          <w:rFonts w:hint="cs"/>
          <w:rtl/>
        </w:rPr>
        <w:t xml:space="preserve">أشارت إلى أن النسبة المئوية للأسر المعيشية التي </w:t>
      </w:r>
      <w:r w:rsidR="002B636D">
        <w:rPr>
          <w:rFonts w:hint="cs"/>
          <w:rtl/>
        </w:rPr>
        <w:t xml:space="preserve">ترأسها أنثى </w:t>
      </w:r>
      <w:r w:rsidRPr="00E46299">
        <w:rPr>
          <w:rFonts w:hint="cs"/>
          <w:rtl/>
        </w:rPr>
        <w:t xml:space="preserve">في سانت كيتس ونيفيس هي نسبة عالية بدرجة كبيرة وأن هذه الأسر تميل إلى أن تكون </w:t>
      </w:r>
      <w:r w:rsidR="002B636D">
        <w:rPr>
          <w:rFonts w:hint="cs"/>
          <w:rtl/>
        </w:rPr>
        <w:t>متعددة ال</w:t>
      </w:r>
      <w:r w:rsidRPr="00E46299">
        <w:rPr>
          <w:rFonts w:hint="cs"/>
          <w:rtl/>
        </w:rPr>
        <w:t xml:space="preserve">أجيال </w:t>
      </w:r>
      <w:r w:rsidR="002B636D">
        <w:rPr>
          <w:rFonts w:hint="cs"/>
          <w:rtl/>
        </w:rPr>
        <w:t xml:space="preserve">ترأسها شابات </w:t>
      </w:r>
      <w:r w:rsidRPr="00E46299">
        <w:rPr>
          <w:rFonts w:hint="cs"/>
          <w:rtl/>
        </w:rPr>
        <w:t>(</w:t>
      </w:r>
      <w:r w:rsidRPr="00E46299">
        <w:t>CEDAW/KNA/1</w:t>
      </w:r>
      <w:r w:rsidR="002B636D">
        <w:t>-</w:t>
      </w:r>
      <w:r w:rsidRPr="00E46299">
        <w:t>4</w:t>
      </w:r>
      <w:r w:rsidRPr="00E46299">
        <w:rPr>
          <w:rFonts w:hint="cs"/>
          <w:rtl/>
        </w:rPr>
        <w:t>، الفقرتان 152 و</w:t>
      </w:r>
      <w:r w:rsidRPr="00E46299">
        <w:rPr>
          <w:rFonts w:hint="eastAsia"/>
          <w:rtl/>
        </w:rPr>
        <w:t> </w:t>
      </w:r>
      <w:r w:rsidRPr="00E46299">
        <w:rPr>
          <w:rFonts w:hint="cs"/>
          <w:rtl/>
        </w:rPr>
        <w:t xml:space="preserve"> 154)، وسألت عما إذا كانت تلك الأسر تتلقى مساعدة من الحكومة ومعونات للأطفال.</w:t>
      </w:r>
    </w:p>
    <w:p w:rsidR="00E46299" w:rsidRDefault="00E46299" w:rsidP="00E46299">
      <w:pPr>
        <w:pStyle w:val="DualTxt"/>
        <w:rPr>
          <w:rFonts w:hint="cs"/>
          <w:rtl/>
        </w:rPr>
      </w:pPr>
      <w:r w:rsidRPr="00E46299">
        <w:rPr>
          <w:rFonts w:hint="cs"/>
          <w:rtl/>
        </w:rPr>
        <w:t>11 -</w:t>
      </w:r>
      <w:r w:rsidRPr="00E46299">
        <w:rPr>
          <w:rFonts w:hint="cs"/>
          <w:rtl/>
        </w:rPr>
        <w:tab/>
      </w:r>
      <w:r w:rsidRPr="00E46299">
        <w:rPr>
          <w:rFonts w:hint="cs"/>
          <w:b/>
          <w:bCs/>
          <w:rtl/>
        </w:rPr>
        <w:t xml:space="preserve">السيدة غونزاليز: </w:t>
      </w:r>
      <w:r w:rsidRPr="00E46299">
        <w:rPr>
          <w:rFonts w:hint="cs"/>
          <w:rtl/>
        </w:rPr>
        <w:t xml:space="preserve">طلبت توضيحا لحقوق الملكية للأشخاص الذين يعيشون كزوج وزوجة دون زواج، وبتحديد أكثر عبارة </w:t>
      </w:r>
      <w:r w:rsidRPr="00E46299">
        <w:rPr>
          <w:rFonts w:hint="eastAsia"/>
          <w:rtl/>
        </w:rPr>
        <w:t>”حيازة مشتركة للممتلكات</w:t>
      </w:r>
      <w:r w:rsidRPr="00E46299">
        <w:rPr>
          <w:rFonts w:hint="cs"/>
          <w:rtl/>
        </w:rPr>
        <w:t xml:space="preserve">“ المستخدمة في الجملة الثانية من الفقرة 157. وأثنت على الدولة الطرف لحذف التمييز ضد أطفال الآباء </w:t>
      </w:r>
      <w:r w:rsidR="002B636D">
        <w:rPr>
          <w:rFonts w:hint="cs"/>
          <w:rtl/>
        </w:rPr>
        <w:t xml:space="preserve">غير </w:t>
      </w:r>
      <w:r w:rsidRPr="00E46299">
        <w:rPr>
          <w:rFonts w:hint="cs"/>
          <w:rtl/>
        </w:rPr>
        <w:t xml:space="preserve">المتزوجين (الفقرة 161). وأخيرا، ذكرت أن أية معلومات عن تقديم المشورة والتثقيف، أو عن اتخاذ تدابير إدارية، لتثبيط </w:t>
      </w:r>
      <w:r w:rsidR="002B636D">
        <w:rPr>
          <w:rFonts w:hint="eastAsia"/>
          <w:rtl/>
        </w:rPr>
        <w:t>”</w:t>
      </w:r>
      <w:r w:rsidRPr="00E46299">
        <w:rPr>
          <w:rFonts w:hint="cs"/>
          <w:rtl/>
        </w:rPr>
        <w:t xml:space="preserve">إقامة </w:t>
      </w:r>
      <w:r w:rsidRPr="00E46299">
        <w:rPr>
          <w:rFonts w:hint="eastAsia"/>
          <w:rtl/>
        </w:rPr>
        <w:t>علاقات</w:t>
      </w:r>
      <w:r w:rsidRPr="00E46299">
        <w:rPr>
          <w:rFonts w:hint="cs"/>
          <w:rtl/>
        </w:rPr>
        <w:t>“ بين الإناث القُصر والذكور البالغين، التي لا</w:t>
      </w:r>
      <w:r w:rsidRPr="00E46299">
        <w:rPr>
          <w:rFonts w:hint="eastAsia"/>
          <w:rtl/>
        </w:rPr>
        <w:t> </w:t>
      </w:r>
      <w:r w:rsidRPr="00E46299">
        <w:rPr>
          <w:rFonts w:hint="cs"/>
          <w:rtl/>
        </w:rPr>
        <w:t>تمثل في الواقع أية علاقات بالمرة، ستكون موضعاً لتقديرها.</w:t>
      </w:r>
    </w:p>
    <w:p w:rsidR="00840174" w:rsidRPr="00840174" w:rsidRDefault="00840174" w:rsidP="00326E79">
      <w:pPr>
        <w:pStyle w:val="DualTxt"/>
        <w:rPr>
          <w:rFonts w:hint="cs"/>
          <w:rtl/>
        </w:rPr>
      </w:pPr>
      <w:r w:rsidRPr="00840174">
        <w:rPr>
          <w:rFonts w:hint="cs"/>
          <w:rtl/>
        </w:rPr>
        <w:t>12 -</w:t>
      </w:r>
      <w:r w:rsidRPr="00840174">
        <w:rPr>
          <w:rFonts w:hint="cs"/>
          <w:rtl/>
        </w:rPr>
        <w:tab/>
      </w:r>
      <w:r w:rsidRPr="00840174">
        <w:rPr>
          <w:rFonts w:hint="cs"/>
          <w:b/>
          <w:bCs/>
          <w:rtl/>
        </w:rPr>
        <w:t>السيدة تافاريس دا</w:t>
      </w:r>
      <w:r w:rsidR="00326E79">
        <w:rPr>
          <w:rFonts w:hint="cs"/>
          <w:b/>
          <w:bCs/>
          <w:rtl/>
        </w:rPr>
        <w:t xml:space="preserve"> </w:t>
      </w:r>
      <w:r w:rsidRPr="00840174">
        <w:rPr>
          <w:rFonts w:hint="cs"/>
          <w:b/>
          <w:bCs/>
          <w:rtl/>
        </w:rPr>
        <w:t>سيلفا:</w:t>
      </w:r>
      <w:r w:rsidRPr="00840174">
        <w:rPr>
          <w:rFonts w:hint="cs"/>
          <w:rtl/>
        </w:rPr>
        <w:t xml:space="preserve"> أشار</w:t>
      </w:r>
      <w:r>
        <w:rPr>
          <w:rFonts w:hint="cs"/>
          <w:rtl/>
        </w:rPr>
        <w:t>ت</w:t>
      </w:r>
      <w:r w:rsidRPr="00840174">
        <w:rPr>
          <w:rFonts w:hint="cs"/>
          <w:rtl/>
        </w:rPr>
        <w:t xml:space="preserve"> إلى الاختلاف القائم بين المبدأ والواقع بالنسبة لحقوق المرأة في </w:t>
      </w:r>
      <w:r>
        <w:rPr>
          <w:rFonts w:hint="cs"/>
          <w:rtl/>
        </w:rPr>
        <w:t xml:space="preserve">حيازة </w:t>
      </w:r>
      <w:r w:rsidRPr="00840174">
        <w:rPr>
          <w:rFonts w:hint="cs"/>
          <w:rtl/>
        </w:rPr>
        <w:t>الممتلكات (الفقرة 156) وحق المرأة في أن تقرر عدد أطفالها والفترة الفاصلة بينهم (الفقرة 160). وقالت إنه توجد تفاوتات مماثلة بالنسبة للحصول على القروض (المادة</w:t>
      </w:r>
      <w:r w:rsidR="00326E79">
        <w:rPr>
          <w:rFonts w:hint="eastAsia"/>
          <w:rtl/>
        </w:rPr>
        <w:t> </w:t>
      </w:r>
      <w:r w:rsidRPr="00840174">
        <w:rPr>
          <w:rFonts w:hint="cs"/>
          <w:rtl/>
        </w:rPr>
        <w:t>13)، والمساواة أمام القانون (المادة 15) و</w:t>
      </w:r>
      <w:r>
        <w:rPr>
          <w:rFonts w:hint="cs"/>
          <w:rtl/>
        </w:rPr>
        <w:t xml:space="preserve">العمالة </w:t>
      </w:r>
      <w:r w:rsidRPr="00840174">
        <w:rPr>
          <w:rFonts w:hint="cs"/>
          <w:rtl/>
        </w:rPr>
        <w:t xml:space="preserve">(المادة 11). وأثنت على حكومة سانت كيتس ونيفيس لإقرارها بتلك التفاوتات، وحثتها على اتخاذ تدابير لإزالة </w:t>
      </w:r>
      <w:r>
        <w:rPr>
          <w:rFonts w:hint="cs"/>
          <w:rtl/>
        </w:rPr>
        <w:t xml:space="preserve">الأفكار المقولبة </w:t>
      </w:r>
      <w:r w:rsidRPr="00840174">
        <w:rPr>
          <w:rFonts w:hint="cs"/>
          <w:rtl/>
        </w:rPr>
        <w:t>وتغيير العقليات.</w:t>
      </w:r>
    </w:p>
    <w:p w:rsidR="00840174" w:rsidRPr="00840174" w:rsidRDefault="00840174" w:rsidP="00326E79">
      <w:pPr>
        <w:pStyle w:val="DualTxt"/>
        <w:rPr>
          <w:rFonts w:hint="cs"/>
          <w:rtl/>
        </w:rPr>
      </w:pPr>
      <w:r w:rsidRPr="00840174">
        <w:rPr>
          <w:rFonts w:hint="cs"/>
          <w:rtl/>
        </w:rPr>
        <w:t>13 -</w:t>
      </w:r>
      <w:r w:rsidRPr="00840174">
        <w:rPr>
          <w:rFonts w:hint="cs"/>
          <w:rtl/>
        </w:rPr>
        <w:tab/>
      </w:r>
      <w:r w:rsidRPr="00840174">
        <w:rPr>
          <w:rFonts w:hint="cs"/>
          <w:b/>
          <w:bCs/>
          <w:rtl/>
        </w:rPr>
        <w:t xml:space="preserve">السيدة ليفنغستون راداي: </w:t>
      </w:r>
      <w:r w:rsidRPr="00840174">
        <w:rPr>
          <w:rFonts w:hint="cs"/>
          <w:rtl/>
        </w:rPr>
        <w:t xml:space="preserve">أشارت إلى أن عدم سداد </w:t>
      </w:r>
      <w:r>
        <w:rPr>
          <w:rFonts w:hint="cs"/>
          <w:rtl/>
        </w:rPr>
        <w:t xml:space="preserve">النفقة </w:t>
      </w:r>
      <w:r w:rsidRPr="00840174">
        <w:rPr>
          <w:rFonts w:hint="cs"/>
          <w:rtl/>
        </w:rPr>
        <w:t>يمثل مشكلة رئيسية في سانت كيتس ونيفيس، وأعربت عن اتفاقها مع السيدة شوب</w:t>
      </w:r>
      <w:r w:rsidR="00326E79">
        <w:rPr>
          <w:rFonts w:hint="cs"/>
          <w:rtl/>
        </w:rPr>
        <w:t xml:space="preserve"> </w:t>
      </w:r>
      <w:r w:rsidRPr="00840174">
        <w:rPr>
          <w:rFonts w:hint="cs"/>
          <w:rtl/>
        </w:rPr>
        <w:t>-</w:t>
      </w:r>
      <w:r w:rsidR="00326E79">
        <w:rPr>
          <w:rFonts w:hint="cs"/>
          <w:rtl/>
        </w:rPr>
        <w:t xml:space="preserve"> </w:t>
      </w:r>
      <w:r w:rsidRPr="00840174">
        <w:rPr>
          <w:rFonts w:hint="cs"/>
          <w:rtl/>
        </w:rPr>
        <w:t xml:space="preserve">شيلينغ في أنه من الحكمة إدخال نظام وطني تُنفذ بمقتضاه إجراءات للمحكمة ضد الأزواج السابقين الذين يمتنعون عن سداد النفقة. والربط بين ما يكسبه الرجال الذين يمتنعون عن السداد سيكون وسيلة أخرى للحصول على المدفوعات. وحبس الممتنعين عن السداد لا يمثل حلا </w:t>
      </w:r>
      <w:r>
        <w:rPr>
          <w:rFonts w:hint="cs"/>
          <w:rtl/>
        </w:rPr>
        <w:t xml:space="preserve">وذلك </w:t>
      </w:r>
      <w:r w:rsidRPr="00840174">
        <w:rPr>
          <w:rFonts w:hint="cs"/>
          <w:rtl/>
        </w:rPr>
        <w:t>ليس فقط لأنه لا</w:t>
      </w:r>
      <w:r w:rsidR="00326E79">
        <w:rPr>
          <w:rFonts w:hint="eastAsia"/>
          <w:rtl/>
        </w:rPr>
        <w:t> </w:t>
      </w:r>
      <w:r w:rsidRPr="00840174">
        <w:rPr>
          <w:rFonts w:hint="cs"/>
          <w:rtl/>
        </w:rPr>
        <w:t>يساعد المرأة بل أيضا لأنه يترك المجتمع محملا بعبء توفير احتياجات الممتنعين.</w:t>
      </w:r>
    </w:p>
    <w:p w:rsidR="00840174" w:rsidRPr="00840174" w:rsidRDefault="00840174" w:rsidP="00840174">
      <w:pPr>
        <w:pStyle w:val="DualTxt"/>
        <w:rPr>
          <w:rFonts w:hint="cs"/>
          <w:rtl/>
        </w:rPr>
      </w:pPr>
      <w:r w:rsidRPr="00840174">
        <w:rPr>
          <w:rFonts w:hint="cs"/>
          <w:rtl/>
        </w:rPr>
        <w:t>14 -</w:t>
      </w:r>
      <w:r w:rsidRPr="00840174">
        <w:rPr>
          <w:rFonts w:hint="cs"/>
          <w:rtl/>
        </w:rPr>
        <w:tab/>
        <w:t>وذكرت أنها تشارك في القلق الذي أبدته الرئيسة بشأن صعوبة الحصول على الشهادة في حا</w:t>
      </w:r>
      <w:r>
        <w:rPr>
          <w:rFonts w:hint="cs"/>
          <w:rtl/>
        </w:rPr>
        <w:t xml:space="preserve">لات العنف </w:t>
      </w:r>
      <w:r w:rsidRPr="00840174">
        <w:rPr>
          <w:rFonts w:hint="cs"/>
          <w:rtl/>
        </w:rPr>
        <w:t xml:space="preserve">المنزلي. وقالت إنه ينبغي أن تنظر الدولة الطرف في طرائق للتعامل مع هذه المشكلة، سواء بتقديم أدلة قبل المحاكمة يمكن أخذها في الاعتبار إذا كانت امرأة ما غير راغبة في تقديم الشهادة، أو بفرض واجبات الإبلاغ على الأفراد العاملين في مجال الصحة وفي مجال الخدمة الاجتماعية. وبالنسبة لتوفير مساكن آمنة أو </w:t>
      </w:r>
      <w:r w:rsidRPr="00840174">
        <w:rPr>
          <w:rFonts w:hint="eastAsia"/>
          <w:rtl/>
        </w:rPr>
        <w:t>”غرف آمنة</w:t>
      </w:r>
      <w:r w:rsidRPr="00840174">
        <w:rPr>
          <w:rFonts w:hint="cs"/>
          <w:rtl/>
        </w:rPr>
        <w:t xml:space="preserve">“ للنساء في جزيرة صغيرة، حيث يتعذر في الواقع إخفاء </w:t>
      </w:r>
      <w:r>
        <w:rPr>
          <w:rFonts w:hint="cs"/>
          <w:rtl/>
        </w:rPr>
        <w:t>الهوية</w:t>
      </w:r>
      <w:r w:rsidRPr="00840174">
        <w:rPr>
          <w:rFonts w:hint="cs"/>
          <w:rtl/>
        </w:rPr>
        <w:t>، تساءلت عما إذا كانت الدولة الطرف قد نظرت في إجراء اتصالات مع جُزر أخرى بحيث تكون النساء أقل خوفا من انتقام أزواجهن وأكثر استعدادا للشهادة.</w:t>
      </w:r>
    </w:p>
    <w:p w:rsidR="00840174" w:rsidRPr="00840174" w:rsidRDefault="00840174" w:rsidP="00840174">
      <w:pPr>
        <w:pStyle w:val="DualTxt"/>
        <w:rPr>
          <w:rFonts w:hint="cs"/>
          <w:rtl/>
        </w:rPr>
      </w:pPr>
      <w:r w:rsidRPr="00840174">
        <w:rPr>
          <w:rFonts w:hint="cs"/>
          <w:rtl/>
        </w:rPr>
        <w:t>15 -</w:t>
      </w:r>
      <w:r w:rsidRPr="00840174">
        <w:rPr>
          <w:rFonts w:hint="cs"/>
          <w:rtl/>
        </w:rPr>
        <w:tab/>
      </w:r>
      <w:r w:rsidRPr="00840174">
        <w:rPr>
          <w:rFonts w:hint="cs"/>
          <w:b/>
          <w:bCs/>
          <w:rtl/>
        </w:rPr>
        <w:t>السيدة فينغ سوي</w:t>
      </w:r>
      <w:r w:rsidRPr="00840174">
        <w:rPr>
          <w:rFonts w:hint="cs"/>
          <w:rtl/>
        </w:rPr>
        <w:t>: طلبت معلومات إضافية عن جماعات دعم الآباء التي نظمتها وزارة شؤون المرأة، بما يشمل أهدافها وأغراضها وفعاليتها. وتساءلت أيضا عما إذا كانت الدولة الطرف تسعى لنشر مضمون الاتفاقية، بما في ذلك من خلال جماعات دعم الآباء، بُغية تحقيق مساواة حقيقية بين الجنسين ومشاركة حقيقية بين الرجل والمرأة.</w:t>
      </w:r>
    </w:p>
    <w:p w:rsidR="00840174" w:rsidRPr="00840174" w:rsidRDefault="00840174" w:rsidP="00840174">
      <w:pPr>
        <w:pStyle w:val="DualTxt"/>
        <w:rPr>
          <w:rFonts w:hint="cs"/>
          <w:rtl/>
        </w:rPr>
      </w:pPr>
      <w:r w:rsidRPr="00840174">
        <w:rPr>
          <w:rFonts w:hint="cs"/>
          <w:rtl/>
        </w:rPr>
        <w:t>16 -</w:t>
      </w:r>
      <w:r w:rsidRPr="00840174">
        <w:rPr>
          <w:rFonts w:hint="cs"/>
          <w:rtl/>
        </w:rPr>
        <w:tab/>
      </w:r>
      <w:r w:rsidRPr="00840174">
        <w:rPr>
          <w:rFonts w:hint="cs"/>
          <w:b/>
          <w:bCs/>
          <w:rtl/>
        </w:rPr>
        <w:t xml:space="preserve">السيدة أشماد: </w:t>
      </w:r>
      <w:r w:rsidRPr="00840174">
        <w:rPr>
          <w:rFonts w:hint="cs"/>
          <w:rtl/>
        </w:rPr>
        <w:t xml:space="preserve">أشارت إلى الفقرتين 166 و 82 من التقرير، وسألت عن الكيفية التي تتحدى بها المرأة </w:t>
      </w:r>
      <w:r>
        <w:rPr>
          <w:rFonts w:hint="cs"/>
          <w:rtl/>
        </w:rPr>
        <w:t xml:space="preserve">الأفكار </w:t>
      </w:r>
      <w:r w:rsidRPr="00840174">
        <w:rPr>
          <w:rFonts w:hint="cs"/>
          <w:rtl/>
        </w:rPr>
        <w:t>التقليدية التي حالت دون مشاركتها في الحياة السياسية والحياة العامة، وعن المبادرات الأخرى التي اتخذتها الوزارة في هذا المجال. وقالت إن القضاء على التمييز يتطلب اتباع نهج متعدد الأبعاد: تمكين المرأة مهنيا</w:t>
      </w:r>
      <w:r>
        <w:rPr>
          <w:rFonts w:hint="cs"/>
          <w:rtl/>
        </w:rPr>
        <w:t>، بزيادة معرفتها بما تنطوي عليه</w:t>
      </w:r>
      <w:r w:rsidRPr="00840174">
        <w:rPr>
          <w:rFonts w:hint="cs"/>
          <w:rtl/>
        </w:rPr>
        <w:t xml:space="preserve"> المشاركة السياسية، ونفسيا، بتشجيعها على الدخول في </w:t>
      </w:r>
      <w:r>
        <w:rPr>
          <w:rFonts w:hint="cs"/>
          <w:rtl/>
        </w:rPr>
        <w:t xml:space="preserve">معترك </w:t>
      </w:r>
      <w:r w:rsidRPr="00840174">
        <w:rPr>
          <w:rFonts w:hint="cs"/>
          <w:rtl/>
        </w:rPr>
        <w:t>الحياة العامة والحياة السياسية ليس فقط في تقديم المشورة بل أيضا كرائدة حقيقية</w:t>
      </w:r>
      <w:r>
        <w:rPr>
          <w:rFonts w:hint="cs"/>
          <w:rtl/>
        </w:rPr>
        <w:t>.</w:t>
      </w:r>
      <w:r w:rsidRPr="00840174">
        <w:rPr>
          <w:rFonts w:hint="cs"/>
          <w:rtl/>
        </w:rPr>
        <w:t xml:space="preserve"> وأضافت أنه يجب أيضا تمكين الرجال فكريا ونفسيا لقبول النساء كشري</w:t>
      </w:r>
      <w:r>
        <w:rPr>
          <w:rFonts w:hint="cs"/>
          <w:rtl/>
        </w:rPr>
        <w:t>ك</w:t>
      </w:r>
      <w:r w:rsidRPr="00840174">
        <w:rPr>
          <w:rFonts w:hint="cs"/>
          <w:rtl/>
        </w:rPr>
        <w:t xml:space="preserve">ات مساويات. وأشارت إلى أنه من المهم ضمان أن تزود النساء اللواتي حصلن على مراكز لصنع القرار </w:t>
      </w:r>
      <w:r>
        <w:rPr>
          <w:rFonts w:hint="cs"/>
          <w:rtl/>
        </w:rPr>
        <w:t>ب</w:t>
      </w:r>
      <w:r w:rsidRPr="00840174">
        <w:rPr>
          <w:rFonts w:hint="cs"/>
          <w:rtl/>
        </w:rPr>
        <w:t>كل ما يلزمهن من دعم ومعلومات لتمكينهن من الدفاع عن المسائل الموضوعية، وتعزيزها، في الحكومة. وتساءلت عما إذا كانت الدولة الطرف تخطط لاتخاذ إجراء من هذه الناحية.</w:t>
      </w:r>
    </w:p>
    <w:p w:rsidR="00840174" w:rsidRPr="00840174" w:rsidRDefault="00840174" w:rsidP="00326E79">
      <w:pPr>
        <w:pStyle w:val="DualTxt"/>
        <w:rPr>
          <w:rFonts w:hint="cs"/>
          <w:rtl/>
        </w:rPr>
      </w:pPr>
      <w:r w:rsidRPr="00840174">
        <w:rPr>
          <w:rFonts w:hint="cs"/>
          <w:rtl/>
        </w:rPr>
        <w:t>17 -</w:t>
      </w:r>
      <w:r w:rsidRPr="00840174">
        <w:rPr>
          <w:rFonts w:hint="cs"/>
          <w:rtl/>
        </w:rPr>
        <w:tab/>
      </w:r>
      <w:r w:rsidRPr="00840174">
        <w:rPr>
          <w:rFonts w:hint="cs"/>
          <w:b/>
          <w:bCs/>
          <w:rtl/>
        </w:rPr>
        <w:t xml:space="preserve">السيدة </w:t>
      </w:r>
      <w:r>
        <w:rPr>
          <w:rFonts w:hint="cs"/>
          <w:b/>
          <w:bCs/>
          <w:rtl/>
        </w:rPr>
        <w:t>آ</w:t>
      </w:r>
      <w:r w:rsidRPr="00840174">
        <w:rPr>
          <w:rFonts w:hint="cs"/>
          <w:b/>
          <w:bCs/>
          <w:rtl/>
        </w:rPr>
        <w:t xml:space="preserve">كار: </w:t>
      </w:r>
      <w:r w:rsidRPr="00840174">
        <w:rPr>
          <w:rFonts w:hint="cs"/>
          <w:rtl/>
        </w:rPr>
        <w:t>قالت إنه سيكون من المفيد معرفة ما</w:t>
      </w:r>
      <w:r w:rsidR="00326E79">
        <w:rPr>
          <w:rFonts w:hint="eastAsia"/>
          <w:rtl/>
        </w:rPr>
        <w:t> </w:t>
      </w:r>
      <w:r w:rsidRPr="00840174">
        <w:rPr>
          <w:rFonts w:hint="cs"/>
          <w:rtl/>
        </w:rPr>
        <w:t>إذا كانت الحاجات المعينة للمرأة قد أُخذت في الاعتبار في التأهب للكوارث وتخفيف آثارها وتخطيط المساعدة بشأنها، بما يشمل وضع الميزانية والتدريب الشخصي وتنمية الوعي بشأن البُعد الجنساني للكوارث الطبيعية. واقترحت أن تبذل الدولة الطرف جهودا في تلك الاتجاهات وأن تضمن تقريرها الدوري التالي معلومات عن النتائج.</w:t>
      </w:r>
    </w:p>
    <w:p w:rsidR="00840174" w:rsidRPr="00840174" w:rsidRDefault="00840174" w:rsidP="00840174">
      <w:pPr>
        <w:pStyle w:val="DualTxt"/>
        <w:rPr>
          <w:rFonts w:hint="cs"/>
          <w:rtl/>
        </w:rPr>
      </w:pPr>
      <w:r w:rsidRPr="00840174">
        <w:rPr>
          <w:rFonts w:hint="cs"/>
          <w:rtl/>
        </w:rPr>
        <w:t>18 -</w:t>
      </w:r>
      <w:r w:rsidRPr="00840174">
        <w:rPr>
          <w:rFonts w:hint="cs"/>
          <w:rtl/>
        </w:rPr>
        <w:tab/>
      </w:r>
      <w:r w:rsidRPr="00840174">
        <w:rPr>
          <w:rFonts w:hint="cs"/>
          <w:b/>
          <w:bCs/>
          <w:rtl/>
        </w:rPr>
        <w:t xml:space="preserve">السيد هيربيرت </w:t>
      </w:r>
      <w:r w:rsidRPr="00840174">
        <w:rPr>
          <w:rFonts w:hint="cs"/>
          <w:rtl/>
        </w:rPr>
        <w:t>(سانت كيتس ونيفيس): شكر أعضاء اللجنة على تعليقاتهم البناءة وقال إن حكومته ستبذل كل جهد ممكن لاتخاذ التدابير اللازمة لتنفيذ توصياتها.</w:t>
      </w:r>
    </w:p>
    <w:p w:rsidR="002B636D" w:rsidRDefault="00840174" w:rsidP="00840174">
      <w:pPr>
        <w:pStyle w:val="DualTxt"/>
        <w:rPr>
          <w:rFonts w:hint="cs"/>
          <w:i/>
          <w:iCs/>
          <w:rtl/>
        </w:rPr>
      </w:pPr>
      <w:r w:rsidRPr="00840174">
        <w:rPr>
          <w:rFonts w:hint="cs"/>
          <w:i/>
          <w:iCs/>
          <w:rtl/>
        </w:rPr>
        <w:tab/>
        <w:t>رفعت الجلسة في الساعة 00/16.</w:t>
      </w:r>
    </w:p>
    <w:p w:rsidR="00840174" w:rsidRPr="00840174" w:rsidRDefault="00840174" w:rsidP="00840174">
      <w:pPr>
        <w:pStyle w:val="DualTxt"/>
        <w:spacing w:after="0" w:line="240" w:lineRule="auto"/>
        <w:rPr>
          <w:rFonts w:hint="cs"/>
          <w:rtl/>
        </w:rPr>
      </w:pPr>
      <w:bookmarkStart w:id="1" w:name="TmpSave"/>
      <w:bookmarkEnd w:id="1"/>
      <w:r>
        <w:rPr>
          <w:rFonts w:hint="cs"/>
          <w:noProof/>
          <w:w w:val="100"/>
          <w:rtl/>
        </w:rPr>
        <w:pict>
          <v:line id="_x0000_s1026" style="position:absolute;left:0;text-align:left;z-index:1" from="84.2pt,24pt" to="156.2pt,24pt" strokeweight=".25pt">
            <w10:wrap anchorx="page"/>
          </v:line>
        </w:pict>
      </w:r>
    </w:p>
    <w:sectPr w:rsidR="00840174" w:rsidRPr="00840174" w:rsidSect="00E4629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1-30T13:06:00Z" w:initials="Start">
    <w:p w:rsidR="00730E2C" w:rsidRDefault="00730E2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NO&gt;&gt;N0241272A&lt;&lt;ODS JOB NO&gt;&gt;</w:t>
      </w:r>
    </w:p>
    <w:p w:rsidR="00730E2C" w:rsidRDefault="00730E2C">
      <w:pPr>
        <w:pStyle w:val="CommentText"/>
      </w:pPr>
      <w:r>
        <w:t>&lt;&lt;ODS DOC SYMBOL1&gt;&gt;CEDAW/C/SR.554&lt;&lt;ODS DOC SYMBOL1&gt;&gt;</w:t>
      </w:r>
    </w:p>
    <w:p w:rsidR="00730E2C" w:rsidRDefault="00730E2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2C" w:rsidRDefault="00730E2C" w:rsidP="00882DF7">
      <w:pPr>
        <w:pStyle w:val="Header"/>
      </w:pPr>
      <w:r>
        <w:separator/>
      </w:r>
    </w:p>
  </w:endnote>
  <w:endnote w:type="continuationSeparator" w:id="0">
    <w:p w:rsidR="00730E2C" w:rsidRDefault="00730E2C" w:rsidP="00882DF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30E2C">
      <w:tblPrEx>
        <w:tblCellMar>
          <w:top w:w="0" w:type="dxa"/>
          <w:bottom w:w="0" w:type="dxa"/>
        </w:tblCellMar>
      </w:tblPrEx>
      <w:tc>
        <w:tcPr>
          <w:tcW w:w="5033" w:type="dxa"/>
          <w:shd w:val="clear" w:color="auto" w:fill="auto"/>
        </w:tcPr>
        <w:p w:rsidR="00730E2C" w:rsidRPr="00882DF7" w:rsidRDefault="00730E2C" w:rsidP="00882DF7">
          <w:pPr>
            <w:pStyle w:val="Footer"/>
            <w:jc w:val="right"/>
            <w:rPr>
              <w:w w:val="103"/>
            </w:rPr>
          </w:pPr>
          <w:r>
            <w:rPr>
              <w:w w:val="103"/>
            </w:rPr>
            <w:fldChar w:fldCharType="begin"/>
          </w:r>
          <w:r>
            <w:rPr>
              <w:w w:val="103"/>
            </w:rPr>
            <w:instrText xml:space="preserve"> PAGE  \* MERGEFORMAT </w:instrText>
          </w:r>
          <w:r>
            <w:rPr>
              <w:w w:val="103"/>
            </w:rPr>
            <w:fldChar w:fldCharType="separate"/>
          </w:r>
          <w:r w:rsidR="00026D97">
            <w:rPr>
              <w:w w:val="103"/>
            </w:rPr>
            <w:t>4</w:t>
          </w:r>
          <w:r>
            <w:rPr>
              <w:w w:val="103"/>
            </w:rPr>
            <w:fldChar w:fldCharType="end"/>
          </w:r>
        </w:p>
      </w:tc>
      <w:tc>
        <w:tcPr>
          <w:tcW w:w="5033" w:type="dxa"/>
          <w:shd w:val="clear" w:color="auto" w:fill="auto"/>
        </w:tcPr>
        <w:p w:rsidR="00730E2C" w:rsidRPr="00882DF7" w:rsidRDefault="00730E2C" w:rsidP="00882DF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02-41272</w:t>
          </w:r>
          <w:r>
            <w:rPr>
              <w:b w:val="0"/>
              <w:w w:val="103"/>
            </w:rPr>
            <w:fldChar w:fldCharType="end"/>
          </w:r>
        </w:p>
      </w:tc>
    </w:tr>
  </w:tbl>
  <w:p w:rsidR="00730E2C" w:rsidRPr="00882DF7" w:rsidRDefault="00730E2C" w:rsidP="00882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30E2C">
      <w:tblPrEx>
        <w:tblCellMar>
          <w:top w:w="0" w:type="dxa"/>
          <w:bottom w:w="0" w:type="dxa"/>
        </w:tblCellMar>
      </w:tblPrEx>
      <w:tc>
        <w:tcPr>
          <w:tcW w:w="5033" w:type="dxa"/>
          <w:shd w:val="clear" w:color="auto" w:fill="auto"/>
        </w:tcPr>
        <w:p w:rsidR="00730E2C" w:rsidRPr="00882DF7" w:rsidRDefault="00730E2C" w:rsidP="00882DF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02-41272</w:t>
          </w:r>
          <w:r>
            <w:rPr>
              <w:b w:val="0"/>
              <w:w w:val="103"/>
            </w:rPr>
            <w:fldChar w:fldCharType="end"/>
          </w:r>
        </w:p>
      </w:tc>
      <w:tc>
        <w:tcPr>
          <w:tcW w:w="5033" w:type="dxa"/>
          <w:shd w:val="clear" w:color="auto" w:fill="auto"/>
        </w:tcPr>
        <w:p w:rsidR="00730E2C" w:rsidRPr="00882DF7" w:rsidRDefault="00730E2C" w:rsidP="00882DF7">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730E2C" w:rsidRPr="00882DF7" w:rsidRDefault="00730E2C" w:rsidP="00882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2C" w:rsidRDefault="00730E2C" w:rsidP="00882DF7">
    <w:pPr>
      <w:pStyle w:val="Footer"/>
      <w:pBdr>
        <w:top w:val="single" w:sz="2" w:space="1" w:color="auto"/>
      </w:pBdr>
      <w:rPr>
        <w:sz w:val="2"/>
      </w:rPr>
    </w:pPr>
  </w:p>
  <w:p w:rsidR="00730E2C" w:rsidRPr="002860B8" w:rsidRDefault="00730E2C" w:rsidP="00882DF7">
    <w:pPr>
      <w:pStyle w:val="FootnoteText"/>
      <w:spacing w:after="120"/>
      <w:ind w:left="1267" w:right="1267" w:firstLine="0"/>
      <w:rPr>
        <w:w w:val="103"/>
        <w:rtl/>
      </w:rPr>
    </w:pPr>
    <w:r w:rsidRPr="002860B8">
      <w:rPr>
        <w:w w:val="103"/>
        <w:rtl/>
      </w:rPr>
      <w:t>هذا المحضر قابل للتصويب.</w:t>
    </w:r>
  </w:p>
  <w:p w:rsidR="00730E2C" w:rsidRPr="002860B8" w:rsidRDefault="00730E2C" w:rsidP="00882DF7">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730E2C" w:rsidRDefault="00730E2C" w:rsidP="00882DF7">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730E2C" w:rsidRDefault="00730E2C" w:rsidP="00882DF7">
    <w:pPr>
      <w:pStyle w:val="FootnoteText"/>
      <w:bidi w:val="0"/>
      <w:spacing w:line="120" w:lineRule="exact"/>
      <w:ind w:left="1267" w:right="1267" w:firstLine="0"/>
      <w:rPr>
        <w:sz w:val="12"/>
      </w:rPr>
    </w:pPr>
  </w:p>
  <w:p w:rsidR="00730E2C" w:rsidRDefault="00730E2C" w:rsidP="00882DF7">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02-41272 (A)</w:t>
    </w:r>
    <w:r>
      <w:rPr>
        <w:rFonts w:cs="Times New Roman"/>
        <w:b w:val="0"/>
        <w:w w:val="103"/>
        <w:sz w:val="20"/>
      </w:rPr>
      <w:fldChar w:fldCharType="end"/>
    </w:r>
  </w:p>
  <w:p w:rsidR="00730E2C" w:rsidRPr="00882DF7" w:rsidRDefault="00730E2C" w:rsidP="00882DF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*0241272*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2C" w:rsidRDefault="00730E2C" w:rsidP="00882DF7">
      <w:pPr>
        <w:pStyle w:val="Header"/>
      </w:pPr>
      <w:r>
        <w:separator/>
      </w:r>
    </w:p>
  </w:footnote>
  <w:footnote w:type="continuationSeparator" w:id="0">
    <w:p w:rsidR="00730E2C" w:rsidRDefault="00730E2C" w:rsidP="00882DF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30E2C">
      <w:tblPrEx>
        <w:tblCellMar>
          <w:top w:w="0" w:type="dxa"/>
          <w:bottom w:w="0" w:type="dxa"/>
        </w:tblCellMar>
      </w:tblPrEx>
      <w:trPr>
        <w:trHeight w:hRule="exact" w:val="864"/>
        <w:jc w:val="center"/>
      </w:trPr>
      <w:tc>
        <w:tcPr>
          <w:tcW w:w="5033" w:type="dxa"/>
          <w:shd w:val="clear" w:color="auto" w:fill="auto"/>
          <w:vAlign w:val="bottom"/>
        </w:tcPr>
        <w:p w:rsidR="00730E2C" w:rsidRDefault="00730E2C" w:rsidP="00882DF7">
          <w:pPr>
            <w:pStyle w:val="Header"/>
            <w:bidi/>
            <w:jc w:val="right"/>
          </w:pPr>
        </w:p>
      </w:tc>
      <w:tc>
        <w:tcPr>
          <w:tcW w:w="5033" w:type="dxa"/>
          <w:shd w:val="clear" w:color="auto" w:fill="auto"/>
          <w:vAlign w:val="bottom"/>
        </w:tcPr>
        <w:p w:rsidR="00730E2C" w:rsidRPr="00882DF7" w:rsidRDefault="00730E2C" w:rsidP="00882DF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CEDAW/C/SR.554</w:t>
          </w:r>
          <w:r>
            <w:rPr>
              <w:w w:val="103"/>
            </w:rPr>
            <w:fldChar w:fldCharType="end"/>
          </w:r>
        </w:p>
      </w:tc>
    </w:tr>
  </w:tbl>
  <w:p w:rsidR="00730E2C" w:rsidRPr="00882DF7" w:rsidRDefault="00730E2C" w:rsidP="00882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30E2C">
      <w:tblPrEx>
        <w:tblCellMar>
          <w:top w:w="0" w:type="dxa"/>
          <w:bottom w:w="0" w:type="dxa"/>
        </w:tblCellMar>
      </w:tblPrEx>
      <w:trPr>
        <w:trHeight w:hRule="exact" w:val="864"/>
        <w:jc w:val="center"/>
      </w:trPr>
      <w:tc>
        <w:tcPr>
          <w:tcW w:w="5033" w:type="dxa"/>
          <w:shd w:val="clear" w:color="auto" w:fill="auto"/>
          <w:vAlign w:val="bottom"/>
        </w:tcPr>
        <w:p w:rsidR="00730E2C" w:rsidRPr="00882DF7" w:rsidRDefault="00730E2C" w:rsidP="00882DF7">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CEDAW/C/SR.554</w:t>
          </w:r>
          <w:r>
            <w:rPr>
              <w:w w:val="103"/>
              <w:rtl/>
            </w:rPr>
            <w:fldChar w:fldCharType="end"/>
          </w:r>
        </w:p>
      </w:tc>
      <w:tc>
        <w:tcPr>
          <w:tcW w:w="5033" w:type="dxa"/>
          <w:shd w:val="clear" w:color="auto" w:fill="auto"/>
          <w:vAlign w:val="bottom"/>
        </w:tcPr>
        <w:p w:rsidR="00730E2C" w:rsidRDefault="00730E2C" w:rsidP="00882DF7">
          <w:pPr>
            <w:pStyle w:val="Header"/>
          </w:pPr>
        </w:p>
      </w:tc>
    </w:tr>
  </w:tbl>
  <w:p w:rsidR="00730E2C" w:rsidRPr="00882DF7" w:rsidRDefault="00730E2C" w:rsidP="00882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30E2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30E2C" w:rsidRDefault="00730E2C" w:rsidP="00882DF7">
          <w:pPr>
            <w:pStyle w:val="Header"/>
            <w:spacing w:after="120"/>
          </w:pPr>
        </w:p>
      </w:tc>
      <w:tc>
        <w:tcPr>
          <w:tcW w:w="1786" w:type="dxa"/>
          <w:tcBorders>
            <w:bottom w:val="single" w:sz="4" w:space="0" w:color="auto"/>
          </w:tcBorders>
          <w:shd w:val="clear" w:color="auto" w:fill="auto"/>
          <w:vAlign w:val="bottom"/>
        </w:tcPr>
        <w:p w:rsidR="00730E2C" w:rsidRPr="00882DF7" w:rsidRDefault="00730E2C" w:rsidP="00882DF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30E2C" w:rsidRDefault="00730E2C" w:rsidP="00882DF7">
          <w:pPr>
            <w:pStyle w:val="Header"/>
            <w:spacing w:after="120"/>
          </w:pPr>
        </w:p>
      </w:tc>
      <w:tc>
        <w:tcPr>
          <w:tcW w:w="6523" w:type="dxa"/>
          <w:gridSpan w:val="3"/>
          <w:tcBorders>
            <w:bottom w:val="single" w:sz="4" w:space="0" w:color="auto"/>
          </w:tcBorders>
          <w:shd w:val="clear" w:color="auto" w:fill="auto"/>
          <w:vAlign w:val="bottom"/>
        </w:tcPr>
        <w:p w:rsidR="00730E2C" w:rsidRPr="00882DF7" w:rsidRDefault="00730E2C" w:rsidP="00882DF7">
          <w:pPr>
            <w:spacing w:line="380" w:lineRule="exact"/>
            <w:jc w:val="right"/>
          </w:pPr>
          <w:r>
            <w:rPr>
              <w:sz w:val="40"/>
            </w:rPr>
            <w:t>CEDAW</w:t>
          </w:r>
          <w:r>
            <w:t>/C/SR.554</w:t>
          </w:r>
        </w:p>
      </w:tc>
    </w:tr>
    <w:tr w:rsidR="00730E2C" w:rsidRPr="00882DF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30E2C" w:rsidRDefault="00730E2C" w:rsidP="00882DF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30E2C" w:rsidRPr="00882DF7" w:rsidRDefault="00730E2C" w:rsidP="00882DF7">
          <w:pPr>
            <w:pStyle w:val="Header"/>
            <w:spacing w:before="109"/>
            <w:jc w:val="right"/>
          </w:pPr>
        </w:p>
      </w:tc>
      <w:tc>
        <w:tcPr>
          <w:tcW w:w="5227" w:type="dxa"/>
          <w:gridSpan w:val="3"/>
          <w:tcBorders>
            <w:top w:val="single" w:sz="4" w:space="0" w:color="auto"/>
            <w:bottom w:val="single" w:sz="12" w:space="0" w:color="auto"/>
          </w:tcBorders>
          <w:shd w:val="clear" w:color="auto" w:fill="auto"/>
        </w:tcPr>
        <w:p w:rsidR="00730E2C" w:rsidRPr="00882DF7" w:rsidRDefault="00730E2C" w:rsidP="00882DF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30E2C" w:rsidRPr="00882DF7" w:rsidRDefault="00730E2C" w:rsidP="00882DF7">
          <w:pPr>
            <w:pStyle w:val="Header"/>
            <w:spacing w:before="109"/>
          </w:pPr>
        </w:p>
      </w:tc>
      <w:tc>
        <w:tcPr>
          <w:tcW w:w="3100" w:type="dxa"/>
          <w:gridSpan w:val="2"/>
          <w:tcBorders>
            <w:top w:val="single" w:sz="4" w:space="0" w:color="auto"/>
            <w:bottom w:val="single" w:sz="12" w:space="0" w:color="auto"/>
          </w:tcBorders>
          <w:shd w:val="clear" w:color="auto" w:fill="auto"/>
        </w:tcPr>
        <w:p w:rsidR="00730E2C" w:rsidRDefault="00730E2C" w:rsidP="00882DF7">
          <w:pPr>
            <w:bidi w:val="0"/>
            <w:spacing w:before="240" w:line="240" w:lineRule="exact"/>
          </w:pPr>
          <w:r>
            <w:t>Distr.: General</w:t>
          </w:r>
        </w:p>
        <w:p w:rsidR="00730E2C" w:rsidRDefault="00730E2C" w:rsidP="00882DF7">
          <w:pPr>
            <w:bidi w:val="0"/>
            <w:spacing w:line="240" w:lineRule="exact"/>
            <w:jc w:val="left"/>
          </w:pPr>
          <w:r>
            <w:t>1 December 2005</w:t>
          </w:r>
        </w:p>
        <w:p w:rsidR="00730E2C" w:rsidRDefault="00730E2C" w:rsidP="00882DF7">
          <w:pPr>
            <w:bidi w:val="0"/>
            <w:spacing w:line="240" w:lineRule="exact"/>
            <w:jc w:val="left"/>
          </w:pPr>
          <w:r>
            <w:t>Arabic</w:t>
          </w:r>
        </w:p>
        <w:p w:rsidR="00730E2C" w:rsidRPr="00882DF7" w:rsidRDefault="00730E2C" w:rsidP="00882DF7">
          <w:pPr>
            <w:bidi w:val="0"/>
            <w:spacing w:line="240" w:lineRule="exact"/>
            <w:jc w:val="left"/>
          </w:pPr>
          <w:r>
            <w:t>Original: English</w:t>
          </w:r>
        </w:p>
      </w:tc>
    </w:tr>
  </w:tbl>
  <w:p w:rsidR="00730E2C" w:rsidRPr="00882DF7" w:rsidRDefault="00730E2C" w:rsidP="00882DF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41272*"/>
    <w:docVar w:name="CreationDt" w:val="30/11/2005 01:060 م"/>
    <w:docVar w:name="DocCategory" w:val="SROthers"/>
    <w:docVar w:name="DocType" w:val="Final"/>
    <w:docVar w:name="FooterJN" w:val="02-41272"/>
    <w:docVar w:name="jobn" w:val="02-41272 (A)"/>
    <w:docVar w:name="jobnDT" w:val="02-41272 (A)   301105"/>
    <w:docVar w:name="jobnDTDT" w:val="02-41272 (A)   301105   301105"/>
    <w:docVar w:name="JobNo" w:val="0241272A"/>
    <w:docVar w:name="OandT" w:val=" "/>
    <w:docVar w:name="sss1" w:val="CEDAW/C/SR.554"/>
    <w:docVar w:name="sss2" w:val="-"/>
    <w:docVar w:name="Symbol1" w:val="CEDAW/C/SR.554"/>
    <w:docVar w:name="Symbol2" w:val="-"/>
  </w:docVars>
  <w:rsids>
    <w:rsidRoot w:val="00382637"/>
    <w:rsid w:val="00026D97"/>
    <w:rsid w:val="00036BAE"/>
    <w:rsid w:val="00042425"/>
    <w:rsid w:val="0006648F"/>
    <w:rsid w:val="00087310"/>
    <w:rsid w:val="0009732C"/>
    <w:rsid w:val="000C4EED"/>
    <w:rsid w:val="000D2CEC"/>
    <w:rsid w:val="000F2A45"/>
    <w:rsid w:val="00101EE8"/>
    <w:rsid w:val="00113349"/>
    <w:rsid w:val="00131A03"/>
    <w:rsid w:val="001519A9"/>
    <w:rsid w:val="001737F8"/>
    <w:rsid w:val="00187870"/>
    <w:rsid w:val="001F6786"/>
    <w:rsid w:val="002416C5"/>
    <w:rsid w:val="002524AC"/>
    <w:rsid w:val="00266F59"/>
    <w:rsid w:val="00272B6C"/>
    <w:rsid w:val="0027623A"/>
    <w:rsid w:val="00290F2F"/>
    <w:rsid w:val="002937DA"/>
    <w:rsid w:val="002A09C6"/>
    <w:rsid w:val="002B636D"/>
    <w:rsid w:val="002C2AF2"/>
    <w:rsid w:val="002C4E1B"/>
    <w:rsid w:val="00312162"/>
    <w:rsid w:val="00326E79"/>
    <w:rsid w:val="003501D5"/>
    <w:rsid w:val="00371AC4"/>
    <w:rsid w:val="00382637"/>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142D"/>
    <w:rsid w:val="00534772"/>
    <w:rsid w:val="00537FCD"/>
    <w:rsid w:val="00545F76"/>
    <w:rsid w:val="005545BB"/>
    <w:rsid w:val="00556882"/>
    <w:rsid w:val="00561E43"/>
    <w:rsid w:val="005838F5"/>
    <w:rsid w:val="00591B45"/>
    <w:rsid w:val="005A0F73"/>
    <w:rsid w:val="005A2EA3"/>
    <w:rsid w:val="005C2ECE"/>
    <w:rsid w:val="005C39AA"/>
    <w:rsid w:val="00616E82"/>
    <w:rsid w:val="006218A3"/>
    <w:rsid w:val="006564CE"/>
    <w:rsid w:val="00663F64"/>
    <w:rsid w:val="00690787"/>
    <w:rsid w:val="00696B7A"/>
    <w:rsid w:val="006C38EE"/>
    <w:rsid w:val="00712EE9"/>
    <w:rsid w:val="0071531E"/>
    <w:rsid w:val="0071645B"/>
    <w:rsid w:val="00716E9D"/>
    <w:rsid w:val="00730E2C"/>
    <w:rsid w:val="00747B9E"/>
    <w:rsid w:val="007524BE"/>
    <w:rsid w:val="007525FA"/>
    <w:rsid w:val="00774FF0"/>
    <w:rsid w:val="0079046D"/>
    <w:rsid w:val="0079753A"/>
    <w:rsid w:val="007A6DD9"/>
    <w:rsid w:val="007C261E"/>
    <w:rsid w:val="007D60E0"/>
    <w:rsid w:val="007E32B9"/>
    <w:rsid w:val="0081284F"/>
    <w:rsid w:val="00814843"/>
    <w:rsid w:val="008170DE"/>
    <w:rsid w:val="00830E32"/>
    <w:rsid w:val="00840174"/>
    <w:rsid w:val="00873A11"/>
    <w:rsid w:val="00873AF9"/>
    <w:rsid w:val="00882DF7"/>
    <w:rsid w:val="008D1C04"/>
    <w:rsid w:val="008F04A0"/>
    <w:rsid w:val="008F64A7"/>
    <w:rsid w:val="0090012B"/>
    <w:rsid w:val="0090351F"/>
    <w:rsid w:val="00970BAD"/>
    <w:rsid w:val="009768D1"/>
    <w:rsid w:val="009829B7"/>
    <w:rsid w:val="009927C0"/>
    <w:rsid w:val="009961E6"/>
    <w:rsid w:val="009C0017"/>
    <w:rsid w:val="009C15F4"/>
    <w:rsid w:val="009D62A3"/>
    <w:rsid w:val="009E2A1F"/>
    <w:rsid w:val="00A2540A"/>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F7384"/>
    <w:rsid w:val="00D2343D"/>
    <w:rsid w:val="00D30EAE"/>
    <w:rsid w:val="00D318F1"/>
    <w:rsid w:val="00D40B0E"/>
    <w:rsid w:val="00DA66B7"/>
    <w:rsid w:val="00DB0865"/>
    <w:rsid w:val="00DE5433"/>
    <w:rsid w:val="00DF5F38"/>
    <w:rsid w:val="00E23336"/>
    <w:rsid w:val="00E31661"/>
    <w:rsid w:val="00E32B52"/>
    <w:rsid w:val="00E46299"/>
    <w:rsid w:val="00E47EB8"/>
    <w:rsid w:val="00E750E1"/>
    <w:rsid w:val="00E9114A"/>
    <w:rsid w:val="00EA489C"/>
    <w:rsid w:val="00EB0CA7"/>
    <w:rsid w:val="00EB4992"/>
    <w:rsid w:val="00EF2E52"/>
    <w:rsid w:val="00F32E4A"/>
    <w:rsid w:val="00F36D8C"/>
    <w:rsid w:val="00F535D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82DF7"/>
    <w:rPr>
      <w:szCs w:val="20"/>
    </w:rPr>
  </w:style>
  <w:style w:type="paragraph" w:styleId="CommentSubject">
    <w:name w:val="annotation subject"/>
    <w:basedOn w:val="CommentText"/>
    <w:next w:val="CommentText"/>
    <w:semiHidden/>
    <w:rsid w:val="0088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Pages>
  <Words>1161</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CMS Installer</cp:lastModifiedBy>
  <cp:revision>6</cp:revision>
  <cp:lastPrinted>2005-11-30T13:18:00Z</cp:lastPrinted>
  <dcterms:created xsi:type="dcterms:W3CDTF">2005-11-30T13:14:00Z</dcterms:created>
  <dcterms:modified xsi:type="dcterms:W3CDTF">2005-11-30T13:41:00Z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0241272</vt:lpwstr>
  </property>
  <property fmtid="{D5CDD505-2E9C-101B-9397-08002B2CF9AE}" pid="3" name="Symbol1">
    <vt:lpwstr>CEDAW/C/SR.554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